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Inter-bold.ttf" ContentType="application/x-font-ttf"/>
  <Override PartName="/word/fonts/Inter-boldItalic.ttf" ContentType="application/x-font-ttf"/>
  <Override PartName="/word/fonts/Inter-italic.ttf" ContentType="application/x-font-ttf"/>
  <Override PartName="/word/fonts/Inter-regular.ttf" ContentType="application/x-font-ttf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rPr/>
      </w:pPr>
      <w:bookmarkStart w:colFirst="0" w:colLast="0" w:name="_44jgrdf2ohrv" w:id="0"/>
      <w:bookmarkEnd w:id="0"/>
      <w:r w:rsidDel="00000000" w:rsidR="00000000" w:rsidRPr="00000000">
        <w:rPr>
          <w:rtl w:val="0"/>
        </w:rPr>
        <w:t xml:space="preserve">Acta de Constitución del Proyecto (Project Charter)</w:t>
      </w:r>
    </w:p>
    <w:p w:rsidR="00000000" w:rsidDel="00000000" w:rsidP="00000000" w:rsidRDefault="00000000" w:rsidRPr="00000000" w14:paraId="00000002">
      <w:pPr>
        <w:pStyle w:val="Heading1"/>
        <w:rPr/>
      </w:pPr>
      <w:bookmarkStart w:colFirst="0" w:colLast="0" w:name="_phl6qrfzgim6" w:id="1"/>
      <w:bookmarkEnd w:id="1"/>
      <w:r w:rsidDel="00000000" w:rsidR="00000000" w:rsidRPr="00000000">
        <w:rPr>
          <w:rtl w:val="0"/>
        </w:rPr>
        <w:t xml:space="preserve">TTDH Automation — Startab &amp; Banco Genérico</w:t>
      </w:r>
    </w:p>
    <w:p w:rsidR="00000000" w:rsidDel="00000000" w:rsidP="00000000" w:rsidRDefault="00000000" w:rsidRPr="00000000" w14:paraId="00000003">
      <w:pPr>
        <w:pStyle w:val="Heading1"/>
        <w:rPr/>
      </w:pPr>
      <w:bookmarkStart w:colFirst="0" w:colLast="0" w:name="_mx228yij4rp" w:id="2"/>
      <w:bookmarkEnd w:id="2"/>
      <w:r w:rsidDel="00000000" w:rsidR="00000000" w:rsidRPr="00000000">
        <w:rPr>
          <w:rtl w:val="0"/>
        </w:rPr>
        <w:t xml:space="preserve">1. Nombre del Proyecto</w: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b w:val="1"/>
          <w:bCs w:val="1"/>
          <w:rtl w:val="0"/>
        </w:rPr>
        <w:t xml:space="preserve">TTDH Automation</w:t>
      </w:r>
      <w:r w:rsidDel="00000000" w:rsidR="00000000" w:rsidRPr="00000000">
        <w:rPr>
          <w:rtl w:val="0"/>
        </w:rPr>
        <w:t xml:space="preserve"> (Automatización del Proceso TTDH)</w:t>
      </w:r>
    </w:p>
    <w:p w:rsidR="00000000" w:rsidDel="00000000" w:rsidP="00000000" w:rsidRDefault="00000000" w:rsidRPr="00000000" w14:paraId="00000005">
      <w:pPr>
        <w:pStyle w:val="Heading1"/>
        <w:rPr/>
      </w:pPr>
      <w:bookmarkStart w:colFirst="0" w:colLast="0" w:name="_7j4b0wq33g9u" w:id="3"/>
      <w:bookmarkEnd w:id="3"/>
      <w:r w:rsidDel="00000000" w:rsidR="00000000" w:rsidRPr="00000000">
        <w:rPr>
          <w:rtl w:val="0"/>
        </w:rPr>
        <w:t xml:space="preserve">2. Fecha de Elaboración</w:t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color w:val="000000"/>
          <w:rtl w:val="0"/>
        </w:rPr>
        <w:t xml:space="preserve">Date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pStyle w:val="Heading1"/>
        <w:rPr/>
      </w:pPr>
      <w:bookmarkStart w:colFirst="0" w:colLast="0" w:name="_rf9omu3pu60e" w:id="4"/>
      <w:bookmarkEnd w:id="4"/>
      <w:r w:rsidDel="00000000" w:rsidR="00000000" w:rsidRPr="00000000">
        <w:rPr>
          <w:rtl w:val="0"/>
        </w:rPr>
        <w:t xml:space="preserve">3. Patrocinador / Cliente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Organización:</w:t>
      </w:r>
      <w:r w:rsidDel="00000000" w:rsidR="00000000" w:rsidRPr="00000000">
        <w:rPr>
          <w:rtl w:val="0"/>
        </w:rPr>
        <w:t xml:space="preserve"> Banco Genérico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Patrocinador Principal: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color w:val="000000"/>
          <w:rtl w:val="0"/>
        </w:rPr>
        <w:t xml:space="preserve">Person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Unidad de Negocio:</w:t>
      </w:r>
      <w:r w:rsidDel="00000000" w:rsidR="00000000" w:rsidRPr="00000000">
        <w:rPr>
          <w:rtl w:val="0"/>
        </w:rPr>
        <w:t xml:space="preserve"> Gerencia de Operaciones y Tecnología / Riesgos</w:t>
      </w:r>
    </w:p>
    <w:p w:rsidR="00000000" w:rsidDel="00000000" w:rsidP="00000000" w:rsidRDefault="00000000" w:rsidRPr="00000000" w14:paraId="0000000B">
      <w:pPr>
        <w:pStyle w:val="Heading1"/>
        <w:rPr/>
      </w:pPr>
      <w:bookmarkStart w:colFirst="0" w:colLast="0" w:name="_c8sgo8cd54d3" w:id="5"/>
      <w:bookmarkEnd w:id="5"/>
      <w:r w:rsidDel="00000000" w:rsidR="00000000" w:rsidRPr="00000000">
        <w:rPr>
          <w:rtl w:val="0"/>
        </w:rPr>
        <w:t xml:space="preserve">4. Equipo del Proyecto (Startab)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María Trinidad</w:t>
      </w:r>
      <w:r w:rsidDel="00000000" w:rsidR="00000000" w:rsidRPr="00000000">
        <w:rPr>
          <w:rtl w:val="0"/>
        </w:rPr>
        <w:t xml:space="preserve"> — Lead Project Manager / Strategy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Tomas</w:t>
      </w:r>
      <w:r w:rsidDel="00000000" w:rsidR="00000000" w:rsidRPr="00000000">
        <w:rPr>
          <w:rtl w:val="0"/>
        </w:rPr>
        <w:t xml:space="preserve"> — Technical Lead &amp; Data Engineer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David</w:t>
      </w:r>
      <w:r w:rsidDel="00000000" w:rsidR="00000000" w:rsidRPr="00000000">
        <w:rPr>
          <w:rtl w:val="0"/>
        </w:rPr>
        <w:t xml:space="preserve"> — Integration &amp; Backend Developer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Héctor</w:t>
      </w:r>
      <w:r w:rsidDel="00000000" w:rsidR="00000000" w:rsidRPr="00000000">
        <w:rPr>
          <w:rtl w:val="0"/>
        </w:rPr>
        <w:t xml:space="preserve"> — Quality Assurance &amp; AI Specialist</w:t>
      </w:r>
    </w:p>
    <w:p w:rsidR="00000000" w:rsidDel="00000000" w:rsidP="00000000" w:rsidRDefault="00000000" w:rsidRPr="00000000" w14:paraId="0000001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pStyle w:val="Heading1"/>
        <w:rPr/>
      </w:pPr>
      <w:bookmarkStart w:colFirst="0" w:colLast="0" w:name="_dsgkgupsmsh9" w:id="6"/>
      <w:bookmarkEnd w:id="6"/>
      <w:r w:rsidDel="00000000" w:rsidR="00000000" w:rsidRPr="00000000">
        <w:rPr>
          <w:rtl w:val="0"/>
        </w:rPr>
        <w:t xml:space="preserve">5. Descripción y Justificación del Proyecto</w:t>
      </w:r>
    </w:p>
    <w:p w:rsidR="00000000" w:rsidDel="00000000" w:rsidP="00000000" w:rsidRDefault="00000000" w:rsidRPr="00000000" w14:paraId="00000013">
      <w:pPr>
        <w:pStyle w:val="Heading2"/>
        <w:rPr/>
      </w:pPr>
      <w:bookmarkStart w:colFirst="0" w:colLast="0" w:name="_lnqcmksu85tt" w:id="7"/>
      <w:bookmarkEnd w:id="7"/>
      <w:r w:rsidDel="00000000" w:rsidR="00000000" w:rsidRPr="00000000">
        <w:rPr>
          <w:rtl w:val="0"/>
        </w:rPr>
        <w:t xml:space="preserve">Descripción</w:t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  <w:t xml:space="preserve">El proyecto </w:t>
      </w:r>
      <w:r w:rsidDel="00000000" w:rsidR="00000000" w:rsidRPr="00000000">
        <w:rPr>
          <w:b w:val="1"/>
          <w:bCs w:val="1"/>
          <w:rtl w:val="0"/>
        </w:rPr>
        <w:t xml:space="preserve">TTDH Automation</w:t>
      </w:r>
      <w:r w:rsidDel="00000000" w:rsidR="00000000" w:rsidRPr="00000000">
        <w:rPr>
          <w:rtl w:val="0"/>
        </w:rPr>
        <w:t xml:space="preserve"> consiste en el diseño, desarrollo e implementación de una solución integral automatizada para la consolidación, validación, procesamiento y reportería de los flujos de datos TTDH en Banco Genérico. La solución contempla canalizaciones ETL robustas, reglas de validación en tiempo real, trazabilidad histórica centralizada, paneles de visualización avanzada e integración de componentes de Inteligencia Artificial para la detección de anomalías y optimización operativa. La solución recibe los documentos enviados por la TGR a través del correo electrónico institucional, el directorio SFTP o la carga web, tanto en formatos estructurados (Excel, CSV, TXT) como no estructurados (PDF, documentos escaneados y fotografías).</w:t>
      </w:r>
    </w:p>
    <w:p w:rsidR="00000000" w:rsidDel="00000000" w:rsidP="00000000" w:rsidRDefault="00000000" w:rsidRPr="00000000" w14:paraId="00000015">
      <w:pPr>
        <w:pStyle w:val="Heading2"/>
        <w:rPr/>
      </w:pPr>
      <w:bookmarkStart w:colFirst="0" w:colLast="0" w:name="_yxcvsdlp8o4e" w:id="8"/>
      <w:bookmarkEnd w:id="8"/>
      <w:r w:rsidDel="00000000" w:rsidR="00000000" w:rsidRPr="00000000">
        <w:rPr>
          <w:rtl w:val="0"/>
        </w:rPr>
        <w:t xml:space="preserve">Justificación</w:t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  <w:t xml:space="preserve">Actualmente, los procesos asociados al flujo TTDH dentro del Banco Genérico dependen de ejecuciones manuales o semi-automatizadas fragmentadas. Esto genera:</w:t>
      </w:r>
    </w:p>
    <w:p w:rsidR="00000000" w:rsidDel="00000000" w:rsidP="00000000" w:rsidRDefault="00000000" w:rsidRPr="00000000" w14:paraId="0000001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numPr>
          <w:ilvl w:val="0"/>
          <w:numId w:val="2"/>
        </w:numPr>
        <w:ind w:left="720" w:hanging="360"/>
      </w:pPr>
      <w:r w:rsidDel="00000000" w:rsidR="00000000" w:rsidRPr="00000000">
        <w:rPr>
          <w:rtl w:val="0"/>
        </w:rPr>
        <w:t xml:space="preserve">Tiempos de procesamiento elevados que comprometen los Acuerdos de Nivel de Servicio (SLA).</w:t>
      </w:r>
    </w:p>
    <w:p w:rsidR="00000000" w:rsidDel="00000000" w:rsidP="00000000" w:rsidRDefault="00000000" w:rsidRPr="00000000" w14:paraId="00000019">
      <w:pPr>
        <w:numPr>
          <w:ilvl w:val="0"/>
          <w:numId w:val="2"/>
        </w:numPr>
        <w:ind w:left="720" w:hanging="360"/>
      </w:pPr>
      <w:r w:rsidDel="00000000" w:rsidR="00000000" w:rsidRPr="00000000">
        <w:rPr>
          <w:rtl w:val="0"/>
        </w:rPr>
        <w:t xml:space="preserve">Riesgo operativo ante inconsistencias o errores humanos en la manipulación de datos sensibles.</w:t>
      </w:r>
    </w:p>
    <w:p w:rsidR="00000000" w:rsidDel="00000000" w:rsidP="00000000" w:rsidRDefault="00000000" w:rsidRPr="00000000" w14:paraId="0000001A">
      <w:pPr>
        <w:numPr>
          <w:ilvl w:val="0"/>
          <w:numId w:val="2"/>
        </w:numPr>
        <w:ind w:left="720" w:hanging="360"/>
      </w:pPr>
      <w:r w:rsidDel="00000000" w:rsidR="00000000" w:rsidRPr="00000000">
        <w:rPr>
          <w:rtl w:val="0"/>
        </w:rPr>
        <w:t xml:space="preserve">Dificultad para mantener una trazabilidad histórica confiable requerida para auditorías y cumplimiento regulatorio.</w:t>
      </w:r>
    </w:p>
    <w:p w:rsidR="00000000" w:rsidDel="00000000" w:rsidP="00000000" w:rsidRDefault="00000000" w:rsidRPr="00000000" w14:paraId="0000001B">
      <w:pPr>
        <w:numPr>
          <w:ilvl w:val="0"/>
          <w:numId w:val="2"/>
        </w:numPr>
        <w:ind w:left="720" w:hanging="360"/>
      </w:pPr>
      <w:r w:rsidDel="00000000" w:rsidR="00000000" w:rsidRPr="00000000">
        <w:rPr>
          <w:rtl w:val="0"/>
        </w:rPr>
        <w:t xml:space="preserve">Poca visibilidad analítica en tiempo real sobre las métricas clave de desempeño.</w:t>
      </w:r>
    </w:p>
    <w:p w:rsidR="00000000" w:rsidDel="00000000" w:rsidP="00000000" w:rsidRDefault="00000000" w:rsidRPr="00000000" w14:paraId="0000001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rPr>
          <w:rtl w:val="0"/>
        </w:rPr>
        <w:t xml:space="preserve">La implementación de </w:t>
      </w:r>
      <w:r w:rsidDel="00000000" w:rsidR="00000000" w:rsidRPr="00000000">
        <w:rPr>
          <w:b w:val="1"/>
          <w:bCs w:val="1"/>
          <w:rtl w:val="0"/>
        </w:rPr>
        <w:t xml:space="preserve">TTDH Automation</w:t>
      </w:r>
      <w:r w:rsidDel="00000000" w:rsidR="00000000" w:rsidRPr="00000000">
        <w:rPr>
          <w:rtl w:val="0"/>
        </w:rPr>
        <w:t xml:space="preserve"> mitiga el riesgo operativo, garantiza la calidad e integridad de los datos, reduce los costos de procesamiento y proporciona visibilidad estratégica para la toma de decisiones.</w:t>
      </w:r>
    </w:p>
    <w:p w:rsidR="00000000" w:rsidDel="00000000" w:rsidP="00000000" w:rsidRDefault="00000000" w:rsidRPr="00000000" w14:paraId="0000001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pStyle w:val="Heading1"/>
        <w:rPr/>
      </w:pPr>
      <w:bookmarkStart w:colFirst="0" w:colLast="0" w:name="_33gpmk19x0v6" w:id="9"/>
      <w:bookmarkEnd w:id="9"/>
      <w:r w:rsidDel="00000000" w:rsidR="00000000" w:rsidRPr="00000000">
        <w:rPr>
          <w:rtl w:val="0"/>
        </w:rPr>
        <w:t xml:space="preserve">6. Objetivos del Proyecto</w:t>
      </w:r>
    </w:p>
    <w:p w:rsidR="00000000" w:rsidDel="00000000" w:rsidP="00000000" w:rsidRDefault="00000000" w:rsidRPr="00000000" w14:paraId="00000021">
      <w:pPr>
        <w:pStyle w:val="Heading2"/>
        <w:rPr/>
      </w:pPr>
      <w:bookmarkStart w:colFirst="0" w:colLast="0" w:name="_rt53h8h815ih" w:id="10"/>
      <w:bookmarkEnd w:id="10"/>
      <w:r w:rsidDel="00000000" w:rsidR="00000000" w:rsidRPr="00000000">
        <w:rPr>
          <w:rtl w:val="0"/>
        </w:rPr>
        <w:t xml:space="preserve">Objetivo General</w:t>
      </w:r>
    </w:p>
    <w:p w:rsidR="00000000" w:rsidDel="00000000" w:rsidP="00000000" w:rsidRDefault="00000000" w:rsidRPr="00000000" w14:paraId="00000022">
      <w:pPr>
        <w:rPr/>
      </w:pPr>
      <w:r w:rsidDel="00000000" w:rsidR="00000000" w:rsidRPr="00000000">
        <w:rPr>
          <w:rtl w:val="0"/>
        </w:rPr>
        <w:t xml:space="preserve">Automatizar de extremo a extremo la cadena de valor del proceso TTDH para Banco Genérico mediante una arquitectura escalable de procesamiento de datos e Inteligencia Artificial, reduciendo los tiempos de ejecución manual, asegurando un 100% de trazabilidad auditorable y mejorando la precisión operativa.</w:t>
      </w:r>
    </w:p>
    <w:p w:rsidR="00000000" w:rsidDel="00000000" w:rsidP="00000000" w:rsidRDefault="00000000" w:rsidRPr="00000000" w14:paraId="00000023">
      <w:pPr>
        <w:pStyle w:val="Heading2"/>
        <w:rPr/>
      </w:pPr>
      <w:bookmarkStart w:colFirst="0" w:colLast="0" w:name="_xnmd8yziayl" w:id="11"/>
      <w:bookmarkEnd w:id="11"/>
      <w:r w:rsidDel="00000000" w:rsidR="00000000" w:rsidRPr="00000000">
        <w:rPr>
          <w:rtl w:val="0"/>
        </w:rPr>
        <w:t xml:space="preserve">Objetivos Específicos</w:t>
      </w:r>
    </w:p>
    <w:p w:rsidR="00000000" w:rsidDel="00000000" w:rsidP="00000000" w:rsidRDefault="00000000" w:rsidRPr="00000000" w14:paraId="00000024">
      <w:pPr>
        <w:numPr>
          <w:ilvl w:val="0"/>
          <w:numId w:val="4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Automatización ETL:</w:t>
      </w:r>
      <w:r w:rsidDel="00000000" w:rsidR="00000000" w:rsidRPr="00000000">
        <w:rPr>
          <w:rtl w:val="0"/>
        </w:rPr>
        <w:t xml:space="preserve"> Construir e integrar flujos de extracción, transformación y carga de datos que reduzcan el tiempo de procesamiento en al menos un 60%.</w:t>
      </w:r>
    </w:p>
    <w:p w:rsidR="00000000" w:rsidDel="00000000" w:rsidP="00000000" w:rsidRDefault="00000000" w:rsidRPr="00000000">
      <w:pPr>
        <w:numPr>
          <w:ilvl w:val="0"/>
          <w:numId w:val="4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>Digitalización de Documentos:</w:t>
      </w:r>
      <w:r w:rsidDel="00000000" w:rsidR="00000000" w:rsidRPr="00000000">
        <w:rPr>
          <w:rtl w:val="0"/>
        </w:rPr>
        <w:t xml:space="preserve"> Extraer automáticamente los datos de los documentos recibidos en PDF, escaneos o fotografías mediante OCR e IA, logrando que al menos el 90% de los registros superen el umbral de confianza sin intervención manual.</w:t>
      </w:r>
    </w:p>
    <w:p w:rsidR="00000000" w:rsidDel="00000000" w:rsidP="00000000" w:rsidRDefault="00000000" w:rsidRPr="00000000" w14:paraId="00000025">
      <w:pPr>
        <w:numPr>
          <w:ilvl w:val="0"/>
          <w:numId w:val="4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Calidad de Datos:</w:t>
      </w:r>
      <w:r w:rsidDel="00000000" w:rsidR="00000000" w:rsidRPr="00000000">
        <w:rPr>
          <w:rtl w:val="0"/>
        </w:rPr>
        <w:t xml:space="preserve"> Validar automáticamente el 100% de los registros de entrada bajo reglas de negocio predefinidas antes de su consolidación final.</w:t>
      </w:r>
    </w:p>
    <w:p w:rsidR="00000000" w:rsidDel="00000000" w:rsidP="00000000" w:rsidRDefault="00000000" w:rsidRPr="00000000" w14:paraId="00000026">
      <w:pPr>
        <w:numPr>
          <w:ilvl w:val="0"/>
          <w:numId w:val="4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Trazabilidad:</w:t>
      </w:r>
      <w:r w:rsidDel="00000000" w:rsidR="00000000" w:rsidRPr="00000000">
        <w:rPr>
          <w:rtl w:val="0"/>
        </w:rPr>
        <w:t xml:space="preserve"> Disponer de un repositorio histórico estructurado que permita consultar líneas de tiempo e historial de transacciones TTDH en cualquier momento.</w:t>
      </w:r>
    </w:p>
    <w:p w:rsidR="00000000" w:rsidDel="00000000" w:rsidP="00000000" w:rsidRDefault="00000000" w:rsidRPr="00000000" w14:paraId="00000027">
      <w:pPr>
        <w:numPr>
          <w:ilvl w:val="0"/>
          <w:numId w:val="4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Reportería Dinámica:</w:t>
      </w:r>
      <w:r w:rsidDel="00000000" w:rsidR="00000000" w:rsidRPr="00000000">
        <w:rPr>
          <w:rtl w:val="0"/>
        </w:rPr>
        <w:t xml:space="preserve"> Proveer tableros de control ejecutivos y operativos automatizados para el monitoreo de métricas e indicadores clave (KPIs).</w:t>
      </w:r>
    </w:p>
    <w:p w:rsidR="00000000" w:rsidDel="00000000" w:rsidP="00000000" w:rsidRDefault="00000000" w:rsidRPr="00000000" w14:paraId="00000028">
      <w:pPr>
        <w:numPr>
          <w:ilvl w:val="0"/>
          <w:numId w:val="4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Componente de IA:</w:t>
      </w:r>
      <w:r w:rsidDel="00000000" w:rsidR="00000000" w:rsidRPr="00000000">
        <w:rPr>
          <w:rtl w:val="0"/>
        </w:rPr>
        <w:t xml:space="preserve"> Incorporar un modelo asistido por IA para el análisis predictivo o detección de patrones anómalos en el flujo TTDH.</w:t>
      </w:r>
    </w:p>
    <w:p w:rsidR="00000000" w:rsidDel="00000000" w:rsidP="00000000" w:rsidRDefault="00000000" w:rsidRPr="00000000" w14:paraId="0000002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pStyle w:val="Heading1"/>
        <w:rPr/>
      </w:pPr>
      <w:bookmarkStart w:colFirst="0" w:colLast="0" w:name="_bo76q7otiosk" w:id="12"/>
      <w:bookmarkEnd w:id="12"/>
      <w:r w:rsidDel="00000000" w:rsidR="00000000" w:rsidRPr="00000000">
        <w:rPr>
          <w:rtl w:val="0"/>
        </w:rPr>
        <w:t xml:space="preserve">7. Alcance Preliminar</w:t>
      </w:r>
    </w:p>
    <w:p w:rsidR="00000000" w:rsidDel="00000000" w:rsidP="00000000" w:rsidRDefault="00000000" w:rsidRPr="00000000" w14:paraId="0000002C">
      <w:pPr>
        <w:rPr/>
      </w:pPr>
      <w:r w:rsidDel="00000000" w:rsidR="00000000" w:rsidRPr="00000000">
        <w:rPr>
          <w:rtl w:val="0"/>
        </w:rPr>
        <w:t xml:space="preserve">El alcance del proyecto contempla las siguientes fases funcionales y técnicas:</w:t>
      </w:r>
    </w:p>
    <w:p w:rsidR="00000000" w:rsidDel="00000000" w:rsidP="00000000" w:rsidRDefault="00000000" w:rsidRPr="00000000" w14:paraId="0000002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numPr>
          <w:ilvl w:val="0"/>
          <w:numId w:val="3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>Recepción Multicanal y Extracción de Documentos:</w:t>
      </w:r>
      <w:r w:rsidDel="00000000" w:rsidR="00000000" w:rsidRPr="00000000">
        <w:rPr>
          <w:rtl w:val="0"/>
        </w:rPr>
        <w:t xml:space="preserve"> Lectura automática de la casilla de correo institucional y del directorio SFTP, carga manual vía web y conversión de documentos no estructurados (PDF, escaneos y fotografías) a una plantilla estándar mediante OCR e Inteligencia Artificial.</w:t>
      </w:r>
    </w:p>
    <w:p w:rsidR="00000000" w:rsidDel="00000000" w:rsidP="00000000" w:rsidRDefault="00000000" w:rsidRPr="00000000" w14:paraId="0000002E">
      <w:pPr>
        <w:numPr>
          <w:ilvl w:val="0"/>
          <w:numId w:val="3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Extract, Transform, Load (ETL):</w:t>
      </w:r>
      <w:r w:rsidDel="00000000" w:rsidR="00000000" w:rsidRPr="00000000">
        <w:rPr>
          <w:rtl w:val="0"/>
        </w:rPr>
        <w:t xml:space="preserve"> Diseño e implementación de conectores de ingesta, limpieza de datos y transformación bajo lógica del dominio TTDH.</w:t>
      </w:r>
    </w:p>
    <w:p w:rsidR="00000000" w:rsidDel="00000000" w:rsidP="00000000" w:rsidRDefault="00000000" w:rsidRPr="00000000" w14:paraId="0000002F">
      <w:pPr>
        <w:numPr>
          <w:ilvl w:val="0"/>
          <w:numId w:val="3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Motor de Validación:</w:t>
      </w:r>
      <w:r w:rsidDel="00000000" w:rsidR="00000000" w:rsidRPr="00000000">
        <w:rPr>
          <w:rtl w:val="0"/>
        </w:rPr>
        <w:t xml:space="preserve"> Implementación de un motor de reglas para verificar la integridad, consistencia y completitud de la información procesada.</w:t>
      </w:r>
    </w:p>
    <w:p w:rsidR="00000000" w:rsidDel="00000000" w:rsidP="00000000" w:rsidRDefault="00000000" w:rsidRPr="00000000" w14:paraId="00000030">
      <w:pPr>
        <w:numPr>
          <w:ilvl w:val="0"/>
          <w:numId w:val="3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Trazabilidad Histórica:</w:t>
      </w:r>
      <w:r w:rsidDel="00000000" w:rsidR="00000000" w:rsidRPr="00000000">
        <w:rPr>
          <w:rtl w:val="0"/>
        </w:rPr>
        <w:t xml:space="preserve"> Registro sistemático con persistencia temporal (audit logs y historical trace) para auditoría operativa y regulatoria.</w:t>
      </w:r>
    </w:p>
    <w:p w:rsidR="00000000" w:rsidDel="00000000" w:rsidP="00000000" w:rsidRDefault="00000000" w:rsidRPr="00000000" w14:paraId="00000031">
      <w:pPr>
        <w:numPr>
          <w:ilvl w:val="0"/>
          <w:numId w:val="3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Módulo de Reportería:</w:t>
      </w:r>
      <w:r w:rsidDel="00000000" w:rsidR="00000000" w:rsidRPr="00000000">
        <w:rPr>
          <w:rtl w:val="0"/>
        </w:rPr>
        <w:t xml:space="preserve"> Creación de dashboards e informes automatizados para usuarios operativos y directivos.</w:t>
      </w:r>
    </w:p>
    <w:p w:rsidR="00000000" w:rsidDel="00000000" w:rsidP="00000000" w:rsidRDefault="00000000" w:rsidRPr="00000000" w14:paraId="00000032">
      <w:pPr>
        <w:numPr>
          <w:ilvl w:val="0"/>
          <w:numId w:val="3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Componente de Inteligencia Artificial:</w:t>
      </w:r>
      <w:r w:rsidDel="00000000" w:rsidR="00000000" w:rsidRPr="00000000">
        <w:rPr>
          <w:rtl w:val="0"/>
        </w:rPr>
        <w:t xml:space="preserve"> Integración de modelos de Machine Learning / IA adaptados a la optimización o clasificación inteligente de excepciones en el flujo TTDH.</w:t>
      </w:r>
    </w:p>
    <w:p w:rsidR="00000000" w:rsidDel="00000000" w:rsidP="00000000" w:rsidRDefault="00000000" w:rsidRPr="00000000" w14:paraId="0000003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pStyle w:val="Heading1"/>
        <w:rPr/>
      </w:pPr>
      <w:bookmarkStart w:colFirst="0" w:colLast="0" w:name="_k56dejj8wofb" w:id="13"/>
      <w:bookmarkEnd w:id="13"/>
      <w:r w:rsidDel="00000000" w:rsidR="00000000" w:rsidRPr="00000000">
        <w:rPr>
          <w:rtl w:val="0"/>
        </w:rPr>
        <w:t xml:space="preserve">8. Requerimientos Iniciales</w:t>
      </w:r>
    </w:p>
    <w:tbl>
      <w:tblPr>
        <w:tblStyle w:val="Table1"/>
        <w:tblW w:w="10000.0" w:type="dxa"/>
        <w:jc w:val="left"/>
        <w:tblBorders>
          <w:top w:color="cbd5e1" w:space="0" w:sz="8" w:val="single"/>
          <w:left w:color="000000" w:space="0" w:sz="0" w:val="nil"/>
          <w:bottom w:color="cbd5e1" w:space="0" w:sz="8" w:val="single"/>
          <w:right w:color="000000" w:space="0" w:sz="0" w:val="nil"/>
          <w:insideH w:color="e2e8f0" w:space="0" w:sz="8" w:val="single"/>
          <w:insideV w:color="000000" w:space="0" w:sz="0" w:val="nil"/>
        </w:tblBorders>
        <w:tblLayout w:type="fixed"/>
        <w:tblLook w:val="0620"/>
      </w:tblPr>
      <w:tblGrid>
        <w:gridCol w:w="5000"/>
        <w:gridCol w:w="5000"/>
        <w:tblGridChange w:id="0">
          <w:tblGrid>
            <w:gridCol w:w="5000"/>
            <w:gridCol w:w="5000"/>
          </w:tblGrid>
        </w:tblGridChange>
      </w:tblGrid>
      <w:tr>
        <w:trPr>
          <w:cantSplit w:val="0"/>
          <w:tblHeader w:val="1"/>
        </w:trPr>
        <w:tc>
          <w:tcPr/>
          <w:p w:rsidR="00000000" w:rsidDel="00000000" w:rsidP="00000000" w:rsidRDefault="00000000" w:rsidRPr="00000000" w14:paraId="00000036">
            <w:pPr>
              <w:rPr/>
            </w:pPr>
            <w:r w:rsidDel="00000000" w:rsidR="00000000" w:rsidRPr="00000000">
              <w:rPr>
                <w:rtl w:val="0"/>
              </w:rPr>
              <w:t xml:space="preserve">Código</w:t>
            </w:r>
          </w:p>
        </w:tc>
        <w:tc>
          <w:tcPr/>
          <w:p w:rsidR="00000000" w:rsidDel="00000000" w:rsidP="00000000" w:rsidRDefault="00000000" w:rsidRPr="00000000" w14:paraId="00000037">
            <w:pPr>
              <w:rPr/>
            </w:pPr>
            <w:r w:rsidDel="00000000" w:rsidR="00000000" w:rsidRPr="00000000">
              <w:rPr>
                <w:rtl w:val="0"/>
              </w:rPr>
              <w:t xml:space="preserve">Descripción del Requerimiento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8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RF01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9">
            <w:pPr>
              <w:rPr/>
            </w:pPr>
            <w:r w:rsidDel="00000000" w:rsidR="00000000" w:rsidRPr="00000000">
              <w:rPr>
                <w:rtl w:val="0"/>
              </w:rPr>
              <w:t>La solución debe recibir los documentos TTDH enviados por la TGR de manera automatizada a través del correo electrónico institucional (descarga de adjuntos), el directorio SFTP o la carga web, en formatos estructurados (Excel, CSV, TXT) y no estructurados (PDF, escaneos y fotografías).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A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RF02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B">
            <w:pPr>
              <w:rPr/>
            </w:pPr>
            <w:r w:rsidDel="00000000" w:rsidR="00000000" w:rsidRPr="00000000">
              <w:rPr>
                <w:rtl w:val="0"/>
              </w:rPr>
              <w:t>Parsing y extracción automatizada del contenido de los archivos TGR, identificando encabezados, detalle de transacciones y sumatorias de control.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C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RF03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D">
            <w:pPr>
              <w:rPr/>
            </w:pPr>
            <w:r w:rsidDel="00000000" w:rsidR="00000000" w:rsidRPr="00000000">
              <w:rPr>
                <w:rtl w:val="0"/>
              </w:rPr>
              <w:t>Motor de validación de datos que aplica las reglas de negocio en tiempo real antes de iniciar el cruce.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E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RF04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F">
            <w:pPr>
              <w:rPr/>
            </w:pPr>
            <w:r w:rsidDel="00000000" w:rsidR="00000000" w:rsidRPr="00000000">
              <w:rPr>
                <w:rtl w:val="0"/>
              </w:rPr>
              <w:t>Cruce automático de la información TGR contra el Core Bancario de Banco Genérico para verificar la efectividad de las transferencias.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0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RF05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1">
            <w:pPr>
              <w:rPr/>
            </w:pPr>
            <w:r w:rsidDel="00000000" w:rsidR="00000000" w:rsidRPr="00000000">
              <w:rPr>
                <w:rtl w:val="0"/>
              </w:rPr>
              <w:t>Gestión de excepciones y rechazos, con categorización automática de sus causas y revisión manual de los datos no conformes.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2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RF06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3">
            <w:pPr>
              <w:rPr/>
            </w:pPr>
            <w:r w:rsidDel="00000000" w:rsidR="00000000" w:rsidRPr="00000000">
              <w:rPr>
                <w:rtl w:val="0"/>
              </w:rPr>
              <w:t>Dashboard analítico e interactivo en tiempo real con montos procesados, estados de conciliación y KPIs operativos.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4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RF07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5">
            <w:pPr>
              <w:rPr/>
            </w:pPr>
            <w:r w:rsidDel="00000000" w:rsidR="00000000" w:rsidRPr="00000000">
              <w:rPr>
                <w:rtl w:val="0"/>
              </w:rPr>
              <w:t>Generación de los archivos de respuesta de rendición dirigidos a la TGR con la estructura exigida por el organismo.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6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RF08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7">
            <w:pPr>
              <w:rPr/>
            </w:pPr>
            <w:r w:rsidDel="00000000" w:rsidR="00000000" w:rsidRPr="00000000">
              <w:rPr>
                <w:rtl w:val="0"/>
              </w:rPr>
              <w:t>Módulo de Inteligencia Artificial analítica para interpretar tendencias de rechazo, detectar anomalías y resumir hallazgos operativos.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8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RF09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9">
            <w:pPr>
              <w:rPr/>
            </w:pPr>
            <w:r w:rsidDel="00000000" w:rsidR="00000000" w:rsidRPr="00000000">
              <w:rPr>
                <w:rtl w:val="0"/>
              </w:rPr>
              <w:t>Gestión de roles y permisos (RBAC) y cumplimiento de estándares de seguridad bancaria.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A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RF10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B">
            <w:pPr>
              <w:rPr/>
            </w:pPr>
            <w:r w:rsidDel="00000000" w:rsidR="00000000" w:rsidRPr="00000000">
              <w:rPr>
                <w:rtl w:val="0"/>
              </w:rPr>
              <w:t>Registro de auditoría y trazabilidad total de las acciones ejecutadas por usuarios y procesos automáticos.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C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RF11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D">
            <w:pPr>
              <w:rPr/>
            </w:pPr>
            <w:r w:rsidDel="00000000" w:rsidR="00000000" w:rsidRPr="00000000">
              <w:rPr>
                <w:rtl w:val="0"/>
              </w:rPr>
              <w:t>Exportación de resultados, datasets y métricas en formatos estándar (Excel, PDF, CSV).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>RF12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rtl w:val="0"/>
              </w:rPr>
              <w:t>Extracción automática de datos desde PDF, documentos escaneados y fotografías mediante OCR e Inteligencia Artificial, con un nivel de confianza por registro y derivación a revisión manual de los datos dudosos.</w:t>
            </w:r>
          </w:p>
        </w:tc>
      </w:tr>
    </w:tbl>
    <w:p w:rsidR="00000000" w:rsidDel="00000000" w:rsidP="00000000" w:rsidRDefault="00000000" w:rsidRPr="00000000" w14:paraId="0000004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pStyle w:val="Heading1"/>
        <w:rPr/>
      </w:pPr>
      <w:bookmarkStart w:colFirst="0" w:colLast="0" w:name="_k0vng0iw5qc6" w:id="14"/>
      <w:bookmarkEnd w:id="14"/>
      <w:r w:rsidDel="00000000" w:rsidR="00000000" w:rsidRPr="00000000">
        <w:rPr>
          <w:rtl w:val="0"/>
        </w:rPr>
        <w:t xml:space="preserve">9. Hitos Principales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El cronograma del proyecto está estructurado en base a la línea de tiempo del plan de trabajo (Gantt):</w:t>
      </w:r>
    </w:p>
    <w:p w:rsidR="00000000" w:rsidDel="00000000" w:rsidP="00000000" w:rsidRDefault="00000000" w:rsidRPr="00000000" w14:paraId="0000005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tbl>
      <w:tblPr>
        <w:tblStyle w:val="Table2"/>
        <w:tblW w:w="10500.0" w:type="dxa"/>
        <w:jc w:val="left"/>
        <w:tblBorders>
          <w:top w:color="cbd5e1" w:space="0" w:sz="8" w:val="single"/>
          <w:left w:color="000000" w:space="0" w:sz="0" w:val="nil"/>
          <w:bottom w:color="cbd5e1" w:space="0" w:sz="8" w:val="single"/>
          <w:right w:color="000000" w:space="0" w:sz="0" w:val="nil"/>
          <w:insideH w:color="e2e8f0" w:space="0" w:sz="8" w:val="single"/>
          <w:insideV w:color="000000" w:space="0" w:sz="0" w:val="nil"/>
        </w:tblBorders>
        <w:tblLayout w:type="fixed"/>
        <w:tblLook w:val="0620"/>
      </w:tblPr>
      <w:tblGrid>
        <w:gridCol w:w="3500"/>
        <w:gridCol w:w="3500"/>
        <w:gridCol w:w="3500"/>
        <w:tblGridChange w:id="0">
          <w:tblGrid>
            <w:gridCol w:w="3500"/>
            <w:gridCol w:w="3500"/>
            <w:gridCol w:w="3500"/>
          </w:tblGrid>
        </w:tblGridChange>
      </w:tblGrid>
      <w:tr>
        <w:trPr>
          <w:cantSplit w:val="0"/>
          <w:tblHeader w:val="1"/>
        </w:trPr>
        <w:tc>
          <w:tcPr/>
          <w:p w:rsidR="00000000" w:rsidDel="00000000" w:rsidP="00000000" w:rsidRDefault="00000000" w:rsidRPr="00000000" w14:paraId="00000053">
            <w:pPr>
              <w:rPr/>
            </w:pPr>
            <w:r w:rsidDel="00000000" w:rsidR="00000000" w:rsidRPr="00000000">
              <w:rPr>
                <w:rtl w:val="0"/>
              </w:rPr>
              <w:t xml:space="preserve">Hito</w:t>
            </w:r>
          </w:p>
        </w:tc>
        <w:tc>
          <w:tcPr/>
          <w:p w:rsidR="00000000" w:rsidDel="00000000" w:rsidP="00000000" w:rsidRDefault="00000000" w:rsidRPr="00000000" w14:paraId="00000054">
            <w:pPr>
              <w:rPr/>
            </w:pPr>
            <w:r w:rsidDel="00000000" w:rsidR="00000000" w:rsidRPr="00000000">
              <w:rPr>
                <w:rtl w:val="0"/>
              </w:rPr>
              <w:t xml:space="preserve">Fase / Entregable</w:t>
            </w:r>
          </w:p>
        </w:tc>
        <w:tc>
          <w:tcPr/>
          <w:p w:rsidR="00000000" w:rsidDel="00000000" w:rsidP="00000000" w:rsidRDefault="00000000" w:rsidRPr="00000000" w14:paraId="00000055">
            <w:pPr>
              <w:rPr/>
            </w:pPr>
            <w:r w:rsidDel="00000000" w:rsidR="00000000" w:rsidRPr="00000000">
              <w:rPr>
                <w:rtl w:val="0"/>
              </w:rPr>
              <w:t xml:space="preserve">Ventana Temporada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56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Hito 1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7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Planificación y Diseño de Arquitectura</w:t>
            </w:r>
            <w:r w:rsidDel="00000000" w:rsidR="00000000" w:rsidRPr="00000000">
              <w:rPr>
                <w:rtl w:val="0"/>
              </w:rPr>
              <w:t xml:space="preserve">Finalización del diseño conceptual, especificación analítica, arquitectura técnica y aprobación de maquetas.</w:t>
            </w:r>
          </w:p>
        </w:tc>
        <w:tc>
          <w:tcPr/>
          <w:p w:rsidR="00000000" w:rsidDel="00000000" w:rsidP="00000000" w:rsidRDefault="00000000" w:rsidRPr="00000000" w14:paraId="00000058">
            <w:pPr>
              <w:rPr/>
            </w:pPr>
            <w:r w:rsidDel="00000000" w:rsidR="00000000" w:rsidRPr="00000000">
              <w:rPr>
                <w:rtl w:val="0"/>
              </w:rPr>
              <w:t xml:space="preserve">Semanas 5 a 8 (W5 - W8)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59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Hito 2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A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Desarrollo, Integración y Correcciones</w:t>
            </w:r>
            <w:r w:rsidDel="00000000" w:rsidR="00000000" w:rsidRPr="00000000">
              <w:rPr>
                <w:rtl w:val="0"/>
              </w:rPr>
              <w:t xml:space="preserve">Construcción del motor ETL, módulo de validación, componente de IA, pruebas integradas y corrección de errores.</w:t>
            </w:r>
          </w:p>
        </w:tc>
        <w:tc>
          <w:tcPr/>
          <w:p w:rsidR="00000000" w:rsidDel="00000000" w:rsidP="00000000" w:rsidRDefault="00000000" w:rsidRPr="00000000" w14:paraId="0000005B">
            <w:pPr>
              <w:rPr/>
            </w:pPr>
            <w:r w:rsidDel="00000000" w:rsidR="00000000" w:rsidRPr="00000000">
              <w:rPr>
                <w:rtl w:val="0"/>
              </w:rPr>
              <w:t xml:space="preserve">Semanas 9 a 15 (W9 - W15)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5C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Hito 3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D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Cierre y Presentación Final</w:t>
            </w:r>
            <w:r w:rsidDel="00000000" w:rsidR="00000000" w:rsidRPr="00000000">
              <w:rPr>
                <w:rtl w:val="0"/>
              </w:rPr>
              <w:t xml:space="preserve">Despliegue final, pruebas de aceptación del usuario (UAT), capacitación y presentación oficial del proyecto al cliente.</w:t>
            </w:r>
          </w:p>
        </w:tc>
        <w:tc>
          <w:tcPr/>
          <w:p w:rsidR="00000000" w:rsidDel="00000000" w:rsidP="00000000" w:rsidRDefault="00000000" w:rsidRPr="00000000" w14:paraId="0000005E">
            <w:pPr>
              <w:rPr/>
            </w:pPr>
            <w:r w:rsidDel="00000000" w:rsidR="00000000" w:rsidRPr="00000000">
              <w:rPr>
                <w:rtl w:val="0"/>
              </w:rPr>
              <w:t xml:space="preserve">Semanas 16 a 18 (W16 - W18)</w:t>
            </w:r>
          </w:p>
        </w:tc>
      </w:tr>
    </w:tbl>
    <w:p w:rsidR="00000000" w:rsidDel="00000000" w:rsidP="00000000" w:rsidRDefault="00000000" w:rsidRPr="00000000" w14:paraId="0000005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pStyle w:val="Heading1"/>
        <w:rPr/>
      </w:pPr>
      <w:bookmarkStart w:colFirst="0" w:colLast="0" w:name="_qtxm7xd79bgs" w:id="15"/>
      <w:bookmarkEnd w:id="15"/>
      <w:r w:rsidDel="00000000" w:rsidR="00000000" w:rsidRPr="00000000">
        <w:rPr>
          <w:rtl w:val="0"/>
        </w:rPr>
        <w:t xml:space="preserve">10. Aprobación del Proyecto</w:t>
      </w:r>
    </w:p>
    <w:tbl>
      <w:tblPr>
        <w:tblStyle w:val="Table3"/>
        <w:tblW w:w="14000.0" w:type="dxa"/>
        <w:jc w:val="left"/>
        <w:tblBorders>
          <w:top w:color="cbd5e1" w:space="0" w:sz="8" w:val="single"/>
          <w:left w:color="000000" w:space="0" w:sz="0" w:val="nil"/>
          <w:bottom w:color="cbd5e1" w:space="0" w:sz="8" w:val="single"/>
          <w:right w:color="000000" w:space="0" w:sz="0" w:val="nil"/>
          <w:insideH w:color="e2e8f0" w:space="0" w:sz="8" w:val="single"/>
          <w:insideV w:color="000000" w:space="0" w:sz="0" w:val="nil"/>
        </w:tblBorders>
        <w:tblLayout w:type="fixed"/>
        <w:tblLook w:val="0620"/>
      </w:tblPr>
      <w:tblGrid>
        <w:gridCol w:w="3500"/>
        <w:gridCol w:w="3500"/>
        <w:gridCol w:w="3500"/>
        <w:gridCol w:w="3500"/>
        <w:tblGridChange w:id="0">
          <w:tblGrid>
            <w:gridCol w:w="3500"/>
            <w:gridCol w:w="3500"/>
            <w:gridCol w:w="3500"/>
            <w:gridCol w:w="3500"/>
          </w:tblGrid>
        </w:tblGridChange>
      </w:tblGrid>
      <w:tr>
        <w:trPr>
          <w:cantSplit w:val="0"/>
          <w:tblHeader w:val="1"/>
        </w:trPr>
        <w:tc>
          <w:tcPr/>
          <w:p w:rsidR="00000000" w:rsidDel="00000000" w:rsidP="00000000" w:rsidRDefault="00000000" w:rsidRPr="00000000" w14:paraId="00000062">
            <w:pPr>
              <w:rPr/>
            </w:pPr>
            <w:r w:rsidDel="00000000" w:rsidR="00000000" w:rsidRPr="00000000">
              <w:rPr>
                <w:rtl w:val="0"/>
              </w:rPr>
              <w:t xml:space="preserve">Nombre</w:t>
            </w:r>
          </w:p>
        </w:tc>
        <w:tc>
          <w:tcPr/>
          <w:p w:rsidR="00000000" w:rsidDel="00000000" w:rsidP="00000000" w:rsidRDefault="00000000" w:rsidRPr="00000000" w14:paraId="00000063">
            <w:pPr>
              <w:rPr/>
            </w:pPr>
            <w:r w:rsidDel="00000000" w:rsidR="00000000" w:rsidRPr="00000000">
              <w:rPr>
                <w:rtl w:val="0"/>
              </w:rPr>
              <w:t xml:space="preserve">Rol</w:t>
            </w:r>
          </w:p>
        </w:tc>
        <w:tc>
          <w:tcPr/>
          <w:p w:rsidR="00000000" w:rsidDel="00000000" w:rsidP="00000000" w:rsidRDefault="00000000" w:rsidRPr="00000000" w14:paraId="00000064">
            <w:pPr>
              <w:rPr/>
            </w:pPr>
            <w:r w:rsidDel="00000000" w:rsidR="00000000" w:rsidRPr="00000000">
              <w:rPr>
                <w:rtl w:val="0"/>
              </w:rPr>
              <w:t xml:space="preserve">Firma</w:t>
            </w:r>
          </w:p>
        </w:tc>
        <w:tc>
          <w:tcPr/>
          <w:p w:rsidR="00000000" w:rsidDel="00000000" w:rsidP="00000000" w:rsidRDefault="00000000" w:rsidRPr="00000000" w14:paraId="00000065">
            <w:pPr>
              <w:rPr/>
            </w:pPr>
            <w:r w:rsidDel="00000000" w:rsidR="00000000" w:rsidRPr="00000000">
              <w:rPr>
                <w:rtl w:val="0"/>
              </w:rPr>
              <w:t xml:space="preserve">Fecha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66">
            <w:pPr>
              <w:rPr/>
            </w:pPr>
            <w:r w:rsidDel="00000000" w:rsidR="00000000" w:rsidRPr="00000000">
              <w:rPr>
                <w:color w:val="000000"/>
                <w:rtl w:val="0"/>
              </w:rPr>
              <w:t xml:space="preserve">Person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7">
            <w:pPr>
              <w:rPr/>
            </w:pPr>
            <w:r w:rsidDel="00000000" w:rsidR="00000000" w:rsidRPr="00000000">
              <w:rPr>
                <w:rtl w:val="0"/>
              </w:rPr>
              <w:t xml:space="preserve">Patrocinador — Banco Genérico</w:t>
            </w:r>
          </w:p>
        </w:tc>
        <w:tc>
          <w:tcPr/>
          <w:p w:rsidR="00000000" w:rsidDel="00000000" w:rsidP="00000000" w:rsidRDefault="00000000" w:rsidRPr="00000000" w14:paraId="00000068">
            <w:pPr>
              <w:rPr/>
            </w:pPr>
            <w:r w:rsidDel="00000000" w:rsidR="00000000" w:rsidRPr="00000000">
              <w:rPr>
                <w:rtl w:val="0"/>
              </w:rPr>
              <w:t xml:space="preserve">_______________________</w:t>
            </w:r>
          </w:p>
        </w:tc>
        <w:tc>
          <w:tcPr/>
          <w:p w:rsidR="00000000" w:rsidDel="00000000" w:rsidP="00000000" w:rsidRDefault="00000000" w:rsidRPr="00000000" w14:paraId="00000069">
            <w:pPr>
              <w:rPr/>
            </w:pPr>
            <w:r w:rsidDel="00000000" w:rsidR="00000000" w:rsidRPr="00000000">
              <w:rPr>
                <w:color w:val="000000"/>
                <w:rtl w:val="0"/>
              </w:rPr>
              <w:t xml:space="preserve">Date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6A">
            <w:pPr>
              <w:rPr/>
            </w:pPr>
            <w:r w:rsidDel="00000000" w:rsidR="00000000" w:rsidRPr="00000000">
              <w:rPr>
                <w:rtl w:val="0"/>
              </w:rPr>
              <w:t xml:space="preserve">María Trinidad</w:t>
            </w:r>
          </w:p>
        </w:tc>
        <w:tc>
          <w:tcPr/>
          <w:p w:rsidR="00000000" w:rsidDel="00000000" w:rsidP="00000000" w:rsidRDefault="00000000" w:rsidRPr="00000000" w14:paraId="0000006B">
            <w:pPr>
              <w:rPr/>
            </w:pPr>
            <w:r w:rsidDel="00000000" w:rsidR="00000000" w:rsidRPr="00000000">
              <w:rPr>
                <w:rtl w:val="0"/>
              </w:rPr>
              <w:t xml:space="preserve">Lead Project Manager — Startab</w:t>
            </w:r>
          </w:p>
        </w:tc>
        <w:tc>
          <w:tcPr/>
          <w:p w:rsidR="00000000" w:rsidDel="00000000" w:rsidP="00000000" w:rsidRDefault="00000000" w:rsidRPr="00000000" w14:paraId="0000006C">
            <w:pPr>
              <w:rPr/>
            </w:pPr>
            <w:r w:rsidDel="00000000" w:rsidR="00000000" w:rsidRPr="00000000">
              <w:rPr>
                <w:rtl w:val="0"/>
              </w:rPr>
              <w:t xml:space="preserve">_______________________</w:t>
            </w:r>
          </w:p>
        </w:tc>
        <w:tc>
          <w:tcPr/>
          <w:p w:rsidR="00000000" w:rsidDel="00000000" w:rsidP="00000000" w:rsidRDefault="00000000" w:rsidRPr="00000000" w14:paraId="0000006D">
            <w:pPr>
              <w:rPr/>
            </w:pPr>
            <w:r w:rsidDel="00000000" w:rsidR="00000000" w:rsidRPr="00000000">
              <w:rPr>
                <w:color w:val="000000"/>
                <w:rtl w:val="0"/>
              </w:rPr>
              <w:t xml:space="preserve">Date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6E">
      <w:pPr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Inter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○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○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○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○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○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○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○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○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Inter" w:cs="Inter" w:eastAsia="Inter" w:hAnsi="Inter"/>
        <w:color w:val="334155"/>
        <w:sz w:val="22"/>
        <w:szCs w:val="22"/>
        <w:lang w:val="es_419"/>
      </w:rPr>
    </w:rPrDefault>
    <w:pPrDefault>
      <w:pPr>
        <w:spacing w:line="300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="276" w:lineRule="auto"/>
    </w:pPr>
    <w:rPr>
      <w:rFonts w:ascii="Inter" w:cs="Inter" w:eastAsia="Inter" w:hAnsi="Inter"/>
      <w:b w:val="1"/>
      <w:bCs w:val="1"/>
      <w:i w:val="0"/>
      <w:iCs w:val="0"/>
      <w:color w:val="1e293b"/>
      <w:sz w:val="30"/>
      <w:szCs w:val="3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="276" w:lineRule="auto"/>
    </w:pPr>
    <w:rPr>
      <w:rFonts w:ascii="Inter" w:cs="Inter" w:eastAsia="Inter" w:hAnsi="Inter"/>
      <w:b w:val="1"/>
      <w:bCs w:val="1"/>
      <w:i w:val="0"/>
      <w:iCs w:val="0"/>
      <w:color w:val="334155"/>
      <w:sz w:val="24"/>
      <w:szCs w:val="24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="240" w:lineRule="auto"/>
    </w:pPr>
    <w:rPr>
      <w:rFonts w:ascii="Inter" w:cs="Inter" w:eastAsia="Inter" w:hAnsi="Inter"/>
      <w:b w:val="1"/>
      <w:bCs w:val="1"/>
      <w:i w:val="0"/>
      <w:iCs w:val="0"/>
      <w:color w:val="0f172a"/>
      <w:sz w:val="44"/>
      <w:szCs w:val="44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="276" w:lineRule="auto"/>
    </w:pPr>
    <w:rPr>
      <w:rFonts w:ascii="Inter" w:cs="Inter" w:eastAsia="Inter" w:hAnsi="Inter"/>
      <w:b w:val="0"/>
      <w:bCs w:val="0"/>
      <w:i w:val="0"/>
      <w:iCs w:val="0"/>
      <w:color w:val="64748b"/>
      <w:sz w:val="26"/>
      <w:szCs w:val="26"/>
    </w:rPr>
  </w:style>
  <w:style w:type="table" w:styleId="Table1">
    <w:basedOn w:val="TableNormal"/>
    <w:tblPr>
      <w:tblStyleRowBandSize w:val="1"/>
      <w:tblStyleColBandSize w:val="1"/>
      <w:tblCellMar>
        <w:top w:w="120.0" w:type="dxa"/>
        <w:left w:w="160.0" w:type="dxa"/>
        <w:bottom w:w="120.0" w:type="dxa"/>
        <w:right w:w="160.0" w:type="dxa"/>
      </w:tblCellMar>
    </w:tblPr>
    <w:tcPr>
      <w:shd w:fill="ffffff" w:val="clear"/>
      <w:vAlign w:val="center"/>
    </w:tcPr>
    <w:tblStylePr w:type="firstRow">
      <w:rPr>
        <w:rFonts w:ascii="Inter" w:cs="Inter" w:eastAsia="Inter" w:hAnsi="Inter"/>
        <w:b w:val="1"/>
        <w:bCs w:val="1"/>
        <w:i w:val="0"/>
        <w:iCs w:val="0"/>
        <w:color w:val="1e293b"/>
        <w:sz w:val="20"/>
        <w:szCs w:val="20"/>
      </w:rPr>
      <w:tcPr>
        <w:shd w:fill="f8fafc" w:val="clear"/>
        <w:vAlign w:val="center"/>
      </w:tcPr>
    </w:tblStylePr>
  </w:style>
  <w:style w:type="table" w:styleId="Table2">
    <w:basedOn w:val="TableNormal"/>
    <w:tblPr>
      <w:tblStyleRowBandSize w:val="1"/>
      <w:tblStyleColBandSize w:val="1"/>
      <w:tblCellMar>
        <w:top w:w="120.0" w:type="dxa"/>
        <w:left w:w="160.0" w:type="dxa"/>
        <w:bottom w:w="120.0" w:type="dxa"/>
        <w:right w:w="160.0" w:type="dxa"/>
      </w:tblCellMar>
    </w:tblPr>
    <w:tcPr>
      <w:shd w:fill="ffffff" w:val="clear"/>
      <w:vAlign w:val="center"/>
    </w:tcPr>
    <w:tblStylePr w:type="firstRow">
      <w:rPr>
        <w:rFonts w:ascii="Inter" w:cs="Inter" w:eastAsia="Inter" w:hAnsi="Inter"/>
        <w:b w:val="1"/>
        <w:bCs w:val="1"/>
        <w:i w:val="0"/>
        <w:iCs w:val="0"/>
        <w:color w:val="1e293b"/>
        <w:sz w:val="20"/>
        <w:szCs w:val="20"/>
      </w:rPr>
      <w:tcPr>
        <w:shd w:fill="f8fafc" w:val="clear"/>
        <w:vAlign w:val="center"/>
      </w:tcPr>
    </w:tblStylePr>
  </w:style>
  <w:style w:type="table" w:styleId="Table3">
    <w:basedOn w:val="TableNormal"/>
    <w:tblPr>
      <w:tblStyleRowBandSize w:val="1"/>
      <w:tblStyleColBandSize w:val="1"/>
      <w:tblCellMar>
        <w:top w:w="120.0" w:type="dxa"/>
        <w:left w:w="160.0" w:type="dxa"/>
        <w:bottom w:w="120.0" w:type="dxa"/>
        <w:right w:w="160.0" w:type="dxa"/>
      </w:tblCellMar>
    </w:tblPr>
    <w:tcPr>
      <w:shd w:fill="ffffff" w:val="clear"/>
      <w:vAlign w:val="center"/>
    </w:tcPr>
    <w:tblStylePr w:type="firstRow">
      <w:rPr>
        <w:rFonts w:ascii="Inter" w:cs="Inter" w:eastAsia="Inter" w:hAnsi="Inter"/>
        <w:b w:val="1"/>
        <w:bCs w:val="1"/>
        <w:i w:val="0"/>
        <w:iCs w:val="0"/>
        <w:color w:val="1e293b"/>
        <w:sz w:val="20"/>
        <w:szCs w:val="20"/>
      </w:rPr>
      <w:tcPr>
        <w:shd w:fill="f8fafc" w:val="clear"/>
        <w:vAlign w:val="center"/>
      </w:tcPr>
    </w:tblStyle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Inter-regular.ttf"/><Relationship Id="rId2" Type="http://schemas.openxmlformats.org/officeDocument/2006/relationships/font" Target="fonts/Inter-bold.ttf"/><Relationship Id="rId3" Type="http://schemas.openxmlformats.org/officeDocument/2006/relationships/font" Target="fonts/Inter-italic.ttf"/><Relationship Id="rId4" Type="http://schemas.openxmlformats.org/officeDocument/2006/relationships/font" Target="fonts/Inter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