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i6h951haw1jk" w:id="0"/>
      <w:bookmarkEnd w:id="0"/>
      <w:r w:rsidDel="00000000" w:rsidR="00000000" w:rsidRPr="00000000">
        <w:rPr>
          <w:rtl w:val="0"/>
        </w:rPr>
        <w:t xml:space="preserve">Plan de Pruebas Inicial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sito26ea7r8" w:id="1"/>
      <w:bookmarkEnd w:id="1"/>
      <w:r w:rsidDel="00000000" w:rsidR="00000000" w:rsidRPr="00000000">
        <w:rPr>
          <w:rtl w:val="0"/>
        </w:rPr>
        <w:t xml:space="preserve">Proyecto TTDH Automation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3bnfa9quautf" w:id="2"/>
      <w:bookmarkEnd w:id="2"/>
      <w:r w:rsidDel="00000000" w:rsidR="00000000" w:rsidRPr="00000000">
        <w:rPr>
          <w:rtl w:val="0"/>
        </w:rPr>
        <w:t xml:space="preserve">1. Objetivo del Plan de Pruebas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objetivo principal de este Plan de Pruebas Inicial es establecer un marco estructurado para verificar y validar la calidad, funcionalidad e integridad de la solución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Específicamente, este plan busca garantizar que el sistema: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Procese de manera precisa, automatizada e íntegra las fuentes de datos provenientes de la </w:t>
      </w:r>
      <w:r w:rsidDel="00000000" w:rsidR="00000000" w:rsidRPr="00000000">
        <w:rPr>
          <w:b w:val="1"/>
          <w:bCs w:val="1"/>
          <w:rtl w:val="0"/>
        </w:rPr>
        <w:t xml:space="preserve">Tesorería General de la República (TGR)</w:t>
      </w:r>
      <w:r w:rsidDel="00000000" w:rsidR="00000000" w:rsidRPr="00000000">
        <w:rPr>
          <w:rtl w:val="0"/>
        </w:rPr>
        <w:t xml:space="preserve"> y del </w:t>
      </w:r>
      <w:r w:rsidDel="00000000" w:rsidR="00000000" w:rsidRPr="00000000">
        <w:rPr>
          <w:b w:val="1"/>
          <w:bCs w:val="1"/>
          <w:rtl w:val="0"/>
        </w:rPr>
        <w:t xml:space="preserve">Banco Genérico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Ejecute correctamente las transformaciones ETL (Extracción, Transformación y Carga) y las reglas de negocio asociadas a la conciliación financiera.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Minimice los errores de discrepancia de datos antes del despliegue en entornos productivos.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qqpigbz39pf0" w:id="3"/>
      <w:bookmarkEnd w:id="3"/>
      <w:r w:rsidDel="00000000" w:rsidR="00000000" w:rsidRPr="00000000">
        <w:rPr>
          <w:rtl w:val="0"/>
        </w:rPr>
        <w:t xml:space="preserve">2. Alcance de las Pruebas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El alcance de este proceso de evaluación abarca los componentes clave de la arquitectura del proyecto: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Procesos ETL y Reglas de Validación:</w:t>
      </w:r>
      <w:r w:rsidDel="00000000" w:rsidR="00000000" w:rsidRPr="00000000">
        <w:rPr>
          <w:rtl w:val="0"/>
        </w:rPr>
        <w:t xml:space="preserve"> Ingesta de archivos, limpieza, parseo de datos y transformación de estructuras heterogéneas desde TGR y Banco Genérico hacia el modelo de datos unificado.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Componente de Inteligencia Artificial:</w:t>
      </w:r>
      <w:r w:rsidDel="00000000" w:rsidR="00000000" w:rsidRPr="00000000">
        <w:rPr>
          <w:rtl w:val="0"/>
        </w:rPr>
        <w:t xml:space="preserve"> Verificación de la precisión del modelo en la clasificación, detección de anomalias y sugerencias de conciliación automática.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Interfaz de Usuario (UI) y Dashboard:</w:t>
      </w:r>
      <w:r w:rsidDel="00000000" w:rsidR="00000000" w:rsidRPr="00000000">
        <w:rPr>
          <w:rtl w:val="0"/>
        </w:rPr>
        <w:t xml:space="preserve"> Pruebas de usabilidad, navegación, visualización de métricas en tiempo real y componentes interactivos para los analistas financieros.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Reportes:</w:t>
      </w:r>
      <w:r w:rsidDel="00000000" w:rsidR="00000000" w:rsidRPr="00000000">
        <w:rPr>
          <w:rtl w:val="0"/>
        </w:rPr>
        <w:t xml:space="preserve"> Generación correcta de informes consolidado, exportación en formatos requeridos (PDF, Excel, CSV) y consistencia numérica en los resúmenes ejecutivos.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ysgx2pdxrr79" w:id="4"/>
      <w:bookmarkEnd w:id="4"/>
      <w:r w:rsidDel="00000000" w:rsidR="00000000" w:rsidRPr="00000000">
        <w:rPr>
          <w:rtl w:val="0"/>
        </w:rPr>
        <w:t xml:space="preserve">3. Estrategia y Tipos de Pruebas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Se implementará un enfoque de pruebas en capas para asegurar la cobertura integral de la solución:</w:t>
      </w:r>
    </w:p>
    <w:p w:rsidR="00000000" w:rsidDel="00000000" w:rsidP="00000000" w:rsidRDefault="00000000" w:rsidRPr="00000000" w14:paraId="00000018">
      <w:pPr>
        <w:pStyle w:val="Heading3"/>
        <w:rPr/>
      </w:pPr>
      <w:bookmarkStart w:colFirst="0" w:colLast="0" w:name="_3k6c5nbssdfi" w:id="5"/>
      <w:bookmarkEnd w:id="5"/>
      <w:r w:rsidDel="00000000" w:rsidR="00000000" w:rsidRPr="00000000">
        <w:rPr>
          <w:rtl w:val="0"/>
        </w:rPr>
        <w:t xml:space="preserve">Pruebas Unitarias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Foco en la validación aislada de scripts backend y procedimientos de base de datos: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Validar la ejecución correcta de scripts de extracción para fuentes TGR y Banco Genérico.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Verificar las funciones de transformación de tipos de datos, fechas y montos monetarios.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Probar los constraints, disparadores (triggers) y reglas de integridad en la base de datos PostgreSQL/MySQL.</w:t>
      </w:r>
    </w:p>
    <w:p w:rsidR="00000000" w:rsidDel="00000000" w:rsidP="00000000" w:rsidRDefault="00000000" w:rsidRPr="00000000" w14:paraId="0000001E">
      <w:pPr>
        <w:pStyle w:val="Heading3"/>
        <w:rPr/>
      </w:pPr>
      <w:bookmarkStart w:colFirst="0" w:colLast="0" w:name="_gib3mzhj99qq" w:id="6"/>
      <w:bookmarkEnd w:id="6"/>
      <w:r w:rsidDel="00000000" w:rsidR="00000000" w:rsidRPr="00000000">
        <w:rPr>
          <w:rtl w:val="0"/>
        </w:rPr>
        <w:t xml:space="preserve">Pruebas de Integración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Foco en la conectividad y flujo continuo de información entre capas: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Validar el intercambio de datos entre los scripts ETL (backend) y la base de datos relacional.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Verificar la comunicación mediante API REST entre el servidor backend y la interfaz web frontend.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Evaluar la integración del motor de IA con la canalización de datos para la ingesta y respuesta de predicciones.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3bs3yo3nsdqe" w:id="7"/>
      <w:bookmarkEnd w:id="7"/>
      <w:r w:rsidDel="00000000" w:rsidR="00000000" w:rsidRPr="00000000">
        <w:rPr>
          <w:rtl w:val="0"/>
        </w:rPr>
        <w:t xml:space="preserve">Pruebas Funcionales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Foco en el cumplimiento estricto de los Requisitos Funcionales del proyecto (</w:t>
      </w:r>
      <w:r w:rsidDel="00000000" w:rsidR="00000000" w:rsidRPr="00000000">
        <w:rPr>
          <w:b w:val="1"/>
          <w:bCs w:val="1"/>
          <w:rtl w:val="0"/>
        </w:rPr>
        <w:t xml:space="preserve">RF01 a RF11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RF01 - Carga de Archivos TGR:</w:t>
      </w:r>
      <w:r w:rsidDel="00000000" w:rsidR="00000000" w:rsidRPr="00000000">
        <w:rPr>
          <w:rtl w:val="0"/>
        </w:rPr>
        <w:t xml:space="preserve"> Confirmar la ingesta correcta de archivos de pago TGR.</w:t>
      </w:r>
    </w:p>
    <w:p w:rsidR="00000000" w:rsidDel="00000000" w:rsidP="00000000" w:rsidRDefault="00000000" w:rsidRPr="00000000" w14:paraId="00000028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RF02 - Carga de Extractos Bancarios:</w:t>
      </w:r>
      <w:r w:rsidDel="00000000" w:rsidR="00000000" w:rsidRPr="00000000">
        <w:rPr>
          <w:rtl w:val="0"/>
        </w:rPr>
        <w:t xml:space="preserve"> Validar la carga de cartolas del Banco Genérico.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RF03 - Parseo Estructurado:</w:t>
      </w:r>
      <w:r w:rsidDel="00000000" w:rsidR="00000000" w:rsidRPr="00000000">
        <w:rPr>
          <w:rtl w:val="0"/>
        </w:rPr>
        <w:t xml:space="preserve"> Verificar la extracción automatizada de campos clave (RUT, fechas, folios, montos).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RF04 - Conciliación Automática:</w:t>
      </w:r>
      <w:r w:rsidDel="00000000" w:rsidR="00000000" w:rsidRPr="00000000">
        <w:rPr>
          <w:rtl w:val="0"/>
        </w:rPr>
        <w:t xml:space="preserve"> Validar el cruce 1:1 y 1:N entre registros TGR y banco.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RF05 - Algoritmo de Coincidencia por IA:</w:t>
      </w:r>
      <w:r w:rsidDel="00000000" w:rsidR="00000000" w:rsidRPr="00000000">
        <w:rPr>
          <w:rtl w:val="0"/>
        </w:rPr>
        <w:t xml:space="preserve"> Evaluar el porcentaje de precisión del motor de IA en conciliaciones dudosas.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RF06 - Gestión de Excepciones:</w:t>
      </w:r>
      <w:r w:rsidDel="00000000" w:rsidR="00000000" w:rsidRPr="00000000">
        <w:rPr>
          <w:rtl w:val="0"/>
        </w:rPr>
        <w:t xml:space="preserve"> Verificar la marcación de inconsistencias y envío a bandeja de revisión manual.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RF07 - Panel de Control (Dashboard):</w:t>
      </w:r>
      <w:r w:rsidDel="00000000" w:rsidR="00000000" w:rsidRPr="00000000">
        <w:rPr>
          <w:rtl w:val="0"/>
        </w:rPr>
        <w:t xml:space="preserve"> Confirmar la correcta actualización de los indicadores KPI de conciliación.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RF08 - Exportación de Reportes:</w:t>
      </w:r>
      <w:r w:rsidDel="00000000" w:rsidR="00000000" w:rsidRPr="00000000">
        <w:rPr>
          <w:rtl w:val="0"/>
        </w:rPr>
        <w:t xml:space="preserve"> Probar la descarga de reportes detallados y resúmenes ejecutivos.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RF09 - Trazabilidad y Auditoría:</w:t>
      </w:r>
      <w:r w:rsidDel="00000000" w:rsidR="00000000" w:rsidRPr="00000000">
        <w:rPr>
          <w:rtl w:val="0"/>
        </w:rPr>
        <w:t xml:space="preserve"> Validar el registro de bitácora (</w:t>
      </w:r>
      <w:r w:rsidDel="00000000" w:rsidR="00000000" w:rsidRPr="00000000">
        <w:rPr>
          <w:i w:val="1"/>
          <w:iCs w:val="1"/>
          <w:rtl w:val="0"/>
        </w:rPr>
        <w:t xml:space="preserve">logs</w:t>
      </w:r>
      <w:r w:rsidDel="00000000" w:rsidR="00000000" w:rsidRPr="00000000">
        <w:rPr>
          <w:rtl w:val="0"/>
        </w:rPr>
        <w:t xml:space="preserve">) para acciones de usuarios y cambios de estado.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RF10 - Gestión de Usuarios y Roles:</w:t>
      </w:r>
      <w:r w:rsidDel="00000000" w:rsidR="00000000" w:rsidRPr="00000000">
        <w:rPr>
          <w:rtl w:val="0"/>
        </w:rPr>
        <w:t xml:space="preserve"> Verificar los permisos de acceso según el perfil (Analista, Administrador).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RF11 - Notificaciones del Sistema:</w:t>
      </w:r>
      <w:r w:rsidDel="00000000" w:rsidR="00000000" w:rsidRPr="00000000">
        <w:rPr>
          <w:rtl w:val="0"/>
        </w:rPr>
        <w:t xml:space="preserve"> Validar alertas del sistema ante fallas de carga o discrepancias severas.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39fxp8h6hqqt" w:id="8"/>
      <w:bookmarkEnd w:id="8"/>
      <w:r w:rsidDel="00000000" w:rsidR="00000000" w:rsidRPr="00000000">
        <w:rPr>
          <w:rtl w:val="0"/>
        </w:rPr>
        <w:t xml:space="preserve">4. Entorno de Pruebas y Datos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 acuerdo con la matriz de riesgos del proyecto y para asegurar la continuidad de las pruebas sin depender tempranamente de accesos directos a sistemas de producción: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Estrategia de Datos:</w:t>
      </w:r>
      <w:r w:rsidDel="00000000" w:rsidR="00000000" w:rsidRPr="00000000">
        <w:rPr>
          <w:rtl w:val="0"/>
        </w:rPr>
        <w:t xml:space="preserve"> Se utilizarán datos simulados (</w:t>
      </w:r>
      <w:r w:rsidDel="00000000" w:rsidR="00000000" w:rsidRPr="00000000">
        <w:rPr>
          <w:i w:val="1"/>
          <w:iCs w:val="1"/>
          <w:rtl w:val="0"/>
        </w:rPr>
        <w:t xml:space="preserve">mock data</w:t>
      </w:r>
      <w:r w:rsidDel="00000000" w:rsidR="00000000" w:rsidRPr="00000000">
        <w:rPr>
          <w:rtl w:val="0"/>
        </w:rPr>
        <w:t xml:space="preserve">) y sintéticos estructurados que repliquen fielmente las especificaciones de formato, volumen y casos de borde (</w:t>
      </w:r>
      <w:r w:rsidDel="00000000" w:rsidR="00000000" w:rsidRPr="00000000">
        <w:rPr>
          <w:i w:val="1"/>
          <w:iCs w:val="1"/>
          <w:rtl w:val="0"/>
        </w:rPr>
        <w:t xml:space="preserve">edge cases</w:t>
      </w:r>
      <w:r w:rsidDel="00000000" w:rsidR="00000000" w:rsidRPr="00000000">
        <w:rPr>
          <w:rtl w:val="0"/>
        </w:rPr>
        <w:t xml:space="preserve">) de la TGR y el Banco Genérico.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Infraestructura:</w:t>
      </w:r>
      <w:r w:rsidDel="00000000" w:rsidR="00000000" w:rsidRPr="00000000">
        <w:rPr>
          <w:rtl w:val="0"/>
        </w:rPr>
        <w:t xml:space="preserve"> Entorno de staging o desarrollo aislado del entorno de producción para prevenir alteración de registros reales.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Elemento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Descripción del Entorno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Instancia de prueba aislada con esquemas idénticos a producción.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Backend / ETL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Servidor de pruebas ejecutando entornos virtuales con datos 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mock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Despliegue en ambiente local o dev para ejecución de pruebas UI.</w:t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9gn2ut7bumcn" w:id="9"/>
      <w:bookmarkEnd w:id="9"/>
      <w:r w:rsidDel="00000000" w:rsidR="00000000" w:rsidRPr="00000000">
        <w:rPr>
          <w:rtl w:val="0"/>
        </w:rPr>
        <w:t xml:space="preserve">5. Criterios de Aceptación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Para dar por finalizada la fase de pruebas iniciales y autorizar el avance hacia el despliegue, la solución debe cumplir estrictamente con los siguientes criterios: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Errores Críticos:</w:t>
      </w:r>
      <w:r w:rsidDel="00000000" w:rsidR="00000000" w:rsidRPr="00000000">
        <w:rPr>
          <w:rtl w:val="0"/>
        </w:rPr>
        <w:t xml:space="preserve"> 0 errores de severidad alta o crítica (fallos en la base de datos, pérdida de datos monetarios o caídas del sistema).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Cobertura de Requisitos:</w:t>
      </w:r>
      <w:r w:rsidDel="00000000" w:rsidR="00000000" w:rsidRPr="00000000">
        <w:rPr>
          <w:rtl w:val="0"/>
        </w:rPr>
        <w:t xml:space="preserve"> 100% de cumplimiento funcional verificado para los requisitos </w:t>
      </w:r>
      <w:r w:rsidDel="00000000" w:rsidR="00000000" w:rsidRPr="00000000">
        <w:rPr>
          <w:b w:val="1"/>
          <w:bCs w:val="1"/>
          <w:rtl w:val="0"/>
        </w:rPr>
        <w:t xml:space="preserve">RF01 a RF11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Integración Exitosa:</w:t>
      </w:r>
      <w:r w:rsidDel="00000000" w:rsidR="00000000" w:rsidRPr="00000000">
        <w:rPr>
          <w:rtl w:val="0"/>
        </w:rPr>
        <w:t xml:space="preserve"> Flujo continuo verificado desde la ingesta de archivos simulados hasta la actualización del Dashboard y generación de reportes.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Precisión de Conciliación:</w:t>
      </w:r>
      <w:r w:rsidDel="00000000" w:rsidR="00000000" w:rsidRPr="00000000">
        <w:rPr>
          <w:rtl w:val="0"/>
        </w:rPr>
        <w:t xml:space="preserve"> Coincidencia exacta esperada en al menos un 95% de los casos de prueba automatizados con datos sintéticos.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rPr/>
      </w:pPr>
      <w:bookmarkStart w:colFirst="0" w:colLast="0" w:name="_ntoj2fe5tst5" w:id="10"/>
      <w:bookmarkEnd w:id="10"/>
      <w:r w:rsidDel="00000000" w:rsidR="00000000" w:rsidRPr="00000000">
        <w:rPr>
          <w:rtl w:val="0"/>
        </w:rPr>
        <w:t xml:space="preserve">6. Responsables de Pruebas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El liderazgo, supervisión y ejecución del plan de pruebas está bajo la responsabilidad directa del rol asignado: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Responsable Principal de Pruebas:</w:t>
      </w:r>
      <w:r w:rsidDel="00000000" w:rsidR="00000000" w:rsidRPr="00000000">
        <w:rPr>
          <w:rtl w:val="0"/>
        </w:rPr>
        <w:t xml:space="preserve"> Héctor Sanhueza Castro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Rol:</w:t>
      </w:r>
      <w:r w:rsidDel="00000000" w:rsidR="00000000" w:rsidRPr="00000000">
        <w:rPr>
          <w:rtl w:val="0"/>
        </w:rPr>
        <w:t xml:space="preserve"> Lead QA / Responsable de Calidad de Software</w:t>
      </w:r>
    </w:p>
    <w:p w:rsidR="00000000" w:rsidDel="00000000" w:rsidP="00000000" w:rsidRDefault="00000000" w:rsidRPr="00000000" w14:paraId="00000052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Firma / Aprobación: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Person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Fecha de Revisión: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4"/>
        <w:szCs w:val="24"/>
        <w:lang w:val="es_419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Inter" w:cs="Inter" w:eastAsia="Inter" w:hAnsi="Inter"/>
      <w:b w:val="1"/>
      <w:bCs w:val="1"/>
      <w:i w:val="0"/>
      <w:iCs w:val="0"/>
      <w:color w:val="1e293b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Inter" w:cs="Inter" w:eastAsia="Inter" w:hAnsi="Inter"/>
      <w:b w:val="1"/>
      <w:bCs w:val="1"/>
      <w:i w:val="0"/>
      <w:iCs w:val="0"/>
      <w:color w:val="33415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Inter" w:cs="Inter" w:eastAsia="Inter" w:hAnsi="Inter"/>
      <w:b w:val="1"/>
      <w:bCs w:val="1"/>
      <w:i w:val="0"/>
      <w:iCs w:val="0"/>
      <w:color w:val="475569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2"/>
        <w:szCs w:val="22"/>
      </w:rPr>
      <w:tcPr>
        <w:shd w:fill="f8fafc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