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4"/>
          <w:szCs w:val="44"/>
        </w:rPr>
        <w:t xml:space="preserve">Actas de Reuniones de Seguimiento</w:t>
      </w:r>
    </w:p>
    <w:p>
      <w:pPr>
        <w:spacing w:after="200"/>
      </w:pPr>
      <w:r>
        <w:rPr>
          <w:rFonts w:ascii="Arial" w:cs="Arial" w:eastAsia="Arial" w:hAnsi="Arial"/>
          <w:b/>
          <w:bCs/>
          <w:color w:val="595959"/>
          <w:sz w:val="28"/>
          <w:szCs w:val="28"/>
        </w:rPr>
        <w:t xml:space="preserve">Proyecto: TTDH Automation</w:t>
      </w:r>
    </w:p>
    <w:p>
      <w:pPr>
        <w:spacing w:after="100" w:before="0" w:line="276"/>
        <w:jc w:val="left"/>
      </w:pPr>
      <w:r>
        <w:rPr>
          <w:rFonts w:ascii="Arial" w:cs="Arial" w:eastAsia="Arial" w:hAnsi="Arial"/>
          <w:sz w:val="20"/>
          <w:szCs w:val="20"/>
        </w:rPr>
        <w:t xml:space="preserve">Este documento reúne las actas de las reuniones de seguimiento del equipo STARTAB (Ingeniería en Informática, Duoc UC, sede Padre Alonso de Ovalle). Cada acta registra los temas tratados, los acuerdos y las tareas comprometidas, con su responsable, plazo y estado.</w:t>
      </w:r>
    </w:p>
    <w:p>
      <w:pPr>
        <w:spacing w:after="100" w:before="0" w:line="276"/>
        <w:jc w:val="left"/>
      </w:pPr>
      <w:r>
        <w:rPr>
          <w:rFonts w:ascii="Arial" w:cs="Arial" w:eastAsia="Arial" w:hAnsi="Arial"/>
          <w:i/>
          <w:iCs/>
          <w:color w:val="595959"/>
          <w:sz w:val="20"/>
          <w:szCs w:val="20"/>
        </w:rPr>
        <w:t xml:space="preserve">Las actas fueron formalizadas con posterioridad a cada reunión, a partir de los acuerdos del equipo y del registro de avances del repositorio GitHub del proyecto, que permite verificar el cumplimiento de cada tarea. En adelante, el acta se registrará al término de cada reunión, según lo acordado en la Guía 2.4.</w:t>
      </w:r>
    </w:p>
    <w:p>
      <w:pPr>
        <w:pStyle w:val="Heading1"/>
        <w:spacing w:after="120" w:before="240"/>
      </w:pPr>
      <w:r>
        <w:rPr>
          <w:rFonts w:ascii="Arial" w:cs="Arial" w:eastAsia="Arial" w:hAnsi="Arial"/>
          <w:b/>
          <w:bCs/>
          <w:color w:val="1F3864"/>
          <w:sz w:val="30"/>
          <w:szCs w:val="30"/>
        </w:rPr>
        <w:t xml:space="preserve">Resumen de reuniones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50"/>
        <w:gridCol w:w="2000"/>
        <w:gridCol w:w="4876"/>
      </w:tblGrid>
      <w:tr>
        <w:trPr>
          <w:tblHeader/>
        </w:trPr>
        <w:tc>
          <w:tcPr>
            <w:tcW w:type="dxa" w:w="7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N°</w:t>
            </w:r>
          </w:p>
        </w:tc>
        <w:tc>
          <w:tcPr>
            <w:tcW w:type="dxa" w:w="145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Fecha</w:t>
            </w:r>
          </w:p>
        </w:tc>
        <w:tc>
          <w:tcPr>
            <w:tcW w:type="dxa" w:w="20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Fase</w:t>
            </w:r>
          </w:p>
        </w:tc>
        <w:tc>
          <w:tcPr>
            <w:tcW w:type="dxa" w:w="4876"/>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Tema principal</w:t>
            </w:r>
          </w:p>
        </w:tc>
      </w:tr>
      <w:tr>
        <w:trPr>
          <w:cantSplit/>
        </w:trPr>
        <w:tc>
          <w:tcPr>
            <w:tcW w:type="dxa" w:w="7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1</w:t>
            </w:r>
          </w:p>
        </w:tc>
        <w:tc>
          <w:tcPr>
            <w:tcW w:type="dxa" w:w="145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27-08-2026</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Fase 1 – Definición</w:t>
            </w:r>
          </w:p>
        </w:tc>
        <w:tc>
          <w:tcPr>
            <w:tcW w:type="dxa" w:w="487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Inicio del proyecto y organización del equipo</w:t>
            </w:r>
          </w:p>
        </w:tc>
      </w:tr>
      <w:tr>
        <w:trPr>
          <w:cantSplit/>
        </w:trPr>
        <w:tc>
          <w:tcPr>
            <w:tcW w:type="dxa" w:w="7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2</w:t>
            </w:r>
          </w:p>
        </w:tc>
        <w:tc>
          <w:tcPr>
            <w:tcW w:type="dxa" w:w="145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02-09-2026</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Fase 1 – Definición</w:t>
            </w:r>
          </w:p>
        </w:tc>
        <w:tc>
          <w:tcPr>
            <w:tcW w:type="dxa" w:w="487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Definición del Proyecto APT (Guía 1.5)</w:t>
            </w:r>
          </w:p>
        </w:tc>
      </w:tr>
      <w:tr>
        <w:trPr>
          <w:cantSplit/>
        </w:trPr>
        <w:tc>
          <w:tcPr>
            <w:tcW w:type="dxa" w:w="7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3</w:t>
            </w:r>
          </w:p>
        </w:tc>
        <w:tc>
          <w:tcPr>
            <w:tcW w:type="dxa" w:w="145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09-09-2026</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Fase 1 – Definición</w:t>
            </w:r>
          </w:p>
        </w:tc>
        <w:tc>
          <w:tcPr>
            <w:tcW w:type="dxa" w:w="487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Revisión y cierre de la Fase 1</w:t>
            </w:r>
          </w:p>
        </w:tc>
      </w:tr>
      <w:tr>
        <w:trPr>
          <w:cantSplit/>
        </w:trPr>
        <w:tc>
          <w:tcPr>
            <w:tcW w:type="dxa" w:w="7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4</w:t>
            </w:r>
          </w:p>
        </w:tc>
        <w:tc>
          <w:tcPr>
            <w:tcW w:type="dxa" w:w="145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01-10-2026</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Fase 2 – Desarrollo</w:t>
            </w:r>
          </w:p>
        </w:tc>
        <w:tc>
          <w:tcPr>
            <w:tcW w:type="dxa" w:w="487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Inicio de la Fase 2: planificación y diseño</w:t>
            </w:r>
          </w:p>
        </w:tc>
      </w:tr>
      <w:tr>
        <w:trPr>
          <w:cantSplit/>
        </w:trPr>
        <w:tc>
          <w:tcPr>
            <w:tcW w:type="dxa" w:w="7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5</w:t>
            </w:r>
          </w:p>
        </w:tc>
        <w:tc>
          <w:tcPr>
            <w:tcW w:type="dxa" w:w="145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03-10-2026</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Fase 2 – Desarrollo</w:t>
            </w:r>
          </w:p>
        </w:tc>
        <w:tc>
          <w:tcPr>
            <w:tcW w:type="dxa" w:w="487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Control de cambios: recepción por correo y extracción OCR</w:t>
            </w:r>
          </w:p>
        </w:tc>
      </w:tr>
      <w:tr>
        <w:trPr>
          <w:cantSplit/>
        </w:trPr>
        <w:tc>
          <w:tcPr>
            <w:tcW w:type="dxa" w:w="7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6</w:t>
            </w:r>
          </w:p>
        </w:tc>
        <w:tc>
          <w:tcPr>
            <w:tcW w:type="dxa" w:w="145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08-10-2026</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Fase 2 – Desarrollo</w:t>
            </w:r>
          </w:p>
        </w:tc>
        <w:tc>
          <w:tcPr>
            <w:tcW w:type="dxa" w:w="487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Monitoreo de la Fase 2 y definición del stack tecnológico</w:t>
            </w:r>
          </w:p>
        </w:tc>
      </w:tr>
    </w:tbl>
    <w:p>
      <w:r>
        <w:br w:type="page"/>
      </w:r>
    </w:p>
    <w:p>
      <w:pPr>
        <w:pStyle w:val="Heading1"/>
        <w:spacing w:after="120" w:before="240"/>
      </w:pPr>
      <w:r>
        <w:rPr>
          <w:rFonts w:ascii="Arial" w:cs="Arial" w:eastAsia="Arial" w:hAnsi="Arial"/>
          <w:b/>
          <w:bCs/>
          <w:color w:val="1F3864"/>
          <w:sz w:val="30"/>
          <w:szCs w:val="30"/>
        </w:rPr>
        <w:t xml:space="preserve">Acta N° 1: Inicio del proyecto y organización del equipo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Fecha</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27-08-2026</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Fase del proyecto</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Fase 1 – Definición</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Modalidad</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Virtual</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Asistentes</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María Trinidad Gaete Mella, Tomas Catalán Madariaga, David Muñoz Bravo y Héctor Sanhueza Castro</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Objetivo</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Organizar el trabajo del equipo STARTAB para la asignatura Capstone y preparar las herramientas de trabajo colaborativo.</w:t>
            </w:r>
          </w:p>
        </w:tc>
      </w:tr>
    </w:tbl>
    <w:p>
      <w:pPr>
        <w:pStyle w:val="Heading2"/>
        <w:spacing w:after="120" w:before="200"/>
      </w:pPr>
      <w:r>
        <w:rPr>
          <w:rFonts w:ascii="Arial" w:cs="Arial" w:eastAsia="Arial" w:hAnsi="Arial"/>
          <w:b/>
          <w:bCs/>
          <w:color w:val="1F3864"/>
          <w:sz w:val="24"/>
          <w:szCs w:val="24"/>
        </w:rPr>
        <w:t xml:space="preserve">Temas tratados</w:t>
      </w:r>
    </w:p>
    <w:p>
      <w:pPr>
        <w:pStyle w:val="ListParagraph"/>
        <w:numPr>
          <w:ilvl w:val="0"/>
          <w:numId w:val="2"/>
        </w:numPr>
        <w:spacing w:after="60" w:line="276"/>
      </w:pPr>
      <w:r>
        <w:rPr>
          <w:rFonts w:ascii="Arial" w:cs="Arial" w:eastAsia="Arial" w:hAnsi="Arial"/>
          <w:sz w:val="20"/>
          <w:szCs w:val="20"/>
        </w:rPr>
        <w:t xml:space="preserve">Conformación del equipo STARTAB y revisión de las evidencias exigidas en la Fase 1: individuales (1.1 Autoevaluación de competencias, 1.2 Diario de reflexión y 1.3 Autoevaluación) y grupales (1.4 Formativa y 1.5 Guía del estudiante).</w:t>
      </w:r>
    </w:p>
    <w:p>
      <w:pPr>
        <w:pStyle w:val="ListParagraph"/>
        <w:numPr>
          <w:ilvl w:val="0"/>
          <w:numId w:val="2"/>
        </w:numPr>
        <w:spacing w:after="60" w:line="276"/>
      </w:pPr>
      <w:r>
        <w:rPr>
          <w:rFonts w:ascii="Arial" w:cs="Arial" w:eastAsia="Arial" w:hAnsi="Arial"/>
          <w:sz w:val="20"/>
          <w:szCs w:val="20"/>
        </w:rPr>
        <w:t xml:space="preserve">Revisión inicial de la problemática a abordar: el procesamiento manual de los registros de deudores enviados por la Tesorería General de la República (TGR) y su cruce con la información de Banco Genérico.</w:t>
      </w:r>
    </w:p>
    <w:p>
      <w:pPr>
        <w:pStyle w:val="ListParagraph"/>
        <w:numPr>
          <w:ilvl w:val="0"/>
          <w:numId w:val="2"/>
        </w:numPr>
        <w:spacing w:after="60" w:line="276"/>
      </w:pPr>
      <w:r>
        <w:rPr>
          <w:rFonts w:ascii="Arial" w:cs="Arial" w:eastAsia="Arial" w:hAnsi="Arial"/>
          <w:sz w:val="20"/>
          <w:szCs w:val="20"/>
        </w:rPr>
        <w:t xml:space="preserve">Creación del repositorio del proyecto en GitHub y de su estructura de carpetas por fase y tipo de evidencia.</w:t>
      </w:r>
    </w:p>
    <w:p>
      <w:pPr>
        <w:pStyle w:val="Heading2"/>
        <w:spacing w:after="120" w:before="200"/>
      </w:pPr>
      <w:r>
        <w:rPr>
          <w:rFonts w:ascii="Arial" w:cs="Arial" w:eastAsia="Arial" w:hAnsi="Arial"/>
          <w:b/>
          <w:bCs/>
          <w:color w:val="1F3864"/>
          <w:sz w:val="24"/>
          <w:szCs w:val="24"/>
        </w:rPr>
        <w:t xml:space="preserve">Acuerdos</w:t>
      </w:r>
    </w:p>
    <w:p>
      <w:pPr>
        <w:pStyle w:val="ListParagraph"/>
        <w:numPr>
          <w:ilvl w:val="0"/>
          <w:numId w:val="2"/>
        </w:numPr>
        <w:spacing w:after="60" w:line="276"/>
      </w:pPr>
      <w:r>
        <w:rPr>
          <w:rFonts w:ascii="Arial" w:cs="Arial" w:eastAsia="Arial" w:hAnsi="Arial"/>
          <w:sz w:val="20"/>
          <w:szCs w:val="20"/>
        </w:rPr>
        <w:t xml:space="preserve">Utilizar el repositorio GitHub JS-Ranker/CAPSTONE como espacio central para todas las evidencias del proyecto.</w:t>
      </w:r>
    </w:p>
    <w:p>
      <w:pPr>
        <w:pStyle w:val="ListParagraph"/>
        <w:numPr>
          <w:ilvl w:val="0"/>
          <w:numId w:val="2"/>
        </w:numPr>
        <w:spacing w:after="60" w:line="276"/>
      </w:pPr>
      <w:r>
        <w:rPr>
          <w:rFonts w:ascii="Arial" w:cs="Arial" w:eastAsia="Arial" w:hAnsi="Arial"/>
          <w:sz w:val="20"/>
          <w:szCs w:val="20"/>
        </w:rPr>
        <w:t xml:space="preserve">Organizar el repositorio en las carpetas Fase 1, Fase 2 y Fase 3, cada una con Evidencias Individuales y Evidencias Grupales.</w:t>
      </w:r>
    </w:p>
    <w:p>
      <w:pPr>
        <w:pStyle w:val="ListParagraph"/>
        <w:numPr>
          <w:ilvl w:val="0"/>
          <w:numId w:val="2"/>
        </w:numPr>
        <w:spacing w:after="60" w:line="276"/>
      </w:pPr>
      <w:r>
        <w:rPr>
          <w:rFonts w:ascii="Arial" w:cs="Arial" w:eastAsia="Arial" w:hAnsi="Arial"/>
          <w:sz w:val="20"/>
          <w:szCs w:val="20"/>
        </w:rPr>
        <w:t xml:space="preserve">Nombrar las evidencias individuales con el formato Apellido_Nombre_código_APT122_NombreEvidencia.</w:t>
      </w:r>
    </w:p>
    <w:p>
      <w:pPr>
        <w:pStyle w:val="ListParagraph"/>
        <w:numPr>
          <w:ilvl w:val="0"/>
          <w:numId w:val="2"/>
        </w:numPr>
        <w:spacing w:after="60" w:line="276"/>
      </w:pPr>
      <w:r>
        <w:rPr>
          <w:rFonts w:ascii="Arial" w:cs="Arial" w:eastAsia="Arial" w:hAnsi="Arial"/>
          <w:sz w:val="20"/>
          <w:szCs w:val="20"/>
        </w:rPr>
        <w:t xml:space="preserve">María Trinidad Gaete coordinará la elaboración de la Guía 1.5 del equipo.</w:t>
      </w:r>
    </w:p>
    <w:p>
      <w:pPr>
        <w:pStyle w:val="Heading2"/>
        <w:spacing w:after="120" w:before="200"/>
      </w:pPr>
      <w:r>
        <w:rPr>
          <w:rFonts w:ascii="Arial" w:cs="Arial" w:eastAsia="Arial" w:hAnsi="Arial"/>
          <w:b/>
          <w:bCs/>
          <w:color w:val="1F3864"/>
          <w:sz w:val="24"/>
          <w:szCs w:val="24"/>
        </w:rPr>
        <w:t xml:space="preserve">Tareas y compromisos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200"/>
        <w:gridCol w:w="1500"/>
        <w:gridCol w:w="1100"/>
      </w:tblGrid>
      <w:tr>
        <w:trPr>
          <w:tblHeader/>
        </w:trPr>
        <w:tc>
          <w:tcPr>
            <w:tcW w:type="dxa" w:w="4226"/>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Tarea</w:t>
            </w:r>
          </w:p>
        </w:tc>
        <w:tc>
          <w:tcPr>
            <w:tcW w:type="dxa" w:w="22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Responsable</w:t>
            </w:r>
          </w:p>
        </w:tc>
        <w:tc>
          <w:tcPr>
            <w:tcW w:type="dxa" w:w="15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Plazo</w:t>
            </w:r>
          </w:p>
        </w:tc>
        <w:tc>
          <w:tcPr>
            <w:tcW w:type="dxa" w:w="11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Estado</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Crear el repositorio y la estructura de carpetas</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Todos</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27-08-2026</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Cumplida</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Elaborar el Diario de reflexión 1.2</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Cada integrante</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03-09-2026</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Cumplida</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Preparar el documento base de la Guía 1.5</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María Trinidad Gaete</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02-09-2026</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Cumplida</w:t>
            </w:r>
          </w:p>
        </w:tc>
      </w:tr>
    </w:tbl>
    <w:p>
      <w:r>
        <w:br w:type="page"/>
      </w:r>
    </w:p>
    <w:p>
      <w:pPr>
        <w:pStyle w:val="Heading1"/>
        <w:spacing w:after="120" w:before="240"/>
      </w:pPr>
      <w:r>
        <w:rPr>
          <w:rFonts w:ascii="Arial" w:cs="Arial" w:eastAsia="Arial" w:hAnsi="Arial"/>
          <w:b/>
          <w:bCs/>
          <w:color w:val="1F3864"/>
          <w:sz w:val="30"/>
          <w:szCs w:val="30"/>
        </w:rPr>
        <w:t xml:space="preserve">Acta N° 2: Definición del Proyecto APT (Guía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Fecha</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02-09-2026</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Fase del proyecto</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Fase 1 – Definición</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Modalidad</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Virtual</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Asistentes</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María Trinidad Gaete Mella, Tomas Catalán Madariaga, David Muñoz Bravo y Héctor Sanhueza Castro</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Objetivo</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Definir de forma conjunta el contenido de la Guía 1.5 y preparar la evaluación formativa 1.4 y la presentación del proyecto.</w:t>
            </w:r>
          </w:p>
        </w:tc>
      </w:tr>
    </w:tbl>
    <w:p>
      <w:pPr>
        <w:pStyle w:val="Heading2"/>
        <w:spacing w:after="120" w:before="200"/>
      </w:pPr>
      <w:r>
        <w:rPr>
          <w:rFonts w:ascii="Arial" w:cs="Arial" w:eastAsia="Arial" w:hAnsi="Arial"/>
          <w:b/>
          <w:bCs/>
          <w:color w:val="1F3864"/>
          <w:sz w:val="24"/>
          <w:szCs w:val="24"/>
        </w:rPr>
        <w:t xml:space="preserve">Temas tratados</w:t>
      </w:r>
    </w:p>
    <w:p>
      <w:pPr>
        <w:pStyle w:val="ListParagraph"/>
        <w:numPr>
          <w:ilvl w:val="0"/>
          <w:numId w:val="2"/>
        </w:numPr>
        <w:spacing w:after="60" w:line="276"/>
      </w:pPr>
      <w:r>
        <w:rPr>
          <w:rFonts w:ascii="Arial" w:cs="Arial" w:eastAsia="Arial" w:hAnsi="Arial"/>
          <w:sz w:val="20"/>
          <w:szCs w:val="20"/>
        </w:rPr>
        <w:t xml:space="preserve">Descripción y fundamentación del proyecto: relevancia, pertinencia con el perfil de egreso, relación con los intereses profesionales y factibilidad.</w:t>
      </w:r>
    </w:p>
    <w:p>
      <w:pPr>
        <w:pStyle w:val="ListParagraph"/>
        <w:numPr>
          <w:ilvl w:val="0"/>
          <w:numId w:val="2"/>
        </w:numPr>
        <w:spacing w:after="60" w:line="276"/>
      </w:pPr>
      <w:r>
        <w:rPr>
          <w:rFonts w:ascii="Arial" w:cs="Arial" w:eastAsia="Arial" w:hAnsi="Arial"/>
          <w:sz w:val="20"/>
          <w:szCs w:val="20"/>
        </w:rPr>
        <w:t xml:space="preserve">Objetivo general, objetivos específicos y requerimientos funcionales de la solución.</w:t>
      </w:r>
    </w:p>
    <w:p>
      <w:pPr>
        <w:pStyle w:val="ListParagraph"/>
        <w:numPr>
          <w:ilvl w:val="0"/>
          <w:numId w:val="2"/>
        </w:numPr>
        <w:spacing w:after="60" w:line="276"/>
      </w:pPr>
      <w:r>
        <w:rPr>
          <w:rFonts w:ascii="Arial" w:cs="Arial" w:eastAsia="Arial" w:hAnsi="Arial"/>
          <w:sz w:val="20"/>
          <w:szCs w:val="20"/>
        </w:rPr>
        <w:t xml:space="preserve">Metodología de trabajo, evidencias de avance y finales, plan de trabajo y carta Gantt de 18 semanas.</w:t>
      </w:r>
    </w:p>
    <w:p>
      <w:pPr>
        <w:pStyle w:val="ListParagraph"/>
        <w:numPr>
          <w:ilvl w:val="0"/>
          <w:numId w:val="2"/>
        </w:numPr>
        <w:spacing w:after="60" w:line="276"/>
      </w:pPr>
      <w:r>
        <w:rPr>
          <w:rFonts w:ascii="Arial" w:cs="Arial" w:eastAsia="Arial" w:hAnsi="Arial"/>
          <w:sz w:val="20"/>
          <w:szCs w:val="20"/>
        </w:rPr>
        <w:t xml:space="preserve">Evaluación formativa 1.4 y presentación del proyecto.</w:t>
      </w:r>
    </w:p>
    <w:p>
      <w:pPr>
        <w:pStyle w:val="Heading2"/>
        <w:spacing w:after="120" w:before="200"/>
      </w:pPr>
      <w:r>
        <w:rPr>
          <w:rFonts w:ascii="Arial" w:cs="Arial" w:eastAsia="Arial" w:hAnsi="Arial"/>
          <w:b/>
          <w:bCs/>
          <w:color w:val="1F3864"/>
          <w:sz w:val="24"/>
          <w:szCs w:val="24"/>
        </w:rPr>
        <w:t xml:space="preserve">Acuerdos</w:t>
      </w:r>
    </w:p>
    <w:p>
      <w:pPr>
        <w:pStyle w:val="ListParagraph"/>
        <w:numPr>
          <w:ilvl w:val="0"/>
          <w:numId w:val="2"/>
        </w:numPr>
        <w:spacing w:after="60" w:line="276"/>
      </w:pPr>
      <w:r>
        <w:rPr>
          <w:rFonts w:ascii="Arial" w:cs="Arial" w:eastAsia="Arial" w:hAnsi="Arial"/>
          <w:sz w:val="20"/>
          <w:szCs w:val="20"/>
        </w:rPr>
        <w:t xml:space="preserve">Desarrollar el proyecto con metodología en cascada (requerimientos, diseño, desarrollo, pruebas, implementación y cierre).</w:t>
      </w:r>
    </w:p>
    <w:p>
      <w:pPr>
        <w:pStyle w:val="ListParagraph"/>
        <w:numPr>
          <w:ilvl w:val="0"/>
          <w:numId w:val="2"/>
        </w:numPr>
        <w:spacing w:after="60" w:line="276"/>
      </w:pPr>
      <w:r>
        <w:rPr>
          <w:rFonts w:ascii="Arial" w:cs="Arial" w:eastAsia="Arial" w:hAnsi="Arial"/>
          <w:sz w:val="20"/>
          <w:szCs w:val="20"/>
        </w:rPr>
        <w:t xml:space="preserve">Definir 11 requerimientos funcionales (RF01 a RF11) para la plataforma.</w:t>
      </w:r>
    </w:p>
    <w:p>
      <w:pPr>
        <w:pStyle w:val="ListParagraph"/>
        <w:numPr>
          <w:ilvl w:val="0"/>
          <w:numId w:val="2"/>
        </w:numPr>
        <w:spacing w:after="60" w:line="276"/>
      </w:pPr>
      <w:r>
        <w:rPr>
          <w:rFonts w:ascii="Arial" w:cs="Arial" w:eastAsia="Arial" w:hAnsi="Arial"/>
          <w:sz w:val="20"/>
          <w:szCs w:val="20"/>
        </w:rPr>
        <w:t xml:space="preserve">Distribuir los roles: María Trinidad Gaete (requerimientos, documentación y coordinación), Tomas Catalán (bases de datos y ETL), David Muñoz (aplicación, validaciones, reglas de negocio y reportes) y Héctor Sanhueza (componente de IA, pruebas e integración).</w:t>
      </w:r>
    </w:p>
    <w:p>
      <w:pPr>
        <w:pStyle w:val="ListParagraph"/>
        <w:numPr>
          <w:ilvl w:val="0"/>
          <w:numId w:val="2"/>
        </w:numPr>
        <w:spacing w:after="60" w:line="276"/>
      </w:pPr>
      <w:r>
        <w:rPr>
          <w:rFonts w:ascii="Arial" w:cs="Arial" w:eastAsia="Arial" w:hAnsi="Arial"/>
          <w:sz w:val="20"/>
          <w:szCs w:val="20"/>
        </w:rPr>
        <w:t xml:space="preserve">Nombrar el proyecto "TTDH Automation".</w:t>
      </w:r>
    </w:p>
    <w:p>
      <w:pPr>
        <w:pStyle w:val="ListParagraph"/>
        <w:numPr>
          <w:ilvl w:val="0"/>
          <w:numId w:val="2"/>
        </w:numPr>
        <w:spacing w:after="60" w:line="276"/>
      </w:pPr>
      <w:r>
        <w:rPr>
          <w:rFonts w:ascii="Arial" w:cs="Arial" w:eastAsia="Arial" w:hAnsi="Arial"/>
          <w:sz w:val="20"/>
          <w:szCs w:val="20"/>
        </w:rPr>
        <w:t xml:space="preserve">Utilizar datos de prueba o simulados para reducir el riesgo de no contar con datos reales.</w:t>
      </w:r>
    </w:p>
    <w:p>
      <w:pPr>
        <w:pStyle w:val="Heading2"/>
        <w:spacing w:after="120" w:before="200"/>
      </w:pPr>
      <w:r>
        <w:rPr>
          <w:rFonts w:ascii="Arial" w:cs="Arial" w:eastAsia="Arial" w:hAnsi="Arial"/>
          <w:b/>
          <w:bCs/>
          <w:color w:val="1F3864"/>
          <w:sz w:val="24"/>
          <w:szCs w:val="24"/>
        </w:rPr>
        <w:t xml:space="preserve">Tareas y compromisos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200"/>
        <w:gridCol w:w="1500"/>
        <w:gridCol w:w="1100"/>
      </w:tblGrid>
      <w:tr>
        <w:trPr>
          <w:tblHeader/>
        </w:trPr>
        <w:tc>
          <w:tcPr>
            <w:tcW w:type="dxa" w:w="4226"/>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Tarea</w:t>
            </w:r>
          </w:p>
        </w:tc>
        <w:tc>
          <w:tcPr>
            <w:tcW w:type="dxa" w:w="22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Responsable</w:t>
            </w:r>
          </w:p>
        </w:tc>
        <w:tc>
          <w:tcPr>
            <w:tcW w:type="dxa" w:w="15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Plazo</w:t>
            </w:r>
          </w:p>
        </w:tc>
        <w:tc>
          <w:tcPr>
            <w:tcW w:type="dxa" w:w="11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Estado</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Completar el plan de trabajo y la carta Gantt de la Guía 1.5</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María Trinidad Gaete</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03-09-2026</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Cumplida</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Elaborar la evaluación formativa 1.4 y la presentación del proyecto</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María Trinidad Gaete</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02-09-2026</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Cumplida</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Subir el Diario de reflexión 1.2 al repositorio</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Todos</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03-09-2026</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Cumplida</w:t>
            </w:r>
          </w:p>
        </w:tc>
      </w:tr>
    </w:tbl>
    <w:p>
      <w:r>
        <w:br w:type="page"/>
      </w:r>
    </w:p>
    <w:p>
      <w:pPr>
        <w:pStyle w:val="Heading1"/>
        <w:spacing w:after="120" w:before="240"/>
      </w:pPr>
      <w:r>
        <w:rPr>
          <w:rFonts w:ascii="Arial" w:cs="Arial" w:eastAsia="Arial" w:hAnsi="Arial"/>
          <w:b/>
          <w:bCs/>
          <w:color w:val="1F3864"/>
          <w:sz w:val="30"/>
          <w:szCs w:val="30"/>
        </w:rPr>
        <w:t xml:space="preserve">Acta N° 3: Revisión y cierre de la Fase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Fecha</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09-09-2026</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Fase del proyecto</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Fase 1 – Definición</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Modalidad</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Virtual</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Asistentes</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María Trinidad Gaete Mella, Tomas Catalán Madariaga, David Muñoz Bravo y Héctor Sanhueza Castro</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Objetivo</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Revisar las evidencias de la Fase 1 antes de su entrega y completar las evidencias individuales pendientes.</w:t>
            </w:r>
          </w:p>
        </w:tc>
      </w:tr>
    </w:tbl>
    <w:p>
      <w:pPr>
        <w:pStyle w:val="Heading2"/>
        <w:spacing w:after="120" w:before="200"/>
      </w:pPr>
      <w:r>
        <w:rPr>
          <w:rFonts w:ascii="Arial" w:cs="Arial" w:eastAsia="Arial" w:hAnsi="Arial"/>
          <w:b/>
          <w:bCs/>
          <w:color w:val="1F3864"/>
          <w:sz w:val="24"/>
          <w:szCs w:val="24"/>
        </w:rPr>
        <w:t xml:space="preserve">Temas tratados</w:t>
      </w:r>
    </w:p>
    <w:p>
      <w:pPr>
        <w:pStyle w:val="ListParagraph"/>
        <w:numPr>
          <w:ilvl w:val="0"/>
          <w:numId w:val="2"/>
        </w:numPr>
        <w:spacing w:after="60" w:line="276"/>
      </w:pPr>
      <w:r>
        <w:rPr>
          <w:rFonts w:ascii="Arial" w:cs="Arial" w:eastAsia="Arial" w:hAnsi="Arial"/>
          <w:sz w:val="20"/>
          <w:szCs w:val="20"/>
        </w:rPr>
        <w:t xml:space="preserve">Revisión final de la Guía 1.5 y de la evaluación formativa 1.4.</w:t>
      </w:r>
    </w:p>
    <w:p>
      <w:pPr>
        <w:pStyle w:val="ListParagraph"/>
        <w:numPr>
          <w:ilvl w:val="0"/>
          <w:numId w:val="2"/>
        </w:numPr>
        <w:spacing w:after="60" w:line="276"/>
      </w:pPr>
      <w:r>
        <w:rPr>
          <w:rFonts w:ascii="Arial" w:cs="Arial" w:eastAsia="Arial" w:hAnsi="Arial"/>
          <w:sz w:val="20"/>
          <w:szCs w:val="20"/>
        </w:rPr>
        <w:t xml:space="preserve">Estado de las autoevaluaciones individuales 1.1 y 1.3 de cada integrante.</w:t>
      </w:r>
    </w:p>
    <w:p>
      <w:pPr>
        <w:pStyle w:val="ListParagraph"/>
        <w:numPr>
          <w:ilvl w:val="0"/>
          <w:numId w:val="2"/>
        </w:numPr>
        <w:spacing w:after="60" w:line="276"/>
      </w:pPr>
      <w:r>
        <w:rPr>
          <w:rFonts w:ascii="Arial" w:cs="Arial" w:eastAsia="Arial" w:hAnsi="Arial"/>
          <w:sz w:val="20"/>
          <w:szCs w:val="20"/>
        </w:rPr>
        <w:t xml:space="preserve">Ajustes finales a la presentación del proyecto.</w:t>
      </w:r>
    </w:p>
    <w:p>
      <w:pPr>
        <w:pStyle w:val="Heading2"/>
        <w:spacing w:after="120" w:before="200"/>
      </w:pPr>
      <w:r>
        <w:rPr>
          <w:rFonts w:ascii="Arial" w:cs="Arial" w:eastAsia="Arial" w:hAnsi="Arial"/>
          <w:b/>
          <w:bCs/>
          <w:color w:val="1F3864"/>
          <w:sz w:val="24"/>
          <w:szCs w:val="24"/>
        </w:rPr>
        <w:t xml:space="preserve">Acuerdos</w:t>
      </w:r>
    </w:p>
    <w:p>
      <w:pPr>
        <w:pStyle w:val="ListParagraph"/>
        <w:numPr>
          <w:ilvl w:val="0"/>
          <w:numId w:val="2"/>
        </w:numPr>
        <w:spacing w:after="60" w:line="276"/>
      </w:pPr>
      <w:r>
        <w:rPr>
          <w:rFonts w:ascii="Arial" w:cs="Arial" w:eastAsia="Arial" w:hAnsi="Arial"/>
          <w:sz w:val="20"/>
          <w:szCs w:val="20"/>
        </w:rPr>
        <w:t xml:space="preserve">Subir la versión revisada de la Guía 1.5 con el nombre exigido por la pauta.</w:t>
      </w:r>
    </w:p>
    <w:p>
      <w:pPr>
        <w:pStyle w:val="ListParagraph"/>
        <w:numPr>
          <w:ilvl w:val="0"/>
          <w:numId w:val="2"/>
        </w:numPr>
        <w:spacing w:after="60" w:line="276"/>
      </w:pPr>
      <w:r>
        <w:rPr>
          <w:rFonts w:ascii="Arial" w:cs="Arial" w:eastAsia="Arial" w:hAnsi="Arial"/>
          <w:sz w:val="20"/>
          <w:szCs w:val="20"/>
        </w:rPr>
        <w:t xml:space="preserve">Cada integrante sube sus autoevaluaciones 1.1 y 1.3 antes del cierre de la Fase 1.</w:t>
      </w:r>
    </w:p>
    <w:p>
      <w:pPr>
        <w:pStyle w:val="ListParagraph"/>
        <w:numPr>
          <w:ilvl w:val="0"/>
          <w:numId w:val="2"/>
        </w:numPr>
        <w:spacing w:after="60" w:line="276"/>
      </w:pPr>
      <w:r>
        <w:rPr>
          <w:rFonts w:ascii="Arial" w:cs="Arial" w:eastAsia="Arial" w:hAnsi="Arial"/>
          <w:sz w:val="20"/>
          <w:szCs w:val="20"/>
        </w:rPr>
        <w:t xml:space="preserve">María Trinidad Gaete realiza los ajustes finales a la presentación.</w:t>
      </w:r>
    </w:p>
    <w:p>
      <w:pPr>
        <w:pStyle w:val="Heading2"/>
        <w:spacing w:after="120" w:before="200"/>
      </w:pPr>
      <w:r>
        <w:rPr>
          <w:rFonts w:ascii="Arial" w:cs="Arial" w:eastAsia="Arial" w:hAnsi="Arial"/>
          <w:b/>
          <w:bCs/>
          <w:color w:val="1F3864"/>
          <w:sz w:val="24"/>
          <w:szCs w:val="24"/>
        </w:rPr>
        <w:t xml:space="preserve">Tareas y compromisos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200"/>
        <w:gridCol w:w="1500"/>
        <w:gridCol w:w="1100"/>
      </w:tblGrid>
      <w:tr>
        <w:trPr>
          <w:tblHeader/>
        </w:trPr>
        <w:tc>
          <w:tcPr>
            <w:tcW w:type="dxa" w:w="4226"/>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Tarea</w:t>
            </w:r>
          </w:p>
        </w:tc>
        <w:tc>
          <w:tcPr>
            <w:tcW w:type="dxa" w:w="22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Responsable</w:t>
            </w:r>
          </w:p>
        </w:tc>
        <w:tc>
          <w:tcPr>
            <w:tcW w:type="dxa" w:w="15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Plazo</w:t>
            </w:r>
          </w:p>
        </w:tc>
        <w:tc>
          <w:tcPr>
            <w:tcW w:type="dxa" w:w="11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Estado</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Subir la Guía 1.5 revisada y la evaluación 1.4</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Héctor Sanhueza</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09-09-2026</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Cumplida</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Subir las autoevaluaciones 1.1 y 1.3</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Tomas Catalán, David Muñoz y Héctor Sanhueza</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09-09-2026</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Cumplida</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Ajustar la presentación y subir las autoevaluaciones 1.1 y 1.3</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María Trinidad Gaete</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10-09-2026</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Cumplida</w:t>
            </w:r>
          </w:p>
        </w:tc>
      </w:tr>
    </w:tbl>
    <w:p>
      <w:r>
        <w:br w:type="page"/>
      </w:r>
    </w:p>
    <w:p>
      <w:pPr>
        <w:pStyle w:val="Heading1"/>
        <w:spacing w:after="120" w:before="240"/>
      </w:pPr>
      <w:r>
        <w:rPr>
          <w:rFonts w:ascii="Arial" w:cs="Arial" w:eastAsia="Arial" w:hAnsi="Arial"/>
          <w:b/>
          <w:bCs/>
          <w:color w:val="1F3864"/>
          <w:sz w:val="30"/>
          <w:szCs w:val="30"/>
        </w:rPr>
        <w:t xml:space="preserve">Acta N° 4: Inicio de la Fase 2: planificación y diseño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Fecha</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01-10-2026</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Fase del proyecto</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Fase 2 – Desarrollo</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Modalidad</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Virtual</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Asistentes</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María Trinidad Gaete Mella, Tomas Catalán Madariaga, David Muñoz Bravo y Héctor Sanhueza Castro</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Objetivo</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Revisar el resultado de la Fase 1 y organizar la planificación inicial y la etapa de análisis y diseño.</w:t>
            </w:r>
          </w:p>
        </w:tc>
      </w:tr>
    </w:tbl>
    <w:p>
      <w:pPr>
        <w:pStyle w:val="Heading2"/>
        <w:spacing w:after="120" w:before="200"/>
      </w:pPr>
      <w:r>
        <w:rPr>
          <w:rFonts w:ascii="Arial" w:cs="Arial" w:eastAsia="Arial" w:hAnsi="Arial"/>
          <w:b/>
          <w:bCs/>
          <w:color w:val="1F3864"/>
          <w:sz w:val="24"/>
          <w:szCs w:val="24"/>
        </w:rPr>
        <w:t xml:space="preserve">Temas tratados</w:t>
      </w:r>
    </w:p>
    <w:p>
      <w:pPr>
        <w:pStyle w:val="ListParagraph"/>
        <w:numPr>
          <w:ilvl w:val="0"/>
          <w:numId w:val="2"/>
        </w:numPr>
        <w:spacing w:after="60" w:line="276"/>
      </w:pPr>
      <w:r>
        <w:rPr>
          <w:rFonts w:ascii="Arial" w:cs="Arial" w:eastAsia="Arial" w:hAnsi="Arial"/>
          <w:sz w:val="20"/>
          <w:szCs w:val="20"/>
        </w:rPr>
        <w:t xml:space="preserve">Revisión de la planilla de evaluación de la Fase 1.</w:t>
      </w:r>
    </w:p>
    <w:p>
      <w:pPr>
        <w:pStyle w:val="ListParagraph"/>
        <w:numPr>
          <w:ilvl w:val="0"/>
          <w:numId w:val="2"/>
        </w:numPr>
        <w:spacing w:after="60" w:line="276"/>
      </w:pPr>
      <w:r>
        <w:rPr>
          <w:rFonts w:ascii="Arial" w:cs="Arial" w:eastAsia="Arial" w:hAnsi="Arial"/>
          <w:sz w:val="20"/>
          <w:szCs w:val="20"/>
        </w:rPr>
        <w:t xml:space="preserve">Documentos de planificación inicial: Acta de Constitución, EDT e Hitos, Carta Gantt, Matriz RACI, Matriz de Riesgos y Plan de Pruebas Inicial.</w:t>
      </w:r>
    </w:p>
    <w:p>
      <w:pPr>
        <w:pStyle w:val="ListParagraph"/>
        <w:numPr>
          <w:ilvl w:val="0"/>
          <w:numId w:val="2"/>
        </w:numPr>
        <w:spacing w:after="60" w:line="276"/>
      </w:pPr>
      <w:r>
        <w:rPr>
          <w:rFonts w:ascii="Arial" w:cs="Arial" w:eastAsia="Arial" w:hAnsi="Arial"/>
          <w:sz w:val="20"/>
          <w:szCs w:val="20"/>
        </w:rPr>
        <w:t xml:space="preserve">Documentos de análisis y diseño: ERS, Modelos de Datos y Arquitectura, Mockups e Interfaces y Plan de Calidad y Costos.</w:t>
      </w:r>
    </w:p>
    <w:p>
      <w:pPr>
        <w:pStyle w:val="ListParagraph"/>
        <w:numPr>
          <w:ilvl w:val="0"/>
          <w:numId w:val="2"/>
        </w:numPr>
        <w:spacing w:after="60" w:line="276"/>
      </w:pPr>
      <w:r>
        <w:rPr>
          <w:rFonts w:ascii="Arial" w:cs="Arial" w:eastAsia="Arial" w:hAnsi="Arial"/>
          <w:sz w:val="20"/>
          <w:szCs w:val="20"/>
        </w:rPr>
        <w:t xml:space="preserve">Diagramas de diseño: casos de uso, modelo entidad-relación, componentes, despliegue, secuencia y actividad del ETL.</w:t>
      </w:r>
    </w:p>
    <w:p>
      <w:pPr>
        <w:pStyle w:val="Heading2"/>
        <w:spacing w:after="120" w:before="200"/>
      </w:pPr>
      <w:r>
        <w:rPr>
          <w:rFonts w:ascii="Arial" w:cs="Arial" w:eastAsia="Arial" w:hAnsi="Arial"/>
          <w:b/>
          <w:bCs/>
          <w:color w:val="1F3864"/>
          <w:sz w:val="24"/>
          <w:szCs w:val="24"/>
        </w:rPr>
        <w:t xml:space="preserve">Acuerdos</w:t>
      </w:r>
    </w:p>
    <w:p>
      <w:pPr>
        <w:pStyle w:val="ListParagraph"/>
        <w:numPr>
          <w:ilvl w:val="0"/>
          <w:numId w:val="2"/>
        </w:numPr>
        <w:spacing w:after="60" w:line="276"/>
      </w:pPr>
      <w:r>
        <w:rPr>
          <w:rFonts w:ascii="Arial" w:cs="Arial" w:eastAsia="Arial" w:hAnsi="Arial"/>
          <w:sz w:val="20"/>
          <w:szCs w:val="20"/>
        </w:rPr>
        <w:t xml:space="preserve">Formalizar las responsabilidades de cada actividad en la Matriz RACI y planificar la Fase 2 entre las semanas 5 y 18 en la Carta Gantt.</w:t>
      </w:r>
    </w:p>
    <w:p>
      <w:pPr>
        <w:pStyle w:val="ListParagraph"/>
        <w:numPr>
          <w:ilvl w:val="0"/>
          <w:numId w:val="2"/>
        </w:numPr>
        <w:spacing w:after="60" w:line="276"/>
      </w:pPr>
      <w:r>
        <w:rPr>
          <w:rFonts w:ascii="Arial" w:cs="Arial" w:eastAsia="Arial" w:hAnsi="Arial"/>
          <w:sz w:val="20"/>
          <w:szCs w:val="20"/>
        </w:rPr>
        <w:t xml:space="preserve">Responsables del diseño según la EDT: María Trinidad Gaete (requerimientos y casos de uso), Tomas Catalán (arquitectura, base de datos y diseño del ETL) y David Muñoz (interfaces).</w:t>
      </w:r>
    </w:p>
    <w:p>
      <w:pPr>
        <w:pStyle w:val="ListParagraph"/>
        <w:numPr>
          <w:ilvl w:val="0"/>
          <w:numId w:val="2"/>
        </w:numPr>
        <w:spacing w:after="60" w:line="276"/>
      </w:pPr>
      <w:r>
        <w:rPr>
          <w:rFonts w:ascii="Arial" w:cs="Arial" w:eastAsia="Arial" w:hAnsi="Arial"/>
          <w:sz w:val="20"/>
          <w:szCs w:val="20"/>
        </w:rPr>
        <w:t xml:space="preserve">Elaborar los diagramas como código (PlantUML) y versionar sus fuentes en el repositorio.</w:t>
      </w:r>
    </w:p>
    <w:p>
      <w:pPr>
        <w:pStyle w:val="ListParagraph"/>
        <w:numPr>
          <w:ilvl w:val="0"/>
          <w:numId w:val="2"/>
        </w:numPr>
        <w:spacing w:after="60" w:line="276"/>
      </w:pPr>
      <w:r>
        <w:rPr>
          <w:rFonts w:ascii="Arial" w:cs="Arial" w:eastAsia="Arial" w:hAnsi="Arial"/>
          <w:sz w:val="20"/>
          <w:szCs w:val="20"/>
        </w:rPr>
        <w:t xml:space="preserve">Héctor Sanhueza lidera el aseguramiento de calidad (Plan de Calidad y Plan de Pruebas).</w:t>
      </w:r>
    </w:p>
    <w:p>
      <w:pPr>
        <w:pStyle w:val="Heading2"/>
        <w:spacing w:after="120" w:before="200"/>
      </w:pPr>
      <w:r>
        <w:rPr>
          <w:rFonts w:ascii="Arial" w:cs="Arial" w:eastAsia="Arial" w:hAnsi="Arial"/>
          <w:b/>
          <w:bCs/>
          <w:color w:val="1F3864"/>
          <w:sz w:val="24"/>
          <w:szCs w:val="24"/>
        </w:rPr>
        <w:t xml:space="preserve">Tareas y compromisos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200"/>
        <w:gridCol w:w="1500"/>
        <w:gridCol w:w="1100"/>
      </w:tblGrid>
      <w:tr>
        <w:trPr>
          <w:tblHeader/>
        </w:trPr>
        <w:tc>
          <w:tcPr>
            <w:tcW w:type="dxa" w:w="4226"/>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Tarea</w:t>
            </w:r>
          </w:p>
        </w:tc>
        <w:tc>
          <w:tcPr>
            <w:tcW w:type="dxa" w:w="22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Responsable</w:t>
            </w:r>
          </w:p>
        </w:tc>
        <w:tc>
          <w:tcPr>
            <w:tcW w:type="dxa" w:w="15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Plazo</w:t>
            </w:r>
          </w:p>
        </w:tc>
        <w:tc>
          <w:tcPr>
            <w:tcW w:type="dxa" w:w="11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Estado</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Subir los documentos de planificación inicial</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María Trinidad Gaete</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01-10-2026</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Cumplida</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Subir los documentos de análisis y diseño</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María Trinidad Gaete</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01-10-2026</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Cumplida</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Completar los diagramas UML y E-R, los casos de uso y los mockups</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Héctor Sanhueza</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01-10-2026</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Cumplida</w:t>
            </w:r>
          </w:p>
        </w:tc>
      </w:tr>
    </w:tbl>
    <w:p>
      <w:r>
        <w:br w:type="page"/>
      </w:r>
    </w:p>
    <w:p>
      <w:pPr>
        <w:pStyle w:val="Heading1"/>
        <w:spacing w:after="120" w:before="240"/>
      </w:pPr>
      <w:r>
        <w:rPr>
          <w:rFonts w:ascii="Arial" w:cs="Arial" w:eastAsia="Arial" w:hAnsi="Arial"/>
          <w:b/>
          <w:bCs/>
          <w:color w:val="1F3864"/>
          <w:sz w:val="30"/>
          <w:szCs w:val="30"/>
        </w:rPr>
        <w:t xml:space="preserve">Acta N° 5: Control de cambios: recepción por correo y extracción OCR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Fecha</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03-10-2026</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Fase del proyecto</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Fase 2 – Desarrollo</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Modalidad</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Virtual</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Asistentes</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María Trinidad Gaete Mella, Tomas Catalán Madariaga, David Muñoz Bravo y Héctor Sanhueza Castro</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Objetivo</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Evaluar y aprobar la ampliación del alcance para procesar documentos no estructurados enviados por la TGR.</w:t>
            </w:r>
          </w:p>
        </w:tc>
      </w:tr>
    </w:tbl>
    <w:p>
      <w:pPr>
        <w:pStyle w:val="Heading2"/>
        <w:spacing w:after="120" w:before="200"/>
      </w:pPr>
      <w:r>
        <w:rPr>
          <w:rFonts w:ascii="Arial" w:cs="Arial" w:eastAsia="Arial" w:hAnsi="Arial"/>
          <w:b/>
          <w:bCs/>
          <w:color w:val="1F3864"/>
          <w:sz w:val="24"/>
          <w:szCs w:val="24"/>
        </w:rPr>
        <w:t xml:space="preserve">Temas tratados</w:t>
      </w:r>
    </w:p>
    <w:p>
      <w:pPr>
        <w:pStyle w:val="ListParagraph"/>
        <w:numPr>
          <w:ilvl w:val="0"/>
          <w:numId w:val="2"/>
        </w:numPr>
        <w:spacing w:after="60" w:line="276"/>
      </w:pPr>
      <w:r>
        <w:rPr>
          <w:rFonts w:ascii="Arial" w:cs="Arial" w:eastAsia="Arial" w:hAnsi="Arial"/>
          <w:sz w:val="20"/>
          <w:szCs w:val="20"/>
        </w:rPr>
        <w:t xml:space="preserve">Los documentos de la TGR pueden llegar por correo electrónico y en formatos no estructurados (PDF con texto, PDF escaneados y fotografías), no solo en Excel o CSV.</w:t>
      </w:r>
    </w:p>
    <w:p>
      <w:pPr>
        <w:pStyle w:val="ListParagraph"/>
        <w:numPr>
          <w:ilvl w:val="0"/>
          <w:numId w:val="2"/>
        </w:numPr>
        <w:spacing w:after="60" w:line="276"/>
      </w:pPr>
      <w:r>
        <w:rPr>
          <w:rFonts w:ascii="Arial" w:cs="Arial" w:eastAsia="Arial" w:hAnsi="Arial"/>
          <w:sz w:val="20"/>
          <w:szCs w:val="20"/>
        </w:rPr>
        <w:t xml:space="preserve">Impacto del cambio en los requerimientos, el diseño, la planificación y los riesgos del proyecto.</w:t>
      </w:r>
    </w:p>
    <w:p>
      <w:pPr>
        <w:pStyle w:val="Heading2"/>
        <w:spacing w:after="120" w:before="200"/>
      </w:pPr>
      <w:r>
        <w:rPr>
          <w:rFonts w:ascii="Arial" w:cs="Arial" w:eastAsia="Arial" w:hAnsi="Arial"/>
          <w:b/>
          <w:bCs/>
          <w:color w:val="1F3864"/>
          <w:sz w:val="24"/>
          <w:szCs w:val="24"/>
        </w:rPr>
        <w:t xml:space="preserve">Acuerdos</w:t>
      </w:r>
    </w:p>
    <w:p>
      <w:pPr>
        <w:pStyle w:val="ListParagraph"/>
        <w:numPr>
          <w:ilvl w:val="0"/>
          <w:numId w:val="2"/>
        </w:numPr>
        <w:spacing w:after="60" w:line="276"/>
      </w:pPr>
      <w:r>
        <w:rPr>
          <w:rFonts w:ascii="Arial" w:cs="Arial" w:eastAsia="Arial" w:hAnsi="Arial"/>
          <w:sz w:val="20"/>
          <w:szCs w:val="20"/>
        </w:rPr>
        <w:t xml:space="preserve">Incorporar la recepción multicanal (casilla de correo institucional, SFTP y carga web) y la extracción de documentos no estructurados a una plantilla estándar de carga.</w:t>
      </w:r>
    </w:p>
    <w:p>
      <w:pPr>
        <w:pStyle w:val="ListParagraph"/>
        <w:numPr>
          <w:ilvl w:val="0"/>
          <w:numId w:val="2"/>
        </w:numPr>
        <w:spacing w:after="60" w:line="276"/>
      </w:pPr>
      <w:r>
        <w:rPr>
          <w:rFonts w:ascii="Arial" w:cs="Arial" w:eastAsia="Arial" w:hAnsi="Arial"/>
          <w:sz w:val="20"/>
          <w:szCs w:val="20"/>
        </w:rPr>
        <w:t xml:space="preserve">Agregar el requerimiento RF12, la regla de negocio RN05 (confianza mínima de 90% en los campos críticos y cuadratura con las sumatorias de control) y el caso de uso CU12.</w:t>
      </w:r>
    </w:p>
    <w:p>
      <w:pPr>
        <w:pStyle w:val="ListParagraph"/>
        <w:numPr>
          <w:ilvl w:val="0"/>
          <w:numId w:val="2"/>
        </w:numPr>
        <w:spacing w:after="60" w:line="276"/>
      </w:pPr>
      <w:r>
        <w:rPr>
          <w:rFonts w:ascii="Arial" w:cs="Arial" w:eastAsia="Arial" w:hAnsi="Arial"/>
          <w:sz w:val="20"/>
          <w:szCs w:val="20"/>
        </w:rPr>
        <w:t xml:space="preserve">Agregar la actividad "Recepción por correo y extracción de documentos (OCR/IA)" a cargo de Héctor Sanhueza.</w:t>
      </w:r>
    </w:p>
    <w:p>
      <w:pPr>
        <w:pStyle w:val="ListParagraph"/>
        <w:numPr>
          <w:ilvl w:val="0"/>
          <w:numId w:val="2"/>
        </w:numPr>
        <w:spacing w:after="60" w:line="276"/>
      </w:pPr>
      <w:r>
        <w:rPr>
          <w:rFonts w:ascii="Arial" w:cs="Arial" w:eastAsia="Arial" w:hAnsi="Arial"/>
          <w:sz w:val="20"/>
          <w:szCs w:val="20"/>
        </w:rPr>
        <w:t xml:space="preserve">Registrar los riesgos R-05 (exposición de datos sensibles) y R-06 (errores de lectura del OCR).</w:t>
      </w:r>
    </w:p>
    <w:p>
      <w:pPr>
        <w:pStyle w:val="ListParagraph"/>
        <w:numPr>
          <w:ilvl w:val="0"/>
          <w:numId w:val="2"/>
        </w:numPr>
        <w:spacing w:after="60" w:line="276"/>
      </w:pPr>
      <w:r>
        <w:rPr>
          <w:rFonts w:ascii="Arial" w:cs="Arial" w:eastAsia="Arial" w:hAnsi="Arial"/>
          <w:sz w:val="20"/>
          <w:szCs w:val="20"/>
        </w:rPr>
        <w:t xml:space="preserve">Alcance de la extracción: Excel/CSV, PDF con texto y escaneos o fotografías de nóminas en formato tabular.</w:t>
      </w:r>
    </w:p>
    <w:p>
      <w:pPr>
        <w:pStyle w:val="Heading2"/>
        <w:spacing w:after="120" w:before="200"/>
      </w:pPr>
      <w:r>
        <w:rPr>
          <w:rFonts w:ascii="Arial" w:cs="Arial" w:eastAsia="Arial" w:hAnsi="Arial"/>
          <w:b/>
          <w:bCs/>
          <w:color w:val="1F3864"/>
          <w:sz w:val="24"/>
          <w:szCs w:val="24"/>
        </w:rPr>
        <w:t xml:space="preserve">Tareas y compromisos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200"/>
        <w:gridCol w:w="1500"/>
        <w:gridCol w:w="1100"/>
      </w:tblGrid>
      <w:tr>
        <w:trPr>
          <w:tblHeader/>
        </w:trPr>
        <w:tc>
          <w:tcPr>
            <w:tcW w:type="dxa" w:w="4226"/>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Tarea</w:t>
            </w:r>
          </w:p>
        </w:tc>
        <w:tc>
          <w:tcPr>
            <w:tcW w:type="dxa" w:w="22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Responsable</w:t>
            </w:r>
          </w:p>
        </w:tc>
        <w:tc>
          <w:tcPr>
            <w:tcW w:type="dxa" w:w="15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Plazo</w:t>
            </w:r>
          </w:p>
        </w:tc>
        <w:tc>
          <w:tcPr>
            <w:tcW w:type="dxa" w:w="11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Estado</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Actualizar el ERS, los diagramas y los mockups con el nuevo alcance</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Héctor Sanhueza</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03-10-2026</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Cumplida</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Actualizar la EDT, la Carta Gantt, la Matriz RACI, la Matriz de Riesgos y el Plan de Pruebas</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Héctor Sanhueza</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03-10-2026</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Cumplida</w:t>
            </w:r>
          </w:p>
        </w:tc>
      </w:tr>
    </w:tbl>
    <w:p>
      <w:r>
        <w:br w:type="page"/>
      </w:r>
    </w:p>
    <w:p>
      <w:pPr>
        <w:pStyle w:val="Heading1"/>
        <w:spacing w:after="120" w:before="240"/>
      </w:pPr>
      <w:r>
        <w:rPr>
          <w:rFonts w:ascii="Arial" w:cs="Arial" w:eastAsia="Arial" w:hAnsi="Arial"/>
          <w:b/>
          <w:bCs/>
          <w:color w:val="1F3864"/>
          <w:sz w:val="30"/>
          <w:szCs w:val="30"/>
        </w:rPr>
        <w:t xml:space="preserve">Acta N° 6: Monitoreo de la Fase 2 y definición del stack tecnológico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Fecha</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08-10-2026</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Fase del proyecto</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Fase 2 – Desarrollo</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Modalidad</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Virtual</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Asistentes</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María Trinidad Gaete Mella, Tomas Catalán Madariaga, David Muñoz Bravo y Héctor Sanhueza Castro</w:t>
            </w:r>
          </w:p>
        </w:tc>
      </w:tr>
      <w:tr>
        <w:tc>
          <w:tcPr>
            <w:tcW w:type="dxa" w:w="2300"/>
            <w:tcBorders>
              <w:top w:val="single" w:color="BFC8D6" w:sz="4"/>
              <w:left w:val="single" w:color="BFC8D6" w:sz="4"/>
              <w:bottom w:val="single" w:color="BFC8D6" w:sz="4"/>
              <w:right w:val="single" w:color="BFC8D6" w:sz="4"/>
            </w:tcBorders>
            <w:shd w:fill="F2F5F9" w:color="auto" w:val="clear"/>
            <w:tcMar>
              <w:top w:type="dxa" w:w="70"/>
              <w:left w:type="dxa" w:w="110"/>
              <w:bottom w:type="dxa" w:w="70"/>
              <w:right w:type="dxa" w:w="110"/>
            </w:tcMar>
          </w:tcPr>
          <w:p>
            <w:pPr>
              <w:spacing w:after="0"/>
            </w:pPr>
            <w:r>
              <w:rPr>
                <w:rFonts w:ascii="Arial" w:cs="Arial" w:eastAsia="Arial" w:hAnsi="Arial"/>
                <w:b/>
                <w:bCs/>
                <w:sz w:val="18"/>
                <w:szCs w:val="18"/>
              </w:rPr>
              <w:t xml:space="preserve">Objetivo</w:t>
            </w:r>
          </w:p>
        </w:tc>
        <w:tc>
          <w:tcPr>
            <w:tcW w:type="dxa" w:w="67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Revisar el avance respecto de la Carta Gantt, ajustar el plan de trabajo y definir las tecnologías para la construcción.</w:t>
            </w:r>
          </w:p>
        </w:tc>
      </w:tr>
    </w:tbl>
    <w:p>
      <w:pPr>
        <w:pStyle w:val="Heading2"/>
        <w:spacing w:after="120" w:before="200"/>
      </w:pPr>
      <w:r>
        <w:rPr>
          <w:rFonts w:ascii="Arial" w:cs="Arial" w:eastAsia="Arial" w:hAnsi="Arial"/>
          <w:b/>
          <w:bCs/>
          <w:color w:val="1F3864"/>
          <w:sz w:val="24"/>
          <w:szCs w:val="24"/>
        </w:rPr>
        <w:t xml:space="preserve">Temas tratados</w:t>
      </w:r>
    </w:p>
    <w:p>
      <w:pPr>
        <w:pStyle w:val="ListParagraph"/>
        <w:numPr>
          <w:ilvl w:val="0"/>
          <w:numId w:val="2"/>
        </w:numPr>
        <w:spacing w:after="60" w:line="276"/>
      </w:pPr>
      <w:r>
        <w:rPr>
          <w:rFonts w:ascii="Arial" w:cs="Arial" w:eastAsia="Arial" w:hAnsi="Arial"/>
          <w:sz w:val="20"/>
          <w:szCs w:val="20"/>
        </w:rPr>
        <w:t xml:space="preserve">Estado de avance: las actividades de análisis y diseño están completadas; la recepción y extracción OCR, la implementación del ETL y las validaciones presentan retraso.</w:t>
      </w:r>
    </w:p>
    <w:p>
      <w:pPr>
        <w:pStyle w:val="ListParagraph"/>
        <w:numPr>
          <w:ilvl w:val="0"/>
          <w:numId w:val="2"/>
        </w:numPr>
        <w:spacing w:after="60" w:line="276"/>
      </w:pPr>
      <w:r>
        <w:rPr>
          <w:rFonts w:ascii="Arial" w:cs="Arial" w:eastAsia="Arial" w:hAnsi="Arial"/>
          <w:sz w:val="20"/>
          <w:szCs w:val="20"/>
        </w:rPr>
        <w:t xml:space="preserve">Definición del stack tecnológico y de la herramienta de OCR.</w:t>
      </w:r>
    </w:p>
    <w:p>
      <w:pPr>
        <w:pStyle w:val="ListParagraph"/>
        <w:numPr>
          <w:ilvl w:val="0"/>
          <w:numId w:val="2"/>
        </w:numPr>
        <w:spacing w:after="60" w:line="276"/>
      </w:pPr>
      <w:r>
        <w:rPr>
          <w:rFonts w:ascii="Arial" w:cs="Arial" w:eastAsia="Arial" w:hAnsi="Arial"/>
          <w:sz w:val="20"/>
          <w:szCs w:val="20"/>
        </w:rPr>
        <w:t xml:space="preserve">Evidencias pendientes de la Fase 2: diarios de reflexión 2.1, Guía 2.4, presentación y evidencias de sistema.</w:t>
      </w:r>
    </w:p>
    <w:p>
      <w:pPr>
        <w:pStyle w:val="Heading2"/>
        <w:spacing w:after="120" w:before="200"/>
      </w:pPr>
      <w:r>
        <w:rPr>
          <w:rFonts w:ascii="Arial" w:cs="Arial" w:eastAsia="Arial" w:hAnsi="Arial"/>
          <w:b/>
          <w:bCs/>
          <w:color w:val="1F3864"/>
          <w:sz w:val="24"/>
          <w:szCs w:val="24"/>
        </w:rPr>
        <w:t xml:space="preserve">Acuerdos</w:t>
      </w:r>
    </w:p>
    <w:p>
      <w:pPr>
        <w:pStyle w:val="ListParagraph"/>
        <w:numPr>
          <w:ilvl w:val="0"/>
          <w:numId w:val="2"/>
        </w:numPr>
        <w:spacing w:after="60" w:line="276"/>
      </w:pPr>
      <w:r>
        <w:rPr>
          <w:rFonts w:ascii="Arial" w:cs="Arial" w:eastAsia="Arial" w:hAnsi="Arial"/>
          <w:sz w:val="20"/>
          <w:szCs w:val="20"/>
        </w:rPr>
        <w:t xml:space="preserve">Stack tecnológico: Python (Pandas y Scikit-Learn) para el ETL, las validaciones y la IA; SQL Server como base de datos; React para la interfaz web, y Tesseract OCR para la extracción.</w:t>
      </w:r>
    </w:p>
    <w:p>
      <w:pPr>
        <w:pStyle w:val="ListParagraph"/>
        <w:numPr>
          <w:ilvl w:val="0"/>
          <w:numId w:val="2"/>
        </w:numPr>
        <w:spacing w:after="60" w:line="276"/>
      </w:pPr>
      <w:r>
        <w:rPr>
          <w:rFonts w:ascii="Arial" w:cs="Arial" w:eastAsia="Arial" w:hAnsi="Arial"/>
          <w:sz w:val="20"/>
          <w:szCs w:val="20"/>
        </w:rPr>
        <w:t xml:space="preserve">Usar Tesseract OCR ejecutado localmente, sin enviar documentos a servicios externos; con ello se reduce el nivel del riesgo R-05 a Medio.</w:t>
      </w:r>
    </w:p>
    <w:p>
      <w:pPr>
        <w:pStyle w:val="ListParagraph"/>
        <w:numPr>
          <w:ilvl w:val="0"/>
          <w:numId w:val="2"/>
        </w:numPr>
        <w:spacing w:after="60" w:line="276"/>
      </w:pPr>
      <w:r>
        <w:rPr>
          <w:rFonts w:ascii="Arial" w:cs="Arial" w:eastAsia="Arial" w:hAnsi="Arial"/>
          <w:sz w:val="20"/>
          <w:szCs w:val="20"/>
        </w:rPr>
        <w:t xml:space="preserve">Agregar la actividad "Configuración del entorno de desarrollo y datos simulados" (semana 9).</w:t>
      </w:r>
    </w:p>
    <w:p>
      <w:pPr>
        <w:pStyle w:val="ListParagraph"/>
        <w:numPr>
          <w:ilvl w:val="0"/>
          <w:numId w:val="2"/>
        </w:numPr>
        <w:spacing w:after="60" w:line="276"/>
      </w:pPr>
      <w:r>
        <w:rPr>
          <w:rFonts w:ascii="Arial" w:cs="Arial" w:eastAsia="Arial" w:hAnsi="Arial"/>
          <w:sz w:val="20"/>
          <w:szCs w:val="20"/>
        </w:rPr>
        <w:t xml:space="preserve">Construir los módulos en paralelo, con pruebas unitarias e integración progresiva, priorizando un flujo mínimo de extremo a extremo.</w:t>
      </w:r>
    </w:p>
    <w:p>
      <w:pPr>
        <w:pStyle w:val="ListParagraph"/>
        <w:numPr>
          <w:ilvl w:val="0"/>
          <w:numId w:val="2"/>
        </w:numPr>
        <w:spacing w:after="60" w:line="276"/>
      </w:pPr>
      <w:r>
        <w:rPr>
          <w:rFonts w:ascii="Arial" w:cs="Arial" w:eastAsia="Arial" w:hAnsi="Arial"/>
          <w:sz w:val="20"/>
          <w:szCs w:val="20"/>
        </w:rPr>
        <w:t xml:space="preserve">María Trinidad Gaete apoya la preparación de los casos de prueba y la documentación de evidencias.</w:t>
      </w:r>
    </w:p>
    <w:p>
      <w:pPr>
        <w:pStyle w:val="ListParagraph"/>
        <w:numPr>
          <w:ilvl w:val="0"/>
          <w:numId w:val="2"/>
        </w:numPr>
        <w:spacing w:after="60" w:line="276"/>
      </w:pPr>
      <w:r>
        <w:rPr>
          <w:rFonts w:ascii="Arial" w:cs="Arial" w:eastAsia="Arial" w:hAnsi="Arial"/>
          <w:sz w:val="20"/>
          <w:szCs w:val="20"/>
        </w:rPr>
        <w:t xml:space="preserve">Actualizar los documentos del proyecto para que sean coherentes con la Guía 2.4.</w:t>
      </w:r>
    </w:p>
    <w:p>
      <w:pPr>
        <w:pStyle w:val="Heading2"/>
        <w:spacing w:after="120" w:before="200"/>
      </w:pPr>
      <w:r>
        <w:rPr>
          <w:rFonts w:ascii="Arial" w:cs="Arial" w:eastAsia="Arial" w:hAnsi="Arial"/>
          <w:b/>
          <w:bCs/>
          <w:color w:val="1F3864"/>
          <w:sz w:val="24"/>
          <w:szCs w:val="24"/>
        </w:rPr>
        <w:t xml:space="preserve">Tareas y compromisos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200"/>
        <w:gridCol w:w="1500"/>
        <w:gridCol w:w="1100"/>
      </w:tblGrid>
      <w:tr>
        <w:trPr>
          <w:tblHeader/>
        </w:trPr>
        <w:tc>
          <w:tcPr>
            <w:tcW w:type="dxa" w:w="4226"/>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Tarea</w:t>
            </w:r>
          </w:p>
        </w:tc>
        <w:tc>
          <w:tcPr>
            <w:tcW w:type="dxa" w:w="22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Responsable</w:t>
            </w:r>
          </w:p>
        </w:tc>
        <w:tc>
          <w:tcPr>
            <w:tcW w:type="dxa" w:w="15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Plazo</w:t>
            </w:r>
          </w:p>
        </w:tc>
        <w:tc>
          <w:tcPr>
            <w:tcW w:type="dxa" w:w="1100"/>
            <w:tcBorders>
              <w:top w:val="single" w:color="BFC8D6" w:sz="4"/>
              <w:left w:val="single" w:color="BFC8D6" w:sz="4"/>
              <w:bottom w:val="single" w:color="BFC8D6" w:sz="4"/>
              <w:right w:val="single" w:color="BFC8D6" w:sz="4"/>
            </w:tcBorders>
            <w:shd w:fill="DCE8F5"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Estado</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Completar la Guía 2.4 y alinear los documentos del proyecto</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Héctor Sanhueza</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08-10-2026</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Cumplida</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Configurar el entorno de desarrollo (repositorio, SQL Server, Python y React) y restaurar el .gitignore</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Tomas Catalán y David Muñoz</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Semana 9</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Pendiente</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Generar los datos y documentos simulados de prueba</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María Trinidad Gaete y Héctor Sanhueza</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Semana 9</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Pendiente</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Prueba de concepto de Tesseract OCR con documentos de distinta calidad</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Héctor Sanhueza</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Semanas 9–10</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Pendiente</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Subir los diarios de reflexión 2.1 pendientes</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Tomas Catalán, María Trinidad Gaete y David Muñoz</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Antes de la entrega de la Fase 2</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Pendiente</w:t>
            </w:r>
          </w:p>
        </w:tc>
      </w:tr>
      <w:tr>
        <w:trPr>
          <w:cantSplit/>
        </w:trPr>
        <w:tc>
          <w:tcPr>
            <w:tcW w:type="dxa" w:w="4226"/>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Preparar la presentación de la Fase 2</w:t>
            </w:r>
          </w:p>
        </w:tc>
        <w:tc>
          <w:tcPr>
            <w:tcW w:type="dxa" w:w="22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Todos (coordina María Trinidad Gaete)</w:t>
            </w:r>
          </w:p>
        </w:tc>
        <w:tc>
          <w:tcPr>
            <w:tcW w:type="dxa" w:w="15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Antes de la entrega de la Fase 2</w:t>
            </w:r>
          </w:p>
        </w:tc>
        <w:tc>
          <w:tcPr>
            <w:tcW w:type="dxa" w:w="1100"/>
            <w:tcBorders>
              <w:top w:val="single" w:color="BFC8D6" w:sz="4"/>
              <w:left w:val="single" w:color="BFC8D6" w:sz="4"/>
              <w:bottom w:val="single" w:color="BFC8D6" w:sz="4"/>
              <w:right w:val="single" w:color="BFC8D6" w:sz="4"/>
            </w:tcBorders>
            <w:tcMar>
              <w:top w:type="dxa" w:w="70"/>
              <w:left w:type="dxa" w:w="110"/>
              <w:bottom w:type="dxa" w:w="70"/>
              <w:right w:type="dxa" w:w="110"/>
            </w:tcMar>
          </w:tcPr>
          <w:p>
            <w:pPr>
              <w:spacing w:after="0"/>
            </w:pPr>
            <w:r>
              <w:rPr>
                <w:rFonts w:ascii="Arial" w:cs="Arial" w:eastAsia="Arial" w:hAnsi="Arial"/>
                <w:sz w:val="18"/>
                <w:szCs w:val="18"/>
              </w:rPr>
              <w:t xml:space="preserve">Pendiente</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TTDH Automation · Actas de seguimiento · Página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Actas de Reuniones de Seguimiento - TTDH Automation</dc:title>
  <dc:creator>Equipo STARTAB</dc:creator>
  <cp:lastModifiedBy>Un-named</cp:lastModifiedBy>
  <cp:revision>1</cp:revision>
  <dcterms:created xsi:type="dcterms:W3CDTF">2026-10-08T21:51:05.100Z</dcterms:created>
  <dcterms:modified xsi:type="dcterms:W3CDTF">2026-10-08T21:51:05.101Z</dcterms:modified>
</cp:coreProperties>
</file>

<file path=docProps/custom.xml><?xml version="1.0" encoding="utf-8"?>
<Properties xmlns="http://schemas.openxmlformats.org/officeDocument/2006/custom-properties" xmlns:vt="http://schemas.openxmlformats.org/officeDocument/2006/docPropsVTypes"/>
</file>