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A la fecha, el equipo STARTAB completó la etapa de análisis y diseño de TTDH Automation y se encuentra iniciando la etapa de construcción. Las actividades realizadas y los objetivos específicos cumplidos son los siguientes: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 xml:space="preserve">OE1 (cumplido):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Analizar los requerimientos y reglas de negocio. Se elaboró la Especificación de Requerimientos de Software (ERS) con 12 requerimientos funcionales (RF01 a RF12), requerimientos no funcionales de escalabilidad, trazabilidad, seguridad y rendimiento, y 5 reglas de negocio (RN01 a RN05). A partir de ella se construyó el diagrama de casos de uso con 12 casos (CU01 a CU12).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 xml:space="preserve">OE2 (cumplido):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Diseñar la arquitectura y el modelo de datos. Se elaboraron el modelo entidad-relación (archivos y registros TGR, conciliación, análisis de IA, usuarios, roles y bitácora), los diagramas de componentes y de despliegue, el diagrama de secuencia de carga, el diagrama de actividad del proceso ETL y 4 mockups (ingesta, dashboard, excepciones y reportes con IA).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 xml:space="preserve">OE3 (en curso):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Desarrollar la solución. Se definió el stack tecnológico: Python (Pandas y Scikit-Learn) para el ETL, las validaciones y la IA; SQL Server como base de datos; React para la interfaz web, y Tesseract OCR para la extracción de documentos escaneados. La construcción de los módulos presenta retraso respecto de la carta Gantt.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 xml:space="preserve">OE4 (no iniciado):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Validar la solución. Aún no corresponde su ejecución, pero el Plan de Pruebas Inicial ya define la estrategia (pruebas unitarias, de integración y funcionales por cada RF) y el uso de datos simulados.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Además, se elaboraron los documentos de planificación y control: Acta de Constitución, EDT e Hitos, Carta Gantt, Matriz RACI, Matriz de Riesgos, Plan de Pruebas Inicial y Plan de Calidad y Costos. Como ajuste principal, se amplió el alcance con la recepción automática por correo y la extracción de documentos no estructurados (PDF con texto, PDF escaneados y fotografías) mediante OCR (RF12 y RN05), lo que obligó a actualizar los documentos de diseño.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El objetivo general y los objetivos específicos 1, 2 y 4 se mantienen. Se ajustó el objetivo específico 3 para incorporar la recepción multicanal y la extracción de documentos no estructurados: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 xml:space="preserve">Objetivo específico 3 (ajustado):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Desarrollar una solución que automatice la recepción multicanal de documentos (correo institucional, SFTP y carga web), la extracción y normalización de documentos estructurados y no estructurados mediante OCR, y la validación, procesamiento y cruce de la información entre ambas fuentes.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Se mantiene la metodología en cascada, con sus etapas de requerimientos, diseño, desarrollo, pruebas, implementación y cierre. Para la etapa de desarrollo se realizan los siguientes ajustes: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Los módulos (recepción y extracción, ETL, validaciones, trazabilidad, IA, dashboard y reportes) se construyen en paralelo por cada responsable, con pruebas unitarias al cierre de cada uno.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La integración será progresiva: cada módulo se integra al terminarse, en lugar de una única integración en la semana 13. Esto reduce los riesgos de integración y de calendario (R-01 y R-03).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Se prioriza un flujo mínimo de extremo a extremo (carga de Excel/CSV, validación, carga en base de datos y visualización) antes de las funciones avanzadas (OCR de fotografías e IA).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Los cambios de alcance se registran en las actas de seguimiento y el código se revisa entre pares antes de integrarse, según el Plan de Calidad.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Se presentan las evidencias de documentación del proyecto, organizadas en la carpeta "Evidencias Proyecto / Evidencias de Documentación" del repositorio: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 xml:space="preserve">Planificación inicial: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Acta de Constitución, EDT e Hitos de Desarrollo, Carta Gantt, Matriz RACI, Matriz de Riesgos y Plan de Pruebas Inicial. Dan cuenta de la planificación y el control del proyecto (competencia de gestión de proyectos informáticos).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 xml:space="preserve">Análisis y diseño: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ERS, Modelos de Datos y Arquitectura, Mockups e Interfaces y Plan de Calidad y Costos, junto con 6 diagramas (casos de uso, modelo E-R, componentes, despliegue, secuencia de carga y actividad del ETL) y 4 mockups. Dan cuenta del cumplimiento de los objetivos específicos 1 y 2 (competencias de propuesta de solución, modelo arquitectónico y modelos de datos).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Para resguardar la calidad se utilizó notación estándar (UML y diagramas E-R) y los diagramas se generaron como código (PlantUML), versionados en GitHub junto con sus fuentes. Se mantiene trazabilidad entre los documentos: cada requerimiento del ERS tiene un caso de uso y un caso de prueba asociado en el Plan de Pruebas, y cada riesgo identificado tiene un responsable y un plan de mitigación. Las evidencias de sistema (aplicación y base de datos) se incorporarán a medida que avance la construcción.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0"/>
        <w:gridCol w:w="1350"/>
        <w:gridCol w:w="1250"/>
        <w:gridCol w:w="900"/>
        <w:gridCol w:w="1150"/>
        <w:gridCol w:w="1300"/>
        <w:gridCol w:w="1000"/>
        <w:gridCol w:w="1476"/>
      </w:tblGrid>
      <w:tr w:rsidR="00FD5149" w:rsidRPr="006E3B0D" w14:paraId="66FA4353" w14:textId="77777777" w:rsidTr="00EA0C09">
        <w:trPr>
          <w:tblHeader/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blHeader/>
          <w:trHeight w:val="711"/>
        </w:trPr>
        <w:tc>
          <w:tcPr>
            <w:tcW w:w="1350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</w:rPr>
            </w:pPr>
            <w:r>
              <w:rPr>
                <w:rFonts w:ascii="Calibri" w:hAnsi="Calibri"/>
                <w:color w:val="1F3864" w:themeColor="accent1" w:themeShade="80"/>
                <w:sz w:val="16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6"/>
              </w:rPr>
              <w:t xml:space="preserve"> o unidades de competencias</w:t>
            </w:r>
          </w:p>
        </w:tc>
        <w:tc>
          <w:tcPr>
            <w:tcW w:w="1350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>Actividades</w:t>
            </w:r>
          </w:p>
        </w:tc>
        <w:tc>
          <w:tcPr>
            <w:tcW w:w="1250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>Recursos</w:t>
            </w:r>
          </w:p>
        </w:tc>
        <w:tc>
          <w:tcPr>
            <w:tcW w:w="900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>Duración de la actividad</w:t>
            </w:r>
          </w:p>
        </w:tc>
        <w:tc>
          <w:tcPr>
            <w:tcW w:w="1150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6"/>
              </w:rPr>
              <w:footnoteReference w:id="1"/>
            </w:r>
          </w:p>
        </w:tc>
        <w:tc>
          <w:tcPr>
            <w:tcW w:w="1300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>Observaciones</w:t>
            </w:r>
          </w:p>
        </w:tc>
        <w:tc>
          <w:tcPr>
            <w:tcW w:w="1000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>Estado de avance</w:t>
            </w:r>
          </w:p>
        </w:tc>
        <w:tc>
          <w:tcPr>
            <w:tcW w:w="1476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</w:rPr>
            </w:pPr>
            <w:r>
              <w:rPr>
                <w:rFonts w:ascii="Calibri" w:hAnsi="Calibri"/>
                <w:color w:val="1F3864" w:themeColor="accent1" w:themeShade="80"/>
                <w:sz w:val="16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>justes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Gestión de proyectos informáticos</w:t>
            </w:r>
          </w:p>
        </w:tc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16"/>
                <w:szCs w:val="16"/>
                <w:lang w:eastAsia="es-CL"/>
              </w:rPr>
              <w:t xml:space="preserve">Reuniones de seguimiento</w:t>
            </w:r>
          </w:p>
        </w:tc>
        <w:tc>
          <w:tcPr>
            <w:tcW w:w="12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Teams, GitHub, actas de reunión</w:t>
            </w:r>
          </w:p>
        </w:tc>
        <w:tc>
          <w:tcPr>
            <w:tcW w:w="9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Todo el proyecto (S5–S18)</w:t>
            </w:r>
          </w:p>
        </w:tc>
        <w:tc>
          <w:tcPr>
            <w:tcW w:w="11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Todos</w:t>
            </w:r>
          </w:p>
        </w:tc>
        <w:tc>
          <w:tcPr>
            <w:tcW w:w="13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Dificultad para coordinar horarios de los cuatro integrantes.</w:t>
            </w:r>
          </w:p>
        </w:tc>
        <w:tc>
          <w:tcPr>
            <w:tcW w:w="10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En curso</w:t>
            </w:r>
          </w:p>
        </w:tc>
        <w:tc>
          <w:tcPr>
            <w:tcW w:w="14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Las actas registrarán también los cambios de alcance (control de cambios).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Propuesta de solución informática</w:t>
            </w:r>
          </w:p>
        </w:tc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16"/>
                <w:szCs w:val="16"/>
                <w:lang w:eastAsia="es-CL"/>
              </w:rPr>
              <w:t xml:space="preserve">Levantamiento de requerimientos</w:t>
            </w:r>
          </w:p>
        </w:tc>
        <w:tc>
          <w:tcPr>
            <w:tcW w:w="12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Documentación, Google Workspace</w:t>
            </w:r>
          </w:p>
        </w:tc>
        <w:tc>
          <w:tcPr>
            <w:tcW w:w="9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2 semanas (S5–S6)</w:t>
            </w:r>
          </w:p>
        </w:tc>
        <w:tc>
          <w:tcPr>
            <w:tcW w:w="11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María Trinidad Gaete</w:t>
            </w:r>
          </w:p>
        </w:tc>
        <w:tc>
          <w:tcPr>
            <w:tcW w:w="13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Se validó con el equipo y el docente.</w:t>
            </w:r>
          </w:p>
        </w:tc>
        <w:tc>
          <w:tcPr>
            <w:tcW w:w="10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14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Ajustada: se formalizó en el ERS con RF01–RF12, requerimientos no funcionales y reglas RN01–RN05.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Propuesta de solución informática</w:t>
            </w:r>
          </w:p>
        </w:tc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16"/>
                <w:szCs w:val="16"/>
                <w:lang w:eastAsia="es-CL"/>
              </w:rPr>
              <w:t xml:space="preserve">Casos de uso</w:t>
            </w:r>
          </w:p>
        </w:tc>
        <w:tc>
          <w:tcPr>
            <w:tcW w:w="12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PlantUML</w:t>
            </w:r>
          </w:p>
        </w:tc>
        <w:tc>
          <w:tcPr>
            <w:tcW w:w="9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1 semana (S7)</w:t>
            </w:r>
          </w:p>
        </w:tc>
        <w:tc>
          <w:tcPr>
            <w:tcW w:w="11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María Trinidad Gaete</w:t>
            </w:r>
          </w:p>
        </w:tc>
        <w:tc>
          <w:tcPr>
            <w:tcW w:w="13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Base para el plan de pruebas.</w:t>
            </w:r>
          </w:p>
        </w:tc>
        <w:tc>
          <w:tcPr>
            <w:tcW w:w="10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14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Ajustada: se agregó CU12 (extracción y normalización de documentos con OCR).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Modelo arquitectónico / Modelos de datos</w:t>
            </w:r>
          </w:p>
        </w:tc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16"/>
                <w:szCs w:val="16"/>
                <w:lang w:eastAsia="es-CL"/>
              </w:rPr>
              <w:t xml:space="preserve">Diseño de arquitectura y base de datos</w:t>
            </w:r>
          </w:p>
        </w:tc>
        <w:tc>
          <w:tcPr>
            <w:tcW w:w="12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PlantUML, SQL Server</w:t>
            </w:r>
          </w:p>
        </w:tc>
        <w:tc>
          <w:tcPr>
            <w:tcW w:w="9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2 semanas (S6–S7)</w:t>
            </w:r>
          </w:p>
        </w:tc>
        <w:tc>
          <w:tcPr>
            <w:tcW w:w="11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Tomás Catalán</w:t>
            </w:r>
          </w:p>
        </w:tc>
        <w:tc>
          <w:tcPr>
            <w:tcW w:w="13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Considera trazabilidad, auditoría y escalabilidad.</w:t>
            </w:r>
          </w:p>
        </w:tc>
        <w:tc>
          <w:tcPr>
            <w:tcW w:w="10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14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Ajustada: se incorporó el módulo de recepción y extracción en componentes y despliegue.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Desarrollo de solución de software</w:t>
            </w:r>
          </w:p>
        </w:tc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16"/>
                <w:szCs w:val="16"/>
                <w:lang w:eastAsia="es-CL"/>
              </w:rPr>
              <w:t xml:space="preserve">Diseño de interfaces</w:t>
            </w:r>
          </w:p>
        </w:tc>
        <w:tc>
          <w:tcPr>
            <w:tcW w:w="12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HTML/CSS (mockups)</w:t>
            </w:r>
          </w:p>
        </w:tc>
        <w:tc>
          <w:tcPr>
            <w:tcW w:w="9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1 semana (S7)</w:t>
            </w:r>
          </w:p>
        </w:tc>
        <w:tc>
          <w:tcPr>
            <w:tcW w:w="11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David Muñoz</w:t>
            </w:r>
          </w:p>
        </w:tc>
        <w:tc>
          <w:tcPr>
            <w:tcW w:w="13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4 mockups: ingesta, dashboard, excepciones y reportes con IA.</w:t>
            </w:r>
          </w:p>
        </w:tc>
        <w:tc>
          <w:tcPr>
            <w:tcW w:w="10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14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Ajustada: mockups de ingesta y excepciones actualizados para documentos OCR.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Transformación de grandes volúmenes de datos</w:t>
            </w:r>
          </w:p>
        </w:tc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16"/>
                <w:szCs w:val="16"/>
                <w:lang w:eastAsia="es-CL"/>
              </w:rPr>
              <w:t xml:space="preserve">Diseño del proceso ETL</w:t>
            </w:r>
          </w:p>
        </w:tc>
        <w:tc>
          <w:tcPr>
            <w:tcW w:w="12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PlantUML, documentación técnica</w:t>
            </w:r>
          </w:p>
        </w:tc>
        <w:tc>
          <w:tcPr>
            <w:tcW w:w="9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1 semana (S8)</w:t>
            </w:r>
          </w:p>
        </w:tc>
        <w:tc>
          <w:tcPr>
            <w:tcW w:w="11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Tomás Catalán</w:t>
            </w:r>
          </w:p>
        </w:tc>
        <w:tc>
          <w:tcPr>
            <w:tcW w:w="13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Diagrama de actividad del ETL.</w:t>
            </w:r>
          </w:p>
        </w:tc>
        <w:tc>
          <w:tcPr>
            <w:tcW w:w="10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14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Ajustada: se agregó la etapa previa de extracción a la plantilla estándar de carga.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Desarrollo de solución de software</w:t>
            </w:r>
          </w:p>
        </w:tc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16"/>
                <w:szCs w:val="16"/>
                <w:lang w:eastAsia="es-CL"/>
              </w:rPr>
              <w:t xml:space="preserve">Configuración del entorno de desarrollo y datos simulados</w:t>
            </w:r>
          </w:p>
        </w:tc>
        <w:tc>
          <w:tcPr>
            <w:tcW w:w="12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GitHub, SQL Server, Python, React</w:t>
            </w:r>
          </w:p>
        </w:tc>
        <w:tc>
          <w:tcPr>
            <w:tcW w:w="9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1 semana (S9)</w:t>
            </w:r>
          </w:p>
        </w:tc>
        <w:tc>
          <w:tcPr>
            <w:tcW w:w="11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Tomás Catalán y David Muñoz (entorno); María Trinidad Gaete y Héctor Sanhueza (datos)</w:t>
            </w:r>
          </w:p>
        </w:tc>
        <w:tc>
          <w:tcPr>
            <w:tcW w:w="13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Condición para iniciar la construcción.</w:t>
            </w:r>
          </w:p>
        </w:tc>
        <w:tc>
          <w:tcPr>
            <w:tcW w:w="10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No iniciado</w:t>
            </w:r>
          </w:p>
        </w:tc>
        <w:tc>
          <w:tcPr>
            <w:tcW w:w="14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Actividad nueva, detectada en el monitoreo.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Implementación de soluciones sistémicas</w:t>
            </w:r>
          </w:p>
        </w:tc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16"/>
                <w:szCs w:val="16"/>
                <w:lang w:eastAsia="es-CL"/>
              </w:rPr>
              <w:t xml:space="preserve">Recepción por correo y extracción de documentos (OCR/IA)</w:t>
            </w:r>
          </w:p>
        </w:tc>
        <w:tc>
          <w:tcPr>
            <w:tcW w:w="12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Python, Tesseract OCR, casilla de correo de prueba, documentos simulados</w:t>
            </w:r>
          </w:p>
        </w:tc>
        <w:tc>
          <w:tcPr>
            <w:tcW w:w="9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2 semanas (S9–S10)</w:t>
            </w:r>
          </w:p>
        </w:tc>
        <w:tc>
          <w:tcPr>
            <w:tcW w:w="11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Héctor Sanhueza</w:t>
            </w:r>
          </w:p>
        </w:tc>
        <w:tc>
          <w:tcPr>
            <w:tcW w:w="13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Riesgo de errores de lectura en escaneos y fotografías (R-06).</w:t>
            </w:r>
          </w:p>
        </w:tc>
        <w:tc>
          <w:tcPr>
            <w:tcW w:w="10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Con retraso</w:t>
            </w:r>
          </w:p>
        </w:tc>
        <w:tc>
          <w:tcPr>
            <w:tcW w:w="14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Actividad nueva (RF12, RN05). Se usará Tesseract OCR local para no enviar datos a servicios externos (R-05).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Transformación de grandes volúmenes de datos</w:t>
            </w:r>
          </w:p>
        </w:tc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16"/>
                <w:szCs w:val="16"/>
                <w:lang w:eastAsia="es-CL"/>
              </w:rPr>
              <w:t xml:space="preserve">Implementación del ETL</w:t>
            </w:r>
          </w:p>
        </w:tc>
        <w:tc>
          <w:tcPr>
            <w:tcW w:w="12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Python (Pandas), SQL Server</w:t>
            </w:r>
          </w:p>
        </w:tc>
        <w:tc>
          <w:tcPr>
            <w:tcW w:w="9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3 semanas (S9–S11)</w:t>
            </w:r>
          </w:p>
        </w:tc>
        <w:tc>
          <w:tcPr>
            <w:tcW w:w="11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Tomás Catalán</w:t>
            </w:r>
          </w:p>
        </w:tc>
        <w:tc>
          <w:tcPr>
            <w:tcW w:w="13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Realizar pruebas parciales durante el desarrollo.</w:t>
            </w:r>
          </w:p>
        </w:tc>
        <w:tc>
          <w:tcPr>
            <w:tcW w:w="10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Con retraso</w:t>
            </w:r>
          </w:p>
        </w:tc>
        <w:tc>
          <w:tcPr>
            <w:tcW w:w="14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La plantilla estándar de carga será la interfaz con el módulo de extracción.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Desarrollo de solución de software</w:t>
            </w:r>
          </w:p>
        </w:tc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16"/>
                <w:szCs w:val="16"/>
                <w:lang w:eastAsia="es-CL"/>
              </w:rPr>
              <w:t xml:space="preserve">Implementación de validaciones y reglas de negocio</w:t>
            </w:r>
          </w:p>
        </w:tc>
        <w:tc>
          <w:tcPr>
            <w:tcW w:w="12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Python, SQL Server, datos simulados</w:t>
            </w:r>
          </w:p>
        </w:tc>
        <w:tc>
          <w:tcPr>
            <w:tcW w:w="9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2 semanas (S9–S10)</w:t>
            </w:r>
          </w:p>
        </w:tc>
        <w:tc>
          <w:tcPr>
            <w:tcW w:w="11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David Muñoz</w:t>
            </w:r>
          </w:p>
        </w:tc>
        <w:tc>
          <w:tcPr>
            <w:tcW w:w="13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Utilizar datos de prueba para validar las reglas.</w:t>
            </w:r>
          </w:p>
        </w:tc>
        <w:tc>
          <w:tcPr>
            <w:tcW w:w="10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Con retraso</w:t>
            </w:r>
          </w:p>
        </w:tc>
        <w:tc>
          <w:tcPr>
            <w:tcW w:w="14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Ajustada: implementa las reglas RN01–RN04 definidas en el ERS.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Transformación de grandes volúmenes de datos</w:t>
            </w:r>
          </w:p>
        </w:tc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16"/>
                <w:szCs w:val="16"/>
                <w:lang w:eastAsia="es-CL"/>
              </w:rPr>
              <w:t xml:space="preserve">Comparación histórica y trazabilidad</w:t>
            </w:r>
          </w:p>
        </w:tc>
        <w:tc>
          <w:tcPr>
            <w:tcW w:w="12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SQL Server, Python</w:t>
            </w:r>
          </w:p>
        </w:tc>
        <w:tc>
          <w:tcPr>
            <w:tcW w:w="9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1 semana (S11)</w:t>
            </w:r>
          </w:p>
        </w:tc>
        <w:tc>
          <w:tcPr>
            <w:tcW w:w="11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Tomás Catalán</w:t>
            </w:r>
          </w:p>
        </w:tc>
        <w:tc>
          <w:tcPr>
            <w:tcW w:w="13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Mantener historial de los procesos ejecutados.</w:t>
            </w:r>
          </w:p>
        </w:tc>
        <w:tc>
          <w:tcPr>
            <w:tcW w:w="10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No iniciado</w:t>
            </w:r>
          </w:p>
        </w:tc>
        <w:tc>
          <w:tcPr>
            <w:tcW w:w="14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Ajustada: incluye la bitácora de auditoría inalterable (RF10).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Transformación de grandes volúmenes de datos</w:t>
            </w:r>
          </w:p>
        </w:tc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16"/>
                <w:szCs w:val="16"/>
                <w:lang w:eastAsia="es-CL"/>
              </w:rPr>
              <w:t xml:space="preserve">Implementación del componente de IA (detección de anomalías)</w:t>
            </w:r>
          </w:p>
        </w:tc>
        <w:tc>
          <w:tcPr>
            <w:tcW w:w="12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Python, Scikit-Learn, datos simulados</w:t>
            </w:r>
          </w:p>
        </w:tc>
        <w:tc>
          <w:tcPr>
            <w:tcW w:w="9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2 semanas (S11–S12)</w:t>
            </w:r>
          </w:p>
        </w:tc>
        <w:tc>
          <w:tcPr>
            <w:tcW w:w="11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Héctor Sanhueza</w:t>
            </w:r>
          </w:p>
        </w:tc>
        <w:tc>
          <w:tcPr>
            <w:tcW w:w="13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La IA apoya el análisis, no reemplaza las reglas de negocio.</w:t>
            </w:r>
          </w:p>
        </w:tc>
        <w:tc>
          <w:tcPr>
            <w:tcW w:w="10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No iniciado</w:t>
            </w:r>
          </w:p>
        </w:tc>
        <w:tc>
          <w:tcPr>
            <w:tcW w:w="14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Sin ajustes de plazo.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Implementación de soluciones sistémicas</w:t>
            </w:r>
          </w:p>
        </w:tc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16"/>
                <w:szCs w:val="16"/>
                <w:lang w:eastAsia="es-CL"/>
              </w:rPr>
              <w:t xml:space="preserve">Desarrollo de dashboard y monitoreo</w:t>
            </w:r>
          </w:p>
        </w:tc>
        <w:tc>
          <w:tcPr>
            <w:tcW w:w="12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React, API backend, SQL Server</w:t>
            </w:r>
          </w:p>
        </w:tc>
        <w:tc>
          <w:tcPr>
            <w:tcW w:w="9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1 semana (S12)</w:t>
            </w:r>
          </w:p>
        </w:tc>
        <w:tc>
          <w:tcPr>
            <w:tcW w:w="11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David Muñoz</w:t>
            </w:r>
          </w:p>
        </w:tc>
        <w:tc>
          <w:tcPr>
            <w:tcW w:w="13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Basado en los mockups aprobados.</w:t>
            </w:r>
          </w:p>
        </w:tc>
        <w:tc>
          <w:tcPr>
            <w:tcW w:w="10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No iniciado</w:t>
            </w:r>
          </w:p>
        </w:tc>
        <w:tc>
          <w:tcPr>
            <w:tcW w:w="14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Se definió React como framework de la interfaz.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Desarrollo de solución de software</w:t>
            </w:r>
          </w:p>
        </w:tc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16"/>
                <w:szCs w:val="16"/>
                <w:lang w:eastAsia="es-CL"/>
              </w:rPr>
              <w:t xml:space="preserve">Implementación de reportes</w:t>
            </w:r>
          </w:p>
        </w:tc>
        <w:tc>
          <w:tcPr>
            <w:tcW w:w="12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Python, React, librerías de exportación</w:t>
            </w:r>
          </w:p>
        </w:tc>
        <w:tc>
          <w:tcPr>
            <w:tcW w:w="9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1 semana (S12)</w:t>
            </w:r>
          </w:p>
        </w:tc>
        <w:tc>
          <w:tcPr>
            <w:tcW w:w="11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David Muñoz</w:t>
            </w:r>
          </w:p>
        </w:tc>
        <w:tc>
          <w:tcPr>
            <w:tcW w:w="13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Considerar filtros y formatos definidos.</w:t>
            </w:r>
          </w:p>
        </w:tc>
        <w:tc>
          <w:tcPr>
            <w:tcW w:w="10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No iniciado</w:t>
            </w:r>
          </w:p>
        </w:tc>
        <w:tc>
          <w:tcPr>
            <w:tcW w:w="14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Ajustada: incluye archivo de respuesta TGR (RF07) y exportación Excel, PDF y CSV (RF11).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Desarrollo de solución / Arquitectura</w:t>
            </w:r>
          </w:p>
        </w:tc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16"/>
                <w:szCs w:val="16"/>
                <w:lang w:eastAsia="es-CL"/>
              </w:rPr>
              <w:t xml:space="preserve">Integración de componentes</w:t>
            </w:r>
          </w:p>
        </w:tc>
        <w:tc>
          <w:tcPr>
            <w:tcW w:w="12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GitHub, entorno de desarrollo, SQL Server</w:t>
            </w:r>
          </w:p>
        </w:tc>
        <w:tc>
          <w:tcPr>
            <w:tcW w:w="9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1 semana (S13)</w:t>
            </w:r>
          </w:p>
        </w:tc>
        <w:tc>
          <w:tcPr>
            <w:tcW w:w="11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Tomás Catalán, David Muñoz y Héctor Sanhueza</w:t>
            </w:r>
          </w:p>
        </w:tc>
        <w:tc>
          <w:tcPr>
            <w:tcW w:w="13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Verificar la comunicación entre los módulos.</w:t>
            </w:r>
          </w:p>
        </w:tc>
        <w:tc>
          <w:tcPr>
            <w:tcW w:w="10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No iniciado</w:t>
            </w:r>
          </w:p>
        </w:tc>
        <w:tc>
          <w:tcPr>
            <w:tcW w:w="14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Ajustada: integración progresiva al cierre de cada módulo.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Pruebas de certificación</w:t>
            </w:r>
          </w:p>
        </w:tc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16"/>
                <w:szCs w:val="16"/>
                <w:lang w:eastAsia="es-CL"/>
              </w:rPr>
              <w:t xml:space="preserve">Pruebas funcionales y de integración</w:t>
            </w:r>
          </w:p>
        </w:tc>
        <w:tc>
          <w:tcPr>
            <w:tcW w:w="12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Plan de Pruebas, datos simulados, herramientas de testing</w:t>
            </w:r>
          </w:p>
        </w:tc>
        <w:tc>
          <w:tcPr>
            <w:tcW w:w="9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1 semana (S14)</w:t>
            </w:r>
          </w:p>
        </w:tc>
        <w:tc>
          <w:tcPr>
            <w:tcW w:w="11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Héctor Sanhueza (apoyo María Trinidad Gaete)</w:t>
            </w:r>
          </w:p>
        </w:tc>
        <w:tc>
          <w:tcPr>
            <w:tcW w:w="13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Registrar resultados y errores encontrados.</w:t>
            </w:r>
          </w:p>
        </w:tc>
        <w:tc>
          <w:tcPr>
            <w:tcW w:w="10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No iniciado</w:t>
            </w:r>
          </w:p>
        </w:tc>
        <w:tc>
          <w:tcPr>
            <w:tcW w:w="14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Ajustada: los casos de prueba se preparan en paralelo al desarrollo.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Pruebas / Gestión de proyectos</w:t>
            </w:r>
          </w:p>
        </w:tc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16"/>
                <w:szCs w:val="16"/>
                <w:lang w:eastAsia="es-CL"/>
              </w:rPr>
              <w:t xml:space="preserve">Correcciones y documentación final</w:t>
            </w:r>
          </w:p>
        </w:tc>
        <w:tc>
          <w:tcPr>
            <w:tcW w:w="12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Herramientas de desarrollo y documentación</w:t>
            </w:r>
          </w:p>
        </w:tc>
        <w:tc>
          <w:tcPr>
            <w:tcW w:w="9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1 semana (S15)</w:t>
            </w:r>
          </w:p>
        </w:tc>
        <w:tc>
          <w:tcPr>
            <w:tcW w:w="11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Todos</w:t>
            </w:r>
          </w:p>
        </w:tc>
        <w:tc>
          <w:tcPr>
            <w:tcW w:w="13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Validación final del cumplimiento de objetivos.</w:t>
            </w:r>
          </w:p>
        </w:tc>
        <w:tc>
          <w:tcPr>
            <w:tcW w:w="10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No iniciado</w:t>
            </w:r>
          </w:p>
        </w:tc>
        <w:tc>
          <w:tcPr>
            <w:tcW w:w="14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Sin ajustes.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Gestión de proyectos informáticos</w:t>
            </w:r>
          </w:p>
        </w:tc>
        <w:tc>
          <w:tcPr>
            <w:tcW w:w="13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16"/>
                <w:szCs w:val="16"/>
                <w:lang w:eastAsia="es-CL"/>
              </w:rPr>
              <w:t xml:space="preserve">Presentación y cierre del proyecto</w:t>
            </w:r>
          </w:p>
        </w:tc>
        <w:tc>
          <w:tcPr>
            <w:tcW w:w="12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Presentación, documentación, plataforma</w:t>
            </w:r>
          </w:p>
        </w:tc>
        <w:tc>
          <w:tcPr>
            <w:tcW w:w="9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3 semanas (S16–S18)</w:t>
            </w:r>
          </w:p>
        </w:tc>
        <w:tc>
          <w:tcPr>
            <w:tcW w:w="115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Todos</w:t>
            </w:r>
          </w:p>
        </w:tc>
        <w:tc>
          <w:tcPr>
            <w:tcW w:w="13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Incluir resultados, evidencias y conclusiones.</w:t>
            </w:r>
          </w:p>
        </w:tc>
        <w:tc>
          <w:tcPr>
            <w:tcW w:w="1000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No iniciado</w:t>
            </w:r>
          </w:p>
        </w:tc>
        <w:tc>
          <w:tcPr>
            <w:tcW w:w="1476" w:type="dxa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cs="Arial"/>
                <w:i/>
                <w:iCs/>
                <w:color w:val="548DD4"/>
                <w:sz w:val="16"/>
                <w:szCs w:val="16"/>
                <w:lang w:eastAsia="es-CL"/>
              </w:rPr>
              <w:t xml:space="preserve">Sin ajustes.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1F3864"/>
                <w:sz w:val="22"/>
                <w:szCs w:val="22"/>
                <w:lang w:eastAsia="es-CL"/>
              </w:rPr>
              <w:t xml:space="preserve">Factores que han facilitado y/o dificultado el desarrollo de mi plan de trabajo: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 xml:space="preserve">Facilitadores: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la división clara de responsabilidades definida en la matriz RACI; la base documental elaborada en la Fase 1; el repositorio compartido en GitHub, que centraliza los documentos con su historial; el uso de herramientas gratuitas o de código abierto (Python, SQL Server Express/Developer, React y Tesseract OCR), y los conocimientos previos del equipo en desarrollo web, bases de datos y Python.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 xml:space="preserve">Dificultades y acciones: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Coordinación de horarios de los cuatro integrantes. Acción: reuniones de seguimiento semanales en horario fijo y registro de tareas y avances en un tablero compartido.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Ampliación del alcance con la recepción por correo y la extracción OCR, que obligó a actualizar casi todos los documentos de diseño. Acción: el cambio se incorporó en el ERS, los diagramas y la matriz de riesgos, y los próximos cambios se registrarán en las actas de seguimiento.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Definición tardía del stack tecnológico, que retrasó el inicio de la programación. Acción: se definió Python (Pandas y Scikit-Learn), SQL Server, React y Tesseract OCR, y se priorizó la configuración del entorno de desarrollo.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Falta de datos reales de la TGR y de Banco Genérico (R-02). Acción: se generará un conjunto de datos y documentos simulados (Excel, PDF y escaneos) para desarrollar y probar todos los módulos.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Riesgo de errores de lectura del OCR en escaneos y fotografías (R-06). Acción: umbral mínimo de confianza de 90% (RN05), comparación con las sumatorias de control, validación de RUT con Módulo 11 y revisión manual de los registros dudosos.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1F3864"/>
                <w:sz w:val="22"/>
                <w:szCs w:val="22"/>
                <w:lang w:eastAsia="es-CL"/>
              </w:rPr>
              <w:t xml:space="preserve">Actividades ajustadas o eliminadas: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No se eliminaron actividades. Los ajustes realizados al plan de trabajo son: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 xml:space="preserve">Nueva actividad: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Se incorporó la actividad "Recepción por correo y extracción de documentos (OCR/IA)" (RF12, RN05), a cargo de Héctor Sanhueza, porque los documentos de la TGR pueden llegar como PDF, escaneos o fotografías y no solo como Excel o CSV.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 xml:space="preserve">Nueva actividad: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Se agregó "Configuración del entorno de desarrollo y datos simulados", que no estaba explícita en el plan y es condición para iniciar la construcción.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 xml:space="preserve">Requerimientos y diseño: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El levantamiento de requerimientos y las actividades de diseño se ajustaron para incluir el nuevo alcance: ERS con RF01–RF12 y RN01–RN05, CU12, módulo de extracción en arquitectura y despliegue, y etapa de extracción en el diagrama del ETL.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 xml:space="preserve">Herramienta de OCR: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Se eligió Tesseract OCR, que se ejecuta localmente, en lugar de un servicio de OCR en la nube, para no exponer datos sensibles de deudores a terceros (R-05).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 xml:space="preserve">Integración y pruebas: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La integración de componentes pasa de una sola semana (S13) a integraciones progresivas al cierre de cada módulo, y los casos de prueba se preparan en paralelo al desarrollo, con apoyo de María Trinidad Gaete, para no comprimir la etapa de pruebas.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1F3864"/>
                <w:sz w:val="22"/>
                <w:szCs w:val="22"/>
                <w:lang w:eastAsia="es-CL"/>
              </w:rPr>
              <w:t xml:space="preserve">Actividades que no has iniciado o están retrasadas: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 xml:space="preserve">Retrasadas: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la recepción por correo y extracción OCR/IA, la implementación del ETL y la implementación de validaciones y reglas de negocio, planificadas para iniciarse en la semana 9, aún no comienzan. Los motivos son que las actividades de análisis y diseño se cerraron recién al final de la semana 8, que la ampliación del alcance obligó a rehacer parte del diseño y que el stack tecnológico se definió tarde.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 xml:space="preserve">Estrategias para recuperar el retraso: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Configurar de inmediato el entorno de desarrollo (repositorio, base de datos SQL Server y proyecto React) y generar los datos simulados.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Desarrollar los módulos en paralelo, con entregas incrementales semanales y pruebas unitarias al cierre de cada una.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Construir primero un flujo mínimo de extremo a extremo (carga de Excel/CSV, validación, carga en la base de datos y visualización) y luego agregar las funciones avanzadas (OCR de escaneos y fotografías, e IA).</w:t>
            </w:r>
          </w:p>
          <w:p>
            <w:pPr>
              <w:spacing w:before="0" w:after="40" w:line="259" w:lineRule="auto"/>
              <w:ind w:left="284" w:hanging="142"/>
              <w:jc w:val="both"/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Revisar la carta Gantt en cada reunión de seguimiento y reasignar apoyo a las actividades con mayor atraso.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 xml:space="preserve">No iniciadas según lo planificado: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comparación histórica y trazabilidad, componente de IA, dashboard, reportes, integración, pruebas, correcciones y cierre corresponden a las semanas 11 a 18, por lo que aún no deben iniciarse.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