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8s81wxmttnd" w:id="0"/>
      <w:bookmarkEnd w:id="0"/>
      <w:r w:rsidDel="00000000" w:rsidR="00000000" w:rsidRPr="00000000">
        <w:rPr>
          <w:rtl w:val="0"/>
        </w:rPr>
        <w:t xml:space="preserve">Modelos de Datos y Arquitectura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nm5jdlg7un0" w:id="1"/>
      <w:bookmarkEnd w:id="1"/>
      <w:r w:rsidDel="00000000" w:rsidR="00000000" w:rsidRPr="00000000">
        <w:rPr>
          <w:rtl w:val="0"/>
        </w:rPr>
        <w:t xml:space="preserve">Proyecto: TTDH Automation (Banco Genérico)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mppe151pne0" w:id="2"/>
      <w:bookmarkEnd w:id="2"/>
      <w:r w:rsidDel="00000000" w:rsidR="00000000" w:rsidRPr="00000000">
        <w:rPr>
          <w:rtl w:val="0"/>
        </w:rPr>
        <w:t xml:space="preserve">1. Introducción y Arquitectura de la Solución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presente documento define la arquitectura técnica y el modelo de datos relacional para el proyecto </w:t>
      </w:r>
      <w:r w:rsidDel="00000000" w:rsidR="00000000" w:rsidRPr="00000000">
        <w:rPr>
          <w:b w:val="1"/>
          <w:bCs w:val="1"/>
          <w:rtl w:val="0"/>
        </w:rPr>
        <w:t xml:space="preserve">TTDH Automation</w:t>
      </w:r>
      <w:r w:rsidDel="00000000" w:rsidR="00000000" w:rsidRPr="00000000">
        <w:rPr>
          <w:rtl w:val="0"/>
        </w:rPr>
        <w:t xml:space="preserve">, diseñado por el equipo </w:t>
      </w:r>
      <w:r w:rsidDel="00000000" w:rsidR="00000000" w:rsidRPr="00000000">
        <w:rPr>
          <w:b w:val="1"/>
          <w:bCs w:val="1"/>
          <w:rtl w:val="0"/>
        </w:rPr>
        <w:t xml:space="preserve">STARTAB</w:t>
      </w:r>
      <w:r w:rsidDel="00000000" w:rsidR="00000000" w:rsidRPr="00000000">
        <w:rPr>
          <w:rtl w:val="0"/>
        </w:rPr>
        <w:t xml:space="preserve"> (liderado técnicamente por Tomas Catalán Madariaga en bases de datos y ETL). La solución tiene como propósito automatizar el procesamiento, validación y cruce de registros de deudores entre la Tesorería General de la República (TGR) y el Banco Genérico.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flujo arquitectónico consta de las siguientes capas: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Capa de Recepción e Ingesta:</w:t>
      </w:r>
      <w:r w:rsidDel="00000000" w:rsidR="00000000" w:rsidRPr="00000000">
        <w:rPr>
          <w:rtl w:val="0"/>
        </w:rPr>
        <w:t xml:space="preserve"> Recepción de los documentos enviados periódicamente por la TGR a través de la casilla de correo institucional, el directorio SFTP o la carga web, en formatos estructurados (Excel, CSV, TXT) y no estructurados (PDF, escaneos y fotografías). Los documentos no estructurados se convierten a una plantilla estándar mediante un módulo de extracción con OCR e IA.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Procesamiento ETL:</w:t>
      </w:r>
      <w:r w:rsidDel="00000000" w:rsidR="00000000" w:rsidRPr="00000000">
        <w:rPr>
          <w:rtl w:val="0"/>
        </w:rPr>
        <w:t xml:space="preserve"> Extracción, parsing, validación de reglas de negocio (RUT, duplicados, campos obligatorios) y transformación de los datos.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Almacenamiento y Matching (Base de Datos):</w:t>
      </w:r>
      <w:r w:rsidDel="00000000" w:rsidR="00000000" w:rsidRPr="00000000">
        <w:rPr>
          <w:rtl w:val="0"/>
        </w:rPr>
        <w:t xml:space="preserve"> Persistencia transaccional de los datos validados y cruce con la información del Banco Genérico, manteniendo un registro de comparación histórica y trazabilidad.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Inteligencia Artificial y Reportes:</w:t>
      </w:r>
      <w:r w:rsidDel="00000000" w:rsidR="00000000" w:rsidRPr="00000000">
        <w:rPr>
          <w:rtl w:val="0"/>
        </w:rPr>
        <w:t xml:space="preserve"> Módulo analítico asistido por IA para detectar anomalías, sugerir validaciones y generar reportes parametrizables.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 (Frontend / Dashboard):</w:t>
      </w:r>
      <w:r w:rsidDel="00000000" w:rsidR="00000000" w:rsidRPr="00000000">
        <w:rPr>
          <w:rtl w:val="0"/>
        </w:rPr>
        <w:t xml:space="preserve"> Interfaz web interactiva, desarrollada en React, para la supervisión en tiempo real del estado de los procesos.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1hanbpgpscd" w:id="3"/>
      <w:bookmarkEnd w:id="3"/>
      <w:r w:rsidDel="00000000" w:rsidR="00000000" w:rsidRPr="00000000">
        <w:rPr>
          <w:rtl w:val="0"/>
        </w:rPr>
        <w:t xml:space="preserve">2. Arquitectura de Software y Componentes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solución adopta un diseño modular desacoplado: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Ingesta y ETL (Tomas Catalán):</w:t>
      </w:r>
      <w:r w:rsidDel="00000000" w:rsidR="00000000" w:rsidRPr="00000000">
        <w:rPr>
          <w:rtl w:val="0"/>
        </w:rPr>
        <w:t xml:space="preserve"> Encargado de automatizar la lectura de ficheros externos y la carga normalizada en el almacenamiento.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Validaciones y Core Backend (David Muñoz):</w:t>
      </w:r>
      <w:r w:rsidDel="00000000" w:rsidR="00000000" w:rsidRPr="00000000">
        <w:rPr>
          <w:rtl w:val="0"/>
        </w:rPr>
        <w:t xml:space="preserve"> Ejecuta las reglas de negocio, validación estricta de RUT (Módulo 11), detección de duplicados y cruce de cuentas.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Inteligencia Artificial y QA (Héctor Sanhueza):</w:t>
      </w:r>
      <w:r w:rsidDel="00000000" w:rsidR="00000000" w:rsidRPr="00000000">
        <w:rPr>
          <w:rtl w:val="0"/>
        </w:rPr>
        <w:t xml:space="preserve"> Extrae y normaliza los datos de los documentos no estructurados (PDF, escaneos y fotografías) mediante OCR local con Tesseract, analiza patrones atípicos de rechazo y apoya en la certificación de calidad de los datos.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de Gestión y Coordinación (María Trinidad Gaete):</w:t>
      </w:r>
      <w:r w:rsidDel="00000000" w:rsidR="00000000" w:rsidRPr="00000000">
        <w:rPr>
          <w:rtl w:val="0"/>
        </w:rPr>
        <w:t xml:space="preserve"> Supervisión de requerimientos y control general del proyecto.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awr0cjgewhl" w:id="5"/>
      <w:bookmarkEnd w:id="5"/>
      <w:r w:rsidDel="00000000" w:rsidR="00000000" w:rsidRPr="00000000">
        <w:rPr>
          <w:b w:val="1"/>
          <w:bCs w:val="1"/>
          <w:rtl w:val="0"/>
        </w:rPr>
        <w:t xml:space="preserve">2.1 Diagrama de Componentes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diagrama de componentes muestra los módulos de la solución agrupados por capa (presentación, aplicación y procesamiento), sus dependencias y las integraciones con los sistemas externos: servidor de correo institucional, servidor SFTP de la TGR, Core Bancario y Active Directory. El motor OCR (Tesseract) es un componente interno de la capa de procesamiento.</w:t>
      </w:r>
    </w:p>
    <w:p>
      <w:pPr>
        <w:jc w:val="center"/>
      </w:pPr>
      <w:r>
        <w:drawing>
          <wp:inline>
            <wp:extent cx="5715000" cy="4531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nent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3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1: Diagrama de componentes de TTDH Automation.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awr0cjgewhl" w:id="5"/>
      <w:bookmarkEnd w:id="5"/>
      <w:r w:rsidDel="00000000" w:rsidR="00000000" w:rsidRPr="00000000">
        <w:rPr>
          <w:b w:val="1"/>
          <w:bCs w:val="1"/>
          <w:rtl w:val="0"/>
        </w:rPr>
        <w:t xml:space="preserve">2.2 Diagrama de Despliegue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El diagrama de despliegue muestra la distribución física propuesta de los componentes en la red interna de Banco Genérico. La comunicación con el usuario utiliza HTTPS con TLS 1.3 y la base de datos se cifra en reposo con AES-256, según los requerimientos no funcionales de seguridad. El Frontend Web se desarrolla en React; la API Backend, el ETL (Pandas) y el Módulo de IA (Scikit-Learn) en Python, y la base de datos en SQL Server. El Módulo de Recepción y Extracción se ejecuta en el Servidor de Procesamiento, lee la casilla de correo mediante IMAP sobre TLS y procesa las imágenes con Tesseract OCR en el mismo servidor, por lo que los documentos no se envían a servicios externos; además, en el proyecto se utilizan documentos simulados para no exponer datos sensibles.</w:t>
      </w:r>
    </w:p>
    <w:p>
      <w:pPr>
        <w:jc w:val="center"/>
      </w:pPr>
      <w:r>
        <w:drawing>
          <wp:inline>
            <wp:extent cx="5486400" cy="2625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splieg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2: Diagrama de despliegue de TTDH Automation.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n8aos2vlkiwu" w:id="4"/>
      <w:bookmarkEnd w:id="4"/>
      <w:r w:rsidDel="00000000" w:rsidR="00000000" w:rsidRPr="00000000">
        <w:rPr>
          <w:rtl w:val="0"/>
        </w:rPr>
        <w:t xml:space="preserve">3. Modelo Entidad-Relación (ER) / Modelo de Datos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Para soportar la trazabilidad histórica, el almacenamiento de transacciones y los reportes, se define el siguiente esquema de base de datos relacional: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 Figura 3 presenta el modelo entidad-relación con las siete entidades del sistema y sus cardinalidades. A continuación se detalla cada entidad.</w:t>
      </w:r>
    </w:p>
    <w:p>
      <w:pPr>
        <w:jc w:val="center"/>
      </w:pPr>
      <w:r>
        <w:drawing>
          <wp:inline>
            <wp:extent cx="3931920" cy="6990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o_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99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3: Modelo entidad-relación de TTDH Automation.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awr0cjgewhl" w:id="5"/>
      <w:bookmarkEnd w:id="5"/>
      <w:r w:rsidDel="00000000" w:rsidR="00000000" w:rsidRPr="00000000">
        <w:rPr>
          <w:b w:val="1"/>
          <w:bCs w:val="1"/>
          <w:rtl w:val="0"/>
        </w:rPr>
        <w:t xml:space="preserve">Entidad 1: Archivos_TGR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>Registra la metadata de cada documento recibido desde la TGR, incluido su canal de recepción y el resultado de la extracción cuando se trata de un PDF o una imagen.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id_archivo</w:t>
      </w:r>
      <w:r w:rsidDel="00000000" w:rsidR="00000000" w:rsidRPr="00000000">
        <w:rPr>
          <w:rtl w:val="0"/>
        </w:rPr>
        <w:t xml:space="preserve"> (PK, INT)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nombre_archivo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canal_origen</w:t>
      </w:r>
      <w:r w:rsidDel="00000000" w:rsidR="00000000" w:rsidRPr="00000000">
        <w:rPr>
          <w:rtl w:val="0"/>
        </w:rPr>
        <w:t xml:space="preserve"> (VARCHAR: Correo, SFTP, Web)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remitente</w:t>
      </w:r>
      <w:r w:rsidDel="00000000" w:rsidR="00000000" w:rsidRPr="00000000">
        <w:rPr>
          <w:rtl w:val="0"/>
        </w:rPr>
        <w:t xml:space="preserve"> (VARCHAR: correo del remitente; nulo si el canal no es Correo)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tipo_documento</w:t>
      </w:r>
      <w:r w:rsidDel="00000000" w:rsidR="00000000" w:rsidRPr="00000000">
        <w:rPr>
          <w:rtl w:val="0"/>
        </w:rPr>
        <w:t xml:space="preserve"> (VARCHAR: Excel, CSV, TXT, PDF con texto, PDF escaneado, Imagen)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ruta_original</w:t>
      </w:r>
      <w:r w:rsidDel="00000000" w:rsidR="00000000" w:rsidRPr="00000000">
        <w:rPr>
          <w:rtl w:val="0"/>
        </w:rPr>
        <w:t xml:space="preserve"> (VARCHAR: ubicación del documento original en el repositorio)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fecha_recepcion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estado_archivo</w:t>
      </w:r>
      <w:r w:rsidDel="00000000" w:rsidR="00000000" w:rsidRPr="00000000">
        <w:rPr>
          <w:rtl w:val="0"/>
        </w:rPr>
        <w:t xml:space="preserve"> (VARCHAR: Recibido, Normalizado, Pendiente de Extracción, Error de Extracción, Procesado, Error)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total_registros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confianza_extraccion</w:t>
      </w:r>
      <w:r w:rsidDel="00000000" w:rsidR="00000000" w:rsidRPr="00000000">
        <w:rPr>
          <w:rtl w:val="0"/>
        </w:rPr>
        <w:t xml:space="preserve"> (DECIMAL: confianza promedio de la extracción OCR/IA; nulo en formatos estructurados)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xqz2cz56mdb" w:id="6"/>
      <w:bookmarkEnd w:id="6"/>
      <w:r w:rsidDel="00000000" w:rsidR="00000000" w:rsidRPr="00000000">
        <w:rPr>
          <w:b w:val="1"/>
          <w:bCs w:val="1"/>
          <w:rtl w:val="0"/>
        </w:rPr>
        <w:t xml:space="preserve">Entidad 2: Registros_TGR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Almacena el detalle desglosado de cada transacción contenida en los archivos TGR.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id_registro</w:t>
      </w:r>
      <w:r w:rsidDel="00000000" w:rsidR="00000000" w:rsidRPr="00000000">
        <w:rPr>
          <w:rtl w:val="0"/>
        </w:rPr>
        <w:t xml:space="preserve"> (PK, INT)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id_archivo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rut_deudor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folio_deuda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monto_deuda</w:t>
      </w:r>
      <w:r w:rsidDel="00000000" w:rsidR="00000000" w:rsidRPr="00000000">
        <w:rPr>
          <w:rtl w:val="0"/>
        </w:rPr>
        <w:t xml:space="preserve"> (DECIMAL)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fecha_origen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estado_validacion</w:t>
      </w:r>
      <w:r w:rsidDel="00000000" w:rsidR="00000000" w:rsidRPr="00000000">
        <w:rPr>
          <w:rtl w:val="0"/>
        </w:rPr>
        <w:t xml:space="preserve"> (VARCHAR: Válido, Inválido, Duplicado, Revisión de Extracción)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confianza_extraccion</w:t>
      </w:r>
      <w:r w:rsidDel="00000000" w:rsidR="00000000" w:rsidRPr="00000000">
        <w:rPr>
          <w:rtl w:val="0"/>
        </w:rPr>
        <w:t xml:space="preserve"> (DECIMAL: confianza del registro extraído por OCR/IA, evaluada según RN05; nulo en formatos estructurados)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obweoxwkrj8h" w:id="7"/>
      <w:bookmarkEnd w:id="7"/>
      <w:r w:rsidDel="00000000" w:rsidR="00000000" w:rsidRPr="00000000">
        <w:rPr>
          <w:b w:val="1"/>
          <w:bCs w:val="1"/>
          <w:rtl w:val="0"/>
        </w:rPr>
        <w:t xml:space="preserve">Entidad 3: Conciliacion_Banco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Resultado del cruce automatizado entre los registros TGR y las bases de datos de Banco Genérico.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id_conciliacion</w:t>
      </w:r>
      <w:r w:rsidDel="00000000" w:rsidR="00000000" w:rsidRPr="00000000">
        <w:rPr>
          <w:rtl w:val="0"/>
        </w:rPr>
        <w:t xml:space="preserve"> (PK, INT)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id_registro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cuenta_bancaria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estado_conciliacion</w:t>
      </w:r>
      <w:r w:rsidDel="00000000" w:rsidR="00000000" w:rsidRPr="00000000">
        <w:rPr>
          <w:rtl w:val="0"/>
        </w:rPr>
        <w:t xml:space="preserve"> (VARCHAR: </w:t>
      </w:r>
      <w:r w:rsidDel="00000000" w:rsidR="00000000" w:rsidRPr="00000000">
        <w:rPr>
          <w:i w:val="1"/>
          <w:iCs w:val="1"/>
          <w:rtl w:val="0"/>
        </w:rPr>
        <w:t xml:space="preserve">Conciliado, Rechazado Banco, Pendiente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detalle_observacion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fecha_cruce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w0q4k2ut802" w:id="8"/>
      <w:bookmarkEnd w:id="8"/>
      <w:r w:rsidDel="00000000" w:rsidR="00000000" w:rsidRPr="00000000">
        <w:rPr>
          <w:b w:val="1"/>
          <w:bCs w:val="1"/>
          <w:rtl w:val="0"/>
        </w:rPr>
        <w:t xml:space="preserve">Entidad 4: Bitacora_Trazabilidad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Garantiza el cumplimiento del requisito de auditoría e historial de ejecuciones.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id_bitacora</w:t>
      </w:r>
      <w:r w:rsidDel="00000000" w:rsidR="00000000" w:rsidRPr="00000000">
        <w:rPr>
          <w:rtl w:val="0"/>
        </w:rPr>
        <w:t xml:space="preserve"> (PK, INT)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accion_ejecutada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id_usuario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timestamp_accion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detalle_cambio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wt04g6mc8r9x" w:id="9"/>
      <w:bookmarkEnd w:id="9"/>
      <w:r w:rsidDel="00000000" w:rsidR="00000000" w:rsidRPr="00000000">
        <w:rPr>
          <w:b w:val="1"/>
          <w:bCs w:val="1"/>
          <w:rtl w:val="0"/>
        </w:rPr>
        <w:t xml:space="preserve">Entidad 5: Analisis_IA_Anomalias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Almacena las sugerencias y detección de anomalías generadas por el componente de IA.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id_analisis</w:t>
      </w:r>
      <w:r w:rsidDel="00000000" w:rsidR="00000000" w:rsidRPr="00000000">
        <w:rPr>
          <w:rtl w:val="0"/>
        </w:rPr>
        <w:t xml:space="preserve"> (PK, INT)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id_conciliacion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nivel_anomalia</w:t>
      </w:r>
      <w:r w:rsidDel="00000000" w:rsidR="00000000" w:rsidRPr="00000000">
        <w:rPr>
          <w:rtl w:val="0"/>
        </w:rPr>
        <w:t xml:space="preserve"> (VARCHAR: </w:t>
      </w:r>
      <w:r w:rsidDel="00000000" w:rsidR="00000000" w:rsidRPr="00000000">
        <w:rPr>
          <w:i w:val="1"/>
          <w:iCs w:val="1"/>
          <w:rtl w:val="0"/>
        </w:rPr>
        <w:t xml:space="preserve">Bajo, Medio, Alto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sugerencia_ia</w:t>
      </w:r>
      <w:r w:rsidDel="00000000" w:rsidR="00000000" w:rsidRPr="00000000">
        <w:rPr>
          <w:rtl w:val="0"/>
        </w:rPr>
        <w:t xml:space="preserve"> (TEXT)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fecha_analisis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awr0cjgewhl" w:id="5"/>
      <w:bookmarkEnd w:id="5"/>
      <w:r w:rsidDel="00000000" w:rsidR="00000000" w:rsidRPr="00000000">
        <w:rPr>
          <w:b w:val="1"/>
          <w:bCs w:val="1"/>
          <w:rtl w:val="0"/>
        </w:rPr>
        <w:t xml:space="preserve">Entidad 6: Roles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Define los perfiles de acceso de la plataforma (Administrador, Analista de Conciliación, Auditor y Consulta), según RF09.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id_rol</w:t>
      </w:r>
      <w:r w:rsidDel="00000000" w:rsidR="00000000" w:rsidRPr="00000000">
        <w:rPr>
          <w:rtl w:val="0"/>
        </w:rPr>
        <w:t xml:space="preserve"> (PK, INT)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nombre_rol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descripcion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awr0cjgewhl" w:id="5"/>
      <w:bookmarkEnd w:id="5"/>
      <w:r w:rsidDel="00000000" w:rsidR="00000000" w:rsidRPr="00000000">
        <w:rPr>
          <w:b w:val="1"/>
          <w:bCs w:val="1"/>
          <w:rtl w:val="0"/>
        </w:rPr>
        <w:t xml:space="preserve">Entidad 7: Usuarios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Registra a los usuarios autorizados, vinculados a su cuenta del Active Directory y a un rol. Permite que la Bitácora_Trazabilidad identifique al responsable de cada acción mediante una llave foránea.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id_usuario</w:t>
      </w:r>
      <w:r w:rsidDel="00000000" w:rsidR="00000000" w:rsidRPr="00000000">
        <w:rPr>
          <w:rtl w:val="0"/>
        </w:rPr>
        <w:t xml:space="preserve"> (PK, INT)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id_rol</w:t>
      </w:r>
      <w:r w:rsidDel="00000000" w:rsidR="00000000" w:rsidRPr="00000000">
        <w:rPr>
          <w:rtl w:val="0"/>
        </w:rPr>
        <w:t xml:space="preserve"> (FK, INT)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usuario_ad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nombre_completo</w:t>
      </w:r>
      <w:r w:rsidDel="00000000" w:rsidR="00000000" w:rsidRPr="00000000">
        <w:rPr>
          <w:rtl w:val="0"/>
        </w:rPr>
        <w:t xml:space="preserve"> (VARCHAR)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>activo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2xiv90uqc6o0" w:id="10"/>
      <w:bookmarkEnd w:id="10"/>
      <w:r w:rsidDel="00000000" w:rsidR="00000000" w:rsidRPr="00000000">
        <w:rPr>
          <w:rtl w:val="0"/>
        </w:rPr>
        <w:t xml:space="preserve">4. Diseño del Proceso ETL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El pipeline ETL se divide en tres fases principales operadas por los scripts del sistema: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Extract (Extracción):</w:t>
      </w:r>
      <w:r w:rsidDel="00000000" w:rsidR="00000000" w:rsidRPr="00000000">
        <w:rPr>
          <w:rtl w:val="0"/>
        </w:rPr>
        <w:t xml:space="preserve"> Lectura automatizada de los documentos provenientes de la TGR. Los formatos estructurados (CSV, Excel, TXT) se leen directamente; los PDF y las imágenes pasan antes por el módulo de extracción (OCR/IA), que los convierte a la plantilla estándar con un nivel de confianza por registro (RN05).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 (Transformación y Validación):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Normalización de formatos de fecha y montos.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Validación algorítmica de RUT (Módulo 11).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Control de duplicados comparando llaves únicas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id_transaccion + rut + monto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>Filtrado de campos obligatorios faltantes.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(Carga):</w:t>
      </w:r>
      <w:r w:rsidDel="00000000" w:rsidR="00000000" w:rsidRPr="00000000">
        <w:rPr>
          <w:rtl w:val="0"/>
        </w:rPr>
        <w:t xml:space="preserve"> Almacenamiento estructurado en las tablas transaccionales de la base de datos relacional y activación automática del motor de matching con Banco Genérico.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awr0cjgewhl" w:id="5"/>
      <w:bookmarkEnd w:id="5"/>
      <w:r w:rsidDel="00000000" w:rsidR="00000000" w:rsidRPr="00000000">
        <w:rPr>
          <w:b w:val="1"/>
          <w:bCs w:val="1"/>
          <w:rtl w:val="0"/>
        </w:rPr>
        <w:t xml:space="preserve">4.1 Diagrama de Actividad del Proceso ETL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>El diagrama de actividad detalla el flujo del pipeline ETL, las decisiones de validación asociadas a cada regla de negocio (RN01 a RN05), incluida la etapa previa de recepción y extracción de documentos no estructurados, y el destino de los registros según el resultado de cada validación.</w:t>
      </w:r>
    </w:p>
    <w:p>
      <w:pPr>
        <w:jc w:val="center"/>
      </w:pPr>
      <w:r>
        <w:drawing>
          <wp:inline>
            <wp:extent cx="3878732" cy="764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ctividad_et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8732" cy="764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4: Diagrama de actividad del proceso ETL.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wawr0cjgewhl" w:id="5"/>
      <w:bookmarkEnd w:id="5"/>
      <w:r w:rsidDel="00000000" w:rsidR="00000000" w:rsidRPr="00000000">
        <w:rPr>
          <w:b w:val="1"/>
          <w:bCs w:val="1"/>
          <w:rtl w:val="0"/>
        </w:rPr>
        <w:t>4.2 Diagrama de Secuencia: Recepción y Procesamiento de Documento TGR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>El diagrama de secuencia muestra la interacción entre los componentes desde que se recibe un documento (automáticamente desde la casilla de correo institucional o mediante carga web) hasta que el Analista recibe el resumen del lote procesado. Incluye la extracción y normalización de PDF e imágenes con OCR/IA, la derivación a revisión manual de los registros con baja confianza y el flujo alternativo de rechazo por formato (casos de uso CU02, CU12, CU03 y CU04).</w:t>
      </w:r>
    </w:p>
    <w:p>
      <w:pPr>
        <w:jc w:val="center"/>
      </w:pPr>
      <w:r>
        <w:drawing>
          <wp:inline>
            <wp:extent cx="5715000" cy="43708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cuencia_car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7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F6B"/>
          <w:sz w:val="18"/>
        </w:rPr>
        <w:t>Figura 5: Diagrama de secuencia de recepción y procesamiento de documento TGR.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eye417eppxz8" w:id="11"/>
      <w:bookmarkEnd w:id="11"/>
      <w:r w:rsidDel="00000000" w:rsidR="00000000" w:rsidRPr="00000000">
        <w:rPr>
          <w:rtl w:val="0"/>
        </w:rPr>
        <w:t xml:space="preserve">5. Responsabilidades del Diseño de Datos y Arquitectura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Tomas Catalán Madariaga:</w:t>
      </w:r>
      <w:r w:rsidDel="00000000" w:rsidR="00000000" w:rsidRPr="00000000">
        <w:rPr>
          <w:rtl w:val="0"/>
        </w:rPr>
        <w:t xml:space="preserve"> Modelamiento de la base de datos relacional y diseño estructural del pipeline ETL.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David Muñoz Bravo:</w:t>
      </w:r>
      <w:r w:rsidDel="00000000" w:rsidR="00000000" w:rsidRPr="00000000">
        <w:rPr>
          <w:rtl w:val="0"/>
        </w:rPr>
        <w:t xml:space="preserve"> Integración del modelo de datos con las reglas de negocio y lógica de backend.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Héctor Sanhueza Castro:</w:t>
      </w:r>
      <w:r w:rsidDel="00000000" w:rsidR="00000000" w:rsidRPr="00000000">
        <w:rPr>
          <w:rtl w:val="0"/>
        </w:rPr>
        <w:t xml:space="preserve"> Estructuración de esquemas para el almacenamiento de resultados del componente de IA y validaciones.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María Trinidad Gaete Mella:</w:t>
      </w:r>
      <w:r w:rsidDel="00000000" w:rsidR="00000000" w:rsidRPr="00000000">
        <w:rPr>
          <w:rtl w:val="0"/>
        </w:rPr>
        <w:t xml:space="preserve"> Validación del modelo de datos frente a la ERS y requerimientos institucionales.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