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413F7059"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w:t>
      </w:r>
      <w:r w:rsidR="00167C95">
        <w:t xml:space="preserve"> </w:t>
      </w:r>
      <w:r w:rsidRPr="00C218CC">
        <w:t>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The Provider also included the estimated reimbursement effect of additional allowable inpatient and outpatient Medicare crossover bad debts in its filed Protested Amounts on its cost report.  Although the Provider’s filed protested amount documentation includes item 33 related to “[u]</w:t>
      </w:r>
      <w:proofErr w:type="spellStart"/>
      <w:r w:rsidRPr="00513F88">
        <w:t>nderstated</w:t>
      </w:r>
      <w:proofErr w:type="spellEnd"/>
      <w:r w:rsidRPr="00513F88">
        <w:t xml:space="preserve">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w:t>
      </w:r>
      <w:proofErr w:type="spellStart"/>
      <w:r w:rsidRPr="00513F88">
        <w:t>nderstated</w:t>
      </w:r>
      <w:proofErr w:type="spellEnd"/>
      <w:r w:rsidRPr="00513F88">
        <w:t xml:space="preserve">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w:t>
      </w:r>
      <w:proofErr w:type="gramStart"/>
      <w:r>
        <w:t>on</w:t>
      </w:r>
      <w:proofErr w:type="gramEnd"/>
      <w:r>
        <w:t xml:space="preserve">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w:t>
      </w:r>
      <w:proofErr w:type="gramStart"/>
      <w:r w:rsidRPr="00C3606B">
        <w:rPr>
          <w:color w:val="000000"/>
          <w:szCs w:val="24"/>
        </w:rPr>
        <w:t>actually uncollectible</w:t>
      </w:r>
      <w:proofErr w:type="gramEnd"/>
      <w:r w:rsidRPr="00C3606B">
        <w:rPr>
          <w:color w:val="000000"/>
          <w:szCs w:val="24"/>
        </w:rPr>
        <w:t xml:space="preserv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 xml:space="preserve">The amounts uncollectible from specific beneficiaries are to be charged off as bad debts in the accounting period in which the accounts are deemed to be worthless. In some </w:t>
      </w:r>
      <w:proofErr w:type="gramStart"/>
      <w:r>
        <w:rPr>
          <w:color w:val="000000"/>
          <w:szCs w:val="24"/>
        </w:rPr>
        <w:t>cases</w:t>
      </w:r>
      <w:proofErr w:type="gramEnd"/>
      <w:r>
        <w:rPr>
          <w:color w:val="000000"/>
          <w:szCs w:val="24"/>
        </w:rPr>
        <w:t xml:space="preserve">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 xml:space="preserve">an account can be shown to be </w:t>
      </w:r>
      <w:proofErr w:type="gramStart"/>
      <w:r w:rsidRPr="00C3606B">
        <w:rPr>
          <w:color w:val="000000"/>
          <w:szCs w:val="24"/>
        </w:rPr>
        <w:t>actually uncollectible</w:t>
      </w:r>
      <w:proofErr w:type="gramEnd"/>
      <w:r w:rsidRPr="00C3606B">
        <w:rPr>
          <w:color w:val="000000"/>
          <w:szCs w:val="24"/>
        </w:rPr>
        <w:t xml:space="preserv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w:t>
      </w:r>
      <w:proofErr w:type="gramStart"/>
      <w:r w:rsidRPr="006E3C55">
        <w:rPr>
          <w:color w:val="000000"/>
          <w:szCs w:val="24"/>
        </w:rPr>
        <w:t>charged</w:t>
      </w:r>
      <w:proofErr w:type="gramEnd"/>
      <w:r w:rsidRPr="006E3C55">
        <w:rPr>
          <w:color w:val="000000"/>
          <w:szCs w:val="24"/>
        </w:rPr>
        <w:t xml:space="preserve">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w:t>
      </w:r>
      <w:proofErr w:type="gramStart"/>
      <w:r w:rsidRPr="00C3606B">
        <w:rPr>
          <w:snapToGrid w:val="0"/>
          <w:color w:val="000000"/>
          <w:szCs w:val="24"/>
        </w:rPr>
        <w:t>beneficiaries</w:t>
      </w:r>
      <w:proofErr w:type="gramEnd"/>
      <w:r w:rsidRPr="00C3606B">
        <w:rPr>
          <w:snapToGrid w:val="0"/>
          <w:color w:val="000000"/>
          <w:szCs w:val="24"/>
        </w:rPr>
        <w:t xml:space="preserve">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 xml:space="preserve">A.  The patient's indigence must be determined by the provider, not by the </w:t>
      </w:r>
      <w:proofErr w:type="gramStart"/>
      <w:r w:rsidRPr="00C3606B">
        <w:rPr>
          <w:snapToGrid w:val="0"/>
          <w:szCs w:val="24"/>
        </w:rPr>
        <w:t>patient;</w:t>
      </w:r>
      <w:proofErr w:type="gramEnd"/>
      <w:r w:rsidRPr="00C3606B">
        <w:rPr>
          <w:snapToGrid w:val="0"/>
          <w:szCs w:val="24"/>
        </w:rPr>
        <w:t xml:space="preserve">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 xml:space="preserve">B.  The provider should take into account a patient's total resources which would include, but are not limited to, an analysis of assets (only </w:t>
      </w:r>
      <w:proofErr w:type="gramStart"/>
      <w:r w:rsidRPr="00C3606B">
        <w:rPr>
          <w:snapToGrid w:val="0"/>
          <w:szCs w:val="24"/>
        </w:rPr>
        <w:t>those convertible</w:t>
      </w:r>
      <w:proofErr w:type="gramEnd"/>
      <w:r w:rsidRPr="00C3606B">
        <w:rPr>
          <w:snapToGrid w:val="0"/>
          <w:szCs w:val="24"/>
        </w:rPr>
        <w:t xml:space="preserve"> to cash, and unnecessary for the patient's daily living), liabilities, and income and expenses.  In making this analysis the provider should take into account any extenuating circumstances that would affect the determination of the patient's </w:t>
      </w:r>
      <w:proofErr w:type="gramStart"/>
      <w:r w:rsidRPr="00C3606B">
        <w:rPr>
          <w:snapToGrid w:val="0"/>
          <w:szCs w:val="24"/>
        </w:rPr>
        <w:t>indigence;</w:t>
      </w:r>
      <w:proofErr w:type="gramEnd"/>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 xml:space="preserve">C.  The provider must determine that no source other than the patient would be legally responsible for the patient's medical </w:t>
      </w:r>
      <w:proofErr w:type="gramStart"/>
      <w:r w:rsidRPr="00C3606B">
        <w:rPr>
          <w:snapToGrid w:val="0"/>
          <w:szCs w:val="24"/>
        </w:rPr>
        <w:t>bill;</w:t>
      </w:r>
      <w:proofErr w:type="gramEnd"/>
      <w:r w:rsidRPr="00C3606B">
        <w:rPr>
          <w:snapToGrid w:val="0"/>
          <w:szCs w:val="24"/>
        </w:rPr>
        <w:t xml:space="preserve">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w:t>
      </w:r>
      <w:proofErr w:type="gramStart"/>
      <w:r w:rsidRPr="00E75256">
        <w:rPr>
          <w:szCs w:val="24"/>
        </w:rPr>
        <w:t>bill;</w:t>
      </w:r>
      <w:proofErr w:type="gramEnd"/>
      <w:r w:rsidRPr="00E75256">
        <w:rPr>
          <w:szCs w:val="24"/>
        </w:rPr>
        <w:t xml:space="preserve">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w:t>
      </w:r>
      <w:proofErr w:type="gramStart"/>
      <w:r w:rsidRPr="00C3606B">
        <w:rPr>
          <w:szCs w:val="24"/>
        </w:rPr>
        <w:t xml:space="preserve">services, </w:t>
      </w:r>
      <w:r w:rsidRPr="00C3606B">
        <w:rPr>
          <w:szCs w:val="24"/>
          <w:u w:val="single"/>
        </w:rPr>
        <w:t>but</w:t>
      </w:r>
      <w:proofErr w:type="gramEnd"/>
      <w:r w:rsidRPr="00C3606B">
        <w:rPr>
          <w:szCs w:val="24"/>
          <w:u w:val="single"/>
        </w:rPr>
        <w:t xml:space="preserve">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 xml:space="preserve">their medical expenses before they qualify for Medi-Cal benefits.  This dollar amount is called Share of Cost (SOC).  A Medi-Cal subscriber’s SOC is </w:t>
      </w:r>
      <w:proofErr w:type="gramStart"/>
      <w:r w:rsidRPr="00C3606B">
        <w:rPr>
          <w:szCs w:val="24"/>
        </w:rPr>
        <w:t>similar to</w:t>
      </w:r>
      <w:proofErr w:type="gramEnd"/>
      <w:r w:rsidRPr="00C3606B">
        <w:rPr>
          <w:szCs w:val="24"/>
        </w:rPr>
        <w:t xml:space="preserve">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w:t>
      </w:r>
      <w:proofErr w:type="gramStart"/>
      <w:r w:rsidRPr="00C3606B">
        <w:rPr>
          <w:szCs w:val="24"/>
        </w:rPr>
        <w:t>in excess of</w:t>
      </w:r>
      <w:proofErr w:type="gramEnd"/>
      <w:r w:rsidRPr="00C3606B">
        <w:rPr>
          <w:szCs w:val="24"/>
        </w:rPr>
        <w:t xml:space="preserve"> “maintenance need” levels.  Medi-Cal rules </w:t>
      </w:r>
      <w:r w:rsidRPr="00C3606B">
        <w:rPr>
          <w:bCs/>
          <w:szCs w:val="24"/>
        </w:rPr>
        <w:t>r</w:t>
      </w:r>
      <w:r w:rsidRPr="00C3606B">
        <w:rPr>
          <w:szCs w:val="24"/>
        </w:rPr>
        <w:t xml:space="preserve">equire that subscribers pay income </w:t>
      </w:r>
      <w:proofErr w:type="gramStart"/>
      <w:r w:rsidRPr="00C3606B">
        <w:rPr>
          <w:szCs w:val="24"/>
        </w:rPr>
        <w:t xml:space="preserve">in </w:t>
      </w:r>
      <w:r w:rsidRPr="00C3606B">
        <w:rPr>
          <w:szCs w:val="24"/>
        </w:rPr>
        <w:lastRenderedPageBreak/>
        <w:t>excess of</w:t>
      </w:r>
      <w:proofErr w:type="gramEnd"/>
      <w:r w:rsidRPr="00C3606B">
        <w:rPr>
          <w:szCs w:val="24"/>
        </w:rPr>
        <w:t xml:space="preserve">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w:t>
      </w:r>
      <w:proofErr w:type="gramStart"/>
      <w:r w:rsidRPr="00C3606B">
        <w:rPr>
          <w:szCs w:val="24"/>
        </w:rPr>
        <w:t>similar to</w:t>
      </w:r>
      <w:proofErr w:type="gramEnd"/>
      <w:r w:rsidRPr="00C3606B">
        <w:rPr>
          <w:szCs w:val="24"/>
        </w:rPr>
        <w:t xml:space="preserve">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 xml:space="preserve">A.   Documentation </w:t>
      </w:r>
      <w:proofErr w:type="gramStart"/>
      <w:r w:rsidRPr="00C3606B">
        <w:rPr>
          <w:szCs w:val="24"/>
        </w:rPr>
        <w:t>Required.--</w:t>
      </w:r>
      <w:proofErr w:type="gramEnd"/>
      <w:r w:rsidRPr="00C3606B">
        <w:rPr>
          <w:szCs w:val="24"/>
        </w:rPr>
        <w:t>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w:t>
      </w:r>
      <w:proofErr w:type="gramStart"/>
      <w:r w:rsidRPr="004D5A95">
        <w:rPr>
          <w:szCs w:val="24"/>
        </w:rPr>
        <w:t>In order to</w:t>
      </w:r>
      <w:proofErr w:type="gramEnd"/>
      <w:r w:rsidRPr="004D5A95">
        <w:rPr>
          <w:szCs w:val="24"/>
        </w:rPr>
        <w:t xml:space="preserve">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w:t>
      </w:r>
      <w:proofErr w:type="gramStart"/>
      <w:r w:rsidRPr="004D5A95">
        <w:rPr>
          <w:szCs w:val="24"/>
        </w:rPr>
        <w:t>the additional</w:t>
      </w:r>
      <w:proofErr w:type="gramEnd"/>
      <w:r w:rsidRPr="004D5A95">
        <w:rPr>
          <w:szCs w:val="24"/>
        </w:rPr>
        <w:t xml:space="preserve">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33CA9045" w14:textId="01366518" w:rsidR="001B1190" w:rsidRPr="001B1190" w:rsidRDefault="00DF5309" w:rsidP="001B1190">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54C7B2BF"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3E520" w14:textId="77777777" w:rsidR="00564818" w:rsidRDefault="00564818" w:rsidP="004B169B">
      <w:r>
        <w:separator/>
      </w:r>
    </w:p>
  </w:endnote>
  <w:endnote w:type="continuationSeparator" w:id="0">
    <w:p w14:paraId="31587AB0" w14:textId="77777777" w:rsidR="00564818" w:rsidRDefault="0056481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70CCA" w14:textId="77777777" w:rsidR="00564818" w:rsidRDefault="00564818" w:rsidP="004B169B">
      <w:r>
        <w:separator/>
      </w:r>
    </w:p>
  </w:footnote>
  <w:footnote w:type="continuationSeparator" w:id="0">
    <w:p w14:paraId="698B0453" w14:textId="77777777" w:rsidR="00564818" w:rsidRDefault="0056481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20B6"/>
    <w:rsid w:val="004F4F00"/>
    <w:rsid w:val="00504523"/>
    <w:rsid w:val="005064C6"/>
    <w:rsid w:val="0051344C"/>
    <w:rsid w:val="0052591C"/>
    <w:rsid w:val="00532202"/>
    <w:rsid w:val="00533D56"/>
    <w:rsid w:val="00544BE0"/>
    <w:rsid w:val="00552447"/>
    <w:rsid w:val="00561411"/>
    <w:rsid w:val="00564818"/>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1199"/>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43FF7"/>
    <w:rsid w:val="00F52A7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6</cp:revision>
  <cp:lastPrinted>2014-07-15T17:46:00Z</cp:lastPrinted>
  <dcterms:created xsi:type="dcterms:W3CDTF">2024-05-24T17:42:00Z</dcterms:created>
  <dcterms:modified xsi:type="dcterms:W3CDTF">2024-05-24T18:05:00Z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