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7B7AC4" w:rsidRDefault="00190FC7" w:rsidP="00190FC7"/>
    <w:tbl>
      <w:tblPr>
        <w:tblW w:w="0" w:type="auto"/>
        <w:tblInd w:w="108" w:type="dxa"/>
        <w:tblLook w:val="04A0" w:firstRow="1" w:lastRow="0" w:firstColumn="1" w:lastColumn="0" w:noHBand="0" w:noVBand="1"/>
      </w:tblPr>
      <w:tblGrid>
        <w:gridCol w:w="1141"/>
        <w:gridCol w:w="7837"/>
      </w:tblGrid>
      <w:tr w:rsidR="00F52D79" w:rsidRPr="007B7AC4" w14:paraId="4A03A0C4" w14:textId="77777777" w:rsidTr="004A0D35">
        <w:tc>
          <w:tcPr>
            <w:tcW w:w="1170" w:type="dxa"/>
            <w:shd w:val="clear" w:color="auto" w:fill="auto"/>
          </w:tcPr>
          <w:p w14:paraId="4A03A0C2" w14:textId="1A09A448" w:rsidR="00F52D79" w:rsidRPr="007B7AC4" w:rsidRDefault="00F52D79" w:rsidP="00E239E0"/>
        </w:tc>
        <w:tc>
          <w:tcPr>
            <w:tcW w:w="8024" w:type="dxa"/>
            <w:shd w:val="clear" w:color="auto" w:fill="auto"/>
          </w:tcPr>
          <w:p w14:paraId="4A03A0C3" w14:textId="6765DBAA" w:rsidR="00F52D79" w:rsidRPr="007B7AC4" w:rsidRDefault="003461E2" w:rsidP="00E41B74">
            <w:pPr>
              <w:autoSpaceDE w:val="0"/>
              <w:autoSpaceDN w:val="0"/>
              <w:adjustRightInd w:val="0"/>
            </w:pPr>
            <w:r w:rsidRPr="007B7AC4">
              <w:t>The Provider</w:t>
            </w:r>
            <w:r w:rsidR="00E41B74" w:rsidRPr="007B7AC4">
              <w:t>s</w:t>
            </w:r>
            <w:r w:rsidRPr="007B7AC4">
              <w:t xml:space="preserve"> dispute the disallowance of capital disproportionate share hospital (DSH) payments subsequent to the effective date of its Rural Reclassification.</w:t>
            </w:r>
          </w:p>
        </w:tc>
      </w:tr>
    </w:tbl>
    <w:p w14:paraId="4A03A0C5" w14:textId="77777777" w:rsidR="00190FC7" w:rsidRPr="007B7AC4" w:rsidRDefault="00190FC7" w:rsidP="00190FC7"/>
    <w:p w14:paraId="4A03A0C6" w14:textId="77777777" w:rsidR="00190FC7" w:rsidRPr="007B7AC4" w:rsidRDefault="00190FC7" w:rsidP="00F52D79">
      <w:pPr>
        <w:spacing w:line="480" w:lineRule="auto"/>
        <w:rPr>
          <w:b/>
        </w:rPr>
      </w:pPr>
      <w:r w:rsidRPr="007B7AC4">
        <w:rPr>
          <w:b/>
        </w:rPr>
        <w:t>A.</w:t>
      </w:r>
      <w:r w:rsidRPr="007B7AC4">
        <w:rPr>
          <w:b/>
        </w:rPr>
        <w:tab/>
        <w:t>Facts</w:t>
      </w:r>
    </w:p>
    <w:p w14:paraId="0661C7F0" w14:textId="1EE3B0D1" w:rsidR="00645A6F" w:rsidRPr="007B7AC4" w:rsidRDefault="00645A6F" w:rsidP="00645A6F">
      <w:pPr>
        <w:spacing w:line="480" w:lineRule="auto"/>
      </w:pPr>
      <w:r w:rsidRPr="007B7AC4">
        <w:t>The</w:t>
      </w:r>
      <w:r w:rsidRPr="007B7AC4">
        <w:rPr>
          <w:spacing w:val="6"/>
        </w:rPr>
        <w:t xml:space="preserve"> </w:t>
      </w:r>
      <w:r w:rsidRPr="007B7AC4">
        <w:t>Providers</w:t>
      </w:r>
      <w:r w:rsidRPr="007B7AC4">
        <w:rPr>
          <w:spacing w:val="4"/>
        </w:rPr>
        <w:t xml:space="preserve"> </w:t>
      </w:r>
      <w:r w:rsidRPr="007B7AC4">
        <w:t>included</w:t>
      </w:r>
      <w:r w:rsidRPr="007B7AC4">
        <w:rPr>
          <w:spacing w:val="6"/>
        </w:rPr>
        <w:t xml:space="preserve"> </w:t>
      </w:r>
      <w:r w:rsidRPr="007B7AC4">
        <w:t>in</w:t>
      </w:r>
      <w:r w:rsidRPr="007B7AC4">
        <w:rPr>
          <w:spacing w:val="6"/>
        </w:rPr>
        <w:t xml:space="preserve"> </w:t>
      </w:r>
      <w:r w:rsidRPr="007B7AC4">
        <w:t>this</w:t>
      </w:r>
      <w:r w:rsidRPr="007B7AC4">
        <w:rPr>
          <w:spacing w:val="6"/>
        </w:rPr>
        <w:t xml:space="preserve"> </w:t>
      </w:r>
      <w:r w:rsidRPr="007B7AC4">
        <w:t>group</w:t>
      </w:r>
      <w:r w:rsidRPr="007B7AC4">
        <w:rPr>
          <w:spacing w:val="6"/>
        </w:rPr>
        <w:t xml:space="preserve"> </w:t>
      </w:r>
      <w:r w:rsidRPr="007B7AC4">
        <w:t>are appealing</w:t>
      </w:r>
      <w:r w:rsidRPr="007B7AC4">
        <w:rPr>
          <w:spacing w:val="6"/>
        </w:rPr>
        <w:t xml:space="preserve"> </w:t>
      </w:r>
      <w:r w:rsidRPr="007B7AC4">
        <w:t>from</w:t>
      </w:r>
      <w:r w:rsidRPr="007B7AC4">
        <w:rPr>
          <w:spacing w:val="5"/>
        </w:rPr>
        <w:t xml:space="preserve"> </w:t>
      </w:r>
      <w:r w:rsidRPr="007B7AC4">
        <w:t>their</w:t>
      </w:r>
      <w:r w:rsidRPr="007B7AC4">
        <w:rPr>
          <w:spacing w:val="5"/>
        </w:rPr>
        <w:t xml:space="preserve"> </w:t>
      </w:r>
      <w:r w:rsidRPr="007B7AC4">
        <w:t>Notices</w:t>
      </w:r>
      <w:r w:rsidRPr="007B7AC4">
        <w:rPr>
          <w:spacing w:val="4"/>
        </w:rPr>
        <w:t xml:space="preserve"> </w:t>
      </w:r>
      <w:r w:rsidRPr="007B7AC4">
        <w:t>of</w:t>
      </w:r>
      <w:r w:rsidRPr="007B7AC4">
        <w:rPr>
          <w:spacing w:val="5"/>
        </w:rPr>
        <w:t xml:space="preserve"> </w:t>
      </w:r>
      <w:r w:rsidRPr="007B7AC4">
        <w:t>Program</w:t>
      </w:r>
      <w:r w:rsidRPr="007B7AC4">
        <w:rPr>
          <w:spacing w:val="-1"/>
        </w:rPr>
        <w:t xml:space="preserve"> </w:t>
      </w:r>
      <w:r w:rsidRPr="007B7AC4">
        <w:t>Reimbursement</w:t>
      </w:r>
      <w:r w:rsidRPr="007B7AC4">
        <w:rPr>
          <w:spacing w:val="5"/>
        </w:rPr>
        <w:t xml:space="preserve"> </w:t>
      </w:r>
      <w:r w:rsidRPr="007B7AC4">
        <w:t>(NPRs) the</w:t>
      </w:r>
      <w:r w:rsidRPr="007B7AC4">
        <w:rPr>
          <w:spacing w:val="6"/>
        </w:rPr>
        <w:t xml:space="preserve"> Capital DSH payments.  On page </w:t>
      </w:r>
      <w:r w:rsidR="00D32E76" w:rsidRPr="007B7AC4">
        <w:rPr>
          <w:spacing w:val="6"/>
        </w:rPr>
        <w:t>5</w:t>
      </w:r>
      <w:r w:rsidRPr="007B7AC4">
        <w:rPr>
          <w:spacing w:val="6"/>
        </w:rPr>
        <w:t xml:space="preserve"> of the Group’s preliminary</w:t>
      </w:r>
      <w:r w:rsidR="00E41B74" w:rsidRPr="007B7AC4">
        <w:rPr>
          <w:spacing w:val="6"/>
        </w:rPr>
        <w:t xml:space="preserve"> position</w:t>
      </w:r>
      <w:r w:rsidRPr="007B7AC4">
        <w:rPr>
          <w:spacing w:val="6"/>
        </w:rPr>
        <w:t xml:space="preserve"> paper, the group cites to </w:t>
      </w:r>
      <w:r w:rsidRPr="007B7AC4">
        <w:rPr>
          <w:i/>
          <w:iCs/>
        </w:rPr>
        <w:t>Toledo Hospital v Xavier Becerra</w:t>
      </w:r>
      <w:r w:rsidRPr="007B7AC4">
        <w:t>, 2021 WL 4502052 (DDC 2021) (</w:t>
      </w:r>
      <w:r w:rsidRPr="007B7AC4">
        <w:rPr>
          <w:i/>
          <w:iCs/>
        </w:rPr>
        <w:t>Toledo</w:t>
      </w:r>
      <w:r w:rsidRPr="007B7AC4">
        <w:t>) as fully supportive of its position.  (</w:t>
      </w:r>
      <w:r w:rsidRPr="007B7AC4">
        <w:rPr>
          <w:b/>
        </w:rPr>
        <w:t>Exhibit C-2</w:t>
      </w:r>
      <w:r w:rsidRPr="007B7AC4">
        <w:t xml:space="preserve">).  </w:t>
      </w:r>
      <w:r w:rsidRPr="007B7AC4">
        <w:rPr>
          <w:i/>
          <w:iCs/>
        </w:rPr>
        <w:t>Toledo</w:t>
      </w:r>
      <w:r w:rsidRPr="007B7AC4">
        <w:t xml:space="preserve"> reached the District Court for the District of Columbia (DDC) through the Board’s grant</w:t>
      </w:r>
      <w:r w:rsidR="00E41B74" w:rsidRPr="007B7AC4">
        <w:t>ing</w:t>
      </w:r>
      <w:r w:rsidRPr="007B7AC4">
        <w:t xml:space="preserve"> of Expedited Judicial Review (EJR) issued on October 30, 2019.  </w:t>
      </w:r>
    </w:p>
    <w:p w14:paraId="7040009A" w14:textId="77777777" w:rsidR="00645A6F" w:rsidRPr="007B7AC4" w:rsidRDefault="00645A6F" w:rsidP="00645A6F">
      <w:pPr>
        <w:spacing w:line="480" w:lineRule="auto"/>
      </w:pPr>
    </w:p>
    <w:p w14:paraId="6263F98C" w14:textId="2D0A1BF7" w:rsidR="00645A6F" w:rsidRPr="007B7AC4" w:rsidRDefault="00645A6F" w:rsidP="00645A6F">
      <w:pPr>
        <w:spacing w:line="480" w:lineRule="auto"/>
      </w:pPr>
      <w:r w:rsidRPr="007B7AC4">
        <w:t>In this case</w:t>
      </w:r>
      <w:r w:rsidR="00E41B74" w:rsidRPr="007B7AC4">
        <w:t>,</w:t>
      </w:r>
      <w:r w:rsidRPr="007B7AC4">
        <w:t xml:space="preserve"> the Provider</w:t>
      </w:r>
      <w:r w:rsidR="00E41B74" w:rsidRPr="007B7AC4">
        <w:t>s</w:t>
      </w:r>
      <w:r w:rsidRPr="007B7AC4">
        <w:t xml:space="preserve"> </w:t>
      </w:r>
      <w:r w:rsidR="00E41B74" w:rsidRPr="007B7AC4">
        <w:t>are</w:t>
      </w:r>
      <w:r w:rsidRPr="007B7AC4">
        <w:t>:</w:t>
      </w:r>
    </w:p>
    <w:p w14:paraId="30695563" w14:textId="77777777" w:rsidR="00645A6F" w:rsidRPr="007B7AC4" w:rsidRDefault="00645A6F" w:rsidP="00645A6F">
      <w:pPr>
        <w:ind w:left="720"/>
      </w:pPr>
      <w:r w:rsidRPr="007B7AC4">
        <w:t>challenging the application of 42 C.F.R. § 412.320(a)(1)(iii), which states in effect that urban hospitals may qualify for Capital DSH [disproportionate share hospital] payments unless, on or after October 1, 2006, the urban hospital is reclassified as rural. [The Provider contends that] [t]his regulation is inconsistent with [42 U.S.C. § 1395ww(d)(8)(B)] which concerns rural status. [42 U.S.C. § 1395ww(d)(8)(B)] specifically notes that the hospitals that have undergone a rural reclassification are rural only for “purposes of this subsection [1395ww(d)].” (</w:t>
      </w:r>
      <w:r w:rsidRPr="007B7AC4">
        <w:rPr>
          <w:b/>
        </w:rPr>
        <w:t>Exhibit C-3</w:t>
      </w:r>
      <w:r w:rsidRPr="007B7AC4">
        <w:t xml:space="preserve">, </w:t>
      </w:r>
      <w:r w:rsidRPr="007B7AC4">
        <w:rPr>
          <w:b/>
        </w:rPr>
        <w:t>page 1</w:t>
      </w:r>
      <w:r w:rsidRPr="007B7AC4">
        <w:t xml:space="preserve">) </w:t>
      </w:r>
    </w:p>
    <w:p w14:paraId="53FD9586" w14:textId="77777777" w:rsidR="00645A6F" w:rsidRPr="007B7AC4" w:rsidRDefault="00645A6F" w:rsidP="00645A6F">
      <w:pPr>
        <w:spacing w:line="480" w:lineRule="auto"/>
      </w:pPr>
    </w:p>
    <w:p w14:paraId="425E185C" w14:textId="7D61EF5C" w:rsidR="00645A6F" w:rsidRPr="007B7AC4" w:rsidRDefault="00645A6F" w:rsidP="00645A6F">
      <w:pPr>
        <w:spacing w:line="480" w:lineRule="auto"/>
        <w:rPr>
          <w:rFonts w:asciiTheme="minorHAnsi" w:eastAsiaTheme="minorHAnsi" w:hAnsiTheme="minorHAnsi" w:cstheme="minorBidi"/>
          <w:kern w:val="2"/>
          <w14:ligatures w14:val="standardContextual"/>
        </w:rPr>
      </w:pPr>
      <w:r w:rsidRPr="007B7AC4">
        <w:t>The dispute arose because CMS had taken the position</w:t>
      </w:r>
      <w:r w:rsidR="00E41B74" w:rsidRPr="007B7AC4">
        <w:t>,</w:t>
      </w:r>
      <w:r w:rsidRPr="007B7AC4">
        <w:t xml:space="preserve"> as explained in Toledo</w:t>
      </w:r>
      <w:r w:rsidR="00E41B74" w:rsidRPr="007B7AC4">
        <w:t>,</w:t>
      </w:r>
      <w:r w:rsidRPr="007B7AC4">
        <w:t xml:space="preserve"> that an IPPS hospital that makes the decision to be reclassified from urban to rural loses the benefit of Capital DSH as a byproduct of its decision to obtain an otherwise favorable IPPS payment as a rural hospital. The real issue in this Group Appeal is identical to the EJR issue which resulted in the Toledo Memorandum Opinion and supports full relief for the Group. The MAC’s counter is that the Group’s reliance on Toledo is premature.</w:t>
      </w:r>
      <w:r w:rsidRPr="007B7AC4">
        <w:rPr>
          <w:rFonts w:asciiTheme="minorHAnsi" w:eastAsiaTheme="minorHAnsi" w:hAnsiTheme="minorHAnsi" w:cstheme="minorBidi"/>
          <w:kern w:val="2"/>
          <w14:ligatures w14:val="standardContextual"/>
        </w:rPr>
        <w:t xml:space="preserve"> </w:t>
      </w:r>
    </w:p>
    <w:p w14:paraId="2ED963BB" w14:textId="77777777" w:rsidR="00645A6F" w:rsidRPr="007B7AC4" w:rsidRDefault="00645A6F" w:rsidP="00645A6F">
      <w:pPr>
        <w:spacing w:line="480" w:lineRule="auto"/>
        <w:rPr>
          <w:rFonts w:asciiTheme="minorHAnsi" w:eastAsiaTheme="minorHAnsi" w:hAnsiTheme="minorHAnsi" w:cstheme="minorBidi"/>
          <w:kern w:val="2"/>
          <w14:ligatures w14:val="standardContextual"/>
        </w:rPr>
      </w:pPr>
    </w:p>
    <w:p w14:paraId="64D3BC65" w14:textId="3EA79791" w:rsidR="00645A6F" w:rsidRPr="007B7AC4" w:rsidRDefault="00645A6F" w:rsidP="00645A6F">
      <w:pPr>
        <w:spacing w:line="480" w:lineRule="auto"/>
      </w:pPr>
      <w:r w:rsidRPr="007B7AC4">
        <w:lastRenderedPageBreak/>
        <w:t xml:space="preserve">A neutral review of Toledo is necessary to understand why the Board cannot reinstate the Group Members’ urban status. </w:t>
      </w:r>
      <w:r w:rsidR="00E41B74" w:rsidRPr="007B7AC4">
        <w:t>The r</w:t>
      </w:r>
      <w:r w:rsidRPr="007B7AC4">
        <w:t xml:space="preserve">ejection of Toledo’s claim for capital DSH </w:t>
      </w:r>
      <w:r w:rsidR="00E41B74" w:rsidRPr="007B7AC4">
        <w:t>is</w:t>
      </w:r>
      <w:r w:rsidRPr="007B7AC4">
        <w:t xml:space="preserve"> based on 42 C.F.R. § 412.320(a)(1)(iii) which states:</w:t>
      </w:r>
    </w:p>
    <w:p w14:paraId="29EF6920" w14:textId="77777777" w:rsidR="00645A6F" w:rsidRPr="007B7AC4" w:rsidRDefault="00645A6F" w:rsidP="00645A6F">
      <w:pPr>
        <w:ind w:left="720"/>
        <w:rPr>
          <w:bCs/>
        </w:rPr>
      </w:pPr>
      <w:r w:rsidRPr="007B7AC4">
        <w:rPr>
          <w:bCs/>
        </w:rPr>
        <w:t xml:space="preserve">For purposes of this section, the geographic classifications specified under </w:t>
      </w:r>
      <w:r w:rsidRPr="007B7AC4">
        <w:t xml:space="preserve">§ </w:t>
      </w:r>
      <w:r w:rsidRPr="007B7AC4">
        <w:rPr>
          <w:bCs/>
        </w:rPr>
        <w:t xml:space="preserve">412.64 apply, except that, effective for discharges occurring on or after October 1, 2006, for an urban hospital that is reclassified as rural as set forth in </w:t>
      </w:r>
      <w:r w:rsidRPr="007B7AC4">
        <w:t xml:space="preserve">§ </w:t>
      </w:r>
      <w:r w:rsidRPr="007B7AC4">
        <w:rPr>
          <w:bCs/>
        </w:rPr>
        <w:t xml:space="preserve">412.103, the geographic classification is rural. </w:t>
      </w:r>
      <w:r w:rsidRPr="007B7AC4">
        <w:t>(</w:t>
      </w:r>
      <w:r w:rsidRPr="007B7AC4">
        <w:rPr>
          <w:b/>
        </w:rPr>
        <w:t>Exhibit C-3</w:t>
      </w:r>
      <w:r w:rsidRPr="007B7AC4">
        <w:t xml:space="preserve">, </w:t>
      </w:r>
      <w:r w:rsidRPr="007B7AC4">
        <w:rPr>
          <w:b/>
        </w:rPr>
        <w:t>page 4</w:t>
      </w:r>
      <w:r w:rsidRPr="007B7AC4">
        <w:t>)</w:t>
      </w:r>
    </w:p>
    <w:p w14:paraId="60A0C2D2" w14:textId="77777777" w:rsidR="00645A6F" w:rsidRPr="007B7AC4" w:rsidRDefault="00645A6F" w:rsidP="00645A6F">
      <w:pPr>
        <w:spacing w:line="480" w:lineRule="auto"/>
      </w:pPr>
    </w:p>
    <w:p w14:paraId="125ED619" w14:textId="23F71C2B" w:rsidR="00645A6F" w:rsidRPr="007B7AC4" w:rsidRDefault="00E41B74" w:rsidP="00645A6F">
      <w:pPr>
        <w:spacing w:line="480" w:lineRule="auto"/>
      </w:pPr>
      <w:r w:rsidRPr="007B7AC4">
        <w:t>On its face, t</w:t>
      </w:r>
      <w:r w:rsidR="00645A6F" w:rsidRPr="007B7AC4">
        <w:t>he regulation defeats the Group’s claim. Rural hospitals are not eligible for capital DSH.</w:t>
      </w:r>
    </w:p>
    <w:p w14:paraId="5B482E75" w14:textId="77777777" w:rsidR="00645A6F" w:rsidRPr="007B7AC4" w:rsidRDefault="00645A6F" w:rsidP="00645A6F">
      <w:pPr>
        <w:spacing w:line="480" w:lineRule="auto"/>
      </w:pPr>
    </w:p>
    <w:p w14:paraId="7B2B333D" w14:textId="77777777" w:rsidR="00645A6F" w:rsidRPr="007B7AC4" w:rsidRDefault="00645A6F" w:rsidP="00645A6F">
      <w:pPr>
        <w:spacing w:line="480" w:lineRule="auto"/>
      </w:pPr>
      <w:r w:rsidRPr="007B7AC4">
        <w:rPr>
          <w:i/>
          <w:iCs/>
        </w:rPr>
        <w:t>Toledo</w:t>
      </w:r>
      <w:r w:rsidRPr="007B7AC4">
        <w:t xml:space="preserve"> argued that the denial of Capital DSH violated both prongs of Chevron in that the policy first violated statute on its face. The DDC disagreed. However, the DDC found that the rule was unreasonable (arbitrary and capricious) because of what could be considered a factual deficiency.</w:t>
      </w:r>
    </w:p>
    <w:p w14:paraId="4359AB36" w14:textId="77777777" w:rsidR="00645A6F" w:rsidRPr="007B7AC4" w:rsidRDefault="00645A6F" w:rsidP="00645A6F">
      <w:pPr>
        <w:spacing w:line="480" w:lineRule="auto"/>
      </w:pPr>
    </w:p>
    <w:p w14:paraId="620A20CA" w14:textId="0F6C9EAB" w:rsidR="00645A6F" w:rsidRPr="007B7AC4" w:rsidRDefault="00645A6F" w:rsidP="00645A6F">
      <w:pPr>
        <w:spacing w:line="480" w:lineRule="auto"/>
      </w:pPr>
      <w:r w:rsidRPr="007B7AC4">
        <w:t>The Court found that the policy lacked sufficient factual support</w:t>
      </w:r>
      <w:r w:rsidR="00E41B74" w:rsidRPr="007B7AC4">
        <w:t>:</w:t>
      </w:r>
      <w:r w:rsidRPr="007B7AC4">
        <w:t xml:space="preserve"> </w:t>
      </w:r>
    </w:p>
    <w:p w14:paraId="3998CDFC" w14:textId="77777777" w:rsidR="00645A6F" w:rsidRPr="007B7AC4" w:rsidRDefault="00645A6F" w:rsidP="00645A6F">
      <w:pPr>
        <w:ind w:left="720"/>
      </w:pPr>
      <w:r w:rsidRPr="007B7AC4">
        <w:rPr>
          <w:bCs/>
        </w:rPr>
        <w:t xml:space="preserve">Because the record does not demonstrate that the Secretary took relative costs into account [between geographic rural and urban hospitals] when considering the Rule, the 2006 rulemaking was arbitrary and capricious. Thus, the rule is unreasonable and cannot be relied upon to deny Toledo Hospital the Capital DSH adjustment. </w:t>
      </w:r>
      <w:r w:rsidRPr="007B7AC4">
        <w:t>(</w:t>
      </w:r>
      <w:r w:rsidRPr="007B7AC4">
        <w:rPr>
          <w:b/>
        </w:rPr>
        <w:t>Exhibit C-2, page 25</w:t>
      </w:r>
      <w:r w:rsidRPr="007B7AC4">
        <w:t>)</w:t>
      </w:r>
    </w:p>
    <w:p w14:paraId="362305E7" w14:textId="77777777" w:rsidR="00645A6F" w:rsidRPr="007B7AC4" w:rsidRDefault="00645A6F" w:rsidP="00645A6F">
      <w:pPr>
        <w:ind w:left="720"/>
      </w:pPr>
    </w:p>
    <w:p w14:paraId="78A64216" w14:textId="77777777" w:rsidR="00645A6F" w:rsidRPr="007B7AC4" w:rsidRDefault="00645A6F" w:rsidP="00645A6F">
      <w:pPr>
        <w:spacing w:line="480" w:lineRule="auto"/>
      </w:pPr>
    </w:p>
    <w:p w14:paraId="1D4237A9" w14:textId="3BF34A9D" w:rsidR="00645A6F" w:rsidRPr="007B7AC4" w:rsidRDefault="00645A6F" w:rsidP="00645A6F">
      <w:pPr>
        <w:spacing w:line="480" w:lineRule="auto"/>
      </w:pPr>
      <w:r w:rsidRPr="007B7AC4">
        <w:t xml:space="preserve">Despite the adverse finding, the Court did not award </w:t>
      </w:r>
      <w:r w:rsidRPr="007B7AC4">
        <w:rPr>
          <w:i/>
          <w:iCs/>
        </w:rPr>
        <w:t>Toledo</w:t>
      </w:r>
      <w:r w:rsidRPr="007B7AC4">
        <w:t xml:space="preserve"> its capital DSH. Instead </w:t>
      </w:r>
      <w:r w:rsidR="00E41B74" w:rsidRPr="007B7AC4">
        <w:t xml:space="preserve">the Court </w:t>
      </w:r>
      <w:r w:rsidRPr="007B7AC4">
        <w:t xml:space="preserve">remanded: </w:t>
      </w:r>
    </w:p>
    <w:p w14:paraId="105E1701" w14:textId="77777777" w:rsidR="00645A6F" w:rsidRPr="007B7AC4" w:rsidRDefault="00645A6F" w:rsidP="00645A6F">
      <w:pPr>
        <w:ind w:left="720"/>
      </w:pPr>
      <w:r w:rsidRPr="007B7AC4">
        <w:rPr>
          <w:bCs/>
        </w:rPr>
        <w:t xml:space="preserve">the case to the fiscal intermediary for a redetermination as to </w:t>
      </w:r>
      <w:r w:rsidRPr="007B7AC4">
        <w:rPr>
          <w:bCs/>
          <w:i/>
        </w:rPr>
        <w:t>Toledo</w:t>
      </w:r>
      <w:r w:rsidRPr="007B7AC4">
        <w:rPr>
          <w:bCs/>
        </w:rPr>
        <w:t xml:space="preserve"> Hospital’s eligibility for a capital DSH adjustment</w:t>
      </w:r>
      <w:r w:rsidRPr="007B7AC4">
        <w:t>.(</w:t>
      </w:r>
      <w:r w:rsidRPr="007B7AC4">
        <w:rPr>
          <w:b/>
        </w:rPr>
        <w:t>Exhibit C-2, page 25</w:t>
      </w:r>
      <w:r w:rsidRPr="007B7AC4">
        <w:t xml:space="preserve">) </w:t>
      </w:r>
    </w:p>
    <w:p w14:paraId="04A53538" w14:textId="77777777" w:rsidR="00645A6F" w:rsidRPr="007B7AC4" w:rsidRDefault="00645A6F" w:rsidP="00645A6F">
      <w:pPr>
        <w:spacing w:line="480" w:lineRule="auto"/>
      </w:pPr>
    </w:p>
    <w:p w14:paraId="50F74D21" w14:textId="38C91B03" w:rsidR="00645A6F" w:rsidRPr="007B7AC4" w:rsidRDefault="00645A6F" w:rsidP="00645A6F">
      <w:pPr>
        <w:spacing w:line="480" w:lineRule="auto"/>
      </w:pPr>
      <w:r w:rsidRPr="007B7AC4">
        <w:t>The remand has not been concluded</w:t>
      </w:r>
      <w:r w:rsidR="00AB0C18" w:rsidRPr="007B7AC4">
        <w:t>,</w:t>
      </w:r>
      <w:r w:rsidRPr="007B7AC4">
        <w:t xml:space="preserve"> so the question of the Group’s entitlement to capital DSH is still an open question.</w:t>
      </w:r>
    </w:p>
    <w:p w14:paraId="4A03A0C7" w14:textId="77777777" w:rsidR="00F52D79" w:rsidRPr="007B7AC4" w:rsidRDefault="00F52D79" w:rsidP="00F52D79">
      <w:pPr>
        <w:spacing w:line="480" w:lineRule="auto"/>
      </w:pPr>
    </w:p>
    <w:p w14:paraId="4A03A0C8" w14:textId="77777777" w:rsidR="00190FC7" w:rsidRPr="007B7AC4" w:rsidRDefault="00190FC7" w:rsidP="00F52D79">
      <w:pPr>
        <w:spacing w:line="480" w:lineRule="auto"/>
        <w:rPr>
          <w:b/>
        </w:rPr>
      </w:pPr>
      <w:r w:rsidRPr="007B7AC4">
        <w:rPr>
          <w:b/>
        </w:rPr>
        <w:t>B.</w:t>
      </w:r>
      <w:r w:rsidRPr="007B7AC4">
        <w:rPr>
          <w:b/>
        </w:rPr>
        <w:tab/>
        <w:t>Arguments</w:t>
      </w:r>
    </w:p>
    <w:p w14:paraId="4A03A0C9" w14:textId="3890B080" w:rsidR="00190FC7" w:rsidRPr="007B7AC4" w:rsidRDefault="00645A6F" w:rsidP="00F52D79">
      <w:pPr>
        <w:spacing w:line="480" w:lineRule="auto"/>
      </w:pPr>
      <w:r w:rsidRPr="007B7AC4">
        <w:t xml:space="preserve">The MAC’s argument is a simple one.  The Group has elected not to pursue EJR.  Instead, it chose to file a Preliminary Position Paper relying on </w:t>
      </w:r>
      <w:r w:rsidRPr="007B7AC4">
        <w:rPr>
          <w:i/>
          <w:iCs/>
        </w:rPr>
        <w:t>Toledo.</w:t>
      </w:r>
      <w:r w:rsidRPr="007B7AC4">
        <w:t xml:space="preserve"> However, as the </w:t>
      </w:r>
      <w:r w:rsidRPr="007B7AC4">
        <w:rPr>
          <w:bCs/>
          <w:i/>
        </w:rPr>
        <w:t>Toledo</w:t>
      </w:r>
      <w:r w:rsidRPr="007B7AC4">
        <w:rPr>
          <w:b/>
          <w:bCs/>
          <w:i/>
          <w:iCs/>
        </w:rPr>
        <w:t xml:space="preserve"> </w:t>
      </w:r>
      <w:r w:rsidRPr="007B7AC4">
        <w:t>remand is still open</w:t>
      </w:r>
      <w:r w:rsidR="00AB0C18" w:rsidRPr="007B7AC4">
        <w:t>,</w:t>
      </w:r>
      <w:r w:rsidRPr="007B7AC4">
        <w:t xml:space="preserve"> as opposed to a final determination in the Plaintiff’s favor, there is no support for a reversal of the denial of Capital DSH. (</w:t>
      </w:r>
      <w:r w:rsidRPr="007B7AC4">
        <w:rPr>
          <w:b/>
        </w:rPr>
        <w:t>Exhibit C-4</w:t>
      </w:r>
      <w:r w:rsidRPr="007B7AC4">
        <w:t>)</w:t>
      </w:r>
    </w:p>
    <w:p w14:paraId="328330F9" w14:textId="77777777" w:rsidR="00645A6F" w:rsidRPr="007B7AC4" w:rsidRDefault="00645A6F" w:rsidP="00F52D79">
      <w:pPr>
        <w:spacing w:line="480" w:lineRule="auto"/>
      </w:pPr>
    </w:p>
    <w:p w14:paraId="4A03A0CA" w14:textId="385BBD8A" w:rsidR="00190FC7" w:rsidRPr="007B7AC4" w:rsidRDefault="00190FC7" w:rsidP="00F52D79">
      <w:pPr>
        <w:spacing w:line="480" w:lineRule="auto"/>
        <w:rPr>
          <w:b/>
        </w:rPr>
      </w:pPr>
      <w:r w:rsidRPr="007B7AC4">
        <w:rPr>
          <w:b/>
        </w:rPr>
        <w:t>C.</w:t>
      </w:r>
      <w:r w:rsidRPr="007B7AC4">
        <w:rPr>
          <w:b/>
        </w:rPr>
        <w:tab/>
        <w:t>Conclusion</w:t>
      </w:r>
    </w:p>
    <w:p w14:paraId="4A03A0CB" w14:textId="0018DF03" w:rsidR="00190FC7" w:rsidRPr="007B7AC4" w:rsidRDefault="00645A6F" w:rsidP="00F52D79">
      <w:pPr>
        <w:spacing w:line="480" w:lineRule="auto"/>
      </w:pPr>
      <w:r w:rsidRPr="007B7AC4">
        <w:t xml:space="preserve">As the precedent that the Group has relied upon is still an open matter, the Board has no basis for issuing a 42 C.F.R. §405.1871Decision in the Group’s favor. Should circumstances force the need for such a Decision before the final disposition of </w:t>
      </w:r>
      <w:r w:rsidRPr="007B7AC4">
        <w:rPr>
          <w:i/>
        </w:rPr>
        <w:t>Toledo</w:t>
      </w:r>
      <w:r w:rsidRPr="007B7AC4">
        <w:t>, relief must be denied.</w:t>
      </w:r>
      <w:r w:rsidR="00F85673" w:rsidRPr="007B7AC4">
        <w:br w:type="page"/>
      </w:r>
    </w:p>
    <w:p w14:paraId="46EC580E" w14:textId="737D6A56" w:rsidR="00B93B3C" w:rsidRPr="007B7AC4" w:rsidRDefault="00190FC7" w:rsidP="00B93B3C">
      <w:pPr>
        <w:pStyle w:val="BodyTextIndent2"/>
        <w:rPr>
          <w:b/>
          <w:sz w:val="22"/>
        </w:rPr>
      </w:pPr>
      <w:r w:rsidRPr="007B7AC4">
        <w:rPr>
          <w:b/>
          <w:sz w:val="22"/>
        </w:rPr>
        <w:lastRenderedPageBreak/>
        <w:t>IV.</w:t>
      </w:r>
      <w:r w:rsidRPr="007B7AC4">
        <w:rPr>
          <w:b/>
          <w:sz w:val="22"/>
        </w:rPr>
        <w:tab/>
      </w:r>
      <w:r w:rsidR="00E97926">
        <w:rPr>
          <w:b/>
          <w:sz w:val="22"/>
        </w:rPr>
        <w:t>LAW, REGULATIONS, AND PROGRAM INSTRUCTIONS</w:t>
      </w:r>
    </w:p>
    <w:p w14:paraId="2323C4DB" w14:textId="6FDED1CC" w:rsidR="00B93B3C" w:rsidRPr="007B7AC4" w:rsidRDefault="00B93B3C" w:rsidP="00B93B3C">
      <w:pPr>
        <w:ind w:left="720"/>
      </w:pPr>
    </w:p>
    <w:p w14:paraId="52237A71" w14:textId="32F48875" w:rsidR="00B93B3C" w:rsidRDefault="00B93B3C" w:rsidP="00B93B3C">
      <w:pPr>
        <w:ind w:left="720"/>
      </w:pPr>
    </w:p>
    <w:p w14:paraId="259B5C0B" w14:textId="3C38AD35" w:rsidR="00E97926" w:rsidRPr="007B7AC4" w:rsidRDefault="00E97926" w:rsidP="00B93B3C">
      <w:pPr>
        <w:ind w:left="720"/>
      </w:pPr>
      <w:r>
        <w:t>Regulations:</w:t>
      </w:r>
    </w:p>
    <w:p w14:paraId="160440DC" w14:textId="77777777" w:rsidR="00B93B3C" w:rsidRPr="007B7AC4" w:rsidRDefault="00B93B3C" w:rsidP="00B93B3C">
      <w:pPr>
        <w:ind w:left="720"/>
        <w:rPr>
          <w:b/>
        </w:rPr>
      </w:pPr>
      <w:r w:rsidRPr="007B7AC4">
        <w:rPr>
          <w:b/>
        </w:rPr>
        <w:t>Federal Registers:</w:t>
      </w:r>
    </w:p>
    <w:p w14:paraId="3C38E22F" w14:textId="77777777" w:rsidR="00B93B3C" w:rsidRPr="007B7AC4" w:rsidRDefault="00B93B3C" w:rsidP="00B93B3C">
      <w:pPr>
        <w:ind w:left="720"/>
      </w:pPr>
    </w:p>
    <w:p w14:paraId="6D49E9A2" w14:textId="77777777" w:rsidR="00B93B3C" w:rsidRPr="007B7AC4" w:rsidRDefault="00B93B3C" w:rsidP="00B93B3C">
      <w:pPr>
        <w:ind w:left="720"/>
      </w:pPr>
      <w:r w:rsidRPr="007B7AC4">
        <w:t>42 C.F.R. § 412.320(a)(1)(iii)</w:t>
      </w:r>
      <w:r w:rsidRPr="007B7AC4">
        <w:tab/>
      </w:r>
      <w:r w:rsidRPr="007B7AC4">
        <w:tab/>
        <w:t>Disproportionate Share Adjustment</w:t>
      </w:r>
    </w:p>
    <w:p w14:paraId="4794CD68" w14:textId="77777777" w:rsidR="00B93B3C" w:rsidRPr="007B7AC4" w:rsidRDefault="00B93B3C" w:rsidP="00B93B3C">
      <w:pPr>
        <w:ind w:left="720"/>
      </w:pPr>
    </w:p>
    <w:p w14:paraId="3298FBCE" w14:textId="207A9232" w:rsidR="00B93B3C" w:rsidRPr="007B7AC4" w:rsidRDefault="00B93B3C" w:rsidP="00B93B3C">
      <w:pPr>
        <w:ind w:left="4320" w:hanging="3600"/>
      </w:pPr>
      <w:r w:rsidRPr="007B7AC4">
        <w:t>42 C.F.R. § 405.1871</w:t>
      </w:r>
      <w:r w:rsidRPr="007B7AC4">
        <w:tab/>
        <w:t>Board Hearing Decision</w:t>
      </w:r>
    </w:p>
    <w:p w14:paraId="3200CC54" w14:textId="77777777" w:rsidR="00B93B3C" w:rsidRPr="007B7AC4" w:rsidRDefault="00B93B3C" w:rsidP="00B93B3C"/>
    <w:p w14:paraId="63AB78B9" w14:textId="77777777" w:rsidR="00B93B3C" w:rsidRPr="007B7AC4" w:rsidRDefault="00B93B3C" w:rsidP="00B93B3C"/>
    <w:p w14:paraId="4443329D" w14:textId="77777777" w:rsidR="00B93B3C" w:rsidRPr="007B7AC4" w:rsidRDefault="00B93B3C" w:rsidP="00B93B3C">
      <w:pPr>
        <w:ind w:left="720"/>
        <w:rPr>
          <w:b/>
        </w:rPr>
      </w:pPr>
    </w:p>
    <w:p w14:paraId="60F98FF8" w14:textId="3F469013" w:rsidR="00B93B3C" w:rsidRPr="007B7AC4" w:rsidRDefault="00B93B3C" w:rsidP="00B93B3C">
      <w:pPr>
        <w:ind w:left="720"/>
        <w:rPr>
          <w:b/>
        </w:rPr>
      </w:pPr>
      <w:r w:rsidRPr="007B7AC4">
        <w:rPr>
          <w:b/>
        </w:rPr>
        <w:t>Law:</w:t>
      </w:r>
    </w:p>
    <w:p w14:paraId="6114FC40" w14:textId="77777777" w:rsidR="00B93B3C" w:rsidRPr="007B7AC4" w:rsidRDefault="00B93B3C" w:rsidP="00B93B3C">
      <w:pPr>
        <w:ind w:left="720"/>
      </w:pPr>
    </w:p>
    <w:p w14:paraId="7D1E174F" w14:textId="77777777" w:rsidR="00B93B3C" w:rsidRPr="007B7AC4" w:rsidRDefault="00B93B3C" w:rsidP="00B93B3C">
      <w:pPr>
        <w:ind w:left="720"/>
      </w:pPr>
      <w:r w:rsidRPr="007B7AC4">
        <w:rPr>
          <w:i/>
          <w:iCs/>
        </w:rPr>
        <w:t>Toledo Hospital v Becerra</w:t>
      </w:r>
      <w:r w:rsidRPr="007B7AC4">
        <w:t>, 2021 WL 4502052 (DDC 2021)(</w:t>
      </w:r>
      <w:r w:rsidRPr="007B7AC4">
        <w:rPr>
          <w:i/>
          <w:iCs/>
        </w:rPr>
        <w:t>Toledo</w:t>
      </w:r>
      <w:r w:rsidRPr="007B7AC4">
        <w:t>)</w:t>
      </w:r>
    </w:p>
    <w:p w14:paraId="06713FC4" w14:textId="77777777" w:rsidR="00B93B3C" w:rsidRPr="007B7AC4" w:rsidRDefault="00B93B3C" w:rsidP="00B93B3C"/>
    <w:p w14:paraId="41A804AA" w14:textId="77777777" w:rsidR="00B93B3C" w:rsidRPr="007B7AC4" w:rsidRDefault="00B93B3C" w:rsidP="00B93B3C"/>
    <w:p w14:paraId="65C7CC04" w14:textId="77777777" w:rsidR="00B93B3C" w:rsidRPr="007B7AC4" w:rsidRDefault="00B93B3C" w:rsidP="00B93B3C">
      <w:pPr>
        <w:ind w:firstLine="720"/>
        <w:rPr>
          <w:b/>
        </w:rPr>
      </w:pPr>
    </w:p>
    <w:p w14:paraId="3CEAA2A0" w14:textId="4B5BA2C1" w:rsidR="00B93B3C" w:rsidRPr="007B7AC4" w:rsidRDefault="00B93B3C" w:rsidP="00B93B3C">
      <w:pPr>
        <w:ind w:firstLine="720"/>
        <w:rPr>
          <w:b/>
        </w:rPr>
      </w:pPr>
      <w:r w:rsidRPr="007B7AC4">
        <w:rPr>
          <w:b/>
        </w:rPr>
        <w:t>Other</w:t>
      </w:r>
      <w:r w:rsidR="00E97926">
        <w:rPr>
          <w:b/>
        </w:rPr>
        <w:t xml:space="preserve"> Sources</w:t>
      </w:r>
      <w:r w:rsidRPr="007B7AC4">
        <w:rPr>
          <w:b/>
        </w:rPr>
        <w:t>:</w:t>
      </w:r>
    </w:p>
    <w:p w14:paraId="106DA08E" w14:textId="77777777" w:rsidR="00B93B3C" w:rsidRPr="007B7AC4" w:rsidRDefault="00B93B3C" w:rsidP="00B93B3C">
      <w:pPr>
        <w:ind w:firstLine="720"/>
      </w:pPr>
    </w:p>
    <w:p w14:paraId="58B5258D" w14:textId="77777777" w:rsidR="00B93B3C" w:rsidRPr="007B7AC4" w:rsidRDefault="00B93B3C" w:rsidP="00B93B3C">
      <w:pPr>
        <w:ind w:firstLine="720"/>
      </w:pPr>
      <w:r w:rsidRPr="007B7AC4">
        <w:t xml:space="preserve">CMS Administrator Decision in </w:t>
      </w:r>
      <w:r w:rsidRPr="007B7AC4">
        <w:rPr>
          <w:i/>
        </w:rPr>
        <w:t xml:space="preserve">Toledo Hospital vs Xavier Bercerra </w:t>
      </w:r>
      <w:r w:rsidRPr="007B7AC4">
        <w:t>(May 20, 2022)</w:t>
      </w:r>
    </w:p>
    <w:p w14:paraId="6A23D19C" w14:textId="77777777" w:rsidR="00B93B3C" w:rsidRPr="007B7AC4" w:rsidRDefault="00B93B3C" w:rsidP="00B93B3C">
      <w:pPr>
        <w:ind w:left="720"/>
      </w:pPr>
    </w:p>
    <w:p w14:paraId="0D3867AA" w14:textId="77777777" w:rsidR="00B93B3C" w:rsidRPr="007B7AC4" w:rsidRDefault="00B93B3C" w:rsidP="00967753">
      <w:pPr>
        <w:ind w:left="720"/>
      </w:pPr>
    </w:p>
    <w:p w14:paraId="4A03A0DA" w14:textId="77777777" w:rsidR="009C382E" w:rsidRPr="007B7AC4" w:rsidRDefault="009C382E" w:rsidP="00190FC7"/>
    <w:p w14:paraId="4A03A110" w14:textId="77777777" w:rsidR="00190FC7" w:rsidRPr="007B7AC4" w:rsidRDefault="00190FC7" w:rsidP="00190FC7"/>
    <w:p w14:paraId="4A03A111" w14:textId="77777777" w:rsidR="00190FC7" w:rsidRPr="007B7AC4" w:rsidRDefault="00190FC7" w:rsidP="009C382E"/>
    <w:p w14:paraId="4A03A112" w14:textId="023DD4B7" w:rsidR="00190FC7" w:rsidRPr="007B7AC4" w:rsidRDefault="004125C5" w:rsidP="00190FC7">
      <w:pPr>
        <w:rPr>
          <w:b/>
        </w:rPr>
      </w:pPr>
      <w:r>
        <w:t>EXHIBITS</w:t>
      </w:r>
    </w:p>
    <w:p w14:paraId="4A03A113" w14:textId="77777777" w:rsidR="00190FC7" w:rsidRPr="007B7AC4" w:rsidRDefault="00190FC7" w:rsidP="00190FC7"/>
    <w:p w14:paraId="4A03A114" w14:textId="77777777" w:rsidR="00190FC7" w:rsidRPr="007B7AC4" w:rsidRDefault="00190FC7" w:rsidP="00190FC7"/>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7461"/>
      </w:tblGrid>
      <w:tr w:rsidR="007B7AC4" w:rsidRPr="007B7AC4" w14:paraId="4A03A123" w14:textId="77777777" w:rsidTr="00FE46FD">
        <w:tc>
          <w:tcPr>
            <w:tcW w:w="797" w:type="dxa"/>
            <w:tcBorders>
              <w:top w:val="nil"/>
              <w:left w:val="nil"/>
              <w:bottom w:val="nil"/>
              <w:right w:val="nil"/>
            </w:tcBorders>
            <w:shd w:val="clear" w:color="auto" w:fill="auto"/>
          </w:tcPr>
          <w:p w14:paraId="4A03A121" w14:textId="259DA45B"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C-1</w:t>
            </w:r>
          </w:p>
        </w:tc>
        <w:tc>
          <w:tcPr>
            <w:tcW w:w="7461" w:type="dxa"/>
            <w:tcBorders>
              <w:top w:val="nil"/>
              <w:left w:val="nil"/>
              <w:bottom w:val="nil"/>
              <w:right w:val="nil"/>
            </w:tcBorders>
            <w:shd w:val="clear" w:color="auto" w:fill="auto"/>
          </w:tcPr>
          <w:p w14:paraId="26CE5339" w14:textId="65BA2157" w:rsidR="00B93B3C" w:rsidRPr="007B7AC4" w:rsidRDefault="00B93B3C" w:rsidP="00B93B3C">
            <w:pPr>
              <w:pStyle w:val="ExhibitListing"/>
              <w:widowControl/>
              <w:numPr>
                <w:ilvl w:val="0"/>
                <w:numId w:val="0"/>
              </w:numPr>
              <w:spacing w:line="240" w:lineRule="auto"/>
              <w:ind w:right="165"/>
              <w:rPr>
                <w:sz w:val="22"/>
              </w:rPr>
            </w:pPr>
            <w:r w:rsidRPr="007B7AC4">
              <w:rPr>
                <w:sz w:val="22"/>
              </w:rPr>
              <w:t>Schedule of Providers</w:t>
            </w:r>
          </w:p>
          <w:p w14:paraId="4A03A122" w14:textId="2BB701D7"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081E960B" w14:textId="77777777" w:rsidTr="00A8696F">
        <w:tc>
          <w:tcPr>
            <w:tcW w:w="797" w:type="dxa"/>
            <w:tcBorders>
              <w:top w:val="nil"/>
              <w:left w:val="nil"/>
              <w:bottom w:val="nil"/>
              <w:right w:val="nil"/>
            </w:tcBorders>
            <w:shd w:val="clear" w:color="auto" w:fill="auto"/>
          </w:tcPr>
          <w:p w14:paraId="14FBA5C1" w14:textId="549B4756"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C-2</w:t>
            </w:r>
          </w:p>
        </w:tc>
        <w:tc>
          <w:tcPr>
            <w:tcW w:w="7461" w:type="dxa"/>
            <w:tcBorders>
              <w:top w:val="nil"/>
              <w:left w:val="nil"/>
              <w:bottom w:val="nil"/>
              <w:right w:val="nil"/>
            </w:tcBorders>
            <w:shd w:val="clear" w:color="auto" w:fill="auto"/>
          </w:tcPr>
          <w:p w14:paraId="5048F9BD"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 v Xavier Becerra</w:t>
            </w:r>
            <w:r w:rsidRPr="007B7AC4">
              <w:rPr>
                <w:sz w:val="22"/>
              </w:rPr>
              <w:t xml:space="preserve"> District Court Decision (September 30, 2021)</w:t>
            </w:r>
          </w:p>
          <w:p w14:paraId="1512AA5E" w14:textId="640C8B4D"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71505775" w14:textId="77777777" w:rsidTr="00A8696F">
        <w:tc>
          <w:tcPr>
            <w:tcW w:w="797" w:type="dxa"/>
            <w:tcBorders>
              <w:top w:val="nil"/>
              <w:left w:val="nil"/>
              <w:bottom w:val="nil"/>
              <w:right w:val="nil"/>
            </w:tcBorders>
            <w:shd w:val="clear" w:color="auto" w:fill="auto"/>
          </w:tcPr>
          <w:p w14:paraId="743B2772" w14:textId="47DCC4BB"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C-3</w:t>
            </w:r>
          </w:p>
        </w:tc>
        <w:tc>
          <w:tcPr>
            <w:tcW w:w="7461" w:type="dxa"/>
            <w:tcBorders>
              <w:top w:val="nil"/>
              <w:left w:val="nil"/>
              <w:bottom w:val="nil"/>
              <w:right w:val="nil"/>
            </w:tcBorders>
            <w:shd w:val="clear" w:color="auto" w:fill="auto"/>
          </w:tcPr>
          <w:p w14:paraId="2D58996D"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w:t>
            </w:r>
            <w:r w:rsidRPr="007B7AC4">
              <w:rPr>
                <w:sz w:val="22"/>
              </w:rPr>
              <w:t xml:space="preserve"> Expedited Judicial Review Determination (October 30, 2019)</w:t>
            </w:r>
          </w:p>
          <w:p w14:paraId="1C653288" w14:textId="7B7407B5" w:rsidR="00B93B3C" w:rsidRPr="007B7AC4" w:rsidRDefault="00B93B3C" w:rsidP="00B93B3C">
            <w:pPr>
              <w:pStyle w:val="ExhibitListing"/>
              <w:widowControl/>
              <w:numPr>
                <w:ilvl w:val="0"/>
                <w:numId w:val="0"/>
              </w:numPr>
              <w:spacing w:after="120" w:line="240" w:lineRule="auto"/>
              <w:ind w:right="165"/>
              <w:rPr>
                <w:sz w:val="22"/>
              </w:rPr>
            </w:pPr>
          </w:p>
        </w:tc>
      </w:tr>
      <w:tr w:rsidR="007B7AC4" w:rsidRPr="007B7AC4" w14:paraId="4A03A126" w14:textId="77777777" w:rsidTr="00FE46FD">
        <w:tc>
          <w:tcPr>
            <w:tcW w:w="797" w:type="dxa"/>
            <w:tcBorders>
              <w:top w:val="nil"/>
              <w:left w:val="nil"/>
              <w:bottom w:val="nil"/>
              <w:right w:val="nil"/>
            </w:tcBorders>
            <w:shd w:val="clear" w:color="auto" w:fill="auto"/>
          </w:tcPr>
          <w:p w14:paraId="4A03A124" w14:textId="3B02A903" w:rsidR="00B93B3C" w:rsidRPr="007B7AC4" w:rsidRDefault="00B93B3C" w:rsidP="00B93B3C">
            <w:pPr>
              <w:pStyle w:val="ExhibitListing"/>
              <w:widowControl/>
              <w:numPr>
                <w:ilvl w:val="0"/>
                <w:numId w:val="0"/>
              </w:numPr>
              <w:spacing w:after="120" w:line="240" w:lineRule="auto"/>
              <w:ind w:right="0"/>
              <w:rPr>
                <w:sz w:val="22"/>
              </w:rPr>
            </w:pPr>
            <w:r w:rsidRPr="007B7AC4">
              <w:rPr>
                <w:sz w:val="22"/>
              </w:rPr>
              <w:t>C-4</w:t>
            </w:r>
          </w:p>
        </w:tc>
        <w:tc>
          <w:tcPr>
            <w:tcW w:w="7461" w:type="dxa"/>
            <w:tcBorders>
              <w:top w:val="nil"/>
              <w:left w:val="nil"/>
              <w:bottom w:val="nil"/>
              <w:right w:val="nil"/>
            </w:tcBorders>
            <w:shd w:val="clear" w:color="auto" w:fill="auto"/>
          </w:tcPr>
          <w:p w14:paraId="4CEC14D4" w14:textId="77777777" w:rsidR="00B93B3C" w:rsidRPr="007B7AC4" w:rsidRDefault="00B93B3C" w:rsidP="00B93B3C">
            <w:pPr>
              <w:pStyle w:val="ExhibitListing"/>
              <w:widowControl/>
              <w:numPr>
                <w:ilvl w:val="0"/>
                <w:numId w:val="0"/>
              </w:numPr>
              <w:spacing w:line="240" w:lineRule="auto"/>
              <w:ind w:right="165"/>
              <w:rPr>
                <w:sz w:val="22"/>
              </w:rPr>
            </w:pPr>
            <w:r w:rsidRPr="007B7AC4">
              <w:rPr>
                <w:i/>
                <w:sz w:val="22"/>
              </w:rPr>
              <w:t>Toledo Hospital vs Xavier Bercerra</w:t>
            </w:r>
            <w:r w:rsidRPr="007B7AC4">
              <w:rPr>
                <w:sz w:val="22"/>
              </w:rPr>
              <w:t xml:space="preserve"> CMS Order of the Administrator (May 20, 2022)</w:t>
            </w:r>
          </w:p>
          <w:p w14:paraId="4A03A125" w14:textId="701ABDB1" w:rsidR="00B93B3C" w:rsidRPr="007B7AC4" w:rsidRDefault="00B93B3C" w:rsidP="00B93B3C">
            <w:pPr>
              <w:pStyle w:val="ExhibitListing"/>
              <w:widowControl/>
              <w:numPr>
                <w:ilvl w:val="0"/>
                <w:numId w:val="0"/>
              </w:numPr>
              <w:spacing w:after="120" w:line="240" w:lineRule="auto"/>
              <w:ind w:right="165"/>
              <w:rPr>
                <w:sz w:val="22"/>
              </w:rPr>
            </w:pPr>
          </w:p>
        </w:tc>
      </w:tr>
      <w:tr w:rsidR="00B93B3C" w:rsidRPr="007B7AC4" w14:paraId="169925AD" w14:textId="77777777" w:rsidTr="00FE46FD">
        <w:tc>
          <w:tcPr>
            <w:tcW w:w="797" w:type="dxa"/>
            <w:tcBorders>
              <w:top w:val="nil"/>
              <w:left w:val="nil"/>
              <w:bottom w:val="nil"/>
              <w:right w:val="nil"/>
            </w:tcBorders>
            <w:shd w:val="clear" w:color="auto" w:fill="auto"/>
          </w:tcPr>
          <w:p w14:paraId="20E27209" w14:textId="77777777" w:rsidR="00B93B3C" w:rsidRPr="007B7AC4" w:rsidRDefault="00B93B3C" w:rsidP="00B93B3C">
            <w:pPr>
              <w:pStyle w:val="ExhibitListing"/>
              <w:widowControl/>
              <w:numPr>
                <w:ilvl w:val="0"/>
                <w:numId w:val="0"/>
              </w:numPr>
              <w:spacing w:after="120" w:line="240" w:lineRule="auto"/>
              <w:ind w:right="0"/>
              <w:rPr>
                <w:sz w:val="22"/>
              </w:rPr>
            </w:pPr>
          </w:p>
        </w:tc>
        <w:tc>
          <w:tcPr>
            <w:tcW w:w="7461" w:type="dxa"/>
            <w:tcBorders>
              <w:top w:val="nil"/>
              <w:left w:val="nil"/>
              <w:bottom w:val="nil"/>
              <w:right w:val="nil"/>
            </w:tcBorders>
            <w:shd w:val="clear" w:color="auto" w:fill="auto"/>
          </w:tcPr>
          <w:p w14:paraId="2A3D8EB9" w14:textId="77777777" w:rsidR="00B93B3C" w:rsidRPr="007B7AC4" w:rsidRDefault="00B93B3C" w:rsidP="00B93B3C">
            <w:pPr>
              <w:pStyle w:val="ExhibitListing"/>
              <w:widowControl/>
              <w:numPr>
                <w:ilvl w:val="0"/>
                <w:numId w:val="0"/>
              </w:numPr>
              <w:spacing w:line="240" w:lineRule="auto"/>
              <w:ind w:right="165"/>
              <w:rPr>
                <w:sz w:val="22"/>
              </w:rPr>
            </w:pPr>
          </w:p>
        </w:tc>
      </w:tr>
    </w:tbl>
    <w:p w14:paraId="4A03A13F" w14:textId="77777777" w:rsidR="00190FC7" w:rsidRPr="007B7AC4" w:rsidRDefault="00190FC7" w:rsidP="00C96A88"/>
    <w:sectPr w:rsidR="00190FC7" w:rsidRPr="007B7AC4"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5D81C" w14:textId="77777777" w:rsidR="00D02581" w:rsidRDefault="00D02581">
      <w:r>
        <w:separator/>
      </w:r>
    </w:p>
  </w:endnote>
  <w:endnote w:type="continuationSeparator" w:id="0">
    <w:p w14:paraId="41DBFD90" w14:textId="77777777" w:rsidR="00D02581" w:rsidRDefault="00D0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5502A34E" w:rsidR="009C382E" w:rsidRDefault="007C69BE" w:rsidP="007E79D4">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2BC8A5DA" w:rsidR="009C382E" w:rsidRPr="003C2E02" w:rsidRDefault="007C69BE" w:rsidP="007E79D4">
    <w:pPr>
      <w:pStyle w:val="Footer"/>
      <w:tabs>
        <w:tab w:val="clear" w:pos="4320"/>
        <w:tab w:val="clear" w:pos="8640"/>
        <w:tab w:val="left" w:pos="4140"/>
        <w:tab w:val="right" w:pos="8910"/>
      </w:tabs>
      <w:jc w:val="center"/>
      <w:rPr>
        <w:color w:val="FFFFFF" w:themeColor="background1"/>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r w:rsidR="00ED084B" w:rsidRPr="003C2E02">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3482C" w14:textId="77777777" w:rsidR="00D02581" w:rsidRDefault="00D02581">
      <w:r>
        <w:separator/>
      </w:r>
    </w:p>
  </w:footnote>
  <w:footnote w:type="continuationSeparator" w:id="0">
    <w:p w14:paraId="56E48C3C" w14:textId="77777777" w:rsidR="00D02581" w:rsidRDefault="00D0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858D" w14:textId="77777777" w:rsidR="00A57AD9" w:rsidRDefault="00A5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4D529379" w:rsidR="009C382E" w:rsidRDefault="009C382E" w:rsidP="00521FA9">
    <w:pPr>
      <w:pStyle w:val="Header"/>
    </w:pPr>
  </w:p>
  <w:p w14:paraId="4A03A145" w14:textId="73F060B2" w:rsidR="009C382E" w:rsidRDefault="009C382E" w:rsidP="00521FA9">
    <w:pPr>
      <w:pStyle w:val="Header"/>
    </w:pPr>
  </w:p>
  <w:p w14:paraId="4A03A14B" w14:textId="2EC7929A" w:rsidR="009C382E" w:rsidRDefault="0043347D" w:rsidP="002F7877">
    <w:pPr>
      <w:pStyle w:val="Header"/>
    </w:pPr>
    <w:r>
      <w:rPr>
        <w:sz w:val="20"/>
        <w:szCs w:val="20"/>
      </w:rPr>
      <w:tab/>
    </w:r>
    <w:r>
      <w:rPr>
        <w:sz w:val="20"/>
        <w:szCs w:val="20"/>
      </w:rPr>
      <w:tab/>
    </w:r>
    <w:r w:rsidR="009C382E" w:rsidRPr="00151C6C">
      <w:rPr>
        <w:sz w:val="20"/>
        <w:szCs w:val="20"/>
      </w:rPr>
      <w:t xml:space="preserve">Case No. </w:t>
    </w:r>
    <w:r w:rsidR="003C2E02">
      <w:rPr>
        <w:sz w:val="20"/>
        <w:szCs w:val="20"/>
      </w:rPr>
      <w:t>22-0089GC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4" w14:textId="109B9655" w:rsidR="009C382E" w:rsidRPr="003C2E02" w:rsidRDefault="009C382E" w:rsidP="007730CA">
    <w:pPr>
      <w:pStyle w:val="Header"/>
      <w:jc w:val="center"/>
      <w:rPr>
        <w:color w:val="FFFFFF" w:themeColor="background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5"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0651078">
    <w:abstractNumId w:val="2"/>
  </w:num>
  <w:num w:numId="2" w16cid:durableId="940187151">
    <w:abstractNumId w:val="0"/>
  </w:num>
  <w:num w:numId="3" w16cid:durableId="373117978">
    <w:abstractNumId w:val="4"/>
  </w:num>
  <w:num w:numId="4" w16cid:durableId="1770852464">
    <w:abstractNumId w:val="1"/>
  </w:num>
  <w:num w:numId="5" w16cid:durableId="1381855515">
    <w:abstractNumId w:val="6"/>
  </w:num>
  <w:num w:numId="6" w16cid:durableId="1725064536">
    <w:abstractNumId w:val="3"/>
  </w:num>
  <w:num w:numId="7" w16cid:durableId="164096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F99"/>
    <w:rsid w:val="0011151C"/>
    <w:rsid w:val="001165E9"/>
    <w:rsid w:val="00151C6C"/>
    <w:rsid w:val="0017353B"/>
    <w:rsid w:val="00181C9A"/>
    <w:rsid w:val="00182C6C"/>
    <w:rsid w:val="00183488"/>
    <w:rsid w:val="0018652C"/>
    <w:rsid w:val="00190FC7"/>
    <w:rsid w:val="001A020F"/>
    <w:rsid w:val="001A1068"/>
    <w:rsid w:val="001A3F83"/>
    <w:rsid w:val="001E015F"/>
    <w:rsid w:val="001F072E"/>
    <w:rsid w:val="001F2E14"/>
    <w:rsid w:val="00203169"/>
    <w:rsid w:val="00206A8F"/>
    <w:rsid w:val="0021576D"/>
    <w:rsid w:val="00215B30"/>
    <w:rsid w:val="00222A1F"/>
    <w:rsid w:val="00225501"/>
    <w:rsid w:val="0022652C"/>
    <w:rsid w:val="0023308C"/>
    <w:rsid w:val="00270E6D"/>
    <w:rsid w:val="00272B00"/>
    <w:rsid w:val="00276B31"/>
    <w:rsid w:val="00281C83"/>
    <w:rsid w:val="00296765"/>
    <w:rsid w:val="002A41A9"/>
    <w:rsid w:val="002B4CF2"/>
    <w:rsid w:val="002C5D80"/>
    <w:rsid w:val="002D746F"/>
    <w:rsid w:val="002E0C08"/>
    <w:rsid w:val="002E6862"/>
    <w:rsid w:val="002F1A4A"/>
    <w:rsid w:val="002F7877"/>
    <w:rsid w:val="00305A2B"/>
    <w:rsid w:val="00307BFE"/>
    <w:rsid w:val="003107A6"/>
    <w:rsid w:val="00311DC4"/>
    <w:rsid w:val="0034299E"/>
    <w:rsid w:val="00344E2F"/>
    <w:rsid w:val="003461E2"/>
    <w:rsid w:val="00354EF3"/>
    <w:rsid w:val="00361DA0"/>
    <w:rsid w:val="00363789"/>
    <w:rsid w:val="00366E5E"/>
    <w:rsid w:val="00367556"/>
    <w:rsid w:val="00371556"/>
    <w:rsid w:val="003722EA"/>
    <w:rsid w:val="00374A41"/>
    <w:rsid w:val="003841DC"/>
    <w:rsid w:val="00394799"/>
    <w:rsid w:val="003A7CC4"/>
    <w:rsid w:val="003B2A35"/>
    <w:rsid w:val="003C2E02"/>
    <w:rsid w:val="003C68B6"/>
    <w:rsid w:val="003D1101"/>
    <w:rsid w:val="003D4750"/>
    <w:rsid w:val="003E0962"/>
    <w:rsid w:val="003E0C13"/>
    <w:rsid w:val="00405386"/>
    <w:rsid w:val="00411FF5"/>
    <w:rsid w:val="004125C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B03A1"/>
    <w:rsid w:val="004C5A2F"/>
    <w:rsid w:val="004D20A1"/>
    <w:rsid w:val="004E4EF6"/>
    <w:rsid w:val="004F3BCB"/>
    <w:rsid w:val="00502852"/>
    <w:rsid w:val="00514D75"/>
    <w:rsid w:val="00521FA9"/>
    <w:rsid w:val="0053152D"/>
    <w:rsid w:val="005364FA"/>
    <w:rsid w:val="005406A8"/>
    <w:rsid w:val="00554DAF"/>
    <w:rsid w:val="00566119"/>
    <w:rsid w:val="0057374F"/>
    <w:rsid w:val="005776F5"/>
    <w:rsid w:val="0059780F"/>
    <w:rsid w:val="005C17AE"/>
    <w:rsid w:val="00601706"/>
    <w:rsid w:val="00607C78"/>
    <w:rsid w:val="00613DDE"/>
    <w:rsid w:val="00616DCE"/>
    <w:rsid w:val="006241AF"/>
    <w:rsid w:val="006443E4"/>
    <w:rsid w:val="00645A6F"/>
    <w:rsid w:val="00653570"/>
    <w:rsid w:val="0066530B"/>
    <w:rsid w:val="006B57BC"/>
    <w:rsid w:val="006E2FD7"/>
    <w:rsid w:val="006E65CF"/>
    <w:rsid w:val="007045B4"/>
    <w:rsid w:val="00725B49"/>
    <w:rsid w:val="007277AE"/>
    <w:rsid w:val="00736E33"/>
    <w:rsid w:val="0074009E"/>
    <w:rsid w:val="007456FA"/>
    <w:rsid w:val="0075053F"/>
    <w:rsid w:val="00764536"/>
    <w:rsid w:val="0077026D"/>
    <w:rsid w:val="007730CA"/>
    <w:rsid w:val="007A1386"/>
    <w:rsid w:val="007B53D1"/>
    <w:rsid w:val="007B7AC4"/>
    <w:rsid w:val="007C69BE"/>
    <w:rsid w:val="007E79D4"/>
    <w:rsid w:val="007F3ACC"/>
    <w:rsid w:val="0081123E"/>
    <w:rsid w:val="00821649"/>
    <w:rsid w:val="00821AE9"/>
    <w:rsid w:val="00825A13"/>
    <w:rsid w:val="008308BF"/>
    <w:rsid w:val="00836950"/>
    <w:rsid w:val="00846CDA"/>
    <w:rsid w:val="00852497"/>
    <w:rsid w:val="00861121"/>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671F"/>
    <w:rsid w:val="00927D38"/>
    <w:rsid w:val="009400A0"/>
    <w:rsid w:val="00946332"/>
    <w:rsid w:val="00946D1B"/>
    <w:rsid w:val="009544E6"/>
    <w:rsid w:val="00967753"/>
    <w:rsid w:val="00967A73"/>
    <w:rsid w:val="009755A0"/>
    <w:rsid w:val="00975F53"/>
    <w:rsid w:val="00983D6F"/>
    <w:rsid w:val="009C2151"/>
    <w:rsid w:val="009C382E"/>
    <w:rsid w:val="009D2074"/>
    <w:rsid w:val="009F47DB"/>
    <w:rsid w:val="00A05D9F"/>
    <w:rsid w:val="00A07E6E"/>
    <w:rsid w:val="00A15F23"/>
    <w:rsid w:val="00A22C32"/>
    <w:rsid w:val="00A373DE"/>
    <w:rsid w:val="00A57AD9"/>
    <w:rsid w:val="00A76F73"/>
    <w:rsid w:val="00A8696F"/>
    <w:rsid w:val="00A92346"/>
    <w:rsid w:val="00A936E3"/>
    <w:rsid w:val="00A979FA"/>
    <w:rsid w:val="00AB0C18"/>
    <w:rsid w:val="00AB3960"/>
    <w:rsid w:val="00AD605C"/>
    <w:rsid w:val="00AE24E4"/>
    <w:rsid w:val="00AE41C3"/>
    <w:rsid w:val="00AE6C6D"/>
    <w:rsid w:val="00AF312D"/>
    <w:rsid w:val="00B01828"/>
    <w:rsid w:val="00B01945"/>
    <w:rsid w:val="00B02DB8"/>
    <w:rsid w:val="00B065B7"/>
    <w:rsid w:val="00B345BD"/>
    <w:rsid w:val="00B430A9"/>
    <w:rsid w:val="00B50120"/>
    <w:rsid w:val="00B735CB"/>
    <w:rsid w:val="00B75982"/>
    <w:rsid w:val="00B8232F"/>
    <w:rsid w:val="00B85CFE"/>
    <w:rsid w:val="00B87758"/>
    <w:rsid w:val="00B92491"/>
    <w:rsid w:val="00B93B3C"/>
    <w:rsid w:val="00BA002E"/>
    <w:rsid w:val="00BA528C"/>
    <w:rsid w:val="00BA7F1E"/>
    <w:rsid w:val="00BB7F1A"/>
    <w:rsid w:val="00BD251C"/>
    <w:rsid w:val="00BD6604"/>
    <w:rsid w:val="00BE6E37"/>
    <w:rsid w:val="00C07748"/>
    <w:rsid w:val="00C13802"/>
    <w:rsid w:val="00C23F3E"/>
    <w:rsid w:val="00C33B03"/>
    <w:rsid w:val="00C42B47"/>
    <w:rsid w:val="00C65A48"/>
    <w:rsid w:val="00C76948"/>
    <w:rsid w:val="00C96A88"/>
    <w:rsid w:val="00CB3C4B"/>
    <w:rsid w:val="00CB6BA3"/>
    <w:rsid w:val="00CC060C"/>
    <w:rsid w:val="00CD0617"/>
    <w:rsid w:val="00CD264E"/>
    <w:rsid w:val="00CD4B3E"/>
    <w:rsid w:val="00CE5B48"/>
    <w:rsid w:val="00D02212"/>
    <w:rsid w:val="00D02581"/>
    <w:rsid w:val="00D04055"/>
    <w:rsid w:val="00D32E76"/>
    <w:rsid w:val="00D4635C"/>
    <w:rsid w:val="00D55372"/>
    <w:rsid w:val="00D635C1"/>
    <w:rsid w:val="00D775F0"/>
    <w:rsid w:val="00D834BE"/>
    <w:rsid w:val="00D90F8B"/>
    <w:rsid w:val="00D939E2"/>
    <w:rsid w:val="00DB0B04"/>
    <w:rsid w:val="00DB24E7"/>
    <w:rsid w:val="00DC0D7F"/>
    <w:rsid w:val="00DC637B"/>
    <w:rsid w:val="00DE06F9"/>
    <w:rsid w:val="00DE3EAD"/>
    <w:rsid w:val="00DE6169"/>
    <w:rsid w:val="00DF04C1"/>
    <w:rsid w:val="00E06438"/>
    <w:rsid w:val="00E17354"/>
    <w:rsid w:val="00E239E0"/>
    <w:rsid w:val="00E27F07"/>
    <w:rsid w:val="00E41B74"/>
    <w:rsid w:val="00E46D15"/>
    <w:rsid w:val="00E55E87"/>
    <w:rsid w:val="00E75E7A"/>
    <w:rsid w:val="00E80ADF"/>
    <w:rsid w:val="00E8428B"/>
    <w:rsid w:val="00E92601"/>
    <w:rsid w:val="00E97926"/>
    <w:rsid w:val="00EB19BF"/>
    <w:rsid w:val="00EC7365"/>
    <w:rsid w:val="00EC7519"/>
    <w:rsid w:val="00ED084B"/>
    <w:rsid w:val="00EE3188"/>
    <w:rsid w:val="00EE7CAD"/>
    <w:rsid w:val="00F00B97"/>
    <w:rsid w:val="00F021F7"/>
    <w:rsid w:val="00F10587"/>
    <w:rsid w:val="00F1156D"/>
    <w:rsid w:val="00F26EA2"/>
    <w:rsid w:val="00F348B6"/>
    <w:rsid w:val="00F41874"/>
    <w:rsid w:val="00F43E19"/>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645A6F"/>
    <w:pPr>
      <w:ind w:left="720"/>
      <w:contextualSpacing/>
    </w:pPr>
  </w:style>
  <w:style w:type="paragraph" w:styleId="EndnoteText">
    <w:name w:val="endnote text"/>
    <w:basedOn w:val="Normal"/>
    <w:link w:val="EndnoteTextChar"/>
    <w:uiPriority w:val="99"/>
    <w:semiHidden/>
    <w:unhideWhenUsed/>
    <w:rsid w:val="00D32E76"/>
    <w:rPr>
      <w:sz w:val="20"/>
      <w:szCs w:val="20"/>
    </w:rPr>
  </w:style>
  <w:style w:type="character" w:customStyle="1" w:styleId="EndnoteTextChar">
    <w:name w:val="Endnote Text Char"/>
    <w:basedOn w:val="DefaultParagraphFont"/>
    <w:link w:val="EndnoteText"/>
    <w:uiPriority w:val="99"/>
    <w:semiHidden/>
    <w:rsid w:val="00D32E76"/>
    <w:rPr>
      <w:sz w:val="20"/>
      <w:szCs w:val="20"/>
    </w:rPr>
  </w:style>
  <w:style w:type="character" w:styleId="EndnoteReference">
    <w:name w:val="endnote reference"/>
    <w:basedOn w:val="DefaultParagraphFont"/>
    <w:uiPriority w:val="99"/>
    <w:semiHidden/>
    <w:unhideWhenUsed/>
    <w:rsid w:val="00D3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3E3ECF-4CEA-482E-A970-799B2A22AE6C}">
  <ds:schemaRefs>
    <ds:schemaRef ds:uri="http://schemas.openxmlformats.org/officeDocument/2006/bibliography"/>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2024-06-18T14:02:00Z</dcterms:created>
  <dcterms:modified xsi:type="dcterms:W3CDTF">2024-06-18T14:09:00Z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