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E42D9" w14:textId="77777777" w:rsidR="00B66AEC" w:rsidRPr="008428E5" w:rsidRDefault="00B66AEC">
      <w:pPr>
        <w:rPr>
          <w:rFonts w:ascii="Times New Roman" w:hAnsi="Times New Roman"/>
          <w:sz w:val="24"/>
          <w:szCs w:val="24"/>
        </w:rPr>
      </w:pPr>
    </w:p>
    <w:p w14:paraId="6A2FA29D" w14:textId="54D96516" w:rsidR="00C5553E" w:rsidRPr="005F333F" w:rsidRDefault="00C5553E" w:rsidP="00C5553E">
      <w:pPr>
        <w:tabs>
          <w:tab w:val="left" w:pos="-1440"/>
          <w:tab w:val="left" w:pos="-720"/>
          <w:tab w:val="left" w:pos="720"/>
          <w:tab w:val="left" w:pos="1800"/>
          <w:tab w:val="left" w:pos="7501"/>
          <w:tab w:val="left" w:pos="8136"/>
          <w:tab w:val="left" w:pos="8640"/>
        </w:tabs>
        <w:suppressAutoHyphens/>
        <w:ind w:left="720" w:hanging="720"/>
        <w:rPr>
          <w:rFonts w:ascii="Times New Roman" w:hAnsi="Times New Roman"/>
          <w:b/>
          <w:sz w:val="24"/>
          <w:szCs w:val="24"/>
        </w:rPr>
      </w:pPr>
      <w:r>
        <w:rPr>
          <w:rFonts w:ascii="Times New Roman" w:hAnsi="Times New Roman"/>
          <w:sz w:val="24"/>
          <w:szCs w:val="24"/>
        </w:rPr>
        <w:t xml:space="preserve">DSH – </w:t>
      </w:r>
      <w:r w:rsidR="00C61CA9">
        <w:rPr>
          <w:rFonts w:ascii="Times New Roman" w:hAnsi="Times New Roman"/>
          <w:sz w:val="24"/>
          <w:szCs w:val="24"/>
        </w:rPr>
        <w:t>Medicaid</w:t>
      </w:r>
      <w:r>
        <w:rPr>
          <w:rFonts w:ascii="Times New Roman" w:hAnsi="Times New Roman"/>
          <w:sz w:val="24"/>
          <w:szCs w:val="24"/>
        </w:rPr>
        <w:t xml:space="preserve"> Fraction/Dual Eligible Days (Exhausted Part A Benefit Days, Medicare Secondary Pay or Days, and No-Pay Part A Days)</w:t>
      </w:r>
    </w:p>
    <w:p w14:paraId="14E8C13F" w14:textId="407E5121" w:rsidR="008F047C" w:rsidRDefault="008F047C" w:rsidP="008F047C">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p>
    <w:p w14:paraId="404A5465" w14:textId="77777777" w:rsidR="008F047C" w:rsidRDefault="008F047C" w:rsidP="008F047C">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p>
    <w:p w14:paraId="7E947D9B" w14:textId="380E66DB" w:rsidR="008F047C" w:rsidRPr="001640E0" w:rsidRDefault="008F047C" w:rsidP="001640E0">
      <w:pPr>
        <w:autoSpaceDE w:val="0"/>
        <w:autoSpaceDN w:val="0"/>
        <w:adjustRightInd w:val="0"/>
        <w:ind w:left="720"/>
        <w:jc w:val="both"/>
        <w:rPr>
          <w:rFonts w:ascii="Times New Roman" w:hAnsi="Times New Roman"/>
          <w:sz w:val="24"/>
          <w:szCs w:val="24"/>
        </w:rPr>
      </w:pPr>
      <w:r w:rsidRPr="001640E0">
        <w:rPr>
          <w:rFonts w:ascii="Times New Roman" w:hAnsi="Times New Roman"/>
          <w:b/>
          <w:bCs/>
          <w:sz w:val="24"/>
          <w:szCs w:val="24"/>
        </w:rPr>
        <w:t>Description of Issue:</w:t>
      </w:r>
      <w:r w:rsidR="001640E0" w:rsidRPr="001640E0">
        <w:rPr>
          <w:rFonts w:ascii="Times New Roman" w:hAnsi="Times New Roman"/>
          <w:b/>
          <w:bCs/>
          <w:sz w:val="24"/>
          <w:szCs w:val="24"/>
        </w:rPr>
        <w:t xml:space="preserve">  </w:t>
      </w:r>
      <w:r w:rsidR="001640E0" w:rsidRPr="001640E0">
        <w:rPr>
          <w:rFonts w:ascii="Times New Roman" w:hAnsi="Times New Roman"/>
          <w:sz w:val="24"/>
          <w:szCs w:val="24"/>
        </w:rPr>
        <w:t xml:space="preserve">Whether patient days associated with Medicare Part A and Title XIX eligible patients should be </w:t>
      </w:r>
      <w:r w:rsidR="00C61CA9">
        <w:rPr>
          <w:rFonts w:ascii="Times New Roman" w:hAnsi="Times New Roman"/>
          <w:sz w:val="24"/>
          <w:szCs w:val="24"/>
        </w:rPr>
        <w:t>included in</w:t>
      </w:r>
      <w:r w:rsidR="001640E0" w:rsidRPr="001640E0">
        <w:rPr>
          <w:rFonts w:ascii="Times New Roman" w:hAnsi="Times New Roman"/>
          <w:sz w:val="24"/>
          <w:szCs w:val="24"/>
        </w:rPr>
        <w:t xml:space="preserve"> the </w:t>
      </w:r>
      <w:r w:rsidR="00C61CA9">
        <w:rPr>
          <w:rFonts w:ascii="Times New Roman" w:hAnsi="Times New Roman"/>
          <w:sz w:val="24"/>
          <w:szCs w:val="24"/>
        </w:rPr>
        <w:t xml:space="preserve">Medicaid </w:t>
      </w:r>
      <w:r w:rsidR="001640E0" w:rsidRPr="001640E0">
        <w:rPr>
          <w:rFonts w:ascii="Times New Roman" w:hAnsi="Times New Roman"/>
          <w:sz w:val="24"/>
          <w:szCs w:val="24"/>
        </w:rPr>
        <w:t xml:space="preserve">fraction of the Medicare Disproportionate Share Hospital (“DSH”) calculation.  Further, whether the MACs should have </w:t>
      </w:r>
      <w:r w:rsidR="00C61CA9">
        <w:rPr>
          <w:rFonts w:ascii="Times New Roman" w:hAnsi="Times New Roman"/>
          <w:sz w:val="24"/>
          <w:szCs w:val="24"/>
        </w:rPr>
        <w:t>in</w:t>
      </w:r>
      <w:r w:rsidR="001640E0" w:rsidRPr="001640E0">
        <w:rPr>
          <w:rFonts w:ascii="Times New Roman" w:hAnsi="Times New Roman"/>
          <w:sz w:val="24"/>
          <w:szCs w:val="24"/>
        </w:rPr>
        <w:t xml:space="preserve">cluded </w:t>
      </w:r>
      <w:r w:rsidR="00C61CA9">
        <w:rPr>
          <w:rFonts w:ascii="Times New Roman" w:hAnsi="Times New Roman"/>
          <w:sz w:val="24"/>
          <w:szCs w:val="24"/>
        </w:rPr>
        <w:t>in the Medicaid</w:t>
      </w:r>
      <w:r w:rsidR="001640E0" w:rsidRPr="001640E0">
        <w:rPr>
          <w:rFonts w:ascii="Times New Roman" w:hAnsi="Times New Roman"/>
          <w:sz w:val="24"/>
          <w:szCs w:val="24"/>
        </w:rPr>
        <w:t xml:space="preserve"> fraction of the DSH calculation patient days applicable to patients who were eligible for both Medicare and Medicaid where Medicare Part A did not make a payment</w:t>
      </w:r>
      <w:r w:rsidR="00AA72B0" w:rsidRPr="001640E0">
        <w:rPr>
          <w:rFonts w:ascii="Times New Roman" w:hAnsi="Times New Roman"/>
          <w:sz w:val="24"/>
          <w:szCs w:val="24"/>
        </w:rPr>
        <w:t>.</w:t>
      </w:r>
    </w:p>
    <w:p w14:paraId="21A39820" w14:textId="77777777" w:rsidR="008F047C" w:rsidRDefault="008F047C" w:rsidP="008F047C">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p>
    <w:p w14:paraId="1C0FBDFF" w14:textId="54094D95" w:rsidR="008F047C" w:rsidRDefault="008F047C" w:rsidP="008F047C">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r>
        <w:rPr>
          <w:rFonts w:ascii="Times New Roman" w:hAnsi="Times New Roman"/>
          <w:sz w:val="24"/>
          <w:szCs w:val="24"/>
        </w:rPr>
        <w:tab/>
      </w:r>
      <w:r w:rsidRPr="00AA72B0">
        <w:rPr>
          <w:rFonts w:ascii="Times New Roman" w:hAnsi="Times New Roman"/>
          <w:b/>
          <w:bCs/>
          <w:sz w:val="24"/>
          <w:szCs w:val="24"/>
        </w:rPr>
        <w:t>Adjustment Numbers:</w:t>
      </w:r>
      <w:r w:rsidR="00C5553E">
        <w:rPr>
          <w:rFonts w:ascii="Times New Roman" w:hAnsi="Times New Roman"/>
          <w:sz w:val="24"/>
          <w:szCs w:val="24"/>
        </w:rPr>
        <w:tab/>
        <w:t>Various</w:t>
      </w:r>
      <w:r w:rsidR="00AA72B0">
        <w:rPr>
          <w:rStyle w:val="FootnoteReference"/>
          <w:rFonts w:ascii="Times New Roman" w:hAnsi="Times New Roman"/>
          <w:sz w:val="24"/>
          <w:szCs w:val="24"/>
        </w:rPr>
        <w:footnoteReference w:id="1"/>
      </w:r>
      <w:r>
        <w:rPr>
          <w:rFonts w:ascii="Times New Roman" w:hAnsi="Times New Roman"/>
          <w:sz w:val="24"/>
          <w:szCs w:val="24"/>
        </w:rPr>
        <w:tab/>
      </w:r>
      <w:r>
        <w:rPr>
          <w:rFonts w:ascii="Times New Roman" w:hAnsi="Times New Roman"/>
          <w:sz w:val="24"/>
          <w:szCs w:val="24"/>
        </w:rPr>
        <w:tab/>
      </w:r>
    </w:p>
    <w:p w14:paraId="22F8A639" w14:textId="77777777" w:rsidR="008F047C" w:rsidRDefault="008F047C" w:rsidP="008F047C">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r>
        <w:rPr>
          <w:rFonts w:ascii="Times New Roman" w:hAnsi="Times New Roman"/>
          <w:sz w:val="24"/>
          <w:szCs w:val="24"/>
        </w:rPr>
        <w:tab/>
      </w:r>
    </w:p>
    <w:p w14:paraId="380D903B" w14:textId="75ADB895" w:rsidR="008F047C" w:rsidRPr="0044029A" w:rsidRDefault="008F047C" w:rsidP="008F047C">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r>
        <w:rPr>
          <w:rFonts w:ascii="Times New Roman" w:hAnsi="Times New Roman"/>
          <w:sz w:val="24"/>
          <w:szCs w:val="24"/>
        </w:rPr>
        <w:tab/>
      </w:r>
      <w:r w:rsidRPr="00AA72B0">
        <w:rPr>
          <w:rFonts w:ascii="Times New Roman" w:hAnsi="Times New Roman"/>
          <w:b/>
          <w:bCs/>
          <w:sz w:val="24"/>
          <w:szCs w:val="24"/>
        </w:rPr>
        <w:t>Adjustment Amount:</w:t>
      </w:r>
      <w:r w:rsidR="00C5553E">
        <w:rPr>
          <w:rFonts w:ascii="Times New Roman" w:hAnsi="Times New Roman"/>
          <w:sz w:val="24"/>
          <w:szCs w:val="24"/>
        </w:rPr>
        <w:tab/>
        <w:t>Various</w:t>
      </w:r>
      <w:r w:rsidR="00AA72B0">
        <w:rPr>
          <w:rStyle w:val="FootnoteReference"/>
          <w:rFonts w:ascii="Times New Roman" w:hAnsi="Times New Roman"/>
          <w:sz w:val="24"/>
          <w:szCs w:val="24"/>
        </w:rPr>
        <w:footnoteReference w:id="2"/>
      </w:r>
      <w:r w:rsidR="0044029A">
        <w:rPr>
          <w:rFonts w:ascii="Times New Roman" w:hAnsi="Times New Roman"/>
          <w:sz w:val="24"/>
          <w:szCs w:val="24"/>
        </w:rPr>
        <w:tab/>
      </w:r>
      <w:r w:rsidR="0044029A">
        <w:rPr>
          <w:rFonts w:ascii="Times New Roman" w:hAnsi="Times New Roman"/>
          <w:sz w:val="24"/>
          <w:szCs w:val="24"/>
        </w:rPr>
        <w:tab/>
      </w:r>
      <w:r w:rsidR="0044029A">
        <w:rPr>
          <w:rFonts w:ascii="Times New Roman" w:hAnsi="Times New Roman"/>
          <w:sz w:val="24"/>
          <w:szCs w:val="24"/>
        </w:rPr>
        <w:tab/>
      </w:r>
      <w:r w:rsidR="0044029A">
        <w:rPr>
          <w:rFonts w:ascii="Times New Roman" w:hAnsi="Times New Roman"/>
          <w:sz w:val="24"/>
          <w:szCs w:val="24"/>
        </w:rPr>
        <w:tab/>
      </w:r>
      <w:r w:rsidR="0044029A">
        <w:rPr>
          <w:rFonts w:ascii="Times New Roman" w:hAnsi="Times New Roman"/>
          <w:sz w:val="24"/>
          <w:szCs w:val="24"/>
        </w:rPr>
        <w:tab/>
      </w:r>
      <w:r w:rsidR="0044029A">
        <w:rPr>
          <w:rFonts w:ascii="Times New Roman" w:hAnsi="Times New Roman"/>
          <w:sz w:val="24"/>
          <w:szCs w:val="24"/>
        </w:rPr>
        <w:tab/>
      </w:r>
      <w:r w:rsidRPr="0044029A">
        <w:rPr>
          <w:rFonts w:ascii="Times New Roman" w:hAnsi="Times New Roman"/>
          <w:sz w:val="24"/>
          <w:szCs w:val="24"/>
        </w:rPr>
        <w:tab/>
      </w:r>
    </w:p>
    <w:p w14:paraId="7B62F1C2" w14:textId="77777777" w:rsidR="008F047C" w:rsidRDefault="008F047C" w:rsidP="008F047C">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p>
    <w:p w14:paraId="1DE1A6E0" w14:textId="08EA7753" w:rsidR="008F047C" w:rsidRDefault="008F047C" w:rsidP="008F047C">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r>
        <w:rPr>
          <w:rFonts w:ascii="Times New Roman" w:hAnsi="Times New Roman"/>
          <w:sz w:val="24"/>
          <w:szCs w:val="24"/>
        </w:rPr>
        <w:tab/>
      </w:r>
      <w:r w:rsidRPr="00AA72B0">
        <w:rPr>
          <w:rFonts w:ascii="Times New Roman" w:hAnsi="Times New Roman"/>
          <w:b/>
          <w:bCs/>
          <w:sz w:val="24"/>
          <w:szCs w:val="24"/>
        </w:rPr>
        <w:t>Estimated Reimbursement Amount:</w:t>
      </w:r>
      <w:r w:rsidR="008F192B">
        <w:rPr>
          <w:rFonts w:ascii="Times New Roman" w:hAnsi="Times New Roman"/>
          <w:sz w:val="24"/>
          <w:szCs w:val="24"/>
        </w:rPr>
        <w:t xml:space="preserve">                                              </w:t>
      </w:r>
      <w:r w:rsidR="00796553">
        <w:rPr>
          <w:rFonts w:ascii="Times New Roman" w:hAnsi="Times New Roman"/>
          <w:sz w:val="24"/>
          <w:szCs w:val="24"/>
        </w:rPr>
        <w:t xml:space="preserve">   </w:t>
      </w:r>
      <w:r w:rsidR="00AA72B0">
        <w:rPr>
          <w:rFonts w:ascii="Times New Roman" w:hAnsi="Times New Roman"/>
          <w:sz w:val="24"/>
          <w:szCs w:val="24"/>
        </w:rPr>
        <w:t>$</w:t>
      </w:r>
      <w:r w:rsidR="001722F7">
        <w:rPr>
          <w:rFonts w:ascii="Times New Roman" w:hAnsi="Times New Roman"/>
          <w:sz w:val="24"/>
          <w:szCs w:val="24"/>
        </w:rPr>
        <w:t>986,511</w:t>
      </w:r>
      <w:r w:rsidR="00AA72B0">
        <w:rPr>
          <w:rStyle w:val="FootnoteReference"/>
          <w:rFonts w:ascii="Times New Roman" w:hAnsi="Times New Roman"/>
          <w:sz w:val="24"/>
          <w:szCs w:val="24"/>
        </w:rPr>
        <w:footnoteReference w:id="3"/>
      </w:r>
    </w:p>
    <w:p w14:paraId="74CB9B8A" w14:textId="0F5DF435" w:rsidR="008F047C" w:rsidRDefault="008F047C" w:rsidP="0034164B">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p>
    <w:p w14:paraId="421AF7DE" w14:textId="77777777" w:rsidR="00E12BE4" w:rsidRDefault="00E12BE4" w:rsidP="0034164B">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p>
    <w:p w14:paraId="1FA3C782" w14:textId="77777777" w:rsidR="00B66AEC" w:rsidRPr="008428E5" w:rsidRDefault="008F047C" w:rsidP="00977F07">
      <w:pPr>
        <w:tabs>
          <w:tab w:val="left" w:pos="-1440"/>
          <w:tab w:val="left" w:pos="-720"/>
          <w:tab w:val="left" w:pos="720"/>
          <w:tab w:val="left" w:pos="1800"/>
          <w:tab w:val="left" w:pos="7501"/>
          <w:tab w:val="left" w:pos="8136"/>
          <w:tab w:val="left" w:pos="8640"/>
        </w:tabs>
        <w:suppressAutoHyphens/>
        <w:ind w:left="720" w:hanging="720"/>
        <w:rPr>
          <w:rFonts w:ascii="Times New Roman" w:hAnsi="Times New Roman"/>
          <w:sz w:val="24"/>
          <w:szCs w:val="24"/>
        </w:rPr>
      </w:pPr>
      <w:r>
        <w:rPr>
          <w:rFonts w:ascii="Times New Roman" w:hAnsi="Times New Roman"/>
          <w:sz w:val="24"/>
          <w:szCs w:val="24"/>
        </w:rPr>
        <w:tab/>
      </w:r>
    </w:p>
    <w:p w14:paraId="79414F74" w14:textId="77777777" w:rsidR="00F64E7C" w:rsidRDefault="00F64E7C" w:rsidP="00F64E7C">
      <w:pPr>
        <w:pStyle w:val="Heading7"/>
        <w:numPr>
          <w:ilvl w:val="0"/>
          <w:numId w:val="6"/>
        </w:numPr>
        <w:spacing w:line="480" w:lineRule="auto"/>
        <w:ind w:left="1440" w:hanging="1440"/>
        <w:rPr>
          <w:rFonts w:ascii="Times New Roman" w:hAnsi="Times New Roman"/>
          <w:b/>
          <w:szCs w:val="24"/>
        </w:rPr>
      </w:pPr>
      <w:r>
        <w:rPr>
          <w:rFonts w:ascii="Times New Roman" w:hAnsi="Times New Roman"/>
          <w:b/>
          <w:szCs w:val="24"/>
        </w:rPr>
        <w:t>B</w:t>
      </w:r>
      <w:r w:rsidRPr="00340D2C">
        <w:rPr>
          <w:rFonts w:ascii="Times New Roman" w:hAnsi="Times New Roman"/>
          <w:b/>
          <w:szCs w:val="24"/>
        </w:rPr>
        <w:t>ACKGROUND FACTS AND LAW</w:t>
      </w:r>
    </w:p>
    <w:p w14:paraId="59920741" w14:textId="77777777" w:rsidR="00F64E7C" w:rsidRPr="00720512" w:rsidRDefault="00F64E7C" w:rsidP="00F64E7C">
      <w:pPr>
        <w:suppressAutoHyphens/>
        <w:spacing w:line="480" w:lineRule="auto"/>
        <w:rPr>
          <w:rFonts w:ascii="Times New Roman" w:hAnsi="Times New Roman"/>
          <w:b/>
          <w:sz w:val="24"/>
          <w:szCs w:val="24"/>
          <w:u w:val="single"/>
        </w:rPr>
      </w:pPr>
      <w:r w:rsidRPr="00720512">
        <w:rPr>
          <w:rFonts w:ascii="Times New Roman" w:hAnsi="Times New Roman"/>
          <w:b/>
          <w:bCs/>
          <w:sz w:val="24"/>
          <w:szCs w:val="24"/>
          <w:u w:val="single"/>
        </w:rPr>
        <w:t>Statutory and Regulatory: Medicare DSH Payment</w:t>
      </w:r>
    </w:p>
    <w:p w14:paraId="522D3B07" w14:textId="77777777" w:rsidR="00F64E7C" w:rsidRDefault="00F64E7C" w:rsidP="00F64E7C">
      <w:pPr>
        <w:suppressAutoHyphens/>
        <w:spacing w:line="480" w:lineRule="auto"/>
        <w:jc w:val="both"/>
        <w:rPr>
          <w:rFonts w:ascii="Times New Roman" w:hAnsi="Times New Roman"/>
          <w:sz w:val="24"/>
          <w:szCs w:val="24"/>
        </w:rPr>
      </w:pPr>
      <w:r w:rsidRPr="00B462DB">
        <w:rPr>
          <w:rFonts w:ascii="Times New Roman" w:hAnsi="Times New Roman"/>
          <w:sz w:val="24"/>
          <w:szCs w:val="24"/>
        </w:rPr>
        <w:t xml:space="preserve">Section 1886(d)(5)(F) of the Medicare Act provides for </w:t>
      </w:r>
      <w:r>
        <w:rPr>
          <w:rFonts w:ascii="Times New Roman" w:hAnsi="Times New Roman"/>
          <w:sz w:val="24"/>
          <w:szCs w:val="24"/>
        </w:rPr>
        <w:t xml:space="preserve">a DSH payment to hospitals that </w:t>
      </w:r>
      <w:r w:rsidRPr="00B462DB">
        <w:rPr>
          <w:rFonts w:ascii="Times New Roman" w:hAnsi="Times New Roman"/>
          <w:sz w:val="24"/>
          <w:szCs w:val="24"/>
        </w:rPr>
        <w:t>serve a significantly disproportionate number of low-income patients.  42 U.S.C. § 1395ww(d)(5)(F).  A hospital typically qualifies for a DSH payment adjustment through a complex statutory formula under which the DSH payment adjustment is based on the hospital’s geographic designation, the number of beds in the hospital and the level of the hospital’s disproportionate patient percentage (“DPP”).  A hospital’s DPP is the sum of two fractions:  The “Supplemental Security Income (“SSI</w:t>
      </w:r>
      <w:r>
        <w:rPr>
          <w:rFonts w:ascii="Times New Roman" w:hAnsi="Times New Roman"/>
          <w:sz w:val="24"/>
          <w:szCs w:val="24"/>
        </w:rPr>
        <w:t xml:space="preserve"> or Medicare</w:t>
      </w:r>
      <w:r w:rsidRPr="00B462DB">
        <w:rPr>
          <w:rFonts w:ascii="Times New Roman" w:hAnsi="Times New Roman"/>
          <w:sz w:val="24"/>
          <w:szCs w:val="24"/>
        </w:rPr>
        <w:t xml:space="preserve">”) fraction” and the “Medicaid fraction.”  </w:t>
      </w:r>
      <w:r>
        <w:rPr>
          <w:rFonts w:ascii="Times New Roman" w:hAnsi="Times New Roman"/>
          <w:sz w:val="24"/>
          <w:szCs w:val="24"/>
        </w:rPr>
        <w:t xml:space="preserve">The statue, </w:t>
      </w:r>
      <w:r w:rsidRPr="00BA637D">
        <w:rPr>
          <w:rFonts w:ascii="Times New Roman" w:hAnsi="Times New Roman"/>
          <w:sz w:val="24"/>
          <w:szCs w:val="24"/>
        </w:rPr>
        <w:t>42 U.S.C. §1395ww(d)(5)(F)(vi)(I)</w:t>
      </w:r>
      <w:r>
        <w:rPr>
          <w:rFonts w:ascii="Times New Roman" w:hAnsi="Times New Roman"/>
          <w:sz w:val="24"/>
          <w:szCs w:val="24"/>
        </w:rPr>
        <w:t>,</w:t>
      </w:r>
      <w:r>
        <w:rPr>
          <w:rFonts w:ascii="ArialMTPro-Regular" w:hAnsi="ArialMTPro-Regular" w:cs="ArialMTPro-Regular"/>
        </w:rPr>
        <w:t xml:space="preserve"> </w:t>
      </w:r>
      <w:r>
        <w:rPr>
          <w:rFonts w:ascii="Times New Roman" w:hAnsi="Times New Roman"/>
          <w:sz w:val="24"/>
          <w:szCs w:val="24"/>
        </w:rPr>
        <w:t>defines the Medicare fraction as:</w:t>
      </w:r>
    </w:p>
    <w:p w14:paraId="2C3E6365" w14:textId="77777777" w:rsidR="00F64E7C" w:rsidRPr="00613B5C" w:rsidRDefault="00F64E7C" w:rsidP="00F64E7C">
      <w:pPr>
        <w:ind w:left="720"/>
        <w:jc w:val="both"/>
        <w:rPr>
          <w:rFonts w:ascii="Times New Roman" w:hAnsi="Times New Roman"/>
          <w:color w:val="000000"/>
          <w:sz w:val="24"/>
          <w:szCs w:val="24"/>
        </w:rPr>
      </w:pPr>
      <w:bookmarkStart w:id="0" w:name="substructure-location_d_5_F_vi_I"/>
      <w:bookmarkEnd w:id="0"/>
      <w:r w:rsidRPr="00613B5C">
        <w:rPr>
          <w:rFonts w:ascii="Times New Roman" w:hAnsi="Times New Roman"/>
          <w:color w:val="000000"/>
          <w:sz w:val="24"/>
          <w:szCs w:val="24"/>
        </w:rPr>
        <w:t xml:space="preserve">the fraction (expressed as a percentage), the numerator of which is the number of such hospital's patient days for such period which were made up of patients who (for such days) were </w:t>
      </w:r>
      <w:r w:rsidRPr="00613B5C">
        <w:rPr>
          <w:rFonts w:ascii="Times New Roman" w:hAnsi="Times New Roman"/>
          <w:b/>
          <w:i/>
          <w:color w:val="000000"/>
          <w:sz w:val="24"/>
          <w:szCs w:val="24"/>
        </w:rPr>
        <w:t>entitled to benefits under part A</w:t>
      </w:r>
      <w:r w:rsidRPr="00613B5C">
        <w:rPr>
          <w:rFonts w:ascii="Times New Roman" w:hAnsi="Times New Roman"/>
          <w:color w:val="000000"/>
          <w:sz w:val="24"/>
          <w:szCs w:val="24"/>
        </w:rPr>
        <w:t xml:space="preserve"> of this subchapter and were </w:t>
      </w:r>
      <w:r w:rsidRPr="00613B5C">
        <w:rPr>
          <w:rFonts w:ascii="Times New Roman" w:hAnsi="Times New Roman"/>
          <w:color w:val="000000"/>
          <w:sz w:val="24"/>
          <w:szCs w:val="24"/>
        </w:rPr>
        <w:lastRenderedPageBreak/>
        <w:t xml:space="preserve">entitled to supplementary security income benefits (excluding any State supplementation) under subchapter XVI of this chapter, and the denominator of which is the number of such hospital's patient days for such fiscal year which were made up of patients who (for such days) were </w:t>
      </w:r>
      <w:r w:rsidRPr="00613B5C">
        <w:rPr>
          <w:rFonts w:ascii="Times New Roman" w:hAnsi="Times New Roman"/>
          <w:b/>
          <w:i/>
          <w:color w:val="000000"/>
          <w:sz w:val="24"/>
          <w:szCs w:val="24"/>
        </w:rPr>
        <w:t>entitled to benefits under part A</w:t>
      </w:r>
      <w:r w:rsidRPr="00613B5C">
        <w:rPr>
          <w:rFonts w:ascii="Times New Roman" w:hAnsi="Times New Roman"/>
          <w:color w:val="000000"/>
          <w:sz w:val="24"/>
          <w:szCs w:val="24"/>
        </w:rPr>
        <w:t xml:space="preserve"> of this subchapter…(Emphasis added.)</w:t>
      </w:r>
    </w:p>
    <w:p w14:paraId="7077EA16" w14:textId="77777777" w:rsidR="00F64E7C" w:rsidRPr="00A70CC4" w:rsidRDefault="00F64E7C" w:rsidP="00F64E7C">
      <w:pPr>
        <w:rPr>
          <w:rFonts w:ascii="Times New Roman" w:hAnsi="Times New Roman"/>
          <w:color w:val="000000"/>
          <w:sz w:val="24"/>
          <w:szCs w:val="24"/>
        </w:rPr>
      </w:pPr>
    </w:p>
    <w:p w14:paraId="435C4A60" w14:textId="77777777" w:rsidR="00F64E7C" w:rsidRPr="00A70CC4" w:rsidRDefault="00F64E7C" w:rsidP="00F64E7C">
      <w:pPr>
        <w:rPr>
          <w:rFonts w:ascii="Times New Roman" w:hAnsi="Times New Roman"/>
          <w:color w:val="000000"/>
          <w:sz w:val="24"/>
          <w:szCs w:val="24"/>
        </w:rPr>
      </w:pPr>
      <w:r w:rsidRPr="00A70CC4">
        <w:rPr>
          <w:rFonts w:ascii="Times New Roman" w:hAnsi="Times New Roman"/>
          <w:color w:val="000000"/>
          <w:sz w:val="24"/>
          <w:szCs w:val="24"/>
        </w:rPr>
        <w:t>The statue</w:t>
      </w:r>
      <w:r>
        <w:rPr>
          <w:rFonts w:ascii="Times New Roman" w:hAnsi="Times New Roman"/>
          <w:color w:val="000000"/>
          <w:sz w:val="24"/>
          <w:szCs w:val="24"/>
        </w:rPr>
        <w:t xml:space="preserve">, </w:t>
      </w:r>
      <w:r w:rsidRPr="00A70CC4">
        <w:rPr>
          <w:rFonts w:ascii="Times New Roman" w:hAnsi="Times New Roman"/>
          <w:sz w:val="24"/>
          <w:szCs w:val="24"/>
        </w:rPr>
        <w:t>42 U.S.C. §1395ww(d)(5)(F)(vi)(II)</w:t>
      </w:r>
      <w:r>
        <w:rPr>
          <w:rFonts w:ascii="Times New Roman" w:hAnsi="Times New Roman"/>
          <w:sz w:val="24"/>
          <w:szCs w:val="24"/>
        </w:rPr>
        <w:t>,</w:t>
      </w:r>
      <w:r w:rsidRPr="00A70CC4">
        <w:rPr>
          <w:rFonts w:ascii="Times New Roman" w:hAnsi="Times New Roman"/>
          <w:sz w:val="24"/>
          <w:szCs w:val="24"/>
        </w:rPr>
        <w:t xml:space="preserve"> </w:t>
      </w:r>
      <w:r w:rsidRPr="00A70CC4">
        <w:rPr>
          <w:rFonts w:ascii="Times New Roman" w:hAnsi="Times New Roman"/>
          <w:color w:val="000000"/>
          <w:sz w:val="24"/>
          <w:szCs w:val="24"/>
        </w:rPr>
        <w:t>defines the Medicaid fraction as:</w:t>
      </w:r>
    </w:p>
    <w:p w14:paraId="469E0C6E" w14:textId="77777777" w:rsidR="00F64E7C" w:rsidRPr="00A70CC4" w:rsidRDefault="00F64E7C" w:rsidP="00F64E7C">
      <w:pPr>
        <w:rPr>
          <w:rFonts w:ascii="Times New Roman" w:hAnsi="Times New Roman"/>
          <w:color w:val="000000"/>
          <w:sz w:val="24"/>
          <w:szCs w:val="24"/>
        </w:rPr>
      </w:pPr>
    </w:p>
    <w:p w14:paraId="384FC3B5" w14:textId="77777777" w:rsidR="00F64E7C" w:rsidRPr="00A70CC4" w:rsidRDefault="00F64E7C" w:rsidP="00F64E7C">
      <w:pPr>
        <w:ind w:left="720"/>
        <w:jc w:val="both"/>
        <w:rPr>
          <w:rFonts w:ascii="Times New Roman" w:hAnsi="Times New Roman"/>
          <w:color w:val="000000"/>
          <w:sz w:val="24"/>
          <w:szCs w:val="24"/>
        </w:rPr>
      </w:pPr>
      <w:bookmarkStart w:id="1" w:name="substructure-location_d_5_F_vi_II"/>
      <w:bookmarkEnd w:id="1"/>
      <w:r w:rsidRPr="00853114">
        <w:rPr>
          <w:rFonts w:ascii="Times New Roman" w:hAnsi="Times New Roman"/>
          <w:color w:val="000000"/>
          <w:sz w:val="24"/>
          <w:szCs w:val="24"/>
        </w:rPr>
        <w:t xml:space="preserve">the fraction (expressed as a percentage), the numerator of which is the number of the hospital's patient days for such period which consist of patients who (for such days) were eligible for medical assistance under a State plan approved under subchapter XIX, but who </w:t>
      </w:r>
      <w:r w:rsidRPr="0063599C">
        <w:rPr>
          <w:rFonts w:ascii="Times New Roman" w:hAnsi="Times New Roman"/>
          <w:b/>
          <w:i/>
          <w:color w:val="000000"/>
          <w:sz w:val="24"/>
          <w:szCs w:val="24"/>
        </w:rPr>
        <w:t>were not entitled to benefits under part A of this subchapter</w:t>
      </w:r>
      <w:r w:rsidRPr="00853114">
        <w:rPr>
          <w:rFonts w:ascii="Times New Roman" w:hAnsi="Times New Roman"/>
          <w:color w:val="000000"/>
          <w:sz w:val="24"/>
          <w:szCs w:val="24"/>
        </w:rPr>
        <w:t>, and the denominator of which is the total number of the hospital's patient days for such period.</w:t>
      </w:r>
      <w:r>
        <w:rPr>
          <w:rFonts w:ascii="Times New Roman" w:hAnsi="Times New Roman"/>
          <w:color w:val="000000"/>
          <w:sz w:val="24"/>
          <w:szCs w:val="24"/>
        </w:rPr>
        <w:t xml:space="preserve"> (Emphasis added.)</w:t>
      </w:r>
    </w:p>
    <w:p w14:paraId="6713D83C" w14:textId="77777777" w:rsidR="00F64E7C" w:rsidRPr="00A70CC4" w:rsidRDefault="00F64E7C" w:rsidP="00F64E7C">
      <w:pPr>
        <w:ind w:left="1440"/>
        <w:jc w:val="both"/>
        <w:rPr>
          <w:rFonts w:ascii="Times New Roman" w:hAnsi="Times New Roman"/>
          <w:color w:val="000000"/>
          <w:sz w:val="24"/>
          <w:szCs w:val="24"/>
        </w:rPr>
      </w:pPr>
    </w:p>
    <w:p w14:paraId="7F5B5BB2" w14:textId="77777777" w:rsidR="00F64E7C" w:rsidRDefault="00F64E7C" w:rsidP="00F64E7C">
      <w:pPr>
        <w:tabs>
          <w:tab w:val="left" w:pos="810"/>
        </w:tabs>
        <w:suppressAutoHyphens/>
        <w:spacing w:line="480" w:lineRule="auto"/>
        <w:jc w:val="both"/>
        <w:rPr>
          <w:rFonts w:ascii="Times New Roman" w:hAnsi="Times New Roman"/>
          <w:sz w:val="24"/>
          <w:szCs w:val="24"/>
        </w:rPr>
      </w:pPr>
      <w:r>
        <w:rPr>
          <w:rFonts w:ascii="Times New Roman" w:hAnsi="Times New Roman"/>
          <w:sz w:val="24"/>
          <w:szCs w:val="24"/>
        </w:rPr>
        <w:t>I</w:t>
      </w:r>
      <w:r w:rsidRPr="00B462DB">
        <w:rPr>
          <w:rFonts w:ascii="Times New Roman" w:hAnsi="Times New Roman"/>
          <w:sz w:val="24"/>
          <w:szCs w:val="24"/>
        </w:rPr>
        <w:t>n</w:t>
      </w:r>
      <w:r>
        <w:rPr>
          <w:rFonts w:ascii="Times New Roman" w:hAnsi="Times New Roman"/>
          <w:sz w:val="24"/>
          <w:szCs w:val="24"/>
        </w:rPr>
        <w:t xml:space="preserve"> </w:t>
      </w:r>
      <w:r w:rsidRPr="001B6699">
        <w:rPr>
          <w:rFonts w:ascii="Times New Roman" w:hAnsi="Times New Roman"/>
          <w:i/>
          <w:sz w:val="24"/>
          <w:szCs w:val="24"/>
          <w:shd w:val="clear" w:color="auto" w:fill="FFFFFF"/>
        </w:rPr>
        <w:t>Empire Health Foundation</w:t>
      </w:r>
      <w:r w:rsidRPr="001B6699">
        <w:rPr>
          <w:rStyle w:val="alt"/>
          <w:rFonts w:ascii="Times New Roman" w:hAnsi="Times New Roman"/>
          <w:i/>
          <w:iCs/>
          <w:sz w:val="24"/>
          <w:szCs w:val="24"/>
        </w:rPr>
        <w:t xml:space="preserve"> v. </w:t>
      </w:r>
      <w:r w:rsidRPr="001B6699">
        <w:rPr>
          <w:rFonts w:ascii="Times New Roman" w:hAnsi="Times New Roman"/>
          <w:i/>
          <w:sz w:val="24"/>
          <w:szCs w:val="24"/>
          <w:shd w:val="clear" w:color="auto" w:fill="FFFFFF"/>
        </w:rPr>
        <w:t xml:space="preserve">Alex M. Azar, II, </w:t>
      </w:r>
      <w:r w:rsidRPr="001B6699">
        <w:rPr>
          <w:rFonts w:ascii="Times New Roman" w:hAnsi="Times New Roman"/>
          <w:iCs/>
          <w:sz w:val="24"/>
          <w:szCs w:val="24"/>
          <w:shd w:val="clear" w:color="auto" w:fill="FFFFFF"/>
        </w:rPr>
        <w:t>Case No. 16-209 (9</w:t>
      </w:r>
      <w:r w:rsidRPr="001B6699">
        <w:rPr>
          <w:rFonts w:ascii="Times New Roman" w:hAnsi="Times New Roman"/>
          <w:iCs/>
          <w:sz w:val="24"/>
          <w:szCs w:val="24"/>
          <w:shd w:val="clear" w:color="auto" w:fill="FFFFFF"/>
          <w:vertAlign w:val="superscript"/>
        </w:rPr>
        <w:t>th</w:t>
      </w:r>
      <w:r w:rsidRPr="001B6699">
        <w:rPr>
          <w:rFonts w:ascii="Times New Roman" w:hAnsi="Times New Roman"/>
          <w:iCs/>
          <w:sz w:val="24"/>
          <w:szCs w:val="24"/>
          <w:shd w:val="clear" w:color="auto" w:fill="FFFFFF"/>
        </w:rPr>
        <w:t xml:space="preserve"> Cir., May 5, 2020</w:t>
      </w:r>
      <w:r>
        <w:rPr>
          <w:rFonts w:ascii="Times New Roman" w:hAnsi="Times New Roman"/>
          <w:sz w:val="24"/>
          <w:szCs w:val="24"/>
        </w:rPr>
        <w:t>), the Court provided a visual chart describing the calculation of these two fractions:</w:t>
      </w:r>
    </w:p>
    <w:tbl>
      <w:tblPr>
        <w:tblStyle w:val="TableElegant"/>
        <w:tblW w:w="5000" w:type="pct"/>
        <w:tblLook w:val="04A0" w:firstRow="1" w:lastRow="0" w:firstColumn="1" w:lastColumn="0" w:noHBand="0" w:noVBand="1"/>
      </w:tblPr>
      <w:tblGrid>
        <w:gridCol w:w="2865"/>
        <w:gridCol w:w="2865"/>
        <w:gridCol w:w="2864"/>
      </w:tblGrid>
      <w:tr w:rsidR="00F64E7C" w14:paraId="7E3BA3F0" w14:textId="77777777" w:rsidTr="007739F1">
        <w:trPr>
          <w:cnfStyle w:val="100000000000" w:firstRow="1" w:lastRow="0" w:firstColumn="0" w:lastColumn="0" w:oddVBand="0" w:evenVBand="0" w:oddHBand="0" w:evenHBand="0" w:firstRowFirstColumn="0" w:firstRowLastColumn="0" w:lastRowFirstColumn="0" w:lastRowLastColumn="0"/>
        </w:trPr>
        <w:tc>
          <w:tcPr>
            <w:tcW w:w="1667" w:type="pct"/>
          </w:tcPr>
          <w:p w14:paraId="6ED9BD10" w14:textId="77777777" w:rsidR="00F64E7C" w:rsidRDefault="00F64E7C" w:rsidP="007739F1">
            <w:pPr>
              <w:suppressAutoHyphens/>
              <w:spacing w:line="480" w:lineRule="auto"/>
              <w:ind w:left="630" w:firstLine="90"/>
              <w:jc w:val="both"/>
              <w:rPr>
                <w:rFonts w:ascii="Times New Roman" w:hAnsi="Times New Roman"/>
                <w:sz w:val="24"/>
                <w:szCs w:val="24"/>
              </w:rPr>
            </w:pPr>
            <w:r>
              <w:rPr>
                <w:rFonts w:ascii="Times New Roman" w:hAnsi="Times New Roman"/>
                <w:sz w:val="24"/>
                <w:szCs w:val="24"/>
              </w:rPr>
              <w:tab/>
            </w:r>
          </w:p>
        </w:tc>
        <w:tc>
          <w:tcPr>
            <w:tcW w:w="1667" w:type="pct"/>
          </w:tcPr>
          <w:p w14:paraId="32370354" w14:textId="77777777" w:rsidR="00F64E7C" w:rsidRPr="00A70CC4" w:rsidRDefault="00F64E7C" w:rsidP="007739F1">
            <w:pPr>
              <w:suppressAutoHyphens/>
              <w:spacing w:line="480" w:lineRule="auto"/>
              <w:jc w:val="center"/>
              <w:rPr>
                <w:rFonts w:ascii="Times New Roman" w:hAnsi="Times New Roman"/>
                <w:b/>
                <w:sz w:val="24"/>
                <w:szCs w:val="24"/>
              </w:rPr>
            </w:pPr>
            <w:r w:rsidRPr="00A70CC4">
              <w:rPr>
                <w:rFonts w:ascii="Times New Roman" w:hAnsi="Times New Roman"/>
                <w:b/>
                <w:sz w:val="24"/>
                <w:szCs w:val="24"/>
              </w:rPr>
              <w:t>Medicare Fraction</w:t>
            </w:r>
          </w:p>
        </w:tc>
        <w:tc>
          <w:tcPr>
            <w:tcW w:w="1666" w:type="pct"/>
          </w:tcPr>
          <w:p w14:paraId="03877261" w14:textId="77777777" w:rsidR="00F64E7C" w:rsidRPr="00A70CC4" w:rsidRDefault="00F64E7C" w:rsidP="007739F1">
            <w:pPr>
              <w:suppressAutoHyphens/>
              <w:spacing w:line="480" w:lineRule="auto"/>
              <w:jc w:val="center"/>
              <w:rPr>
                <w:rFonts w:ascii="Times New Roman" w:hAnsi="Times New Roman"/>
                <w:b/>
                <w:sz w:val="24"/>
                <w:szCs w:val="24"/>
              </w:rPr>
            </w:pPr>
            <w:r w:rsidRPr="00A70CC4">
              <w:rPr>
                <w:rFonts w:ascii="Times New Roman" w:hAnsi="Times New Roman"/>
                <w:b/>
                <w:sz w:val="24"/>
                <w:szCs w:val="24"/>
              </w:rPr>
              <w:t>Medicaid Fraction</w:t>
            </w:r>
          </w:p>
        </w:tc>
      </w:tr>
      <w:tr w:rsidR="00F64E7C" w14:paraId="02825458" w14:textId="77777777" w:rsidTr="007739F1">
        <w:tc>
          <w:tcPr>
            <w:tcW w:w="1667" w:type="pct"/>
          </w:tcPr>
          <w:p w14:paraId="510D30F0" w14:textId="77777777" w:rsidR="00F64E7C" w:rsidRPr="00A70CC4" w:rsidRDefault="00F64E7C" w:rsidP="007739F1">
            <w:pPr>
              <w:suppressAutoHyphens/>
              <w:spacing w:line="480" w:lineRule="auto"/>
              <w:ind w:left="630" w:firstLine="90"/>
              <w:jc w:val="both"/>
              <w:rPr>
                <w:rFonts w:ascii="Times New Roman" w:hAnsi="Times New Roman"/>
                <w:b/>
                <w:sz w:val="24"/>
                <w:szCs w:val="24"/>
              </w:rPr>
            </w:pPr>
            <w:r w:rsidRPr="00A70CC4">
              <w:rPr>
                <w:rFonts w:ascii="Times New Roman" w:hAnsi="Times New Roman"/>
                <w:b/>
                <w:sz w:val="24"/>
                <w:szCs w:val="24"/>
              </w:rPr>
              <w:t>Numerator</w:t>
            </w:r>
          </w:p>
        </w:tc>
        <w:tc>
          <w:tcPr>
            <w:tcW w:w="1667" w:type="pct"/>
          </w:tcPr>
          <w:p w14:paraId="021B3FAF" w14:textId="77777777" w:rsidR="00F64E7C" w:rsidRDefault="00F64E7C" w:rsidP="007739F1">
            <w:pPr>
              <w:suppressAutoHyphens/>
              <w:rPr>
                <w:rFonts w:ascii="Times New Roman" w:hAnsi="Times New Roman"/>
                <w:sz w:val="24"/>
                <w:szCs w:val="24"/>
              </w:rPr>
            </w:pPr>
            <w:r>
              <w:rPr>
                <w:rFonts w:ascii="Times New Roman" w:hAnsi="Times New Roman"/>
                <w:sz w:val="24"/>
                <w:szCs w:val="24"/>
              </w:rPr>
              <w:t xml:space="preserve">Patient days for patients </w:t>
            </w:r>
            <w:r w:rsidRPr="00E66D61">
              <w:rPr>
                <w:rFonts w:ascii="Times New Roman" w:hAnsi="Times New Roman"/>
                <w:sz w:val="24"/>
                <w:szCs w:val="24"/>
              </w:rPr>
              <w:t xml:space="preserve">entitled to </w:t>
            </w:r>
            <w:r>
              <w:rPr>
                <w:rFonts w:ascii="Times New Roman" w:hAnsi="Times New Roman"/>
                <w:sz w:val="24"/>
                <w:szCs w:val="24"/>
              </w:rPr>
              <w:t>Medicare and entitled to SSI Benefits</w:t>
            </w:r>
          </w:p>
        </w:tc>
        <w:tc>
          <w:tcPr>
            <w:tcW w:w="1666" w:type="pct"/>
          </w:tcPr>
          <w:p w14:paraId="6A66BD8A" w14:textId="77777777" w:rsidR="00F64E7C" w:rsidRDefault="00F64E7C" w:rsidP="007739F1">
            <w:pPr>
              <w:suppressAutoHyphens/>
              <w:rPr>
                <w:rFonts w:ascii="Times New Roman" w:hAnsi="Times New Roman"/>
                <w:sz w:val="24"/>
                <w:szCs w:val="24"/>
              </w:rPr>
            </w:pPr>
            <w:r>
              <w:rPr>
                <w:rFonts w:ascii="Times New Roman" w:hAnsi="Times New Roman"/>
                <w:sz w:val="24"/>
                <w:szCs w:val="24"/>
              </w:rPr>
              <w:t>Patient days for patients eligible for Medicaid but not entitled to Medicare</w:t>
            </w:r>
          </w:p>
        </w:tc>
      </w:tr>
      <w:tr w:rsidR="00F64E7C" w14:paraId="327635B2" w14:textId="77777777" w:rsidTr="007739F1">
        <w:tc>
          <w:tcPr>
            <w:tcW w:w="1667" w:type="pct"/>
          </w:tcPr>
          <w:p w14:paraId="5CEA6C17" w14:textId="77777777" w:rsidR="00F64E7C" w:rsidRPr="00A70CC4" w:rsidRDefault="00F64E7C" w:rsidP="007739F1">
            <w:pPr>
              <w:suppressAutoHyphens/>
              <w:spacing w:line="480" w:lineRule="auto"/>
              <w:ind w:left="630" w:firstLine="90"/>
              <w:jc w:val="both"/>
              <w:rPr>
                <w:rFonts w:ascii="Times New Roman" w:hAnsi="Times New Roman"/>
                <w:b/>
                <w:sz w:val="24"/>
                <w:szCs w:val="24"/>
              </w:rPr>
            </w:pPr>
            <w:r w:rsidRPr="00A70CC4">
              <w:rPr>
                <w:rFonts w:ascii="Times New Roman" w:hAnsi="Times New Roman"/>
                <w:b/>
                <w:sz w:val="24"/>
                <w:szCs w:val="24"/>
              </w:rPr>
              <w:t>Denominator</w:t>
            </w:r>
          </w:p>
        </w:tc>
        <w:tc>
          <w:tcPr>
            <w:tcW w:w="1667" w:type="pct"/>
          </w:tcPr>
          <w:p w14:paraId="28418A12" w14:textId="77777777" w:rsidR="00F64E7C" w:rsidRDefault="00F64E7C" w:rsidP="007739F1">
            <w:pPr>
              <w:suppressAutoHyphens/>
              <w:rPr>
                <w:rFonts w:ascii="Times New Roman" w:hAnsi="Times New Roman"/>
                <w:sz w:val="24"/>
                <w:szCs w:val="24"/>
              </w:rPr>
            </w:pPr>
            <w:r>
              <w:rPr>
                <w:rFonts w:ascii="Times New Roman" w:hAnsi="Times New Roman"/>
                <w:sz w:val="24"/>
                <w:szCs w:val="24"/>
              </w:rPr>
              <w:t>Patient days for patients entitled to Medicare</w:t>
            </w:r>
          </w:p>
        </w:tc>
        <w:tc>
          <w:tcPr>
            <w:tcW w:w="1666" w:type="pct"/>
          </w:tcPr>
          <w:p w14:paraId="755AAB9A" w14:textId="77777777" w:rsidR="00F64E7C" w:rsidRDefault="00F64E7C" w:rsidP="007739F1">
            <w:pPr>
              <w:suppressAutoHyphens/>
              <w:rPr>
                <w:rFonts w:ascii="Times New Roman" w:hAnsi="Times New Roman"/>
                <w:sz w:val="24"/>
                <w:szCs w:val="24"/>
              </w:rPr>
            </w:pPr>
            <w:r>
              <w:rPr>
                <w:rFonts w:ascii="Times New Roman" w:hAnsi="Times New Roman"/>
                <w:sz w:val="24"/>
                <w:szCs w:val="24"/>
              </w:rPr>
              <w:t>Total number of patient days</w:t>
            </w:r>
          </w:p>
        </w:tc>
      </w:tr>
    </w:tbl>
    <w:p w14:paraId="7BF6C627" w14:textId="77777777" w:rsidR="00F64E7C" w:rsidRDefault="00F64E7C" w:rsidP="00F64E7C">
      <w:pPr>
        <w:suppressAutoHyphens/>
        <w:spacing w:line="480" w:lineRule="auto"/>
        <w:ind w:left="720" w:hanging="810"/>
        <w:jc w:val="both"/>
        <w:rPr>
          <w:rFonts w:ascii="Times New Roman" w:hAnsi="Times New Roman"/>
          <w:sz w:val="24"/>
          <w:szCs w:val="24"/>
        </w:rPr>
      </w:pPr>
    </w:p>
    <w:p w14:paraId="451CB3DD" w14:textId="575A2BD1" w:rsidR="00F64E7C" w:rsidRDefault="00F64E7C" w:rsidP="00F64E7C">
      <w:pPr>
        <w:autoSpaceDE w:val="0"/>
        <w:autoSpaceDN w:val="0"/>
        <w:adjustRightInd w:val="0"/>
        <w:spacing w:line="480" w:lineRule="auto"/>
        <w:jc w:val="both"/>
        <w:rPr>
          <w:rFonts w:ascii="Times New Roman" w:hAnsi="Times New Roman"/>
          <w:sz w:val="24"/>
          <w:szCs w:val="24"/>
        </w:rPr>
      </w:pPr>
      <w:r w:rsidRPr="009A4194">
        <w:rPr>
          <w:rFonts w:ascii="Times New Roman" w:hAnsi="Times New Roman"/>
          <w:sz w:val="24"/>
          <w:szCs w:val="24"/>
        </w:rPr>
        <w:t>This appeal relates to cost reporting periods with discharges begin</w:t>
      </w:r>
      <w:r>
        <w:rPr>
          <w:rFonts w:ascii="Times New Roman" w:hAnsi="Times New Roman"/>
          <w:sz w:val="24"/>
          <w:szCs w:val="24"/>
        </w:rPr>
        <w:t>ning on or after October 1, 2004</w:t>
      </w:r>
      <w:r w:rsidRPr="009A4194">
        <w:rPr>
          <w:rFonts w:ascii="Times New Roman" w:hAnsi="Times New Roman"/>
          <w:sz w:val="24"/>
          <w:szCs w:val="24"/>
        </w:rPr>
        <w:t>.</w:t>
      </w:r>
      <w:r>
        <w:rPr>
          <w:rFonts w:ascii="Times New Roman" w:hAnsi="Times New Roman"/>
          <w:sz w:val="24"/>
          <w:szCs w:val="24"/>
        </w:rPr>
        <w:t xml:space="preserve"> </w:t>
      </w:r>
      <w:r w:rsidR="009C538F">
        <w:rPr>
          <w:rFonts w:ascii="Times New Roman" w:hAnsi="Times New Roman"/>
          <w:sz w:val="24"/>
          <w:szCs w:val="24"/>
        </w:rPr>
        <w:t>The</w:t>
      </w:r>
      <w:r>
        <w:rPr>
          <w:rFonts w:ascii="Times New Roman" w:hAnsi="Times New Roman"/>
          <w:sz w:val="24"/>
          <w:szCs w:val="24"/>
        </w:rPr>
        <w:t xml:space="preserve"> providers included in this group had the FYE </w:t>
      </w:r>
      <w:r w:rsidR="00796553">
        <w:rPr>
          <w:rFonts w:ascii="Times New Roman" w:hAnsi="Times New Roman"/>
          <w:sz w:val="24"/>
          <w:szCs w:val="24"/>
        </w:rPr>
        <w:t xml:space="preserve">of </w:t>
      </w:r>
      <w:r w:rsidR="009C538F">
        <w:rPr>
          <w:rFonts w:ascii="Times New Roman" w:hAnsi="Times New Roman"/>
          <w:sz w:val="24"/>
          <w:szCs w:val="24"/>
        </w:rPr>
        <w:t xml:space="preserve">December 31, </w:t>
      </w:r>
      <w:r w:rsidR="00E86F91">
        <w:rPr>
          <w:rFonts w:ascii="Times New Roman" w:hAnsi="Times New Roman"/>
          <w:sz w:val="24"/>
          <w:szCs w:val="24"/>
        </w:rPr>
        <w:t>20</w:t>
      </w:r>
      <w:r w:rsidR="00B0477E">
        <w:rPr>
          <w:rFonts w:ascii="Times New Roman" w:hAnsi="Times New Roman"/>
          <w:sz w:val="24"/>
          <w:szCs w:val="24"/>
        </w:rPr>
        <w:t>14</w:t>
      </w:r>
      <w:r>
        <w:rPr>
          <w:rFonts w:ascii="Times New Roman" w:hAnsi="Times New Roman"/>
          <w:sz w:val="24"/>
          <w:szCs w:val="24"/>
        </w:rPr>
        <w:t xml:space="preserve">.  </w:t>
      </w:r>
      <w:r w:rsidRPr="00964135">
        <w:rPr>
          <w:rFonts w:ascii="Times New Roman" w:hAnsi="Times New Roman"/>
          <w:sz w:val="24"/>
          <w:szCs w:val="24"/>
          <w:lang w:eastAsia="zh-TW"/>
        </w:rPr>
        <w:t xml:space="preserve">The statute authorizes the Secretary to outline the regulations to create methods to determine reasonable costs and the items to be eligible for reimbursement services. </w:t>
      </w:r>
      <w:r>
        <w:rPr>
          <w:rFonts w:ascii="Times New Roman" w:hAnsi="Times New Roman"/>
          <w:sz w:val="24"/>
          <w:szCs w:val="24"/>
        </w:rPr>
        <w:t xml:space="preserve">The Secretary implemented the statutory provisions for the hospital’s DPP at </w:t>
      </w:r>
      <w:r w:rsidRPr="006325E4">
        <w:rPr>
          <w:rFonts w:ascii="Times New Roman" w:hAnsi="Times New Roman"/>
          <w:sz w:val="24"/>
          <w:szCs w:val="24"/>
        </w:rPr>
        <w:t>42 C.F.R. § 412.106</w:t>
      </w:r>
      <w:r>
        <w:rPr>
          <w:rFonts w:ascii="Times New Roman" w:hAnsi="Times New Roman"/>
          <w:sz w:val="24"/>
          <w:szCs w:val="24"/>
        </w:rPr>
        <w:t xml:space="preserve"> (10-1-2013) which states: </w:t>
      </w:r>
    </w:p>
    <w:p w14:paraId="792CFC20" w14:textId="77777777" w:rsidR="00F64E7C" w:rsidRDefault="00F64E7C" w:rsidP="00F64E7C">
      <w:pPr>
        <w:autoSpaceDE w:val="0"/>
        <w:autoSpaceDN w:val="0"/>
        <w:adjustRightInd w:val="0"/>
        <w:ind w:left="720" w:firstLine="360"/>
        <w:jc w:val="both"/>
        <w:rPr>
          <w:rFonts w:ascii="Times New Roman" w:hAnsi="Times New Roman"/>
          <w:sz w:val="24"/>
          <w:szCs w:val="24"/>
        </w:rPr>
      </w:pPr>
      <w:r w:rsidRPr="00BE2DEC">
        <w:rPr>
          <w:rFonts w:ascii="Times New Roman" w:hAnsi="Times New Roman"/>
          <w:sz w:val="24"/>
          <w:szCs w:val="24"/>
        </w:rPr>
        <w:lastRenderedPageBreak/>
        <w:t xml:space="preserve">(b) </w:t>
      </w:r>
      <w:r w:rsidRPr="00B0099F">
        <w:rPr>
          <w:rFonts w:ascii="Times New Roman" w:hAnsi="Times New Roman"/>
          <w:i/>
          <w:iCs/>
          <w:sz w:val="24"/>
          <w:szCs w:val="24"/>
        </w:rPr>
        <w:t>Determination of a hospital’s disproportionate patient percentage</w:t>
      </w:r>
      <w:r w:rsidRPr="00BE2DEC">
        <w:rPr>
          <w:rFonts w:ascii="Times New Roman" w:hAnsi="Times New Roman"/>
          <w:sz w:val="24"/>
          <w:szCs w:val="24"/>
        </w:rPr>
        <w:t>—(1) General rule. A hospital’s disproportionate patient percentage is determined by adding the results of two computations and expressing that sum as a percentage.</w:t>
      </w:r>
    </w:p>
    <w:p w14:paraId="4DD14578" w14:textId="77777777" w:rsidR="00F64E7C" w:rsidRDefault="00F64E7C" w:rsidP="00F64E7C">
      <w:pPr>
        <w:autoSpaceDE w:val="0"/>
        <w:autoSpaceDN w:val="0"/>
        <w:adjustRightInd w:val="0"/>
        <w:ind w:left="720" w:firstLine="360"/>
        <w:jc w:val="both"/>
        <w:rPr>
          <w:rFonts w:ascii="Times New Roman" w:hAnsi="Times New Roman"/>
          <w:sz w:val="24"/>
          <w:szCs w:val="24"/>
        </w:rPr>
      </w:pPr>
      <w:r w:rsidRPr="00BE2DEC">
        <w:rPr>
          <w:rFonts w:ascii="Times New Roman" w:hAnsi="Times New Roman"/>
          <w:sz w:val="24"/>
          <w:szCs w:val="24"/>
        </w:rPr>
        <w:t xml:space="preserve">(2) </w:t>
      </w:r>
      <w:r w:rsidRPr="00B0099F">
        <w:rPr>
          <w:rFonts w:ascii="Times New Roman" w:hAnsi="Times New Roman"/>
          <w:i/>
          <w:iCs/>
          <w:sz w:val="24"/>
          <w:szCs w:val="24"/>
        </w:rPr>
        <w:t>First computation: Federal fiscal year.</w:t>
      </w:r>
      <w:r w:rsidRPr="00BE2DEC">
        <w:rPr>
          <w:rFonts w:ascii="Times New Roman" w:hAnsi="Times New Roman"/>
          <w:sz w:val="24"/>
          <w:szCs w:val="24"/>
        </w:rPr>
        <w:t xml:space="preserve"> For each month of the Federal fiscal year in which the hospital’s cost reporting period begins, CMS— </w:t>
      </w:r>
    </w:p>
    <w:p w14:paraId="7062F185" w14:textId="77777777" w:rsidR="00F64E7C" w:rsidRDefault="00F64E7C" w:rsidP="00F64E7C">
      <w:pPr>
        <w:autoSpaceDE w:val="0"/>
        <w:autoSpaceDN w:val="0"/>
        <w:adjustRightInd w:val="0"/>
        <w:ind w:left="720" w:firstLine="360"/>
        <w:jc w:val="both"/>
        <w:rPr>
          <w:rFonts w:ascii="Times New Roman" w:hAnsi="Times New Roman"/>
          <w:sz w:val="24"/>
          <w:szCs w:val="24"/>
        </w:rPr>
      </w:pPr>
      <w:r w:rsidRPr="00BE2DEC">
        <w:rPr>
          <w:rFonts w:ascii="Times New Roman" w:hAnsi="Times New Roman"/>
          <w:sz w:val="24"/>
          <w:szCs w:val="24"/>
        </w:rPr>
        <w:t xml:space="preserve">(i) Determines the number of patient days that— </w:t>
      </w:r>
    </w:p>
    <w:p w14:paraId="1ED86EDC" w14:textId="77777777" w:rsidR="00F64E7C" w:rsidRDefault="00F64E7C" w:rsidP="00F64E7C">
      <w:pPr>
        <w:autoSpaceDE w:val="0"/>
        <w:autoSpaceDN w:val="0"/>
        <w:adjustRightInd w:val="0"/>
        <w:ind w:left="720" w:firstLine="360"/>
        <w:jc w:val="both"/>
        <w:rPr>
          <w:rFonts w:ascii="Times New Roman" w:hAnsi="Times New Roman"/>
          <w:sz w:val="24"/>
          <w:szCs w:val="24"/>
        </w:rPr>
      </w:pPr>
      <w:r w:rsidRPr="00BE2DEC">
        <w:rPr>
          <w:rFonts w:ascii="Times New Roman" w:hAnsi="Times New Roman"/>
          <w:sz w:val="24"/>
          <w:szCs w:val="24"/>
        </w:rPr>
        <w:t>(A) Are associated with discharges occurring during each month; and</w:t>
      </w:r>
    </w:p>
    <w:p w14:paraId="7021A4FE" w14:textId="77777777" w:rsidR="00F64E7C" w:rsidRPr="009F565D" w:rsidRDefault="00F64E7C" w:rsidP="00F64E7C">
      <w:pPr>
        <w:autoSpaceDE w:val="0"/>
        <w:autoSpaceDN w:val="0"/>
        <w:adjustRightInd w:val="0"/>
        <w:ind w:left="720" w:firstLine="360"/>
        <w:jc w:val="both"/>
        <w:rPr>
          <w:rFonts w:ascii="Times New Roman" w:hAnsi="Times New Roman"/>
          <w:b/>
          <w:sz w:val="24"/>
          <w:szCs w:val="24"/>
        </w:rPr>
      </w:pPr>
      <w:r w:rsidRPr="00BE2DEC">
        <w:rPr>
          <w:rFonts w:ascii="Times New Roman" w:hAnsi="Times New Roman"/>
          <w:sz w:val="24"/>
          <w:szCs w:val="24"/>
        </w:rPr>
        <w:t xml:space="preserve">(B) Are furnished to patients who during that month were </w:t>
      </w:r>
      <w:r w:rsidRPr="009F565D">
        <w:rPr>
          <w:rFonts w:ascii="Times New Roman" w:hAnsi="Times New Roman"/>
          <w:b/>
          <w:sz w:val="24"/>
          <w:szCs w:val="24"/>
        </w:rPr>
        <w:t xml:space="preserve">entitled to both Medicare Part A (including Medicare Advantage (Part C)) and SSI, excluding those patients who received only State supplementation; </w:t>
      </w:r>
    </w:p>
    <w:p w14:paraId="55C39185" w14:textId="77777777" w:rsidR="00F64E7C" w:rsidRDefault="00F64E7C" w:rsidP="00F64E7C">
      <w:pPr>
        <w:autoSpaceDE w:val="0"/>
        <w:autoSpaceDN w:val="0"/>
        <w:adjustRightInd w:val="0"/>
        <w:ind w:left="720" w:firstLine="360"/>
        <w:jc w:val="both"/>
        <w:rPr>
          <w:rFonts w:ascii="Times New Roman" w:hAnsi="Times New Roman"/>
          <w:sz w:val="24"/>
          <w:szCs w:val="24"/>
        </w:rPr>
      </w:pPr>
      <w:r w:rsidRPr="00BE2DEC">
        <w:rPr>
          <w:rFonts w:ascii="Times New Roman" w:hAnsi="Times New Roman"/>
          <w:sz w:val="24"/>
          <w:szCs w:val="24"/>
        </w:rPr>
        <w:t xml:space="preserve">(ii) Adds the results for the whole period; and </w:t>
      </w:r>
    </w:p>
    <w:p w14:paraId="4AB26EDC" w14:textId="77777777" w:rsidR="00F64E7C" w:rsidRDefault="00F64E7C" w:rsidP="00F64E7C">
      <w:pPr>
        <w:autoSpaceDE w:val="0"/>
        <w:autoSpaceDN w:val="0"/>
        <w:adjustRightInd w:val="0"/>
        <w:ind w:left="720" w:firstLine="360"/>
        <w:jc w:val="both"/>
        <w:rPr>
          <w:rFonts w:ascii="Times New Roman" w:hAnsi="Times New Roman"/>
          <w:sz w:val="24"/>
          <w:szCs w:val="24"/>
        </w:rPr>
      </w:pPr>
      <w:r w:rsidRPr="00BE2DEC">
        <w:rPr>
          <w:rFonts w:ascii="Times New Roman" w:hAnsi="Times New Roman"/>
          <w:sz w:val="24"/>
          <w:szCs w:val="24"/>
        </w:rPr>
        <w:t xml:space="preserve">(iii) Divides the number determined under paragraph (b)(2)(ii) of this section by the total number of days that— </w:t>
      </w:r>
    </w:p>
    <w:p w14:paraId="3A53DC11" w14:textId="77777777" w:rsidR="00F64E7C" w:rsidRDefault="00F64E7C" w:rsidP="00F64E7C">
      <w:pPr>
        <w:autoSpaceDE w:val="0"/>
        <w:autoSpaceDN w:val="0"/>
        <w:adjustRightInd w:val="0"/>
        <w:ind w:left="720" w:firstLine="360"/>
        <w:jc w:val="both"/>
        <w:rPr>
          <w:rFonts w:ascii="Times New Roman" w:hAnsi="Times New Roman"/>
          <w:sz w:val="24"/>
          <w:szCs w:val="24"/>
        </w:rPr>
      </w:pPr>
      <w:r w:rsidRPr="00BE2DEC">
        <w:rPr>
          <w:rFonts w:ascii="Times New Roman" w:hAnsi="Times New Roman"/>
          <w:sz w:val="24"/>
          <w:szCs w:val="24"/>
        </w:rPr>
        <w:t xml:space="preserve">(A) Are associated with discharges that occur during that period; and </w:t>
      </w:r>
    </w:p>
    <w:p w14:paraId="3E2E5277" w14:textId="77777777" w:rsidR="00F64E7C" w:rsidRDefault="00F64E7C" w:rsidP="00F64E7C">
      <w:pPr>
        <w:autoSpaceDE w:val="0"/>
        <w:autoSpaceDN w:val="0"/>
        <w:adjustRightInd w:val="0"/>
        <w:ind w:left="720" w:firstLine="360"/>
        <w:jc w:val="both"/>
        <w:rPr>
          <w:rFonts w:ascii="Times New Roman" w:hAnsi="Times New Roman"/>
          <w:sz w:val="24"/>
          <w:szCs w:val="24"/>
        </w:rPr>
      </w:pPr>
      <w:r w:rsidRPr="00BE2DEC">
        <w:rPr>
          <w:rFonts w:ascii="Times New Roman" w:hAnsi="Times New Roman"/>
          <w:sz w:val="24"/>
          <w:szCs w:val="24"/>
        </w:rPr>
        <w:t>(B) Are furnished to patients entitled to Medicare Part A (including Medicare Advantage (Part C)).</w:t>
      </w:r>
      <w:r>
        <w:rPr>
          <w:rFonts w:ascii="Times New Roman" w:hAnsi="Times New Roman"/>
          <w:sz w:val="24"/>
          <w:szCs w:val="24"/>
        </w:rPr>
        <w:t xml:space="preserve"> (Emphasis added.)</w:t>
      </w:r>
    </w:p>
    <w:p w14:paraId="121E745A" w14:textId="77777777" w:rsidR="00F64E7C" w:rsidRDefault="00F64E7C" w:rsidP="00F64E7C">
      <w:pPr>
        <w:autoSpaceDE w:val="0"/>
        <w:autoSpaceDN w:val="0"/>
        <w:adjustRightInd w:val="0"/>
        <w:jc w:val="both"/>
        <w:rPr>
          <w:rFonts w:ascii="Times New Roman" w:hAnsi="Times New Roman"/>
          <w:sz w:val="24"/>
          <w:szCs w:val="24"/>
        </w:rPr>
      </w:pPr>
    </w:p>
    <w:p w14:paraId="3562615C" w14:textId="77777777" w:rsidR="00F64E7C" w:rsidRDefault="00F64E7C" w:rsidP="00F64E7C">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For the second computation, </w:t>
      </w:r>
      <w:r w:rsidRPr="006325E4">
        <w:rPr>
          <w:rFonts w:ascii="Times New Roman" w:hAnsi="Times New Roman"/>
          <w:sz w:val="24"/>
          <w:szCs w:val="24"/>
        </w:rPr>
        <w:t>42 C.F.R. § 412.106</w:t>
      </w:r>
      <w:r>
        <w:rPr>
          <w:rFonts w:ascii="Times New Roman" w:hAnsi="Times New Roman"/>
          <w:sz w:val="24"/>
          <w:szCs w:val="24"/>
        </w:rPr>
        <w:t xml:space="preserve">(d)(4) set forth, in the relevant part: </w:t>
      </w:r>
    </w:p>
    <w:p w14:paraId="1A3DD6E6" w14:textId="77777777" w:rsidR="00F64E7C" w:rsidRDefault="00F64E7C" w:rsidP="00F64E7C">
      <w:pPr>
        <w:autoSpaceDE w:val="0"/>
        <w:autoSpaceDN w:val="0"/>
        <w:adjustRightInd w:val="0"/>
        <w:ind w:left="720" w:firstLine="360"/>
        <w:jc w:val="both"/>
        <w:rPr>
          <w:rFonts w:ascii="Times New Roman" w:hAnsi="Times New Roman"/>
          <w:color w:val="000000"/>
          <w:sz w:val="24"/>
          <w:szCs w:val="24"/>
        </w:rPr>
      </w:pPr>
      <w:r w:rsidRPr="00930E3C">
        <w:rPr>
          <w:rFonts w:ascii="Times New Roman" w:hAnsi="Times New Roman"/>
          <w:color w:val="000000"/>
          <w:sz w:val="24"/>
          <w:szCs w:val="24"/>
        </w:rPr>
        <w:t xml:space="preserve">(4) </w:t>
      </w:r>
      <w:r w:rsidRPr="00930E3C">
        <w:rPr>
          <w:rFonts w:ascii="Times New Roman" w:hAnsi="Times New Roman"/>
          <w:i/>
          <w:iCs/>
          <w:color w:val="000000"/>
          <w:sz w:val="24"/>
          <w:szCs w:val="24"/>
        </w:rPr>
        <w:t xml:space="preserve">Second computation. </w:t>
      </w:r>
      <w:r w:rsidRPr="00930E3C">
        <w:rPr>
          <w:rFonts w:ascii="Times New Roman" w:hAnsi="Times New Roman"/>
          <w:color w:val="000000"/>
          <w:sz w:val="24"/>
          <w:szCs w:val="24"/>
        </w:rPr>
        <w:t>The fiscal</w:t>
      </w:r>
      <w:r>
        <w:rPr>
          <w:rFonts w:ascii="Times New Roman" w:hAnsi="Times New Roman"/>
          <w:color w:val="000000"/>
          <w:sz w:val="24"/>
          <w:szCs w:val="24"/>
        </w:rPr>
        <w:t xml:space="preserve"> </w:t>
      </w:r>
      <w:r w:rsidRPr="00930E3C">
        <w:rPr>
          <w:rFonts w:ascii="Times New Roman" w:hAnsi="Times New Roman"/>
          <w:color w:val="000000"/>
          <w:sz w:val="24"/>
          <w:szCs w:val="24"/>
        </w:rPr>
        <w:t>intermediary determines, for the same</w:t>
      </w:r>
      <w:r>
        <w:rPr>
          <w:rFonts w:ascii="Times New Roman" w:hAnsi="Times New Roman"/>
          <w:color w:val="000000"/>
          <w:sz w:val="24"/>
          <w:szCs w:val="24"/>
        </w:rPr>
        <w:t xml:space="preserve"> </w:t>
      </w:r>
      <w:r w:rsidRPr="00930E3C">
        <w:rPr>
          <w:rFonts w:ascii="Times New Roman" w:hAnsi="Times New Roman"/>
          <w:color w:val="000000"/>
          <w:sz w:val="24"/>
          <w:szCs w:val="24"/>
        </w:rPr>
        <w:t>cost reporting period used for the first</w:t>
      </w:r>
      <w:r>
        <w:rPr>
          <w:rFonts w:ascii="Times New Roman" w:hAnsi="Times New Roman"/>
          <w:color w:val="000000"/>
          <w:sz w:val="24"/>
          <w:szCs w:val="24"/>
        </w:rPr>
        <w:t xml:space="preserve"> </w:t>
      </w:r>
      <w:r w:rsidRPr="00930E3C">
        <w:rPr>
          <w:rFonts w:ascii="Times New Roman" w:hAnsi="Times New Roman"/>
          <w:color w:val="000000"/>
          <w:sz w:val="24"/>
          <w:szCs w:val="24"/>
        </w:rPr>
        <w:t>computation, the number of the hospital’s</w:t>
      </w:r>
      <w:r>
        <w:rPr>
          <w:rFonts w:ascii="Times New Roman" w:hAnsi="Times New Roman"/>
          <w:color w:val="000000"/>
          <w:sz w:val="24"/>
          <w:szCs w:val="24"/>
        </w:rPr>
        <w:t xml:space="preserve"> </w:t>
      </w:r>
      <w:r w:rsidRPr="00930E3C">
        <w:rPr>
          <w:rFonts w:ascii="Times New Roman" w:hAnsi="Times New Roman"/>
          <w:color w:val="000000"/>
          <w:sz w:val="24"/>
          <w:szCs w:val="24"/>
        </w:rPr>
        <w:t xml:space="preserve">patient days of service for </w:t>
      </w:r>
      <w:r w:rsidRPr="007C6383">
        <w:rPr>
          <w:rFonts w:ascii="Times New Roman" w:hAnsi="Times New Roman"/>
          <w:b/>
          <w:color w:val="000000"/>
          <w:sz w:val="24"/>
          <w:szCs w:val="24"/>
          <w:u w:val="single"/>
        </w:rPr>
        <w:t>which patients were eligible for Medicaid but not entitled to Medicare Part A,</w:t>
      </w:r>
      <w:r w:rsidRPr="00930E3C">
        <w:rPr>
          <w:rFonts w:ascii="Times New Roman" w:hAnsi="Times New Roman"/>
          <w:color w:val="000000"/>
          <w:sz w:val="24"/>
          <w:szCs w:val="24"/>
        </w:rPr>
        <w:t xml:space="preserve"> and</w:t>
      </w:r>
      <w:r>
        <w:rPr>
          <w:rFonts w:ascii="Times New Roman" w:hAnsi="Times New Roman"/>
          <w:color w:val="000000"/>
          <w:sz w:val="24"/>
          <w:szCs w:val="24"/>
        </w:rPr>
        <w:t xml:space="preserve"> </w:t>
      </w:r>
      <w:r w:rsidRPr="00930E3C">
        <w:rPr>
          <w:rFonts w:ascii="Times New Roman" w:hAnsi="Times New Roman"/>
          <w:color w:val="000000"/>
          <w:sz w:val="24"/>
          <w:szCs w:val="24"/>
        </w:rPr>
        <w:t>divides that number by the total number</w:t>
      </w:r>
      <w:r>
        <w:rPr>
          <w:rFonts w:ascii="Times New Roman" w:hAnsi="Times New Roman"/>
          <w:color w:val="000000"/>
          <w:sz w:val="24"/>
          <w:szCs w:val="24"/>
        </w:rPr>
        <w:t xml:space="preserve"> </w:t>
      </w:r>
      <w:r w:rsidRPr="00930E3C">
        <w:rPr>
          <w:rFonts w:ascii="Times New Roman" w:hAnsi="Times New Roman"/>
          <w:color w:val="000000"/>
          <w:sz w:val="24"/>
          <w:szCs w:val="24"/>
        </w:rPr>
        <w:t>of patient days in the same period</w:t>
      </w:r>
      <w:r>
        <w:rPr>
          <w:rFonts w:ascii="Times New Roman" w:hAnsi="Times New Roman"/>
          <w:color w:val="000000"/>
          <w:sz w:val="24"/>
          <w:szCs w:val="24"/>
        </w:rPr>
        <w:t>… (Emphasis added.)</w:t>
      </w:r>
    </w:p>
    <w:p w14:paraId="5169EC2D" w14:textId="77777777" w:rsidR="00F64E7C" w:rsidRDefault="00F64E7C" w:rsidP="00F64E7C">
      <w:pPr>
        <w:autoSpaceDE w:val="0"/>
        <w:autoSpaceDN w:val="0"/>
        <w:adjustRightInd w:val="0"/>
        <w:jc w:val="both"/>
        <w:rPr>
          <w:rFonts w:ascii="Times New Roman" w:hAnsi="Times New Roman"/>
          <w:color w:val="000000"/>
          <w:sz w:val="24"/>
          <w:szCs w:val="24"/>
        </w:rPr>
      </w:pPr>
    </w:p>
    <w:p w14:paraId="67966425" w14:textId="77777777" w:rsidR="00F64E7C" w:rsidRDefault="00F64E7C" w:rsidP="00F64E7C">
      <w:pPr>
        <w:autoSpaceDE w:val="0"/>
        <w:autoSpaceDN w:val="0"/>
        <w:adjustRightInd w:val="0"/>
        <w:spacing w:line="480" w:lineRule="auto"/>
        <w:jc w:val="both"/>
        <w:rPr>
          <w:rFonts w:ascii="Times New Roman" w:hAnsi="Times New Roman"/>
          <w:color w:val="000000"/>
          <w:sz w:val="24"/>
          <w:szCs w:val="24"/>
        </w:rPr>
      </w:pPr>
      <w:r>
        <w:rPr>
          <w:rFonts w:ascii="Times New Roman" w:hAnsi="Times New Roman"/>
          <w:color w:val="000000"/>
          <w:sz w:val="24"/>
          <w:szCs w:val="24"/>
        </w:rPr>
        <w:t xml:space="preserve">The regulation clearly states that only patients who were eligible for Medicaid but not entitled to Medicare Part A can be included in the Medicaid fraction.  </w:t>
      </w:r>
    </w:p>
    <w:p w14:paraId="0F8CCB91" w14:textId="77777777" w:rsidR="00F64E7C" w:rsidRDefault="00F64E7C" w:rsidP="00F64E7C">
      <w:pPr>
        <w:autoSpaceDE w:val="0"/>
        <w:autoSpaceDN w:val="0"/>
        <w:adjustRightInd w:val="0"/>
        <w:spacing w:line="480" w:lineRule="auto"/>
        <w:jc w:val="both"/>
        <w:rPr>
          <w:rFonts w:ascii="Times New Roman" w:hAnsi="Times New Roman"/>
          <w:color w:val="000000"/>
          <w:sz w:val="24"/>
          <w:szCs w:val="24"/>
          <w:u w:val="single"/>
        </w:rPr>
      </w:pPr>
    </w:p>
    <w:p w14:paraId="276A3146" w14:textId="77777777" w:rsidR="00F64E7C" w:rsidRPr="00B402E2" w:rsidRDefault="00F64E7C" w:rsidP="00F64E7C">
      <w:pPr>
        <w:autoSpaceDE w:val="0"/>
        <w:autoSpaceDN w:val="0"/>
        <w:adjustRightInd w:val="0"/>
        <w:spacing w:line="480" w:lineRule="auto"/>
        <w:jc w:val="both"/>
        <w:rPr>
          <w:rFonts w:ascii="Times New Roman" w:hAnsi="Times New Roman"/>
          <w:b/>
          <w:color w:val="000000"/>
          <w:sz w:val="24"/>
          <w:szCs w:val="24"/>
          <w:u w:val="single"/>
        </w:rPr>
      </w:pPr>
      <w:r w:rsidRPr="00B402E2">
        <w:rPr>
          <w:rFonts w:ascii="Times New Roman" w:hAnsi="Times New Roman"/>
          <w:b/>
          <w:color w:val="000000"/>
          <w:sz w:val="24"/>
          <w:szCs w:val="24"/>
          <w:u w:val="single"/>
        </w:rPr>
        <w:t>Dual</w:t>
      </w:r>
      <w:r>
        <w:rPr>
          <w:rFonts w:ascii="Times New Roman" w:hAnsi="Times New Roman"/>
          <w:b/>
          <w:color w:val="000000"/>
          <w:sz w:val="24"/>
          <w:szCs w:val="24"/>
          <w:u w:val="single"/>
        </w:rPr>
        <w:t>-</w:t>
      </w:r>
      <w:r w:rsidRPr="00B402E2">
        <w:rPr>
          <w:rFonts w:ascii="Times New Roman" w:hAnsi="Times New Roman"/>
          <w:b/>
          <w:color w:val="000000"/>
          <w:sz w:val="24"/>
          <w:szCs w:val="24"/>
          <w:u w:val="single"/>
        </w:rPr>
        <w:t xml:space="preserve">Eligible </w:t>
      </w:r>
      <w:r>
        <w:rPr>
          <w:rFonts w:ascii="Times New Roman" w:hAnsi="Times New Roman"/>
          <w:b/>
          <w:color w:val="000000"/>
          <w:sz w:val="24"/>
          <w:szCs w:val="24"/>
          <w:u w:val="single"/>
        </w:rPr>
        <w:t xml:space="preserve">Exhausted Benefit </w:t>
      </w:r>
      <w:r w:rsidRPr="00B402E2">
        <w:rPr>
          <w:rFonts w:ascii="Times New Roman" w:hAnsi="Times New Roman"/>
          <w:b/>
          <w:color w:val="000000"/>
          <w:sz w:val="24"/>
          <w:szCs w:val="24"/>
          <w:u w:val="single"/>
        </w:rPr>
        <w:t>Days</w:t>
      </w:r>
      <w:r>
        <w:rPr>
          <w:rFonts w:ascii="Times New Roman" w:hAnsi="Times New Roman"/>
          <w:b/>
          <w:color w:val="000000"/>
          <w:sz w:val="24"/>
          <w:szCs w:val="24"/>
          <w:u w:val="single"/>
        </w:rPr>
        <w:t xml:space="preserve"> and Medicare Secondary Payer (“MSP”)</w:t>
      </w:r>
    </w:p>
    <w:p w14:paraId="2FF11BBA" w14:textId="155103C6" w:rsidR="00F64E7C" w:rsidRPr="00390E6C" w:rsidRDefault="00F64E7C" w:rsidP="00F64E7C">
      <w:pPr>
        <w:autoSpaceDE w:val="0"/>
        <w:autoSpaceDN w:val="0"/>
        <w:adjustRightInd w:val="0"/>
        <w:spacing w:line="480" w:lineRule="auto"/>
        <w:jc w:val="both"/>
        <w:rPr>
          <w:rFonts w:ascii="Times New Roman" w:hAnsi="Times New Roman"/>
          <w:color w:val="000000"/>
          <w:sz w:val="24"/>
          <w:szCs w:val="24"/>
        </w:rPr>
      </w:pPr>
      <w:r>
        <w:rPr>
          <w:rFonts w:ascii="Times New Roman" w:hAnsi="Times New Roman"/>
          <w:color w:val="000000"/>
          <w:sz w:val="24"/>
          <w:szCs w:val="24"/>
        </w:rPr>
        <w:t xml:space="preserve">A patient who is a Medicare beneficiary and also eligible for Medicaid is known as dual-eligible patient.  (69 FR 49098, August 11, 2004) </w:t>
      </w:r>
      <w:r>
        <w:rPr>
          <w:rFonts w:ascii="Times New Roman" w:hAnsi="Times New Roman"/>
          <w:sz w:val="24"/>
          <w:szCs w:val="24"/>
        </w:rPr>
        <w:t xml:space="preserve">In </w:t>
      </w:r>
      <w:r w:rsidRPr="009F565D">
        <w:rPr>
          <w:rFonts w:ascii="Times New Roman" w:hAnsi="Times New Roman"/>
          <w:i/>
          <w:sz w:val="24"/>
          <w:szCs w:val="24"/>
        </w:rPr>
        <w:t>Metropolitan</w:t>
      </w:r>
      <w:r>
        <w:rPr>
          <w:rStyle w:val="FootnoteReference"/>
          <w:rFonts w:ascii="Times New Roman" w:hAnsi="Times New Roman"/>
          <w:i/>
          <w:sz w:val="24"/>
          <w:szCs w:val="24"/>
        </w:rPr>
        <w:footnoteReference w:id="4"/>
      </w:r>
      <w:r>
        <w:rPr>
          <w:rFonts w:ascii="Times New Roman" w:hAnsi="Times New Roman"/>
          <w:i/>
          <w:sz w:val="24"/>
          <w:szCs w:val="24"/>
        </w:rPr>
        <w:t xml:space="preserve">, </w:t>
      </w:r>
      <w:r>
        <w:rPr>
          <w:rFonts w:ascii="Times New Roman" w:hAnsi="Times New Roman"/>
          <w:sz w:val="24"/>
          <w:szCs w:val="24"/>
        </w:rPr>
        <w:t>the court explains dual-eligible exhausted benefit days as follows:</w:t>
      </w:r>
    </w:p>
    <w:p w14:paraId="4FC18B7B" w14:textId="77777777" w:rsidR="00F64E7C" w:rsidRDefault="00F64E7C" w:rsidP="00F64E7C">
      <w:pPr>
        <w:autoSpaceDE w:val="0"/>
        <w:autoSpaceDN w:val="0"/>
        <w:adjustRightInd w:val="0"/>
        <w:ind w:left="720"/>
        <w:jc w:val="both"/>
        <w:rPr>
          <w:rFonts w:ascii="Times New Roman" w:hAnsi="Times New Roman"/>
          <w:sz w:val="24"/>
          <w:szCs w:val="24"/>
        </w:rPr>
      </w:pPr>
      <w:r w:rsidRPr="0045023A">
        <w:rPr>
          <w:rFonts w:ascii="Times New Roman" w:hAnsi="Times New Roman"/>
          <w:sz w:val="24"/>
          <w:szCs w:val="24"/>
        </w:rPr>
        <w:t>All Medicare beneficiaries — not just dual-eligible patients — are entitled to have Medicare pay for inpatient</w:t>
      </w:r>
      <w:r>
        <w:rPr>
          <w:rFonts w:ascii="Times New Roman" w:hAnsi="Times New Roman"/>
          <w:sz w:val="24"/>
          <w:szCs w:val="24"/>
        </w:rPr>
        <w:t xml:space="preserve"> </w:t>
      </w:r>
      <w:r w:rsidRPr="0045023A">
        <w:rPr>
          <w:rFonts w:ascii="Times New Roman" w:hAnsi="Times New Roman"/>
          <w:sz w:val="24"/>
          <w:szCs w:val="24"/>
        </w:rPr>
        <w:t>hospital services for up to 90 days during any spell of illness (the period from when a person enters a hospital</w:t>
      </w:r>
      <w:r>
        <w:rPr>
          <w:rFonts w:ascii="Times New Roman" w:hAnsi="Times New Roman"/>
          <w:sz w:val="24"/>
          <w:szCs w:val="24"/>
        </w:rPr>
        <w:t xml:space="preserve"> </w:t>
      </w:r>
      <w:r w:rsidRPr="0045023A">
        <w:rPr>
          <w:rFonts w:ascii="Times New Roman" w:hAnsi="Times New Roman"/>
          <w:sz w:val="24"/>
          <w:szCs w:val="24"/>
        </w:rPr>
        <w:t xml:space="preserve">for an injury or illness until </w:t>
      </w:r>
      <w:r w:rsidRPr="0045023A">
        <w:rPr>
          <w:rFonts w:ascii="Times New Roman" w:hAnsi="Times New Roman"/>
          <w:sz w:val="24"/>
          <w:szCs w:val="24"/>
        </w:rPr>
        <w:lastRenderedPageBreak/>
        <w:t xml:space="preserve">he or she has been out of the hospital for 60 consecutive days). </w:t>
      </w:r>
      <w:r w:rsidRPr="0045023A">
        <w:rPr>
          <w:rFonts w:ascii="Times New Roman" w:hAnsi="Times New Roman"/>
          <w:i/>
          <w:iCs/>
          <w:sz w:val="24"/>
          <w:szCs w:val="24"/>
        </w:rPr>
        <w:t>Id.</w:t>
      </w:r>
      <w:r w:rsidRPr="0045023A">
        <w:rPr>
          <w:rFonts w:ascii="Times New Roman" w:hAnsi="Times New Roman"/>
          <w:sz w:val="24"/>
          <w:szCs w:val="24"/>
        </w:rPr>
        <w:t xml:space="preserve">; </w:t>
      </w:r>
      <w:r w:rsidRPr="0045023A">
        <w:rPr>
          <w:rFonts w:ascii="Times New Roman" w:hAnsi="Times New Roman"/>
          <w:i/>
          <w:iCs/>
          <w:sz w:val="24"/>
          <w:szCs w:val="24"/>
        </w:rPr>
        <w:t>see also id.</w:t>
      </w:r>
      <w:r>
        <w:rPr>
          <w:rFonts w:ascii="Times New Roman" w:hAnsi="Times New Roman"/>
          <w:i/>
          <w:iCs/>
          <w:sz w:val="24"/>
          <w:szCs w:val="24"/>
        </w:rPr>
        <w:t xml:space="preserve"> </w:t>
      </w:r>
      <w:r w:rsidRPr="0045023A">
        <w:rPr>
          <w:rFonts w:ascii="Times New Roman" w:hAnsi="Times New Roman"/>
          <w:sz w:val="24"/>
          <w:szCs w:val="24"/>
        </w:rPr>
        <w:t xml:space="preserve">§1395x(a) (defining the term “spell of illness”). They also receive an </w:t>
      </w:r>
      <w:r>
        <w:rPr>
          <w:rFonts w:ascii="Times New Roman" w:hAnsi="Times New Roman"/>
          <w:sz w:val="24"/>
          <w:szCs w:val="24"/>
        </w:rPr>
        <w:t>a</w:t>
      </w:r>
      <w:r w:rsidRPr="0045023A">
        <w:rPr>
          <w:rFonts w:ascii="Times New Roman" w:hAnsi="Times New Roman"/>
          <w:sz w:val="24"/>
          <w:szCs w:val="24"/>
        </w:rPr>
        <w:t>dditional 60 days of such coverage that</w:t>
      </w:r>
      <w:r>
        <w:rPr>
          <w:rFonts w:ascii="Times New Roman" w:hAnsi="Times New Roman"/>
          <w:sz w:val="24"/>
          <w:szCs w:val="24"/>
        </w:rPr>
        <w:t xml:space="preserve"> </w:t>
      </w:r>
      <w:r w:rsidRPr="0045023A">
        <w:rPr>
          <w:rFonts w:ascii="Times New Roman" w:hAnsi="Times New Roman"/>
          <w:sz w:val="24"/>
          <w:szCs w:val="24"/>
        </w:rPr>
        <w:t xml:space="preserve">can be spread across all spells of illness during a beneficiary's lifetime. </w:t>
      </w:r>
      <w:r w:rsidRPr="0045023A">
        <w:rPr>
          <w:rFonts w:ascii="Times New Roman" w:hAnsi="Times New Roman"/>
          <w:i/>
          <w:iCs/>
          <w:sz w:val="24"/>
          <w:szCs w:val="24"/>
        </w:rPr>
        <w:t xml:space="preserve">Id. </w:t>
      </w:r>
      <w:r>
        <w:rPr>
          <w:rFonts w:ascii="Times New Roman" w:hAnsi="Times New Roman"/>
          <w:sz w:val="24"/>
          <w:szCs w:val="24"/>
        </w:rPr>
        <w:t xml:space="preserve">§1395d.  </w:t>
      </w:r>
      <w:r w:rsidRPr="0045023A">
        <w:rPr>
          <w:rFonts w:ascii="Times New Roman" w:hAnsi="Times New Roman"/>
          <w:sz w:val="24"/>
          <w:szCs w:val="24"/>
        </w:rPr>
        <w:t>In other words, Medicare will</w:t>
      </w:r>
      <w:r>
        <w:rPr>
          <w:rFonts w:ascii="Times New Roman" w:hAnsi="Times New Roman"/>
          <w:sz w:val="24"/>
          <w:szCs w:val="24"/>
        </w:rPr>
        <w:t xml:space="preserve"> </w:t>
      </w:r>
      <w:r w:rsidRPr="0045023A">
        <w:rPr>
          <w:rFonts w:ascii="Times New Roman" w:hAnsi="Times New Roman"/>
          <w:sz w:val="24"/>
          <w:szCs w:val="24"/>
        </w:rPr>
        <w:t>cover: (1) hospital services for any spell of illness lasting up to 90 days; and (2) an additional lifetime cap of 60</w:t>
      </w:r>
      <w:r>
        <w:rPr>
          <w:rFonts w:ascii="Times New Roman" w:hAnsi="Times New Roman"/>
          <w:sz w:val="24"/>
          <w:szCs w:val="24"/>
        </w:rPr>
        <w:t xml:space="preserve"> </w:t>
      </w:r>
      <w:r w:rsidRPr="0045023A">
        <w:rPr>
          <w:rFonts w:ascii="Times New Roman" w:hAnsi="Times New Roman"/>
          <w:sz w:val="24"/>
          <w:szCs w:val="24"/>
        </w:rPr>
        <w:t>days for hospital services for care in excess of 90 days per spell of illness.</w:t>
      </w:r>
      <w:r>
        <w:rPr>
          <w:rFonts w:ascii="Times New Roman" w:hAnsi="Times New Roman"/>
          <w:sz w:val="24"/>
          <w:szCs w:val="24"/>
        </w:rPr>
        <w:t xml:space="preserve"> </w:t>
      </w:r>
    </w:p>
    <w:p w14:paraId="4F10D083" w14:textId="77777777" w:rsidR="00F64E7C" w:rsidRPr="0045023A" w:rsidRDefault="00F64E7C" w:rsidP="00F64E7C">
      <w:pPr>
        <w:autoSpaceDE w:val="0"/>
        <w:autoSpaceDN w:val="0"/>
        <w:adjustRightInd w:val="0"/>
        <w:jc w:val="both"/>
        <w:rPr>
          <w:rFonts w:ascii="Times New Roman" w:hAnsi="Times New Roman"/>
          <w:sz w:val="24"/>
          <w:szCs w:val="24"/>
        </w:rPr>
      </w:pPr>
    </w:p>
    <w:p w14:paraId="531C21D5" w14:textId="77777777" w:rsidR="00F64E7C" w:rsidRDefault="00F64E7C" w:rsidP="00F64E7C">
      <w:pPr>
        <w:autoSpaceDE w:val="0"/>
        <w:autoSpaceDN w:val="0"/>
        <w:adjustRightInd w:val="0"/>
        <w:ind w:left="720"/>
        <w:jc w:val="both"/>
        <w:rPr>
          <w:rFonts w:ascii="Times New Roman" w:hAnsi="Times New Roman"/>
          <w:sz w:val="24"/>
          <w:szCs w:val="24"/>
        </w:rPr>
      </w:pPr>
      <w:r w:rsidRPr="0045023A">
        <w:rPr>
          <w:rFonts w:ascii="Times New Roman" w:hAnsi="Times New Roman"/>
          <w:sz w:val="24"/>
          <w:szCs w:val="24"/>
        </w:rPr>
        <w:t>This means that a Medicare patient who receives 150 days of Medicare-paid inpatient care for a single spell of</w:t>
      </w:r>
      <w:r>
        <w:rPr>
          <w:rFonts w:ascii="Times New Roman" w:hAnsi="Times New Roman"/>
          <w:sz w:val="24"/>
          <w:szCs w:val="24"/>
        </w:rPr>
        <w:t xml:space="preserve"> </w:t>
      </w:r>
      <w:r w:rsidRPr="0045023A">
        <w:rPr>
          <w:rFonts w:ascii="Times New Roman" w:hAnsi="Times New Roman"/>
          <w:sz w:val="24"/>
          <w:szCs w:val="24"/>
        </w:rPr>
        <w:t>illness (90 + 60) is limited to 90 days of such care for every subsequent spell of illness. The same is true of a</w:t>
      </w:r>
      <w:r>
        <w:rPr>
          <w:rFonts w:ascii="Times New Roman" w:hAnsi="Times New Roman"/>
          <w:sz w:val="24"/>
          <w:szCs w:val="24"/>
        </w:rPr>
        <w:t xml:space="preserve"> </w:t>
      </w:r>
      <w:r w:rsidRPr="0045023A">
        <w:rPr>
          <w:rFonts w:ascii="Times New Roman" w:hAnsi="Times New Roman"/>
          <w:sz w:val="24"/>
          <w:szCs w:val="24"/>
        </w:rPr>
        <w:t>patient who uses, for example, 110 Medicare-covered days during one spell of illness (90 + 20) and 130 such</w:t>
      </w:r>
      <w:r>
        <w:rPr>
          <w:rFonts w:ascii="Times New Roman" w:hAnsi="Times New Roman"/>
          <w:sz w:val="24"/>
          <w:szCs w:val="24"/>
        </w:rPr>
        <w:t xml:space="preserve"> </w:t>
      </w:r>
      <w:r w:rsidRPr="0045023A">
        <w:rPr>
          <w:rFonts w:ascii="Times New Roman" w:hAnsi="Times New Roman"/>
          <w:sz w:val="24"/>
          <w:szCs w:val="24"/>
        </w:rPr>
        <w:t>days during another spell (90 + 40). Once a patient reaches the 90th day of a spell of illness and has exhausted</w:t>
      </w:r>
      <w:r>
        <w:rPr>
          <w:rFonts w:ascii="Times New Roman" w:hAnsi="Times New Roman"/>
          <w:sz w:val="24"/>
          <w:szCs w:val="24"/>
        </w:rPr>
        <w:t xml:space="preserve"> </w:t>
      </w:r>
      <w:r w:rsidRPr="0045023A">
        <w:rPr>
          <w:rFonts w:ascii="Times New Roman" w:hAnsi="Times New Roman"/>
          <w:sz w:val="24"/>
          <w:szCs w:val="24"/>
        </w:rPr>
        <w:t>his or her 60-day supply of post-90th day coverage, Medicare will no longer pay for the patient's hospital services</w:t>
      </w:r>
      <w:r>
        <w:rPr>
          <w:rFonts w:ascii="Times New Roman" w:hAnsi="Times New Roman"/>
          <w:sz w:val="24"/>
          <w:szCs w:val="24"/>
        </w:rPr>
        <w:t xml:space="preserve"> </w:t>
      </w:r>
      <w:r w:rsidRPr="0045023A">
        <w:rPr>
          <w:rFonts w:ascii="Times New Roman" w:hAnsi="Times New Roman"/>
          <w:sz w:val="24"/>
          <w:szCs w:val="24"/>
        </w:rPr>
        <w:t xml:space="preserve">during that same spell of illness. </w:t>
      </w:r>
      <w:r w:rsidRPr="0045023A">
        <w:rPr>
          <w:rFonts w:ascii="Times New Roman" w:hAnsi="Times New Roman"/>
          <w:i/>
          <w:iCs/>
          <w:sz w:val="24"/>
          <w:szCs w:val="24"/>
        </w:rPr>
        <w:t xml:space="preserve">See id. </w:t>
      </w:r>
      <w:r w:rsidRPr="0045023A">
        <w:rPr>
          <w:rFonts w:ascii="Times New Roman" w:hAnsi="Times New Roman"/>
          <w:sz w:val="24"/>
          <w:szCs w:val="24"/>
        </w:rPr>
        <w:t>§1395d(b)(1).</w:t>
      </w:r>
    </w:p>
    <w:p w14:paraId="794AC5F6" w14:textId="77777777" w:rsidR="00F64E7C" w:rsidRPr="0045023A" w:rsidRDefault="00F64E7C" w:rsidP="00F64E7C">
      <w:pPr>
        <w:autoSpaceDE w:val="0"/>
        <w:autoSpaceDN w:val="0"/>
        <w:adjustRightInd w:val="0"/>
        <w:ind w:left="720"/>
        <w:jc w:val="both"/>
        <w:rPr>
          <w:rFonts w:ascii="Times New Roman" w:hAnsi="Times New Roman"/>
          <w:sz w:val="24"/>
          <w:szCs w:val="24"/>
        </w:rPr>
      </w:pPr>
    </w:p>
    <w:p w14:paraId="4499698D" w14:textId="77777777" w:rsidR="00F64E7C" w:rsidRPr="0045023A" w:rsidRDefault="00F64E7C" w:rsidP="00F64E7C">
      <w:pPr>
        <w:autoSpaceDE w:val="0"/>
        <w:autoSpaceDN w:val="0"/>
        <w:adjustRightInd w:val="0"/>
        <w:ind w:left="720"/>
        <w:jc w:val="both"/>
        <w:rPr>
          <w:rFonts w:ascii="Times New Roman" w:hAnsi="Times New Roman"/>
          <w:color w:val="000000"/>
          <w:sz w:val="24"/>
          <w:szCs w:val="24"/>
        </w:rPr>
      </w:pPr>
      <w:r w:rsidRPr="0045023A">
        <w:rPr>
          <w:rFonts w:ascii="Times New Roman" w:hAnsi="Times New Roman"/>
          <w:sz w:val="24"/>
          <w:szCs w:val="24"/>
        </w:rPr>
        <w:t>Both parties refer to such patients as having “exhausted their Medicare Part A coverage” for inpatient hospital</w:t>
      </w:r>
      <w:r>
        <w:rPr>
          <w:rFonts w:ascii="Times New Roman" w:hAnsi="Times New Roman"/>
          <w:sz w:val="24"/>
          <w:szCs w:val="24"/>
        </w:rPr>
        <w:t xml:space="preserve"> </w:t>
      </w:r>
      <w:r w:rsidRPr="0045023A">
        <w:rPr>
          <w:rFonts w:ascii="Times New Roman" w:hAnsi="Times New Roman"/>
          <w:sz w:val="24"/>
          <w:szCs w:val="24"/>
        </w:rPr>
        <w:t>services. If a dual-eligible patient exhausts his or her coverage for a particular spell of illness, then the</w:t>
      </w:r>
      <w:r>
        <w:rPr>
          <w:rFonts w:ascii="Times New Roman" w:hAnsi="Times New Roman"/>
          <w:sz w:val="24"/>
          <w:szCs w:val="24"/>
        </w:rPr>
        <w:t xml:space="preserve"> </w:t>
      </w:r>
      <w:r w:rsidRPr="0045023A">
        <w:rPr>
          <w:rFonts w:ascii="Times New Roman" w:hAnsi="Times New Roman"/>
          <w:sz w:val="24"/>
          <w:szCs w:val="24"/>
        </w:rPr>
        <w:t>subsequent patient days are</w:t>
      </w:r>
      <w:r>
        <w:rPr>
          <w:rFonts w:ascii="Times New Roman" w:hAnsi="Times New Roman"/>
          <w:sz w:val="24"/>
          <w:szCs w:val="24"/>
        </w:rPr>
        <w:t xml:space="preserve"> </w:t>
      </w:r>
      <w:r w:rsidRPr="0045023A">
        <w:rPr>
          <w:rFonts w:ascii="Times New Roman" w:hAnsi="Times New Roman"/>
          <w:sz w:val="24"/>
          <w:szCs w:val="24"/>
        </w:rPr>
        <w:t xml:space="preserve">called </w:t>
      </w:r>
      <w:r w:rsidRPr="0045023A">
        <w:rPr>
          <w:rFonts w:ascii="Times New Roman" w:hAnsi="Times New Roman"/>
          <w:b/>
          <w:bCs/>
          <w:sz w:val="24"/>
          <w:szCs w:val="24"/>
        </w:rPr>
        <w:t xml:space="preserve">“dual-eligible exhausted benefit days” </w:t>
      </w:r>
      <w:r w:rsidRPr="0045023A">
        <w:rPr>
          <w:rFonts w:ascii="Times New Roman" w:hAnsi="Times New Roman"/>
          <w:sz w:val="24"/>
          <w:szCs w:val="24"/>
        </w:rPr>
        <w:t xml:space="preserve">and are generally paid by </w:t>
      </w:r>
      <w:r w:rsidRPr="00A43C86">
        <w:rPr>
          <w:rFonts w:ascii="Times New Roman" w:hAnsi="Times New Roman"/>
          <w:sz w:val="24"/>
          <w:szCs w:val="24"/>
        </w:rPr>
        <w:t xml:space="preserve">Medicaid as the payor of last resort.  </w:t>
      </w:r>
      <w:r w:rsidRPr="00A43C86">
        <w:rPr>
          <w:rFonts w:ascii="Times New Roman" w:hAnsi="Times New Roman"/>
          <w:i/>
          <w:iCs/>
          <w:sz w:val="24"/>
          <w:szCs w:val="24"/>
        </w:rPr>
        <w:t>See</w:t>
      </w:r>
      <w:r>
        <w:rPr>
          <w:rFonts w:ascii="Times New Roman" w:hAnsi="Times New Roman"/>
          <w:i/>
          <w:iCs/>
          <w:sz w:val="24"/>
          <w:szCs w:val="24"/>
        </w:rPr>
        <w:t xml:space="preserve"> </w:t>
      </w:r>
      <w:r w:rsidRPr="00A43C86">
        <w:rPr>
          <w:rFonts w:ascii="Times New Roman" w:hAnsi="Times New Roman"/>
          <w:sz w:val="24"/>
          <w:szCs w:val="24"/>
        </w:rPr>
        <w:t xml:space="preserve">42 U.S.C. §1396a(a)(25) (mandating that state Medicaid plans identify any third parties liable to pay for medical care available under the plan and to seek reimbursement from such parties if the Medicaid program has already paid for such care); </w:t>
      </w:r>
      <w:r w:rsidRPr="00A43C86">
        <w:rPr>
          <w:rFonts w:ascii="Times New Roman" w:hAnsi="Times New Roman"/>
          <w:i/>
          <w:iCs/>
          <w:sz w:val="24"/>
          <w:szCs w:val="24"/>
        </w:rPr>
        <w:t xml:space="preserve">see also </w:t>
      </w:r>
      <w:r w:rsidRPr="00A43C86">
        <w:rPr>
          <w:rFonts w:ascii="Times New Roman" w:hAnsi="Times New Roman"/>
          <w:sz w:val="24"/>
          <w:szCs w:val="24"/>
        </w:rPr>
        <w:t>State Plan Requirement and Other Provisions Relating to State Third Party Liability Programs, 55 Fed. Reg. 1423-02, 1429 (Jan. 16, 1990) (“[W]hen an individual is entitled to Medicare and eligible for Medicaid, Medicare, like any other third party, is the primary payor.”).</w:t>
      </w:r>
      <w:r>
        <w:rPr>
          <w:rStyle w:val="FootnoteReference"/>
          <w:rFonts w:ascii="Times New Roman" w:hAnsi="Times New Roman"/>
          <w:sz w:val="24"/>
          <w:szCs w:val="24"/>
        </w:rPr>
        <w:footnoteReference w:id="5"/>
      </w:r>
    </w:p>
    <w:p w14:paraId="4C731160" w14:textId="77777777" w:rsidR="00F64E7C" w:rsidRDefault="00F64E7C" w:rsidP="00F64E7C">
      <w:pPr>
        <w:autoSpaceDE w:val="0"/>
        <w:autoSpaceDN w:val="0"/>
        <w:adjustRightInd w:val="0"/>
        <w:spacing w:line="480" w:lineRule="auto"/>
        <w:jc w:val="both"/>
        <w:rPr>
          <w:rFonts w:ascii="Times New Roman" w:hAnsi="Times New Roman"/>
          <w:color w:val="000000"/>
          <w:sz w:val="24"/>
          <w:szCs w:val="24"/>
        </w:rPr>
      </w:pPr>
    </w:p>
    <w:p w14:paraId="756E70D4" w14:textId="77777777" w:rsidR="00F64E7C" w:rsidRPr="00A43C86" w:rsidRDefault="00F64E7C" w:rsidP="00F64E7C">
      <w:pPr>
        <w:autoSpaceDE w:val="0"/>
        <w:autoSpaceDN w:val="0"/>
        <w:adjustRightInd w:val="0"/>
        <w:spacing w:line="480" w:lineRule="auto"/>
        <w:jc w:val="both"/>
        <w:rPr>
          <w:rFonts w:ascii="Times New Roman" w:hAnsi="Times New Roman"/>
          <w:color w:val="000000"/>
          <w:sz w:val="24"/>
          <w:szCs w:val="24"/>
        </w:rPr>
      </w:pPr>
      <w:r>
        <w:rPr>
          <w:rFonts w:ascii="Times New Roman" w:hAnsi="Times New Roman"/>
          <w:sz w:val="24"/>
          <w:szCs w:val="24"/>
        </w:rPr>
        <w:t xml:space="preserve">As promulgated in </w:t>
      </w:r>
      <w:r w:rsidRPr="00A43C86">
        <w:rPr>
          <w:rFonts w:ascii="Times New Roman" w:hAnsi="Times New Roman"/>
          <w:sz w:val="24"/>
          <w:szCs w:val="24"/>
        </w:rPr>
        <w:t>42 C.F.R. §</w:t>
      </w:r>
      <w:r>
        <w:rPr>
          <w:rFonts w:ascii="Times New Roman" w:hAnsi="Times New Roman"/>
          <w:sz w:val="24"/>
          <w:szCs w:val="24"/>
        </w:rPr>
        <w:t xml:space="preserve"> </w:t>
      </w:r>
      <w:r w:rsidRPr="00A43C86">
        <w:rPr>
          <w:rFonts w:ascii="Times New Roman" w:hAnsi="Times New Roman"/>
          <w:sz w:val="24"/>
          <w:szCs w:val="24"/>
        </w:rPr>
        <w:t>412.106(b)</w:t>
      </w:r>
      <w:r>
        <w:rPr>
          <w:rFonts w:ascii="Times New Roman" w:hAnsi="Times New Roman"/>
          <w:sz w:val="24"/>
          <w:szCs w:val="24"/>
        </w:rPr>
        <w:t>, t</w:t>
      </w:r>
      <w:r w:rsidRPr="00A43C86">
        <w:rPr>
          <w:rFonts w:ascii="Times New Roman" w:hAnsi="Times New Roman"/>
          <w:sz w:val="24"/>
          <w:szCs w:val="24"/>
        </w:rPr>
        <w:t xml:space="preserve">he Secretary's regulation </w:t>
      </w:r>
      <w:r>
        <w:rPr>
          <w:rFonts w:ascii="Times New Roman" w:hAnsi="Times New Roman"/>
          <w:sz w:val="24"/>
          <w:szCs w:val="24"/>
        </w:rPr>
        <w:t xml:space="preserve">applicable to this appeal </w:t>
      </w:r>
      <w:r w:rsidRPr="00A43C86">
        <w:rPr>
          <w:rFonts w:ascii="Times New Roman" w:hAnsi="Times New Roman"/>
          <w:sz w:val="24"/>
          <w:szCs w:val="24"/>
        </w:rPr>
        <w:t xml:space="preserve">that implements the DPP statute interprets the language </w:t>
      </w:r>
      <w:r w:rsidRPr="00A43C86">
        <w:rPr>
          <w:rFonts w:ascii="Times New Roman" w:hAnsi="Times New Roman"/>
          <w:b/>
          <w:bCs/>
          <w:sz w:val="24"/>
          <w:szCs w:val="24"/>
        </w:rPr>
        <w:t xml:space="preserve">“entitled to benefits under [Medicare] part A” </w:t>
      </w:r>
      <w:r w:rsidRPr="00A43C86">
        <w:rPr>
          <w:rFonts w:ascii="Times New Roman" w:hAnsi="Times New Roman"/>
          <w:sz w:val="24"/>
          <w:szCs w:val="24"/>
        </w:rPr>
        <w:t>as including the patient days of all Medicare beneficiaries, regardless of whether a beneficiary has exhausted Medicare coverage for any particular patient day.</w:t>
      </w:r>
      <w:r>
        <w:rPr>
          <w:rFonts w:ascii="Times New Roman" w:hAnsi="Times New Roman"/>
          <w:sz w:val="24"/>
          <w:szCs w:val="24"/>
        </w:rPr>
        <w:t xml:space="preserve">  </w:t>
      </w:r>
      <w:r w:rsidRPr="00A43C86">
        <w:rPr>
          <w:rFonts w:ascii="Times New Roman" w:hAnsi="Times New Roman"/>
          <w:sz w:val="24"/>
          <w:szCs w:val="24"/>
        </w:rPr>
        <w:t xml:space="preserve">As a </w:t>
      </w:r>
      <w:r>
        <w:rPr>
          <w:rFonts w:ascii="Times New Roman" w:hAnsi="Times New Roman"/>
          <w:sz w:val="24"/>
          <w:szCs w:val="24"/>
        </w:rPr>
        <w:t xml:space="preserve">result, all exhausted benefit </w:t>
      </w:r>
      <w:r w:rsidRPr="00A43C86">
        <w:rPr>
          <w:rFonts w:ascii="Times New Roman" w:hAnsi="Times New Roman"/>
          <w:sz w:val="24"/>
          <w:szCs w:val="24"/>
        </w:rPr>
        <w:t xml:space="preserve">days </w:t>
      </w:r>
      <w:r>
        <w:rPr>
          <w:rFonts w:ascii="Times New Roman" w:hAnsi="Times New Roman"/>
          <w:sz w:val="24"/>
          <w:szCs w:val="24"/>
        </w:rPr>
        <w:t xml:space="preserve">(including dual-eligible exhausted benefit days and </w:t>
      </w:r>
      <w:r>
        <w:rPr>
          <w:rFonts w:ascii="Times New Roman" w:hAnsi="Times New Roman"/>
          <w:sz w:val="24"/>
          <w:szCs w:val="24"/>
        </w:rPr>
        <w:lastRenderedPageBreak/>
        <w:t xml:space="preserve">MSP) </w:t>
      </w:r>
      <w:r w:rsidRPr="00A43C86">
        <w:rPr>
          <w:rFonts w:ascii="Times New Roman" w:hAnsi="Times New Roman"/>
          <w:sz w:val="24"/>
          <w:szCs w:val="24"/>
        </w:rPr>
        <w:t>are included in the Medicare fraction — either in the denominator only, or in the numerator as well if the Medicare beneficiary is also entitled to SSI.</w:t>
      </w:r>
    </w:p>
    <w:p w14:paraId="28EB76DE" w14:textId="77777777" w:rsidR="00F64E7C" w:rsidRDefault="00F64E7C" w:rsidP="00F64E7C">
      <w:pPr>
        <w:autoSpaceDE w:val="0"/>
        <w:autoSpaceDN w:val="0"/>
        <w:adjustRightInd w:val="0"/>
        <w:spacing w:line="480" w:lineRule="auto"/>
        <w:jc w:val="both"/>
        <w:rPr>
          <w:rFonts w:ascii="Times New Roman" w:hAnsi="Times New Roman"/>
          <w:color w:val="000000"/>
          <w:sz w:val="24"/>
          <w:szCs w:val="24"/>
        </w:rPr>
      </w:pPr>
    </w:p>
    <w:p w14:paraId="6C3BF43E" w14:textId="4B49265F" w:rsidR="00F64E7C" w:rsidRPr="00390E6C" w:rsidRDefault="00F64E7C" w:rsidP="00F64E7C">
      <w:pPr>
        <w:autoSpaceDE w:val="0"/>
        <w:autoSpaceDN w:val="0"/>
        <w:adjustRightInd w:val="0"/>
        <w:spacing w:line="480" w:lineRule="auto"/>
        <w:jc w:val="both"/>
        <w:rPr>
          <w:rFonts w:ascii="Times New Roman" w:hAnsi="Times New Roman"/>
          <w:sz w:val="24"/>
          <w:szCs w:val="24"/>
        </w:rPr>
      </w:pPr>
      <w:r>
        <w:rPr>
          <w:rFonts w:ascii="Times New Roman" w:hAnsi="Times New Roman"/>
          <w:color w:val="000000"/>
          <w:sz w:val="24"/>
          <w:szCs w:val="24"/>
        </w:rPr>
        <w:t>In this case, t</w:t>
      </w:r>
      <w:r>
        <w:rPr>
          <w:rFonts w:ascii="Times New Roman" w:hAnsi="Times New Roman"/>
          <w:sz w:val="24"/>
          <w:szCs w:val="24"/>
        </w:rPr>
        <w:t>he Providers appeal the Medicare exhausted benefit days and MSP days.  The Providers contend that: “</w:t>
      </w:r>
      <w:r w:rsidRPr="00390E6C">
        <w:rPr>
          <w:rFonts w:ascii="Times New Roman" w:hAnsi="Times New Roman"/>
          <w:color w:val="000001"/>
          <w:sz w:val="24"/>
          <w:szCs w:val="24"/>
        </w:rPr>
        <w:t>the Secretary's construction of the statute is invalid, and</w:t>
      </w:r>
      <w:r>
        <w:rPr>
          <w:rFonts w:ascii="Times New Roman" w:hAnsi="Times New Roman"/>
          <w:color w:val="000001"/>
          <w:sz w:val="24"/>
          <w:szCs w:val="24"/>
        </w:rPr>
        <w:t xml:space="preserve"> </w:t>
      </w:r>
      <w:r w:rsidRPr="00390E6C">
        <w:rPr>
          <w:rFonts w:ascii="Times New Roman" w:hAnsi="Times New Roman"/>
          <w:color w:val="000001"/>
          <w:sz w:val="24"/>
          <w:szCs w:val="24"/>
        </w:rPr>
        <w:t xml:space="preserve">that MSP and Exhausted days should be </w:t>
      </w:r>
      <w:r w:rsidR="004B1A79">
        <w:rPr>
          <w:rFonts w:ascii="Times New Roman" w:hAnsi="Times New Roman"/>
          <w:color w:val="000001"/>
          <w:sz w:val="24"/>
          <w:szCs w:val="24"/>
        </w:rPr>
        <w:t>included</w:t>
      </w:r>
      <w:r w:rsidR="0019188D">
        <w:rPr>
          <w:rFonts w:ascii="Times New Roman" w:hAnsi="Times New Roman"/>
          <w:color w:val="000001"/>
          <w:sz w:val="24"/>
          <w:szCs w:val="24"/>
        </w:rPr>
        <w:t xml:space="preserve"> </w:t>
      </w:r>
      <w:r w:rsidR="004B1A79">
        <w:rPr>
          <w:rFonts w:ascii="Times New Roman" w:hAnsi="Times New Roman"/>
          <w:color w:val="000001"/>
          <w:sz w:val="24"/>
          <w:szCs w:val="24"/>
        </w:rPr>
        <w:t>in the Medicaid</w:t>
      </w:r>
      <w:r w:rsidR="0019188D">
        <w:rPr>
          <w:rFonts w:ascii="Times New Roman" w:hAnsi="Times New Roman"/>
          <w:color w:val="000001"/>
          <w:sz w:val="24"/>
          <w:szCs w:val="24"/>
        </w:rPr>
        <w:t xml:space="preserve"> fraction of the DSH </w:t>
      </w:r>
      <w:r w:rsidRPr="00390E6C">
        <w:rPr>
          <w:rFonts w:ascii="Times New Roman" w:hAnsi="Times New Roman"/>
          <w:color w:val="000001"/>
          <w:sz w:val="24"/>
          <w:szCs w:val="24"/>
        </w:rPr>
        <w:t xml:space="preserve">calculation. </w:t>
      </w:r>
      <w:r w:rsidRPr="00390E6C">
        <w:rPr>
          <w:rFonts w:ascii="Times New Roman" w:hAnsi="Times New Roman"/>
          <w:i/>
          <w:iCs/>
          <w:color w:val="000001"/>
          <w:sz w:val="24"/>
          <w:szCs w:val="24"/>
        </w:rPr>
        <w:t xml:space="preserve">See </w:t>
      </w:r>
      <w:r w:rsidRPr="00390E6C">
        <w:rPr>
          <w:rFonts w:ascii="Times New Roman" w:hAnsi="Times New Roman"/>
          <w:color w:val="000001"/>
          <w:sz w:val="24"/>
          <w:szCs w:val="24"/>
        </w:rPr>
        <w:t xml:space="preserve">42 C.F.R. § 412.106(b)(2)(i)(B); </w:t>
      </w:r>
      <w:r w:rsidRPr="00390E6C">
        <w:rPr>
          <w:rFonts w:ascii="Times New Roman" w:hAnsi="Times New Roman"/>
          <w:i/>
          <w:iCs/>
          <w:color w:val="000001"/>
          <w:sz w:val="24"/>
          <w:szCs w:val="24"/>
        </w:rPr>
        <w:t xml:space="preserve">see also </w:t>
      </w:r>
      <w:r w:rsidRPr="00390E6C">
        <w:rPr>
          <w:rFonts w:ascii="Times New Roman" w:hAnsi="Times New Roman"/>
          <w:color w:val="000001"/>
          <w:sz w:val="24"/>
          <w:szCs w:val="24"/>
        </w:rPr>
        <w:t>69 Fed. Reg. 48916, 49099</w:t>
      </w:r>
      <w:r>
        <w:rPr>
          <w:rFonts w:ascii="Times New Roman" w:hAnsi="Times New Roman"/>
          <w:color w:val="000001"/>
          <w:sz w:val="24"/>
          <w:szCs w:val="24"/>
        </w:rPr>
        <w:t xml:space="preserve"> </w:t>
      </w:r>
      <w:r w:rsidRPr="00390E6C">
        <w:rPr>
          <w:rFonts w:ascii="Times New Roman" w:hAnsi="Times New Roman"/>
          <w:color w:val="000001"/>
          <w:sz w:val="24"/>
          <w:szCs w:val="24"/>
        </w:rPr>
        <w:t>(Aug. 11, 2004) (IPPS Final Rule for Federal Fiscal Year 2005) and 72 Fed. Reg. 47130,</w:t>
      </w:r>
      <w:r>
        <w:rPr>
          <w:rFonts w:ascii="Times New Roman" w:hAnsi="Times New Roman"/>
          <w:color w:val="000001"/>
          <w:sz w:val="24"/>
          <w:szCs w:val="24"/>
        </w:rPr>
        <w:t xml:space="preserve"> </w:t>
      </w:r>
      <w:r w:rsidRPr="00390E6C">
        <w:rPr>
          <w:rFonts w:ascii="Times New Roman" w:hAnsi="Times New Roman"/>
          <w:color w:val="000001"/>
          <w:sz w:val="24"/>
          <w:szCs w:val="24"/>
        </w:rPr>
        <w:t>47384 (Aug. 22, 2007). The Providers contend that the FY 2005 IPPS Final Rule is</w:t>
      </w:r>
      <w:r>
        <w:rPr>
          <w:rFonts w:ascii="Times New Roman" w:hAnsi="Times New Roman"/>
          <w:color w:val="000001"/>
          <w:sz w:val="24"/>
          <w:szCs w:val="24"/>
        </w:rPr>
        <w:t xml:space="preserve"> </w:t>
      </w:r>
      <w:r w:rsidRPr="00390E6C">
        <w:rPr>
          <w:rFonts w:ascii="Times New Roman" w:hAnsi="Times New Roman"/>
          <w:color w:val="000001"/>
          <w:sz w:val="24"/>
          <w:szCs w:val="24"/>
        </w:rPr>
        <w:t>procedurally and substantively invalid; that MSP and Exhausted days must be excluded</w:t>
      </w:r>
      <w:r>
        <w:rPr>
          <w:rFonts w:ascii="Times New Roman" w:hAnsi="Times New Roman"/>
          <w:color w:val="000001"/>
          <w:sz w:val="24"/>
          <w:szCs w:val="24"/>
        </w:rPr>
        <w:t xml:space="preserve"> </w:t>
      </w:r>
      <w:r w:rsidRPr="00390E6C">
        <w:rPr>
          <w:rFonts w:ascii="Times New Roman" w:hAnsi="Times New Roman"/>
          <w:color w:val="000001"/>
          <w:sz w:val="24"/>
          <w:szCs w:val="24"/>
        </w:rPr>
        <w:t>from the Medicare fraction and instead counted in the Medicaid fraction</w:t>
      </w:r>
      <w:r w:rsidRPr="00390E6C">
        <w:rPr>
          <w:rFonts w:ascii="Times New Roman" w:hAnsi="Times New Roman"/>
          <w:sz w:val="24"/>
          <w:szCs w:val="24"/>
        </w:rPr>
        <w:t>.”</w:t>
      </w:r>
      <w:r w:rsidR="002A65F4">
        <w:rPr>
          <w:rStyle w:val="FootnoteReference"/>
          <w:rFonts w:ascii="Times New Roman" w:hAnsi="Times New Roman"/>
          <w:sz w:val="24"/>
          <w:szCs w:val="24"/>
        </w:rPr>
        <w:footnoteReference w:id="6"/>
      </w:r>
      <w:r w:rsidRPr="00390E6C">
        <w:rPr>
          <w:rFonts w:ascii="Times New Roman" w:hAnsi="Times New Roman"/>
          <w:sz w:val="24"/>
          <w:szCs w:val="24"/>
        </w:rPr>
        <w:t xml:space="preserve"> (Emphasis added).  </w:t>
      </w:r>
    </w:p>
    <w:p w14:paraId="5315E74F" w14:textId="77777777" w:rsidR="00F64E7C" w:rsidRDefault="00F64E7C" w:rsidP="00F64E7C">
      <w:pPr>
        <w:autoSpaceDE w:val="0"/>
        <w:autoSpaceDN w:val="0"/>
        <w:adjustRightInd w:val="0"/>
        <w:spacing w:line="480" w:lineRule="auto"/>
        <w:jc w:val="both"/>
        <w:rPr>
          <w:rFonts w:ascii="TimesNewRoman" w:hAnsi="TimesNewRoman" w:cs="TimesNewRoman"/>
          <w:sz w:val="24"/>
          <w:szCs w:val="24"/>
        </w:rPr>
      </w:pPr>
    </w:p>
    <w:p w14:paraId="0A57940D" w14:textId="77777777" w:rsidR="00F64E7C" w:rsidRPr="00B402E2" w:rsidRDefault="00F64E7C" w:rsidP="00F64E7C">
      <w:pPr>
        <w:pStyle w:val="ListParagraph"/>
        <w:numPr>
          <w:ilvl w:val="0"/>
          <w:numId w:val="6"/>
        </w:numPr>
        <w:spacing w:after="200" w:line="480" w:lineRule="auto"/>
        <w:ind w:left="450" w:hanging="450"/>
        <w:contextualSpacing/>
        <w:rPr>
          <w:rFonts w:ascii="Times New Roman" w:hAnsi="Times New Roman"/>
          <w:sz w:val="24"/>
          <w:szCs w:val="24"/>
        </w:rPr>
      </w:pPr>
      <w:r>
        <w:rPr>
          <w:rFonts w:ascii="Times New Roman" w:hAnsi="Times New Roman"/>
          <w:b/>
          <w:sz w:val="24"/>
          <w:szCs w:val="24"/>
        </w:rPr>
        <w:t>AR</w:t>
      </w:r>
      <w:r w:rsidRPr="00B402E2">
        <w:rPr>
          <w:rFonts w:ascii="Times New Roman" w:hAnsi="Times New Roman"/>
          <w:b/>
          <w:sz w:val="24"/>
          <w:szCs w:val="24"/>
        </w:rPr>
        <w:t>UMENTS</w:t>
      </w:r>
    </w:p>
    <w:p w14:paraId="4CE73129" w14:textId="674998DF" w:rsidR="00F64E7C" w:rsidRPr="005F1D1B" w:rsidRDefault="00F64E7C" w:rsidP="005F1D1B">
      <w:pPr>
        <w:spacing w:line="480" w:lineRule="auto"/>
        <w:contextualSpacing/>
        <w:rPr>
          <w:rFonts w:ascii="Times New Roman" w:hAnsi="Times New Roman"/>
          <w:b/>
          <w:sz w:val="24"/>
          <w:szCs w:val="24"/>
          <w:u w:val="single"/>
        </w:rPr>
      </w:pPr>
      <w:r w:rsidRPr="00C6116A">
        <w:rPr>
          <w:rFonts w:ascii="Times New Roman" w:hAnsi="Times New Roman"/>
          <w:b/>
          <w:sz w:val="24"/>
          <w:szCs w:val="24"/>
          <w:u w:val="single"/>
        </w:rPr>
        <w:t xml:space="preserve">The </w:t>
      </w:r>
      <w:r>
        <w:rPr>
          <w:rFonts w:ascii="Times New Roman" w:hAnsi="Times New Roman"/>
          <w:b/>
          <w:sz w:val="24"/>
          <w:szCs w:val="24"/>
          <w:u w:val="single"/>
        </w:rPr>
        <w:t>2005 Final Rule is Procedurally Valid</w:t>
      </w:r>
    </w:p>
    <w:p w14:paraId="5C55C104" w14:textId="77777777" w:rsidR="00F64E7C" w:rsidRDefault="00F64E7C" w:rsidP="005F1D1B">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The 2005 Final Rule began as a proposed rule issued in May of 2003</w:t>
      </w:r>
      <w:r>
        <w:rPr>
          <w:rStyle w:val="FootnoteReference"/>
          <w:rFonts w:ascii="Times New Roman" w:hAnsi="Times New Roman"/>
          <w:sz w:val="24"/>
          <w:szCs w:val="24"/>
        </w:rPr>
        <w:footnoteReference w:id="7"/>
      </w:r>
      <w:r>
        <w:rPr>
          <w:rFonts w:ascii="Times New Roman" w:hAnsi="Times New Roman"/>
          <w:sz w:val="24"/>
          <w:szCs w:val="24"/>
        </w:rPr>
        <w:t xml:space="preserve"> to be effective beginning in Fiscal Year (“FY”) 2004.  The proposed rule misstated that the current policy counted dual-eligible exhausted covered days in the Medicare fraction.  Several commenters responded by pointing out the misstatement of the then-applicable handling of the dual-eligible exhausted covered days and MSP days.  The Secretary deferred promulgating a final rule for FY 2004.  During the proposed rulemaking period for FY </w:t>
      </w:r>
      <w:r>
        <w:rPr>
          <w:rFonts w:ascii="Times New Roman" w:hAnsi="Times New Roman"/>
          <w:sz w:val="24"/>
          <w:szCs w:val="24"/>
        </w:rPr>
        <w:lastRenderedPageBreak/>
        <w:t>2005</w:t>
      </w:r>
      <w:r>
        <w:rPr>
          <w:rStyle w:val="FootnoteReference"/>
          <w:rFonts w:ascii="Times New Roman" w:hAnsi="Times New Roman"/>
          <w:sz w:val="24"/>
          <w:szCs w:val="24"/>
        </w:rPr>
        <w:footnoteReference w:id="8"/>
      </w:r>
      <w:r>
        <w:rPr>
          <w:rFonts w:ascii="Times New Roman" w:hAnsi="Times New Roman"/>
          <w:sz w:val="24"/>
          <w:szCs w:val="24"/>
        </w:rPr>
        <w:t xml:space="preserve"> the Secretary stated he would address comments received in response to the previously proposed rule as part of the FY 2005 final rule.  At that time, the Secretary did not address the misstatement made during the previous rulemaking period.  Then, days before the close of the comment period for the 2005 final rule, a Health and Human Services website posting acknowledged the previous misstatement of the then-applicable rule.  The 2005 Final Rule</w:t>
      </w:r>
      <w:r>
        <w:rPr>
          <w:rStyle w:val="FootnoteReference"/>
          <w:rFonts w:ascii="Times New Roman" w:hAnsi="Times New Roman"/>
          <w:sz w:val="24"/>
          <w:szCs w:val="24"/>
        </w:rPr>
        <w:footnoteReference w:id="9"/>
      </w:r>
      <w:r>
        <w:rPr>
          <w:rFonts w:ascii="Times New Roman" w:hAnsi="Times New Roman"/>
          <w:sz w:val="24"/>
          <w:szCs w:val="24"/>
        </w:rPr>
        <w:t xml:space="preserve"> included dual-eligible exhausted benefit days and MSP days in the Medicare Fraction, in effect enacting what in 2003 the Secretary (mistakenly) stated was the then-applicable rule.</w:t>
      </w:r>
    </w:p>
    <w:p w14:paraId="60DAAF76" w14:textId="77777777" w:rsidR="00F64E7C" w:rsidRDefault="00F64E7C" w:rsidP="00F64E7C">
      <w:pPr>
        <w:autoSpaceDE w:val="0"/>
        <w:autoSpaceDN w:val="0"/>
        <w:adjustRightInd w:val="0"/>
        <w:spacing w:line="480" w:lineRule="auto"/>
        <w:jc w:val="both"/>
        <w:rPr>
          <w:rFonts w:ascii="Times New Roman" w:hAnsi="Times New Roman"/>
          <w:sz w:val="24"/>
          <w:szCs w:val="24"/>
        </w:rPr>
      </w:pPr>
    </w:p>
    <w:p w14:paraId="0F584948" w14:textId="502D26F3" w:rsidR="00F64E7C" w:rsidRDefault="00F64E7C" w:rsidP="005F1D1B">
      <w:pPr>
        <w:autoSpaceDE w:val="0"/>
        <w:autoSpaceDN w:val="0"/>
        <w:adjustRightInd w:val="0"/>
        <w:spacing w:line="480" w:lineRule="auto"/>
        <w:jc w:val="both"/>
        <w:rPr>
          <w:rFonts w:ascii="Times New Roman" w:hAnsi="Times New Roman"/>
          <w:sz w:val="24"/>
          <w:szCs w:val="24"/>
        </w:rPr>
      </w:pPr>
      <w:r w:rsidRPr="003968DB">
        <w:rPr>
          <w:rFonts w:ascii="Times New Roman" w:hAnsi="Times New Roman"/>
          <w:sz w:val="24"/>
          <w:szCs w:val="24"/>
        </w:rPr>
        <w:t xml:space="preserve">In its preliminary position paper, the Provider citing </w:t>
      </w:r>
      <w:r w:rsidRPr="003968DB">
        <w:rPr>
          <w:rFonts w:ascii="Times New Roman" w:hAnsi="Times New Roman"/>
          <w:i/>
          <w:sz w:val="24"/>
          <w:szCs w:val="24"/>
        </w:rPr>
        <w:t>Allina</w:t>
      </w:r>
      <w:r w:rsidRPr="003968DB">
        <w:rPr>
          <w:rFonts w:ascii="Times New Roman" w:hAnsi="Times New Roman"/>
          <w:sz w:val="24"/>
          <w:szCs w:val="24"/>
        </w:rPr>
        <w:t xml:space="preserve"> cases including a D.C. District Court in </w:t>
      </w:r>
      <w:r w:rsidRPr="003968DB">
        <w:rPr>
          <w:rFonts w:ascii="Times New Roman" w:hAnsi="Times New Roman"/>
          <w:i/>
          <w:iCs/>
          <w:sz w:val="24"/>
          <w:szCs w:val="24"/>
        </w:rPr>
        <w:t xml:space="preserve">Allina Health Services, et al. v. Sebelius </w:t>
      </w:r>
      <w:r w:rsidRPr="003968DB">
        <w:rPr>
          <w:rFonts w:ascii="Times New Roman" w:hAnsi="Times New Roman"/>
          <w:sz w:val="24"/>
          <w:szCs w:val="24"/>
        </w:rPr>
        <w:t>(Case No. 1:10-cv-01463 (RMC))</w:t>
      </w:r>
      <w:r w:rsidR="008F192B">
        <w:rPr>
          <w:rFonts w:ascii="Times New Roman" w:hAnsi="Times New Roman"/>
          <w:sz w:val="24"/>
          <w:szCs w:val="24"/>
        </w:rPr>
        <w:t xml:space="preserve"> </w:t>
      </w:r>
      <w:r w:rsidRPr="003968DB">
        <w:rPr>
          <w:rFonts w:ascii="Times New Roman" w:hAnsi="Times New Roman"/>
          <w:i/>
          <w:iCs/>
          <w:sz w:val="24"/>
          <w:szCs w:val="24"/>
        </w:rPr>
        <w:t>("Allina I"</w:t>
      </w:r>
      <w:r>
        <w:rPr>
          <w:rFonts w:ascii="Times New Roman" w:hAnsi="Times New Roman"/>
          <w:i/>
          <w:iCs/>
          <w:sz w:val="24"/>
          <w:szCs w:val="24"/>
        </w:rPr>
        <w:t xml:space="preserve">) </w:t>
      </w:r>
      <w:r w:rsidRPr="003968DB">
        <w:rPr>
          <w:rFonts w:ascii="Times New Roman" w:hAnsi="Times New Roman"/>
          <w:iCs/>
          <w:sz w:val="24"/>
          <w:szCs w:val="24"/>
        </w:rPr>
        <w:t>and</w:t>
      </w:r>
      <w:r w:rsidRPr="003968DB">
        <w:rPr>
          <w:rFonts w:ascii="Times New Roman" w:hAnsi="Times New Roman"/>
          <w:i/>
          <w:iCs/>
          <w:sz w:val="24"/>
          <w:szCs w:val="24"/>
        </w:rPr>
        <w:t xml:space="preserve"> Allina</w:t>
      </w:r>
      <w:r>
        <w:rPr>
          <w:rFonts w:ascii="Times New Roman" w:hAnsi="Times New Roman"/>
          <w:i/>
          <w:iCs/>
          <w:sz w:val="24"/>
          <w:szCs w:val="24"/>
        </w:rPr>
        <w:t xml:space="preserve"> </w:t>
      </w:r>
      <w:r w:rsidRPr="003968DB">
        <w:rPr>
          <w:rFonts w:ascii="Times New Roman" w:hAnsi="Times New Roman"/>
          <w:i/>
          <w:iCs/>
          <w:sz w:val="24"/>
          <w:szCs w:val="24"/>
        </w:rPr>
        <w:t xml:space="preserve">Health Servs. v. Burwell, </w:t>
      </w:r>
      <w:r w:rsidRPr="003968DB">
        <w:rPr>
          <w:rFonts w:ascii="Times New Roman" w:hAnsi="Times New Roman"/>
          <w:sz w:val="24"/>
          <w:szCs w:val="24"/>
        </w:rPr>
        <w:t>201 F. Supp. 3d 94 (D.D.C. 2016) (</w:t>
      </w:r>
      <w:r w:rsidRPr="003968DB">
        <w:rPr>
          <w:rFonts w:ascii="Times New Roman" w:hAnsi="Times New Roman"/>
          <w:i/>
          <w:iCs/>
          <w:sz w:val="24"/>
          <w:szCs w:val="24"/>
        </w:rPr>
        <w:t>Allina II)</w:t>
      </w:r>
      <w:r w:rsidRPr="003968DB">
        <w:rPr>
          <w:rFonts w:ascii="Times New Roman" w:hAnsi="Times New Roman"/>
          <w:sz w:val="24"/>
          <w:szCs w:val="24"/>
        </w:rPr>
        <w:t>, argues:</w:t>
      </w:r>
    </w:p>
    <w:p w14:paraId="48FFF96A" w14:textId="727EE51E" w:rsidR="00F64E7C" w:rsidRDefault="00F64E7C" w:rsidP="00A91367">
      <w:pPr>
        <w:autoSpaceDE w:val="0"/>
        <w:autoSpaceDN w:val="0"/>
        <w:adjustRightInd w:val="0"/>
        <w:ind w:left="720"/>
        <w:jc w:val="both"/>
        <w:rPr>
          <w:rFonts w:ascii="Times New Roman" w:hAnsi="Times New Roman"/>
          <w:sz w:val="24"/>
          <w:szCs w:val="24"/>
        </w:rPr>
      </w:pPr>
      <w:r w:rsidRPr="00131C3D">
        <w:rPr>
          <w:rFonts w:ascii="Times New Roman" w:hAnsi="Times New Roman"/>
          <w:sz w:val="24"/>
          <w:szCs w:val="24"/>
        </w:rPr>
        <w:t xml:space="preserve">The D.C. District Court in </w:t>
      </w:r>
      <w:r w:rsidRPr="00131C3D">
        <w:rPr>
          <w:rFonts w:ascii="Times New Roman" w:hAnsi="Times New Roman"/>
          <w:i/>
          <w:iCs/>
          <w:sz w:val="24"/>
          <w:szCs w:val="24"/>
        </w:rPr>
        <w:t>Allina</w:t>
      </w:r>
      <w:r w:rsidR="00B0477E">
        <w:rPr>
          <w:rFonts w:ascii="Times New Roman" w:hAnsi="Times New Roman"/>
          <w:i/>
          <w:iCs/>
          <w:sz w:val="24"/>
          <w:szCs w:val="24"/>
        </w:rPr>
        <w:t xml:space="preserve"> I</w:t>
      </w:r>
      <w:r w:rsidRPr="00131C3D">
        <w:rPr>
          <w:rFonts w:ascii="Times New Roman" w:hAnsi="Times New Roman"/>
          <w:i/>
          <w:iCs/>
          <w:sz w:val="24"/>
          <w:szCs w:val="24"/>
        </w:rPr>
        <w:t xml:space="preserve"> </w:t>
      </w:r>
      <w:r w:rsidRPr="00131C3D">
        <w:rPr>
          <w:rFonts w:ascii="Times New Roman" w:hAnsi="Times New Roman"/>
          <w:sz w:val="24"/>
          <w:szCs w:val="24"/>
        </w:rPr>
        <w:t xml:space="preserve">also found in that the 2004 Final Rule, which applies to the fiscal year under appeal, was procedurally defective and, therefore, infirm </w:t>
      </w:r>
      <w:r w:rsidRPr="00131C3D">
        <w:rPr>
          <w:rFonts w:ascii="Times New Roman" w:hAnsi="Times New Roman"/>
          <w:i/>
          <w:iCs/>
          <w:sz w:val="24"/>
          <w:szCs w:val="24"/>
        </w:rPr>
        <w:t>ab initio. Allina</w:t>
      </w:r>
      <w:r w:rsidR="00B0477E">
        <w:rPr>
          <w:rFonts w:ascii="Times New Roman" w:hAnsi="Times New Roman"/>
          <w:i/>
          <w:iCs/>
          <w:sz w:val="24"/>
          <w:szCs w:val="24"/>
        </w:rPr>
        <w:t xml:space="preserve"> I</w:t>
      </w:r>
      <w:r w:rsidRPr="00131C3D">
        <w:rPr>
          <w:rFonts w:ascii="Times New Roman" w:hAnsi="Times New Roman"/>
          <w:i/>
          <w:iCs/>
          <w:sz w:val="24"/>
          <w:szCs w:val="24"/>
        </w:rPr>
        <w:t xml:space="preserve"> </w:t>
      </w:r>
      <w:r w:rsidRPr="00131C3D">
        <w:rPr>
          <w:rFonts w:ascii="Times New Roman" w:hAnsi="Times New Roman"/>
          <w:sz w:val="24"/>
          <w:szCs w:val="24"/>
        </w:rPr>
        <w:t xml:space="preserve">was appealed to the Court of Appeals, which decided that CMS did not use proper notice and comment rulemaking to include MA Days in the Medicare fraction, but the Court did not rule that the days had to be included in the Medicaid fraction. However, the Court did say that MA days must be in one or the other of the fractions. </w:t>
      </w:r>
      <w:r w:rsidR="00B0477E">
        <w:rPr>
          <w:rFonts w:ascii="Times New Roman" w:hAnsi="Times New Roman"/>
          <w:sz w:val="24"/>
          <w:szCs w:val="24"/>
        </w:rPr>
        <w:t xml:space="preserve"> </w:t>
      </w:r>
      <w:r w:rsidRPr="00131C3D">
        <w:rPr>
          <w:rFonts w:ascii="Times New Roman" w:hAnsi="Times New Roman"/>
          <w:sz w:val="24"/>
          <w:szCs w:val="24"/>
        </w:rPr>
        <w:t xml:space="preserve">The Providers request the Board incorporate the entire administrative and judicial records of </w:t>
      </w:r>
      <w:r w:rsidRPr="00131C3D">
        <w:rPr>
          <w:rFonts w:ascii="Times New Roman" w:hAnsi="Times New Roman"/>
          <w:i/>
          <w:iCs/>
          <w:sz w:val="24"/>
          <w:szCs w:val="24"/>
        </w:rPr>
        <w:t xml:space="preserve">Northeast </w:t>
      </w:r>
      <w:r w:rsidRPr="00131C3D">
        <w:rPr>
          <w:rFonts w:ascii="Times New Roman" w:hAnsi="Times New Roman"/>
          <w:sz w:val="24"/>
          <w:szCs w:val="24"/>
        </w:rPr>
        <w:t xml:space="preserve">and </w:t>
      </w:r>
      <w:r w:rsidRPr="00131C3D">
        <w:rPr>
          <w:rFonts w:ascii="Times New Roman" w:hAnsi="Times New Roman"/>
          <w:i/>
          <w:iCs/>
          <w:sz w:val="24"/>
          <w:szCs w:val="24"/>
        </w:rPr>
        <w:t>Allina</w:t>
      </w:r>
      <w:r w:rsidR="00B0477E">
        <w:rPr>
          <w:rFonts w:ascii="Times New Roman" w:hAnsi="Times New Roman"/>
          <w:i/>
          <w:iCs/>
          <w:sz w:val="24"/>
          <w:szCs w:val="24"/>
        </w:rPr>
        <w:t xml:space="preserve"> I</w:t>
      </w:r>
      <w:r w:rsidRPr="00131C3D">
        <w:rPr>
          <w:rFonts w:ascii="Times New Roman" w:hAnsi="Times New Roman"/>
          <w:i/>
          <w:iCs/>
          <w:sz w:val="24"/>
          <w:szCs w:val="24"/>
        </w:rPr>
        <w:t xml:space="preserve"> </w:t>
      </w:r>
      <w:r w:rsidRPr="00131C3D">
        <w:rPr>
          <w:rFonts w:ascii="Times New Roman" w:hAnsi="Times New Roman"/>
          <w:sz w:val="24"/>
          <w:szCs w:val="24"/>
        </w:rPr>
        <w:t>into the record of this appeal, which is PRRB Case Number 1</w:t>
      </w:r>
      <w:r w:rsidR="004B1A79">
        <w:rPr>
          <w:rFonts w:ascii="Times New Roman" w:hAnsi="Times New Roman"/>
          <w:sz w:val="24"/>
          <w:szCs w:val="24"/>
        </w:rPr>
        <w:t>8-0930</w:t>
      </w:r>
      <w:r w:rsidRPr="00131C3D">
        <w:rPr>
          <w:rFonts w:ascii="Times New Roman" w:hAnsi="Times New Roman"/>
          <w:sz w:val="24"/>
          <w:szCs w:val="24"/>
        </w:rPr>
        <w:t>GC.</w:t>
      </w:r>
      <w:r w:rsidR="002A65F4">
        <w:rPr>
          <w:rStyle w:val="FootnoteReference"/>
          <w:rFonts w:ascii="Times New Roman" w:hAnsi="Times New Roman"/>
          <w:sz w:val="24"/>
          <w:szCs w:val="24"/>
        </w:rPr>
        <w:footnoteReference w:id="10"/>
      </w:r>
      <w:r w:rsidRPr="00131C3D">
        <w:rPr>
          <w:rFonts w:ascii="Times New Roman" w:hAnsi="Times New Roman"/>
          <w:sz w:val="24"/>
          <w:szCs w:val="24"/>
        </w:rPr>
        <w:t xml:space="preserve"> </w:t>
      </w:r>
    </w:p>
    <w:p w14:paraId="1F10426F" w14:textId="77777777" w:rsidR="00F64E7C" w:rsidRDefault="00F64E7C" w:rsidP="00F64E7C">
      <w:pPr>
        <w:autoSpaceDE w:val="0"/>
        <w:autoSpaceDN w:val="0"/>
        <w:adjustRightInd w:val="0"/>
        <w:jc w:val="both"/>
        <w:rPr>
          <w:rFonts w:ascii="Times New Roman" w:hAnsi="Times New Roman"/>
          <w:sz w:val="24"/>
          <w:szCs w:val="24"/>
        </w:rPr>
      </w:pPr>
    </w:p>
    <w:p w14:paraId="1747377E" w14:textId="6FDE7FC9" w:rsidR="00F64E7C" w:rsidRDefault="00F64E7C" w:rsidP="00F64E7C">
      <w:pPr>
        <w:autoSpaceDE w:val="0"/>
        <w:autoSpaceDN w:val="0"/>
        <w:adjustRightInd w:val="0"/>
        <w:jc w:val="both"/>
        <w:rPr>
          <w:rFonts w:ascii="Times New Roman" w:hAnsi="Times New Roman"/>
          <w:sz w:val="24"/>
          <w:szCs w:val="24"/>
        </w:rPr>
      </w:pPr>
    </w:p>
    <w:p w14:paraId="2B5FA4FF" w14:textId="44F5E2CD" w:rsidR="009D21CB" w:rsidRDefault="00F64E7C" w:rsidP="00F64E7C">
      <w:pPr>
        <w:autoSpaceDE w:val="0"/>
        <w:autoSpaceDN w:val="0"/>
        <w:adjustRightInd w:val="0"/>
        <w:spacing w:line="480" w:lineRule="auto"/>
        <w:jc w:val="both"/>
        <w:rPr>
          <w:rFonts w:ascii="Times New Roman" w:hAnsi="Times New Roman"/>
          <w:sz w:val="24"/>
          <w:szCs w:val="24"/>
        </w:rPr>
      </w:pPr>
      <w:r w:rsidRPr="00FA51FF">
        <w:rPr>
          <w:rFonts w:ascii="Times New Roman" w:hAnsi="Times New Roman"/>
          <w:sz w:val="24"/>
          <w:szCs w:val="24"/>
        </w:rPr>
        <w:lastRenderedPageBreak/>
        <w:t xml:space="preserve">The Providers’ argument that the 2005 Final Rule was procedurally invalid fails for three reasons.  First, the D.C. court decisions in </w:t>
      </w:r>
      <w:r w:rsidRPr="00FA51FF">
        <w:rPr>
          <w:rFonts w:ascii="Times New Roman" w:hAnsi="Times New Roman"/>
          <w:i/>
          <w:sz w:val="24"/>
          <w:szCs w:val="24"/>
        </w:rPr>
        <w:t>Allina I</w:t>
      </w:r>
      <w:r w:rsidRPr="00FA51FF">
        <w:rPr>
          <w:rFonts w:ascii="Times New Roman" w:hAnsi="Times New Roman"/>
          <w:sz w:val="24"/>
          <w:szCs w:val="24"/>
        </w:rPr>
        <w:t xml:space="preserve"> and </w:t>
      </w:r>
      <w:r w:rsidRPr="00FA51FF">
        <w:rPr>
          <w:rFonts w:ascii="Times New Roman" w:hAnsi="Times New Roman"/>
          <w:i/>
          <w:sz w:val="24"/>
          <w:szCs w:val="24"/>
        </w:rPr>
        <w:t xml:space="preserve">Allina II </w:t>
      </w:r>
      <w:r w:rsidRPr="00FA51FF">
        <w:rPr>
          <w:rStyle w:val="FootnoteReference"/>
          <w:rFonts w:ascii="Times New Roman" w:hAnsi="Times New Roman"/>
          <w:i/>
          <w:sz w:val="24"/>
          <w:szCs w:val="24"/>
        </w:rPr>
        <w:footnoteReference w:id="11"/>
      </w:r>
      <w:r w:rsidRPr="00FA51FF">
        <w:rPr>
          <w:rFonts w:ascii="Times New Roman" w:hAnsi="Times New Roman"/>
          <w:i/>
          <w:sz w:val="24"/>
          <w:szCs w:val="24"/>
        </w:rPr>
        <w:t xml:space="preserve"> </w:t>
      </w:r>
      <w:r w:rsidRPr="00FA51FF">
        <w:rPr>
          <w:rFonts w:ascii="Times New Roman" w:hAnsi="Times New Roman"/>
          <w:sz w:val="24"/>
          <w:szCs w:val="24"/>
        </w:rPr>
        <w:t xml:space="preserve">are for Managed Care days which do not address the Exhausted Dual Eligible days and MSP days appealed in this case.  </w:t>
      </w:r>
    </w:p>
    <w:p w14:paraId="280AB501" w14:textId="77777777" w:rsidR="00A91367" w:rsidRDefault="00A91367" w:rsidP="00F64E7C">
      <w:pPr>
        <w:autoSpaceDE w:val="0"/>
        <w:autoSpaceDN w:val="0"/>
        <w:adjustRightInd w:val="0"/>
        <w:spacing w:line="480" w:lineRule="auto"/>
        <w:jc w:val="both"/>
        <w:rPr>
          <w:rFonts w:ascii="Times New Roman" w:hAnsi="Times New Roman"/>
          <w:sz w:val="24"/>
          <w:szCs w:val="24"/>
        </w:rPr>
      </w:pPr>
    </w:p>
    <w:p w14:paraId="2CF4B32D" w14:textId="2B9C6F1E" w:rsidR="00F64E7C" w:rsidRPr="00FA51FF" w:rsidRDefault="00F64E7C" w:rsidP="00F64E7C">
      <w:pPr>
        <w:autoSpaceDE w:val="0"/>
        <w:autoSpaceDN w:val="0"/>
        <w:adjustRightInd w:val="0"/>
        <w:spacing w:line="480" w:lineRule="auto"/>
        <w:jc w:val="both"/>
        <w:rPr>
          <w:rFonts w:ascii="Times New Roman" w:hAnsi="Times New Roman"/>
          <w:sz w:val="24"/>
          <w:szCs w:val="24"/>
        </w:rPr>
      </w:pPr>
      <w:r w:rsidRPr="00FA51FF">
        <w:rPr>
          <w:rFonts w:ascii="Times New Roman" w:hAnsi="Times New Roman"/>
          <w:sz w:val="24"/>
          <w:szCs w:val="24"/>
        </w:rPr>
        <w:t>Second, the Court of Appeals for the Ninth Circuit reversed the district court’s decision, and held:</w:t>
      </w:r>
    </w:p>
    <w:p w14:paraId="58A86186" w14:textId="1C0D3F26" w:rsidR="00F64E7C" w:rsidRPr="00FA51FF" w:rsidRDefault="00F64E7C" w:rsidP="005F1D1B">
      <w:pPr>
        <w:autoSpaceDE w:val="0"/>
        <w:autoSpaceDN w:val="0"/>
        <w:adjustRightInd w:val="0"/>
        <w:ind w:left="720"/>
        <w:jc w:val="both"/>
        <w:rPr>
          <w:rFonts w:ascii="Times New Roman" w:hAnsi="Times New Roman"/>
          <w:sz w:val="24"/>
          <w:szCs w:val="24"/>
        </w:rPr>
      </w:pPr>
      <w:r w:rsidRPr="00FA51FF">
        <w:rPr>
          <w:rFonts w:ascii="Times New Roman" w:hAnsi="Times New Roman"/>
          <w:sz w:val="24"/>
          <w:szCs w:val="24"/>
        </w:rPr>
        <w:t>While HHS’s notice-and comment procedure for the 2005 Rule was not without flaws, it met the APA’s requirements.</w:t>
      </w:r>
      <w:r w:rsidRPr="00FA51FF">
        <w:rPr>
          <w:rStyle w:val="FootnoteReference"/>
          <w:rFonts w:ascii="Times New Roman" w:hAnsi="Times New Roman"/>
          <w:sz w:val="24"/>
          <w:szCs w:val="24"/>
        </w:rPr>
        <w:footnoteReference w:id="12"/>
      </w:r>
    </w:p>
    <w:p w14:paraId="433C480E" w14:textId="77777777" w:rsidR="005F1D1B" w:rsidRPr="00FA51FF" w:rsidRDefault="005F1D1B" w:rsidP="005F1D1B">
      <w:pPr>
        <w:autoSpaceDE w:val="0"/>
        <w:autoSpaceDN w:val="0"/>
        <w:adjustRightInd w:val="0"/>
        <w:ind w:left="720"/>
        <w:jc w:val="both"/>
        <w:rPr>
          <w:rFonts w:ascii="Times New Roman" w:hAnsi="Times New Roman"/>
          <w:sz w:val="24"/>
          <w:szCs w:val="24"/>
        </w:rPr>
      </w:pPr>
    </w:p>
    <w:p w14:paraId="4EB248BD" w14:textId="77777777" w:rsidR="00F64E7C" w:rsidRPr="00FA51FF" w:rsidRDefault="00F64E7C" w:rsidP="00F64E7C">
      <w:pPr>
        <w:autoSpaceDE w:val="0"/>
        <w:autoSpaceDN w:val="0"/>
        <w:adjustRightInd w:val="0"/>
        <w:spacing w:line="480" w:lineRule="auto"/>
        <w:jc w:val="both"/>
        <w:rPr>
          <w:rFonts w:ascii="Times New Roman" w:hAnsi="Times New Roman"/>
          <w:sz w:val="24"/>
          <w:szCs w:val="24"/>
        </w:rPr>
      </w:pPr>
      <w:r w:rsidRPr="00FA51FF">
        <w:rPr>
          <w:rFonts w:ascii="Times New Roman" w:hAnsi="Times New Roman"/>
          <w:sz w:val="24"/>
          <w:szCs w:val="24"/>
        </w:rPr>
        <w:t xml:space="preserve">Third, and more important, the very issue raised by these Providers, the procedural validity of the 2005 Final Rule, was addressed by the D.C. District Court in </w:t>
      </w:r>
      <w:r w:rsidRPr="00FA51FF">
        <w:rPr>
          <w:rFonts w:ascii="Times New Roman" w:hAnsi="Times New Roman"/>
          <w:i/>
          <w:iCs/>
          <w:sz w:val="24"/>
          <w:szCs w:val="24"/>
        </w:rPr>
        <w:t>Stringfellow Mem’l Hosp v. Azar</w:t>
      </w:r>
      <w:r w:rsidRPr="00FA51FF">
        <w:rPr>
          <w:rFonts w:ascii="Times New Roman" w:hAnsi="Times New Roman"/>
          <w:sz w:val="24"/>
          <w:szCs w:val="24"/>
        </w:rPr>
        <w:t>.  After an analysis of the “logical outgrowth test”, the court held:</w:t>
      </w:r>
    </w:p>
    <w:p w14:paraId="289D6C8E" w14:textId="77777777" w:rsidR="00F64E7C" w:rsidRPr="00FA51FF" w:rsidRDefault="00F64E7C" w:rsidP="00F64E7C">
      <w:pPr>
        <w:pStyle w:val="BodyText"/>
        <w:spacing w:after="0"/>
        <w:ind w:left="720"/>
        <w:jc w:val="both"/>
        <w:rPr>
          <w:rFonts w:ascii="Times New Roman" w:hAnsi="Times New Roman"/>
          <w:sz w:val="24"/>
          <w:szCs w:val="24"/>
        </w:rPr>
      </w:pPr>
      <w:r w:rsidRPr="00FA51FF">
        <w:rPr>
          <w:rFonts w:ascii="Times New Roman" w:hAnsi="Times New Roman"/>
          <w:sz w:val="24"/>
          <w:szCs w:val="24"/>
        </w:rPr>
        <w:t>[</w:t>
      </w:r>
      <w:r w:rsidRPr="00FA51FF">
        <w:rPr>
          <w:rFonts w:ascii="Times New Roman" w:hAnsi="Times New Roman"/>
          <w:b/>
          <w:bCs/>
          <w:sz w:val="24"/>
          <w:szCs w:val="24"/>
        </w:rPr>
        <w:t>T]he Secretary was “proposing to change” a policy and identified the two possible choices</w:t>
      </w:r>
      <w:r w:rsidRPr="00FA51FF">
        <w:rPr>
          <w:rFonts w:ascii="Times New Roman" w:hAnsi="Times New Roman"/>
          <w:sz w:val="24"/>
          <w:szCs w:val="24"/>
        </w:rPr>
        <w:t>: dual-eligible exhausted days would be included in either the Medicare fraction, or the Medicaid fraction. The 2005</w:t>
      </w:r>
      <w:r w:rsidRPr="00FA51FF">
        <w:rPr>
          <w:rFonts w:ascii="Times New Roman" w:hAnsi="Times New Roman"/>
          <w:spacing w:val="-21"/>
          <w:sz w:val="24"/>
          <w:szCs w:val="24"/>
        </w:rPr>
        <w:t xml:space="preserve"> </w:t>
      </w:r>
      <w:r w:rsidRPr="00FA51FF">
        <w:rPr>
          <w:rFonts w:ascii="Times New Roman" w:hAnsi="Times New Roman"/>
          <w:sz w:val="24"/>
          <w:szCs w:val="24"/>
        </w:rPr>
        <w:t xml:space="preserve">Final Rule then adopted one of those two stated options.  Accordingly, because </w:t>
      </w:r>
      <w:r w:rsidRPr="00FA51FF">
        <w:rPr>
          <w:rFonts w:ascii="Times New Roman" w:hAnsi="Times New Roman"/>
          <w:b/>
          <w:bCs/>
          <w:sz w:val="24"/>
          <w:szCs w:val="24"/>
        </w:rPr>
        <w:t>the 2005 Final Rule is a logical outgrowth of the 2004 Proposed Rule</w:t>
      </w:r>
      <w:r w:rsidRPr="00FA51FF">
        <w:rPr>
          <w:rFonts w:ascii="Times New Roman" w:hAnsi="Times New Roman"/>
          <w:sz w:val="24"/>
          <w:szCs w:val="24"/>
        </w:rPr>
        <w:t>, the 2005 Final Rule was promulgated with adequate notice and comment procedures and is not procedurally</w:t>
      </w:r>
      <w:r w:rsidRPr="00FA51FF">
        <w:rPr>
          <w:rFonts w:ascii="Times New Roman" w:hAnsi="Times New Roman"/>
          <w:spacing w:val="-9"/>
          <w:sz w:val="24"/>
          <w:szCs w:val="24"/>
        </w:rPr>
        <w:t xml:space="preserve"> </w:t>
      </w:r>
      <w:r w:rsidRPr="00FA51FF">
        <w:rPr>
          <w:rFonts w:ascii="Times New Roman" w:hAnsi="Times New Roman"/>
          <w:sz w:val="24"/>
          <w:szCs w:val="24"/>
        </w:rPr>
        <w:t>defective.</w:t>
      </w:r>
      <w:r w:rsidRPr="00FA51FF">
        <w:rPr>
          <w:rStyle w:val="FootnoteReference"/>
          <w:rFonts w:ascii="Times New Roman" w:hAnsi="Times New Roman"/>
          <w:sz w:val="24"/>
          <w:szCs w:val="24"/>
        </w:rPr>
        <w:footnoteReference w:id="13"/>
      </w:r>
      <w:r w:rsidRPr="00FA51FF">
        <w:rPr>
          <w:rFonts w:ascii="Times New Roman" w:hAnsi="Times New Roman"/>
          <w:sz w:val="24"/>
          <w:szCs w:val="24"/>
        </w:rPr>
        <w:t xml:space="preserve">  (Emphasis added.)</w:t>
      </w:r>
    </w:p>
    <w:p w14:paraId="32892C47" w14:textId="77777777" w:rsidR="00F64E7C" w:rsidRPr="00FA51FF" w:rsidRDefault="00F64E7C" w:rsidP="00F64E7C">
      <w:pPr>
        <w:pStyle w:val="BodyText"/>
        <w:spacing w:after="0"/>
        <w:rPr>
          <w:rFonts w:ascii="Times New Roman" w:hAnsi="Times New Roman"/>
          <w:sz w:val="24"/>
          <w:szCs w:val="24"/>
        </w:rPr>
      </w:pPr>
    </w:p>
    <w:p w14:paraId="53747330" w14:textId="77777777" w:rsidR="00F64E7C" w:rsidRDefault="00F64E7C" w:rsidP="00F64E7C">
      <w:pPr>
        <w:autoSpaceDE w:val="0"/>
        <w:autoSpaceDN w:val="0"/>
        <w:adjustRightInd w:val="0"/>
        <w:spacing w:line="480" w:lineRule="auto"/>
        <w:jc w:val="both"/>
        <w:rPr>
          <w:rFonts w:ascii="Times New Roman" w:hAnsi="Times New Roman"/>
          <w:sz w:val="24"/>
          <w:szCs w:val="24"/>
        </w:rPr>
      </w:pPr>
      <w:r w:rsidRPr="00FA51FF">
        <w:rPr>
          <w:rFonts w:ascii="Times New Roman" w:hAnsi="Times New Roman"/>
          <w:sz w:val="24"/>
          <w:szCs w:val="24"/>
        </w:rPr>
        <w:t>Therefore, the Providers’ argument that the 2005 Final Rule at issue is procedurally invalid is not supported by any judicial decision, and in fact, has been procedurally upheld by the Ninth Circuit (cited by the Providers) and the Sixth Circuit (the circuit the Providers are located within).</w:t>
      </w:r>
    </w:p>
    <w:p w14:paraId="3573D8A5" w14:textId="77777777" w:rsidR="00F64E7C" w:rsidRDefault="00F64E7C" w:rsidP="00F64E7C">
      <w:pPr>
        <w:autoSpaceDE w:val="0"/>
        <w:autoSpaceDN w:val="0"/>
        <w:adjustRightInd w:val="0"/>
        <w:spacing w:line="480" w:lineRule="auto"/>
        <w:jc w:val="both"/>
        <w:rPr>
          <w:rFonts w:ascii="Times New Roman" w:hAnsi="Times New Roman"/>
          <w:sz w:val="24"/>
          <w:szCs w:val="24"/>
        </w:rPr>
      </w:pPr>
    </w:p>
    <w:p w14:paraId="335D3A54" w14:textId="441FA904" w:rsidR="00F64E7C" w:rsidRPr="005F1D1B" w:rsidRDefault="00F64E7C" w:rsidP="005F1D1B">
      <w:pPr>
        <w:spacing w:line="480" w:lineRule="auto"/>
        <w:contextualSpacing/>
        <w:rPr>
          <w:rFonts w:ascii="Times New Roman" w:hAnsi="Times New Roman"/>
          <w:b/>
          <w:sz w:val="24"/>
          <w:szCs w:val="24"/>
          <w:u w:val="single"/>
        </w:rPr>
      </w:pPr>
      <w:r w:rsidRPr="00C6116A">
        <w:rPr>
          <w:rFonts w:ascii="Times New Roman" w:hAnsi="Times New Roman"/>
          <w:b/>
          <w:sz w:val="24"/>
          <w:szCs w:val="24"/>
          <w:u w:val="single"/>
        </w:rPr>
        <w:t xml:space="preserve">The </w:t>
      </w:r>
      <w:r>
        <w:rPr>
          <w:rFonts w:ascii="Times New Roman" w:hAnsi="Times New Roman"/>
          <w:b/>
          <w:sz w:val="24"/>
          <w:szCs w:val="24"/>
          <w:u w:val="single"/>
        </w:rPr>
        <w:t>2005 Final Rule is Substantively Valid</w:t>
      </w:r>
    </w:p>
    <w:p w14:paraId="1A93703A" w14:textId="1053DD9D" w:rsidR="00F64E7C" w:rsidRDefault="00F64E7C" w:rsidP="00F64E7C">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The Providers contends that dual eligible MSP and Exhausted day patients are not “entitled to benefits under Part A” which should be excluded from the</w:t>
      </w:r>
      <w:r w:rsidR="00B0477E">
        <w:rPr>
          <w:rFonts w:ascii="Times New Roman" w:hAnsi="Times New Roman"/>
          <w:sz w:val="24"/>
          <w:szCs w:val="24"/>
        </w:rPr>
        <w:t xml:space="preserve"> Providers’</w:t>
      </w:r>
      <w:r>
        <w:rPr>
          <w:rFonts w:ascii="Times New Roman" w:hAnsi="Times New Roman"/>
          <w:sz w:val="24"/>
          <w:szCs w:val="24"/>
        </w:rPr>
        <w:t xml:space="preserve"> Medicare fraction</w:t>
      </w:r>
      <w:r w:rsidR="00E01D4D">
        <w:rPr>
          <w:rFonts w:ascii="Times New Roman" w:hAnsi="Times New Roman"/>
          <w:sz w:val="24"/>
          <w:szCs w:val="24"/>
        </w:rPr>
        <w:t xml:space="preserve">s, and </w:t>
      </w:r>
      <w:r>
        <w:rPr>
          <w:rFonts w:ascii="Times New Roman" w:hAnsi="Times New Roman"/>
          <w:sz w:val="24"/>
          <w:szCs w:val="24"/>
        </w:rPr>
        <w:t>included in the Providers’ Medicaid fraction</w:t>
      </w:r>
      <w:r w:rsidR="00E01D4D">
        <w:rPr>
          <w:rFonts w:ascii="Times New Roman" w:hAnsi="Times New Roman"/>
          <w:sz w:val="24"/>
          <w:szCs w:val="24"/>
        </w:rPr>
        <w:t>s</w:t>
      </w:r>
      <w:r w:rsidR="00B0477E">
        <w:rPr>
          <w:rFonts w:ascii="Times New Roman" w:hAnsi="Times New Roman"/>
          <w:sz w:val="24"/>
          <w:szCs w:val="24"/>
        </w:rPr>
        <w:t xml:space="preserve"> to the extent that such days are Medicaid eligible</w:t>
      </w:r>
      <w:r>
        <w:rPr>
          <w:rFonts w:ascii="Times New Roman" w:hAnsi="Times New Roman"/>
          <w:sz w:val="24"/>
          <w:szCs w:val="24"/>
        </w:rPr>
        <w:t>.</w:t>
      </w:r>
      <w:r w:rsidR="00D55A58">
        <w:rPr>
          <w:rStyle w:val="FootnoteReference"/>
          <w:rFonts w:ascii="Times New Roman" w:hAnsi="Times New Roman"/>
          <w:sz w:val="24"/>
          <w:szCs w:val="24"/>
        </w:rPr>
        <w:footnoteReference w:id="14"/>
      </w:r>
      <w:r>
        <w:rPr>
          <w:rFonts w:ascii="Times New Roman" w:hAnsi="Times New Roman"/>
          <w:sz w:val="24"/>
          <w:szCs w:val="24"/>
        </w:rPr>
        <w:t xml:space="preserve"> </w:t>
      </w:r>
    </w:p>
    <w:p w14:paraId="25450E07" w14:textId="77777777" w:rsidR="00F64E7C" w:rsidRDefault="00F64E7C" w:rsidP="00F64E7C">
      <w:pPr>
        <w:autoSpaceDE w:val="0"/>
        <w:autoSpaceDN w:val="0"/>
        <w:adjustRightInd w:val="0"/>
        <w:spacing w:line="480" w:lineRule="auto"/>
        <w:jc w:val="both"/>
        <w:rPr>
          <w:rFonts w:ascii="Times New Roman" w:hAnsi="Times New Roman"/>
          <w:sz w:val="24"/>
          <w:szCs w:val="24"/>
        </w:rPr>
      </w:pPr>
    </w:p>
    <w:p w14:paraId="6537FBC8" w14:textId="77777777" w:rsidR="00F64E7C" w:rsidRDefault="00F64E7C" w:rsidP="00F64E7C">
      <w:pPr>
        <w:suppressAutoHyphens/>
        <w:spacing w:line="480" w:lineRule="auto"/>
        <w:jc w:val="both"/>
        <w:rPr>
          <w:rFonts w:ascii="Times New Roman" w:hAnsi="Times New Roman"/>
          <w:sz w:val="24"/>
          <w:szCs w:val="24"/>
        </w:rPr>
      </w:pPr>
      <w:r>
        <w:rPr>
          <w:rFonts w:ascii="Times New Roman" w:hAnsi="Times New Roman"/>
          <w:sz w:val="24"/>
          <w:szCs w:val="24"/>
        </w:rPr>
        <w:t>M</w:t>
      </w:r>
      <w:r w:rsidRPr="00B462DB">
        <w:rPr>
          <w:rFonts w:ascii="Times New Roman" w:hAnsi="Times New Roman"/>
          <w:sz w:val="24"/>
          <w:szCs w:val="24"/>
        </w:rPr>
        <w:t>uch litigation has surrounded the phrase “entitled to bene</w:t>
      </w:r>
      <w:r>
        <w:rPr>
          <w:rFonts w:ascii="Times New Roman" w:hAnsi="Times New Roman"/>
          <w:sz w:val="24"/>
          <w:szCs w:val="24"/>
        </w:rPr>
        <w:t>fits under [Medicare] Part A.”  I</w:t>
      </w:r>
      <w:r w:rsidRPr="00E515A3">
        <w:rPr>
          <w:rFonts w:ascii="Times New Roman" w:hAnsi="Times New Roman"/>
          <w:sz w:val="24"/>
          <w:szCs w:val="24"/>
        </w:rPr>
        <w:t>n t</w:t>
      </w:r>
      <w:r>
        <w:rPr>
          <w:rFonts w:ascii="Times New Roman" w:hAnsi="Times New Roman"/>
          <w:sz w:val="24"/>
          <w:szCs w:val="24"/>
        </w:rPr>
        <w:t>he Sixth C</w:t>
      </w:r>
      <w:r w:rsidRPr="00E515A3">
        <w:rPr>
          <w:rFonts w:ascii="Times New Roman" w:hAnsi="Times New Roman"/>
          <w:sz w:val="24"/>
          <w:szCs w:val="24"/>
        </w:rPr>
        <w:t xml:space="preserve">ircuit </w:t>
      </w:r>
      <w:r>
        <w:rPr>
          <w:rFonts w:ascii="Times New Roman" w:hAnsi="Times New Roman"/>
          <w:sz w:val="24"/>
          <w:szCs w:val="24"/>
        </w:rPr>
        <w:t>appellate court d</w:t>
      </w:r>
      <w:r w:rsidRPr="00E515A3">
        <w:rPr>
          <w:rFonts w:ascii="Times New Roman" w:hAnsi="Times New Roman"/>
          <w:sz w:val="24"/>
          <w:szCs w:val="24"/>
        </w:rPr>
        <w:t xml:space="preserve">ecision in </w:t>
      </w:r>
      <w:r w:rsidRPr="00E515A3">
        <w:rPr>
          <w:rFonts w:ascii="Times New Roman" w:hAnsi="Times New Roman"/>
          <w:i/>
          <w:sz w:val="24"/>
          <w:szCs w:val="24"/>
        </w:rPr>
        <w:t>Metropolitan</w:t>
      </w:r>
      <w:r>
        <w:rPr>
          <w:rFonts w:ascii="Times New Roman" w:hAnsi="Times New Roman"/>
          <w:sz w:val="24"/>
          <w:szCs w:val="24"/>
        </w:rPr>
        <w:t xml:space="preserve">, the court addressed the precise issue raised by the Providers in this this appeal; whether </w:t>
      </w:r>
      <w:r w:rsidRPr="00DF46B6">
        <w:rPr>
          <w:rFonts w:ascii="Times New Roman" w:hAnsi="Times New Roman"/>
          <w:sz w:val="24"/>
          <w:szCs w:val="24"/>
        </w:rPr>
        <w:t xml:space="preserve">dual-eligible </w:t>
      </w:r>
      <w:r>
        <w:rPr>
          <w:rFonts w:ascii="Times New Roman" w:hAnsi="Times New Roman"/>
          <w:sz w:val="24"/>
          <w:szCs w:val="24"/>
        </w:rPr>
        <w:t>exhausted benefit d</w:t>
      </w:r>
      <w:r w:rsidRPr="00DF46B6">
        <w:rPr>
          <w:rFonts w:ascii="Times New Roman" w:hAnsi="Times New Roman"/>
          <w:sz w:val="24"/>
          <w:szCs w:val="24"/>
        </w:rPr>
        <w:t xml:space="preserve">ays should be included in the Medicaid fraction. </w:t>
      </w:r>
      <w:r>
        <w:rPr>
          <w:rFonts w:ascii="Times New Roman" w:hAnsi="Times New Roman"/>
          <w:sz w:val="24"/>
          <w:szCs w:val="24"/>
        </w:rPr>
        <w:t xml:space="preserve">The hospital, just like the Providers in this appeal, </w:t>
      </w:r>
      <w:r w:rsidRPr="006F6421">
        <w:rPr>
          <w:rFonts w:ascii="Times New Roman" w:hAnsi="Times New Roman"/>
          <w:sz w:val="24"/>
          <w:szCs w:val="24"/>
        </w:rPr>
        <w:t>argued that</w:t>
      </w:r>
      <w:r>
        <w:rPr>
          <w:rFonts w:ascii="Times New Roman" w:hAnsi="Times New Roman"/>
          <w:sz w:val="24"/>
          <w:szCs w:val="24"/>
        </w:rPr>
        <w:t>:</w:t>
      </w:r>
    </w:p>
    <w:p w14:paraId="2FC30E4F" w14:textId="77777777" w:rsidR="00F64E7C" w:rsidRDefault="00F64E7C" w:rsidP="00F64E7C">
      <w:pPr>
        <w:suppressAutoHyphens/>
        <w:ind w:left="720"/>
        <w:jc w:val="both"/>
        <w:rPr>
          <w:rFonts w:ascii="Times New Roman" w:hAnsi="Times New Roman"/>
          <w:sz w:val="24"/>
          <w:szCs w:val="24"/>
        </w:rPr>
      </w:pPr>
      <w:r>
        <w:rPr>
          <w:rFonts w:ascii="Times New Roman" w:hAnsi="Times New Roman"/>
          <w:sz w:val="24"/>
          <w:szCs w:val="24"/>
        </w:rPr>
        <w:t>[T]he plain language of the DPP statute unambiguously provides that a dual-eligible exhausted benefit day must be counted in the Medicaid fraction and that no exhausted benefit day (whether dual-eligible or not) may be counted in the Medicare fraction.</w:t>
      </w:r>
      <w:r>
        <w:rPr>
          <w:rStyle w:val="FootnoteReference"/>
          <w:rFonts w:ascii="Times New Roman" w:hAnsi="Times New Roman"/>
          <w:sz w:val="24"/>
          <w:szCs w:val="24"/>
        </w:rPr>
        <w:footnoteReference w:id="15"/>
      </w:r>
    </w:p>
    <w:p w14:paraId="6908C0B1" w14:textId="77777777" w:rsidR="00F64E7C" w:rsidRDefault="00F64E7C" w:rsidP="00F64E7C">
      <w:pPr>
        <w:suppressAutoHyphens/>
        <w:spacing w:line="480" w:lineRule="auto"/>
        <w:jc w:val="both"/>
        <w:rPr>
          <w:rFonts w:ascii="Times New Roman" w:hAnsi="Times New Roman"/>
          <w:sz w:val="24"/>
          <w:szCs w:val="24"/>
        </w:rPr>
      </w:pPr>
    </w:p>
    <w:p w14:paraId="0FD537E5" w14:textId="77777777" w:rsidR="00F64E7C" w:rsidRDefault="00F64E7C" w:rsidP="00F64E7C">
      <w:pPr>
        <w:suppressAutoHyphens/>
        <w:spacing w:line="480" w:lineRule="auto"/>
        <w:jc w:val="both"/>
        <w:rPr>
          <w:rFonts w:ascii="Times New Roman" w:hAnsi="Times New Roman"/>
          <w:sz w:val="24"/>
          <w:szCs w:val="24"/>
        </w:rPr>
      </w:pPr>
      <w:r>
        <w:rPr>
          <w:rFonts w:ascii="Times New Roman" w:hAnsi="Times New Roman"/>
          <w:sz w:val="24"/>
          <w:szCs w:val="24"/>
        </w:rPr>
        <w:t>The Secretary argued that:</w:t>
      </w:r>
    </w:p>
    <w:p w14:paraId="58F27C7A" w14:textId="56AD1968" w:rsidR="00F64E7C" w:rsidRDefault="00F64E7C" w:rsidP="005F1D1B">
      <w:pPr>
        <w:suppressAutoHyphens/>
        <w:ind w:left="720"/>
        <w:jc w:val="both"/>
        <w:rPr>
          <w:rFonts w:ascii="Times New Roman" w:hAnsi="Times New Roman"/>
          <w:sz w:val="24"/>
          <w:szCs w:val="24"/>
        </w:rPr>
      </w:pPr>
      <w:r>
        <w:rPr>
          <w:rFonts w:ascii="Times New Roman" w:hAnsi="Times New Roman"/>
          <w:sz w:val="24"/>
          <w:szCs w:val="24"/>
        </w:rPr>
        <w:t>[T]he phrase “entitled to benefits under [Medicare] part A” has a clear, consistent meaning throughout the Medicare statute; i.e., covering any individual who meets the statutory criteria set out in 42 U.S.C. § 426.</w:t>
      </w:r>
      <w:r>
        <w:rPr>
          <w:rStyle w:val="FootnoteReference"/>
          <w:rFonts w:ascii="Times New Roman" w:hAnsi="Times New Roman"/>
          <w:sz w:val="24"/>
          <w:szCs w:val="24"/>
        </w:rPr>
        <w:footnoteReference w:id="16"/>
      </w:r>
    </w:p>
    <w:p w14:paraId="49B49F5F" w14:textId="77777777" w:rsidR="005F1D1B" w:rsidRDefault="005F1D1B" w:rsidP="005F1D1B">
      <w:pPr>
        <w:suppressAutoHyphens/>
        <w:ind w:left="720"/>
        <w:jc w:val="both"/>
        <w:rPr>
          <w:rFonts w:ascii="Times New Roman" w:hAnsi="Times New Roman"/>
          <w:sz w:val="24"/>
          <w:szCs w:val="24"/>
        </w:rPr>
      </w:pPr>
    </w:p>
    <w:p w14:paraId="699E4C95" w14:textId="77777777" w:rsidR="00F64E7C" w:rsidRDefault="00F64E7C" w:rsidP="00F64E7C">
      <w:pPr>
        <w:suppressAutoHyphens/>
        <w:spacing w:line="480" w:lineRule="auto"/>
        <w:jc w:val="both"/>
        <w:rPr>
          <w:rFonts w:ascii="Times New Roman" w:hAnsi="Times New Roman"/>
          <w:sz w:val="24"/>
          <w:szCs w:val="24"/>
        </w:rPr>
      </w:pPr>
      <w:r>
        <w:rPr>
          <w:rFonts w:ascii="Times New Roman" w:hAnsi="Times New Roman"/>
          <w:sz w:val="24"/>
          <w:szCs w:val="24"/>
        </w:rPr>
        <w:t>The Court concluded that:</w:t>
      </w:r>
    </w:p>
    <w:p w14:paraId="78ECCF0F" w14:textId="77777777" w:rsidR="00F64E7C" w:rsidRDefault="00F64E7C" w:rsidP="00F64E7C">
      <w:pPr>
        <w:suppressAutoHyphens/>
        <w:ind w:left="720"/>
        <w:jc w:val="both"/>
        <w:rPr>
          <w:rFonts w:ascii="Times New Roman" w:hAnsi="Times New Roman"/>
          <w:sz w:val="24"/>
          <w:szCs w:val="24"/>
        </w:rPr>
      </w:pPr>
      <w:r>
        <w:rPr>
          <w:rFonts w:ascii="Times New Roman" w:hAnsi="Times New Roman"/>
          <w:sz w:val="24"/>
          <w:szCs w:val="24"/>
        </w:rPr>
        <w:t>[T]he statue’s plain language does not unambiguously endorse either party’s interpretation.</w:t>
      </w:r>
    </w:p>
    <w:p w14:paraId="2FD077F9" w14:textId="77777777" w:rsidR="00F64E7C" w:rsidRDefault="00F64E7C" w:rsidP="00F64E7C">
      <w:pPr>
        <w:suppressAutoHyphens/>
        <w:ind w:left="720"/>
        <w:jc w:val="both"/>
        <w:rPr>
          <w:rFonts w:ascii="Times New Roman" w:hAnsi="Times New Roman"/>
          <w:sz w:val="24"/>
          <w:szCs w:val="24"/>
        </w:rPr>
      </w:pPr>
    </w:p>
    <w:p w14:paraId="2849FAFA" w14:textId="74E85F1B" w:rsidR="00F64E7C" w:rsidRDefault="00F64E7C" w:rsidP="005F1D1B">
      <w:pPr>
        <w:suppressAutoHyphens/>
        <w:ind w:left="720"/>
        <w:jc w:val="both"/>
        <w:rPr>
          <w:rFonts w:ascii="Times New Roman" w:hAnsi="Times New Roman"/>
          <w:sz w:val="24"/>
          <w:szCs w:val="24"/>
        </w:rPr>
      </w:pPr>
      <w:r>
        <w:rPr>
          <w:rFonts w:ascii="Times New Roman" w:hAnsi="Times New Roman"/>
          <w:sz w:val="24"/>
          <w:szCs w:val="24"/>
        </w:rPr>
        <w:lastRenderedPageBreak/>
        <w:t>No definition of the phrases “entitled to benefits under [Medicare] part A” or “eligible for [Medicaid</w:t>
      </w:r>
      <w:r w:rsidR="00E53711">
        <w:rPr>
          <w:rFonts w:ascii="Times New Roman" w:hAnsi="Times New Roman"/>
          <w:sz w:val="24"/>
          <w:szCs w:val="24"/>
        </w:rPr>
        <w:t>]</w:t>
      </w:r>
      <w:r>
        <w:rPr>
          <w:rFonts w:ascii="Times New Roman" w:hAnsi="Times New Roman"/>
          <w:sz w:val="24"/>
          <w:szCs w:val="24"/>
        </w:rPr>
        <w:t>” is provided in the DPP provision or elsewhere in the statutory section in which the DPP appears.</w:t>
      </w:r>
      <w:r>
        <w:rPr>
          <w:rStyle w:val="FootnoteReference"/>
          <w:rFonts w:ascii="Times New Roman" w:hAnsi="Times New Roman"/>
          <w:sz w:val="24"/>
          <w:szCs w:val="24"/>
        </w:rPr>
        <w:footnoteReference w:id="17"/>
      </w:r>
    </w:p>
    <w:p w14:paraId="2AC8E318" w14:textId="77777777" w:rsidR="005F1D1B" w:rsidRPr="005F1D1B" w:rsidRDefault="005F1D1B" w:rsidP="005F1D1B">
      <w:pPr>
        <w:suppressAutoHyphens/>
        <w:ind w:left="720"/>
        <w:jc w:val="both"/>
        <w:rPr>
          <w:rFonts w:ascii="Times New Roman" w:hAnsi="Times New Roman"/>
          <w:sz w:val="24"/>
          <w:szCs w:val="24"/>
        </w:rPr>
      </w:pPr>
    </w:p>
    <w:p w14:paraId="392E0331" w14:textId="77777777" w:rsidR="00F64E7C" w:rsidRDefault="00F64E7C" w:rsidP="00F64E7C">
      <w:pPr>
        <w:spacing w:line="480" w:lineRule="auto"/>
        <w:contextualSpacing/>
        <w:rPr>
          <w:rFonts w:ascii="Times New Roman" w:hAnsi="Times New Roman"/>
          <w:bCs/>
          <w:sz w:val="24"/>
          <w:szCs w:val="24"/>
        </w:rPr>
      </w:pPr>
      <w:r w:rsidRPr="00C467D2">
        <w:rPr>
          <w:rFonts w:ascii="Times New Roman" w:hAnsi="Times New Roman"/>
          <w:bCs/>
          <w:sz w:val="24"/>
          <w:szCs w:val="24"/>
        </w:rPr>
        <w:t xml:space="preserve">The </w:t>
      </w:r>
      <w:r w:rsidRPr="0023284C">
        <w:rPr>
          <w:rFonts w:ascii="Times New Roman" w:hAnsi="Times New Roman"/>
          <w:bCs/>
          <w:i/>
          <w:iCs/>
          <w:sz w:val="24"/>
          <w:szCs w:val="24"/>
        </w:rPr>
        <w:t>Metropolitan</w:t>
      </w:r>
      <w:r>
        <w:rPr>
          <w:rFonts w:ascii="Times New Roman" w:hAnsi="Times New Roman"/>
          <w:bCs/>
          <w:sz w:val="24"/>
          <w:szCs w:val="24"/>
        </w:rPr>
        <w:t xml:space="preserve"> court concludes by stating:</w:t>
      </w:r>
    </w:p>
    <w:p w14:paraId="0835CE7E" w14:textId="248CCDCE" w:rsidR="00F64E7C" w:rsidRDefault="00F64E7C" w:rsidP="005F1D1B">
      <w:pPr>
        <w:ind w:left="720"/>
        <w:contextualSpacing/>
        <w:jc w:val="both"/>
        <w:rPr>
          <w:rFonts w:ascii="Times New Roman" w:hAnsi="Times New Roman"/>
          <w:bCs/>
          <w:sz w:val="24"/>
          <w:szCs w:val="24"/>
        </w:rPr>
      </w:pPr>
      <w:r>
        <w:rPr>
          <w:rFonts w:ascii="Times New Roman" w:hAnsi="Times New Roman"/>
          <w:bCs/>
          <w:sz w:val="24"/>
          <w:szCs w:val="24"/>
        </w:rPr>
        <w:t xml:space="preserve">In sum, we conclude that the rulemaking process was not arbitrary and that the resulting regulation is a permissible construction of the DPP provision that warrants judicial deference under </w:t>
      </w:r>
      <w:r w:rsidRPr="0023284C">
        <w:rPr>
          <w:rFonts w:ascii="Times New Roman" w:hAnsi="Times New Roman"/>
          <w:bCs/>
          <w:i/>
          <w:iCs/>
          <w:sz w:val="24"/>
          <w:szCs w:val="24"/>
        </w:rPr>
        <w:t>Chevron</w:t>
      </w:r>
      <w:r>
        <w:rPr>
          <w:rFonts w:ascii="Times New Roman" w:hAnsi="Times New Roman"/>
          <w:bCs/>
          <w:sz w:val="24"/>
          <w:szCs w:val="24"/>
        </w:rPr>
        <w:t>.</w:t>
      </w:r>
      <w:r>
        <w:rPr>
          <w:rStyle w:val="FootnoteReference"/>
          <w:rFonts w:ascii="Times New Roman" w:hAnsi="Times New Roman"/>
          <w:bCs/>
          <w:sz w:val="24"/>
          <w:szCs w:val="24"/>
        </w:rPr>
        <w:footnoteReference w:id="18"/>
      </w:r>
    </w:p>
    <w:p w14:paraId="48C022FD" w14:textId="77777777" w:rsidR="005F1D1B" w:rsidRPr="005F1D1B" w:rsidRDefault="005F1D1B" w:rsidP="005F1D1B">
      <w:pPr>
        <w:ind w:left="720"/>
        <w:contextualSpacing/>
        <w:jc w:val="both"/>
        <w:rPr>
          <w:rFonts w:ascii="Times New Roman" w:hAnsi="Times New Roman"/>
          <w:bCs/>
          <w:sz w:val="24"/>
          <w:szCs w:val="24"/>
        </w:rPr>
      </w:pPr>
    </w:p>
    <w:p w14:paraId="133F5BBE" w14:textId="77777777" w:rsidR="00F64E7C" w:rsidRDefault="00F64E7C" w:rsidP="00F64E7C">
      <w:pPr>
        <w:spacing w:line="480" w:lineRule="auto"/>
        <w:contextualSpacing/>
        <w:jc w:val="both"/>
        <w:rPr>
          <w:rFonts w:ascii="Times New Roman" w:hAnsi="Times New Roman"/>
          <w:bCs/>
          <w:sz w:val="24"/>
          <w:szCs w:val="24"/>
        </w:rPr>
      </w:pPr>
      <w:r w:rsidRPr="00EE0F55">
        <w:rPr>
          <w:rFonts w:ascii="Times New Roman" w:hAnsi="Times New Roman"/>
          <w:bCs/>
          <w:sz w:val="24"/>
          <w:szCs w:val="24"/>
        </w:rPr>
        <w:t xml:space="preserve">The </w:t>
      </w:r>
      <w:r>
        <w:rPr>
          <w:rFonts w:ascii="Times New Roman" w:hAnsi="Times New Roman"/>
          <w:bCs/>
          <w:sz w:val="24"/>
          <w:szCs w:val="24"/>
        </w:rPr>
        <w:t xml:space="preserve">D.C. Circuit Court in </w:t>
      </w:r>
      <w:r w:rsidRPr="00894BE6">
        <w:rPr>
          <w:rFonts w:ascii="Times New Roman" w:hAnsi="Times New Roman"/>
          <w:bCs/>
          <w:i/>
          <w:iCs/>
          <w:sz w:val="24"/>
          <w:szCs w:val="24"/>
        </w:rPr>
        <w:t>Stringfellow</w:t>
      </w:r>
      <w:r>
        <w:rPr>
          <w:rFonts w:ascii="Times New Roman" w:hAnsi="Times New Roman"/>
          <w:bCs/>
          <w:sz w:val="24"/>
          <w:szCs w:val="24"/>
        </w:rPr>
        <w:t xml:space="preserve"> reached the same conclusion when considering whether the 2005 Final Rule was the product of reasoned decision making, stating:</w:t>
      </w:r>
    </w:p>
    <w:p w14:paraId="5E9E62C1" w14:textId="5C923422" w:rsidR="00F64E7C" w:rsidRDefault="00F64E7C" w:rsidP="005F1D1B">
      <w:pPr>
        <w:pStyle w:val="BodyText"/>
        <w:spacing w:after="0"/>
        <w:ind w:left="720"/>
        <w:jc w:val="both"/>
        <w:rPr>
          <w:rFonts w:ascii="Times New Roman" w:hAnsi="Times New Roman"/>
          <w:sz w:val="24"/>
          <w:szCs w:val="24"/>
        </w:rPr>
      </w:pPr>
      <w:r w:rsidRPr="00F43584">
        <w:rPr>
          <w:rFonts w:ascii="Times New Roman" w:hAnsi="Times New Roman"/>
          <w:b/>
          <w:bCs/>
          <w:sz w:val="24"/>
          <w:szCs w:val="24"/>
        </w:rPr>
        <w:t>The 2005 Final Rule provides adequate explanations for the Secretary’s decision to begin counting dual-eligible exhausted days in the Medicare fraction.</w:t>
      </w:r>
      <w:r w:rsidRPr="00894BE6">
        <w:rPr>
          <w:rFonts w:ascii="Times New Roman" w:hAnsi="Times New Roman"/>
          <w:sz w:val="24"/>
          <w:szCs w:val="24"/>
        </w:rPr>
        <w:t xml:space="preserve"> In the Final Rule, the Secretary detailed several themes of the comments received on the proposed rule, and he explained that the agency “agree[d] with” a comment that “including the days in the Medicare fraction has a greater impact on a hospital’s DSH patient percentage than including the days in the Medicaid fraction.” The Secretary also acknowledged another</w:t>
      </w:r>
      <w:r w:rsidRPr="00894BE6">
        <w:rPr>
          <w:rFonts w:ascii="Times New Roman" w:hAnsi="Times New Roman"/>
          <w:spacing w:val="-18"/>
          <w:sz w:val="24"/>
          <w:szCs w:val="24"/>
        </w:rPr>
        <w:t xml:space="preserve"> </w:t>
      </w:r>
      <w:r w:rsidRPr="00894BE6">
        <w:rPr>
          <w:rFonts w:ascii="Times New Roman" w:hAnsi="Times New Roman"/>
          <w:sz w:val="24"/>
          <w:szCs w:val="24"/>
        </w:rPr>
        <w:t xml:space="preserve">commenter’s argument that “beneficiaries who have exhausted their Medicare Part A inpatient coverage may still be entitled to other Part A benefits.” </w:t>
      </w:r>
      <w:r w:rsidRPr="00F43584">
        <w:rPr>
          <w:rFonts w:ascii="Times New Roman" w:hAnsi="Times New Roman"/>
          <w:b/>
          <w:bCs/>
          <w:sz w:val="24"/>
          <w:szCs w:val="24"/>
        </w:rPr>
        <w:t>These two observations help explain the Secretary’s decision to count dual-eligible exhausted days in the Medicare fraction</w:t>
      </w:r>
      <w:r w:rsidRPr="00894BE6">
        <w:rPr>
          <w:rFonts w:ascii="Times New Roman" w:hAnsi="Times New Roman"/>
          <w:sz w:val="24"/>
          <w:szCs w:val="24"/>
        </w:rPr>
        <w:t>: the days would have “a greater impact” when included in the Medicare fraction, and patients who were entitled to other Part A benefits beyond inpatient hospital stays would logically be treated as still being “entitled to benefits under [Medicare] part A,” as the statutory definition of the Medicare fraction states. Indeed, the DSH adjustment aims to compensate hospitals for treating sick, low-income patients—in other words, individuals who are likely to exhaust their Part A coverage but who remain in the hospital for treatment. Including patient days for these individuals in the Medicare fraction, where the days will often have a greater impact, furthers the purpose of the DSH adjustment.</w:t>
      </w:r>
      <w:r>
        <w:rPr>
          <w:rStyle w:val="FootnoteReference"/>
          <w:rFonts w:ascii="Times New Roman" w:hAnsi="Times New Roman"/>
          <w:sz w:val="24"/>
          <w:szCs w:val="24"/>
        </w:rPr>
        <w:footnoteReference w:id="19"/>
      </w:r>
      <w:r w:rsidRPr="00894BE6">
        <w:rPr>
          <w:rFonts w:ascii="Times New Roman" w:hAnsi="Times New Roman"/>
          <w:sz w:val="24"/>
          <w:szCs w:val="24"/>
        </w:rPr>
        <w:t xml:space="preserve"> </w:t>
      </w:r>
      <w:r>
        <w:rPr>
          <w:rFonts w:ascii="Times New Roman" w:hAnsi="Times New Roman"/>
          <w:sz w:val="24"/>
          <w:szCs w:val="24"/>
        </w:rPr>
        <w:t>(Citations omitted.)  (Emphasis added.)</w:t>
      </w:r>
    </w:p>
    <w:p w14:paraId="6FE6F43C" w14:textId="77777777" w:rsidR="005F1D1B" w:rsidRPr="005F1D1B" w:rsidRDefault="005F1D1B" w:rsidP="005F1D1B">
      <w:pPr>
        <w:pStyle w:val="BodyText"/>
        <w:spacing w:after="0"/>
        <w:ind w:left="720"/>
        <w:jc w:val="both"/>
        <w:rPr>
          <w:rFonts w:ascii="Times New Roman" w:hAnsi="Times New Roman"/>
          <w:sz w:val="24"/>
          <w:szCs w:val="24"/>
        </w:rPr>
      </w:pPr>
    </w:p>
    <w:p w14:paraId="7D3F79E0" w14:textId="77777777" w:rsidR="00F64E7C" w:rsidRDefault="00F64E7C" w:rsidP="00F64E7C">
      <w:pPr>
        <w:spacing w:line="480" w:lineRule="auto"/>
        <w:contextualSpacing/>
        <w:jc w:val="both"/>
        <w:rPr>
          <w:rFonts w:ascii="Times New Roman" w:hAnsi="Times New Roman"/>
          <w:bCs/>
          <w:sz w:val="24"/>
          <w:szCs w:val="24"/>
        </w:rPr>
      </w:pPr>
      <w:r>
        <w:rPr>
          <w:rFonts w:ascii="Times New Roman" w:hAnsi="Times New Roman"/>
          <w:bCs/>
          <w:sz w:val="24"/>
          <w:szCs w:val="24"/>
        </w:rPr>
        <w:t xml:space="preserve">The </w:t>
      </w:r>
      <w:r w:rsidRPr="00F43584">
        <w:rPr>
          <w:rFonts w:ascii="Times New Roman" w:hAnsi="Times New Roman"/>
          <w:bCs/>
          <w:i/>
          <w:iCs/>
          <w:sz w:val="24"/>
          <w:szCs w:val="24"/>
        </w:rPr>
        <w:t>Stringfellow</w:t>
      </w:r>
      <w:r>
        <w:rPr>
          <w:rFonts w:ascii="Times New Roman" w:hAnsi="Times New Roman"/>
          <w:bCs/>
          <w:sz w:val="24"/>
          <w:szCs w:val="24"/>
        </w:rPr>
        <w:t xml:space="preserve"> court acknowledged the Sixth Circuit’s decision in </w:t>
      </w:r>
      <w:r w:rsidRPr="00F43584">
        <w:rPr>
          <w:rFonts w:ascii="Times New Roman" w:hAnsi="Times New Roman"/>
          <w:bCs/>
          <w:i/>
          <w:iCs/>
          <w:sz w:val="24"/>
          <w:szCs w:val="24"/>
        </w:rPr>
        <w:t>Metropolitan</w:t>
      </w:r>
      <w:r>
        <w:rPr>
          <w:rFonts w:ascii="Times New Roman" w:hAnsi="Times New Roman"/>
          <w:bCs/>
          <w:sz w:val="24"/>
          <w:szCs w:val="24"/>
        </w:rPr>
        <w:t>, stating:</w:t>
      </w:r>
    </w:p>
    <w:p w14:paraId="2EB94AAB" w14:textId="36BD96B3" w:rsidR="00F64E7C" w:rsidRDefault="00F64E7C" w:rsidP="005F1D1B">
      <w:pPr>
        <w:pStyle w:val="BodyText"/>
        <w:spacing w:after="0"/>
        <w:ind w:left="720"/>
        <w:jc w:val="both"/>
        <w:rPr>
          <w:rFonts w:ascii="Times New Roman" w:hAnsi="Times New Roman"/>
          <w:sz w:val="24"/>
          <w:szCs w:val="24"/>
        </w:rPr>
      </w:pPr>
      <w:r w:rsidRPr="00CB4035">
        <w:rPr>
          <w:rFonts w:ascii="Times New Roman" w:hAnsi="Times New Roman"/>
          <w:sz w:val="24"/>
          <w:szCs w:val="24"/>
        </w:rPr>
        <w:t xml:space="preserve">Notably, the Sixth Circuit has examined this same rule and concluded that the 2005 Final Rule “appears to be the result of a reasoned deliberative process, reflecting HHS’s experience in case-by-case administrative adjudications and in federal-court litigation, and its benefitting from stakeholder input through notice-and-comment </w:t>
      </w:r>
      <w:r w:rsidRPr="00CB4035">
        <w:rPr>
          <w:rFonts w:ascii="Times New Roman" w:hAnsi="Times New Roman"/>
          <w:sz w:val="24"/>
          <w:szCs w:val="24"/>
        </w:rPr>
        <w:lastRenderedPageBreak/>
        <w:t>rulemaking.</w:t>
      </w:r>
      <w:r>
        <w:rPr>
          <w:rFonts w:ascii="Times New Roman" w:hAnsi="Times New Roman"/>
          <w:sz w:val="24"/>
          <w:szCs w:val="24"/>
        </w:rPr>
        <w:t xml:space="preserve">  </w:t>
      </w:r>
      <w:r w:rsidRPr="00CB4035">
        <w:rPr>
          <w:rFonts w:ascii="Times New Roman" w:hAnsi="Times New Roman"/>
          <w:sz w:val="24"/>
          <w:szCs w:val="24"/>
        </w:rPr>
        <w:t xml:space="preserve">In </w:t>
      </w:r>
      <w:r w:rsidRPr="00CB4035">
        <w:rPr>
          <w:rFonts w:ascii="Times New Roman" w:hAnsi="Times New Roman"/>
          <w:i/>
          <w:sz w:val="24"/>
          <w:szCs w:val="24"/>
        </w:rPr>
        <w:t>Metropolitan Hospital</w:t>
      </w:r>
      <w:r w:rsidRPr="00CB4035">
        <w:rPr>
          <w:rFonts w:ascii="Times New Roman" w:hAnsi="Times New Roman"/>
          <w:sz w:val="24"/>
          <w:szCs w:val="24"/>
        </w:rPr>
        <w:t xml:space="preserve">, the Sixth Circuit addressed whether the interpretation set forth in the 2005 Final Rule was entitled to </w:t>
      </w:r>
      <w:r w:rsidRPr="00CB4035">
        <w:rPr>
          <w:rFonts w:ascii="Times New Roman" w:hAnsi="Times New Roman"/>
          <w:i/>
          <w:sz w:val="24"/>
          <w:szCs w:val="24"/>
        </w:rPr>
        <w:t xml:space="preserve">Chevron </w:t>
      </w:r>
      <w:r w:rsidRPr="00CB4035">
        <w:rPr>
          <w:rFonts w:ascii="Times New Roman" w:hAnsi="Times New Roman"/>
          <w:sz w:val="24"/>
          <w:szCs w:val="24"/>
        </w:rPr>
        <w:t xml:space="preserve">deference, concluding that “the rulemaking process was not arbitrary and that the resulting regulation is a permissible construction of the DPP provision that warrants judicial deference under </w:t>
      </w:r>
      <w:r w:rsidRPr="00CB4035">
        <w:rPr>
          <w:rFonts w:ascii="Times New Roman" w:hAnsi="Times New Roman"/>
          <w:i/>
          <w:sz w:val="24"/>
          <w:szCs w:val="24"/>
        </w:rPr>
        <w:t>Chevron</w:t>
      </w:r>
      <w:r w:rsidRPr="00CB4035">
        <w:rPr>
          <w:rFonts w:ascii="Times New Roman" w:hAnsi="Times New Roman"/>
          <w:sz w:val="24"/>
          <w:szCs w:val="24"/>
        </w:rPr>
        <w:t>.” The Sixth Circuit noted that the Secretary had “appropriately considered the</w:t>
      </w:r>
      <w:r>
        <w:rPr>
          <w:rFonts w:ascii="Times New Roman" w:hAnsi="Times New Roman"/>
          <w:sz w:val="24"/>
          <w:szCs w:val="24"/>
        </w:rPr>
        <w:t xml:space="preserve"> </w:t>
      </w:r>
      <w:r w:rsidRPr="00CB4035">
        <w:rPr>
          <w:rFonts w:ascii="Times New Roman" w:hAnsi="Times New Roman"/>
          <w:sz w:val="24"/>
          <w:szCs w:val="24"/>
        </w:rPr>
        <w:t>[ ] comments” without “blindly accept[ing] them as true,” had “recognized th[e] inconsistency” in his prior interpretations of the phrase “entitled to benefits under [Medicare] part A,” and had adopted the interpretation that would “facilitate consistent handling of these days across all hospitals</w:t>
      </w:r>
      <w:r>
        <w:rPr>
          <w:rFonts w:ascii="Times New Roman" w:hAnsi="Times New Roman"/>
          <w:sz w:val="24"/>
          <w:szCs w:val="24"/>
        </w:rPr>
        <w:t>.</w:t>
      </w:r>
      <w:r w:rsidRPr="00CB4035">
        <w:rPr>
          <w:rFonts w:ascii="Times New Roman" w:hAnsi="Times New Roman"/>
          <w:sz w:val="24"/>
          <w:szCs w:val="24"/>
        </w:rPr>
        <w:t>” The court thus concluded that the 2005 Final Rule was “the product of a reasoned analysis” rather than “an ad hoc determination meant to unduly restrict DSH adjustments.” Although not binding on this Court, the Sixth Circuit’s reasoning is persuasive, lending strength to the defendant’s argument that the 2005 Final Rule was the product of reasoned decision</w:t>
      </w:r>
      <w:r>
        <w:rPr>
          <w:rFonts w:ascii="Times New Roman" w:hAnsi="Times New Roman"/>
          <w:sz w:val="24"/>
          <w:szCs w:val="24"/>
        </w:rPr>
        <w:t xml:space="preserve"> </w:t>
      </w:r>
      <w:r w:rsidRPr="00CB4035">
        <w:rPr>
          <w:rFonts w:ascii="Times New Roman" w:hAnsi="Times New Roman"/>
          <w:sz w:val="24"/>
          <w:szCs w:val="24"/>
        </w:rPr>
        <w:t>making.</w:t>
      </w:r>
      <w:r w:rsidR="00837483">
        <w:rPr>
          <w:rStyle w:val="FootnoteReference"/>
          <w:rFonts w:ascii="Times New Roman" w:hAnsi="Times New Roman"/>
          <w:sz w:val="24"/>
          <w:szCs w:val="24"/>
        </w:rPr>
        <w:footnoteReference w:id="20"/>
      </w:r>
      <w:r>
        <w:rPr>
          <w:rFonts w:ascii="Times New Roman" w:hAnsi="Times New Roman"/>
          <w:sz w:val="24"/>
          <w:szCs w:val="24"/>
        </w:rPr>
        <w:t xml:space="preserve">  (Citations omitted.)</w:t>
      </w:r>
    </w:p>
    <w:p w14:paraId="224B2A32" w14:textId="77777777" w:rsidR="005F1D1B" w:rsidRPr="005F1D1B" w:rsidRDefault="005F1D1B" w:rsidP="005F1D1B">
      <w:pPr>
        <w:pStyle w:val="BodyText"/>
        <w:spacing w:after="0"/>
        <w:ind w:left="720"/>
        <w:jc w:val="both"/>
        <w:rPr>
          <w:rFonts w:ascii="Times New Roman" w:hAnsi="Times New Roman"/>
          <w:sz w:val="24"/>
          <w:szCs w:val="24"/>
        </w:rPr>
      </w:pPr>
    </w:p>
    <w:p w14:paraId="15723F7E" w14:textId="77777777" w:rsidR="00F64E7C" w:rsidRDefault="00F64E7C" w:rsidP="00F64E7C">
      <w:pPr>
        <w:spacing w:line="480" w:lineRule="auto"/>
        <w:contextualSpacing/>
        <w:jc w:val="both"/>
        <w:rPr>
          <w:rFonts w:ascii="Times New Roman" w:hAnsi="Times New Roman"/>
          <w:bCs/>
          <w:sz w:val="24"/>
          <w:szCs w:val="24"/>
        </w:rPr>
      </w:pPr>
      <w:r>
        <w:rPr>
          <w:rFonts w:ascii="Times New Roman" w:hAnsi="Times New Roman"/>
          <w:bCs/>
          <w:sz w:val="24"/>
          <w:szCs w:val="24"/>
        </w:rPr>
        <w:t xml:space="preserve">Taken together, the D.C. Circuit’s decision in </w:t>
      </w:r>
      <w:r w:rsidRPr="00CB4035">
        <w:rPr>
          <w:rFonts w:ascii="Times New Roman" w:hAnsi="Times New Roman"/>
          <w:bCs/>
          <w:i/>
          <w:iCs/>
          <w:sz w:val="24"/>
          <w:szCs w:val="24"/>
        </w:rPr>
        <w:t>Stringfellow</w:t>
      </w:r>
      <w:r>
        <w:rPr>
          <w:rFonts w:ascii="Times New Roman" w:hAnsi="Times New Roman"/>
          <w:bCs/>
          <w:sz w:val="24"/>
          <w:szCs w:val="24"/>
        </w:rPr>
        <w:t xml:space="preserve"> and the Sixth Circuit’s decision in </w:t>
      </w:r>
      <w:r w:rsidRPr="00CB4035">
        <w:rPr>
          <w:rFonts w:ascii="Times New Roman" w:hAnsi="Times New Roman"/>
          <w:bCs/>
          <w:i/>
          <w:iCs/>
          <w:sz w:val="24"/>
          <w:szCs w:val="24"/>
        </w:rPr>
        <w:t>Metropolitan</w:t>
      </w:r>
      <w:r>
        <w:rPr>
          <w:rFonts w:ascii="Times New Roman" w:hAnsi="Times New Roman"/>
          <w:bCs/>
          <w:sz w:val="24"/>
          <w:szCs w:val="24"/>
        </w:rPr>
        <w:t xml:space="preserve"> clearly show that the Secretary’s 2005 Final Rule was substantively valid.</w:t>
      </w:r>
    </w:p>
    <w:p w14:paraId="5AFA6F2E" w14:textId="77777777" w:rsidR="00F64E7C" w:rsidRDefault="00F64E7C" w:rsidP="00F64E7C">
      <w:pPr>
        <w:autoSpaceDE w:val="0"/>
        <w:autoSpaceDN w:val="0"/>
        <w:adjustRightInd w:val="0"/>
        <w:spacing w:line="480" w:lineRule="auto"/>
        <w:jc w:val="both"/>
        <w:rPr>
          <w:rFonts w:ascii="Times New Roman" w:hAnsi="Times New Roman"/>
          <w:sz w:val="24"/>
          <w:szCs w:val="24"/>
        </w:rPr>
      </w:pPr>
    </w:p>
    <w:p w14:paraId="54883092" w14:textId="77777777" w:rsidR="00F64E7C" w:rsidRDefault="00F64E7C" w:rsidP="00F64E7C">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The </w:t>
      </w:r>
      <w:r w:rsidRPr="00E278CF">
        <w:rPr>
          <w:rFonts w:ascii="Times New Roman" w:hAnsi="Times New Roman"/>
          <w:i/>
          <w:iCs/>
          <w:sz w:val="24"/>
          <w:szCs w:val="24"/>
        </w:rPr>
        <w:t>Metropolitan</w:t>
      </w:r>
      <w:r>
        <w:rPr>
          <w:rFonts w:ascii="Times New Roman" w:hAnsi="Times New Roman"/>
          <w:sz w:val="24"/>
          <w:szCs w:val="24"/>
        </w:rPr>
        <w:t xml:space="preserve"> court addressed the Provider’s argument that the Secretary implemented inconsistent interpretation of the phrase “entitled to benefits under part A, stating:</w:t>
      </w:r>
    </w:p>
    <w:p w14:paraId="07BC2A5B" w14:textId="77777777" w:rsidR="00F64E7C" w:rsidRPr="00E278CF" w:rsidRDefault="00F64E7C" w:rsidP="00F64E7C">
      <w:pPr>
        <w:pStyle w:val="BodyText"/>
        <w:spacing w:after="0"/>
        <w:ind w:left="720"/>
        <w:jc w:val="both"/>
        <w:rPr>
          <w:rFonts w:ascii="Times New Roman" w:hAnsi="Times New Roman"/>
          <w:sz w:val="24"/>
          <w:szCs w:val="24"/>
        </w:rPr>
      </w:pPr>
      <w:r w:rsidRPr="007C14B3">
        <w:rPr>
          <w:rFonts w:ascii="Times New Roman" w:hAnsi="Times New Roman"/>
          <w:b/>
          <w:bCs/>
          <w:sz w:val="24"/>
          <w:szCs w:val="24"/>
        </w:rPr>
        <w:t>[N]othing</w:t>
      </w:r>
      <w:r w:rsidRPr="007C14B3">
        <w:rPr>
          <w:rFonts w:ascii="Times New Roman" w:hAnsi="Times New Roman"/>
          <w:b/>
          <w:bCs/>
          <w:spacing w:val="-12"/>
          <w:sz w:val="24"/>
          <w:szCs w:val="24"/>
        </w:rPr>
        <w:t xml:space="preserve"> </w:t>
      </w:r>
      <w:r w:rsidRPr="007C14B3">
        <w:rPr>
          <w:rFonts w:ascii="Times New Roman" w:hAnsi="Times New Roman"/>
          <w:b/>
          <w:bCs/>
          <w:sz w:val="24"/>
          <w:szCs w:val="24"/>
        </w:rPr>
        <w:t>in</w:t>
      </w:r>
      <w:r w:rsidRPr="007C14B3">
        <w:rPr>
          <w:rFonts w:ascii="Times New Roman" w:hAnsi="Times New Roman"/>
          <w:b/>
          <w:bCs/>
          <w:spacing w:val="-12"/>
          <w:sz w:val="24"/>
          <w:szCs w:val="24"/>
        </w:rPr>
        <w:t xml:space="preserve"> </w:t>
      </w:r>
      <w:r w:rsidRPr="007C14B3">
        <w:rPr>
          <w:rFonts w:ascii="Times New Roman" w:hAnsi="Times New Roman"/>
          <w:b/>
          <w:bCs/>
          <w:sz w:val="24"/>
          <w:szCs w:val="24"/>
        </w:rPr>
        <w:t>the</w:t>
      </w:r>
      <w:r w:rsidRPr="007C14B3">
        <w:rPr>
          <w:rFonts w:ascii="Times New Roman" w:hAnsi="Times New Roman"/>
          <w:b/>
          <w:bCs/>
          <w:spacing w:val="-12"/>
          <w:sz w:val="24"/>
          <w:szCs w:val="24"/>
        </w:rPr>
        <w:t xml:space="preserve"> </w:t>
      </w:r>
      <w:r w:rsidRPr="007C14B3">
        <w:rPr>
          <w:rFonts w:ascii="Times New Roman" w:hAnsi="Times New Roman"/>
          <w:b/>
          <w:bCs/>
          <w:sz w:val="24"/>
          <w:szCs w:val="24"/>
        </w:rPr>
        <w:t>language</w:t>
      </w:r>
      <w:r w:rsidRPr="007C14B3">
        <w:rPr>
          <w:rFonts w:ascii="Times New Roman" w:hAnsi="Times New Roman"/>
          <w:b/>
          <w:bCs/>
          <w:spacing w:val="-12"/>
          <w:sz w:val="24"/>
          <w:szCs w:val="24"/>
        </w:rPr>
        <w:t xml:space="preserve"> </w:t>
      </w:r>
      <w:r w:rsidRPr="007C14B3">
        <w:rPr>
          <w:rFonts w:ascii="Times New Roman" w:hAnsi="Times New Roman"/>
          <w:b/>
          <w:bCs/>
          <w:sz w:val="24"/>
          <w:szCs w:val="24"/>
        </w:rPr>
        <w:t>or</w:t>
      </w:r>
      <w:r w:rsidRPr="007C14B3">
        <w:rPr>
          <w:rFonts w:ascii="Times New Roman" w:hAnsi="Times New Roman"/>
          <w:b/>
          <w:bCs/>
          <w:spacing w:val="-12"/>
          <w:sz w:val="24"/>
          <w:szCs w:val="24"/>
        </w:rPr>
        <w:t xml:space="preserve"> </w:t>
      </w:r>
      <w:r w:rsidRPr="007C14B3">
        <w:rPr>
          <w:rFonts w:ascii="Times New Roman" w:hAnsi="Times New Roman"/>
          <w:b/>
          <w:bCs/>
          <w:sz w:val="24"/>
          <w:szCs w:val="24"/>
        </w:rPr>
        <w:t>structure of</w:t>
      </w:r>
      <w:r w:rsidRPr="007C14B3">
        <w:rPr>
          <w:rFonts w:ascii="Times New Roman" w:hAnsi="Times New Roman"/>
          <w:b/>
          <w:bCs/>
          <w:spacing w:val="-11"/>
          <w:sz w:val="24"/>
          <w:szCs w:val="24"/>
        </w:rPr>
        <w:t xml:space="preserve"> </w:t>
      </w:r>
      <w:r w:rsidRPr="007C14B3">
        <w:rPr>
          <w:rFonts w:ascii="Times New Roman" w:hAnsi="Times New Roman"/>
          <w:b/>
          <w:bCs/>
          <w:sz w:val="24"/>
          <w:szCs w:val="24"/>
        </w:rPr>
        <w:t>§</w:t>
      </w:r>
      <w:r w:rsidRPr="007C14B3">
        <w:rPr>
          <w:rFonts w:ascii="Times New Roman" w:hAnsi="Times New Roman"/>
          <w:b/>
          <w:bCs/>
          <w:spacing w:val="-10"/>
          <w:sz w:val="24"/>
          <w:szCs w:val="24"/>
        </w:rPr>
        <w:t xml:space="preserve"> </w:t>
      </w:r>
      <w:r w:rsidRPr="007C14B3">
        <w:rPr>
          <w:rFonts w:ascii="Times New Roman" w:hAnsi="Times New Roman"/>
          <w:b/>
          <w:bCs/>
          <w:sz w:val="24"/>
          <w:szCs w:val="24"/>
        </w:rPr>
        <w:t>1395ww</w:t>
      </w:r>
      <w:r w:rsidRPr="007C14B3">
        <w:rPr>
          <w:rFonts w:ascii="Times New Roman" w:hAnsi="Times New Roman"/>
          <w:b/>
          <w:bCs/>
          <w:spacing w:val="-10"/>
          <w:sz w:val="24"/>
          <w:szCs w:val="24"/>
        </w:rPr>
        <w:t xml:space="preserve"> </w:t>
      </w:r>
      <w:r w:rsidRPr="007C14B3">
        <w:rPr>
          <w:rFonts w:ascii="Times New Roman" w:hAnsi="Times New Roman"/>
          <w:b/>
          <w:bCs/>
          <w:sz w:val="24"/>
          <w:szCs w:val="24"/>
        </w:rPr>
        <w:t>suggests</w:t>
      </w:r>
      <w:r w:rsidRPr="007C14B3">
        <w:rPr>
          <w:rFonts w:ascii="Times New Roman" w:hAnsi="Times New Roman"/>
          <w:b/>
          <w:bCs/>
          <w:spacing w:val="-10"/>
          <w:sz w:val="24"/>
          <w:szCs w:val="24"/>
        </w:rPr>
        <w:t xml:space="preserve"> </w:t>
      </w:r>
      <w:r w:rsidRPr="007C14B3">
        <w:rPr>
          <w:rFonts w:ascii="Times New Roman" w:hAnsi="Times New Roman"/>
          <w:b/>
          <w:bCs/>
          <w:sz w:val="24"/>
          <w:szCs w:val="24"/>
        </w:rPr>
        <w:t>that</w:t>
      </w:r>
      <w:r w:rsidRPr="007C14B3">
        <w:rPr>
          <w:rFonts w:ascii="Times New Roman" w:hAnsi="Times New Roman"/>
          <w:b/>
          <w:bCs/>
          <w:spacing w:val="-10"/>
          <w:sz w:val="24"/>
          <w:szCs w:val="24"/>
        </w:rPr>
        <w:t xml:space="preserve"> </w:t>
      </w:r>
      <w:r w:rsidRPr="007C14B3">
        <w:rPr>
          <w:rFonts w:ascii="Times New Roman" w:hAnsi="Times New Roman"/>
          <w:b/>
          <w:bCs/>
          <w:sz w:val="24"/>
          <w:szCs w:val="24"/>
        </w:rPr>
        <w:t>the</w:t>
      </w:r>
      <w:r w:rsidRPr="007C14B3">
        <w:rPr>
          <w:rFonts w:ascii="Times New Roman" w:hAnsi="Times New Roman"/>
          <w:b/>
          <w:bCs/>
          <w:spacing w:val="-10"/>
          <w:sz w:val="24"/>
          <w:szCs w:val="24"/>
        </w:rPr>
        <w:t xml:space="preserve"> </w:t>
      </w:r>
      <w:r w:rsidRPr="007C14B3">
        <w:rPr>
          <w:rFonts w:ascii="Times New Roman" w:hAnsi="Times New Roman"/>
          <w:b/>
          <w:bCs/>
          <w:sz w:val="24"/>
          <w:szCs w:val="24"/>
        </w:rPr>
        <w:t>use</w:t>
      </w:r>
      <w:r w:rsidRPr="007C14B3">
        <w:rPr>
          <w:rFonts w:ascii="Times New Roman" w:hAnsi="Times New Roman"/>
          <w:b/>
          <w:bCs/>
          <w:spacing w:val="-10"/>
          <w:sz w:val="24"/>
          <w:szCs w:val="24"/>
        </w:rPr>
        <w:t xml:space="preserve"> </w:t>
      </w:r>
      <w:r w:rsidRPr="007C14B3">
        <w:rPr>
          <w:rFonts w:ascii="Times New Roman" w:hAnsi="Times New Roman"/>
          <w:b/>
          <w:bCs/>
          <w:sz w:val="24"/>
          <w:szCs w:val="24"/>
        </w:rPr>
        <w:t>of</w:t>
      </w:r>
      <w:r w:rsidRPr="007C14B3">
        <w:rPr>
          <w:rFonts w:ascii="Times New Roman" w:hAnsi="Times New Roman"/>
          <w:b/>
          <w:bCs/>
          <w:spacing w:val="-10"/>
          <w:sz w:val="24"/>
          <w:szCs w:val="24"/>
        </w:rPr>
        <w:t xml:space="preserve"> </w:t>
      </w:r>
      <w:r w:rsidRPr="007C14B3">
        <w:rPr>
          <w:rFonts w:ascii="Times New Roman" w:hAnsi="Times New Roman"/>
          <w:b/>
          <w:bCs/>
          <w:sz w:val="24"/>
          <w:szCs w:val="24"/>
        </w:rPr>
        <w:t>the</w:t>
      </w:r>
      <w:r w:rsidRPr="007C14B3">
        <w:rPr>
          <w:rFonts w:ascii="Times New Roman" w:hAnsi="Times New Roman"/>
          <w:b/>
          <w:bCs/>
          <w:spacing w:val="-10"/>
          <w:sz w:val="24"/>
          <w:szCs w:val="24"/>
        </w:rPr>
        <w:t xml:space="preserve"> </w:t>
      </w:r>
      <w:r w:rsidRPr="007C14B3">
        <w:rPr>
          <w:rFonts w:ascii="Times New Roman" w:hAnsi="Times New Roman"/>
          <w:b/>
          <w:bCs/>
          <w:sz w:val="24"/>
          <w:szCs w:val="24"/>
        </w:rPr>
        <w:t>phrase</w:t>
      </w:r>
      <w:r w:rsidRPr="007C14B3">
        <w:rPr>
          <w:rFonts w:ascii="Times New Roman" w:hAnsi="Times New Roman"/>
          <w:b/>
          <w:bCs/>
          <w:spacing w:val="-10"/>
          <w:sz w:val="24"/>
          <w:szCs w:val="24"/>
        </w:rPr>
        <w:t xml:space="preserve"> </w:t>
      </w:r>
      <w:r w:rsidRPr="007C14B3">
        <w:rPr>
          <w:rFonts w:ascii="Times New Roman" w:hAnsi="Times New Roman"/>
          <w:b/>
          <w:bCs/>
          <w:sz w:val="24"/>
          <w:szCs w:val="24"/>
        </w:rPr>
        <w:t>in</w:t>
      </w:r>
      <w:r w:rsidRPr="007C14B3">
        <w:rPr>
          <w:rFonts w:ascii="Times New Roman" w:hAnsi="Times New Roman"/>
          <w:b/>
          <w:bCs/>
          <w:spacing w:val="-10"/>
          <w:sz w:val="24"/>
          <w:szCs w:val="24"/>
        </w:rPr>
        <w:t xml:space="preserve"> </w:t>
      </w:r>
      <w:r w:rsidRPr="007C14B3">
        <w:rPr>
          <w:rFonts w:ascii="Times New Roman" w:hAnsi="Times New Roman"/>
          <w:b/>
          <w:bCs/>
          <w:sz w:val="24"/>
          <w:szCs w:val="24"/>
        </w:rPr>
        <w:t>the</w:t>
      </w:r>
      <w:r w:rsidRPr="007C14B3">
        <w:rPr>
          <w:rFonts w:ascii="Times New Roman" w:hAnsi="Times New Roman"/>
          <w:b/>
          <w:bCs/>
          <w:spacing w:val="-10"/>
          <w:sz w:val="24"/>
          <w:szCs w:val="24"/>
        </w:rPr>
        <w:t xml:space="preserve"> </w:t>
      </w:r>
      <w:r w:rsidRPr="007C14B3">
        <w:rPr>
          <w:rFonts w:ascii="Times New Roman" w:hAnsi="Times New Roman"/>
          <w:b/>
          <w:bCs/>
          <w:sz w:val="24"/>
          <w:szCs w:val="24"/>
        </w:rPr>
        <w:t>DPP</w:t>
      </w:r>
      <w:r w:rsidRPr="007C14B3">
        <w:rPr>
          <w:rFonts w:ascii="Times New Roman" w:hAnsi="Times New Roman"/>
          <w:b/>
          <w:bCs/>
          <w:spacing w:val="-10"/>
          <w:sz w:val="24"/>
          <w:szCs w:val="24"/>
        </w:rPr>
        <w:t xml:space="preserve"> </w:t>
      </w:r>
      <w:r w:rsidRPr="007C14B3">
        <w:rPr>
          <w:rFonts w:ascii="Times New Roman" w:hAnsi="Times New Roman"/>
          <w:b/>
          <w:bCs/>
          <w:sz w:val="24"/>
          <w:szCs w:val="24"/>
        </w:rPr>
        <w:t>provision</w:t>
      </w:r>
      <w:r w:rsidRPr="007C14B3">
        <w:rPr>
          <w:rFonts w:ascii="Times New Roman" w:hAnsi="Times New Roman"/>
          <w:b/>
          <w:bCs/>
          <w:spacing w:val="-10"/>
          <w:sz w:val="24"/>
          <w:szCs w:val="24"/>
        </w:rPr>
        <w:t xml:space="preserve"> </w:t>
      </w:r>
      <w:r w:rsidRPr="007C14B3">
        <w:rPr>
          <w:rFonts w:ascii="Times New Roman" w:hAnsi="Times New Roman"/>
          <w:b/>
          <w:bCs/>
          <w:sz w:val="24"/>
          <w:szCs w:val="24"/>
        </w:rPr>
        <w:t>should</w:t>
      </w:r>
      <w:r w:rsidRPr="007C14B3">
        <w:rPr>
          <w:rFonts w:ascii="Times New Roman" w:hAnsi="Times New Roman"/>
          <w:b/>
          <w:bCs/>
          <w:spacing w:val="-10"/>
          <w:sz w:val="24"/>
          <w:szCs w:val="24"/>
        </w:rPr>
        <w:t xml:space="preserve"> </w:t>
      </w:r>
      <w:r w:rsidRPr="007C14B3">
        <w:rPr>
          <w:rFonts w:ascii="Times New Roman" w:hAnsi="Times New Roman"/>
          <w:b/>
          <w:bCs/>
          <w:sz w:val="24"/>
          <w:szCs w:val="24"/>
        </w:rPr>
        <w:t>dictate</w:t>
      </w:r>
      <w:r w:rsidRPr="007C14B3">
        <w:rPr>
          <w:rFonts w:ascii="Times New Roman" w:hAnsi="Times New Roman"/>
          <w:b/>
          <w:bCs/>
          <w:spacing w:val="-10"/>
          <w:sz w:val="24"/>
          <w:szCs w:val="24"/>
        </w:rPr>
        <w:t xml:space="preserve"> </w:t>
      </w:r>
      <w:r w:rsidRPr="007C14B3">
        <w:rPr>
          <w:rFonts w:ascii="Times New Roman" w:hAnsi="Times New Roman"/>
          <w:b/>
          <w:bCs/>
          <w:sz w:val="24"/>
          <w:szCs w:val="24"/>
        </w:rPr>
        <w:t>the meaning of that same phrase elsewhere in the statute.</w:t>
      </w:r>
      <w:r w:rsidRPr="00E278CF">
        <w:rPr>
          <w:rFonts w:ascii="Times New Roman" w:hAnsi="Times New Roman"/>
          <w:sz w:val="24"/>
          <w:szCs w:val="24"/>
        </w:rPr>
        <w:t xml:space="preserve"> Indeed, the DPP provision is</w:t>
      </w:r>
      <w:r w:rsidRPr="00E278CF">
        <w:rPr>
          <w:rFonts w:ascii="Times New Roman" w:hAnsi="Times New Roman"/>
          <w:spacing w:val="-40"/>
          <w:sz w:val="24"/>
          <w:szCs w:val="24"/>
        </w:rPr>
        <w:t xml:space="preserve"> </w:t>
      </w:r>
      <w:r w:rsidRPr="00E278CF">
        <w:rPr>
          <w:rFonts w:ascii="Times New Roman" w:hAnsi="Times New Roman"/>
          <w:sz w:val="24"/>
          <w:szCs w:val="24"/>
        </w:rPr>
        <w:t>not the</w:t>
      </w:r>
      <w:r w:rsidRPr="00E278CF">
        <w:rPr>
          <w:rFonts w:ascii="Times New Roman" w:hAnsi="Times New Roman"/>
          <w:spacing w:val="-7"/>
          <w:sz w:val="24"/>
          <w:szCs w:val="24"/>
        </w:rPr>
        <w:t xml:space="preserve"> </w:t>
      </w:r>
      <w:r w:rsidRPr="00E278CF">
        <w:rPr>
          <w:rFonts w:ascii="Times New Roman" w:hAnsi="Times New Roman"/>
          <w:sz w:val="24"/>
          <w:szCs w:val="24"/>
        </w:rPr>
        <w:t>first</w:t>
      </w:r>
      <w:r w:rsidRPr="00E278CF">
        <w:rPr>
          <w:rFonts w:ascii="Times New Roman" w:hAnsi="Times New Roman"/>
          <w:spacing w:val="-6"/>
          <w:sz w:val="24"/>
          <w:szCs w:val="24"/>
        </w:rPr>
        <w:t xml:space="preserve"> </w:t>
      </w:r>
      <w:r w:rsidRPr="00E278CF">
        <w:rPr>
          <w:rFonts w:ascii="Times New Roman" w:hAnsi="Times New Roman"/>
          <w:sz w:val="24"/>
          <w:szCs w:val="24"/>
        </w:rPr>
        <w:t>place</w:t>
      </w:r>
      <w:r w:rsidRPr="00E278CF">
        <w:rPr>
          <w:rFonts w:ascii="Times New Roman" w:hAnsi="Times New Roman"/>
          <w:spacing w:val="-6"/>
          <w:sz w:val="24"/>
          <w:szCs w:val="24"/>
        </w:rPr>
        <w:t xml:space="preserve"> </w:t>
      </w:r>
      <w:r w:rsidRPr="00E278CF">
        <w:rPr>
          <w:rFonts w:ascii="Times New Roman" w:hAnsi="Times New Roman"/>
          <w:sz w:val="24"/>
          <w:szCs w:val="24"/>
        </w:rPr>
        <w:t>that</w:t>
      </w:r>
      <w:r w:rsidRPr="00E278CF">
        <w:rPr>
          <w:rFonts w:ascii="Times New Roman" w:hAnsi="Times New Roman"/>
          <w:spacing w:val="-6"/>
          <w:sz w:val="24"/>
          <w:szCs w:val="24"/>
        </w:rPr>
        <w:t xml:space="preserve"> </w:t>
      </w:r>
      <w:r w:rsidRPr="00E278CF">
        <w:rPr>
          <w:rFonts w:ascii="Times New Roman" w:hAnsi="Times New Roman"/>
          <w:sz w:val="24"/>
          <w:szCs w:val="24"/>
        </w:rPr>
        <w:t>the</w:t>
      </w:r>
      <w:r w:rsidRPr="00E278CF">
        <w:rPr>
          <w:rFonts w:ascii="Times New Roman" w:hAnsi="Times New Roman"/>
          <w:spacing w:val="-6"/>
          <w:sz w:val="24"/>
          <w:szCs w:val="24"/>
        </w:rPr>
        <w:t xml:space="preserve"> </w:t>
      </w:r>
      <w:r w:rsidRPr="00E278CF">
        <w:rPr>
          <w:rFonts w:ascii="Times New Roman" w:hAnsi="Times New Roman"/>
          <w:sz w:val="24"/>
          <w:szCs w:val="24"/>
        </w:rPr>
        <w:t>phrase</w:t>
      </w:r>
      <w:r w:rsidRPr="00E278CF">
        <w:rPr>
          <w:rFonts w:ascii="Times New Roman" w:hAnsi="Times New Roman"/>
          <w:spacing w:val="-6"/>
          <w:sz w:val="24"/>
          <w:szCs w:val="24"/>
        </w:rPr>
        <w:t xml:space="preserve"> </w:t>
      </w:r>
      <w:r w:rsidRPr="00E278CF">
        <w:rPr>
          <w:rFonts w:ascii="Times New Roman" w:hAnsi="Times New Roman"/>
          <w:sz w:val="24"/>
          <w:szCs w:val="24"/>
        </w:rPr>
        <w:t>appears,</w:t>
      </w:r>
      <w:r w:rsidRPr="00E278CF">
        <w:rPr>
          <w:rFonts w:ascii="Times New Roman" w:hAnsi="Times New Roman"/>
          <w:spacing w:val="-6"/>
          <w:sz w:val="24"/>
          <w:szCs w:val="24"/>
        </w:rPr>
        <w:t xml:space="preserve"> </w:t>
      </w:r>
      <w:r w:rsidRPr="00E278CF">
        <w:rPr>
          <w:rFonts w:ascii="Times New Roman" w:hAnsi="Times New Roman"/>
          <w:sz w:val="24"/>
          <w:szCs w:val="24"/>
        </w:rPr>
        <w:t>nor</w:t>
      </w:r>
      <w:r w:rsidRPr="00E278CF">
        <w:rPr>
          <w:rFonts w:ascii="Times New Roman" w:hAnsi="Times New Roman"/>
          <w:spacing w:val="-7"/>
          <w:sz w:val="24"/>
          <w:szCs w:val="24"/>
        </w:rPr>
        <w:t xml:space="preserve"> </w:t>
      </w:r>
      <w:r w:rsidRPr="00E278CF">
        <w:rPr>
          <w:rFonts w:ascii="Times New Roman" w:hAnsi="Times New Roman"/>
          <w:sz w:val="24"/>
          <w:szCs w:val="24"/>
        </w:rPr>
        <w:t>does</w:t>
      </w:r>
      <w:r w:rsidRPr="00E278CF">
        <w:rPr>
          <w:rFonts w:ascii="Times New Roman" w:hAnsi="Times New Roman"/>
          <w:spacing w:val="-7"/>
          <w:sz w:val="24"/>
          <w:szCs w:val="24"/>
        </w:rPr>
        <w:t xml:space="preserve"> </w:t>
      </w:r>
      <w:r w:rsidRPr="00E278CF">
        <w:rPr>
          <w:rFonts w:ascii="Times New Roman" w:hAnsi="Times New Roman"/>
          <w:sz w:val="24"/>
          <w:szCs w:val="24"/>
        </w:rPr>
        <w:t>the</w:t>
      </w:r>
      <w:r w:rsidRPr="00E278CF">
        <w:rPr>
          <w:rFonts w:ascii="Times New Roman" w:hAnsi="Times New Roman"/>
          <w:spacing w:val="-7"/>
          <w:sz w:val="24"/>
          <w:szCs w:val="24"/>
        </w:rPr>
        <w:t xml:space="preserve"> </w:t>
      </w:r>
      <w:r w:rsidRPr="00E278CF">
        <w:rPr>
          <w:rFonts w:ascii="Times New Roman" w:hAnsi="Times New Roman"/>
          <w:sz w:val="24"/>
          <w:szCs w:val="24"/>
        </w:rPr>
        <w:t>DPP</w:t>
      </w:r>
      <w:r w:rsidRPr="00E278CF">
        <w:rPr>
          <w:rFonts w:ascii="Times New Roman" w:hAnsi="Times New Roman"/>
          <w:spacing w:val="-7"/>
          <w:sz w:val="24"/>
          <w:szCs w:val="24"/>
        </w:rPr>
        <w:t xml:space="preserve"> </w:t>
      </w:r>
      <w:r w:rsidRPr="00E278CF">
        <w:rPr>
          <w:rFonts w:ascii="Times New Roman" w:hAnsi="Times New Roman"/>
          <w:sz w:val="24"/>
          <w:szCs w:val="24"/>
        </w:rPr>
        <w:t>provision</w:t>
      </w:r>
      <w:r w:rsidRPr="00E278CF">
        <w:rPr>
          <w:rFonts w:ascii="Times New Roman" w:hAnsi="Times New Roman"/>
          <w:spacing w:val="-7"/>
          <w:sz w:val="24"/>
          <w:szCs w:val="24"/>
        </w:rPr>
        <w:t xml:space="preserve"> </w:t>
      </w:r>
      <w:r w:rsidRPr="00E278CF">
        <w:rPr>
          <w:rFonts w:ascii="Times New Roman" w:hAnsi="Times New Roman"/>
          <w:sz w:val="24"/>
          <w:szCs w:val="24"/>
        </w:rPr>
        <w:t>purport</w:t>
      </w:r>
      <w:r w:rsidRPr="00E278CF">
        <w:rPr>
          <w:rFonts w:ascii="Times New Roman" w:hAnsi="Times New Roman"/>
          <w:spacing w:val="-7"/>
          <w:sz w:val="24"/>
          <w:szCs w:val="24"/>
        </w:rPr>
        <w:t xml:space="preserve"> </w:t>
      </w:r>
      <w:r w:rsidRPr="00E278CF">
        <w:rPr>
          <w:rFonts w:ascii="Times New Roman" w:hAnsi="Times New Roman"/>
          <w:sz w:val="24"/>
          <w:szCs w:val="24"/>
        </w:rPr>
        <w:t>to</w:t>
      </w:r>
      <w:r w:rsidRPr="00E278CF">
        <w:rPr>
          <w:rFonts w:ascii="Times New Roman" w:hAnsi="Times New Roman"/>
          <w:spacing w:val="-7"/>
          <w:sz w:val="24"/>
          <w:szCs w:val="24"/>
        </w:rPr>
        <w:t xml:space="preserve"> </w:t>
      </w:r>
      <w:r w:rsidRPr="00E278CF">
        <w:rPr>
          <w:rFonts w:ascii="Times New Roman" w:hAnsi="Times New Roman"/>
          <w:sz w:val="24"/>
          <w:szCs w:val="24"/>
        </w:rPr>
        <w:t>define</w:t>
      </w:r>
      <w:r w:rsidRPr="00E278CF">
        <w:rPr>
          <w:rFonts w:ascii="Times New Roman" w:hAnsi="Times New Roman"/>
          <w:spacing w:val="-7"/>
          <w:sz w:val="24"/>
          <w:szCs w:val="24"/>
        </w:rPr>
        <w:t xml:space="preserve"> </w:t>
      </w:r>
      <w:r w:rsidRPr="00E278CF">
        <w:rPr>
          <w:rFonts w:ascii="Times New Roman" w:hAnsi="Times New Roman"/>
          <w:sz w:val="24"/>
          <w:szCs w:val="24"/>
        </w:rPr>
        <w:t>the phrase.</w:t>
      </w:r>
      <w:r w:rsidRPr="00E278CF">
        <w:rPr>
          <w:rFonts w:ascii="Times New Roman" w:hAnsi="Times New Roman"/>
          <w:spacing w:val="23"/>
          <w:sz w:val="24"/>
          <w:szCs w:val="24"/>
        </w:rPr>
        <w:t xml:space="preserve"> </w:t>
      </w:r>
      <w:r w:rsidRPr="00E278CF">
        <w:rPr>
          <w:rFonts w:ascii="Times New Roman" w:hAnsi="Times New Roman"/>
          <w:sz w:val="24"/>
          <w:szCs w:val="24"/>
        </w:rPr>
        <w:t>And</w:t>
      </w:r>
      <w:r w:rsidRPr="00E278CF">
        <w:rPr>
          <w:rFonts w:ascii="Times New Roman" w:hAnsi="Times New Roman"/>
          <w:spacing w:val="-18"/>
          <w:sz w:val="24"/>
          <w:szCs w:val="24"/>
        </w:rPr>
        <w:t xml:space="preserve"> </w:t>
      </w:r>
      <w:r w:rsidRPr="00E278CF">
        <w:rPr>
          <w:rFonts w:ascii="Times New Roman" w:hAnsi="Times New Roman"/>
          <w:sz w:val="24"/>
          <w:szCs w:val="24"/>
        </w:rPr>
        <w:t>applying</w:t>
      </w:r>
      <w:r w:rsidRPr="00E278CF">
        <w:rPr>
          <w:rFonts w:ascii="Times New Roman" w:hAnsi="Times New Roman"/>
          <w:spacing w:val="-18"/>
          <w:sz w:val="24"/>
          <w:szCs w:val="24"/>
        </w:rPr>
        <w:t xml:space="preserve"> </w:t>
      </w:r>
      <w:r w:rsidRPr="00E278CF">
        <w:rPr>
          <w:rFonts w:ascii="Times New Roman" w:hAnsi="Times New Roman"/>
          <w:sz w:val="24"/>
          <w:szCs w:val="24"/>
        </w:rPr>
        <w:t>Metro’s</w:t>
      </w:r>
      <w:r w:rsidRPr="00E278CF">
        <w:rPr>
          <w:rFonts w:ascii="Times New Roman" w:hAnsi="Times New Roman"/>
          <w:spacing w:val="-18"/>
          <w:sz w:val="24"/>
          <w:szCs w:val="24"/>
        </w:rPr>
        <w:t xml:space="preserve"> </w:t>
      </w:r>
      <w:r w:rsidRPr="00E278CF">
        <w:rPr>
          <w:rFonts w:ascii="Times New Roman" w:hAnsi="Times New Roman"/>
          <w:sz w:val="24"/>
          <w:szCs w:val="24"/>
        </w:rPr>
        <w:t>construction</w:t>
      </w:r>
      <w:r w:rsidRPr="00E278CF">
        <w:rPr>
          <w:rFonts w:ascii="Times New Roman" w:hAnsi="Times New Roman"/>
          <w:spacing w:val="-18"/>
          <w:sz w:val="24"/>
          <w:szCs w:val="24"/>
        </w:rPr>
        <w:t xml:space="preserve"> </w:t>
      </w:r>
      <w:r w:rsidRPr="00E278CF">
        <w:rPr>
          <w:rFonts w:ascii="Times New Roman" w:hAnsi="Times New Roman"/>
          <w:sz w:val="24"/>
          <w:szCs w:val="24"/>
        </w:rPr>
        <w:t>of</w:t>
      </w:r>
      <w:r w:rsidRPr="00E278CF">
        <w:rPr>
          <w:rFonts w:ascii="Times New Roman" w:hAnsi="Times New Roman"/>
          <w:spacing w:val="-19"/>
          <w:sz w:val="24"/>
          <w:szCs w:val="24"/>
        </w:rPr>
        <w:t xml:space="preserve"> </w:t>
      </w:r>
      <w:r w:rsidRPr="00E278CF">
        <w:rPr>
          <w:rFonts w:ascii="Times New Roman" w:hAnsi="Times New Roman"/>
          <w:sz w:val="24"/>
          <w:szCs w:val="24"/>
        </w:rPr>
        <w:t>the</w:t>
      </w:r>
      <w:r w:rsidRPr="00E278CF">
        <w:rPr>
          <w:rFonts w:ascii="Times New Roman" w:hAnsi="Times New Roman"/>
          <w:spacing w:val="-18"/>
          <w:sz w:val="24"/>
          <w:szCs w:val="24"/>
        </w:rPr>
        <w:t xml:space="preserve"> </w:t>
      </w:r>
      <w:r w:rsidRPr="00E278CF">
        <w:rPr>
          <w:rFonts w:ascii="Times New Roman" w:hAnsi="Times New Roman"/>
          <w:sz w:val="24"/>
          <w:szCs w:val="24"/>
        </w:rPr>
        <w:t>phrase</w:t>
      </w:r>
      <w:r w:rsidRPr="00E278CF">
        <w:rPr>
          <w:rFonts w:ascii="Times New Roman" w:hAnsi="Times New Roman"/>
          <w:spacing w:val="-18"/>
          <w:sz w:val="24"/>
          <w:szCs w:val="24"/>
        </w:rPr>
        <w:t xml:space="preserve"> </w:t>
      </w:r>
      <w:r w:rsidRPr="00E278CF">
        <w:rPr>
          <w:rFonts w:ascii="Times New Roman" w:hAnsi="Times New Roman"/>
          <w:sz w:val="24"/>
          <w:szCs w:val="24"/>
        </w:rPr>
        <w:t>elsewhere</w:t>
      </w:r>
      <w:r w:rsidRPr="00E278CF">
        <w:rPr>
          <w:rFonts w:ascii="Times New Roman" w:hAnsi="Times New Roman"/>
          <w:spacing w:val="-18"/>
          <w:sz w:val="24"/>
          <w:szCs w:val="24"/>
        </w:rPr>
        <w:t xml:space="preserve"> </w:t>
      </w:r>
      <w:r w:rsidRPr="00E278CF">
        <w:rPr>
          <w:rFonts w:ascii="Times New Roman" w:hAnsi="Times New Roman"/>
          <w:sz w:val="24"/>
          <w:szCs w:val="24"/>
        </w:rPr>
        <w:t>in</w:t>
      </w:r>
      <w:r w:rsidRPr="00E278CF">
        <w:rPr>
          <w:rFonts w:ascii="Times New Roman" w:hAnsi="Times New Roman"/>
          <w:spacing w:val="-18"/>
          <w:sz w:val="24"/>
          <w:szCs w:val="24"/>
        </w:rPr>
        <w:t xml:space="preserve"> </w:t>
      </w:r>
      <w:r w:rsidRPr="00E278CF">
        <w:rPr>
          <w:rFonts w:ascii="Times New Roman" w:hAnsi="Times New Roman"/>
          <w:sz w:val="24"/>
          <w:szCs w:val="24"/>
        </w:rPr>
        <w:t>§</w:t>
      </w:r>
      <w:r w:rsidRPr="00E278CF">
        <w:rPr>
          <w:rFonts w:ascii="Times New Roman" w:hAnsi="Times New Roman"/>
          <w:spacing w:val="-18"/>
          <w:sz w:val="24"/>
          <w:szCs w:val="24"/>
        </w:rPr>
        <w:t xml:space="preserve"> </w:t>
      </w:r>
      <w:r w:rsidRPr="00E278CF">
        <w:rPr>
          <w:rFonts w:ascii="Times New Roman" w:hAnsi="Times New Roman"/>
          <w:sz w:val="24"/>
          <w:szCs w:val="24"/>
        </w:rPr>
        <w:t>1395ww</w:t>
      </w:r>
      <w:r w:rsidRPr="00E278CF">
        <w:rPr>
          <w:rFonts w:ascii="Times New Roman" w:hAnsi="Times New Roman"/>
          <w:spacing w:val="-19"/>
          <w:sz w:val="24"/>
          <w:szCs w:val="24"/>
        </w:rPr>
        <w:t xml:space="preserve"> </w:t>
      </w:r>
      <w:r w:rsidRPr="00E278CF">
        <w:rPr>
          <w:rFonts w:ascii="Times New Roman" w:hAnsi="Times New Roman"/>
          <w:sz w:val="24"/>
          <w:szCs w:val="24"/>
        </w:rPr>
        <w:t>makes little sense substantively.</w:t>
      </w:r>
    </w:p>
    <w:p w14:paraId="58B1AC50" w14:textId="77777777" w:rsidR="00F64E7C" w:rsidRDefault="00F64E7C" w:rsidP="00F64E7C">
      <w:pPr>
        <w:pStyle w:val="BodyText"/>
        <w:spacing w:after="0"/>
        <w:ind w:left="720"/>
        <w:jc w:val="both"/>
        <w:rPr>
          <w:rFonts w:ascii="Times New Roman" w:hAnsi="Times New Roman"/>
          <w:sz w:val="24"/>
          <w:szCs w:val="24"/>
        </w:rPr>
      </w:pPr>
    </w:p>
    <w:p w14:paraId="4AB6A893" w14:textId="5AF1B4F1" w:rsidR="00F64E7C" w:rsidRDefault="00F64E7C" w:rsidP="005F1D1B">
      <w:pPr>
        <w:pStyle w:val="BodyText"/>
        <w:spacing w:after="0"/>
        <w:ind w:left="720"/>
        <w:jc w:val="both"/>
        <w:rPr>
          <w:rFonts w:ascii="Times New Roman" w:hAnsi="Times New Roman"/>
          <w:sz w:val="24"/>
          <w:szCs w:val="24"/>
        </w:rPr>
      </w:pPr>
      <w:r w:rsidRPr="00E278CF">
        <w:rPr>
          <w:rFonts w:ascii="Times New Roman" w:hAnsi="Times New Roman"/>
          <w:sz w:val="24"/>
          <w:szCs w:val="24"/>
        </w:rPr>
        <w:t>For</w:t>
      </w:r>
      <w:r w:rsidRPr="00E278CF">
        <w:rPr>
          <w:rFonts w:ascii="Times New Roman" w:hAnsi="Times New Roman"/>
          <w:spacing w:val="-25"/>
          <w:sz w:val="24"/>
          <w:szCs w:val="24"/>
        </w:rPr>
        <w:t xml:space="preserve"> </w:t>
      </w:r>
      <w:r w:rsidRPr="00E278CF">
        <w:rPr>
          <w:rFonts w:ascii="Times New Roman" w:hAnsi="Times New Roman"/>
          <w:sz w:val="24"/>
          <w:szCs w:val="24"/>
        </w:rPr>
        <w:t>instance,</w:t>
      </w:r>
      <w:r w:rsidRPr="00E278CF">
        <w:rPr>
          <w:rFonts w:ascii="Times New Roman" w:hAnsi="Times New Roman"/>
          <w:spacing w:val="-24"/>
          <w:sz w:val="24"/>
          <w:szCs w:val="24"/>
        </w:rPr>
        <w:t xml:space="preserve"> </w:t>
      </w:r>
      <w:r w:rsidRPr="00E278CF">
        <w:rPr>
          <w:rFonts w:ascii="Times New Roman" w:hAnsi="Times New Roman"/>
          <w:sz w:val="24"/>
          <w:szCs w:val="24"/>
        </w:rPr>
        <w:t>part</w:t>
      </w:r>
      <w:r w:rsidRPr="00E278CF">
        <w:rPr>
          <w:rFonts w:ascii="Times New Roman" w:hAnsi="Times New Roman"/>
          <w:spacing w:val="-25"/>
          <w:sz w:val="24"/>
          <w:szCs w:val="24"/>
        </w:rPr>
        <w:t xml:space="preserve"> </w:t>
      </w:r>
      <w:r w:rsidRPr="00E278CF">
        <w:rPr>
          <w:rFonts w:ascii="Times New Roman" w:hAnsi="Times New Roman"/>
          <w:sz w:val="24"/>
          <w:szCs w:val="24"/>
        </w:rPr>
        <w:t>of</w:t>
      </w:r>
      <w:r w:rsidRPr="00E278CF">
        <w:rPr>
          <w:rFonts w:ascii="Times New Roman" w:hAnsi="Times New Roman"/>
          <w:spacing w:val="-24"/>
          <w:sz w:val="24"/>
          <w:szCs w:val="24"/>
        </w:rPr>
        <w:t xml:space="preserve"> </w:t>
      </w:r>
      <w:r w:rsidRPr="00E278CF">
        <w:rPr>
          <w:rFonts w:ascii="Times New Roman" w:hAnsi="Times New Roman"/>
          <w:sz w:val="24"/>
          <w:szCs w:val="24"/>
        </w:rPr>
        <w:t>the</w:t>
      </w:r>
      <w:r w:rsidRPr="00E278CF">
        <w:rPr>
          <w:rFonts w:ascii="Times New Roman" w:hAnsi="Times New Roman"/>
          <w:spacing w:val="-24"/>
          <w:sz w:val="24"/>
          <w:szCs w:val="24"/>
        </w:rPr>
        <w:t xml:space="preserve"> </w:t>
      </w:r>
      <w:r w:rsidRPr="00E278CF">
        <w:rPr>
          <w:rFonts w:ascii="Times New Roman" w:hAnsi="Times New Roman"/>
          <w:sz w:val="24"/>
          <w:szCs w:val="24"/>
        </w:rPr>
        <w:t>statute’s</w:t>
      </w:r>
      <w:r w:rsidRPr="00E278CF">
        <w:rPr>
          <w:rFonts w:ascii="Times New Roman" w:hAnsi="Times New Roman"/>
          <w:spacing w:val="-25"/>
          <w:sz w:val="24"/>
          <w:szCs w:val="24"/>
        </w:rPr>
        <w:t xml:space="preserve"> </w:t>
      </w:r>
      <w:r w:rsidRPr="00E278CF">
        <w:rPr>
          <w:rFonts w:ascii="Times New Roman" w:hAnsi="Times New Roman"/>
          <w:sz w:val="24"/>
          <w:szCs w:val="24"/>
        </w:rPr>
        <w:t>definition</w:t>
      </w:r>
      <w:r w:rsidRPr="00E278CF">
        <w:rPr>
          <w:rFonts w:ascii="Times New Roman" w:hAnsi="Times New Roman"/>
          <w:spacing w:val="-23"/>
          <w:sz w:val="24"/>
          <w:szCs w:val="24"/>
        </w:rPr>
        <w:t xml:space="preserve"> </w:t>
      </w:r>
      <w:r w:rsidRPr="00E278CF">
        <w:rPr>
          <w:rFonts w:ascii="Times New Roman" w:hAnsi="Times New Roman"/>
          <w:sz w:val="24"/>
          <w:szCs w:val="24"/>
        </w:rPr>
        <w:t>of</w:t>
      </w:r>
      <w:r w:rsidRPr="00E278CF">
        <w:rPr>
          <w:rFonts w:ascii="Times New Roman" w:hAnsi="Times New Roman"/>
          <w:spacing w:val="-24"/>
          <w:sz w:val="24"/>
          <w:szCs w:val="24"/>
        </w:rPr>
        <w:t xml:space="preserve"> </w:t>
      </w:r>
      <w:r w:rsidRPr="00E278CF">
        <w:rPr>
          <w:rFonts w:ascii="Times New Roman" w:hAnsi="Times New Roman"/>
          <w:sz w:val="24"/>
          <w:szCs w:val="24"/>
        </w:rPr>
        <w:t>a</w:t>
      </w:r>
      <w:r w:rsidRPr="00E278CF">
        <w:rPr>
          <w:rFonts w:ascii="Times New Roman" w:hAnsi="Times New Roman"/>
          <w:spacing w:val="-24"/>
          <w:sz w:val="24"/>
          <w:szCs w:val="24"/>
        </w:rPr>
        <w:t xml:space="preserve"> </w:t>
      </w:r>
      <w:r w:rsidRPr="00E278CF">
        <w:rPr>
          <w:rFonts w:ascii="Times New Roman" w:hAnsi="Times New Roman"/>
          <w:sz w:val="24"/>
          <w:szCs w:val="24"/>
        </w:rPr>
        <w:t>“sole</w:t>
      </w:r>
      <w:r w:rsidRPr="00E278CF">
        <w:rPr>
          <w:rFonts w:ascii="Times New Roman" w:hAnsi="Times New Roman"/>
          <w:spacing w:val="-23"/>
          <w:sz w:val="24"/>
          <w:szCs w:val="24"/>
        </w:rPr>
        <w:t xml:space="preserve"> </w:t>
      </w:r>
      <w:r w:rsidRPr="00E278CF">
        <w:rPr>
          <w:rFonts w:ascii="Times New Roman" w:hAnsi="Times New Roman"/>
          <w:sz w:val="24"/>
          <w:szCs w:val="24"/>
        </w:rPr>
        <w:t>community</w:t>
      </w:r>
      <w:r w:rsidRPr="00E278CF">
        <w:rPr>
          <w:rFonts w:ascii="Times New Roman" w:hAnsi="Times New Roman"/>
          <w:spacing w:val="-24"/>
          <w:sz w:val="24"/>
          <w:szCs w:val="24"/>
        </w:rPr>
        <w:t xml:space="preserve"> </w:t>
      </w:r>
      <w:r w:rsidRPr="00E278CF">
        <w:rPr>
          <w:rFonts w:ascii="Times New Roman" w:hAnsi="Times New Roman"/>
          <w:sz w:val="24"/>
          <w:szCs w:val="24"/>
        </w:rPr>
        <w:t>hospital”</w:t>
      </w:r>
      <w:r w:rsidRPr="00E278CF">
        <w:rPr>
          <w:rFonts w:ascii="Times New Roman" w:hAnsi="Times New Roman"/>
          <w:spacing w:val="-23"/>
          <w:sz w:val="24"/>
          <w:szCs w:val="24"/>
        </w:rPr>
        <w:t xml:space="preserve"> </w:t>
      </w:r>
      <w:r w:rsidRPr="00E278CF">
        <w:rPr>
          <w:rFonts w:ascii="Times New Roman" w:hAnsi="Times New Roman"/>
          <w:sz w:val="24"/>
          <w:szCs w:val="24"/>
        </w:rPr>
        <w:t>is</w:t>
      </w:r>
      <w:r w:rsidRPr="00E278CF">
        <w:rPr>
          <w:rFonts w:ascii="Times New Roman" w:hAnsi="Times New Roman"/>
          <w:spacing w:val="-23"/>
          <w:sz w:val="24"/>
          <w:szCs w:val="24"/>
        </w:rPr>
        <w:t xml:space="preserve"> </w:t>
      </w:r>
      <w:r w:rsidRPr="00E278CF">
        <w:rPr>
          <w:rFonts w:ascii="Times New Roman" w:hAnsi="Times New Roman"/>
          <w:sz w:val="24"/>
          <w:szCs w:val="24"/>
        </w:rPr>
        <w:t xml:space="preserve">that such a hospital be the only source of inpatient services reasonably available to individuals “who  </w:t>
      </w:r>
      <w:r w:rsidRPr="00E278CF">
        <w:rPr>
          <w:rFonts w:ascii="Times New Roman" w:hAnsi="Times New Roman"/>
          <w:spacing w:val="12"/>
          <w:sz w:val="24"/>
          <w:szCs w:val="24"/>
        </w:rPr>
        <w:t xml:space="preserve"> </w:t>
      </w:r>
      <w:r w:rsidRPr="00E278CF">
        <w:rPr>
          <w:rFonts w:ascii="Times New Roman" w:hAnsi="Times New Roman"/>
          <w:sz w:val="24"/>
          <w:szCs w:val="24"/>
        </w:rPr>
        <w:t xml:space="preserve">are  </w:t>
      </w:r>
      <w:r w:rsidRPr="00E278CF">
        <w:rPr>
          <w:rFonts w:ascii="Times New Roman" w:hAnsi="Times New Roman"/>
          <w:spacing w:val="12"/>
          <w:sz w:val="24"/>
          <w:szCs w:val="24"/>
        </w:rPr>
        <w:t xml:space="preserve"> </w:t>
      </w:r>
      <w:r w:rsidRPr="00E278CF">
        <w:rPr>
          <w:rFonts w:ascii="Times New Roman" w:hAnsi="Times New Roman"/>
          <w:sz w:val="24"/>
          <w:szCs w:val="24"/>
        </w:rPr>
        <w:t xml:space="preserve">entitled  </w:t>
      </w:r>
      <w:r w:rsidRPr="00E278CF">
        <w:rPr>
          <w:rFonts w:ascii="Times New Roman" w:hAnsi="Times New Roman"/>
          <w:spacing w:val="12"/>
          <w:sz w:val="24"/>
          <w:szCs w:val="24"/>
        </w:rPr>
        <w:t xml:space="preserve"> </w:t>
      </w:r>
      <w:r w:rsidRPr="00E278CF">
        <w:rPr>
          <w:rFonts w:ascii="Times New Roman" w:hAnsi="Times New Roman"/>
          <w:sz w:val="24"/>
          <w:szCs w:val="24"/>
        </w:rPr>
        <w:t xml:space="preserve">to  </w:t>
      </w:r>
      <w:r w:rsidRPr="00E278CF">
        <w:rPr>
          <w:rFonts w:ascii="Times New Roman" w:hAnsi="Times New Roman"/>
          <w:spacing w:val="12"/>
          <w:sz w:val="24"/>
          <w:szCs w:val="24"/>
        </w:rPr>
        <w:t xml:space="preserve"> </w:t>
      </w:r>
      <w:r w:rsidRPr="00E278CF">
        <w:rPr>
          <w:rFonts w:ascii="Times New Roman" w:hAnsi="Times New Roman"/>
          <w:sz w:val="24"/>
          <w:szCs w:val="24"/>
        </w:rPr>
        <w:t xml:space="preserve">benefits  </w:t>
      </w:r>
      <w:r w:rsidRPr="00E278CF">
        <w:rPr>
          <w:rFonts w:ascii="Times New Roman" w:hAnsi="Times New Roman"/>
          <w:spacing w:val="13"/>
          <w:sz w:val="24"/>
          <w:szCs w:val="24"/>
        </w:rPr>
        <w:t xml:space="preserve"> </w:t>
      </w:r>
      <w:r w:rsidRPr="00E278CF">
        <w:rPr>
          <w:rFonts w:ascii="Times New Roman" w:hAnsi="Times New Roman"/>
          <w:sz w:val="24"/>
          <w:szCs w:val="24"/>
        </w:rPr>
        <w:t>under</w:t>
      </w:r>
      <w:r w:rsidRPr="00E278CF">
        <w:rPr>
          <w:rFonts w:ascii="Times New Roman" w:hAnsi="Times New Roman"/>
          <w:spacing w:val="13"/>
          <w:sz w:val="24"/>
          <w:szCs w:val="24"/>
        </w:rPr>
        <w:t xml:space="preserve"> </w:t>
      </w:r>
      <w:r w:rsidRPr="00E278CF">
        <w:rPr>
          <w:rFonts w:ascii="Times New Roman" w:hAnsi="Times New Roman"/>
          <w:sz w:val="24"/>
          <w:szCs w:val="24"/>
        </w:rPr>
        <w:t>[Medicare]</w:t>
      </w:r>
      <w:r w:rsidRPr="00E278CF">
        <w:rPr>
          <w:rFonts w:ascii="Times New Roman" w:hAnsi="Times New Roman"/>
          <w:spacing w:val="13"/>
          <w:sz w:val="24"/>
          <w:szCs w:val="24"/>
        </w:rPr>
        <w:t xml:space="preserve"> </w:t>
      </w:r>
      <w:r w:rsidRPr="00E278CF">
        <w:rPr>
          <w:rFonts w:ascii="Times New Roman" w:hAnsi="Times New Roman"/>
          <w:sz w:val="24"/>
          <w:szCs w:val="24"/>
        </w:rPr>
        <w:t xml:space="preserve">part  </w:t>
      </w:r>
      <w:r w:rsidRPr="00E278CF">
        <w:rPr>
          <w:rFonts w:ascii="Times New Roman" w:hAnsi="Times New Roman"/>
          <w:spacing w:val="14"/>
          <w:sz w:val="24"/>
          <w:szCs w:val="24"/>
        </w:rPr>
        <w:t xml:space="preserve"> </w:t>
      </w:r>
      <w:r w:rsidRPr="00E278CF">
        <w:rPr>
          <w:rFonts w:ascii="Times New Roman" w:hAnsi="Times New Roman"/>
          <w:sz w:val="24"/>
          <w:szCs w:val="24"/>
        </w:rPr>
        <w:t xml:space="preserve">A.”     </w:t>
      </w:r>
      <w:r w:rsidRPr="00E278CF">
        <w:rPr>
          <w:rFonts w:ascii="Times New Roman" w:hAnsi="Times New Roman"/>
          <w:spacing w:val="25"/>
          <w:sz w:val="24"/>
          <w:szCs w:val="24"/>
        </w:rPr>
        <w:t xml:space="preserve"> </w:t>
      </w:r>
      <w:r w:rsidRPr="00E278CF">
        <w:rPr>
          <w:rFonts w:ascii="Times New Roman" w:hAnsi="Times New Roman"/>
          <w:i/>
          <w:sz w:val="24"/>
          <w:szCs w:val="24"/>
        </w:rPr>
        <w:t>Id.</w:t>
      </w:r>
      <w:r>
        <w:rPr>
          <w:rFonts w:ascii="Times New Roman" w:hAnsi="Times New Roman"/>
          <w:i/>
          <w:sz w:val="24"/>
          <w:szCs w:val="24"/>
        </w:rPr>
        <w:t xml:space="preserve"> </w:t>
      </w:r>
      <w:r w:rsidRPr="00E278CF">
        <w:rPr>
          <w:rFonts w:ascii="Times New Roman" w:hAnsi="Times New Roman"/>
          <w:sz w:val="24"/>
          <w:szCs w:val="24"/>
        </w:rPr>
        <w:t xml:space="preserve">§ 1395ww(d)(5)(D)(iii)(II). </w:t>
      </w:r>
      <w:r w:rsidRPr="007C14B3">
        <w:rPr>
          <w:rFonts w:ascii="Times New Roman" w:hAnsi="Times New Roman"/>
          <w:b/>
          <w:bCs/>
          <w:sz w:val="24"/>
          <w:szCs w:val="24"/>
        </w:rPr>
        <w:t>We can perceive of no reason why Congress would</w:t>
      </w:r>
      <w:r w:rsidRPr="007C14B3">
        <w:rPr>
          <w:rFonts w:ascii="Times New Roman" w:hAnsi="Times New Roman"/>
          <w:b/>
          <w:bCs/>
          <w:spacing w:val="-43"/>
          <w:sz w:val="24"/>
          <w:szCs w:val="24"/>
        </w:rPr>
        <w:t xml:space="preserve"> </w:t>
      </w:r>
      <w:r w:rsidRPr="007C14B3">
        <w:rPr>
          <w:rFonts w:ascii="Times New Roman" w:hAnsi="Times New Roman"/>
          <w:b/>
          <w:bCs/>
          <w:sz w:val="24"/>
          <w:szCs w:val="24"/>
        </w:rPr>
        <w:t>intend that a hospital’s status as a sole community hospital depend on that hospital’s accessibility</w:t>
      </w:r>
      <w:r w:rsidRPr="007C14B3">
        <w:rPr>
          <w:rFonts w:ascii="Times New Roman" w:hAnsi="Times New Roman"/>
          <w:b/>
          <w:bCs/>
          <w:spacing w:val="-9"/>
          <w:sz w:val="24"/>
          <w:szCs w:val="24"/>
        </w:rPr>
        <w:t xml:space="preserve"> </w:t>
      </w:r>
      <w:r w:rsidRPr="007C14B3">
        <w:rPr>
          <w:rFonts w:ascii="Times New Roman" w:hAnsi="Times New Roman"/>
          <w:b/>
          <w:bCs/>
          <w:sz w:val="24"/>
          <w:szCs w:val="24"/>
        </w:rPr>
        <w:t>only</w:t>
      </w:r>
      <w:r w:rsidRPr="007C14B3">
        <w:rPr>
          <w:rFonts w:ascii="Times New Roman" w:hAnsi="Times New Roman"/>
          <w:b/>
          <w:bCs/>
          <w:spacing w:val="-8"/>
          <w:sz w:val="24"/>
          <w:szCs w:val="24"/>
        </w:rPr>
        <w:t xml:space="preserve"> </w:t>
      </w:r>
      <w:r w:rsidRPr="007C14B3">
        <w:rPr>
          <w:rFonts w:ascii="Times New Roman" w:hAnsi="Times New Roman"/>
          <w:b/>
          <w:bCs/>
          <w:sz w:val="24"/>
          <w:szCs w:val="24"/>
        </w:rPr>
        <w:t>to</w:t>
      </w:r>
      <w:r w:rsidRPr="007C14B3">
        <w:rPr>
          <w:rFonts w:ascii="Times New Roman" w:hAnsi="Times New Roman"/>
          <w:b/>
          <w:bCs/>
          <w:spacing w:val="-8"/>
          <w:sz w:val="24"/>
          <w:szCs w:val="24"/>
        </w:rPr>
        <w:t xml:space="preserve"> </w:t>
      </w:r>
      <w:r w:rsidRPr="007C14B3">
        <w:rPr>
          <w:rFonts w:ascii="Times New Roman" w:hAnsi="Times New Roman"/>
          <w:b/>
          <w:bCs/>
          <w:sz w:val="24"/>
          <w:szCs w:val="24"/>
        </w:rPr>
        <w:t>those</w:t>
      </w:r>
      <w:r w:rsidRPr="007C14B3">
        <w:rPr>
          <w:rFonts w:ascii="Times New Roman" w:hAnsi="Times New Roman"/>
          <w:b/>
          <w:bCs/>
          <w:spacing w:val="-8"/>
          <w:sz w:val="24"/>
          <w:szCs w:val="24"/>
        </w:rPr>
        <w:t xml:space="preserve"> </w:t>
      </w:r>
      <w:r w:rsidRPr="007C14B3">
        <w:rPr>
          <w:rFonts w:ascii="Times New Roman" w:hAnsi="Times New Roman"/>
          <w:b/>
          <w:bCs/>
          <w:sz w:val="24"/>
          <w:szCs w:val="24"/>
        </w:rPr>
        <w:t>Medicare</w:t>
      </w:r>
      <w:r w:rsidRPr="007C14B3">
        <w:rPr>
          <w:rFonts w:ascii="Times New Roman" w:hAnsi="Times New Roman"/>
          <w:b/>
          <w:bCs/>
          <w:spacing w:val="-8"/>
          <w:sz w:val="24"/>
          <w:szCs w:val="24"/>
        </w:rPr>
        <w:t xml:space="preserve"> </w:t>
      </w:r>
      <w:r w:rsidRPr="007C14B3">
        <w:rPr>
          <w:rFonts w:ascii="Times New Roman" w:hAnsi="Times New Roman"/>
          <w:b/>
          <w:bCs/>
          <w:sz w:val="24"/>
          <w:szCs w:val="24"/>
        </w:rPr>
        <w:t>beneficiaries</w:t>
      </w:r>
      <w:r w:rsidRPr="007C14B3">
        <w:rPr>
          <w:rFonts w:ascii="Times New Roman" w:hAnsi="Times New Roman"/>
          <w:b/>
          <w:bCs/>
          <w:spacing w:val="-9"/>
          <w:sz w:val="24"/>
          <w:szCs w:val="24"/>
        </w:rPr>
        <w:t xml:space="preserve"> </w:t>
      </w:r>
      <w:r w:rsidRPr="007C14B3">
        <w:rPr>
          <w:rFonts w:ascii="Times New Roman" w:hAnsi="Times New Roman"/>
          <w:b/>
          <w:bCs/>
          <w:sz w:val="24"/>
          <w:szCs w:val="24"/>
        </w:rPr>
        <w:t>who</w:t>
      </w:r>
      <w:r w:rsidRPr="007C14B3">
        <w:rPr>
          <w:rFonts w:ascii="Times New Roman" w:hAnsi="Times New Roman"/>
          <w:b/>
          <w:bCs/>
          <w:spacing w:val="-8"/>
          <w:sz w:val="24"/>
          <w:szCs w:val="24"/>
        </w:rPr>
        <w:t xml:space="preserve"> </w:t>
      </w:r>
      <w:r w:rsidRPr="007C14B3">
        <w:rPr>
          <w:rFonts w:ascii="Times New Roman" w:hAnsi="Times New Roman"/>
          <w:b/>
          <w:bCs/>
          <w:sz w:val="24"/>
          <w:szCs w:val="24"/>
        </w:rPr>
        <w:t>have</w:t>
      </w:r>
      <w:r w:rsidRPr="007C14B3">
        <w:rPr>
          <w:rFonts w:ascii="Times New Roman" w:hAnsi="Times New Roman"/>
          <w:b/>
          <w:bCs/>
          <w:spacing w:val="-8"/>
          <w:sz w:val="24"/>
          <w:szCs w:val="24"/>
        </w:rPr>
        <w:t xml:space="preserve"> </w:t>
      </w:r>
      <w:r w:rsidRPr="007C14B3">
        <w:rPr>
          <w:rFonts w:ascii="Times New Roman" w:hAnsi="Times New Roman"/>
          <w:b/>
          <w:bCs/>
          <w:sz w:val="24"/>
          <w:szCs w:val="24"/>
        </w:rPr>
        <w:t>not</w:t>
      </w:r>
      <w:r w:rsidRPr="007C14B3">
        <w:rPr>
          <w:rFonts w:ascii="Times New Roman" w:hAnsi="Times New Roman"/>
          <w:b/>
          <w:bCs/>
          <w:spacing w:val="-8"/>
          <w:sz w:val="24"/>
          <w:szCs w:val="24"/>
        </w:rPr>
        <w:t xml:space="preserve"> </w:t>
      </w:r>
      <w:r w:rsidRPr="007C14B3">
        <w:rPr>
          <w:rFonts w:ascii="Times New Roman" w:hAnsi="Times New Roman"/>
          <w:b/>
          <w:bCs/>
          <w:sz w:val="24"/>
          <w:szCs w:val="24"/>
        </w:rPr>
        <w:t>exhausted</w:t>
      </w:r>
      <w:r w:rsidRPr="007C14B3">
        <w:rPr>
          <w:rFonts w:ascii="Times New Roman" w:hAnsi="Times New Roman"/>
          <w:b/>
          <w:bCs/>
          <w:spacing w:val="-8"/>
          <w:sz w:val="24"/>
          <w:szCs w:val="24"/>
        </w:rPr>
        <w:t xml:space="preserve"> </w:t>
      </w:r>
      <w:r w:rsidRPr="007C14B3">
        <w:rPr>
          <w:rFonts w:ascii="Times New Roman" w:hAnsi="Times New Roman"/>
          <w:b/>
          <w:bCs/>
          <w:sz w:val="24"/>
          <w:szCs w:val="24"/>
        </w:rPr>
        <w:t>their</w:t>
      </w:r>
      <w:r w:rsidRPr="007C14B3">
        <w:rPr>
          <w:rFonts w:ascii="Times New Roman" w:hAnsi="Times New Roman"/>
          <w:b/>
          <w:bCs/>
          <w:spacing w:val="-8"/>
          <w:sz w:val="24"/>
          <w:szCs w:val="24"/>
        </w:rPr>
        <w:t xml:space="preserve"> </w:t>
      </w:r>
      <w:r w:rsidRPr="007C14B3">
        <w:rPr>
          <w:rFonts w:ascii="Times New Roman" w:hAnsi="Times New Roman"/>
          <w:b/>
          <w:bCs/>
          <w:sz w:val="24"/>
          <w:szCs w:val="24"/>
        </w:rPr>
        <w:t>benefit days</w:t>
      </w:r>
      <w:r w:rsidRPr="007C14B3">
        <w:rPr>
          <w:rFonts w:ascii="Times New Roman" w:hAnsi="Times New Roman"/>
          <w:b/>
          <w:bCs/>
          <w:spacing w:val="-10"/>
          <w:sz w:val="24"/>
          <w:szCs w:val="24"/>
        </w:rPr>
        <w:t xml:space="preserve"> </w:t>
      </w:r>
      <w:r w:rsidRPr="007C14B3">
        <w:rPr>
          <w:rFonts w:ascii="Times New Roman" w:hAnsi="Times New Roman"/>
          <w:b/>
          <w:bCs/>
          <w:sz w:val="24"/>
          <w:szCs w:val="24"/>
        </w:rPr>
        <w:t>for</w:t>
      </w:r>
      <w:r w:rsidRPr="007C14B3">
        <w:rPr>
          <w:rFonts w:ascii="Times New Roman" w:hAnsi="Times New Roman"/>
          <w:b/>
          <w:bCs/>
          <w:spacing w:val="-9"/>
          <w:sz w:val="24"/>
          <w:szCs w:val="24"/>
        </w:rPr>
        <w:t xml:space="preserve"> </w:t>
      </w:r>
      <w:r w:rsidRPr="007C14B3">
        <w:rPr>
          <w:rFonts w:ascii="Times New Roman" w:hAnsi="Times New Roman"/>
          <w:b/>
          <w:bCs/>
          <w:sz w:val="24"/>
          <w:szCs w:val="24"/>
        </w:rPr>
        <w:t>a</w:t>
      </w:r>
      <w:r w:rsidRPr="007C14B3">
        <w:rPr>
          <w:rFonts w:ascii="Times New Roman" w:hAnsi="Times New Roman"/>
          <w:b/>
          <w:bCs/>
          <w:spacing w:val="-9"/>
          <w:sz w:val="24"/>
          <w:szCs w:val="24"/>
        </w:rPr>
        <w:t xml:space="preserve"> </w:t>
      </w:r>
      <w:r w:rsidRPr="007C14B3">
        <w:rPr>
          <w:rFonts w:ascii="Times New Roman" w:hAnsi="Times New Roman"/>
          <w:b/>
          <w:bCs/>
          <w:sz w:val="24"/>
          <w:szCs w:val="24"/>
        </w:rPr>
        <w:t>particular</w:t>
      </w:r>
      <w:r w:rsidRPr="007C14B3">
        <w:rPr>
          <w:rFonts w:ascii="Times New Roman" w:hAnsi="Times New Roman"/>
          <w:b/>
          <w:bCs/>
          <w:spacing w:val="-9"/>
          <w:sz w:val="24"/>
          <w:szCs w:val="24"/>
        </w:rPr>
        <w:t xml:space="preserve"> </w:t>
      </w:r>
      <w:r w:rsidRPr="007C14B3">
        <w:rPr>
          <w:rFonts w:ascii="Times New Roman" w:hAnsi="Times New Roman"/>
          <w:b/>
          <w:bCs/>
          <w:sz w:val="24"/>
          <w:szCs w:val="24"/>
        </w:rPr>
        <w:t>spell</w:t>
      </w:r>
      <w:r w:rsidRPr="007C14B3">
        <w:rPr>
          <w:rFonts w:ascii="Times New Roman" w:hAnsi="Times New Roman"/>
          <w:b/>
          <w:bCs/>
          <w:spacing w:val="-9"/>
          <w:sz w:val="24"/>
          <w:szCs w:val="24"/>
        </w:rPr>
        <w:t xml:space="preserve"> </w:t>
      </w:r>
      <w:r w:rsidRPr="007C14B3">
        <w:rPr>
          <w:rFonts w:ascii="Times New Roman" w:hAnsi="Times New Roman"/>
          <w:b/>
          <w:bCs/>
          <w:sz w:val="24"/>
          <w:szCs w:val="24"/>
        </w:rPr>
        <w:t>of</w:t>
      </w:r>
      <w:r w:rsidRPr="007C14B3">
        <w:rPr>
          <w:rFonts w:ascii="Times New Roman" w:hAnsi="Times New Roman"/>
          <w:b/>
          <w:bCs/>
          <w:spacing w:val="-9"/>
          <w:sz w:val="24"/>
          <w:szCs w:val="24"/>
        </w:rPr>
        <w:t xml:space="preserve"> </w:t>
      </w:r>
      <w:r w:rsidRPr="007C14B3">
        <w:rPr>
          <w:rFonts w:ascii="Times New Roman" w:hAnsi="Times New Roman"/>
          <w:b/>
          <w:bCs/>
          <w:sz w:val="24"/>
          <w:szCs w:val="24"/>
        </w:rPr>
        <w:t>illness,</w:t>
      </w:r>
      <w:r w:rsidRPr="007C14B3">
        <w:rPr>
          <w:rFonts w:ascii="Times New Roman" w:hAnsi="Times New Roman"/>
          <w:b/>
          <w:bCs/>
          <w:spacing w:val="-10"/>
          <w:sz w:val="24"/>
          <w:szCs w:val="24"/>
        </w:rPr>
        <w:t xml:space="preserve"> </w:t>
      </w:r>
      <w:r w:rsidRPr="007C14B3">
        <w:rPr>
          <w:rFonts w:ascii="Times New Roman" w:hAnsi="Times New Roman"/>
          <w:b/>
          <w:bCs/>
          <w:sz w:val="24"/>
          <w:szCs w:val="24"/>
        </w:rPr>
        <w:t>as</w:t>
      </w:r>
      <w:r w:rsidRPr="007C14B3">
        <w:rPr>
          <w:rFonts w:ascii="Times New Roman" w:hAnsi="Times New Roman"/>
          <w:b/>
          <w:bCs/>
          <w:spacing w:val="-9"/>
          <w:sz w:val="24"/>
          <w:szCs w:val="24"/>
        </w:rPr>
        <w:t xml:space="preserve"> </w:t>
      </w:r>
      <w:r w:rsidRPr="007C14B3">
        <w:rPr>
          <w:rFonts w:ascii="Times New Roman" w:hAnsi="Times New Roman"/>
          <w:b/>
          <w:bCs/>
          <w:sz w:val="24"/>
          <w:szCs w:val="24"/>
        </w:rPr>
        <w:t>opposed</w:t>
      </w:r>
      <w:r w:rsidRPr="007C14B3">
        <w:rPr>
          <w:rFonts w:ascii="Times New Roman" w:hAnsi="Times New Roman"/>
          <w:b/>
          <w:bCs/>
          <w:spacing w:val="-9"/>
          <w:sz w:val="24"/>
          <w:szCs w:val="24"/>
        </w:rPr>
        <w:t xml:space="preserve"> </w:t>
      </w:r>
      <w:r w:rsidRPr="007C14B3">
        <w:rPr>
          <w:rFonts w:ascii="Times New Roman" w:hAnsi="Times New Roman"/>
          <w:b/>
          <w:bCs/>
          <w:sz w:val="24"/>
          <w:szCs w:val="24"/>
        </w:rPr>
        <w:t>to</w:t>
      </w:r>
      <w:r w:rsidRPr="007C14B3">
        <w:rPr>
          <w:rFonts w:ascii="Times New Roman" w:hAnsi="Times New Roman"/>
          <w:b/>
          <w:bCs/>
          <w:spacing w:val="-9"/>
          <w:sz w:val="24"/>
          <w:szCs w:val="24"/>
        </w:rPr>
        <w:t xml:space="preserve"> </w:t>
      </w:r>
      <w:r w:rsidRPr="007C14B3">
        <w:rPr>
          <w:rFonts w:ascii="Times New Roman" w:hAnsi="Times New Roman"/>
          <w:b/>
          <w:bCs/>
          <w:sz w:val="24"/>
          <w:szCs w:val="24"/>
        </w:rPr>
        <w:t>all</w:t>
      </w:r>
      <w:r w:rsidRPr="007C14B3">
        <w:rPr>
          <w:rFonts w:ascii="Times New Roman" w:hAnsi="Times New Roman"/>
          <w:b/>
          <w:bCs/>
          <w:spacing w:val="-9"/>
          <w:sz w:val="24"/>
          <w:szCs w:val="24"/>
        </w:rPr>
        <w:t xml:space="preserve"> </w:t>
      </w:r>
      <w:r w:rsidRPr="007C14B3">
        <w:rPr>
          <w:rFonts w:ascii="Times New Roman" w:hAnsi="Times New Roman"/>
          <w:b/>
          <w:bCs/>
          <w:sz w:val="24"/>
          <w:szCs w:val="24"/>
        </w:rPr>
        <w:t>Medicare</w:t>
      </w:r>
      <w:r w:rsidRPr="007C14B3">
        <w:rPr>
          <w:rFonts w:ascii="Times New Roman" w:hAnsi="Times New Roman"/>
          <w:b/>
          <w:bCs/>
          <w:spacing w:val="-9"/>
          <w:sz w:val="24"/>
          <w:szCs w:val="24"/>
        </w:rPr>
        <w:t xml:space="preserve"> </w:t>
      </w:r>
      <w:r w:rsidRPr="007C14B3">
        <w:rPr>
          <w:rFonts w:ascii="Times New Roman" w:hAnsi="Times New Roman"/>
          <w:b/>
          <w:bCs/>
          <w:sz w:val="24"/>
          <w:szCs w:val="24"/>
        </w:rPr>
        <w:t>beneficiaries</w:t>
      </w:r>
      <w:r w:rsidRPr="007C14B3">
        <w:rPr>
          <w:rFonts w:ascii="Times New Roman" w:hAnsi="Times New Roman"/>
          <w:b/>
          <w:bCs/>
          <w:spacing w:val="-10"/>
          <w:sz w:val="24"/>
          <w:szCs w:val="24"/>
        </w:rPr>
        <w:t xml:space="preserve"> </w:t>
      </w:r>
      <w:r w:rsidRPr="007C14B3">
        <w:rPr>
          <w:rFonts w:ascii="Times New Roman" w:hAnsi="Times New Roman"/>
          <w:b/>
          <w:bCs/>
          <w:sz w:val="24"/>
          <w:szCs w:val="24"/>
        </w:rPr>
        <w:t>generally.</w:t>
      </w:r>
      <w:r w:rsidRPr="00E278CF">
        <w:rPr>
          <w:rFonts w:ascii="Times New Roman" w:hAnsi="Times New Roman"/>
          <w:sz w:val="24"/>
          <w:szCs w:val="24"/>
        </w:rPr>
        <w:t xml:space="preserve"> But that is precisely what Metro argues is the import of Congress’s choice to use the phrase “entitled to benefits under [Medicare] part A.” Metro’s interpretation of this phrase</w:t>
      </w:r>
      <w:r w:rsidRPr="00E278CF">
        <w:rPr>
          <w:rFonts w:ascii="Times New Roman" w:hAnsi="Times New Roman"/>
          <w:spacing w:val="41"/>
          <w:sz w:val="24"/>
          <w:szCs w:val="24"/>
        </w:rPr>
        <w:t xml:space="preserve"> </w:t>
      </w:r>
      <w:r w:rsidRPr="00E278CF">
        <w:rPr>
          <w:rFonts w:ascii="Times New Roman" w:hAnsi="Times New Roman"/>
          <w:sz w:val="24"/>
          <w:szCs w:val="24"/>
        </w:rPr>
        <w:t>as</w:t>
      </w:r>
      <w:r w:rsidRPr="00E278CF">
        <w:rPr>
          <w:rFonts w:ascii="Times New Roman" w:hAnsi="Times New Roman"/>
          <w:spacing w:val="42"/>
          <w:sz w:val="24"/>
          <w:szCs w:val="24"/>
        </w:rPr>
        <w:t xml:space="preserve"> </w:t>
      </w:r>
      <w:r w:rsidRPr="00E278CF">
        <w:rPr>
          <w:rFonts w:ascii="Times New Roman" w:hAnsi="Times New Roman"/>
          <w:sz w:val="24"/>
          <w:szCs w:val="24"/>
        </w:rPr>
        <w:t>employed</w:t>
      </w:r>
      <w:r w:rsidRPr="00E278CF">
        <w:rPr>
          <w:rFonts w:ascii="Times New Roman" w:hAnsi="Times New Roman"/>
          <w:spacing w:val="42"/>
          <w:sz w:val="24"/>
          <w:szCs w:val="24"/>
        </w:rPr>
        <w:t xml:space="preserve"> </w:t>
      </w:r>
      <w:r w:rsidRPr="00E278CF">
        <w:rPr>
          <w:rFonts w:ascii="Times New Roman" w:hAnsi="Times New Roman"/>
          <w:sz w:val="24"/>
          <w:szCs w:val="24"/>
        </w:rPr>
        <w:t>in</w:t>
      </w:r>
      <w:r w:rsidRPr="00E278CF">
        <w:rPr>
          <w:rFonts w:ascii="Times New Roman" w:hAnsi="Times New Roman"/>
          <w:spacing w:val="41"/>
          <w:sz w:val="24"/>
          <w:szCs w:val="24"/>
        </w:rPr>
        <w:t xml:space="preserve"> </w:t>
      </w:r>
      <w:r w:rsidRPr="00E278CF">
        <w:rPr>
          <w:rFonts w:ascii="Times New Roman" w:hAnsi="Times New Roman"/>
          <w:sz w:val="24"/>
          <w:szCs w:val="24"/>
        </w:rPr>
        <w:t>the</w:t>
      </w:r>
      <w:r w:rsidRPr="00E278CF">
        <w:rPr>
          <w:rFonts w:ascii="Times New Roman" w:hAnsi="Times New Roman"/>
          <w:spacing w:val="42"/>
          <w:sz w:val="24"/>
          <w:szCs w:val="24"/>
        </w:rPr>
        <w:t xml:space="preserve"> </w:t>
      </w:r>
      <w:r w:rsidRPr="00E278CF">
        <w:rPr>
          <w:rFonts w:ascii="Times New Roman" w:hAnsi="Times New Roman"/>
          <w:sz w:val="24"/>
          <w:szCs w:val="24"/>
        </w:rPr>
        <w:t>DPP</w:t>
      </w:r>
      <w:r w:rsidRPr="00E278CF">
        <w:rPr>
          <w:rFonts w:ascii="Times New Roman" w:hAnsi="Times New Roman"/>
          <w:spacing w:val="42"/>
          <w:sz w:val="24"/>
          <w:szCs w:val="24"/>
        </w:rPr>
        <w:t xml:space="preserve"> </w:t>
      </w:r>
      <w:r w:rsidRPr="00E278CF">
        <w:rPr>
          <w:rFonts w:ascii="Times New Roman" w:hAnsi="Times New Roman"/>
          <w:sz w:val="24"/>
          <w:szCs w:val="24"/>
        </w:rPr>
        <w:t>provision</w:t>
      </w:r>
      <w:r w:rsidRPr="00E278CF">
        <w:rPr>
          <w:rFonts w:ascii="Times New Roman" w:hAnsi="Times New Roman"/>
          <w:spacing w:val="41"/>
          <w:sz w:val="24"/>
          <w:szCs w:val="24"/>
        </w:rPr>
        <w:t xml:space="preserve"> </w:t>
      </w:r>
      <w:r w:rsidRPr="00E278CF">
        <w:rPr>
          <w:rFonts w:ascii="Times New Roman" w:hAnsi="Times New Roman"/>
          <w:sz w:val="24"/>
          <w:szCs w:val="24"/>
        </w:rPr>
        <w:lastRenderedPageBreak/>
        <w:t>similarly</w:t>
      </w:r>
      <w:r w:rsidRPr="00E278CF">
        <w:rPr>
          <w:rFonts w:ascii="Times New Roman" w:hAnsi="Times New Roman"/>
          <w:spacing w:val="43"/>
          <w:sz w:val="24"/>
          <w:szCs w:val="24"/>
        </w:rPr>
        <w:t xml:space="preserve"> </w:t>
      </w:r>
      <w:r w:rsidRPr="00E278CF">
        <w:rPr>
          <w:rFonts w:ascii="Times New Roman" w:hAnsi="Times New Roman"/>
          <w:sz w:val="24"/>
          <w:szCs w:val="24"/>
        </w:rPr>
        <w:t>does</w:t>
      </w:r>
      <w:r w:rsidRPr="00E278CF">
        <w:rPr>
          <w:rFonts w:ascii="Times New Roman" w:hAnsi="Times New Roman"/>
          <w:spacing w:val="43"/>
          <w:sz w:val="24"/>
          <w:szCs w:val="24"/>
        </w:rPr>
        <w:t xml:space="preserve"> </w:t>
      </w:r>
      <w:r w:rsidRPr="00E278CF">
        <w:rPr>
          <w:rFonts w:ascii="Times New Roman" w:hAnsi="Times New Roman"/>
          <w:sz w:val="24"/>
          <w:szCs w:val="24"/>
        </w:rPr>
        <w:t>not</w:t>
      </w:r>
      <w:r w:rsidRPr="00E278CF">
        <w:rPr>
          <w:rFonts w:ascii="Times New Roman" w:hAnsi="Times New Roman"/>
          <w:spacing w:val="44"/>
          <w:sz w:val="24"/>
          <w:szCs w:val="24"/>
        </w:rPr>
        <w:t xml:space="preserve"> </w:t>
      </w:r>
      <w:r w:rsidRPr="00E278CF">
        <w:rPr>
          <w:rFonts w:ascii="Times New Roman" w:hAnsi="Times New Roman"/>
          <w:sz w:val="24"/>
          <w:szCs w:val="24"/>
        </w:rPr>
        <w:t>make</w:t>
      </w:r>
      <w:r w:rsidRPr="00E278CF">
        <w:rPr>
          <w:rFonts w:ascii="Times New Roman" w:hAnsi="Times New Roman"/>
          <w:spacing w:val="43"/>
          <w:sz w:val="24"/>
          <w:szCs w:val="24"/>
        </w:rPr>
        <w:t xml:space="preserve"> </w:t>
      </w:r>
      <w:r w:rsidRPr="00E278CF">
        <w:rPr>
          <w:rFonts w:ascii="Times New Roman" w:hAnsi="Times New Roman"/>
          <w:sz w:val="24"/>
          <w:szCs w:val="24"/>
        </w:rPr>
        <w:t>sense</w:t>
      </w:r>
      <w:r w:rsidRPr="00E278CF">
        <w:rPr>
          <w:rFonts w:ascii="Times New Roman" w:hAnsi="Times New Roman"/>
          <w:spacing w:val="42"/>
          <w:sz w:val="24"/>
          <w:szCs w:val="24"/>
        </w:rPr>
        <w:t xml:space="preserve"> </w:t>
      </w:r>
      <w:r w:rsidRPr="00E278CF">
        <w:rPr>
          <w:rFonts w:ascii="Times New Roman" w:hAnsi="Times New Roman"/>
          <w:sz w:val="24"/>
          <w:szCs w:val="24"/>
        </w:rPr>
        <w:t>in</w:t>
      </w:r>
      <w:r w:rsidRPr="00E278CF">
        <w:rPr>
          <w:rFonts w:ascii="Times New Roman" w:hAnsi="Times New Roman"/>
          <w:spacing w:val="43"/>
          <w:sz w:val="24"/>
          <w:szCs w:val="24"/>
        </w:rPr>
        <w:t xml:space="preserve"> </w:t>
      </w:r>
      <w:r w:rsidRPr="00E278CF">
        <w:rPr>
          <w:rFonts w:ascii="Times New Roman" w:hAnsi="Times New Roman"/>
          <w:sz w:val="24"/>
          <w:szCs w:val="24"/>
        </w:rPr>
        <w:t>other</w:t>
      </w:r>
      <w:r>
        <w:rPr>
          <w:rFonts w:ascii="Times New Roman" w:hAnsi="Times New Roman"/>
          <w:sz w:val="24"/>
          <w:szCs w:val="24"/>
        </w:rPr>
        <w:t xml:space="preserve"> </w:t>
      </w:r>
      <w:r w:rsidRPr="00E278CF">
        <w:rPr>
          <w:rFonts w:ascii="Times New Roman" w:hAnsi="Times New Roman"/>
          <w:sz w:val="24"/>
          <w:szCs w:val="24"/>
        </w:rPr>
        <w:t>§</w:t>
      </w:r>
      <w:r w:rsidRPr="00E278CF">
        <w:rPr>
          <w:rFonts w:ascii="Times New Roman" w:hAnsi="Times New Roman"/>
          <w:spacing w:val="-10"/>
          <w:sz w:val="24"/>
          <w:szCs w:val="24"/>
        </w:rPr>
        <w:t xml:space="preserve"> </w:t>
      </w:r>
      <w:r w:rsidRPr="00E278CF">
        <w:rPr>
          <w:rFonts w:ascii="Times New Roman" w:hAnsi="Times New Roman"/>
          <w:sz w:val="24"/>
          <w:szCs w:val="24"/>
        </w:rPr>
        <w:t>1395ww</w:t>
      </w:r>
      <w:r w:rsidRPr="00E278CF">
        <w:rPr>
          <w:rFonts w:ascii="Times New Roman" w:hAnsi="Times New Roman"/>
          <w:spacing w:val="-10"/>
          <w:sz w:val="24"/>
          <w:szCs w:val="24"/>
        </w:rPr>
        <w:t xml:space="preserve"> </w:t>
      </w:r>
      <w:r w:rsidRPr="00E278CF">
        <w:rPr>
          <w:rFonts w:ascii="Times New Roman" w:hAnsi="Times New Roman"/>
          <w:sz w:val="24"/>
          <w:szCs w:val="24"/>
        </w:rPr>
        <w:t>contexts</w:t>
      </w:r>
      <w:r w:rsidRPr="00E278CF">
        <w:rPr>
          <w:rFonts w:ascii="Times New Roman" w:hAnsi="Times New Roman"/>
          <w:spacing w:val="-10"/>
          <w:sz w:val="24"/>
          <w:szCs w:val="24"/>
        </w:rPr>
        <w:t xml:space="preserve"> </w:t>
      </w:r>
      <w:r w:rsidRPr="00E278CF">
        <w:rPr>
          <w:rFonts w:ascii="Times New Roman" w:hAnsi="Times New Roman"/>
          <w:sz w:val="24"/>
          <w:szCs w:val="24"/>
        </w:rPr>
        <w:t>in</w:t>
      </w:r>
      <w:r w:rsidRPr="00E278CF">
        <w:rPr>
          <w:rFonts w:ascii="Times New Roman" w:hAnsi="Times New Roman"/>
          <w:spacing w:val="-10"/>
          <w:sz w:val="24"/>
          <w:szCs w:val="24"/>
        </w:rPr>
        <w:t xml:space="preserve"> </w:t>
      </w:r>
      <w:r w:rsidRPr="00E278CF">
        <w:rPr>
          <w:rFonts w:ascii="Times New Roman" w:hAnsi="Times New Roman"/>
          <w:sz w:val="24"/>
          <w:szCs w:val="24"/>
        </w:rPr>
        <w:t>which</w:t>
      </w:r>
      <w:r w:rsidRPr="00E278CF">
        <w:rPr>
          <w:rFonts w:ascii="Times New Roman" w:hAnsi="Times New Roman"/>
          <w:spacing w:val="-10"/>
          <w:sz w:val="24"/>
          <w:szCs w:val="24"/>
        </w:rPr>
        <w:t xml:space="preserve"> </w:t>
      </w:r>
      <w:r w:rsidRPr="00E278CF">
        <w:rPr>
          <w:rFonts w:ascii="Times New Roman" w:hAnsi="Times New Roman"/>
          <w:sz w:val="24"/>
          <w:szCs w:val="24"/>
        </w:rPr>
        <w:t>the</w:t>
      </w:r>
      <w:r w:rsidRPr="00E278CF">
        <w:rPr>
          <w:rFonts w:ascii="Times New Roman" w:hAnsi="Times New Roman"/>
          <w:spacing w:val="-10"/>
          <w:sz w:val="24"/>
          <w:szCs w:val="24"/>
        </w:rPr>
        <w:t xml:space="preserve"> </w:t>
      </w:r>
      <w:r w:rsidRPr="00E278CF">
        <w:rPr>
          <w:rFonts w:ascii="Times New Roman" w:hAnsi="Times New Roman"/>
          <w:sz w:val="24"/>
          <w:szCs w:val="24"/>
        </w:rPr>
        <w:t>phrase</w:t>
      </w:r>
      <w:r w:rsidRPr="00E278CF">
        <w:rPr>
          <w:rFonts w:ascii="Times New Roman" w:hAnsi="Times New Roman"/>
          <w:spacing w:val="-10"/>
          <w:sz w:val="24"/>
          <w:szCs w:val="24"/>
        </w:rPr>
        <w:t xml:space="preserve"> </w:t>
      </w:r>
      <w:r w:rsidRPr="00E278CF">
        <w:rPr>
          <w:rFonts w:ascii="Times New Roman" w:hAnsi="Times New Roman"/>
          <w:sz w:val="24"/>
          <w:szCs w:val="24"/>
        </w:rPr>
        <w:t>appears.</w:t>
      </w:r>
      <w:r>
        <w:rPr>
          <w:rStyle w:val="FootnoteReference"/>
          <w:rFonts w:ascii="Times New Roman" w:hAnsi="Times New Roman"/>
          <w:sz w:val="24"/>
          <w:szCs w:val="24"/>
        </w:rPr>
        <w:footnoteReference w:id="21"/>
      </w:r>
      <w:r>
        <w:rPr>
          <w:rFonts w:ascii="Times New Roman" w:hAnsi="Times New Roman"/>
          <w:sz w:val="24"/>
          <w:szCs w:val="24"/>
        </w:rPr>
        <w:t xml:space="preserve">  (Emphasis added.)</w:t>
      </w:r>
    </w:p>
    <w:p w14:paraId="5A6DB01C" w14:textId="77777777" w:rsidR="005F1D1B" w:rsidRDefault="005F1D1B" w:rsidP="005F1D1B">
      <w:pPr>
        <w:pStyle w:val="BodyText"/>
        <w:spacing w:after="0"/>
        <w:ind w:left="720"/>
        <w:jc w:val="both"/>
        <w:rPr>
          <w:rFonts w:ascii="Times New Roman" w:hAnsi="Times New Roman"/>
          <w:sz w:val="24"/>
          <w:szCs w:val="24"/>
        </w:rPr>
      </w:pPr>
    </w:p>
    <w:p w14:paraId="5C6DF3CE" w14:textId="77777777" w:rsidR="00F64E7C" w:rsidRDefault="00F64E7C" w:rsidP="00F64E7C">
      <w:pPr>
        <w:suppressAutoHyphens/>
        <w:spacing w:line="480" w:lineRule="auto"/>
        <w:jc w:val="both"/>
        <w:rPr>
          <w:rFonts w:ascii="Times New Roman" w:hAnsi="Times New Roman"/>
          <w:sz w:val="24"/>
          <w:szCs w:val="24"/>
        </w:rPr>
      </w:pPr>
      <w:r>
        <w:rPr>
          <w:rFonts w:ascii="Times New Roman" w:hAnsi="Times New Roman"/>
          <w:sz w:val="24"/>
          <w:szCs w:val="24"/>
        </w:rPr>
        <w:t xml:space="preserve">Similar to the </w:t>
      </w:r>
      <w:r w:rsidRPr="007C14B3">
        <w:rPr>
          <w:rFonts w:ascii="Times New Roman" w:hAnsi="Times New Roman"/>
          <w:i/>
          <w:iCs/>
          <w:sz w:val="24"/>
          <w:szCs w:val="24"/>
        </w:rPr>
        <w:t>Metropolitan</w:t>
      </w:r>
      <w:r>
        <w:rPr>
          <w:rFonts w:ascii="Times New Roman" w:hAnsi="Times New Roman"/>
          <w:sz w:val="24"/>
          <w:szCs w:val="24"/>
        </w:rPr>
        <w:t xml:space="preserve"> court’s analysis and application of “entitled to benefits under Part A” to sole community hospitals, there is no perceived reason to apply these Providers’ interpretation of “entitled to benefits under Part A” to Medicare dependent hospitals.  As the </w:t>
      </w:r>
      <w:r w:rsidRPr="007C14B3">
        <w:rPr>
          <w:rFonts w:ascii="Times New Roman" w:hAnsi="Times New Roman"/>
          <w:i/>
          <w:iCs/>
          <w:sz w:val="24"/>
          <w:szCs w:val="24"/>
        </w:rPr>
        <w:t>Metropolitan</w:t>
      </w:r>
      <w:r>
        <w:rPr>
          <w:rFonts w:ascii="Times New Roman" w:hAnsi="Times New Roman"/>
          <w:sz w:val="24"/>
          <w:szCs w:val="24"/>
        </w:rPr>
        <w:t xml:space="preserve"> court stated, “</w:t>
      </w:r>
      <w:r w:rsidRPr="007C14B3">
        <w:rPr>
          <w:rFonts w:ascii="Times New Roman" w:hAnsi="Times New Roman"/>
          <w:sz w:val="24"/>
          <w:szCs w:val="24"/>
          <w:u w:val="single"/>
        </w:rPr>
        <w:t>[N]othing</w:t>
      </w:r>
      <w:r w:rsidRPr="007C14B3">
        <w:rPr>
          <w:rFonts w:ascii="Times New Roman" w:hAnsi="Times New Roman"/>
          <w:spacing w:val="-12"/>
          <w:sz w:val="24"/>
          <w:szCs w:val="24"/>
          <w:u w:val="single"/>
        </w:rPr>
        <w:t xml:space="preserve"> </w:t>
      </w:r>
      <w:r w:rsidRPr="007C14B3">
        <w:rPr>
          <w:rFonts w:ascii="Times New Roman" w:hAnsi="Times New Roman"/>
          <w:sz w:val="24"/>
          <w:szCs w:val="24"/>
          <w:u w:val="single"/>
        </w:rPr>
        <w:t>in</w:t>
      </w:r>
      <w:r w:rsidRPr="007C14B3">
        <w:rPr>
          <w:rFonts w:ascii="Times New Roman" w:hAnsi="Times New Roman"/>
          <w:spacing w:val="-12"/>
          <w:sz w:val="24"/>
          <w:szCs w:val="24"/>
          <w:u w:val="single"/>
        </w:rPr>
        <w:t xml:space="preserve"> </w:t>
      </w:r>
      <w:r w:rsidRPr="007C14B3">
        <w:rPr>
          <w:rFonts w:ascii="Times New Roman" w:hAnsi="Times New Roman"/>
          <w:sz w:val="24"/>
          <w:szCs w:val="24"/>
          <w:u w:val="single"/>
        </w:rPr>
        <w:t>the</w:t>
      </w:r>
      <w:r w:rsidRPr="007C14B3">
        <w:rPr>
          <w:rFonts w:ascii="Times New Roman" w:hAnsi="Times New Roman"/>
          <w:spacing w:val="-12"/>
          <w:sz w:val="24"/>
          <w:szCs w:val="24"/>
          <w:u w:val="single"/>
        </w:rPr>
        <w:t xml:space="preserve"> </w:t>
      </w:r>
      <w:r w:rsidRPr="007C14B3">
        <w:rPr>
          <w:rFonts w:ascii="Times New Roman" w:hAnsi="Times New Roman"/>
          <w:sz w:val="24"/>
          <w:szCs w:val="24"/>
          <w:u w:val="single"/>
        </w:rPr>
        <w:t>language</w:t>
      </w:r>
      <w:r w:rsidRPr="007C14B3">
        <w:rPr>
          <w:rFonts w:ascii="Times New Roman" w:hAnsi="Times New Roman"/>
          <w:spacing w:val="-12"/>
          <w:sz w:val="24"/>
          <w:szCs w:val="24"/>
          <w:u w:val="single"/>
        </w:rPr>
        <w:t xml:space="preserve"> </w:t>
      </w:r>
      <w:r w:rsidRPr="007C14B3">
        <w:rPr>
          <w:rFonts w:ascii="Times New Roman" w:hAnsi="Times New Roman"/>
          <w:sz w:val="24"/>
          <w:szCs w:val="24"/>
          <w:u w:val="single"/>
        </w:rPr>
        <w:t>or</w:t>
      </w:r>
      <w:r w:rsidRPr="007C14B3">
        <w:rPr>
          <w:rFonts w:ascii="Times New Roman" w:hAnsi="Times New Roman"/>
          <w:spacing w:val="-12"/>
          <w:sz w:val="24"/>
          <w:szCs w:val="24"/>
          <w:u w:val="single"/>
        </w:rPr>
        <w:t xml:space="preserve"> </w:t>
      </w:r>
      <w:r w:rsidRPr="007C14B3">
        <w:rPr>
          <w:rFonts w:ascii="Times New Roman" w:hAnsi="Times New Roman"/>
          <w:sz w:val="24"/>
          <w:szCs w:val="24"/>
          <w:u w:val="single"/>
        </w:rPr>
        <w:t>structure of</w:t>
      </w:r>
      <w:r w:rsidRPr="007C14B3">
        <w:rPr>
          <w:rFonts w:ascii="Times New Roman" w:hAnsi="Times New Roman"/>
          <w:spacing w:val="-11"/>
          <w:sz w:val="24"/>
          <w:szCs w:val="24"/>
          <w:u w:val="single"/>
        </w:rPr>
        <w:t xml:space="preserve"> </w:t>
      </w:r>
      <w:r w:rsidRPr="007C14B3">
        <w:rPr>
          <w:rFonts w:ascii="Times New Roman" w:hAnsi="Times New Roman"/>
          <w:sz w:val="24"/>
          <w:szCs w:val="24"/>
          <w:u w:val="single"/>
        </w:rPr>
        <w:t>§</w:t>
      </w:r>
      <w:r>
        <w:rPr>
          <w:rFonts w:ascii="Times New Roman" w:hAnsi="Times New Roman"/>
          <w:spacing w:val="-10"/>
          <w:sz w:val="24"/>
          <w:szCs w:val="24"/>
          <w:u w:val="single"/>
        </w:rPr>
        <w:t> </w:t>
      </w:r>
      <w:r w:rsidRPr="007C14B3">
        <w:rPr>
          <w:rFonts w:ascii="Times New Roman" w:hAnsi="Times New Roman"/>
          <w:sz w:val="24"/>
          <w:szCs w:val="24"/>
          <w:u w:val="single"/>
        </w:rPr>
        <w:t>1395ww</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suggests</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that</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the</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use</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of</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the</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phrase</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in</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the</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DPP</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provision</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should</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dictate</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the meaning of that same phrase elsewhere in the statute.</w:t>
      </w:r>
      <w:r>
        <w:rPr>
          <w:rFonts w:ascii="Times New Roman" w:hAnsi="Times New Roman"/>
          <w:sz w:val="24"/>
          <w:szCs w:val="24"/>
        </w:rPr>
        <w:t>”  In fact, the Metropolitan court specifically addressed the Secretary’s interpretation of the phrase “entitled to benefits under Part A” to Medicare dependent hospitals, stating:</w:t>
      </w:r>
    </w:p>
    <w:p w14:paraId="055DC724" w14:textId="45B9525F" w:rsidR="00F64E7C" w:rsidRDefault="00F64E7C" w:rsidP="005F1D1B">
      <w:pPr>
        <w:autoSpaceDE w:val="0"/>
        <w:autoSpaceDN w:val="0"/>
        <w:adjustRightInd w:val="0"/>
        <w:ind w:left="720"/>
        <w:jc w:val="both"/>
        <w:rPr>
          <w:rFonts w:ascii="Times New Roman" w:hAnsi="Times New Roman"/>
          <w:sz w:val="24"/>
          <w:szCs w:val="24"/>
        </w:rPr>
      </w:pPr>
      <w:r w:rsidRPr="002664BD">
        <w:rPr>
          <w:rFonts w:ascii="Times New Roman" w:hAnsi="Times New Roman"/>
          <w:sz w:val="24"/>
          <w:szCs w:val="24"/>
        </w:rPr>
        <w:t xml:space="preserve">Metro's potentially stronger point is that, as explained above in Part V.B.1., the Secretary previously interpreted the phrase “entitled to benefits under [Medicare] part A” elsewhere in §1395ww as excluding exhausted benefit days. </w:t>
      </w:r>
      <w:r w:rsidRPr="002664BD">
        <w:rPr>
          <w:rFonts w:ascii="Times New Roman" w:hAnsi="Times New Roman"/>
          <w:i/>
          <w:iCs/>
          <w:sz w:val="24"/>
          <w:szCs w:val="24"/>
        </w:rPr>
        <w:t>See</w:t>
      </w:r>
      <w:r>
        <w:rPr>
          <w:rFonts w:ascii="Times New Roman" w:hAnsi="Times New Roman"/>
          <w:i/>
          <w:iCs/>
          <w:sz w:val="24"/>
          <w:szCs w:val="24"/>
        </w:rPr>
        <w:t xml:space="preserve"> </w:t>
      </w:r>
      <w:r w:rsidRPr="002664BD">
        <w:rPr>
          <w:rFonts w:ascii="Times New Roman" w:hAnsi="Times New Roman"/>
          <w:sz w:val="24"/>
          <w:szCs w:val="24"/>
        </w:rPr>
        <w:t>42 U.S.C. §1395ww(d)(5)(G)(iv) (using the phrase as part of the definition for the term “medicare</w:t>
      </w:r>
      <w:r>
        <w:rPr>
          <w:rFonts w:ascii="Times New Roman" w:hAnsi="Times New Roman"/>
          <w:sz w:val="24"/>
          <w:szCs w:val="24"/>
        </w:rPr>
        <w:t>-</w:t>
      </w:r>
      <w:r w:rsidRPr="002664BD">
        <w:rPr>
          <w:rFonts w:ascii="Times New Roman" w:hAnsi="Times New Roman"/>
          <w:sz w:val="24"/>
          <w:szCs w:val="24"/>
        </w:rPr>
        <w:t xml:space="preserve">dependent, small rural hospital”); </w:t>
      </w:r>
      <w:r w:rsidRPr="002664BD">
        <w:rPr>
          <w:rFonts w:ascii="Times New Roman" w:hAnsi="Times New Roman"/>
          <w:i/>
          <w:iCs/>
          <w:sz w:val="24"/>
          <w:szCs w:val="24"/>
        </w:rPr>
        <w:t xml:space="preserve">see also </w:t>
      </w:r>
      <w:r w:rsidRPr="002664BD">
        <w:rPr>
          <w:rFonts w:ascii="Times New Roman" w:hAnsi="Times New Roman"/>
          <w:sz w:val="24"/>
          <w:szCs w:val="24"/>
        </w:rPr>
        <w:t>Changes to the Hospital Inpatient PPS and FY 1991 Rates, 55 Fed.</w:t>
      </w:r>
      <w:r>
        <w:rPr>
          <w:rFonts w:ascii="Times New Roman" w:hAnsi="Times New Roman"/>
          <w:sz w:val="24"/>
          <w:szCs w:val="24"/>
        </w:rPr>
        <w:t xml:space="preserve"> </w:t>
      </w:r>
      <w:r w:rsidRPr="002664BD">
        <w:rPr>
          <w:rFonts w:ascii="Times New Roman" w:hAnsi="Times New Roman"/>
          <w:sz w:val="24"/>
          <w:szCs w:val="24"/>
        </w:rPr>
        <w:t xml:space="preserve">Reg. 35990, 35996 (Sept. 4, 1990) (explaining HHS's view that “entitlement to payment under part A ceases” upon exhaustion </w:t>
      </w:r>
      <w:r>
        <w:rPr>
          <w:rFonts w:ascii="Times New Roman" w:hAnsi="Times New Roman"/>
          <w:sz w:val="24"/>
          <w:szCs w:val="24"/>
        </w:rPr>
        <w:t xml:space="preserve">of benefit days).  </w:t>
      </w:r>
      <w:r w:rsidRPr="002664BD">
        <w:rPr>
          <w:rFonts w:ascii="Times New Roman" w:hAnsi="Times New Roman"/>
          <w:sz w:val="24"/>
          <w:szCs w:val="24"/>
        </w:rPr>
        <w:t xml:space="preserve">But the Secretary recognized this inconsistency and, rather than change her interpretation of that phrase in the DPP provision and everywhere else in the Medicaid statutes, instead amended her interpretation of the phrase as used in §1395ww(d)(5)(G)(iv). </w:t>
      </w:r>
      <w:r w:rsidRPr="00547C7C">
        <w:rPr>
          <w:rFonts w:ascii="Times New Roman" w:hAnsi="Times New Roman"/>
          <w:b/>
          <w:bCs/>
          <w:sz w:val="24"/>
          <w:szCs w:val="24"/>
        </w:rPr>
        <w:t>This correction further demonstrates that the Secretary's interpretation of this statutory phrase is the product of a reasoned analysis of its terms, not an ad hoc determination meant to unduly restrict DSH adjustments.</w:t>
      </w:r>
      <w:r>
        <w:rPr>
          <w:rStyle w:val="FootnoteReference"/>
          <w:rFonts w:ascii="Times New Roman" w:hAnsi="Times New Roman"/>
          <w:sz w:val="24"/>
          <w:szCs w:val="24"/>
        </w:rPr>
        <w:footnoteReference w:id="22"/>
      </w:r>
      <w:r>
        <w:rPr>
          <w:rFonts w:ascii="Times New Roman" w:hAnsi="Times New Roman"/>
          <w:b/>
          <w:bCs/>
          <w:sz w:val="24"/>
          <w:szCs w:val="24"/>
        </w:rPr>
        <w:t xml:space="preserve">  </w:t>
      </w:r>
      <w:r w:rsidRPr="00547C7C">
        <w:rPr>
          <w:rFonts w:ascii="Times New Roman" w:hAnsi="Times New Roman"/>
          <w:sz w:val="24"/>
          <w:szCs w:val="24"/>
        </w:rPr>
        <w:t>(Emphasis added.)</w:t>
      </w:r>
    </w:p>
    <w:p w14:paraId="7199D688" w14:textId="77777777" w:rsidR="005F1D1B" w:rsidRDefault="005F1D1B" w:rsidP="005F1D1B">
      <w:pPr>
        <w:autoSpaceDE w:val="0"/>
        <w:autoSpaceDN w:val="0"/>
        <w:adjustRightInd w:val="0"/>
        <w:ind w:left="720"/>
        <w:jc w:val="both"/>
        <w:rPr>
          <w:rFonts w:ascii="Times New Roman" w:hAnsi="Times New Roman"/>
          <w:sz w:val="24"/>
          <w:szCs w:val="24"/>
        </w:rPr>
      </w:pPr>
    </w:p>
    <w:p w14:paraId="79AD6666" w14:textId="2F0AB003" w:rsidR="00F64E7C" w:rsidRDefault="00F64E7C" w:rsidP="00F64E7C">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The Sixth Circuit, the circuit in which these Providers are located, has already dismissed this same “arbitrary and capricious” argument by finding that </w:t>
      </w:r>
      <w:r w:rsidRPr="00547C7C">
        <w:rPr>
          <w:rFonts w:ascii="Times New Roman" w:hAnsi="Times New Roman"/>
          <w:sz w:val="24"/>
          <w:szCs w:val="24"/>
        </w:rPr>
        <w:t xml:space="preserve">“the Secretary's </w:t>
      </w:r>
      <w:r w:rsidRPr="00547C7C">
        <w:rPr>
          <w:rFonts w:ascii="Times New Roman" w:hAnsi="Times New Roman"/>
          <w:sz w:val="24"/>
          <w:szCs w:val="24"/>
        </w:rPr>
        <w:lastRenderedPageBreak/>
        <w:t>interpretation of this statutory phrase is the product of a reasoned analysis</w:t>
      </w:r>
      <w:r>
        <w:rPr>
          <w:rFonts w:ascii="Times New Roman" w:hAnsi="Times New Roman"/>
          <w:sz w:val="24"/>
          <w:szCs w:val="24"/>
        </w:rPr>
        <w:t>”.  Therefore, the Secretary’s current interpretation is not arbitrary and capricious.</w:t>
      </w:r>
    </w:p>
    <w:p w14:paraId="480F1CC9" w14:textId="77777777" w:rsidR="008F480A" w:rsidRPr="002664BD" w:rsidRDefault="008F480A" w:rsidP="00F64E7C">
      <w:pPr>
        <w:autoSpaceDE w:val="0"/>
        <w:autoSpaceDN w:val="0"/>
        <w:adjustRightInd w:val="0"/>
        <w:spacing w:line="480" w:lineRule="auto"/>
        <w:jc w:val="both"/>
        <w:rPr>
          <w:rFonts w:ascii="Times New Roman" w:hAnsi="Times New Roman"/>
          <w:sz w:val="24"/>
          <w:szCs w:val="24"/>
        </w:rPr>
      </w:pPr>
    </w:p>
    <w:p w14:paraId="1D78206B" w14:textId="77777777" w:rsidR="008F480A" w:rsidRPr="00036311" w:rsidRDefault="008F480A" w:rsidP="008F480A">
      <w:pPr>
        <w:spacing w:line="480" w:lineRule="auto"/>
        <w:contextualSpacing/>
        <w:jc w:val="both"/>
        <w:rPr>
          <w:rFonts w:ascii="Times New Roman" w:hAnsi="Times New Roman"/>
          <w:bCs/>
          <w:sz w:val="24"/>
          <w:szCs w:val="24"/>
        </w:rPr>
      </w:pPr>
      <w:r w:rsidRPr="00036311">
        <w:rPr>
          <w:rFonts w:ascii="Times New Roman" w:hAnsi="Times New Roman"/>
          <w:bCs/>
          <w:sz w:val="24"/>
          <w:szCs w:val="24"/>
        </w:rPr>
        <w:t xml:space="preserve">In </w:t>
      </w:r>
      <w:r w:rsidRPr="00036311">
        <w:rPr>
          <w:rFonts w:ascii="Times New Roman" w:hAnsi="Times New Roman"/>
          <w:bCs/>
          <w:i/>
          <w:iCs/>
          <w:sz w:val="24"/>
          <w:szCs w:val="24"/>
        </w:rPr>
        <w:t>Becerra v. Empire Health Foundation, for Valley Hospital Medical Center</w:t>
      </w:r>
      <w:r w:rsidRPr="00036311">
        <w:rPr>
          <w:rFonts w:ascii="Times New Roman" w:hAnsi="Times New Roman"/>
          <w:bCs/>
          <w:sz w:val="24"/>
          <w:szCs w:val="24"/>
        </w:rPr>
        <w:t>, 20-1312, (U.S. Supreme Court, June 24, 2022),  the Court ruled that:</w:t>
      </w:r>
    </w:p>
    <w:p w14:paraId="248057B4" w14:textId="77777777" w:rsidR="008F480A" w:rsidRPr="00036311" w:rsidRDefault="008F480A" w:rsidP="008F480A">
      <w:pPr>
        <w:ind w:left="720"/>
        <w:contextualSpacing/>
        <w:jc w:val="both"/>
        <w:rPr>
          <w:rFonts w:ascii="Times New Roman" w:hAnsi="Times New Roman"/>
          <w:bCs/>
          <w:sz w:val="24"/>
          <w:szCs w:val="24"/>
        </w:rPr>
      </w:pPr>
      <w:r w:rsidRPr="00036311">
        <w:rPr>
          <w:rFonts w:ascii="Times New Roman" w:hAnsi="Times New Roman"/>
          <w:sz w:val="24"/>
          <w:szCs w:val="24"/>
        </w:rPr>
        <w:t>In calculating the Medicare fraction, individuals “entitled to [Med</w:t>
      </w:r>
      <w:r w:rsidRPr="00036311">
        <w:rPr>
          <w:rFonts w:ascii="Times New Roman" w:hAnsi="Times New Roman"/>
          <w:sz w:val="24"/>
          <w:szCs w:val="24"/>
        </w:rPr>
        <w:softHyphen/>
        <w:t>icare Part A] benefits” are all those qualifying for the program, regard</w:t>
      </w:r>
      <w:r w:rsidRPr="00036311">
        <w:rPr>
          <w:rFonts w:ascii="Times New Roman" w:hAnsi="Times New Roman"/>
          <w:sz w:val="24"/>
          <w:szCs w:val="24"/>
        </w:rPr>
        <w:softHyphen/>
        <w:t>less of whether they receive Medicare payments for part or all of a hos</w:t>
      </w:r>
      <w:r w:rsidRPr="00036311">
        <w:rPr>
          <w:rFonts w:ascii="Times New Roman" w:hAnsi="Times New Roman"/>
          <w:sz w:val="24"/>
          <w:szCs w:val="24"/>
        </w:rPr>
        <w:softHyphen/>
        <w:t>pital stay. Pp. 7–19.</w:t>
      </w:r>
    </w:p>
    <w:p w14:paraId="6AB15C05" w14:textId="77777777" w:rsidR="008F480A" w:rsidRPr="00036311" w:rsidRDefault="008F480A" w:rsidP="008F480A">
      <w:pPr>
        <w:ind w:left="720"/>
        <w:contextualSpacing/>
        <w:jc w:val="both"/>
        <w:rPr>
          <w:rFonts w:ascii="Times New Roman" w:hAnsi="Times New Roman"/>
          <w:sz w:val="24"/>
          <w:szCs w:val="24"/>
        </w:rPr>
      </w:pPr>
    </w:p>
    <w:p w14:paraId="31241E88" w14:textId="77777777" w:rsidR="008F480A" w:rsidRPr="00036311" w:rsidRDefault="008F480A" w:rsidP="008F480A">
      <w:pPr>
        <w:ind w:left="720"/>
        <w:contextualSpacing/>
        <w:jc w:val="both"/>
        <w:rPr>
          <w:rFonts w:ascii="Times New Roman" w:hAnsi="Times New Roman"/>
          <w:b/>
          <w:sz w:val="24"/>
          <w:szCs w:val="24"/>
        </w:rPr>
      </w:pPr>
      <w:r w:rsidRPr="00036311">
        <w:rPr>
          <w:rFonts w:ascii="Times New Roman" w:hAnsi="Times New Roman"/>
          <w:sz w:val="24"/>
          <w:szCs w:val="24"/>
        </w:rPr>
        <w:t>HHS’s regulation is consistent with the text, context, and structure of the DSH provisions. The agency has interpreted the phrase “enti</w:t>
      </w:r>
      <w:r w:rsidRPr="00036311">
        <w:rPr>
          <w:rFonts w:ascii="Times New Roman" w:hAnsi="Times New Roman"/>
          <w:sz w:val="24"/>
          <w:szCs w:val="24"/>
        </w:rPr>
        <w:softHyphen/>
        <w:t>tled to benefits” in those provisions to mean just what it means throughout the Medicare statute: qualifying for benefits. And count</w:t>
      </w:r>
      <w:r w:rsidRPr="00036311">
        <w:rPr>
          <w:rFonts w:ascii="Times New Roman" w:hAnsi="Times New Roman"/>
          <w:sz w:val="24"/>
          <w:szCs w:val="24"/>
        </w:rPr>
        <w:softHyphen/>
        <w:t>ing everyone who qualifies for Medicare benefits in the Medicare frac</w:t>
      </w:r>
      <w:r w:rsidRPr="00036311">
        <w:rPr>
          <w:rFonts w:ascii="Times New Roman" w:hAnsi="Times New Roman"/>
          <w:sz w:val="24"/>
          <w:szCs w:val="24"/>
        </w:rPr>
        <w:softHyphen/>
        <w:t>tion—and no one who qualifies for those benefits in the Medicaid frac</w:t>
      </w:r>
      <w:r w:rsidRPr="00036311">
        <w:rPr>
          <w:rFonts w:ascii="Times New Roman" w:hAnsi="Times New Roman"/>
          <w:sz w:val="24"/>
          <w:szCs w:val="24"/>
        </w:rPr>
        <w:softHyphen/>
        <w:t>tion—accords with the statute’s attempt to capture, through two separate measurements, two different segments of a hospital’s low-in</w:t>
      </w:r>
      <w:r w:rsidRPr="00036311">
        <w:rPr>
          <w:rFonts w:ascii="Times New Roman" w:hAnsi="Times New Roman"/>
          <w:sz w:val="24"/>
          <w:szCs w:val="24"/>
        </w:rPr>
        <w:softHyphen/>
        <w:t>come patient population</w:t>
      </w:r>
      <w:r w:rsidRPr="00036311">
        <w:rPr>
          <w:rStyle w:val="FootnoteReference"/>
          <w:rFonts w:ascii="Times New Roman" w:hAnsi="Times New Roman"/>
          <w:sz w:val="24"/>
          <w:szCs w:val="24"/>
        </w:rPr>
        <w:footnoteReference w:id="23"/>
      </w:r>
      <w:r w:rsidRPr="00036311">
        <w:rPr>
          <w:rFonts w:ascii="Times New Roman" w:hAnsi="Times New Roman"/>
          <w:sz w:val="24"/>
          <w:szCs w:val="24"/>
        </w:rPr>
        <w:t>.</w:t>
      </w:r>
    </w:p>
    <w:p w14:paraId="5A054353" w14:textId="77777777" w:rsidR="00AA1176" w:rsidRDefault="00AA1176" w:rsidP="00AA1176">
      <w:pPr>
        <w:spacing w:line="480" w:lineRule="auto"/>
        <w:contextualSpacing/>
        <w:rPr>
          <w:rFonts w:ascii="Times New Roman" w:hAnsi="Times New Roman"/>
          <w:b/>
          <w:sz w:val="24"/>
          <w:szCs w:val="24"/>
          <w:u w:val="single"/>
        </w:rPr>
      </w:pPr>
    </w:p>
    <w:p w14:paraId="4CD6E43F" w14:textId="3FE2286C" w:rsidR="00AA1176" w:rsidRPr="00C6116A" w:rsidRDefault="00AA1176" w:rsidP="00AA1176">
      <w:pPr>
        <w:spacing w:line="480" w:lineRule="auto"/>
        <w:contextualSpacing/>
        <w:rPr>
          <w:rFonts w:ascii="Times New Roman" w:hAnsi="Times New Roman"/>
          <w:b/>
          <w:sz w:val="24"/>
          <w:szCs w:val="24"/>
          <w:u w:val="single"/>
        </w:rPr>
      </w:pPr>
      <w:r>
        <w:rPr>
          <w:rFonts w:ascii="Times New Roman" w:hAnsi="Times New Roman"/>
          <w:b/>
          <w:sz w:val="24"/>
          <w:szCs w:val="24"/>
          <w:u w:val="single"/>
        </w:rPr>
        <w:t>CMS Has Produced the Data That It is Required to Produce to the Providers</w:t>
      </w:r>
    </w:p>
    <w:p w14:paraId="4EFDAF49" w14:textId="565D70FC" w:rsidR="00194FF7" w:rsidRPr="00013469" w:rsidRDefault="00194FF7" w:rsidP="005F1D1B">
      <w:pPr>
        <w:spacing w:line="480" w:lineRule="auto"/>
        <w:jc w:val="both"/>
        <w:rPr>
          <w:rFonts w:ascii="Times New Roman" w:hAnsi="Times New Roman"/>
          <w:sz w:val="24"/>
          <w:szCs w:val="24"/>
        </w:rPr>
      </w:pPr>
      <w:r>
        <w:rPr>
          <w:rFonts w:ascii="Times New Roman" w:hAnsi="Times New Roman"/>
          <w:bCs/>
          <w:sz w:val="24"/>
          <w:szCs w:val="24"/>
        </w:rPr>
        <w:t>The Provider</w:t>
      </w:r>
      <w:r w:rsidR="0037476D">
        <w:rPr>
          <w:rFonts w:ascii="Times New Roman" w:hAnsi="Times New Roman"/>
          <w:bCs/>
          <w:sz w:val="24"/>
          <w:szCs w:val="24"/>
        </w:rPr>
        <w:t>s</w:t>
      </w:r>
      <w:r>
        <w:rPr>
          <w:rFonts w:ascii="Times New Roman" w:hAnsi="Times New Roman"/>
          <w:bCs/>
          <w:sz w:val="24"/>
          <w:szCs w:val="24"/>
        </w:rPr>
        <w:t xml:space="preserve"> complain “CMS is now releasing the MEDPAR data, but the Providers have not yet been able to fully reconcile their records with that of CMS, and specifically identify patients believed to be Medicare and Medicaid crossover patients where Medicare Part A did not make a payment.  Accordingly, the Providers have also been unable to determine which of these patients also have Medicaid coverage for their inclusion in the Medicaid fractions of their DSH </w:t>
      </w:r>
      <w:r w:rsidRPr="006105B9">
        <w:rPr>
          <w:rFonts w:ascii="Times New Roman" w:hAnsi="Times New Roman"/>
          <w:bCs/>
          <w:sz w:val="24"/>
          <w:szCs w:val="24"/>
        </w:rPr>
        <w:t>calculations.</w:t>
      </w:r>
      <w:r w:rsidRPr="006105B9">
        <w:rPr>
          <w:rStyle w:val="FootnoteReference"/>
          <w:rFonts w:ascii="Times New Roman" w:hAnsi="Times New Roman"/>
          <w:bCs/>
          <w:sz w:val="24"/>
          <w:szCs w:val="24"/>
        </w:rPr>
        <w:footnoteReference w:id="24"/>
      </w:r>
      <w:r w:rsidRPr="006105B9">
        <w:rPr>
          <w:rFonts w:ascii="Times New Roman" w:hAnsi="Times New Roman"/>
          <w:bCs/>
          <w:sz w:val="24"/>
          <w:szCs w:val="24"/>
        </w:rPr>
        <w:t xml:space="preserve">”  </w:t>
      </w:r>
      <w:r w:rsidRPr="006105B9">
        <w:rPr>
          <w:rFonts w:ascii="Times New Roman" w:hAnsi="Times New Roman"/>
          <w:sz w:val="24"/>
          <w:szCs w:val="24"/>
        </w:rPr>
        <w:t xml:space="preserve">The Providers have not analyzed Medicare Part A data at the time that they filed their hearing request and preliminary position paper to </w:t>
      </w:r>
      <w:r w:rsidRPr="006105B9">
        <w:rPr>
          <w:rFonts w:ascii="Times New Roman" w:hAnsi="Times New Roman"/>
          <w:sz w:val="24"/>
          <w:szCs w:val="24"/>
        </w:rPr>
        <w:lastRenderedPageBreak/>
        <w:t xml:space="preserve">identify specific </w:t>
      </w:r>
      <w:r w:rsidR="003C2D5B" w:rsidRPr="006105B9">
        <w:rPr>
          <w:rFonts w:ascii="Times New Roman" w:hAnsi="Times New Roman"/>
          <w:sz w:val="24"/>
          <w:szCs w:val="24"/>
        </w:rPr>
        <w:t>EB and MSP days.</w:t>
      </w:r>
      <w:r w:rsidRPr="006105B9">
        <w:rPr>
          <w:rFonts w:ascii="Times New Roman" w:hAnsi="Times New Roman"/>
          <w:sz w:val="24"/>
          <w:szCs w:val="24"/>
        </w:rPr>
        <w:t xml:space="preserve">  The stat</w:t>
      </w:r>
      <w:r w:rsidRPr="00013469">
        <w:rPr>
          <w:rFonts w:ascii="Times New Roman" w:hAnsi="Times New Roman"/>
          <w:sz w:val="24"/>
          <w:szCs w:val="24"/>
        </w:rPr>
        <w:t xml:space="preserve">utory basis for the Providers to obtain the data is the Medicare Prescription Drug, Improvement and Modernization Act of 2003 (Pub. L. 108-173) (the “MMA”).  Section 951 of the MMA directed the Secretary to begin providing hospitals the information necessary to “compute the number of patient days used in computing the disproportionate patient percentage” no later than December 8, 2004.  </w:t>
      </w:r>
    </w:p>
    <w:p w14:paraId="644E9940" w14:textId="77777777" w:rsidR="005F1D1B" w:rsidRDefault="005F1D1B" w:rsidP="005F1D1B">
      <w:pPr>
        <w:spacing w:line="480" w:lineRule="auto"/>
        <w:jc w:val="both"/>
        <w:rPr>
          <w:rFonts w:ascii="Times New Roman" w:hAnsi="Times New Roman"/>
          <w:sz w:val="24"/>
          <w:szCs w:val="24"/>
        </w:rPr>
      </w:pPr>
    </w:p>
    <w:p w14:paraId="753A58DC" w14:textId="4EA9D49E" w:rsidR="00194FF7" w:rsidRPr="00013469" w:rsidRDefault="00194FF7" w:rsidP="005F1D1B">
      <w:pPr>
        <w:spacing w:line="480" w:lineRule="auto"/>
        <w:jc w:val="both"/>
        <w:rPr>
          <w:rFonts w:ascii="Times New Roman" w:hAnsi="Times New Roman"/>
          <w:sz w:val="24"/>
          <w:szCs w:val="24"/>
        </w:rPr>
      </w:pPr>
      <w:r w:rsidRPr="00013469">
        <w:rPr>
          <w:rFonts w:ascii="Times New Roman" w:hAnsi="Times New Roman"/>
          <w:sz w:val="24"/>
          <w:szCs w:val="24"/>
        </w:rPr>
        <w:t>The Secretary published her method for complying with the MMA in the August 12, 2005 Federal Register.  CMS explained that:</w:t>
      </w:r>
    </w:p>
    <w:p w14:paraId="5A6FEBDA" w14:textId="77777777" w:rsidR="00194FF7" w:rsidRPr="00013469" w:rsidRDefault="00194FF7" w:rsidP="00707602">
      <w:pPr>
        <w:spacing w:after="240"/>
        <w:ind w:left="720" w:right="720"/>
        <w:jc w:val="both"/>
        <w:rPr>
          <w:rFonts w:ascii="Times New Roman" w:hAnsi="Times New Roman"/>
          <w:sz w:val="24"/>
          <w:szCs w:val="24"/>
        </w:rPr>
      </w:pPr>
      <w:r w:rsidRPr="00013469">
        <w:rPr>
          <w:rFonts w:ascii="Times New Roman" w:hAnsi="Times New Roman"/>
          <w:sz w:val="24"/>
          <w:szCs w:val="24"/>
        </w:rPr>
        <w:t>We interpret section 951 to require the Secretary to arrange to furnish to hospitals the data necessary to calculate both the Medicare and Medicaid fractions.  With respect to both the Medicare and Medicaid fractions, we interpret section 951 to require CMS to arrange to furnish the personally identifiable information that would enable a hospital to compare and verify its records, in the case of the Medicare fraction, against the [sic] CMS’ records, and in the case of the Medicaid fraction, against the State Medicaid agency’s records.</w:t>
      </w:r>
      <w:r>
        <w:rPr>
          <w:rStyle w:val="FootnoteReference"/>
          <w:rFonts w:ascii="Times New Roman" w:hAnsi="Times New Roman"/>
          <w:sz w:val="24"/>
          <w:szCs w:val="24"/>
        </w:rPr>
        <w:footnoteReference w:id="25"/>
      </w:r>
    </w:p>
    <w:p w14:paraId="12B7F4D2" w14:textId="77777777" w:rsidR="00194FF7" w:rsidRPr="00013469" w:rsidRDefault="00194FF7" w:rsidP="005F1D1B">
      <w:pPr>
        <w:spacing w:line="480" w:lineRule="auto"/>
        <w:jc w:val="both"/>
        <w:rPr>
          <w:rFonts w:ascii="Times New Roman" w:hAnsi="Times New Roman"/>
          <w:sz w:val="24"/>
          <w:szCs w:val="24"/>
        </w:rPr>
      </w:pPr>
      <w:r w:rsidRPr="00013469">
        <w:rPr>
          <w:rFonts w:ascii="Times New Roman" w:hAnsi="Times New Roman"/>
          <w:sz w:val="24"/>
          <w:szCs w:val="24"/>
        </w:rPr>
        <w:t>Specifically, CMS stated that it calculated the Medicare fraction using data from the “MedPAR LDS,” which was established in a notice published in the August 18, 2000 Federal Register (65 FR 50,548).</w:t>
      </w:r>
      <w:r>
        <w:rPr>
          <w:rStyle w:val="FootnoteReference"/>
          <w:rFonts w:ascii="Times New Roman" w:hAnsi="Times New Roman"/>
          <w:sz w:val="24"/>
          <w:szCs w:val="24"/>
        </w:rPr>
        <w:footnoteReference w:id="26"/>
      </w:r>
      <w:r w:rsidRPr="00013469">
        <w:rPr>
          <w:rFonts w:ascii="Times New Roman" w:hAnsi="Times New Roman"/>
          <w:sz w:val="24"/>
          <w:szCs w:val="24"/>
        </w:rPr>
        <w:t xml:space="preserve">  The notice explained that “MedPAR LDS contains a summary of all services furnished to a Medicare beneficiary, from the time of admission through discharge, for a stay in an inpatient hospital or skilled nursing facility, or both; SSI eligibility information; and enrollment data on Medicare beneficiaries.”</w:t>
      </w:r>
      <w:r>
        <w:rPr>
          <w:rStyle w:val="FootnoteReference"/>
          <w:rFonts w:ascii="Times New Roman" w:hAnsi="Times New Roman"/>
          <w:sz w:val="24"/>
          <w:szCs w:val="24"/>
        </w:rPr>
        <w:footnoteReference w:id="27"/>
      </w:r>
      <w:r w:rsidRPr="00013469">
        <w:rPr>
          <w:rFonts w:ascii="Times New Roman" w:hAnsi="Times New Roman"/>
          <w:sz w:val="24"/>
          <w:szCs w:val="24"/>
        </w:rPr>
        <w:t xml:space="preserve">  CMS determined that it would comply with Section 951 of the MMA by releasing the MedPAR LDS data to providers:  </w:t>
      </w:r>
    </w:p>
    <w:p w14:paraId="18E4E474" w14:textId="08A7056E" w:rsidR="00194FF7" w:rsidRDefault="00194FF7" w:rsidP="005F1D1B">
      <w:pPr>
        <w:ind w:left="720" w:right="720"/>
        <w:jc w:val="both"/>
        <w:rPr>
          <w:rFonts w:ascii="Times New Roman" w:hAnsi="Times New Roman"/>
          <w:sz w:val="24"/>
          <w:szCs w:val="24"/>
        </w:rPr>
      </w:pPr>
      <w:r w:rsidRPr="00013469">
        <w:rPr>
          <w:rFonts w:ascii="Times New Roman" w:hAnsi="Times New Roman"/>
          <w:sz w:val="24"/>
          <w:szCs w:val="24"/>
        </w:rPr>
        <w:lastRenderedPageBreak/>
        <w:t>Beginning with cost reporting periods that include December 8, 2004 (within one year of the date of enactment of Pub. L. 108-173), we will arrange to furnish, consistent with the Privacy Act, MedPAR LDS data for a hospital’s patients eligible for both SSI and Medicare at the hospital’s request, regardless of whether there is a properly pending appeal relating to DSH payments.  We will make the information available for either the Federal fiscal year or, if the hospital’s fiscal year differs from the Federal fiscal year, for the months included in the Federal fiscal years that encompass the hospital’s cost reporting period.  Under this provision, the hospital will be able to use these [this] data to calculate and verify its Medicare fraction, and to decide whether it prefers to have the fraction determined on the basis of its fiscal year rather than a Federal fiscal year.  The data set made available to hospitals will be the same data set CMS uses to calculate the Medicare fractions for the Federal fiscal year.</w:t>
      </w:r>
      <w:r>
        <w:rPr>
          <w:rStyle w:val="FootnoteReference"/>
          <w:rFonts w:ascii="Times New Roman" w:hAnsi="Times New Roman"/>
          <w:sz w:val="24"/>
          <w:szCs w:val="24"/>
        </w:rPr>
        <w:footnoteReference w:id="28"/>
      </w:r>
      <w:r w:rsidRPr="00013469">
        <w:rPr>
          <w:rFonts w:ascii="Times New Roman" w:hAnsi="Times New Roman"/>
          <w:sz w:val="24"/>
          <w:szCs w:val="24"/>
        </w:rPr>
        <w:t xml:space="preserve">  </w:t>
      </w:r>
    </w:p>
    <w:p w14:paraId="0A87F0DB" w14:textId="77777777" w:rsidR="005F1D1B" w:rsidRPr="00013469" w:rsidRDefault="005F1D1B" w:rsidP="005F1D1B">
      <w:pPr>
        <w:ind w:left="720" w:right="720"/>
        <w:jc w:val="both"/>
        <w:rPr>
          <w:rFonts w:ascii="Times New Roman" w:hAnsi="Times New Roman"/>
          <w:sz w:val="24"/>
          <w:szCs w:val="24"/>
        </w:rPr>
      </w:pPr>
    </w:p>
    <w:p w14:paraId="0F918BB4" w14:textId="7AD288A1" w:rsidR="00194FF7" w:rsidRPr="00304DDF" w:rsidRDefault="00194FF7" w:rsidP="005F1D1B">
      <w:pPr>
        <w:spacing w:line="480" w:lineRule="auto"/>
        <w:jc w:val="both"/>
        <w:rPr>
          <w:rFonts w:ascii="Times New Roman" w:hAnsi="Times New Roman"/>
          <w:sz w:val="24"/>
          <w:szCs w:val="24"/>
        </w:rPr>
      </w:pPr>
      <w:r w:rsidRPr="00304DDF">
        <w:rPr>
          <w:rFonts w:ascii="Times New Roman" w:hAnsi="Times New Roman"/>
          <w:sz w:val="24"/>
          <w:szCs w:val="24"/>
        </w:rPr>
        <w:t>The Providers in this group have requested and received the MedPAR LDS data from CMS.</w:t>
      </w:r>
      <w:r w:rsidRPr="00304DDF">
        <w:rPr>
          <w:rStyle w:val="FootnoteReference"/>
          <w:rFonts w:ascii="Times New Roman" w:hAnsi="Times New Roman"/>
          <w:sz w:val="24"/>
          <w:szCs w:val="24"/>
        </w:rPr>
        <w:footnoteReference w:id="29"/>
      </w:r>
      <w:r w:rsidRPr="00304DDF">
        <w:rPr>
          <w:rFonts w:ascii="Times New Roman" w:hAnsi="Times New Roman"/>
          <w:sz w:val="24"/>
          <w:szCs w:val="24"/>
        </w:rPr>
        <w:t xml:space="preserve">  CMS has therefore complied with the statutory and regulatory requirements compelling it to provide the data necessary for the Providers to confirm that the </w:t>
      </w:r>
      <w:r w:rsidR="00D77127" w:rsidRPr="00304DDF">
        <w:rPr>
          <w:rFonts w:ascii="Times New Roman" w:hAnsi="Times New Roman"/>
          <w:sz w:val="24"/>
          <w:szCs w:val="24"/>
        </w:rPr>
        <w:t xml:space="preserve">Medicaid fraction </w:t>
      </w:r>
      <w:r w:rsidRPr="00304DDF">
        <w:rPr>
          <w:rFonts w:ascii="Times New Roman" w:hAnsi="Times New Roman"/>
          <w:sz w:val="24"/>
          <w:szCs w:val="24"/>
        </w:rPr>
        <w:t xml:space="preserve">was properly computed.  Although CMS has complied with its statutory obligations, the Providers claim that the data received is insufficient to identify any patients </w:t>
      </w:r>
      <w:r w:rsidR="00D77127" w:rsidRPr="00304DDF">
        <w:rPr>
          <w:rFonts w:ascii="Times New Roman" w:hAnsi="Times New Roman"/>
          <w:sz w:val="24"/>
          <w:szCs w:val="24"/>
        </w:rPr>
        <w:t>who also have Medicaid coverage</w:t>
      </w:r>
      <w:r w:rsidRPr="00304DDF">
        <w:rPr>
          <w:rFonts w:ascii="Times New Roman" w:hAnsi="Times New Roman"/>
          <w:sz w:val="24"/>
          <w:szCs w:val="24"/>
        </w:rPr>
        <w:t xml:space="preserve">.  </w:t>
      </w:r>
    </w:p>
    <w:p w14:paraId="1F03F002" w14:textId="77777777" w:rsidR="005F1D1B" w:rsidRPr="00304DDF" w:rsidRDefault="005F1D1B" w:rsidP="005F1D1B">
      <w:pPr>
        <w:spacing w:line="480" w:lineRule="auto"/>
        <w:jc w:val="both"/>
        <w:rPr>
          <w:rFonts w:ascii="Times New Roman" w:hAnsi="Times New Roman"/>
          <w:sz w:val="24"/>
          <w:szCs w:val="24"/>
        </w:rPr>
      </w:pPr>
    </w:p>
    <w:p w14:paraId="0B82D8CD" w14:textId="10581AAC" w:rsidR="00194FF7" w:rsidRPr="00013469" w:rsidRDefault="00194FF7" w:rsidP="005F1D1B">
      <w:pPr>
        <w:spacing w:line="480" w:lineRule="auto"/>
        <w:jc w:val="both"/>
        <w:rPr>
          <w:rFonts w:ascii="Times New Roman" w:hAnsi="Times New Roman"/>
          <w:sz w:val="24"/>
          <w:szCs w:val="24"/>
        </w:rPr>
      </w:pPr>
      <w:r w:rsidRPr="00304DDF">
        <w:rPr>
          <w:rFonts w:ascii="Times New Roman" w:hAnsi="Times New Roman"/>
          <w:sz w:val="24"/>
          <w:szCs w:val="24"/>
        </w:rPr>
        <w:t>The Providers have failed to identify any discrepancies in the MedPAR data and have failed to carry their burden of proof and persuasion.  The Providers here have not shown that errors still remain in the</w:t>
      </w:r>
      <w:r w:rsidR="00D77127" w:rsidRPr="00304DDF">
        <w:rPr>
          <w:rFonts w:ascii="Times New Roman" w:hAnsi="Times New Roman"/>
          <w:sz w:val="24"/>
          <w:szCs w:val="24"/>
        </w:rPr>
        <w:t xml:space="preserve"> Medicaid fraction</w:t>
      </w:r>
      <w:r w:rsidRPr="00304DDF">
        <w:rPr>
          <w:rFonts w:ascii="Times New Roman" w:hAnsi="Times New Roman"/>
          <w:sz w:val="24"/>
          <w:szCs w:val="24"/>
        </w:rPr>
        <w:t>.  Therefore, the burden of proof remains on the Providers.  They cannot recover in their appeal when they failed to take the actions available to them that would allow them to potentially identify remaining errors to comply with the jurisdictional requirements.</w:t>
      </w:r>
      <w:r w:rsidRPr="00013469">
        <w:rPr>
          <w:rFonts w:ascii="Times New Roman" w:hAnsi="Times New Roman"/>
          <w:sz w:val="24"/>
          <w:szCs w:val="24"/>
        </w:rPr>
        <w:t xml:space="preserve">  </w:t>
      </w:r>
    </w:p>
    <w:p w14:paraId="4E965364" w14:textId="77777777" w:rsidR="00F64E7C" w:rsidRDefault="00F64E7C" w:rsidP="00F64E7C">
      <w:pPr>
        <w:autoSpaceDE w:val="0"/>
        <w:autoSpaceDN w:val="0"/>
        <w:adjustRightInd w:val="0"/>
        <w:spacing w:line="480" w:lineRule="auto"/>
        <w:jc w:val="both"/>
        <w:rPr>
          <w:rFonts w:ascii="Times New Roman" w:hAnsi="Times New Roman"/>
          <w:sz w:val="24"/>
          <w:szCs w:val="24"/>
        </w:rPr>
      </w:pPr>
    </w:p>
    <w:p w14:paraId="780A02A2" w14:textId="3281C51F" w:rsidR="00F64E7C" w:rsidRPr="005F1D1B" w:rsidRDefault="00F64E7C" w:rsidP="005F1D1B">
      <w:pPr>
        <w:spacing w:line="480" w:lineRule="auto"/>
        <w:contextualSpacing/>
        <w:rPr>
          <w:rFonts w:ascii="Times New Roman" w:hAnsi="Times New Roman"/>
          <w:b/>
          <w:sz w:val="24"/>
          <w:szCs w:val="24"/>
        </w:rPr>
      </w:pPr>
      <w:r w:rsidRPr="005F1D1B">
        <w:rPr>
          <w:rFonts w:ascii="Times New Roman" w:hAnsi="Times New Roman"/>
          <w:b/>
          <w:sz w:val="24"/>
          <w:szCs w:val="24"/>
        </w:rPr>
        <w:t>CONCLUSION</w:t>
      </w:r>
    </w:p>
    <w:p w14:paraId="1B5F841D" w14:textId="1A1A0EFE" w:rsidR="00F64E7C" w:rsidRDefault="00F64E7C" w:rsidP="00F64E7C">
      <w:pPr>
        <w:tabs>
          <w:tab w:val="left" w:pos="0"/>
        </w:tabs>
        <w:suppressAutoHyphens/>
        <w:spacing w:line="480" w:lineRule="auto"/>
        <w:jc w:val="both"/>
        <w:rPr>
          <w:rFonts w:ascii="Times New Roman" w:hAnsi="Times New Roman"/>
          <w:sz w:val="24"/>
          <w:szCs w:val="24"/>
        </w:rPr>
      </w:pPr>
      <w:r w:rsidRPr="00B462DB">
        <w:rPr>
          <w:rFonts w:ascii="Times New Roman" w:hAnsi="Times New Roman"/>
          <w:sz w:val="24"/>
          <w:szCs w:val="24"/>
        </w:rPr>
        <w:t xml:space="preserve">The MAC </w:t>
      </w:r>
      <w:r>
        <w:rPr>
          <w:rFonts w:ascii="Times New Roman" w:hAnsi="Times New Roman"/>
          <w:sz w:val="24"/>
          <w:szCs w:val="24"/>
        </w:rPr>
        <w:t>contends</w:t>
      </w:r>
      <w:r w:rsidRPr="00B462DB">
        <w:rPr>
          <w:rFonts w:ascii="Times New Roman" w:hAnsi="Times New Roman"/>
          <w:sz w:val="24"/>
          <w:szCs w:val="24"/>
        </w:rPr>
        <w:t xml:space="preserve"> that </w:t>
      </w:r>
      <w:r>
        <w:rPr>
          <w:rFonts w:ascii="Times New Roman" w:hAnsi="Times New Roman"/>
          <w:sz w:val="24"/>
          <w:szCs w:val="24"/>
        </w:rPr>
        <w:t>it was proper to treat e</w:t>
      </w:r>
      <w:r w:rsidRPr="00B462DB">
        <w:rPr>
          <w:rFonts w:ascii="Times New Roman" w:hAnsi="Times New Roman"/>
          <w:sz w:val="24"/>
          <w:szCs w:val="24"/>
        </w:rPr>
        <w:t>xhausted benefit days</w:t>
      </w:r>
      <w:r>
        <w:rPr>
          <w:rFonts w:ascii="Times New Roman" w:hAnsi="Times New Roman"/>
          <w:sz w:val="24"/>
          <w:szCs w:val="24"/>
        </w:rPr>
        <w:t>, including dual-eligible exhausted benefit days,</w:t>
      </w:r>
      <w:r w:rsidRPr="00B462DB">
        <w:rPr>
          <w:rFonts w:ascii="Times New Roman" w:hAnsi="Times New Roman"/>
          <w:sz w:val="24"/>
          <w:szCs w:val="24"/>
        </w:rPr>
        <w:t xml:space="preserve"> </w:t>
      </w:r>
      <w:r>
        <w:rPr>
          <w:rFonts w:ascii="Times New Roman" w:hAnsi="Times New Roman"/>
          <w:sz w:val="24"/>
          <w:szCs w:val="24"/>
        </w:rPr>
        <w:t xml:space="preserve">as entitled to benefits under Part A, and properly </w:t>
      </w:r>
      <w:r w:rsidRPr="00D402B9">
        <w:rPr>
          <w:rFonts w:ascii="Times New Roman" w:hAnsi="Times New Roman"/>
          <w:sz w:val="24"/>
          <w:szCs w:val="24"/>
        </w:rPr>
        <w:t xml:space="preserve">excluded </w:t>
      </w:r>
      <w:r>
        <w:rPr>
          <w:rFonts w:ascii="Times New Roman" w:hAnsi="Times New Roman"/>
          <w:sz w:val="24"/>
          <w:szCs w:val="24"/>
        </w:rPr>
        <w:t xml:space="preserve">those </w:t>
      </w:r>
      <w:r w:rsidRPr="00D402B9">
        <w:rPr>
          <w:rFonts w:ascii="Times New Roman" w:hAnsi="Times New Roman"/>
          <w:sz w:val="24"/>
          <w:szCs w:val="24"/>
        </w:rPr>
        <w:t xml:space="preserve">days from the </w:t>
      </w:r>
      <w:r>
        <w:rPr>
          <w:rFonts w:ascii="Times New Roman" w:hAnsi="Times New Roman"/>
          <w:sz w:val="24"/>
          <w:szCs w:val="24"/>
        </w:rPr>
        <w:t xml:space="preserve">numerator </w:t>
      </w:r>
      <w:r w:rsidRPr="00D402B9">
        <w:rPr>
          <w:rFonts w:ascii="Times New Roman" w:hAnsi="Times New Roman"/>
          <w:sz w:val="24"/>
          <w:szCs w:val="24"/>
        </w:rPr>
        <w:t>Medicaid fraction</w:t>
      </w:r>
      <w:r w:rsidRPr="00B462DB">
        <w:rPr>
          <w:rFonts w:ascii="Times New Roman" w:hAnsi="Times New Roman"/>
          <w:sz w:val="24"/>
          <w:szCs w:val="24"/>
        </w:rPr>
        <w:t xml:space="preserve"> of the </w:t>
      </w:r>
      <w:r>
        <w:rPr>
          <w:rFonts w:ascii="Times New Roman" w:hAnsi="Times New Roman"/>
          <w:sz w:val="24"/>
          <w:szCs w:val="24"/>
        </w:rPr>
        <w:t xml:space="preserve">Providers’ DPP.  The MAC’s DPP and DSH calculations </w:t>
      </w:r>
      <w:r w:rsidRPr="00B462DB">
        <w:rPr>
          <w:rFonts w:ascii="Times New Roman" w:hAnsi="Times New Roman"/>
          <w:sz w:val="24"/>
          <w:szCs w:val="24"/>
        </w:rPr>
        <w:t xml:space="preserve">are supported by the </w:t>
      </w:r>
      <w:r>
        <w:rPr>
          <w:rFonts w:ascii="Times New Roman" w:hAnsi="Times New Roman"/>
          <w:sz w:val="24"/>
          <w:szCs w:val="24"/>
        </w:rPr>
        <w:t xml:space="preserve">judicial decisions in the Sixth </w:t>
      </w:r>
      <w:r w:rsidR="008F480A">
        <w:rPr>
          <w:rFonts w:ascii="Times New Roman" w:hAnsi="Times New Roman"/>
          <w:sz w:val="24"/>
          <w:szCs w:val="24"/>
        </w:rPr>
        <w:t xml:space="preserve">Circuit, </w:t>
      </w:r>
      <w:r>
        <w:rPr>
          <w:rFonts w:ascii="Times New Roman" w:hAnsi="Times New Roman"/>
          <w:sz w:val="24"/>
          <w:szCs w:val="24"/>
        </w:rPr>
        <w:t>D.C. Circuit</w:t>
      </w:r>
      <w:r w:rsidR="008F480A">
        <w:rPr>
          <w:rFonts w:ascii="Times New Roman" w:hAnsi="Times New Roman"/>
          <w:sz w:val="24"/>
          <w:szCs w:val="24"/>
        </w:rPr>
        <w:t xml:space="preserve"> and Supreme Court</w:t>
      </w:r>
      <w:r>
        <w:rPr>
          <w:rFonts w:ascii="Times New Roman" w:hAnsi="Times New Roman"/>
          <w:sz w:val="24"/>
          <w:szCs w:val="24"/>
        </w:rPr>
        <w:t xml:space="preserve">.  </w:t>
      </w:r>
      <w:r w:rsidRPr="00B462DB">
        <w:rPr>
          <w:rFonts w:ascii="Times New Roman" w:hAnsi="Times New Roman"/>
          <w:sz w:val="24"/>
          <w:szCs w:val="24"/>
        </w:rPr>
        <w:t xml:space="preserve">Thus, the Board should </w:t>
      </w:r>
      <w:r>
        <w:rPr>
          <w:rFonts w:ascii="Times New Roman" w:hAnsi="Times New Roman"/>
          <w:sz w:val="24"/>
          <w:szCs w:val="24"/>
        </w:rPr>
        <w:t>uphold the MAC’s calculations of the Providers’ DPPs and DSH payments.</w:t>
      </w:r>
      <w:r w:rsidRPr="00B462DB">
        <w:rPr>
          <w:rFonts w:ascii="Times New Roman" w:hAnsi="Times New Roman"/>
          <w:sz w:val="24"/>
          <w:szCs w:val="24"/>
        </w:rPr>
        <w:t xml:space="preserve">  </w:t>
      </w:r>
    </w:p>
    <w:p w14:paraId="3A5C1FA2" w14:textId="77777777" w:rsidR="00F64E7C" w:rsidRDefault="00F64E7C" w:rsidP="00F64E7C">
      <w:pPr>
        <w:tabs>
          <w:tab w:val="left" w:pos="0"/>
        </w:tabs>
        <w:suppressAutoHyphens/>
        <w:spacing w:line="480" w:lineRule="auto"/>
        <w:jc w:val="both"/>
        <w:rPr>
          <w:rFonts w:ascii="Times New Roman" w:hAnsi="Times New Roman"/>
          <w:sz w:val="24"/>
          <w:szCs w:val="24"/>
        </w:rPr>
      </w:pPr>
    </w:p>
    <w:p w14:paraId="7B364E2F" w14:textId="77777777" w:rsidR="00F64E7C" w:rsidRDefault="00F64E7C" w:rsidP="00F64E7C">
      <w:pPr>
        <w:tabs>
          <w:tab w:val="left" w:pos="0"/>
        </w:tabs>
        <w:suppressAutoHyphens/>
        <w:spacing w:line="480" w:lineRule="auto"/>
        <w:jc w:val="both"/>
        <w:rPr>
          <w:rFonts w:ascii="Times New Roman" w:hAnsi="Times New Roman"/>
          <w:sz w:val="24"/>
          <w:szCs w:val="24"/>
        </w:rPr>
      </w:pPr>
    </w:p>
    <w:p w14:paraId="6D625416" w14:textId="77777777" w:rsidR="00F64E7C" w:rsidRDefault="00F64E7C" w:rsidP="00F64E7C">
      <w:pPr>
        <w:tabs>
          <w:tab w:val="left" w:pos="0"/>
        </w:tabs>
        <w:suppressAutoHyphens/>
        <w:spacing w:line="480" w:lineRule="auto"/>
        <w:jc w:val="both"/>
        <w:rPr>
          <w:rFonts w:ascii="Times New Roman" w:hAnsi="Times New Roman"/>
          <w:sz w:val="24"/>
          <w:szCs w:val="24"/>
        </w:rPr>
      </w:pPr>
    </w:p>
    <w:p w14:paraId="2D38E77D" w14:textId="16CD53E3" w:rsidR="00F64E7C" w:rsidRPr="00A410D9" w:rsidRDefault="00021BF8" w:rsidP="00C23E4B">
      <w:pPr>
        <w:tabs>
          <w:tab w:val="left" w:pos="-1440"/>
          <w:tab w:val="left" w:pos="-720"/>
          <w:tab w:val="left" w:pos="720"/>
          <w:tab w:val="left" w:pos="1800"/>
          <w:tab w:val="left" w:pos="7501"/>
          <w:tab w:val="left" w:pos="8136"/>
          <w:tab w:val="left" w:pos="8640"/>
        </w:tabs>
        <w:suppressAutoHyphens/>
        <w:rPr>
          <w:rFonts w:ascii="Times New Roman" w:hAnsi="Times New Roman"/>
          <w:sz w:val="24"/>
          <w:szCs w:val="24"/>
        </w:rPr>
      </w:pPr>
      <w:r>
        <w:rPr>
          <w:rFonts w:ascii="Times New Roman" w:hAnsi="Times New Roman"/>
          <w:sz w:val="24"/>
          <w:szCs w:val="24"/>
        </w:rPr>
        <w:br w:type="page"/>
      </w:r>
      <w:r>
        <w:rPr>
          <w:rFonts w:ascii="Times New Roman" w:hAnsi="Times New Roman"/>
          <w:sz w:val="24"/>
          <w:szCs w:val="24"/>
        </w:rPr>
        <w:lastRenderedPageBreak/>
        <w:t>IV.</w:t>
      </w:r>
      <w:r w:rsidR="00F64E7C">
        <w:rPr>
          <w:rFonts w:ascii="Times New Roman" w:hAnsi="Times New Roman"/>
          <w:sz w:val="24"/>
          <w:szCs w:val="24"/>
        </w:rPr>
        <w:t xml:space="preserve"> </w:t>
      </w:r>
      <w:r>
        <w:rPr>
          <w:rFonts w:ascii="Times New Roman" w:hAnsi="Times New Roman"/>
          <w:sz w:val="24"/>
          <w:szCs w:val="24"/>
        </w:rPr>
        <w:tab/>
      </w:r>
      <w:r w:rsidR="00A33C04">
        <w:rPr>
          <w:rFonts w:ascii="Times New Roman" w:hAnsi="Times New Roman"/>
          <w:sz w:val="24"/>
          <w:szCs w:val="24"/>
        </w:rPr>
        <w:t>LAW, REGULATIONS, AND PROGRAM INSTRUCTIONS</w:t>
      </w:r>
    </w:p>
    <w:p w14:paraId="7B1561FA" w14:textId="77777777" w:rsidR="00F64E7C" w:rsidRDefault="00F64E7C" w:rsidP="00F64E7C">
      <w:pPr>
        <w:tabs>
          <w:tab w:val="left" w:pos="-1440"/>
          <w:tab w:val="left" w:pos="-720"/>
          <w:tab w:val="left" w:pos="180"/>
          <w:tab w:val="left" w:pos="720"/>
          <w:tab w:val="left" w:pos="1194"/>
          <w:tab w:val="left" w:pos="1685"/>
        </w:tabs>
        <w:suppressAutoHyphens/>
        <w:ind w:left="720"/>
        <w:rPr>
          <w:rFonts w:ascii="Times New Roman" w:hAnsi="Times New Roman"/>
          <w:sz w:val="24"/>
          <w:szCs w:val="24"/>
        </w:rPr>
      </w:pPr>
    </w:p>
    <w:p w14:paraId="028A275D" w14:textId="6C3E5EF3" w:rsidR="00A33C04" w:rsidRPr="008428E5" w:rsidRDefault="00A33C04" w:rsidP="00A33C04">
      <w:pPr>
        <w:tabs>
          <w:tab w:val="left" w:pos="-1440"/>
          <w:tab w:val="left" w:pos="-720"/>
          <w:tab w:val="left" w:pos="180"/>
          <w:tab w:val="left" w:pos="720"/>
          <w:tab w:val="left" w:pos="1194"/>
          <w:tab w:val="left" w:pos="1685"/>
        </w:tabs>
        <w:suppressAutoHyphens/>
        <w:rPr>
          <w:rFonts w:ascii="Times New Roman" w:hAnsi="Times New Roman"/>
          <w:sz w:val="24"/>
          <w:szCs w:val="24"/>
        </w:rPr>
      </w:pPr>
      <w:r>
        <w:rPr>
          <w:rFonts w:ascii="Times New Roman" w:hAnsi="Times New Roman"/>
          <w:sz w:val="24"/>
          <w:szCs w:val="24"/>
        </w:rPr>
        <w:t>Other Sources:</w:t>
      </w:r>
    </w:p>
    <w:p w14:paraId="7E5C9D2B" w14:textId="77777777" w:rsidR="00F64E7C" w:rsidRPr="009275DE" w:rsidRDefault="00F64E7C" w:rsidP="00F64E7C">
      <w:pPr>
        <w:tabs>
          <w:tab w:val="left" w:pos="-2088"/>
          <w:tab w:val="left" w:pos="-1368"/>
          <w:tab w:val="left" w:pos="720"/>
          <w:tab w:val="left" w:pos="1926"/>
          <w:tab w:val="left" w:pos="7500"/>
          <w:tab w:val="left" w:pos="8136"/>
        </w:tabs>
        <w:ind w:left="720"/>
        <w:jc w:val="both"/>
        <w:rPr>
          <w:rFonts w:ascii="Times New Roman" w:hAnsi="Times New Roman"/>
          <w:b/>
          <w:sz w:val="24"/>
          <w:szCs w:val="24"/>
        </w:rPr>
      </w:pPr>
      <w:r w:rsidRPr="009275DE">
        <w:rPr>
          <w:rFonts w:ascii="Times New Roman" w:hAnsi="Times New Roman"/>
          <w:b/>
          <w:sz w:val="24"/>
          <w:szCs w:val="24"/>
        </w:rPr>
        <w:t>United States Statutes</w:t>
      </w:r>
    </w:p>
    <w:p w14:paraId="42066372" w14:textId="77777777" w:rsidR="00F64E7C" w:rsidRPr="009275DE" w:rsidRDefault="00F64E7C" w:rsidP="00F64E7C">
      <w:pPr>
        <w:tabs>
          <w:tab w:val="left" w:pos="-2088"/>
          <w:tab w:val="left" w:pos="-1368"/>
          <w:tab w:val="left" w:pos="720"/>
          <w:tab w:val="left" w:pos="1926"/>
          <w:tab w:val="left" w:pos="7500"/>
          <w:tab w:val="left" w:pos="8136"/>
        </w:tabs>
        <w:ind w:left="720"/>
        <w:jc w:val="both"/>
        <w:rPr>
          <w:rFonts w:ascii="Times New Roman" w:hAnsi="Times New Roman"/>
          <w:sz w:val="24"/>
          <w:szCs w:val="24"/>
        </w:rPr>
      </w:pPr>
    </w:p>
    <w:p w14:paraId="0A21EAC1" w14:textId="77777777" w:rsidR="00F64E7C" w:rsidRPr="007605CC" w:rsidRDefault="00F64E7C" w:rsidP="00F64E7C">
      <w:pPr>
        <w:ind w:firstLine="720"/>
        <w:rPr>
          <w:rFonts w:ascii="Times New Roman" w:hAnsi="Times New Roman"/>
          <w:sz w:val="24"/>
          <w:szCs w:val="24"/>
        </w:rPr>
      </w:pPr>
      <w:r w:rsidRPr="007605CC">
        <w:rPr>
          <w:rFonts w:ascii="Times New Roman" w:hAnsi="Times New Roman"/>
          <w:sz w:val="24"/>
          <w:szCs w:val="24"/>
        </w:rPr>
        <w:t>42 U.S.C. § 426</w:t>
      </w:r>
      <w:r>
        <w:rPr>
          <w:rFonts w:ascii="Times New Roman" w:hAnsi="Times New Roman"/>
          <w:sz w:val="24"/>
          <w:szCs w:val="24"/>
        </w:rPr>
        <w:t>(a)</w:t>
      </w:r>
    </w:p>
    <w:p w14:paraId="52379586" w14:textId="355D1C49" w:rsidR="00F64E7C" w:rsidRDefault="00F64E7C" w:rsidP="00F64E7C">
      <w:pPr>
        <w:ind w:firstLine="720"/>
        <w:rPr>
          <w:rFonts w:ascii="Times New Roman" w:hAnsi="Times New Roman"/>
          <w:sz w:val="24"/>
          <w:szCs w:val="24"/>
        </w:rPr>
      </w:pPr>
      <w:r w:rsidRPr="007605CC">
        <w:rPr>
          <w:rFonts w:ascii="Times New Roman" w:hAnsi="Times New Roman"/>
          <w:sz w:val="24"/>
          <w:szCs w:val="24"/>
        </w:rPr>
        <w:t>42 U.S.C. § 1395ww(d)(5)(F)</w:t>
      </w:r>
    </w:p>
    <w:p w14:paraId="7F65BCEA" w14:textId="77777777" w:rsidR="00021BF8" w:rsidRPr="00EA633C" w:rsidRDefault="00021BF8" w:rsidP="00021BF8">
      <w:pPr>
        <w:tabs>
          <w:tab w:val="left" w:pos="-2088"/>
          <w:tab w:val="left" w:pos="-1368"/>
          <w:tab w:val="left" w:pos="720"/>
          <w:tab w:val="left" w:pos="1926"/>
          <w:tab w:val="left" w:pos="7500"/>
          <w:tab w:val="left" w:pos="8136"/>
        </w:tabs>
        <w:ind w:left="720"/>
        <w:jc w:val="both"/>
        <w:rPr>
          <w:rFonts w:ascii="Times New Roman" w:hAnsi="Times New Roman"/>
          <w:sz w:val="24"/>
          <w:szCs w:val="24"/>
        </w:rPr>
      </w:pPr>
      <w:r w:rsidRPr="00EA633C">
        <w:rPr>
          <w:rFonts w:ascii="Times New Roman" w:hAnsi="Times New Roman"/>
          <w:sz w:val="24"/>
          <w:szCs w:val="24"/>
        </w:rPr>
        <w:t>Medicare Prescription Drug, Improvement and Modernization Act of 2003 (Pub. L. 108-173, § 951)</w:t>
      </w:r>
    </w:p>
    <w:p w14:paraId="5012E19A" w14:textId="77777777" w:rsidR="00021BF8" w:rsidRDefault="00021BF8" w:rsidP="00F64E7C">
      <w:pPr>
        <w:ind w:firstLine="720"/>
        <w:rPr>
          <w:rFonts w:ascii="Times New Roman" w:hAnsi="Times New Roman"/>
          <w:sz w:val="24"/>
          <w:szCs w:val="24"/>
        </w:rPr>
      </w:pPr>
    </w:p>
    <w:p w14:paraId="39702459" w14:textId="77777777" w:rsidR="00F64E7C" w:rsidRDefault="00F64E7C" w:rsidP="00F64E7C">
      <w:pPr>
        <w:ind w:firstLine="720"/>
        <w:rPr>
          <w:rFonts w:ascii="Times New Roman" w:hAnsi="Times New Roman"/>
          <w:sz w:val="24"/>
          <w:szCs w:val="24"/>
        </w:rPr>
      </w:pPr>
    </w:p>
    <w:p w14:paraId="1E2F4F0A" w14:textId="77777777" w:rsidR="00F64E7C" w:rsidRPr="009275DE" w:rsidRDefault="00F64E7C" w:rsidP="00F64E7C">
      <w:pPr>
        <w:tabs>
          <w:tab w:val="left" w:pos="-2088"/>
          <w:tab w:val="left" w:pos="-1368"/>
          <w:tab w:val="left" w:pos="720"/>
          <w:tab w:val="left" w:pos="1926"/>
          <w:tab w:val="left" w:pos="7500"/>
          <w:tab w:val="left" w:pos="8136"/>
        </w:tabs>
        <w:ind w:left="720"/>
        <w:jc w:val="both"/>
        <w:rPr>
          <w:rFonts w:ascii="Times New Roman" w:hAnsi="Times New Roman"/>
          <w:b/>
          <w:sz w:val="24"/>
          <w:szCs w:val="24"/>
        </w:rPr>
      </w:pPr>
      <w:r w:rsidRPr="009275DE">
        <w:rPr>
          <w:rFonts w:ascii="Times New Roman" w:hAnsi="Times New Roman"/>
          <w:b/>
          <w:sz w:val="24"/>
          <w:szCs w:val="24"/>
        </w:rPr>
        <w:t>Regulations</w:t>
      </w:r>
    </w:p>
    <w:p w14:paraId="17F7EAE8" w14:textId="77777777" w:rsidR="00F64E7C" w:rsidRDefault="00F64E7C" w:rsidP="00F64E7C">
      <w:pPr>
        <w:tabs>
          <w:tab w:val="left" w:pos="-2088"/>
          <w:tab w:val="left" w:pos="-1368"/>
          <w:tab w:val="left" w:pos="720"/>
          <w:tab w:val="left" w:pos="1926"/>
          <w:tab w:val="left" w:pos="7500"/>
          <w:tab w:val="left" w:pos="8136"/>
        </w:tabs>
        <w:ind w:left="720"/>
        <w:jc w:val="both"/>
        <w:rPr>
          <w:rFonts w:ascii="Times New Roman" w:hAnsi="Times New Roman"/>
          <w:noProof/>
          <w:sz w:val="24"/>
          <w:szCs w:val="24"/>
        </w:rPr>
      </w:pPr>
    </w:p>
    <w:p w14:paraId="1CFB8992" w14:textId="77777777" w:rsidR="00F64E7C" w:rsidRDefault="00F64E7C" w:rsidP="00F64E7C">
      <w:pPr>
        <w:tabs>
          <w:tab w:val="left" w:pos="-2088"/>
          <w:tab w:val="left" w:pos="-1368"/>
          <w:tab w:val="left" w:pos="720"/>
          <w:tab w:val="left" w:pos="1926"/>
          <w:tab w:val="left" w:pos="7500"/>
          <w:tab w:val="left" w:pos="8136"/>
        </w:tabs>
        <w:ind w:left="720"/>
        <w:jc w:val="both"/>
        <w:rPr>
          <w:rFonts w:ascii="Times New Roman" w:hAnsi="Times New Roman"/>
          <w:noProof/>
          <w:sz w:val="24"/>
          <w:szCs w:val="24"/>
        </w:rPr>
      </w:pPr>
      <w:r w:rsidRPr="00F35A92">
        <w:rPr>
          <w:rFonts w:ascii="Times New Roman" w:hAnsi="Times New Roman"/>
          <w:noProof/>
          <w:sz w:val="24"/>
          <w:szCs w:val="24"/>
        </w:rPr>
        <w:t>42 C.F.R. § 412.106</w:t>
      </w:r>
      <w:r>
        <w:rPr>
          <w:rFonts w:ascii="Times New Roman" w:hAnsi="Times New Roman"/>
          <w:noProof/>
          <w:sz w:val="24"/>
          <w:szCs w:val="24"/>
        </w:rPr>
        <w:t xml:space="preserve"> (10-01-13)</w:t>
      </w:r>
    </w:p>
    <w:p w14:paraId="78D95DDC" w14:textId="77777777" w:rsidR="00F64E7C" w:rsidRPr="00F35A92" w:rsidRDefault="00F64E7C" w:rsidP="00F64E7C">
      <w:pPr>
        <w:tabs>
          <w:tab w:val="left" w:pos="-2088"/>
          <w:tab w:val="left" w:pos="-1368"/>
          <w:tab w:val="left" w:pos="720"/>
          <w:tab w:val="left" w:pos="1926"/>
          <w:tab w:val="left" w:pos="7500"/>
          <w:tab w:val="left" w:pos="8136"/>
        </w:tabs>
        <w:ind w:left="720"/>
        <w:jc w:val="both"/>
        <w:rPr>
          <w:rFonts w:ascii="Times New Roman" w:hAnsi="Times New Roman"/>
          <w:noProof/>
          <w:sz w:val="24"/>
          <w:szCs w:val="24"/>
        </w:rPr>
      </w:pPr>
    </w:p>
    <w:p w14:paraId="45F2A720" w14:textId="77777777" w:rsidR="00F64E7C" w:rsidRDefault="00F64E7C" w:rsidP="00F64E7C">
      <w:pPr>
        <w:tabs>
          <w:tab w:val="left" w:pos="-2088"/>
          <w:tab w:val="left" w:pos="-1368"/>
          <w:tab w:val="left" w:pos="720"/>
          <w:tab w:val="left" w:pos="1926"/>
          <w:tab w:val="left" w:pos="7500"/>
          <w:tab w:val="left" w:pos="8136"/>
        </w:tabs>
        <w:ind w:left="720"/>
        <w:jc w:val="both"/>
        <w:rPr>
          <w:rFonts w:ascii="Times New Roman" w:hAnsi="Times New Roman"/>
          <w:noProof/>
          <w:sz w:val="24"/>
          <w:szCs w:val="24"/>
        </w:rPr>
      </w:pPr>
    </w:p>
    <w:p w14:paraId="0902472D" w14:textId="77777777" w:rsidR="00F64E7C" w:rsidRPr="00C91269" w:rsidRDefault="00F64E7C" w:rsidP="00F64E7C">
      <w:pPr>
        <w:tabs>
          <w:tab w:val="left" w:pos="-2088"/>
          <w:tab w:val="left" w:pos="-1368"/>
          <w:tab w:val="left" w:pos="720"/>
          <w:tab w:val="left" w:pos="1926"/>
          <w:tab w:val="left" w:pos="7500"/>
          <w:tab w:val="left" w:pos="8136"/>
        </w:tabs>
        <w:ind w:left="720"/>
        <w:jc w:val="both"/>
        <w:rPr>
          <w:rFonts w:ascii="Times New Roman" w:hAnsi="Times New Roman"/>
          <w:b/>
          <w:noProof/>
          <w:sz w:val="24"/>
          <w:szCs w:val="24"/>
        </w:rPr>
      </w:pPr>
      <w:r w:rsidRPr="00C91269">
        <w:rPr>
          <w:rFonts w:ascii="Times New Roman" w:hAnsi="Times New Roman"/>
          <w:b/>
          <w:noProof/>
          <w:sz w:val="24"/>
          <w:szCs w:val="24"/>
        </w:rPr>
        <w:t>Federal Register Notices</w:t>
      </w:r>
    </w:p>
    <w:p w14:paraId="377146F1" w14:textId="77777777" w:rsidR="00F64E7C" w:rsidRPr="00F35A92" w:rsidRDefault="00F64E7C" w:rsidP="00F64E7C">
      <w:pPr>
        <w:tabs>
          <w:tab w:val="left" w:pos="-2088"/>
          <w:tab w:val="left" w:pos="-1368"/>
          <w:tab w:val="left" w:pos="720"/>
          <w:tab w:val="left" w:pos="1926"/>
          <w:tab w:val="left" w:pos="7500"/>
          <w:tab w:val="left" w:pos="8136"/>
        </w:tabs>
        <w:ind w:left="720"/>
        <w:jc w:val="both"/>
        <w:rPr>
          <w:rFonts w:ascii="Times New Roman" w:hAnsi="Times New Roman"/>
          <w:noProof/>
          <w:sz w:val="24"/>
          <w:szCs w:val="24"/>
        </w:rPr>
      </w:pPr>
    </w:p>
    <w:p w14:paraId="0FBB4ADE" w14:textId="77777777" w:rsidR="00F64E7C" w:rsidRDefault="00F64E7C" w:rsidP="00F64E7C">
      <w:pPr>
        <w:tabs>
          <w:tab w:val="left" w:pos="-2088"/>
          <w:tab w:val="left" w:pos="-1368"/>
          <w:tab w:val="left" w:pos="720"/>
          <w:tab w:val="left" w:pos="1926"/>
          <w:tab w:val="left" w:pos="7500"/>
          <w:tab w:val="left" w:pos="8136"/>
        </w:tabs>
        <w:ind w:left="720"/>
        <w:jc w:val="both"/>
        <w:rPr>
          <w:rFonts w:ascii="Times New Roman" w:hAnsi="Times New Roman"/>
          <w:noProof/>
          <w:sz w:val="24"/>
          <w:szCs w:val="24"/>
        </w:rPr>
      </w:pPr>
      <w:r w:rsidRPr="00F35A92">
        <w:rPr>
          <w:rFonts w:ascii="Times New Roman" w:hAnsi="Times New Roman"/>
          <w:noProof/>
          <w:sz w:val="24"/>
          <w:szCs w:val="24"/>
        </w:rPr>
        <w:t>68 Fed. Reg. 27154, 27207</w:t>
      </w:r>
      <w:r>
        <w:rPr>
          <w:rFonts w:ascii="Times New Roman" w:hAnsi="Times New Roman"/>
          <w:noProof/>
          <w:sz w:val="24"/>
          <w:szCs w:val="24"/>
        </w:rPr>
        <w:t>-208</w:t>
      </w:r>
      <w:r w:rsidRPr="00F35A92">
        <w:rPr>
          <w:rFonts w:ascii="Times New Roman" w:hAnsi="Times New Roman"/>
          <w:noProof/>
          <w:sz w:val="24"/>
          <w:szCs w:val="24"/>
        </w:rPr>
        <w:t xml:space="preserve"> (May 19, 2003)</w:t>
      </w:r>
    </w:p>
    <w:p w14:paraId="1F33ECC9" w14:textId="77777777" w:rsidR="00F64E7C" w:rsidRPr="00F35A92" w:rsidRDefault="00F64E7C" w:rsidP="00F64E7C">
      <w:pPr>
        <w:tabs>
          <w:tab w:val="left" w:pos="-2088"/>
          <w:tab w:val="left" w:pos="-1368"/>
          <w:tab w:val="left" w:pos="720"/>
          <w:tab w:val="left" w:pos="1926"/>
          <w:tab w:val="left" w:pos="7500"/>
          <w:tab w:val="left" w:pos="8136"/>
        </w:tabs>
        <w:ind w:left="720"/>
        <w:jc w:val="both"/>
        <w:rPr>
          <w:rFonts w:ascii="Times New Roman" w:hAnsi="Times New Roman"/>
          <w:noProof/>
          <w:sz w:val="24"/>
          <w:szCs w:val="24"/>
        </w:rPr>
      </w:pPr>
      <w:r w:rsidRPr="00F35A92">
        <w:rPr>
          <w:rFonts w:ascii="Times New Roman" w:hAnsi="Times New Roman"/>
          <w:bCs/>
          <w:sz w:val="24"/>
          <w:szCs w:val="24"/>
        </w:rPr>
        <w:t xml:space="preserve">68 Fed. Reg. </w:t>
      </w:r>
      <w:r>
        <w:rPr>
          <w:rFonts w:ascii="Times New Roman" w:hAnsi="Times New Roman"/>
          <w:bCs/>
          <w:sz w:val="24"/>
          <w:szCs w:val="24"/>
        </w:rPr>
        <w:t>45421-45422 (August 1</w:t>
      </w:r>
      <w:r w:rsidRPr="00F35A92">
        <w:rPr>
          <w:rFonts w:ascii="Times New Roman" w:hAnsi="Times New Roman"/>
          <w:bCs/>
          <w:sz w:val="24"/>
          <w:szCs w:val="24"/>
        </w:rPr>
        <w:t>, 2003)</w:t>
      </w:r>
    </w:p>
    <w:p w14:paraId="260F8F19" w14:textId="77777777" w:rsidR="00F64E7C" w:rsidRDefault="00F64E7C" w:rsidP="00F64E7C">
      <w:pPr>
        <w:tabs>
          <w:tab w:val="left" w:pos="-2088"/>
          <w:tab w:val="left" w:pos="-1368"/>
          <w:tab w:val="left" w:pos="720"/>
          <w:tab w:val="left" w:pos="1926"/>
          <w:tab w:val="left" w:pos="7500"/>
          <w:tab w:val="left" w:pos="8136"/>
        </w:tabs>
        <w:ind w:left="720"/>
        <w:jc w:val="both"/>
        <w:rPr>
          <w:rFonts w:ascii="Times New Roman" w:hAnsi="Times New Roman"/>
          <w:noProof/>
          <w:sz w:val="24"/>
          <w:szCs w:val="24"/>
        </w:rPr>
      </w:pPr>
      <w:r>
        <w:rPr>
          <w:rFonts w:ascii="Times New Roman" w:hAnsi="Times New Roman"/>
          <w:bCs/>
          <w:sz w:val="24"/>
          <w:szCs w:val="24"/>
        </w:rPr>
        <w:t>69</w:t>
      </w:r>
      <w:r w:rsidRPr="00F35A92">
        <w:rPr>
          <w:rFonts w:ascii="Times New Roman" w:hAnsi="Times New Roman"/>
          <w:bCs/>
          <w:sz w:val="24"/>
          <w:szCs w:val="24"/>
        </w:rPr>
        <w:t xml:space="preserve"> Fed. Reg. </w:t>
      </w:r>
      <w:r>
        <w:rPr>
          <w:rFonts w:ascii="Times New Roman" w:hAnsi="Times New Roman"/>
          <w:bCs/>
          <w:sz w:val="24"/>
          <w:szCs w:val="24"/>
        </w:rPr>
        <w:t>28196, 28286 (May 18, 2004</w:t>
      </w:r>
      <w:r w:rsidRPr="00F35A92">
        <w:rPr>
          <w:rFonts w:ascii="Times New Roman" w:hAnsi="Times New Roman"/>
          <w:bCs/>
          <w:sz w:val="24"/>
          <w:szCs w:val="24"/>
        </w:rPr>
        <w:t>)</w:t>
      </w:r>
    </w:p>
    <w:p w14:paraId="3DF16EC6" w14:textId="2798221B" w:rsidR="00F64E7C" w:rsidRPr="00F35A92" w:rsidRDefault="00F64E7C" w:rsidP="00F64E7C">
      <w:pPr>
        <w:tabs>
          <w:tab w:val="left" w:pos="-2088"/>
          <w:tab w:val="left" w:pos="-1368"/>
          <w:tab w:val="left" w:pos="720"/>
          <w:tab w:val="left" w:pos="1926"/>
          <w:tab w:val="left" w:pos="7500"/>
          <w:tab w:val="left" w:pos="8136"/>
        </w:tabs>
        <w:ind w:left="720"/>
        <w:jc w:val="both"/>
        <w:rPr>
          <w:rFonts w:ascii="Times New Roman" w:hAnsi="Times New Roman"/>
          <w:noProof/>
          <w:sz w:val="24"/>
          <w:szCs w:val="24"/>
        </w:rPr>
      </w:pPr>
      <w:r w:rsidRPr="00F35A92">
        <w:rPr>
          <w:rFonts w:ascii="Times New Roman" w:hAnsi="Times New Roman"/>
          <w:noProof/>
          <w:sz w:val="24"/>
          <w:szCs w:val="24"/>
        </w:rPr>
        <w:t>69 F</w:t>
      </w:r>
      <w:r w:rsidR="00021BF8">
        <w:rPr>
          <w:rFonts w:ascii="Times New Roman" w:hAnsi="Times New Roman"/>
          <w:noProof/>
          <w:sz w:val="24"/>
          <w:szCs w:val="24"/>
        </w:rPr>
        <w:t xml:space="preserve">ed. </w:t>
      </w:r>
      <w:r w:rsidRPr="00F35A92">
        <w:rPr>
          <w:rFonts w:ascii="Times New Roman" w:hAnsi="Times New Roman"/>
          <w:noProof/>
          <w:sz w:val="24"/>
          <w:szCs w:val="24"/>
        </w:rPr>
        <w:t>R</w:t>
      </w:r>
      <w:r w:rsidR="00021BF8">
        <w:rPr>
          <w:rFonts w:ascii="Times New Roman" w:hAnsi="Times New Roman"/>
          <w:noProof/>
          <w:sz w:val="24"/>
          <w:szCs w:val="24"/>
        </w:rPr>
        <w:t>eg.</w:t>
      </w:r>
      <w:r w:rsidRPr="00F35A92">
        <w:rPr>
          <w:rFonts w:ascii="Times New Roman" w:hAnsi="Times New Roman"/>
          <w:noProof/>
          <w:sz w:val="24"/>
          <w:szCs w:val="24"/>
        </w:rPr>
        <w:t xml:space="preserve"> 49093, 49099 (Aug. 11, 2004)</w:t>
      </w:r>
    </w:p>
    <w:p w14:paraId="7E4D73C0" w14:textId="638D5C79" w:rsidR="00021BF8" w:rsidRPr="00EA633C" w:rsidRDefault="00021BF8" w:rsidP="00021BF8">
      <w:pPr>
        <w:tabs>
          <w:tab w:val="left" w:pos="-2088"/>
          <w:tab w:val="left" w:pos="-1368"/>
          <w:tab w:val="left" w:pos="720"/>
          <w:tab w:val="left" w:pos="1926"/>
          <w:tab w:val="left" w:pos="7500"/>
          <w:tab w:val="left" w:pos="8136"/>
        </w:tabs>
        <w:ind w:left="720"/>
        <w:jc w:val="both"/>
        <w:rPr>
          <w:rFonts w:ascii="Times New Roman" w:hAnsi="Times New Roman"/>
          <w:sz w:val="24"/>
          <w:szCs w:val="24"/>
        </w:rPr>
      </w:pPr>
      <w:r w:rsidRPr="00EA633C">
        <w:rPr>
          <w:rFonts w:ascii="Times New Roman" w:hAnsi="Times New Roman"/>
          <w:sz w:val="24"/>
          <w:szCs w:val="24"/>
        </w:rPr>
        <w:t>70 Fed. Reg. 47438-47439 (Aug. 12, 2005)</w:t>
      </w:r>
    </w:p>
    <w:p w14:paraId="723380B6" w14:textId="4828C876" w:rsidR="00F64E7C" w:rsidRPr="003642F9" w:rsidRDefault="00021BF8" w:rsidP="00F64E7C">
      <w:pPr>
        <w:ind w:firstLine="720"/>
        <w:rPr>
          <w:rFonts w:ascii="Times New Roman" w:hAnsi="Times New Roman"/>
          <w:color w:val="000000"/>
          <w:sz w:val="24"/>
          <w:szCs w:val="24"/>
        </w:rPr>
      </w:pPr>
      <w:r w:rsidRPr="00013469">
        <w:rPr>
          <w:rFonts w:ascii="Times New Roman" w:hAnsi="Times New Roman"/>
          <w:sz w:val="24"/>
          <w:szCs w:val="24"/>
        </w:rPr>
        <w:t>65 F</w:t>
      </w:r>
      <w:r>
        <w:rPr>
          <w:rFonts w:ascii="Times New Roman" w:hAnsi="Times New Roman"/>
          <w:sz w:val="24"/>
          <w:szCs w:val="24"/>
        </w:rPr>
        <w:t xml:space="preserve">ed. Reg. </w:t>
      </w:r>
      <w:r w:rsidRPr="00013469">
        <w:rPr>
          <w:rFonts w:ascii="Times New Roman" w:hAnsi="Times New Roman"/>
          <w:sz w:val="24"/>
          <w:szCs w:val="24"/>
        </w:rPr>
        <w:t>50548</w:t>
      </w:r>
      <w:r>
        <w:rPr>
          <w:rFonts w:ascii="Times New Roman" w:hAnsi="Times New Roman"/>
          <w:sz w:val="24"/>
          <w:szCs w:val="24"/>
        </w:rPr>
        <w:t xml:space="preserve"> (</w:t>
      </w:r>
      <w:r w:rsidRPr="00013469">
        <w:rPr>
          <w:rFonts w:ascii="Times New Roman" w:hAnsi="Times New Roman"/>
          <w:sz w:val="24"/>
          <w:szCs w:val="24"/>
        </w:rPr>
        <w:t>Aug</w:t>
      </w:r>
      <w:r>
        <w:rPr>
          <w:rFonts w:ascii="Times New Roman" w:hAnsi="Times New Roman"/>
          <w:sz w:val="24"/>
          <w:szCs w:val="24"/>
        </w:rPr>
        <w:t>.</w:t>
      </w:r>
      <w:r w:rsidRPr="00013469">
        <w:rPr>
          <w:rFonts w:ascii="Times New Roman" w:hAnsi="Times New Roman"/>
          <w:sz w:val="24"/>
          <w:szCs w:val="24"/>
        </w:rPr>
        <w:t xml:space="preserve"> 18, 2000</w:t>
      </w:r>
      <w:r>
        <w:rPr>
          <w:rFonts w:ascii="Times New Roman" w:hAnsi="Times New Roman"/>
          <w:sz w:val="24"/>
          <w:szCs w:val="24"/>
        </w:rPr>
        <w:t>)</w:t>
      </w:r>
      <w:r w:rsidRPr="00013469">
        <w:rPr>
          <w:rFonts w:ascii="Times New Roman" w:hAnsi="Times New Roman"/>
          <w:sz w:val="24"/>
          <w:szCs w:val="24"/>
        </w:rPr>
        <w:t xml:space="preserve"> </w:t>
      </w:r>
    </w:p>
    <w:p w14:paraId="3CDDBDB4" w14:textId="77777777" w:rsidR="00F64E7C" w:rsidRDefault="00F64E7C" w:rsidP="00F64E7C">
      <w:pPr>
        <w:tabs>
          <w:tab w:val="left" w:pos="-2088"/>
          <w:tab w:val="left" w:pos="-1368"/>
          <w:tab w:val="left" w:pos="720"/>
          <w:tab w:val="left" w:pos="1926"/>
          <w:tab w:val="left" w:pos="7500"/>
          <w:tab w:val="left" w:pos="8136"/>
        </w:tabs>
        <w:ind w:left="720"/>
        <w:jc w:val="both"/>
        <w:rPr>
          <w:rFonts w:ascii="Times New Roman" w:hAnsi="Times New Roman"/>
          <w:b/>
          <w:sz w:val="24"/>
          <w:szCs w:val="24"/>
        </w:rPr>
      </w:pPr>
    </w:p>
    <w:p w14:paraId="21C37856" w14:textId="77777777" w:rsidR="00F64E7C" w:rsidRDefault="00F64E7C" w:rsidP="00F64E7C">
      <w:pPr>
        <w:tabs>
          <w:tab w:val="left" w:pos="-2088"/>
          <w:tab w:val="left" w:pos="-1368"/>
          <w:tab w:val="left" w:pos="720"/>
          <w:tab w:val="left" w:pos="1926"/>
          <w:tab w:val="left" w:pos="7500"/>
          <w:tab w:val="left" w:pos="8136"/>
        </w:tabs>
        <w:ind w:left="720"/>
        <w:jc w:val="both"/>
        <w:rPr>
          <w:rFonts w:ascii="Times New Roman" w:hAnsi="Times New Roman"/>
          <w:b/>
          <w:sz w:val="24"/>
          <w:szCs w:val="24"/>
        </w:rPr>
      </w:pPr>
    </w:p>
    <w:p w14:paraId="62EC3BD4" w14:textId="77777777" w:rsidR="00F64E7C" w:rsidRPr="009275DE" w:rsidRDefault="00F64E7C" w:rsidP="00F64E7C">
      <w:pPr>
        <w:tabs>
          <w:tab w:val="left" w:pos="-2088"/>
          <w:tab w:val="left" w:pos="-1368"/>
          <w:tab w:val="left" w:pos="720"/>
          <w:tab w:val="left" w:pos="1926"/>
          <w:tab w:val="left" w:pos="7500"/>
          <w:tab w:val="left" w:pos="8136"/>
        </w:tabs>
        <w:ind w:left="720"/>
        <w:jc w:val="both"/>
        <w:rPr>
          <w:rFonts w:ascii="Times New Roman" w:hAnsi="Times New Roman"/>
          <w:b/>
          <w:sz w:val="24"/>
          <w:szCs w:val="24"/>
        </w:rPr>
      </w:pPr>
      <w:r>
        <w:rPr>
          <w:rFonts w:ascii="Times New Roman" w:hAnsi="Times New Roman"/>
          <w:b/>
          <w:sz w:val="24"/>
          <w:szCs w:val="24"/>
        </w:rPr>
        <w:t>Court Decisions</w:t>
      </w:r>
    </w:p>
    <w:p w14:paraId="1BC023E3" w14:textId="77777777" w:rsidR="00F64E7C" w:rsidRDefault="00F64E7C" w:rsidP="00F64E7C">
      <w:pPr>
        <w:tabs>
          <w:tab w:val="left" w:pos="-1440"/>
          <w:tab w:val="left" w:pos="-720"/>
          <w:tab w:val="right" w:pos="0"/>
          <w:tab w:val="left" w:pos="720"/>
          <w:tab w:val="left" w:pos="1170"/>
          <w:tab w:val="left" w:pos="1685"/>
          <w:tab w:val="left" w:pos="3240"/>
          <w:tab w:val="left" w:pos="8910"/>
          <w:tab w:val="left" w:pos="9270"/>
        </w:tabs>
        <w:suppressAutoHyphens/>
        <w:ind w:left="1080"/>
        <w:rPr>
          <w:rFonts w:ascii="Times New Roman" w:hAnsi="Times New Roman"/>
          <w:sz w:val="24"/>
          <w:szCs w:val="24"/>
        </w:rPr>
      </w:pPr>
    </w:p>
    <w:p w14:paraId="6052630D" w14:textId="77777777" w:rsidR="008F480A" w:rsidRPr="004236FB" w:rsidRDefault="008F480A" w:rsidP="008F480A">
      <w:pPr>
        <w:tabs>
          <w:tab w:val="left" w:pos="-1440"/>
          <w:tab w:val="left" w:pos="-720"/>
          <w:tab w:val="right" w:pos="0"/>
          <w:tab w:val="left" w:pos="720"/>
          <w:tab w:val="left" w:pos="1170"/>
          <w:tab w:val="left" w:pos="1685"/>
          <w:tab w:val="left" w:pos="3240"/>
          <w:tab w:val="left" w:pos="8910"/>
          <w:tab w:val="left" w:pos="9270"/>
        </w:tabs>
        <w:suppressAutoHyphens/>
        <w:ind w:left="720"/>
        <w:rPr>
          <w:rFonts w:ascii="Times New Roman" w:hAnsi="Times New Roman"/>
          <w:sz w:val="24"/>
          <w:szCs w:val="24"/>
        </w:rPr>
      </w:pPr>
      <w:r w:rsidRPr="0041253A">
        <w:rPr>
          <w:rFonts w:ascii="Times New Roman" w:hAnsi="Times New Roman"/>
          <w:i/>
          <w:iCs/>
          <w:color w:val="333333"/>
          <w:sz w:val="24"/>
          <w:szCs w:val="24"/>
          <w:shd w:val="clear" w:color="auto" w:fill="FFFFFF"/>
        </w:rPr>
        <w:t>Becerra v. Empire Health Foundation</w:t>
      </w:r>
      <w:r>
        <w:rPr>
          <w:rFonts w:ascii="Libre Franklin" w:hAnsi="Libre Franklin"/>
          <w:color w:val="333333"/>
          <w:shd w:val="clear" w:color="auto" w:fill="FFFFFF"/>
        </w:rPr>
        <w:t xml:space="preserve">, </w:t>
      </w:r>
      <w:r>
        <w:rPr>
          <w:rFonts w:ascii="Times New Roman" w:hAnsi="Times New Roman"/>
          <w:color w:val="333333"/>
          <w:sz w:val="24"/>
          <w:szCs w:val="24"/>
          <w:shd w:val="clear" w:color="auto" w:fill="FFFFFF"/>
        </w:rPr>
        <w:t>, No. 20-1312,</w:t>
      </w:r>
      <w:r w:rsidRPr="004A19E8">
        <w:rPr>
          <w:rFonts w:ascii="Times New Roman" w:hAnsi="Times New Roman"/>
          <w:color w:val="333333"/>
          <w:sz w:val="24"/>
          <w:szCs w:val="24"/>
          <w:shd w:val="clear" w:color="auto" w:fill="FFFFFF"/>
        </w:rPr>
        <w:t xml:space="preserve"> </w:t>
      </w:r>
      <w:r w:rsidRPr="0041253A">
        <w:rPr>
          <w:rFonts w:ascii="Times New Roman" w:hAnsi="Times New Roman"/>
          <w:color w:val="333333"/>
          <w:sz w:val="24"/>
          <w:szCs w:val="24"/>
          <w:shd w:val="clear" w:color="auto" w:fill="FFFFFF"/>
        </w:rPr>
        <w:t>U.S. Supreme Court</w:t>
      </w:r>
      <w:r>
        <w:rPr>
          <w:rFonts w:ascii="Times New Roman" w:hAnsi="Times New Roman"/>
          <w:color w:val="333333"/>
          <w:sz w:val="24"/>
          <w:szCs w:val="24"/>
          <w:shd w:val="clear" w:color="auto" w:fill="FFFFFF"/>
        </w:rPr>
        <w:t xml:space="preserve"> (June 24, 2022)</w:t>
      </w:r>
    </w:p>
    <w:p w14:paraId="5C3109D0" w14:textId="77777777" w:rsidR="008F480A" w:rsidRDefault="008F480A" w:rsidP="00F64E7C">
      <w:pPr>
        <w:tabs>
          <w:tab w:val="left" w:pos="-2088"/>
          <w:tab w:val="left" w:pos="-1368"/>
          <w:tab w:val="left" w:pos="720"/>
          <w:tab w:val="left" w:pos="1530"/>
          <w:tab w:val="left" w:pos="1890"/>
          <w:tab w:val="left" w:pos="1926"/>
        </w:tabs>
        <w:ind w:left="720"/>
        <w:rPr>
          <w:rFonts w:ascii="Times New Roman" w:hAnsi="Times New Roman"/>
          <w:i/>
          <w:sz w:val="24"/>
          <w:szCs w:val="24"/>
          <w:shd w:val="clear" w:color="auto" w:fill="FFFFFF"/>
        </w:rPr>
      </w:pPr>
    </w:p>
    <w:p w14:paraId="352D7636" w14:textId="23A7172E" w:rsidR="00F64E7C" w:rsidRPr="00CB3ECD" w:rsidRDefault="00F64E7C" w:rsidP="00F64E7C">
      <w:pPr>
        <w:tabs>
          <w:tab w:val="left" w:pos="-2088"/>
          <w:tab w:val="left" w:pos="-1368"/>
          <w:tab w:val="left" w:pos="720"/>
          <w:tab w:val="left" w:pos="1530"/>
          <w:tab w:val="left" w:pos="1890"/>
          <w:tab w:val="left" w:pos="1926"/>
        </w:tabs>
        <w:ind w:left="720"/>
        <w:rPr>
          <w:rFonts w:ascii="Times New Roman" w:hAnsi="Times New Roman"/>
          <w:iCs/>
          <w:sz w:val="24"/>
          <w:szCs w:val="24"/>
        </w:rPr>
      </w:pPr>
      <w:r w:rsidRPr="00625573">
        <w:rPr>
          <w:rFonts w:ascii="Times New Roman" w:hAnsi="Times New Roman"/>
          <w:i/>
          <w:sz w:val="24"/>
          <w:szCs w:val="24"/>
          <w:shd w:val="clear" w:color="auto" w:fill="FFFFFF"/>
        </w:rPr>
        <w:t>Empire Health Foundation</w:t>
      </w:r>
      <w:r w:rsidRPr="00625573">
        <w:rPr>
          <w:rStyle w:val="alt"/>
          <w:rFonts w:ascii="Times New Roman" w:hAnsi="Times New Roman"/>
          <w:i/>
          <w:iCs/>
          <w:sz w:val="24"/>
          <w:szCs w:val="24"/>
        </w:rPr>
        <w:t xml:space="preserve"> v. </w:t>
      </w:r>
      <w:r w:rsidRPr="00625573">
        <w:rPr>
          <w:rFonts w:ascii="Times New Roman" w:hAnsi="Times New Roman"/>
          <w:i/>
          <w:sz w:val="24"/>
          <w:szCs w:val="24"/>
          <w:shd w:val="clear" w:color="auto" w:fill="FFFFFF"/>
        </w:rPr>
        <w:t xml:space="preserve">Alex M. Azar, II, </w:t>
      </w:r>
      <w:r w:rsidRPr="00625573">
        <w:rPr>
          <w:rFonts w:ascii="Times New Roman" w:hAnsi="Times New Roman"/>
          <w:iCs/>
          <w:sz w:val="24"/>
          <w:szCs w:val="24"/>
          <w:shd w:val="clear" w:color="auto" w:fill="FFFFFF"/>
        </w:rPr>
        <w:t>Case No. 16-209 (9</w:t>
      </w:r>
      <w:r w:rsidRPr="00625573">
        <w:rPr>
          <w:rFonts w:ascii="Times New Roman" w:hAnsi="Times New Roman"/>
          <w:iCs/>
          <w:sz w:val="24"/>
          <w:szCs w:val="24"/>
          <w:shd w:val="clear" w:color="auto" w:fill="FFFFFF"/>
          <w:vertAlign w:val="superscript"/>
        </w:rPr>
        <w:t>th</w:t>
      </w:r>
      <w:r w:rsidRPr="00625573">
        <w:rPr>
          <w:rFonts w:ascii="Times New Roman" w:hAnsi="Times New Roman"/>
          <w:iCs/>
          <w:sz w:val="24"/>
          <w:szCs w:val="24"/>
          <w:shd w:val="clear" w:color="auto" w:fill="FFFFFF"/>
        </w:rPr>
        <w:t xml:space="preserve"> Cir., May 5, 2020)</w:t>
      </w:r>
      <w:r w:rsidRPr="00CB3A75">
        <w:rPr>
          <w:rFonts w:ascii="Times New Roman" w:hAnsi="Times New Roman"/>
          <w:iCs/>
          <w:sz w:val="24"/>
          <w:szCs w:val="24"/>
          <w:shd w:val="clear" w:color="auto" w:fill="FFFFFF"/>
        </w:rPr>
        <w:t xml:space="preserve"> </w:t>
      </w:r>
    </w:p>
    <w:p w14:paraId="2C1CB8AE" w14:textId="77777777" w:rsidR="00F64E7C" w:rsidRDefault="00F64E7C" w:rsidP="00F64E7C">
      <w:pPr>
        <w:tabs>
          <w:tab w:val="left" w:pos="-2088"/>
          <w:tab w:val="left" w:pos="-1368"/>
          <w:tab w:val="left" w:pos="720"/>
          <w:tab w:val="left" w:pos="1926"/>
          <w:tab w:val="left" w:pos="7500"/>
          <w:tab w:val="left" w:pos="8136"/>
        </w:tabs>
        <w:ind w:left="1440" w:hanging="720"/>
        <w:jc w:val="both"/>
        <w:rPr>
          <w:rFonts w:ascii="Times New Roman" w:hAnsi="Times New Roman"/>
          <w:i/>
          <w:sz w:val="24"/>
          <w:szCs w:val="24"/>
        </w:rPr>
      </w:pPr>
    </w:p>
    <w:p w14:paraId="64E5B47D" w14:textId="77777777" w:rsidR="00F64E7C" w:rsidRDefault="00F64E7C" w:rsidP="00F64E7C">
      <w:pPr>
        <w:tabs>
          <w:tab w:val="left" w:pos="-2088"/>
          <w:tab w:val="left" w:pos="-1368"/>
          <w:tab w:val="left" w:pos="720"/>
          <w:tab w:val="left" w:pos="1926"/>
          <w:tab w:val="left" w:pos="7500"/>
          <w:tab w:val="left" w:pos="8136"/>
        </w:tabs>
        <w:ind w:left="720"/>
        <w:jc w:val="both"/>
        <w:rPr>
          <w:rFonts w:ascii="Times New Roman" w:hAnsi="Times New Roman"/>
          <w:sz w:val="24"/>
          <w:szCs w:val="24"/>
        </w:rPr>
      </w:pPr>
      <w:r w:rsidRPr="00174DB8">
        <w:rPr>
          <w:rFonts w:ascii="Times New Roman" w:hAnsi="Times New Roman"/>
          <w:i/>
          <w:sz w:val="24"/>
          <w:szCs w:val="24"/>
        </w:rPr>
        <w:t>Metropolitan Hospital v. HHS, US Court of Appeals, Sixth Circuit</w:t>
      </w:r>
      <w:r w:rsidRPr="00174DB8">
        <w:rPr>
          <w:rFonts w:ascii="Times New Roman" w:hAnsi="Times New Roman"/>
          <w:sz w:val="24"/>
          <w:szCs w:val="24"/>
        </w:rPr>
        <w:t xml:space="preserve"> (March 27, 2013)</w:t>
      </w:r>
    </w:p>
    <w:p w14:paraId="5B4A11F9" w14:textId="77777777" w:rsidR="00F64E7C" w:rsidRDefault="00F64E7C" w:rsidP="00F64E7C">
      <w:pPr>
        <w:tabs>
          <w:tab w:val="left" w:pos="-2088"/>
          <w:tab w:val="left" w:pos="-1368"/>
          <w:tab w:val="left" w:pos="720"/>
          <w:tab w:val="left" w:pos="1926"/>
          <w:tab w:val="left" w:pos="7500"/>
          <w:tab w:val="left" w:pos="8136"/>
        </w:tabs>
        <w:ind w:left="720"/>
        <w:jc w:val="both"/>
        <w:rPr>
          <w:rFonts w:ascii="Times New Roman" w:hAnsi="Times New Roman"/>
          <w:noProof/>
          <w:sz w:val="24"/>
          <w:szCs w:val="24"/>
        </w:rPr>
      </w:pPr>
    </w:p>
    <w:p w14:paraId="43A0733F" w14:textId="77777777" w:rsidR="00F64E7C" w:rsidRPr="00625573" w:rsidRDefault="00F64E7C" w:rsidP="00F64E7C">
      <w:pPr>
        <w:tabs>
          <w:tab w:val="left" w:pos="-2088"/>
          <w:tab w:val="left" w:pos="-1368"/>
          <w:tab w:val="left" w:pos="720"/>
          <w:tab w:val="left" w:pos="1530"/>
          <w:tab w:val="left" w:pos="1890"/>
          <w:tab w:val="left" w:pos="1926"/>
        </w:tabs>
        <w:ind w:left="2160" w:hanging="1440"/>
        <w:rPr>
          <w:rFonts w:ascii="Times New Roman" w:hAnsi="Times New Roman"/>
          <w:iCs/>
          <w:sz w:val="24"/>
          <w:szCs w:val="24"/>
        </w:rPr>
      </w:pPr>
      <w:r w:rsidRPr="004F5F0B">
        <w:rPr>
          <w:rFonts w:ascii="Times New Roman" w:hAnsi="Times New Roman"/>
          <w:i/>
          <w:iCs/>
          <w:sz w:val="24"/>
          <w:szCs w:val="24"/>
        </w:rPr>
        <w:t>Stringfellow Mem’l Hosp v. Azar</w:t>
      </w:r>
      <w:r w:rsidRPr="004F5F0B">
        <w:rPr>
          <w:rFonts w:ascii="Times New Roman" w:hAnsi="Times New Roman"/>
          <w:sz w:val="24"/>
          <w:szCs w:val="24"/>
        </w:rPr>
        <w:t>, 317 F. Supp. 3d 168 (D.D.C. 2018)</w:t>
      </w:r>
    </w:p>
    <w:p w14:paraId="7D72000A" w14:textId="77777777" w:rsidR="00F64E7C" w:rsidRPr="00174DB8" w:rsidRDefault="00F64E7C" w:rsidP="00F64E7C">
      <w:pPr>
        <w:tabs>
          <w:tab w:val="left" w:pos="-2088"/>
          <w:tab w:val="left" w:pos="-1368"/>
          <w:tab w:val="left" w:pos="720"/>
          <w:tab w:val="left" w:pos="1926"/>
          <w:tab w:val="left" w:pos="7500"/>
          <w:tab w:val="left" w:pos="8136"/>
        </w:tabs>
        <w:ind w:left="720"/>
        <w:jc w:val="both"/>
        <w:rPr>
          <w:rFonts w:ascii="Times New Roman" w:hAnsi="Times New Roman"/>
          <w:noProof/>
          <w:sz w:val="24"/>
          <w:szCs w:val="24"/>
        </w:rPr>
      </w:pPr>
    </w:p>
    <w:p w14:paraId="11C0D5D6" w14:textId="77777777" w:rsidR="00224B51" w:rsidRDefault="00224B51" w:rsidP="00021BF8">
      <w:pPr>
        <w:rPr>
          <w:rFonts w:ascii="Times New Roman" w:hAnsi="Times New Roman"/>
          <w:sz w:val="24"/>
          <w:szCs w:val="24"/>
        </w:rPr>
      </w:pPr>
    </w:p>
    <w:p w14:paraId="5A418CDD" w14:textId="77777777" w:rsidR="00224B51" w:rsidRDefault="00224B51" w:rsidP="00021BF8">
      <w:pPr>
        <w:rPr>
          <w:rFonts w:ascii="Times New Roman" w:hAnsi="Times New Roman"/>
          <w:sz w:val="24"/>
          <w:szCs w:val="24"/>
        </w:rPr>
      </w:pPr>
    </w:p>
    <w:p w14:paraId="07C5CEFE" w14:textId="77777777" w:rsidR="00224B51" w:rsidRDefault="00224B51" w:rsidP="00021BF8">
      <w:pPr>
        <w:rPr>
          <w:rFonts w:ascii="Times New Roman" w:hAnsi="Times New Roman"/>
          <w:sz w:val="24"/>
          <w:szCs w:val="24"/>
        </w:rPr>
      </w:pPr>
    </w:p>
    <w:p w14:paraId="5C193F1A" w14:textId="77777777" w:rsidR="00224B51" w:rsidRDefault="00224B51" w:rsidP="00021BF8">
      <w:pPr>
        <w:rPr>
          <w:rFonts w:ascii="Times New Roman" w:hAnsi="Times New Roman"/>
          <w:sz w:val="24"/>
          <w:szCs w:val="24"/>
        </w:rPr>
      </w:pPr>
    </w:p>
    <w:p w14:paraId="606C813C" w14:textId="77777777" w:rsidR="00224B51" w:rsidRDefault="00224B51" w:rsidP="00021BF8">
      <w:pPr>
        <w:rPr>
          <w:rFonts w:ascii="Times New Roman" w:hAnsi="Times New Roman"/>
          <w:sz w:val="24"/>
          <w:szCs w:val="24"/>
        </w:rPr>
      </w:pPr>
    </w:p>
    <w:p w14:paraId="4072371E" w14:textId="78B95BE7" w:rsidR="00224B51" w:rsidRPr="00A410D9" w:rsidRDefault="00F64E7C" w:rsidP="00021BF8">
      <w:pPr>
        <w:rPr>
          <w:rFonts w:ascii="Times New Roman" w:hAnsi="Times New Roman"/>
          <w:sz w:val="24"/>
          <w:szCs w:val="24"/>
        </w:rPr>
      </w:pPr>
      <w:r w:rsidRPr="00A410D9">
        <w:rPr>
          <w:rFonts w:ascii="Times New Roman" w:hAnsi="Times New Roman"/>
          <w:sz w:val="24"/>
          <w:szCs w:val="24"/>
        </w:rPr>
        <w:lastRenderedPageBreak/>
        <w:t>EXHIBITS</w:t>
      </w:r>
    </w:p>
    <w:p w14:paraId="3E572BDE" w14:textId="77777777" w:rsidR="00F64E7C" w:rsidRPr="008428E5" w:rsidRDefault="00F64E7C" w:rsidP="00F64E7C">
      <w:pPr>
        <w:tabs>
          <w:tab w:val="left" w:pos="-1440"/>
          <w:tab w:val="left" w:pos="-720"/>
          <w:tab w:val="left" w:pos="0"/>
          <w:tab w:val="left" w:pos="90"/>
          <w:tab w:val="left" w:pos="720"/>
          <w:tab w:val="left" w:pos="1194"/>
          <w:tab w:val="left" w:pos="1685"/>
        </w:tabs>
        <w:suppressAutoHyphens/>
        <w:ind w:left="900"/>
        <w:rPr>
          <w:rFonts w:ascii="Times New Roman" w:hAnsi="Times New Roman"/>
          <w:sz w:val="24"/>
          <w:szCs w:val="24"/>
        </w:rPr>
      </w:pPr>
    </w:p>
    <w:p w14:paraId="4A6FD68E" w14:textId="74D592F3" w:rsidR="00021BF8" w:rsidRDefault="00F64E7C" w:rsidP="00021BF8">
      <w:pPr>
        <w:tabs>
          <w:tab w:val="left" w:pos="-1440"/>
          <w:tab w:val="left" w:pos="-720"/>
          <w:tab w:val="left" w:pos="0"/>
          <w:tab w:val="left" w:pos="720"/>
          <w:tab w:val="left" w:pos="1194"/>
          <w:tab w:val="left" w:pos="1685"/>
        </w:tabs>
        <w:suppressAutoHyphens/>
        <w:spacing w:line="480" w:lineRule="auto"/>
        <w:ind w:left="1680" w:hanging="960"/>
        <w:rPr>
          <w:rFonts w:ascii="Times New Roman" w:hAnsi="Times New Roman"/>
          <w:sz w:val="24"/>
          <w:szCs w:val="24"/>
        </w:rPr>
      </w:pPr>
      <w:bookmarkStart w:id="2" w:name="_Hlk152765898"/>
      <w:bookmarkStart w:id="3" w:name="_Hlk106090015"/>
      <w:r w:rsidRPr="00562C1B">
        <w:rPr>
          <w:rFonts w:ascii="Times New Roman" w:hAnsi="Times New Roman"/>
          <w:sz w:val="24"/>
          <w:szCs w:val="24"/>
        </w:rPr>
        <w:t xml:space="preserve">C-1: </w:t>
      </w:r>
      <w:r w:rsidRPr="00562C1B">
        <w:rPr>
          <w:rFonts w:ascii="Times New Roman" w:hAnsi="Times New Roman"/>
          <w:sz w:val="24"/>
          <w:szCs w:val="24"/>
        </w:rPr>
        <w:tab/>
      </w:r>
      <w:r w:rsidR="00021BF8" w:rsidRPr="00021BF8">
        <w:rPr>
          <w:rFonts w:ascii="Times New Roman" w:hAnsi="Times New Roman"/>
          <w:sz w:val="24"/>
          <w:szCs w:val="24"/>
        </w:rPr>
        <w:t>SOP</w:t>
      </w:r>
    </w:p>
    <w:p w14:paraId="53B9E8AF" w14:textId="54DA8DBB" w:rsidR="00F64E7C" w:rsidRDefault="00F64E7C" w:rsidP="00021BF8">
      <w:pPr>
        <w:tabs>
          <w:tab w:val="left" w:pos="-1440"/>
          <w:tab w:val="left" w:pos="-720"/>
          <w:tab w:val="left" w:pos="0"/>
          <w:tab w:val="left" w:pos="720"/>
          <w:tab w:val="left" w:pos="1194"/>
          <w:tab w:val="left" w:pos="1685"/>
        </w:tabs>
        <w:suppressAutoHyphens/>
        <w:ind w:left="2160" w:hanging="1440"/>
        <w:rPr>
          <w:rFonts w:ascii="Times New Roman" w:hAnsi="Times New Roman"/>
          <w:i/>
          <w:sz w:val="24"/>
          <w:szCs w:val="24"/>
        </w:rPr>
      </w:pPr>
      <w:r w:rsidRPr="00562C1B">
        <w:rPr>
          <w:rFonts w:ascii="Times New Roman" w:hAnsi="Times New Roman"/>
          <w:sz w:val="24"/>
          <w:szCs w:val="24"/>
        </w:rPr>
        <w:t>C-</w:t>
      </w:r>
      <w:r>
        <w:rPr>
          <w:rFonts w:ascii="Times New Roman" w:hAnsi="Times New Roman"/>
          <w:sz w:val="24"/>
          <w:szCs w:val="24"/>
        </w:rPr>
        <w:t>2</w:t>
      </w:r>
      <w:r w:rsidRPr="00562C1B">
        <w:rPr>
          <w:rFonts w:ascii="Times New Roman" w:hAnsi="Times New Roman"/>
          <w:sz w:val="24"/>
          <w:szCs w:val="24"/>
        </w:rPr>
        <w:t xml:space="preserve">: </w:t>
      </w:r>
      <w:r w:rsidRPr="00562C1B">
        <w:rPr>
          <w:rFonts w:ascii="Times New Roman" w:hAnsi="Times New Roman"/>
          <w:sz w:val="24"/>
          <w:szCs w:val="24"/>
        </w:rPr>
        <w:tab/>
      </w:r>
      <w:r w:rsidR="00021BF8" w:rsidRPr="00021BF8">
        <w:rPr>
          <w:rFonts w:ascii="Times New Roman" w:hAnsi="Times New Roman"/>
          <w:i/>
          <w:sz w:val="24"/>
          <w:szCs w:val="24"/>
        </w:rPr>
        <w:t>Metropolitan Hospital v. HHS, U.S. Court of Appeals</w:t>
      </w:r>
    </w:p>
    <w:p w14:paraId="1DD02C3D" w14:textId="77777777" w:rsidR="00021BF8" w:rsidRPr="00562C1B" w:rsidRDefault="00021BF8" w:rsidP="00021BF8">
      <w:pPr>
        <w:tabs>
          <w:tab w:val="left" w:pos="-1440"/>
          <w:tab w:val="left" w:pos="-720"/>
          <w:tab w:val="left" w:pos="0"/>
          <w:tab w:val="left" w:pos="720"/>
          <w:tab w:val="left" w:pos="1194"/>
          <w:tab w:val="left" w:pos="1685"/>
        </w:tabs>
        <w:suppressAutoHyphens/>
        <w:ind w:left="2160" w:hanging="1440"/>
        <w:rPr>
          <w:rFonts w:ascii="Times New Roman" w:hAnsi="Times New Roman"/>
          <w:sz w:val="24"/>
          <w:szCs w:val="24"/>
        </w:rPr>
      </w:pPr>
    </w:p>
    <w:p w14:paraId="1E206DB3" w14:textId="31B6F5F4" w:rsidR="00F64E7C" w:rsidRPr="00CB3A75" w:rsidRDefault="00F64E7C" w:rsidP="00F64E7C">
      <w:pPr>
        <w:tabs>
          <w:tab w:val="left" w:pos="-2088"/>
          <w:tab w:val="left" w:pos="-1368"/>
          <w:tab w:val="left" w:pos="720"/>
          <w:tab w:val="left" w:pos="1530"/>
          <w:tab w:val="left" w:pos="1890"/>
          <w:tab w:val="left" w:pos="1926"/>
        </w:tabs>
        <w:ind w:left="2160" w:hanging="1440"/>
        <w:rPr>
          <w:rFonts w:ascii="Times New Roman" w:hAnsi="Times New Roman"/>
          <w:iCs/>
          <w:sz w:val="24"/>
          <w:szCs w:val="24"/>
        </w:rPr>
      </w:pPr>
      <w:r w:rsidRPr="00625573">
        <w:rPr>
          <w:rFonts w:ascii="Times New Roman" w:hAnsi="Times New Roman"/>
          <w:bCs/>
          <w:sz w:val="24"/>
          <w:szCs w:val="24"/>
        </w:rPr>
        <w:t>C-</w:t>
      </w:r>
      <w:r>
        <w:rPr>
          <w:rFonts w:ascii="Times New Roman" w:hAnsi="Times New Roman"/>
          <w:bCs/>
          <w:sz w:val="24"/>
          <w:szCs w:val="24"/>
        </w:rPr>
        <w:t>3</w:t>
      </w:r>
      <w:r w:rsidRPr="00625573">
        <w:rPr>
          <w:rFonts w:ascii="Times New Roman" w:hAnsi="Times New Roman"/>
          <w:bCs/>
          <w:sz w:val="24"/>
          <w:szCs w:val="24"/>
        </w:rPr>
        <w:t xml:space="preserve">: </w:t>
      </w:r>
      <w:r w:rsidRPr="00625573">
        <w:rPr>
          <w:rFonts w:ascii="Times New Roman" w:hAnsi="Times New Roman"/>
          <w:bCs/>
          <w:sz w:val="24"/>
          <w:szCs w:val="24"/>
        </w:rPr>
        <w:tab/>
      </w:r>
      <w:r w:rsidR="00021BF8" w:rsidRPr="00021BF8">
        <w:rPr>
          <w:rFonts w:ascii="Times New Roman" w:hAnsi="Times New Roman"/>
          <w:i/>
          <w:sz w:val="24"/>
          <w:szCs w:val="24"/>
          <w:shd w:val="clear" w:color="auto" w:fill="FFFFFF"/>
        </w:rPr>
        <w:t>Empire Health Foundation v. Alex M. Azar, II</w:t>
      </w:r>
    </w:p>
    <w:p w14:paraId="5D1D239F" w14:textId="77777777" w:rsidR="00F64E7C" w:rsidRPr="00562C1B" w:rsidRDefault="00F64E7C" w:rsidP="00F64E7C">
      <w:pPr>
        <w:autoSpaceDE w:val="0"/>
        <w:autoSpaceDN w:val="0"/>
        <w:adjustRightInd w:val="0"/>
        <w:ind w:left="2592" w:hanging="1872"/>
        <w:rPr>
          <w:rFonts w:ascii="Times New Roman" w:hAnsi="Times New Roman"/>
          <w:bCs/>
          <w:sz w:val="24"/>
          <w:szCs w:val="24"/>
        </w:rPr>
      </w:pPr>
    </w:p>
    <w:p w14:paraId="41EC826C" w14:textId="30C3FF31" w:rsidR="00F64E7C" w:rsidRPr="00691049" w:rsidRDefault="00F64E7C" w:rsidP="003B2592">
      <w:pPr>
        <w:autoSpaceDE w:val="0"/>
        <w:autoSpaceDN w:val="0"/>
        <w:adjustRightInd w:val="0"/>
        <w:ind w:firstLine="720"/>
        <w:rPr>
          <w:rFonts w:ascii="Times New Roman" w:hAnsi="Times New Roman"/>
          <w:bCs/>
          <w:sz w:val="24"/>
          <w:szCs w:val="24"/>
        </w:rPr>
      </w:pPr>
      <w:r w:rsidRPr="000048A2">
        <w:rPr>
          <w:rFonts w:ascii="Times New Roman" w:hAnsi="Times New Roman"/>
          <w:bCs/>
          <w:sz w:val="24"/>
          <w:szCs w:val="24"/>
        </w:rPr>
        <w:t>C-</w:t>
      </w:r>
      <w:r>
        <w:rPr>
          <w:rFonts w:ascii="Times New Roman" w:hAnsi="Times New Roman"/>
          <w:bCs/>
          <w:sz w:val="24"/>
          <w:szCs w:val="24"/>
        </w:rPr>
        <w:t>4</w:t>
      </w:r>
      <w:r w:rsidRPr="000048A2">
        <w:rPr>
          <w:rFonts w:ascii="Times New Roman" w:hAnsi="Times New Roman"/>
          <w:bCs/>
          <w:sz w:val="24"/>
          <w:szCs w:val="24"/>
        </w:rPr>
        <w:t xml:space="preserve">:  </w:t>
      </w:r>
      <w:r w:rsidRPr="000048A2">
        <w:rPr>
          <w:rFonts w:ascii="Times New Roman" w:hAnsi="Times New Roman"/>
          <w:bCs/>
          <w:sz w:val="24"/>
          <w:szCs w:val="24"/>
        </w:rPr>
        <w:tab/>
        <w:t xml:space="preserve">68 Fed. Reg. </w:t>
      </w:r>
      <w:r w:rsidR="00692FAE" w:rsidRPr="000048A2">
        <w:rPr>
          <w:rFonts w:ascii="Times New Roman" w:hAnsi="Times New Roman"/>
          <w:bCs/>
          <w:sz w:val="24"/>
          <w:szCs w:val="24"/>
        </w:rPr>
        <w:t>27</w:t>
      </w:r>
      <w:r w:rsidR="00692FAE">
        <w:rPr>
          <w:rFonts w:ascii="Times New Roman" w:hAnsi="Times New Roman"/>
          <w:bCs/>
          <w:sz w:val="24"/>
          <w:szCs w:val="24"/>
        </w:rPr>
        <w:t>1</w:t>
      </w:r>
      <w:r w:rsidR="00692FAE" w:rsidRPr="000048A2">
        <w:rPr>
          <w:rFonts w:ascii="Times New Roman" w:hAnsi="Times New Roman"/>
          <w:bCs/>
          <w:sz w:val="24"/>
          <w:szCs w:val="24"/>
        </w:rPr>
        <w:t>54</w:t>
      </w:r>
      <w:r w:rsidRPr="000048A2">
        <w:rPr>
          <w:rFonts w:ascii="Times New Roman" w:hAnsi="Times New Roman"/>
          <w:bCs/>
          <w:sz w:val="24"/>
          <w:szCs w:val="24"/>
        </w:rPr>
        <w:t>, 27207</w:t>
      </w:r>
      <w:r>
        <w:rPr>
          <w:rFonts w:ascii="Times New Roman" w:hAnsi="Times New Roman"/>
          <w:bCs/>
          <w:sz w:val="24"/>
          <w:szCs w:val="24"/>
        </w:rPr>
        <w:t>-208</w:t>
      </w:r>
      <w:r w:rsidRPr="000048A2">
        <w:rPr>
          <w:rFonts w:ascii="Times New Roman" w:hAnsi="Times New Roman"/>
          <w:bCs/>
          <w:sz w:val="24"/>
          <w:szCs w:val="24"/>
        </w:rPr>
        <w:t xml:space="preserve"> (May 19, 2003)</w:t>
      </w:r>
      <w:r>
        <w:rPr>
          <w:rFonts w:ascii="Times New Roman" w:hAnsi="Times New Roman"/>
          <w:bCs/>
          <w:sz w:val="24"/>
          <w:szCs w:val="24"/>
        </w:rPr>
        <w:t xml:space="preserve">  </w:t>
      </w:r>
    </w:p>
    <w:p w14:paraId="2113DC46" w14:textId="77777777" w:rsidR="00F64E7C" w:rsidRPr="00691049" w:rsidRDefault="00F64E7C" w:rsidP="00021BF8">
      <w:pPr>
        <w:tabs>
          <w:tab w:val="left" w:pos="-1440"/>
          <w:tab w:val="left" w:pos="-720"/>
          <w:tab w:val="left" w:pos="0"/>
          <w:tab w:val="left" w:pos="720"/>
          <w:tab w:val="left" w:pos="1194"/>
          <w:tab w:val="left" w:pos="1685"/>
        </w:tabs>
        <w:suppressAutoHyphens/>
        <w:rPr>
          <w:rFonts w:ascii="Times New Roman" w:hAnsi="Times New Roman"/>
          <w:bCs/>
          <w:sz w:val="24"/>
          <w:szCs w:val="24"/>
        </w:rPr>
      </w:pPr>
    </w:p>
    <w:p w14:paraId="2D1B3B49" w14:textId="53E6E902" w:rsidR="00F64E7C" w:rsidRDefault="00F64E7C" w:rsidP="00021BF8">
      <w:pPr>
        <w:tabs>
          <w:tab w:val="left" w:pos="-2088"/>
          <w:tab w:val="left" w:pos="-1368"/>
          <w:tab w:val="left" w:pos="720"/>
          <w:tab w:val="left" w:pos="1530"/>
          <w:tab w:val="left" w:pos="1890"/>
          <w:tab w:val="left" w:pos="1926"/>
        </w:tabs>
        <w:ind w:left="2160" w:hanging="1440"/>
        <w:rPr>
          <w:rFonts w:ascii="Times New Roman" w:hAnsi="Times New Roman"/>
          <w:i/>
          <w:iCs/>
          <w:sz w:val="24"/>
          <w:szCs w:val="24"/>
        </w:rPr>
      </w:pPr>
      <w:r w:rsidRPr="00691049">
        <w:rPr>
          <w:rFonts w:ascii="Times New Roman" w:hAnsi="Times New Roman"/>
          <w:bCs/>
          <w:sz w:val="24"/>
          <w:szCs w:val="24"/>
        </w:rPr>
        <w:t xml:space="preserve">C-5: </w:t>
      </w:r>
      <w:r w:rsidRPr="00691049">
        <w:rPr>
          <w:rFonts w:ascii="Times New Roman" w:hAnsi="Times New Roman"/>
          <w:bCs/>
          <w:sz w:val="24"/>
          <w:szCs w:val="24"/>
        </w:rPr>
        <w:tab/>
      </w:r>
      <w:r w:rsidR="00021BF8" w:rsidRPr="00021BF8">
        <w:rPr>
          <w:rFonts w:ascii="Times New Roman" w:hAnsi="Times New Roman"/>
          <w:i/>
          <w:iCs/>
          <w:sz w:val="24"/>
          <w:szCs w:val="24"/>
        </w:rPr>
        <w:t>Stringfellow Mem’l Hosp v. Azar</w:t>
      </w:r>
    </w:p>
    <w:p w14:paraId="21F451F7" w14:textId="34F92747" w:rsidR="00021BF8" w:rsidRDefault="00021BF8" w:rsidP="00021BF8">
      <w:pPr>
        <w:tabs>
          <w:tab w:val="left" w:pos="-2088"/>
          <w:tab w:val="left" w:pos="-1368"/>
          <w:tab w:val="left" w:pos="720"/>
          <w:tab w:val="left" w:pos="1530"/>
          <w:tab w:val="left" w:pos="1890"/>
          <w:tab w:val="left" w:pos="1926"/>
        </w:tabs>
        <w:ind w:left="2160" w:hanging="1440"/>
        <w:rPr>
          <w:rFonts w:ascii="Times New Roman" w:hAnsi="Times New Roman"/>
          <w:i/>
          <w:iCs/>
          <w:sz w:val="24"/>
          <w:szCs w:val="24"/>
        </w:rPr>
      </w:pPr>
    </w:p>
    <w:p w14:paraId="5564B19F" w14:textId="31363B9B" w:rsidR="00021BF8" w:rsidRDefault="00021BF8" w:rsidP="00021BF8">
      <w:pPr>
        <w:tabs>
          <w:tab w:val="left" w:pos="-2088"/>
          <w:tab w:val="left" w:pos="-1368"/>
          <w:tab w:val="left" w:pos="720"/>
          <w:tab w:val="left" w:pos="1530"/>
          <w:tab w:val="left" w:pos="1890"/>
          <w:tab w:val="left" w:pos="1926"/>
        </w:tabs>
        <w:ind w:left="2160" w:hanging="1440"/>
        <w:rPr>
          <w:rFonts w:ascii="Times New Roman" w:hAnsi="Times New Roman"/>
          <w:sz w:val="24"/>
          <w:szCs w:val="24"/>
        </w:rPr>
      </w:pPr>
      <w:r>
        <w:rPr>
          <w:rFonts w:ascii="Times New Roman" w:hAnsi="Times New Roman"/>
          <w:sz w:val="24"/>
          <w:szCs w:val="24"/>
        </w:rPr>
        <w:t xml:space="preserve">C-6: </w:t>
      </w:r>
      <w:r>
        <w:rPr>
          <w:rFonts w:ascii="Times New Roman" w:hAnsi="Times New Roman"/>
          <w:sz w:val="24"/>
          <w:szCs w:val="24"/>
        </w:rPr>
        <w:tab/>
      </w:r>
      <w:r w:rsidRPr="00021BF8">
        <w:rPr>
          <w:rFonts w:ascii="Times New Roman" w:hAnsi="Times New Roman"/>
          <w:sz w:val="24"/>
          <w:szCs w:val="24"/>
        </w:rPr>
        <w:t>70 FR 47438</w:t>
      </w:r>
    </w:p>
    <w:p w14:paraId="3D172E10" w14:textId="3D4F0038" w:rsidR="00021BF8" w:rsidRDefault="00021BF8" w:rsidP="00021BF8">
      <w:pPr>
        <w:tabs>
          <w:tab w:val="left" w:pos="-2088"/>
          <w:tab w:val="left" w:pos="-1368"/>
          <w:tab w:val="left" w:pos="720"/>
          <w:tab w:val="left" w:pos="1530"/>
          <w:tab w:val="left" w:pos="1890"/>
          <w:tab w:val="left" w:pos="1926"/>
        </w:tabs>
        <w:ind w:left="2160" w:hanging="1440"/>
        <w:rPr>
          <w:rFonts w:ascii="Times New Roman" w:hAnsi="Times New Roman"/>
          <w:sz w:val="24"/>
          <w:szCs w:val="24"/>
        </w:rPr>
      </w:pPr>
    </w:p>
    <w:p w14:paraId="1AC8271C" w14:textId="6FC19BAA" w:rsidR="00021BF8" w:rsidRDefault="00021BF8" w:rsidP="00021BF8">
      <w:pPr>
        <w:tabs>
          <w:tab w:val="left" w:pos="-2088"/>
          <w:tab w:val="left" w:pos="-1368"/>
          <w:tab w:val="left" w:pos="720"/>
          <w:tab w:val="left" w:pos="1530"/>
          <w:tab w:val="left" w:pos="1890"/>
          <w:tab w:val="left" w:pos="1926"/>
        </w:tabs>
        <w:ind w:left="2160" w:hanging="1440"/>
        <w:rPr>
          <w:rFonts w:ascii="Times New Roman" w:hAnsi="Times New Roman"/>
          <w:sz w:val="24"/>
          <w:szCs w:val="24"/>
        </w:rPr>
      </w:pPr>
      <w:r>
        <w:rPr>
          <w:rFonts w:ascii="Times New Roman" w:hAnsi="Times New Roman"/>
          <w:sz w:val="24"/>
          <w:szCs w:val="24"/>
        </w:rPr>
        <w:t>C-7:</w:t>
      </w:r>
      <w:r>
        <w:rPr>
          <w:rFonts w:ascii="Times New Roman" w:hAnsi="Times New Roman"/>
          <w:sz w:val="24"/>
          <w:szCs w:val="24"/>
        </w:rPr>
        <w:tab/>
      </w:r>
      <w:r>
        <w:rPr>
          <w:rFonts w:ascii="Times New Roman" w:hAnsi="Times New Roman"/>
          <w:sz w:val="24"/>
          <w:szCs w:val="24"/>
        </w:rPr>
        <w:tab/>
      </w:r>
      <w:r w:rsidRPr="00021BF8">
        <w:rPr>
          <w:rFonts w:ascii="Times New Roman" w:hAnsi="Times New Roman"/>
          <w:sz w:val="24"/>
          <w:szCs w:val="24"/>
        </w:rPr>
        <w:t>MedPAR Data</w:t>
      </w:r>
    </w:p>
    <w:p w14:paraId="0C874644" w14:textId="253DB742" w:rsidR="008F480A" w:rsidRDefault="008F480A" w:rsidP="00021BF8">
      <w:pPr>
        <w:tabs>
          <w:tab w:val="left" w:pos="-2088"/>
          <w:tab w:val="left" w:pos="-1368"/>
          <w:tab w:val="left" w:pos="720"/>
          <w:tab w:val="left" w:pos="1530"/>
          <w:tab w:val="left" w:pos="1890"/>
          <w:tab w:val="left" w:pos="1926"/>
        </w:tabs>
        <w:ind w:left="2160" w:hanging="1440"/>
        <w:rPr>
          <w:rFonts w:ascii="Times New Roman" w:hAnsi="Times New Roman"/>
          <w:sz w:val="24"/>
          <w:szCs w:val="24"/>
        </w:rPr>
      </w:pPr>
    </w:p>
    <w:p w14:paraId="451F4C3C" w14:textId="7BE99EBE" w:rsidR="008F480A" w:rsidRPr="00021BF8" w:rsidRDefault="008F480A" w:rsidP="008F480A">
      <w:pPr>
        <w:tabs>
          <w:tab w:val="left" w:pos="-2088"/>
          <w:tab w:val="left" w:pos="-1368"/>
          <w:tab w:val="left" w:pos="720"/>
          <w:tab w:val="left" w:pos="1530"/>
          <w:tab w:val="left" w:pos="1890"/>
          <w:tab w:val="left" w:pos="1926"/>
        </w:tabs>
        <w:ind w:left="2160" w:hanging="1440"/>
        <w:rPr>
          <w:rFonts w:ascii="Times New Roman" w:hAnsi="Times New Roman"/>
          <w:sz w:val="24"/>
          <w:szCs w:val="24"/>
        </w:rPr>
      </w:pPr>
      <w:r>
        <w:rPr>
          <w:rFonts w:ascii="Times New Roman" w:hAnsi="Times New Roman"/>
          <w:sz w:val="24"/>
          <w:szCs w:val="24"/>
        </w:rPr>
        <w:t>C-8</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7547E9">
        <w:rPr>
          <w:rFonts w:ascii="Times New Roman" w:hAnsi="Times New Roman"/>
          <w:i/>
          <w:iCs/>
          <w:sz w:val="24"/>
          <w:szCs w:val="24"/>
        </w:rPr>
        <w:t>Becerra v. Empire Health Foundation 06-24-2022</w:t>
      </w:r>
    </w:p>
    <w:bookmarkEnd w:id="2"/>
    <w:p w14:paraId="5CBC7B0D" w14:textId="77777777" w:rsidR="008F480A" w:rsidRDefault="008F480A" w:rsidP="008F480A">
      <w:pPr>
        <w:tabs>
          <w:tab w:val="left" w:pos="0"/>
        </w:tabs>
        <w:suppressAutoHyphens/>
        <w:spacing w:line="480" w:lineRule="auto"/>
        <w:jc w:val="both"/>
        <w:rPr>
          <w:rFonts w:ascii="Times New Roman" w:hAnsi="Times New Roman"/>
          <w:sz w:val="24"/>
          <w:szCs w:val="24"/>
        </w:rPr>
      </w:pPr>
    </w:p>
    <w:p w14:paraId="4BAC378B" w14:textId="77777777" w:rsidR="008F480A" w:rsidRPr="00021BF8" w:rsidRDefault="008F480A" w:rsidP="00021BF8">
      <w:pPr>
        <w:tabs>
          <w:tab w:val="left" w:pos="-2088"/>
          <w:tab w:val="left" w:pos="-1368"/>
          <w:tab w:val="left" w:pos="720"/>
          <w:tab w:val="left" w:pos="1530"/>
          <w:tab w:val="left" w:pos="1890"/>
          <w:tab w:val="left" w:pos="1926"/>
        </w:tabs>
        <w:ind w:left="2160" w:hanging="1440"/>
        <w:rPr>
          <w:rFonts w:ascii="Times New Roman" w:hAnsi="Times New Roman"/>
          <w:sz w:val="24"/>
          <w:szCs w:val="24"/>
        </w:rPr>
      </w:pPr>
    </w:p>
    <w:bookmarkEnd w:id="3"/>
    <w:p w14:paraId="08BE3458" w14:textId="77777777" w:rsidR="00F64E7C" w:rsidRDefault="00F64E7C" w:rsidP="00F64E7C">
      <w:pPr>
        <w:tabs>
          <w:tab w:val="left" w:pos="0"/>
        </w:tabs>
        <w:suppressAutoHyphens/>
        <w:spacing w:line="480" w:lineRule="auto"/>
        <w:jc w:val="both"/>
        <w:rPr>
          <w:rFonts w:ascii="Times New Roman" w:hAnsi="Times New Roman"/>
          <w:sz w:val="24"/>
          <w:szCs w:val="24"/>
        </w:rPr>
      </w:pPr>
    </w:p>
    <w:p w14:paraId="7FEC55A3" w14:textId="77777777" w:rsidR="00FA6661" w:rsidRDefault="00FA6661" w:rsidP="00F64E7C">
      <w:pPr>
        <w:tabs>
          <w:tab w:val="left" w:pos="-1440"/>
          <w:tab w:val="left" w:pos="-720"/>
          <w:tab w:val="left" w:pos="0"/>
          <w:tab w:val="left" w:pos="720"/>
          <w:tab w:val="left" w:pos="1930"/>
          <w:tab w:val="left" w:pos="7501"/>
          <w:tab w:val="right" w:pos="7920"/>
          <w:tab w:val="left" w:pos="8136"/>
          <w:tab w:val="left" w:pos="8640"/>
        </w:tabs>
        <w:suppressAutoHyphens/>
        <w:spacing w:line="480" w:lineRule="auto"/>
        <w:ind w:left="720"/>
        <w:rPr>
          <w:rFonts w:ascii="Times New Roman" w:hAnsi="Times New Roman"/>
          <w:sz w:val="24"/>
          <w:szCs w:val="24"/>
        </w:rPr>
      </w:pPr>
    </w:p>
    <w:sectPr w:rsidR="00FA6661" w:rsidSect="0013729C">
      <w:headerReference w:type="default" r:id="rId8"/>
      <w:footerReference w:type="default" r:id="rId9"/>
      <w:endnotePr>
        <w:numFmt w:val="decimal"/>
      </w:endnotePr>
      <w:type w:val="continuous"/>
      <w:pgSz w:w="12240" w:h="15840" w:code="1"/>
      <w:pgMar w:top="1008" w:right="1440" w:bottom="432" w:left="2160" w:header="1440" w:footer="144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5C416C" w14:textId="77777777" w:rsidR="00F264F9" w:rsidRDefault="00F264F9">
      <w:pPr>
        <w:spacing w:line="20" w:lineRule="exact"/>
        <w:rPr>
          <w:sz w:val="24"/>
        </w:rPr>
      </w:pPr>
    </w:p>
  </w:endnote>
  <w:endnote w:type="continuationSeparator" w:id="0">
    <w:p w14:paraId="65815EF5" w14:textId="77777777" w:rsidR="00F264F9" w:rsidRDefault="00F264F9">
      <w:r>
        <w:rPr>
          <w:sz w:val="24"/>
        </w:rPr>
        <w:t xml:space="preserve"> </w:t>
      </w:r>
    </w:p>
  </w:endnote>
  <w:endnote w:type="continuationNotice" w:id="1">
    <w:p w14:paraId="30B2152F" w14:textId="77777777" w:rsidR="00F264F9" w:rsidRDefault="00F264F9">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MTPro-Regular">
    <w:altName w:val="Arial"/>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Libre Franklin">
    <w:charset w:val="00"/>
    <w:family w:val="auto"/>
    <w:pitch w:val="variable"/>
    <w:sig w:usb0="A00000FF" w:usb1="4000205B" w:usb2="00000000" w:usb3="00000000" w:csb0="000001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8924074"/>
      <w:docPartObj>
        <w:docPartGallery w:val="Page Numbers (Bottom of Page)"/>
        <w:docPartUnique/>
      </w:docPartObj>
    </w:sdtPr>
    <w:sdtEndPr>
      <w:rPr>
        <w:noProof/>
        <w:sz w:val="24"/>
        <w:szCs w:val="24"/>
      </w:rPr>
    </w:sdtEndPr>
    <w:sdtContent>
      <w:p w14:paraId="5415EACD" w14:textId="39EE99FA" w:rsidR="0036411C" w:rsidRDefault="0036411C">
        <w:pPr>
          <w:pStyle w:val="Footer"/>
          <w:jc w:val="center"/>
        </w:pPr>
        <w:r w:rsidRPr="00607CA4">
          <w:rPr>
            <w:sz w:val="24"/>
            <w:szCs w:val="24"/>
          </w:rPr>
          <w:fldChar w:fldCharType="begin"/>
        </w:r>
        <w:r w:rsidRPr="00607CA4">
          <w:rPr>
            <w:sz w:val="24"/>
            <w:szCs w:val="24"/>
          </w:rPr>
          <w:instrText xml:space="preserve"> PAGE   \* MERGEFORMAT </w:instrText>
        </w:r>
        <w:r w:rsidRPr="00607CA4">
          <w:rPr>
            <w:sz w:val="24"/>
            <w:szCs w:val="24"/>
          </w:rPr>
          <w:fldChar w:fldCharType="separate"/>
        </w:r>
        <w:r w:rsidRPr="00607CA4">
          <w:rPr>
            <w:noProof/>
            <w:sz w:val="24"/>
            <w:szCs w:val="24"/>
          </w:rPr>
          <w:t>2</w:t>
        </w:r>
        <w:r w:rsidRPr="00607CA4">
          <w:rPr>
            <w:noProof/>
            <w:sz w:val="24"/>
            <w:szCs w:val="24"/>
          </w:rPr>
          <w:fldChar w:fldCharType="end"/>
        </w:r>
      </w:p>
    </w:sdtContent>
  </w:sdt>
  <w:p w14:paraId="658D7E00" w14:textId="77777777" w:rsidR="00B66AEC" w:rsidRDefault="00B66AEC">
    <w:pPr>
      <w:pStyle w:val="Footer"/>
      <w:rPr>
        <w:rFonts w:ascii="Times New Roman" w:hAnsi="Times New Roman"/>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D57225" w14:textId="77777777" w:rsidR="00F264F9" w:rsidRDefault="00F264F9">
      <w:r>
        <w:rPr>
          <w:sz w:val="24"/>
        </w:rPr>
        <w:separator/>
      </w:r>
    </w:p>
  </w:footnote>
  <w:footnote w:type="continuationSeparator" w:id="0">
    <w:p w14:paraId="35B1C7C6" w14:textId="77777777" w:rsidR="00F264F9" w:rsidRDefault="00F264F9">
      <w:r>
        <w:continuationSeparator/>
      </w:r>
    </w:p>
  </w:footnote>
  <w:footnote w:id="1">
    <w:p w14:paraId="03F22FAA" w14:textId="0A54E3A4" w:rsidR="00AA72B0" w:rsidRPr="00AA72B0" w:rsidRDefault="00AA72B0">
      <w:pPr>
        <w:pStyle w:val="FootnoteText"/>
        <w:rPr>
          <w:rFonts w:ascii="Times New Roman" w:hAnsi="Times New Roman"/>
        </w:rPr>
      </w:pPr>
      <w:r w:rsidRPr="00AA72B0">
        <w:rPr>
          <w:rStyle w:val="FootnoteReference"/>
          <w:rFonts w:ascii="Times New Roman" w:hAnsi="Times New Roman"/>
        </w:rPr>
        <w:footnoteRef/>
      </w:r>
      <w:r w:rsidRPr="00AA72B0">
        <w:rPr>
          <w:rFonts w:ascii="Times New Roman" w:hAnsi="Times New Roman"/>
        </w:rPr>
        <w:t xml:space="preserve"> </w:t>
      </w:r>
      <w:r w:rsidRPr="00AA72B0">
        <w:rPr>
          <w:rFonts w:ascii="Times New Roman" w:hAnsi="Times New Roman"/>
          <w:i/>
          <w:iCs/>
        </w:rPr>
        <w:t>Id.</w:t>
      </w:r>
    </w:p>
  </w:footnote>
  <w:footnote w:id="2">
    <w:p w14:paraId="248F1A33" w14:textId="273203B5" w:rsidR="00AA72B0" w:rsidRPr="00AA72B0" w:rsidRDefault="00AA72B0">
      <w:pPr>
        <w:pStyle w:val="FootnoteText"/>
        <w:rPr>
          <w:rFonts w:ascii="Times New Roman" w:hAnsi="Times New Roman"/>
        </w:rPr>
      </w:pPr>
      <w:r w:rsidRPr="00AA72B0">
        <w:rPr>
          <w:rStyle w:val="FootnoteReference"/>
          <w:rFonts w:ascii="Times New Roman" w:hAnsi="Times New Roman"/>
        </w:rPr>
        <w:footnoteRef/>
      </w:r>
      <w:r w:rsidRPr="00AA72B0">
        <w:rPr>
          <w:rFonts w:ascii="Times New Roman" w:hAnsi="Times New Roman"/>
        </w:rPr>
        <w:t xml:space="preserve"> </w:t>
      </w:r>
      <w:r w:rsidRPr="00AA72B0">
        <w:rPr>
          <w:rFonts w:ascii="Times New Roman" w:hAnsi="Times New Roman"/>
          <w:i/>
          <w:iCs/>
        </w:rPr>
        <w:t>Id.</w:t>
      </w:r>
    </w:p>
  </w:footnote>
  <w:footnote w:id="3">
    <w:p w14:paraId="56205FA4" w14:textId="58196379" w:rsidR="00AA72B0" w:rsidRDefault="00AA72B0">
      <w:pPr>
        <w:pStyle w:val="FootnoteText"/>
      </w:pPr>
      <w:r w:rsidRPr="00AA72B0">
        <w:rPr>
          <w:rStyle w:val="FootnoteReference"/>
          <w:rFonts w:ascii="Times New Roman" w:hAnsi="Times New Roman"/>
        </w:rPr>
        <w:footnoteRef/>
      </w:r>
      <w:r w:rsidRPr="00AA72B0">
        <w:rPr>
          <w:rFonts w:ascii="Times New Roman" w:hAnsi="Times New Roman"/>
        </w:rPr>
        <w:t xml:space="preserve"> </w:t>
      </w:r>
      <w:r w:rsidRPr="00AA72B0">
        <w:rPr>
          <w:rFonts w:ascii="Times New Roman" w:hAnsi="Times New Roman"/>
          <w:i/>
          <w:iCs/>
        </w:rPr>
        <w:t>Id.</w:t>
      </w:r>
    </w:p>
  </w:footnote>
  <w:footnote w:id="4">
    <w:p w14:paraId="5EBECB6F" w14:textId="5EAC278E" w:rsidR="00F64E7C" w:rsidRPr="0019188D" w:rsidRDefault="00F64E7C" w:rsidP="005C427A">
      <w:pPr>
        <w:tabs>
          <w:tab w:val="left" w:pos="-2088"/>
          <w:tab w:val="left" w:pos="-1368"/>
          <w:tab w:val="left" w:pos="720"/>
          <w:tab w:val="left" w:pos="1926"/>
          <w:tab w:val="left" w:pos="7500"/>
          <w:tab w:val="left" w:pos="8136"/>
        </w:tabs>
        <w:ind w:left="1440" w:hanging="1440"/>
        <w:jc w:val="both"/>
        <w:rPr>
          <w:rFonts w:ascii="Times New Roman" w:hAnsi="Times New Roman"/>
          <w:noProof/>
          <w:highlight w:val="yellow"/>
        </w:rPr>
      </w:pPr>
      <w:r w:rsidRPr="0036411C">
        <w:rPr>
          <w:rStyle w:val="FootnoteReference"/>
          <w:rFonts w:ascii="Times New Roman" w:hAnsi="Times New Roman"/>
        </w:rPr>
        <w:footnoteRef/>
      </w:r>
      <w:r w:rsidRPr="0036411C">
        <w:rPr>
          <w:rFonts w:ascii="Times New Roman" w:hAnsi="Times New Roman"/>
        </w:rPr>
        <w:t xml:space="preserve"> </w:t>
      </w:r>
      <w:r w:rsidRPr="0036411C">
        <w:rPr>
          <w:rFonts w:ascii="Times New Roman" w:hAnsi="Times New Roman"/>
          <w:i/>
        </w:rPr>
        <w:t>Metropolitan Hospital v. HHS, US Court of Appeals, Sixth Circuit</w:t>
      </w:r>
      <w:r w:rsidRPr="0036411C">
        <w:rPr>
          <w:rFonts w:ascii="Times New Roman" w:hAnsi="Times New Roman"/>
        </w:rPr>
        <w:t xml:space="preserve"> (March 27, 2013) (Exhibit C-2)</w:t>
      </w:r>
      <w:r w:rsidR="0036411C" w:rsidRPr="0036411C">
        <w:rPr>
          <w:rFonts w:ascii="Times New Roman" w:hAnsi="Times New Roman"/>
        </w:rPr>
        <w:t>.</w:t>
      </w:r>
    </w:p>
  </w:footnote>
  <w:footnote w:id="5">
    <w:p w14:paraId="588F3CCF" w14:textId="34A1C24A" w:rsidR="00F64E7C" w:rsidRPr="002553EA" w:rsidRDefault="00F64E7C" w:rsidP="00F64E7C">
      <w:pPr>
        <w:pStyle w:val="FootnoteText"/>
        <w:rPr>
          <w:rFonts w:ascii="Times New Roman" w:hAnsi="Times New Roman"/>
        </w:rPr>
      </w:pPr>
      <w:r w:rsidRPr="0036411C">
        <w:rPr>
          <w:rStyle w:val="FootnoteReference"/>
          <w:rFonts w:ascii="Times New Roman" w:hAnsi="Times New Roman"/>
        </w:rPr>
        <w:footnoteRef/>
      </w:r>
      <w:r w:rsidRPr="0036411C">
        <w:rPr>
          <w:rFonts w:ascii="Times New Roman" w:hAnsi="Times New Roman"/>
        </w:rPr>
        <w:t xml:space="preserve"> </w:t>
      </w:r>
      <w:r w:rsidRPr="0036411C">
        <w:rPr>
          <w:rFonts w:ascii="Times New Roman" w:hAnsi="Times New Roman"/>
          <w:i/>
          <w:iCs/>
        </w:rPr>
        <w:t>Id</w:t>
      </w:r>
      <w:r w:rsidRPr="0036411C">
        <w:rPr>
          <w:rFonts w:ascii="Times New Roman" w:hAnsi="Times New Roman"/>
        </w:rPr>
        <w:t>.</w:t>
      </w:r>
      <w:r w:rsidR="005C427A" w:rsidRPr="0036411C">
        <w:rPr>
          <w:rFonts w:ascii="Times New Roman" w:hAnsi="Times New Roman"/>
        </w:rPr>
        <w:t>,</w:t>
      </w:r>
      <w:r w:rsidRPr="0036411C">
        <w:rPr>
          <w:rFonts w:ascii="Times New Roman" w:hAnsi="Times New Roman"/>
        </w:rPr>
        <w:t xml:space="preserve"> at </w:t>
      </w:r>
      <w:r w:rsidR="005C427A" w:rsidRPr="0036411C">
        <w:rPr>
          <w:rFonts w:ascii="Times New Roman" w:hAnsi="Times New Roman"/>
        </w:rPr>
        <w:t>C000</w:t>
      </w:r>
      <w:r w:rsidR="0066605D">
        <w:rPr>
          <w:rFonts w:ascii="Times New Roman" w:hAnsi="Times New Roman"/>
        </w:rPr>
        <w:t>009</w:t>
      </w:r>
      <w:r w:rsidR="005C427A" w:rsidRPr="0036411C">
        <w:rPr>
          <w:rFonts w:ascii="Times New Roman" w:hAnsi="Times New Roman"/>
        </w:rPr>
        <w:t>-C000</w:t>
      </w:r>
      <w:r w:rsidR="0066605D">
        <w:rPr>
          <w:rFonts w:ascii="Times New Roman" w:hAnsi="Times New Roman"/>
        </w:rPr>
        <w:t>010</w:t>
      </w:r>
      <w:r w:rsidR="0036411C" w:rsidRPr="0036411C">
        <w:rPr>
          <w:rFonts w:ascii="Times New Roman" w:hAnsi="Times New Roman"/>
        </w:rPr>
        <w:t>.</w:t>
      </w:r>
    </w:p>
  </w:footnote>
  <w:footnote w:id="6">
    <w:p w14:paraId="663E147C" w14:textId="335EA92B" w:rsidR="002A65F4" w:rsidRPr="005C427A" w:rsidRDefault="002A65F4">
      <w:pPr>
        <w:pStyle w:val="FootnoteText"/>
        <w:rPr>
          <w:rFonts w:ascii="Times New Roman" w:hAnsi="Times New Roman"/>
        </w:rPr>
      </w:pPr>
      <w:r w:rsidRPr="005C427A">
        <w:rPr>
          <w:rStyle w:val="FootnoteReference"/>
          <w:rFonts w:ascii="Times New Roman" w:hAnsi="Times New Roman"/>
        </w:rPr>
        <w:footnoteRef/>
      </w:r>
      <w:r w:rsidRPr="005C427A">
        <w:rPr>
          <w:rFonts w:ascii="Times New Roman" w:hAnsi="Times New Roman"/>
        </w:rPr>
        <w:t xml:space="preserve"> Provider’s Preliminary Position Paper </w:t>
      </w:r>
      <w:r w:rsidR="004B1A79">
        <w:rPr>
          <w:rFonts w:ascii="Times New Roman" w:hAnsi="Times New Roman"/>
        </w:rPr>
        <w:t xml:space="preserve">at </w:t>
      </w:r>
      <w:r w:rsidR="0019188D">
        <w:rPr>
          <w:rFonts w:ascii="Times New Roman" w:hAnsi="Times New Roman"/>
        </w:rPr>
        <w:t>0000</w:t>
      </w:r>
      <w:r w:rsidR="00C76585">
        <w:rPr>
          <w:rFonts w:ascii="Times New Roman" w:hAnsi="Times New Roman"/>
        </w:rPr>
        <w:t>7</w:t>
      </w:r>
      <w:r w:rsidRPr="005C427A">
        <w:rPr>
          <w:rFonts w:ascii="Times New Roman" w:hAnsi="Times New Roman"/>
        </w:rPr>
        <w:t>.</w:t>
      </w:r>
    </w:p>
  </w:footnote>
  <w:footnote w:id="7">
    <w:p w14:paraId="0A1CC917" w14:textId="3306580E" w:rsidR="00F64E7C" w:rsidRPr="0036411C" w:rsidRDefault="00F64E7C" w:rsidP="00F64E7C">
      <w:pPr>
        <w:pStyle w:val="FootnoteText"/>
        <w:rPr>
          <w:rFonts w:ascii="Times New Roman" w:hAnsi="Times New Roman"/>
        </w:rPr>
      </w:pPr>
      <w:r w:rsidRPr="0036411C">
        <w:rPr>
          <w:rStyle w:val="FootnoteReference"/>
          <w:rFonts w:ascii="Times New Roman" w:hAnsi="Times New Roman"/>
        </w:rPr>
        <w:footnoteRef/>
      </w:r>
      <w:r w:rsidRPr="0036411C">
        <w:rPr>
          <w:rFonts w:ascii="Times New Roman" w:hAnsi="Times New Roman"/>
        </w:rPr>
        <w:t xml:space="preserve"> 68 Fed. Reg. 27154, 27207-208 (May 19, 2003).  (Exhibit C-4)</w:t>
      </w:r>
      <w:r w:rsidR="0036411C" w:rsidRPr="0036411C">
        <w:rPr>
          <w:rFonts w:ascii="Times New Roman" w:hAnsi="Times New Roman"/>
        </w:rPr>
        <w:t>.</w:t>
      </w:r>
    </w:p>
  </w:footnote>
  <w:footnote w:id="8">
    <w:p w14:paraId="0D5B1C73" w14:textId="156CE442" w:rsidR="00F64E7C" w:rsidRPr="0036411C" w:rsidRDefault="00F64E7C" w:rsidP="00F64E7C">
      <w:pPr>
        <w:pStyle w:val="FootnoteText"/>
        <w:rPr>
          <w:rFonts w:ascii="Times New Roman" w:hAnsi="Times New Roman"/>
        </w:rPr>
      </w:pPr>
      <w:r w:rsidRPr="0036411C">
        <w:rPr>
          <w:rStyle w:val="FootnoteReference"/>
          <w:rFonts w:ascii="Times New Roman" w:hAnsi="Times New Roman"/>
        </w:rPr>
        <w:footnoteRef/>
      </w:r>
      <w:r w:rsidRPr="0036411C">
        <w:rPr>
          <w:rFonts w:ascii="Times New Roman" w:hAnsi="Times New Roman"/>
        </w:rPr>
        <w:t xml:space="preserve"> 69 Fed. Reg. 28196, 28286 (May 18, 2004)</w:t>
      </w:r>
      <w:r w:rsidR="0036411C">
        <w:rPr>
          <w:rFonts w:ascii="Times New Roman" w:hAnsi="Times New Roman"/>
        </w:rPr>
        <w:t>.</w:t>
      </w:r>
    </w:p>
  </w:footnote>
  <w:footnote w:id="9">
    <w:p w14:paraId="7B5F17E1" w14:textId="03CEDC0B" w:rsidR="00F64E7C" w:rsidRPr="00A35EC0" w:rsidRDefault="00F64E7C" w:rsidP="00F64E7C">
      <w:pPr>
        <w:pStyle w:val="FootnoteText"/>
        <w:rPr>
          <w:rFonts w:ascii="Times New Roman" w:hAnsi="Times New Roman"/>
        </w:rPr>
      </w:pPr>
      <w:r w:rsidRPr="0036411C">
        <w:rPr>
          <w:rStyle w:val="FootnoteReference"/>
          <w:rFonts w:ascii="Times New Roman" w:hAnsi="Times New Roman"/>
        </w:rPr>
        <w:footnoteRef/>
      </w:r>
      <w:r w:rsidRPr="0036411C">
        <w:rPr>
          <w:rFonts w:ascii="Times New Roman" w:hAnsi="Times New Roman"/>
        </w:rPr>
        <w:t xml:space="preserve"> 69 Fed. Reg. at 49098 (August 11, 2004)</w:t>
      </w:r>
      <w:r w:rsidR="0036411C" w:rsidRPr="0036411C">
        <w:rPr>
          <w:rFonts w:ascii="Times New Roman" w:hAnsi="Times New Roman"/>
        </w:rPr>
        <w:t>.</w:t>
      </w:r>
    </w:p>
  </w:footnote>
  <w:footnote w:id="10">
    <w:p w14:paraId="002C7856" w14:textId="12D1BA80" w:rsidR="002A65F4" w:rsidRPr="005C427A" w:rsidRDefault="002A65F4">
      <w:pPr>
        <w:pStyle w:val="FootnoteText"/>
        <w:rPr>
          <w:rFonts w:ascii="Times New Roman" w:hAnsi="Times New Roman"/>
        </w:rPr>
      </w:pPr>
      <w:r w:rsidRPr="005C427A">
        <w:rPr>
          <w:rStyle w:val="FootnoteReference"/>
          <w:rFonts w:ascii="Times New Roman" w:hAnsi="Times New Roman"/>
        </w:rPr>
        <w:footnoteRef/>
      </w:r>
      <w:r w:rsidRPr="005C427A">
        <w:rPr>
          <w:rFonts w:ascii="Times New Roman" w:hAnsi="Times New Roman"/>
        </w:rPr>
        <w:t xml:space="preserve"> Provider’s Preliminary Position Paper </w:t>
      </w:r>
      <w:r w:rsidR="004B1A79">
        <w:rPr>
          <w:rFonts w:ascii="Times New Roman" w:hAnsi="Times New Roman"/>
        </w:rPr>
        <w:t xml:space="preserve">at </w:t>
      </w:r>
      <w:r w:rsidR="0019188D">
        <w:rPr>
          <w:rFonts w:ascii="Times New Roman" w:hAnsi="Times New Roman"/>
        </w:rPr>
        <w:t>00001</w:t>
      </w:r>
      <w:r w:rsidR="00517BAB">
        <w:rPr>
          <w:rFonts w:ascii="Times New Roman" w:hAnsi="Times New Roman"/>
        </w:rPr>
        <w:t>5</w:t>
      </w:r>
      <w:r w:rsidR="00A91367">
        <w:rPr>
          <w:rFonts w:ascii="Times New Roman" w:hAnsi="Times New Roman"/>
        </w:rPr>
        <w:t>.</w:t>
      </w:r>
    </w:p>
  </w:footnote>
  <w:footnote w:id="11">
    <w:p w14:paraId="22BE52E8" w14:textId="232229B0" w:rsidR="00F64E7C" w:rsidRPr="0019188D" w:rsidRDefault="00F64E7C" w:rsidP="00F64E7C">
      <w:pPr>
        <w:pStyle w:val="FootnoteText"/>
        <w:rPr>
          <w:rFonts w:ascii="Times New Roman" w:hAnsi="Times New Roman"/>
          <w:highlight w:val="yellow"/>
        </w:rPr>
      </w:pPr>
      <w:r w:rsidRPr="0036411C">
        <w:rPr>
          <w:rStyle w:val="FootnoteReference"/>
          <w:rFonts w:ascii="Times New Roman" w:hAnsi="Times New Roman"/>
        </w:rPr>
        <w:footnoteRef/>
      </w:r>
      <w:r w:rsidRPr="0036411C">
        <w:rPr>
          <w:rFonts w:ascii="Times New Roman" w:hAnsi="Times New Roman"/>
        </w:rPr>
        <w:t xml:space="preserve"> Allina II, 863 F.3d at 942 (D.C.C. 2017) and </w:t>
      </w:r>
      <w:r w:rsidRPr="0036411C">
        <w:rPr>
          <w:rFonts w:ascii="Times New Roman" w:hAnsi="Times New Roman"/>
          <w:i/>
          <w:iCs/>
        </w:rPr>
        <w:t>Alex M. Azar,II, Secretary of Health and Human Services, Applicant v. Allina Health Services et al.,</w:t>
      </w:r>
      <w:r w:rsidRPr="0036411C">
        <w:rPr>
          <w:rFonts w:ascii="Times New Roman" w:hAnsi="Times New Roman"/>
        </w:rPr>
        <w:t>Supreme Court Docket No. 17A770</w:t>
      </w:r>
      <w:r w:rsidR="0036411C" w:rsidRPr="0036411C">
        <w:rPr>
          <w:rFonts w:ascii="Times New Roman" w:hAnsi="Times New Roman"/>
        </w:rPr>
        <w:t>.</w:t>
      </w:r>
    </w:p>
  </w:footnote>
  <w:footnote w:id="12">
    <w:p w14:paraId="7A7F529D" w14:textId="2D2A0C0B" w:rsidR="00F64E7C" w:rsidRPr="00D55A58" w:rsidRDefault="00F64E7C" w:rsidP="00F64E7C">
      <w:pPr>
        <w:pStyle w:val="FootnoteText"/>
        <w:rPr>
          <w:rFonts w:ascii="Times New Roman" w:hAnsi="Times New Roman"/>
        </w:rPr>
      </w:pPr>
      <w:r w:rsidRPr="0036411C">
        <w:rPr>
          <w:rStyle w:val="FootnoteReference"/>
          <w:rFonts w:ascii="Times New Roman" w:hAnsi="Times New Roman"/>
        </w:rPr>
        <w:footnoteRef/>
      </w:r>
      <w:r w:rsidRPr="0036411C">
        <w:rPr>
          <w:rFonts w:ascii="Times New Roman" w:hAnsi="Times New Roman"/>
        </w:rPr>
        <w:t xml:space="preserve"> </w:t>
      </w:r>
      <w:r w:rsidRPr="0036411C">
        <w:rPr>
          <w:rFonts w:ascii="Times New Roman" w:hAnsi="Times New Roman"/>
          <w:i/>
          <w:shd w:val="clear" w:color="auto" w:fill="FFFFFF"/>
        </w:rPr>
        <w:t>Empire Health Foundation</w:t>
      </w:r>
      <w:r w:rsidRPr="0036411C">
        <w:rPr>
          <w:rStyle w:val="alt"/>
          <w:rFonts w:ascii="Times New Roman" w:hAnsi="Times New Roman"/>
          <w:i/>
          <w:iCs/>
        </w:rPr>
        <w:t xml:space="preserve"> v. </w:t>
      </w:r>
      <w:r w:rsidRPr="0036411C">
        <w:rPr>
          <w:rFonts w:ascii="Times New Roman" w:hAnsi="Times New Roman"/>
          <w:i/>
          <w:shd w:val="clear" w:color="auto" w:fill="FFFFFF"/>
        </w:rPr>
        <w:t xml:space="preserve">Alex M. Azar, II, </w:t>
      </w:r>
      <w:r w:rsidRPr="0036411C">
        <w:rPr>
          <w:rFonts w:ascii="Times New Roman" w:hAnsi="Times New Roman"/>
          <w:iCs/>
          <w:shd w:val="clear" w:color="auto" w:fill="FFFFFF"/>
        </w:rPr>
        <w:t>Case No. 16-209 (9</w:t>
      </w:r>
      <w:r w:rsidRPr="0036411C">
        <w:rPr>
          <w:rFonts w:ascii="Times New Roman" w:hAnsi="Times New Roman"/>
          <w:iCs/>
          <w:shd w:val="clear" w:color="auto" w:fill="FFFFFF"/>
          <w:vertAlign w:val="superscript"/>
        </w:rPr>
        <w:t>th</w:t>
      </w:r>
      <w:r w:rsidRPr="0036411C">
        <w:rPr>
          <w:rFonts w:ascii="Times New Roman" w:hAnsi="Times New Roman"/>
          <w:iCs/>
          <w:shd w:val="clear" w:color="auto" w:fill="FFFFFF"/>
        </w:rPr>
        <w:t xml:space="preserve"> Cir., May 5, 2020) (E</w:t>
      </w:r>
      <w:r w:rsidRPr="0036411C">
        <w:rPr>
          <w:rFonts w:ascii="Times New Roman" w:hAnsi="Times New Roman"/>
        </w:rPr>
        <w:t xml:space="preserve">xhibit C-3 at </w:t>
      </w:r>
      <w:r w:rsidR="005C427A" w:rsidRPr="0036411C">
        <w:rPr>
          <w:rFonts w:ascii="Times New Roman" w:hAnsi="Times New Roman"/>
        </w:rPr>
        <w:t>C000</w:t>
      </w:r>
      <w:r w:rsidR="009D21CB">
        <w:rPr>
          <w:rFonts w:ascii="Times New Roman" w:hAnsi="Times New Roman"/>
        </w:rPr>
        <w:t>0</w:t>
      </w:r>
      <w:r w:rsidR="005C427A" w:rsidRPr="0036411C">
        <w:rPr>
          <w:rFonts w:ascii="Times New Roman" w:hAnsi="Times New Roman"/>
        </w:rPr>
        <w:t>7</w:t>
      </w:r>
      <w:r w:rsidR="009D21CB">
        <w:rPr>
          <w:rFonts w:ascii="Times New Roman" w:hAnsi="Times New Roman"/>
        </w:rPr>
        <w:t>0</w:t>
      </w:r>
      <w:r w:rsidRPr="0036411C">
        <w:rPr>
          <w:rFonts w:ascii="Times New Roman" w:hAnsi="Times New Roman"/>
        </w:rPr>
        <w:t>.)</w:t>
      </w:r>
    </w:p>
  </w:footnote>
  <w:footnote w:id="13">
    <w:p w14:paraId="0191440E" w14:textId="6E7B1CED" w:rsidR="00F64E7C" w:rsidRPr="00D55A58" w:rsidRDefault="00F64E7C" w:rsidP="00F64E7C">
      <w:pPr>
        <w:pStyle w:val="FootnoteText"/>
        <w:rPr>
          <w:rFonts w:ascii="Times New Roman" w:hAnsi="Times New Roman"/>
        </w:rPr>
      </w:pPr>
      <w:r w:rsidRPr="0036411C">
        <w:rPr>
          <w:rStyle w:val="FootnoteReference"/>
          <w:rFonts w:ascii="Times New Roman" w:hAnsi="Times New Roman"/>
        </w:rPr>
        <w:footnoteRef/>
      </w:r>
      <w:r w:rsidRPr="0036411C">
        <w:rPr>
          <w:rFonts w:ascii="Times New Roman" w:hAnsi="Times New Roman"/>
        </w:rPr>
        <w:t xml:space="preserve"> </w:t>
      </w:r>
      <w:r w:rsidRPr="0036411C">
        <w:rPr>
          <w:rFonts w:ascii="Times New Roman" w:hAnsi="Times New Roman"/>
          <w:i/>
          <w:iCs/>
        </w:rPr>
        <w:t>Stringfellow Mem’l Hosp v. Azar</w:t>
      </w:r>
      <w:r w:rsidRPr="0036411C">
        <w:rPr>
          <w:rFonts w:ascii="Times New Roman" w:hAnsi="Times New Roman"/>
        </w:rPr>
        <w:t xml:space="preserve">, 317 F. Supp. 3d 168 (D.D.C. 2018) (Exhibit C-5 at </w:t>
      </w:r>
      <w:r w:rsidR="005C427A" w:rsidRPr="0036411C">
        <w:rPr>
          <w:rFonts w:ascii="Times New Roman" w:hAnsi="Times New Roman"/>
        </w:rPr>
        <w:t>C</w:t>
      </w:r>
      <w:r w:rsidR="009D21CB">
        <w:rPr>
          <w:rFonts w:ascii="Times New Roman" w:hAnsi="Times New Roman"/>
        </w:rPr>
        <w:t>-</w:t>
      </w:r>
      <w:r w:rsidR="005C427A" w:rsidRPr="0036411C">
        <w:rPr>
          <w:rFonts w:ascii="Times New Roman" w:hAnsi="Times New Roman"/>
        </w:rPr>
        <w:t>00</w:t>
      </w:r>
      <w:r w:rsidR="009D21CB">
        <w:rPr>
          <w:rFonts w:ascii="Times New Roman" w:hAnsi="Times New Roman"/>
        </w:rPr>
        <w:t>0</w:t>
      </w:r>
      <w:r w:rsidR="005C427A" w:rsidRPr="0036411C">
        <w:rPr>
          <w:rFonts w:ascii="Times New Roman" w:hAnsi="Times New Roman"/>
        </w:rPr>
        <w:t>1</w:t>
      </w:r>
      <w:r w:rsidR="009D21CB">
        <w:rPr>
          <w:rFonts w:ascii="Times New Roman" w:hAnsi="Times New Roman"/>
        </w:rPr>
        <w:t>08</w:t>
      </w:r>
      <w:r w:rsidRPr="0036411C">
        <w:rPr>
          <w:rFonts w:ascii="Times New Roman" w:hAnsi="Times New Roman"/>
        </w:rPr>
        <w:t>.)</w:t>
      </w:r>
    </w:p>
  </w:footnote>
  <w:footnote w:id="14">
    <w:p w14:paraId="1C176D55" w14:textId="245897DE" w:rsidR="00D55A58" w:rsidRPr="00D55A58" w:rsidRDefault="00D55A58">
      <w:pPr>
        <w:pStyle w:val="FootnoteText"/>
        <w:rPr>
          <w:rFonts w:ascii="Times New Roman" w:hAnsi="Times New Roman"/>
        </w:rPr>
      </w:pPr>
      <w:r w:rsidRPr="00D55A58">
        <w:rPr>
          <w:rStyle w:val="FootnoteReference"/>
          <w:rFonts w:ascii="Times New Roman" w:hAnsi="Times New Roman"/>
        </w:rPr>
        <w:footnoteRef/>
      </w:r>
      <w:r w:rsidRPr="00D55A58">
        <w:rPr>
          <w:rFonts w:ascii="Times New Roman" w:hAnsi="Times New Roman"/>
        </w:rPr>
        <w:t xml:space="preserve"> See Provider’s Preliminary Position Paper </w:t>
      </w:r>
      <w:r w:rsidR="004B1A79">
        <w:rPr>
          <w:rFonts w:ascii="Times New Roman" w:hAnsi="Times New Roman"/>
        </w:rPr>
        <w:t xml:space="preserve">at </w:t>
      </w:r>
      <w:r w:rsidR="007C2530">
        <w:rPr>
          <w:rFonts w:ascii="Times New Roman" w:hAnsi="Times New Roman"/>
        </w:rPr>
        <w:t>00001</w:t>
      </w:r>
      <w:r w:rsidR="00E53711">
        <w:rPr>
          <w:rFonts w:ascii="Times New Roman" w:hAnsi="Times New Roman"/>
        </w:rPr>
        <w:t>5</w:t>
      </w:r>
      <w:r w:rsidRPr="00D55A58">
        <w:rPr>
          <w:rFonts w:ascii="Times New Roman" w:hAnsi="Times New Roman"/>
        </w:rPr>
        <w:t>.</w:t>
      </w:r>
    </w:p>
  </w:footnote>
  <w:footnote w:id="15">
    <w:p w14:paraId="3CEC79AB" w14:textId="3399CFCD" w:rsidR="00F64E7C" w:rsidRPr="00DE7EAC" w:rsidRDefault="00F64E7C" w:rsidP="00F64E7C">
      <w:pPr>
        <w:pStyle w:val="FootnoteText"/>
        <w:rPr>
          <w:rFonts w:ascii="Times New Roman" w:hAnsi="Times New Roman"/>
          <w:highlight w:val="yellow"/>
        </w:rPr>
      </w:pPr>
      <w:r w:rsidRPr="0036411C">
        <w:rPr>
          <w:rStyle w:val="FootnoteReference"/>
          <w:rFonts w:ascii="Times New Roman" w:hAnsi="Times New Roman"/>
        </w:rPr>
        <w:footnoteRef/>
      </w:r>
      <w:r w:rsidRPr="0036411C">
        <w:rPr>
          <w:rFonts w:ascii="Times New Roman" w:hAnsi="Times New Roman"/>
        </w:rPr>
        <w:t xml:space="preserve"> Exhibit C-</w:t>
      </w:r>
      <w:r w:rsidR="00837483" w:rsidRPr="0036411C">
        <w:rPr>
          <w:rFonts w:ascii="Times New Roman" w:hAnsi="Times New Roman"/>
        </w:rPr>
        <w:t>2</w:t>
      </w:r>
      <w:r w:rsidRPr="0036411C">
        <w:rPr>
          <w:rFonts w:ascii="Times New Roman" w:hAnsi="Times New Roman"/>
        </w:rPr>
        <w:t xml:space="preserve"> at </w:t>
      </w:r>
      <w:r w:rsidR="005C427A" w:rsidRPr="0036411C">
        <w:rPr>
          <w:rFonts w:ascii="Times New Roman" w:hAnsi="Times New Roman"/>
        </w:rPr>
        <w:t>C000</w:t>
      </w:r>
      <w:r w:rsidR="009D21CB">
        <w:rPr>
          <w:rFonts w:ascii="Times New Roman" w:hAnsi="Times New Roman"/>
        </w:rPr>
        <w:t>0</w:t>
      </w:r>
      <w:r w:rsidR="0036411C" w:rsidRPr="0036411C">
        <w:rPr>
          <w:rFonts w:ascii="Times New Roman" w:hAnsi="Times New Roman"/>
        </w:rPr>
        <w:t>1</w:t>
      </w:r>
      <w:r w:rsidR="009D21CB">
        <w:rPr>
          <w:rFonts w:ascii="Times New Roman" w:hAnsi="Times New Roman"/>
        </w:rPr>
        <w:t>3</w:t>
      </w:r>
      <w:r w:rsidRPr="0036411C">
        <w:rPr>
          <w:rFonts w:ascii="Times New Roman" w:hAnsi="Times New Roman"/>
        </w:rPr>
        <w:t>.</w:t>
      </w:r>
      <w:r w:rsidRPr="0036411C">
        <w:rPr>
          <w:rFonts w:ascii="Times New Roman" w:hAnsi="Times New Roman"/>
          <w:sz w:val="24"/>
          <w:szCs w:val="24"/>
        </w:rPr>
        <w:t xml:space="preserve">  </w:t>
      </w:r>
    </w:p>
  </w:footnote>
  <w:footnote w:id="16">
    <w:p w14:paraId="570471E2" w14:textId="77777777" w:rsidR="00F64E7C" w:rsidRPr="00DE7EAC" w:rsidRDefault="00F64E7C" w:rsidP="00F64E7C">
      <w:pPr>
        <w:pStyle w:val="FootnoteText"/>
        <w:rPr>
          <w:rFonts w:ascii="Times New Roman" w:hAnsi="Times New Roman"/>
          <w:i/>
          <w:iCs/>
          <w:highlight w:val="yellow"/>
        </w:rPr>
      </w:pPr>
      <w:r w:rsidRPr="00136302">
        <w:rPr>
          <w:rStyle w:val="FootnoteReference"/>
          <w:rFonts w:ascii="Times New Roman" w:hAnsi="Times New Roman"/>
        </w:rPr>
        <w:footnoteRef/>
      </w:r>
      <w:r w:rsidRPr="00136302">
        <w:rPr>
          <w:rFonts w:ascii="Times New Roman" w:hAnsi="Times New Roman"/>
        </w:rPr>
        <w:t xml:space="preserve"> </w:t>
      </w:r>
      <w:r w:rsidRPr="00136302">
        <w:rPr>
          <w:rFonts w:ascii="Times New Roman" w:hAnsi="Times New Roman"/>
          <w:i/>
          <w:iCs/>
        </w:rPr>
        <w:t>Id.</w:t>
      </w:r>
    </w:p>
  </w:footnote>
  <w:footnote w:id="17">
    <w:p w14:paraId="6091CB75" w14:textId="0353C4CC" w:rsidR="00F64E7C" w:rsidRPr="00DE7EAC" w:rsidRDefault="00F64E7C" w:rsidP="00F64E7C">
      <w:pPr>
        <w:pStyle w:val="FootnoteText"/>
        <w:rPr>
          <w:rFonts w:ascii="Times New Roman" w:hAnsi="Times New Roman"/>
          <w:highlight w:val="yellow"/>
        </w:rPr>
      </w:pPr>
      <w:r w:rsidRPr="00136302">
        <w:rPr>
          <w:rStyle w:val="FootnoteReference"/>
          <w:rFonts w:ascii="Times New Roman" w:hAnsi="Times New Roman"/>
        </w:rPr>
        <w:footnoteRef/>
      </w:r>
      <w:r w:rsidRPr="00136302">
        <w:rPr>
          <w:rFonts w:ascii="Times New Roman" w:hAnsi="Times New Roman"/>
        </w:rPr>
        <w:t xml:space="preserve"> </w:t>
      </w:r>
      <w:r w:rsidRPr="00136302">
        <w:rPr>
          <w:rFonts w:ascii="Times New Roman" w:hAnsi="Times New Roman"/>
          <w:i/>
        </w:rPr>
        <w:t>Id.</w:t>
      </w:r>
      <w:r w:rsidR="005C427A" w:rsidRPr="00136302">
        <w:rPr>
          <w:rFonts w:ascii="Times New Roman" w:hAnsi="Times New Roman"/>
          <w:i/>
        </w:rPr>
        <w:t>,</w:t>
      </w:r>
      <w:r w:rsidRPr="00136302">
        <w:rPr>
          <w:rFonts w:ascii="Times New Roman" w:hAnsi="Times New Roman"/>
          <w:i/>
        </w:rPr>
        <w:t xml:space="preserve"> </w:t>
      </w:r>
      <w:r w:rsidRPr="00136302">
        <w:rPr>
          <w:rFonts w:ascii="Times New Roman" w:hAnsi="Times New Roman"/>
          <w:iCs/>
        </w:rPr>
        <w:t xml:space="preserve">at </w:t>
      </w:r>
      <w:r w:rsidR="005C427A" w:rsidRPr="00136302">
        <w:rPr>
          <w:rFonts w:ascii="Times New Roman" w:hAnsi="Times New Roman"/>
          <w:iCs/>
        </w:rPr>
        <w:t>C000</w:t>
      </w:r>
      <w:r w:rsidR="009D21CB">
        <w:rPr>
          <w:rFonts w:ascii="Times New Roman" w:hAnsi="Times New Roman"/>
          <w:iCs/>
        </w:rPr>
        <w:t>0</w:t>
      </w:r>
      <w:r w:rsidR="00136302" w:rsidRPr="00136302">
        <w:rPr>
          <w:rFonts w:ascii="Times New Roman" w:hAnsi="Times New Roman"/>
          <w:iCs/>
        </w:rPr>
        <w:t>1</w:t>
      </w:r>
      <w:r w:rsidR="009D21CB">
        <w:rPr>
          <w:rFonts w:ascii="Times New Roman" w:hAnsi="Times New Roman"/>
          <w:iCs/>
        </w:rPr>
        <w:t>3</w:t>
      </w:r>
      <w:r w:rsidR="005C427A" w:rsidRPr="00136302">
        <w:rPr>
          <w:rFonts w:ascii="Times New Roman" w:hAnsi="Times New Roman"/>
          <w:iCs/>
        </w:rPr>
        <w:t>-C000</w:t>
      </w:r>
      <w:r w:rsidR="009D21CB">
        <w:rPr>
          <w:rFonts w:ascii="Times New Roman" w:hAnsi="Times New Roman"/>
          <w:iCs/>
        </w:rPr>
        <w:t>0</w:t>
      </w:r>
      <w:r w:rsidR="00136302" w:rsidRPr="00136302">
        <w:rPr>
          <w:rFonts w:ascii="Times New Roman" w:hAnsi="Times New Roman"/>
          <w:iCs/>
        </w:rPr>
        <w:t>1</w:t>
      </w:r>
      <w:r w:rsidR="009D21CB">
        <w:rPr>
          <w:rFonts w:ascii="Times New Roman" w:hAnsi="Times New Roman"/>
          <w:iCs/>
        </w:rPr>
        <w:t>4</w:t>
      </w:r>
      <w:r w:rsidRPr="00136302">
        <w:rPr>
          <w:rFonts w:ascii="Times New Roman" w:hAnsi="Times New Roman"/>
          <w:iCs/>
        </w:rPr>
        <w:t>.</w:t>
      </w:r>
      <w:r w:rsidRPr="00136302">
        <w:rPr>
          <w:rFonts w:ascii="Times New Roman" w:hAnsi="Times New Roman"/>
          <w:sz w:val="24"/>
          <w:szCs w:val="24"/>
        </w:rPr>
        <w:t xml:space="preserve">  </w:t>
      </w:r>
    </w:p>
  </w:footnote>
  <w:footnote w:id="18">
    <w:p w14:paraId="543737F8" w14:textId="0BB87DEB" w:rsidR="00F64E7C" w:rsidRDefault="00F64E7C" w:rsidP="00F64E7C">
      <w:pPr>
        <w:pStyle w:val="FootnoteText"/>
      </w:pPr>
      <w:r w:rsidRPr="00136302">
        <w:rPr>
          <w:rStyle w:val="FootnoteReference"/>
          <w:rFonts w:ascii="Times New Roman" w:hAnsi="Times New Roman"/>
        </w:rPr>
        <w:footnoteRef/>
      </w:r>
      <w:r w:rsidRPr="00136302">
        <w:rPr>
          <w:rFonts w:ascii="Times New Roman" w:hAnsi="Times New Roman"/>
        </w:rPr>
        <w:t xml:space="preserve"> </w:t>
      </w:r>
      <w:r w:rsidRPr="00136302">
        <w:rPr>
          <w:rFonts w:ascii="Times New Roman" w:hAnsi="Times New Roman"/>
          <w:i/>
        </w:rPr>
        <w:t>Id.</w:t>
      </w:r>
      <w:r w:rsidR="005C427A" w:rsidRPr="00136302">
        <w:rPr>
          <w:rFonts w:ascii="Times New Roman" w:hAnsi="Times New Roman"/>
          <w:i/>
        </w:rPr>
        <w:t>,</w:t>
      </w:r>
      <w:r w:rsidRPr="00136302">
        <w:rPr>
          <w:rFonts w:ascii="Times New Roman" w:hAnsi="Times New Roman"/>
          <w:i/>
        </w:rPr>
        <w:t xml:space="preserve"> </w:t>
      </w:r>
      <w:r w:rsidRPr="00136302">
        <w:rPr>
          <w:rFonts w:ascii="Times New Roman" w:hAnsi="Times New Roman"/>
          <w:iCs/>
        </w:rPr>
        <w:t xml:space="preserve">at </w:t>
      </w:r>
      <w:r w:rsidR="005C427A" w:rsidRPr="00136302">
        <w:rPr>
          <w:rFonts w:ascii="Times New Roman" w:hAnsi="Times New Roman"/>
          <w:iCs/>
        </w:rPr>
        <w:t>C000</w:t>
      </w:r>
      <w:r w:rsidR="009D21CB">
        <w:rPr>
          <w:rFonts w:ascii="Times New Roman" w:hAnsi="Times New Roman"/>
          <w:iCs/>
        </w:rPr>
        <w:t>036</w:t>
      </w:r>
      <w:r w:rsidRPr="00136302">
        <w:rPr>
          <w:rFonts w:ascii="Times New Roman" w:hAnsi="Times New Roman"/>
          <w:iCs/>
        </w:rPr>
        <w:t>.</w:t>
      </w:r>
    </w:p>
  </w:footnote>
  <w:footnote w:id="19">
    <w:p w14:paraId="656B1795" w14:textId="299BB323" w:rsidR="00F64E7C" w:rsidRPr="00DE7EAC" w:rsidRDefault="00F64E7C" w:rsidP="00F64E7C">
      <w:pPr>
        <w:pStyle w:val="FootnoteText"/>
        <w:rPr>
          <w:rFonts w:ascii="Times New Roman" w:hAnsi="Times New Roman"/>
          <w:highlight w:val="yellow"/>
        </w:rPr>
      </w:pPr>
      <w:r w:rsidRPr="00136302">
        <w:rPr>
          <w:rStyle w:val="FootnoteReference"/>
          <w:rFonts w:ascii="Times New Roman" w:hAnsi="Times New Roman"/>
        </w:rPr>
        <w:footnoteRef/>
      </w:r>
      <w:r w:rsidRPr="00136302">
        <w:rPr>
          <w:rFonts w:ascii="Times New Roman" w:hAnsi="Times New Roman"/>
        </w:rPr>
        <w:t xml:space="preserve"> Exhibit C-5 at </w:t>
      </w:r>
      <w:r w:rsidR="005C427A" w:rsidRPr="00136302">
        <w:rPr>
          <w:rFonts w:ascii="Times New Roman" w:hAnsi="Times New Roman"/>
        </w:rPr>
        <w:t>C00</w:t>
      </w:r>
      <w:r w:rsidR="009D21CB">
        <w:rPr>
          <w:rFonts w:ascii="Times New Roman" w:hAnsi="Times New Roman"/>
        </w:rPr>
        <w:t>0</w:t>
      </w:r>
      <w:r w:rsidR="005C427A" w:rsidRPr="00136302">
        <w:rPr>
          <w:rFonts w:ascii="Times New Roman" w:hAnsi="Times New Roman"/>
        </w:rPr>
        <w:t>11</w:t>
      </w:r>
      <w:r w:rsidR="009D21CB">
        <w:rPr>
          <w:rFonts w:ascii="Times New Roman" w:hAnsi="Times New Roman"/>
        </w:rPr>
        <w:t>0</w:t>
      </w:r>
      <w:r w:rsidRPr="00136302">
        <w:rPr>
          <w:rFonts w:ascii="Times New Roman" w:hAnsi="Times New Roman"/>
        </w:rPr>
        <w:t>.</w:t>
      </w:r>
    </w:p>
  </w:footnote>
  <w:footnote w:id="20">
    <w:p w14:paraId="584C113C" w14:textId="5A8F6274" w:rsidR="00837483" w:rsidRPr="005C427A" w:rsidRDefault="00837483">
      <w:pPr>
        <w:pStyle w:val="FootnoteText"/>
        <w:rPr>
          <w:rFonts w:ascii="Times New Roman" w:hAnsi="Times New Roman"/>
        </w:rPr>
      </w:pPr>
      <w:r w:rsidRPr="00136302">
        <w:rPr>
          <w:rStyle w:val="FootnoteReference"/>
          <w:rFonts w:ascii="Times New Roman" w:hAnsi="Times New Roman"/>
        </w:rPr>
        <w:footnoteRef/>
      </w:r>
      <w:r w:rsidRPr="00136302">
        <w:rPr>
          <w:rFonts w:ascii="Times New Roman" w:hAnsi="Times New Roman"/>
        </w:rPr>
        <w:t xml:space="preserve"> Id.,</w:t>
      </w:r>
      <w:r w:rsidR="005C427A" w:rsidRPr="00136302">
        <w:rPr>
          <w:rFonts w:ascii="Times New Roman" w:hAnsi="Times New Roman"/>
        </w:rPr>
        <w:t xml:space="preserve"> at </w:t>
      </w:r>
      <w:r w:rsidR="00692FAE" w:rsidRPr="00136302">
        <w:rPr>
          <w:rFonts w:ascii="Times New Roman" w:hAnsi="Times New Roman"/>
        </w:rPr>
        <w:t>C0011</w:t>
      </w:r>
      <w:r w:rsidR="00692FAE">
        <w:rPr>
          <w:rFonts w:ascii="Times New Roman" w:hAnsi="Times New Roman"/>
        </w:rPr>
        <w:t>0</w:t>
      </w:r>
      <w:r w:rsidR="005C427A" w:rsidRPr="00136302">
        <w:rPr>
          <w:rFonts w:ascii="Times New Roman" w:hAnsi="Times New Roman"/>
        </w:rPr>
        <w:t>-C00</w:t>
      </w:r>
      <w:r w:rsidR="009D21CB">
        <w:rPr>
          <w:rFonts w:ascii="Times New Roman" w:hAnsi="Times New Roman"/>
        </w:rPr>
        <w:t>0</w:t>
      </w:r>
      <w:r w:rsidR="005C427A" w:rsidRPr="00136302">
        <w:rPr>
          <w:rFonts w:ascii="Times New Roman" w:hAnsi="Times New Roman"/>
        </w:rPr>
        <w:t>1</w:t>
      </w:r>
      <w:r w:rsidR="00136302" w:rsidRPr="00136302">
        <w:rPr>
          <w:rFonts w:ascii="Times New Roman" w:hAnsi="Times New Roman"/>
        </w:rPr>
        <w:t>1</w:t>
      </w:r>
      <w:r w:rsidR="009D21CB">
        <w:rPr>
          <w:rFonts w:ascii="Times New Roman" w:hAnsi="Times New Roman"/>
        </w:rPr>
        <w:t>1</w:t>
      </w:r>
      <w:r w:rsidR="005C427A" w:rsidRPr="00136302">
        <w:rPr>
          <w:rFonts w:ascii="Times New Roman" w:hAnsi="Times New Roman"/>
        </w:rPr>
        <w:t>.</w:t>
      </w:r>
    </w:p>
  </w:footnote>
  <w:footnote w:id="21">
    <w:p w14:paraId="58749DF2" w14:textId="0974C677" w:rsidR="00F64E7C" w:rsidRPr="009D127F" w:rsidRDefault="00F64E7C" w:rsidP="00F64E7C">
      <w:pPr>
        <w:pStyle w:val="FootnoteText"/>
        <w:rPr>
          <w:rFonts w:ascii="Times New Roman" w:hAnsi="Times New Roman"/>
        </w:rPr>
      </w:pPr>
      <w:r w:rsidRPr="00136302">
        <w:rPr>
          <w:rStyle w:val="FootnoteReference"/>
          <w:rFonts w:ascii="Times New Roman" w:hAnsi="Times New Roman"/>
        </w:rPr>
        <w:footnoteRef/>
      </w:r>
      <w:r w:rsidRPr="00136302">
        <w:rPr>
          <w:rFonts w:ascii="Times New Roman" w:hAnsi="Times New Roman"/>
        </w:rPr>
        <w:t xml:space="preserve"> Exhibit C-2 at </w:t>
      </w:r>
      <w:r w:rsidR="005C427A" w:rsidRPr="00136302">
        <w:rPr>
          <w:rFonts w:ascii="Times New Roman" w:hAnsi="Times New Roman"/>
        </w:rPr>
        <w:t>C000</w:t>
      </w:r>
      <w:r w:rsidR="009D21CB">
        <w:rPr>
          <w:rFonts w:ascii="Times New Roman" w:hAnsi="Times New Roman"/>
        </w:rPr>
        <w:t>0</w:t>
      </w:r>
      <w:r w:rsidR="005C427A" w:rsidRPr="00136302">
        <w:rPr>
          <w:rFonts w:ascii="Times New Roman" w:hAnsi="Times New Roman"/>
        </w:rPr>
        <w:t>2</w:t>
      </w:r>
      <w:r w:rsidR="009D21CB">
        <w:rPr>
          <w:rFonts w:ascii="Times New Roman" w:hAnsi="Times New Roman"/>
        </w:rPr>
        <w:t>0</w:t>
      </w:r>
      <w:r w:rsidR="005C427A" w:rsidRPr="00136302">
        <w:rPr>
          <w:rFonts w:ascii="Times New Roman" w:hAnsi="Times New Roman"/>
        </w:rPr>
        <w:t>-C000</w:t>
      </w:r>
      <w:r w:rsidR="009D21CB">
        <w:rPr>
          <w:rFonts w:ascii="Times New Roman" w:hAnsi="Times New Roman"/>
        </w:rPr>
        <w:t>0</w:t>
      </w:r>
      <w:r w:rsidR="00136302" w:rsidRPr="00136302">
        <w:rPr>
          <w:rFonts w:ascii="Times New Roman" w:hAnsi="Times New Roman"/>
        </w:rPr>
        <w:t>2</w:t>
      </w:r>
      <w:r w:rsidR="009D21CB">
        <w:rPr>
          <w:rFonts w:ascii="Times New Roman" w:hAnsi="Times New Roman"/>
        </w:rPr>
        <w:t>1</w:t>
      </w:r>
      <w:r w:rsidRPr="00136302">
        <w:rPr>
          <w:rFonts w:ascii="Times New Roman" w:hAnsi="Times New Roman"/>
        </w:rPr>
        <w:t>.</w:t>
      </w:r>
    </w:p>
  </w:footnote>
  <w:footnote w:id="22">
    <w:p w14:paraId="0CDC3F8F" w14:textId="01439552" w:rsidR="00F64E7C" w:rsidRPr="009D127F" w:rsidRDefault="00F64E7C" w:rsidP="00F64E7C">
      <w:pPr>
        <w:pStyle w:val="FootnoteText"/>
        <w:rPr>
          <w:rFonts w:ascii="Times New Roman" w:hAnsi="Times New Roman"/>
        </w:rPr>
      </w:pPr>
      <w:r w:rsidRPr="00136302">
        <w:rPr>
          <w:rStyle w:val="FootnoteReference"/>
          <w:rFonts w:ascii="Times New Roman" w:hAnsi="Times New Roman"/>
        </w:rPr>
        <w:footnoteRef/>
      </w:r>
      <w:r w:rsidRPr="00136302">
        <w:rPr>
          <w:rFonts w:ascii="Times New Roman" w:hAnsi="Times New Roman"/>
        </w:rPr>
        <w:t xml:space="preserve"> </w:t>
      </w:r>
      <w:r w:rsidRPr="00136302">
        <w:rPr>
          <w:rFonts w:ascii="Times New Roman" w:hAnsi="Times New Roman"/>
          <w:i/>
        </w:rPr>
        <w:t>Id.</w:t>
      </w:r>
      <w:r w:rsidR="009D127F" w:rsidRPr="00136302">
        <w:rPr>
          <w:rFonts w:ascii="Times New Roman" w:hAnsi="Times New Roman"/>
          <w:i/>
        </w:rPr>
        <w:t>,</w:t>
      </w:r>
      <w:r w:rsidRPr="00136302">
        <w:rPr>
          <w:rFonts w:ascii="Times New Roman" w:hAnsi="Times New Roman"/>
          <w:b/>
          <w:bCs/>
          <w:i/>
        </w:rPr>
        <w:t xml:space="preserve"> </w:t>
      </w:r>
      <w:r w:rsidRPr="00136302">
        <w:rPr>
          <w:rFonts w:ascii="Times New Roman" w:hAnsi="Times New Roman"/>
        </w:rPr>
        <w:t xml:space="preserve">at </w:t>
      </w:r>
      <w:r w:rsidR="009D127F" w:rsidRPr="00136302">
        <w:rPr>
          <w:rFonts w:ascii="Times New Roman" w:hAnsi="Times New Roman"/>
        </w:rPr>
        <w:t>C000</w:t>
      </w:r>
      <w:r w:rsidR="009D21CB">
        <w:rPr>
          <w:rFonts w:ascii="Times New Roman" w:hAnsi="Times New Roman"/>
        </w:rPr>
        <w:t>035</w:t>
      </w:r>
      <w:r w:rsidRPr="00136302">
        <w:rPr>
          <w:rFonts w:ascii="Times New Roman" w:hAnsi="Times New Roman"/>
        </w:rPr>
        <w:t>.</w:t>
      </w:r>
    </w:p>
  </w:footnote>
  <w:footnote w:id="23">
    <w:p w14:paraId="51B424C4" w14:textId="1791C567" w:rsidR="008F480A" w:rsidRDefault="008F480A" w:rsidP="008F480A">
      <w:pPr>
        <w:pStyle w:val="FootnoteText"/>
      </w:pPr>
      <w:r>
        <w:rPr>
          <w:rStyle w:val="FootnoteReference"/>
        </w:rPr>
        <w:footnoteRef/>
      </w:r>
      <w:r>
        <w:rPr>
          <w:rFonts w:ascii="Times New Roman" w:hAnsi="Times New Roman"/>
        </w:rPr>
        <w:t xml:space="preserve"> </w:t>
      </w:r>
      <w:r w:rsidRPr="00623BA1">
        <w:rPr>
          <w:rFonts w:ascii="Times New Roman" w:hAnsi="Times New Roman"/>
        </w:rPr>
        <w:t>See Exhibit C-</w:t>
      </w:r>
      <w:r w:rsidR="00FD31F3">
        <w:rPr>
          <w:rFonts w:ascii="Times New Roman" w:hAnsi="Times New Roman"/>
        </w:rPr>
        <w:t>8</w:t>
      </w:r>
      <w:r w:rsidRPr="00623BA1">
        <w:rPr>
          <w:rFonts w:ascii="Times New Roman" w:hAnsi="Times New Roman"/>
        </w:rPr>
        <w:t>, at C00</w:t>
      </w:r>
      <w:r w:rsidR="00FD31F3">
        <w:rPr>
          <w:rFonts w:ascii="Times New Roman" w:hAnsi="Times New Roman"/>
        </w:rPr>
        <w:t>0127</w:t>
      </w:r>
      <w:r>
        <w:rPr>
          <w:rFonts w:ascii="Times New Roman" w:hAnsi="Times New Roman"/>
        </w:rPr>
        <w:t>.</w:t>
      </w:r>
    </w:p>
  </w:footnote>
  <w:footnote w:id="24">
    <w:p w14:paraId="73F3089E" w14:textId="6428CE03" w:rsidR="00194FF7" w:rsidRPr="009D127F" w:rsidRDefault="00194FF7">
      <w:pPr>
        <w:pStyle w:val="FootnoteText"/>
        <w:rPr>
          <w:rFonts w:ascii="Times New Roman" w:hAnsi="Times New Roman"/>
        </w:rPr>
      </w:pPr>
      <w:r w:rsidRPr="009D127F">
        <w:rPr>
          <w:rStyle w:val="FootnoteReference"/>
          <w:rFonts w:ascii="Times New Roman" w:hAnsi="Times New Roman"/>
        </w:rPr>
        <w:footnoteRef/>
      </w:r>
      <w:r w:rsidRPr="009D127F">
        <w:rPr>
          <w:rFonts w:ascii="Times New Roman" w:hAnsi="Times New Roman"/>
        </w:rPr>
        <w:t xml:space="preserve"> Provider’s Preliminary Position Paper </w:t>
      </w:r>
      <w:r w:rsidR="00015049">
        <w:rPr>
          <w:rFonts w:ascii="Times New Roman" w:hAnsi="Times New Roman"/>
        </w:rPr>
        <w:t xml:space="preserve">at </w:t>
      </w:r>
      <w:r w:rsidR="00DE7EAC">
        <w:rPr>
          <w:rFonts w:ascii="Times New Roman" w:hAnsi="Times New Roman"/>
        </w:rPr>
        <w:t>00001</w:t>
      </w:r>
      <w:r w:rsidR="007547E9">
        <w:rPr>
          <w:rFonts w:ascii="Times New Roman" w:hAnsi="Times New Roman"/>
        </w:rPr>
        <w:t>8</w:t>
      </w:r>
      <w:r w:rsidRPr="009D127F">
        <w:rPr>
          <w:rFonts w:ascii="Times New Roman" w:hAnsi="Times New Roman"/>
        </w:rPr>
        <w:t>.</w:t>
      </w:r>
    </w:p>
  </w:footnote>
  <w:footnote w:id="25">
    <w:p w14:paraId="38CA3EE8" w14:textId="1AC3D714" w:rsidR="00194FF7" w:rsidRPr="006105B9" w:rsidRDefault="00194FF7" w:rsidP="009D21CB">
      <w:pPr>
        <w:pStyle w:val="FootnoteText"/>
        <w:tabs>
          <w:tab w:val="left" w:pos="3096"/>
        </w:tabs>
        <w:rPr>
          <w:rFonts w:ascii="Times New Roman" w:hAnsi="Times New Roman"/>
          <w:highlight w:val="yellow"/>
        </w:rPr>
      </w:pPr>
      <w:r w:rsidRPr="00136302">
        <w:rPr>
          <w:rStyle w:val="FootnoteReference"/>
          <w:rFonts w:ascii="Times New Roman" w:hAnsi="Times New Roman"/>
        </w:rPr>
        <w:footnoteRef/>
      </w:r>
      <w:r w:rsidRPr="00136302">
        <w:rPr>
          <w:rFonts w:ascii="Times New Roman" w:hAnsi="Times New Roman"/>
        </w:rPr>
        <w:t xml:space="preserve"> Exhibit C-</w:t>
      </w:r>
      <w:r w:rsidR="00707602" w:rsidRPr="00136302">
        <w:rPr>
          <w:rFonts w:ascii="Times New Roman" w:hAnsi="Times New Roman"/>
        </w:rPr>
        <w:t>6</w:t>
      </w:r>
      <w:r w:rsidRPr="00136302">
        <w:rPr>
          <w:rFonts w:ascii="Times New Roman" w:hAnsi="Times New Roman"/>
        </w:rPr>
        <w:t xml:space="preserve"> </w:t>
      </w:r>
      <w:r w:rsidR="009D127F" w:rsidRPr="00136302">
        <w:rPr>
          <w:rFonts w:ascii="Times New Roman" w:hAnsi="Times New Roman"/>
        </w:rPr>
        <w:t>at C00</w:t>
      </w:r>
      <w:r w:rsidR="009D21CB">
        <w:rPr>
          <w:rFonts w:ascii="Times New Roman" w:hAnsi="Times New Roman"/>
        </w:rPr>
        <w:t>0</w:t>
      </w:r>
      <w:r w:rsidR="009D127F" w:rsidRPr="00136302">
        <w:rPr>
          <w:rFonts w:ascii="Times New Roman" w:hAnsi="Times New Roman"/>
        </w:rPr>
        <w:t>1</w:t>
      </w:r>
      <w:r w:rsidR="009D21CB">
        <w:rPr>
          <w:rFonts w:ascii="Times New Roman" w:hAnsi="Times New Roman"/>
        </w:rPr>
        <w:t>19</w:t>
      </w:r>
      <w:r w:rsidRPr="00136302">
        <w:rPr>
          <w:rFonts w:ascii="Times New Roman" w:hAnsi="Times New Roman"/>
        </w:rPr>
        <w:t>.</w:t>
      </w:r>
      <w:r w:rsidR="009D21CB">
        <w:rPr>
          <w:rFonts w:ascii="Times New Roman" w:hAnsi="Times New Roman"/>
        </w:rPr>
        <w:tab/>
      </w:r>
    </w:p>
  </w:footnote>
  <w:footnote w:id="26">
    <w:p w14:paraId="41DC0AB8" w14:textId="68338009" w:rsidR="00194FF7" w:rsidRPr="00B91203" w:rsidRDefault="00194FF7" w:rsidP="00194FF7">
      <w:pPr>
        <w:pStyle w:val="FootnoteText"/>
        <w:rPr>
          <w:rFonts w:ascii="Times New Roman" w:hAnsi="Times New Roman"/>
        </w:rPr>
      </w:pPr>
      <w:r w:rsidRPr="003D2821">
        <w:rPr>
          <w:rStyle w:val="FootnoteReference"/>
          <w:rFonts w:ascii="Times New Roman" w:hAnsi="Times New Roman"/>
        </w:rPr>
        <w:footnoteRef/>
      </w:r>
      <w:r w:rsidRPr="003D2821">
        <w:rPr>
          <w:rFonts w:ascii="Times New Roman" w:hAnsi="Times New Roman"/>
        </w:rPr>
        <w:t xml:space="preserve"> </w:t>
      </w:r>
      <w:r w:rsidRPr="003D2821">
        <w:rPr>
          <w:rFonts w:ascii="Times New Roman" w:hAnsi="Times New Roman"/>
          <w:i/>
        </w:rPr>
        <w:t xml:space="preserve">Id., </w:t>
      </w:r>
      <w:r w:rsidR="009D127F" w:rsidRPr="003D2821">
        <w:rPr>
          <w:rFonts w:ascii="Times New Roman" w:hAnsi="Times New Roman"/>
          <w:iCs/>
        </w:rPr>
        <w:t xml:space="preserve">at </w:t>
      </w:r>
      <w:r w:rsidRPr="003D2821">
        <w:rPr>
          <w:rFonts w:ascii="Times New Roman" w:hAnsi="Times New Roman"/>
        </w:rPr>
        <w:t>C00</w:t>
      </w:r>
      <w:r w:rsidR="009D21CB">
        <w:rPr>
          <w:rFonts w:ascii="Times New Roman" w:hAnsi="Times New Roman"/>
        </w:rPr>
        <w:t>0</w:t>
      </w:r>
      <w:r w:rsidR="009D127F" w:rsidRPr="003D2821">
        <w:rPr>
          <w:rFonts w:ascii="Times New Roman" w:hAnsi="Times New Roman"/>
        </w:rPr>
        <w:t>12</w:t>
      </w:r>
      <w:r w:rsidR="009D21CB">
        <w:rPr>
          <w:rFonts w:ascii="Times New Roman" w:hAnsi="Times New Roman"/>
        </w:rPr>
        <w:t>0</w:t>
      </w:r>
      <w:r w:rsidRPr="003D2821">
        <w:rPr>
          <w:rFonts w:ascii="Times New Roman" w:hAnsi="Times New Roman"/>
        </w:rPr>
        <w:t>.</w:t>
      </w:r>
    </w:p>
  </w:footnote>
  <w:footnote w:id="27">
    <w:p w14:paraId="319416C7" w14:textId="77777777" w:rsidR="00194FF7" w:rsidRDefault="00194FF7" w:rsidP="00194FF7">
      <w:pPr>
        <w:pStyle w:val="FootnoteText"/>
      </w:pPr>
      <w:r w:rsidRPr="00B91203">
        <w:rPr>
          <w:rStyle w:val="FootnoteReference"/>
          <w:rFonts w:ascii="Times New Roman" w:hAnsi="Times New Roman"/>
        </w:rPr>
        <w:footnoteRef/>
      </w:r>
      <w:r w:rsidRPr="00B91203">
        <w:rPr>
          <w:rFonts w:ascii="Times New Roman" w:hAnsi="Times New Roman"/>
        </w:rPr>
        <w:t xml:space="preserve"> </w:t>
      </w:r>
      <w:r w:rsidRPr="00B91203">
        <w:rPr>
          <w:rFonts w:ascii="Times New Roman" w:hAnsi="Times New Roman"/>
          <w:i/>
        </w:rPr>
        <w:t>Id.</w:t>
      </w:r>
    </w:p>
  </w:footnote>
  <w:footnote w:id="28">
    <w:p w14:paraId="193A9348" w14:textId="77777777" w:rsidR="00194FF7" w:rsidRPr="00C62078" w:rsidRDefault="00194FF7" w:rsidP="00194FF7">
      <w:pPr>
        <w:pStyle w:val="FootnoteText"/>
        <w:rPr>
          <w:rFonts w:ascii="Times New Roman" w:hAnsi="Times New Roman"/>
        </w:rPr>
      </w:pPr>
      <w:r w:rsidRPr="00C62078">
        <w:rPr>
          <w:rStyle w:val="FootnoteReference"/>
          <w:rFonts w:ascii="Times New Roman" w:hAnsi="Times New Roman"/>
        </w:rPr>
        <w:footnoteRef/>
      </w:r>
      <w:r w:rsidRPr="00C62078">
        <w:rPr>
          <w:rFonts w:ascii="Times New Roman" w:hAnsi="Times New Roman"/>
        </w:rPr>
        <w:t xml:space="preserve"> </w:t>
      </w:r>
      <w:r w:rsidRPr="00C62078">
        <w:rPr>
          <w:rFonts w:ascii="Times New Roman" w:hAnsi="Times New Roman"/>
          <w:i/>
        </w:rPr>
        <w:t>Id.</w:t>
      </w:r>
    </w:p>
  </w:footnote>
  <w:footnote w:id="29">
    <w:p w14:paraId="7730F377" w14:textId="1A376BE0" w:rsidR="00194FF7" w:rsidRDefault="00194FF7" w:rsidP="00194FF7">
      <w:pPr>
        <w:pStyle w:val="FootnoteText"/>
      </w:pPr>
      <w:r w:rsidRPr="00C62078">
        <w:rPr>
          <w:rStyle w:val="FootnoteReference"/>
          <w:rFonts w:ascii="Times New Roman" w:hAnsi="Times New Roman"/>
        </w:rPr>
        <w:footnoteRef/>
      </w:r>
      <w:r w:rsidRPr="00C62078">
        <w:rPr>
          <w:rFonts w:ascii="Times New Roman" w:hAnsi="Times New Roman"/>
        </w:rPr>
        <w:t xml:space="preserve"> Exhibit C-</w:t>
      </w:r>
      <w:r w:rsidR="00D77127">
        <w:rPr>
          <w:rFonts w:ascii="Times New Roman" w:hAnsi="Times New Roman"/>
        </w:rPr>
        <w:t>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83EFC" w14:textId="0736004E" w:rsidR="00B66AEC" w:rsidRDefault="006C4BF2">
    <w:pPr>
      <w:pStyle w:val="Header"/>
    </w:pPr>
    <w:r>
      <w:tab/>
    </w:r>
    <w:r>
      <w:tab/>
      <w:t>PRRB Case #18-0930GC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C4A23"/>
    <w:multiLevelType w:val="hybridMultilevel"/>
    <w:tmpl w:val="C1D24F5C"/>
    <w:lvl w:ilvl="0" w:tplc="E3F6FCC8">
      <w:start w:val="4"/>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25283"/>
    <w:multiLevelType w:val="hybridMultilevel"/>
    <w:tmpl w:val="7EAE4968"/>
    <w:lvl w:ilvl="0" w:tplc="8F1ED500">
      <w:start w:val="1"/>
      <w:numFmt w:val="upperLetter"/>
      <w:lvlText w:val="%1."/>
      <w:lvlJc w:val="left"/>
      <w:pPr>
        <w:ind w:left="4860" w:hanging="720"/>
      </w:pPr>
      <w:rPr>
        <w:rFonts w:hint="default"/>
        <w:b/>
        <w:bCs/>
      </w:rPr>
    </w:lvl>
    <w:lvl w:ilvl="1" w:tplc="04090019">
      <w:start w:val="1"/>
      <w:numFmt w:val="lowerLetter"/>
      <w:lvlText w:val="%2."/>
      <w:lvlJc w:val="left"/>
      <w:pPr>
        <w:ind w:left="5220" w:hanging="360"/>
      </w:pPr>
    </w:lvl>
    <w:lvl w:ilvl="2" w:tplc="0409001B">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2" w15:restartNumberingAfterBreak="0">
    <w:nsid w:val="0FEB6A60"/>
    <w:multiLevelType w:val="singleLevel"/>
    <w:tmpl w:val="04090013"/>
    <w:lvl w:ilvl="0">
      <w:start w:val="1"/>
      <w:numFmt w:val="upperRoman"/>
      <w:lvlText w:val="%1."/>
      <w:lvlJc w:val="left"/>
      <w:pPr>
        <w:tabs>
          <w:tab w:val="num" w:pos="720"/>
        </w:tabs>
        <w:ind w:left="720" w:hanging="720"/>
      </w:pPr>
    </w:lvl>
  </w:abstractNum>
  <w:abstractNum w:abstractNumId="3" w15:restartNumberingAfterBreak="0">
    <w:nsid w:val="143C0882"/>
    <w:multiLevelType w:val="singleLevel"/>
    <w:tmpl w:val="4D529374"/>
    <w:lvl w:ilvl="0">
      <w:start w:val="1"/>
      <w:numFmt w:val="upperRoman"/>
      <w:lvlText w:val="%1."/>
      <w:lvlJc w:val="left"/>
      <w:pPr>
        <w:tabs>
          <w:tab w:val="num" w:pos="900"/>
        </w:tabs>
        <w:ind w:left="900" w:hanging="720"/>
      </w:pPr>
      <w:rPr>
        <w:rFonts w:hint="default"/>
      </w:rPr>
    </w:lvl>
  </w:abstractNum>
  <w:abstractNum w:abstractNumId="4" w15:restartNumberingAfterBreak="0">
    <w:nsid w:val="5A3B63EA"/>
    <w:multiLevelType w:val="hybridMultilevel"/>
    <w:tmpl w:val="7478AF34"/>
    <w:lvl w:ilvl="0" w:tplc="9D5416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0697672"/>
    <w:multiLevelType w:val="hybridMultilevel"/>
    <w:tmpl w:val="C62C437E"/>
    <w:lvl w:ilvl="0" w:tplc="4A96BF12">
      <w:start w:val="2"/>
      <w:numFmt w:val="bullet"/>
      <w:lvlText w:val=""/>
      <w:lvlJc w:val="left"/>
      <w:pPr>
        <w:ind w:left="2160" w:hanging="360"/>
      </w:pPr>
      <w:rPr>
        <w:rFonts w:ascii="Symbol" w:eastAsia="Times New Roman" w:hAnsi="Symbol" w:cs="Times New Roman"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6D53441"/>
    <w:multiLevelType w:val="singleLevel"/>
    <w:tmpl w:val="9B9AFB76"/>
    <w:lvl w:ilvl="0">
      <w:start w:val="3"/>
      <w:numFmt w:val="upperRoman"/>
      <w:lvlText w:val="%1."/>
      <w:lvlJc w:val="left"/>
      <w:pPr>
        <w:tabs>
          <w:tab w:val="num" w:pos="900"/>
        </w:tabs>
        <w:ind w:left="900" w:hanging="720"/>
      </w:pPr>
      <w:rPr>
        <w:rFonts w:hint="default"/>
      </w:rPr>
    </w:lvl>
  </w:abstractNum>
  <w:num w:numId="1" w16cid:durableId="1137912077">
    <w:abstractNumId w:val="3"/>
  </w:num>
  <w:num w:numId="2" w16cid:durableId="1614441458">
    <w:abstractNumId w:val="6"/>
  </w:num>
  <w:num w:numId="3" w16cid:durableId="790437217">
    <w:abstractNumId w:val="2"/>
  </w:num>
  <w:num w:numId="4" w16cid:durableId="626930982">
    <w:abstractNumId w:val="5"/>
  </w:num>
  <w:num w:numId="5" w16cid:durableId="467750283">
    <w:abstractNumId w:val="4"/>
  </w:num>
  <w:num w:numId="6" w16cid:durableId="129595753">
    <w:abstractNumId w:val="1"/>
  </w:num>
  <w:num w:numId="7" w16cid:durableId="45714505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884"/>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8D"/>
    <w:rsid w:val="00015049"/>
    <w:rsid w:val="00021BF8"/>
    <w:rsid w:val="000462E3"/>
    <w:rsid w:val="00067AF5"/>
    <w:rsid w:val="000725DC"/>
    <w:rsid w:val="000767DE"/>
    <w:rsid w:val="00083775"/>
    <w:rsid w:val="00094C3C"/>
    <w:rsid w:val="000A64FF"/>
    <w:rsid w:val="000A6794"/>
    <w:rsid w:val="000B4028"/>
    <w:rsid w:val="000C03C5"/>
    <w:rsid w:val="000C3C86"/>
    <w:rsid w:val="000D4AFF"/>
    <w:rsid w:val="000D57ED"/>
    <w:rsid w:val="000F681E"/>
    <w:rsid w:val="001314D1"/>
    <w:rsid w:val="00136302"/>
    <w:rsid w:val="0013729C"/>
    <w:rsid w:val="00154304"/>
    <w:rsid w:val="001640E0"/>
    <w:rsid w:val="001722F7"/>
    <w:rsid w:val="0017363D"/>
    <w:rsid w:val="0017373F"/>
    <w:rsid w:val="001764B1"/>
    <w:rsid w:val="0019188D"/>
    <w:rsid w:val="00191CD9"/>
    <w:rsid w:val="00194FF7"/>
    <w:rsid w:val="00196574"/>
    <w:rsid w:val="00197A3E"/>
    <w:rsid w:val="001E45F1"/>
    <w:rsid w:val="001E6AD7"/>
    <w:rsid w:val="00213E4C"/>
    <w:rsid w:val="00224B51"/>
    <w:rsid w:val="002466A1"/>
    <w:rsid w:val="0024785A"/>
    <w:rsid w:val="00253E67"/>
    <w:rsid w:val="00262243"/>
    <w:rsid w:val="002856D1"/>
    <w:rsid w:val="00290D22"/>
    <w:rsid w:val="002A65F4"/>
    <w:rsid w:val="00304DDF"/>
    <w:rsid w:val="00317475"/>
    <w:rsid w:val="003231F3"/>
    <w:rsid w:val="0032374B"/>
    <w:rsid w:val="00326843"/>
    <w:rsid w:val="003326DF"/>
    <w:rsid w:val="003400FB"/>
    <w:rsid w:val="0034164B"/>
    <w:rsid w:val="003436B7"/>
    <w:rsid w:val="00356F8D"/>
    <w:rsid w:val="0036411C"/>
    <w:rsid w:val="0036627C"/>
    <w:rsid w:val="003734A8"/>
    <w:rsid w:val="0037476D"/>
    <w:rsid w:val="003766A6"/>
    <w:rsid w:val="00377E4E"/>
    <w:rsid w:val="003835D8"/>
    <w:rsid w:val="00390B12"/>
    <w:rsid w:val="003B2592"/>
    <w:rsid w:val="003B5860"/>
    <w:rsid w:val="003C17E2"/>
    <w:rsid w:val="003C2D5B"/>
    <w:rsid w:val="003D2821"/>
    <w:rsid w:val="003E4D80"/>
    <w:rsid w:val="003E540C"/>
    <w:rsid w:val="004045C3"/>
    <w:rsid w:val="00414403"/>
    <w:rsid w:val="0044029A"/>
    <w:rsid w:val="0044062E"/>
    <w:rsid w:val="00451F3B"/>
    <w:rsid w:val="00460B39"/>
    <w:rsid w:val="004853FD"/>
    <w:rsid w:val="004859D6"/>
    <w:rsid w:val="004A2F29"/>
    <w:rsid w:val="004B1A79"/>
    <w:rsid w:val="004B52C5"/>
    <w:rsid w:val="004F6822"/>
    <w:rsid w:val="00502FD7"/>
    <w:rsid w:val="00517BAB"/>
    <w:rsid w:val="00525E3B"/>
    <w:rsid w:val="00560ED0"/>
    <w:rsid w:val="005648F5"/>
    <w:rsid w:val="00571DE4"/>
    <w:rsid w:val="0058370D"/>
    <w:rsid w:val="005860DE"/>
    <w:rsid w:val="005C427A"/>
    <w:rsid w:val="005F1D1B"/>
    <w:rsid w:val="005F333F"/>
    <w:rsid w:val="00607CA4"/>
    <w:rsid w:val="006105B9"/>
    <w:rsid w:val="0064744D"/>
    <w:rsid w:val="0066387E"/>
    <w:rsid w:val="0066605D"/>
    <w:rsid w:val="00675E93"/>
    <w:rsid w:val="00691614"/>
    <w:rsid w:val="00692FAE"/>
    <w:rsid w:val="006A07DD"/>
    <w:rsid w:val="006A1E5A"/>
    <w:rsid w:val="006A701A"/>
    <w:rsid w:val="006B166B"/>
    <w:rsid w:val="006C4BF2"/>
    <w:rsid w:val="006D6E8C"/>
    <w:rsid w:val="006F4840"/>
    <w:rsid w:val="007030B2"/>
    <w:rsid w:val="00706334"/>
    <w:rsid w:val="00707112"/>
    <w:rsid w:val="00707602"/>
    <w:rsid w:val="00710E86"/>
    <w:rsid w:val="00711EA1"/>
    <w:rsid w:val="007503B7"/>
    <w:rsid w:val="007547E9"/>
    <w:rsid w:val="007809E9"/>
    <w:rsid w:val="00793A3D"/>
    <w:rsid w:val="00796553"/>
    <w:rsid w:val="007A1E8E"/>
    <w:rsid w:val="007A2B01"/>
    <w:rsid w:val="007B542A"/>
    <w:rsid w:val="007B77E1"/>
    <w:rsid w:val="007C2530"/>
    <w:rsid w:val="007C3BCA"/>
    <w:rsid w:val="007D3982"/>
    <w:rsid w:val="00815EBF"/>
    <w:rsid w:val="00835B75"/>
    <w:rsid w:val="00837483"/>
    <w:rsid w:val="008374EA"/>
    <w:rsid w:val="00837D28"/>
    <w:rsid w:val="008428E5"/>
    <w:rsid w:val="00867DFF"/>
    <w:rsid w:val="008A3DEE"/>
    <w:rsid w:val="008B0FF0"/>
    <w:rsid w:val="008B7CA5"/>
    <w:rsid w:val="008C771F"/>
    <w:rsid w:val="008E6E04"/>
    <w:rsid w:val="008F047C"/>
    <w:rsid w:val="008F192B"/>
    <w:rsid w:val="008F480A"/>
    <w:rsid w:val="008F4A6B"/>
    <w:rsid w:val="009049F4"/>
    <w:rsid w:val="0094237A"/>
    <w:rsid w:val="00977F07"/>
    <w:rsid w:val="0098132F"/>
    <w:rsid w:val="009A4BBF"/>
    <w:rsid w:val="009C0584"/>
    <w:rsid w:val="009C538F"/>
    <w:rsid w:val="009D1090"/>
    <w:rsid w:val="009D127F"/>
    <w:rsid w:val="009D21CB"/>
    <w:rsid w:val="009E5D5E"/>
    <w:rsid w:val="009F64FB"/>
    <w:rsid w:val="00A20B6C"/>
    <w:rsid w:val="00A222B1"/>
    <w:rsid w:val="00A27275"/>
    <w:rsid w:val="00A33C04"/>
    <w:rsid w:val="00A65B00"/>
    <w:rsid w:val="00A71EF4"/>
    <w:rsid w:val="00A7297F"/>
    <w:rsid w:val="00A87A22"/>
    <w:rsid w:val="00A91367"/>
    <w:rsid w:val="00A94825"/>
    <w:rsid w:val="00AA1176"/>
    <w:rsid w:val="00AA72B0"/>
    <w:rsid w:val="00AC7107"/>
    <w:rsid w:val="00AD3620"/>
    <w:rsid w:val="00B01AE6"/>
    <w:rsid w:val="00B01BDE"/>
    <w:rsid w:val="00B0477E"/>
    <w:rsid w:val="00B14185"/>
    <w:rsid w:val="00B3504E"/>
    <w:rsid w:val="00B42C0F"/>
    <w:rsid w:val="00B5172E"/>
    <w:rsid w:val="00B66AEC"/>
    <w:rsid w:val="00B9212F"/>
    <w:rsid w:val="00B95700"/>
    <w:rsid w:val="00BC1450"/>
    <w:rsid w:val="00BD2E1B"/>
    <w:rsid w:val="00BF41BC"/>
    <w:rsid w:val="00C02DBB"/>
    <w:rsid w:val="00C23777"/>
    <w:rsid w:val="00C23E4B"/>
    <w:rsid w:val="00C3325A"/>
    <w:rsid w:val="00C43519"/>
    <w:rsid w:val="00C47F4A"/>
    <w:rsid w:val="00C5553E"/>
    <w:rsid w:val="00C61CA9"/>
    <w:rsid w:val="00C6366F"/>
    <w:rsid w:val="00C64EDF"/>
    <w:rsid w:val="00C6576B"/>
    <w:rsid w:val="00C66010"/>
    <w:rsid w:val="00C721B1"/>
    <w:rsid w:val="00C76585"/>
    <w:rsid w:val="00C8042A"/>
    <w:rsid w:val="00CC459C"/>
    <w:rsid w:val="00CE492D"/>
    <w:rsid w:val="00D513BD"/>
    <w:rsid w:val="00D55A58"/>
    <w:rsid w:val="00D77127"/>
    <w:rsid w:val="00D93DB7"/>
    <w:rsid w:val="00DE3C5A"/>
    <w:rsid w:val="00DE7EAC"/>
    <w:rsid w:val="00DF5644"/>
    <w:rsid w:val="00E01D4D"/>
    <w:rsid w:val="00E0493F"/>
    <w:rsid w:val="00E10C66"/>
    <w:rsid w:val="00E12BE4"/>
    <w:rsid w:val="00E512EF"/>
    <w:rsid w:val="00E53711"/>
    <w:rsid w:val="00E5485B"/>
    <w:rsid w:val="00E575CD"/>
    <w:rsid w:val="00E80207"/>
    <w:rsid w:val="00E82454"/>
    <w:rsid w:val="00E86F91"/>
    <w:rsid w:val="00E94970"/>
    <w:rsid w:val="00EB449B"/>
    <w:rsid w:val="00EC1CF9"/>
    <w:rsid w:val="00EE7E3B"/>
    <w:rsid w:val="00F02F12"/>
    <w:rsid w:val="00F0320A"/>
    <w:rsid w:val="00F24C04"/>
    <w:rsid w:val="00F264F9"/>
    <w:rsid w:val="00F576BA"/>
    <w:rsid w:val="00F64E7C"/>
    <w:rsid w:val="00F8610A"/>
    <w:rsid w:val="00F90397"/>
    <w:rsid w:val="00FA51FF"/>
    <w:rsid w:val="00FA6661"/>
    <w:rsid w:val="00FA7CF2"/>
    <w:rsid w:val="00FB36DF"/>
    <w:rsid w:val="00FC5F16"/>
    <w:rsid w:val="00FD14D5"/>
    <w:rsid w:val="00FD31F3"/>
    <w:rsid w:val="00FD37BD"/>
    <w:rsid w:val="00FE6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8FDE0A"/>
  <w15:docId w15:val="{ADE1885A-7697-49F7-8D28-CAE1BA6BB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ourier New" w:hAnsi="Courier New"/>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Times New Roman" w:hAnsi="Times New Roman"/>
      <w:b/>
      <w:sz w:val="24"/>
    </w:rPr>
  </w:style>
  <w:style w:type="paragraph" w:styleId="Heading4">
    <w:name w:val="heading 4"/>
    <w:basedOn w:val="Normal"/>
    <w:next w:val="Normal"/>
    <w:qFormat/>
    <w:pPr>
      <w:keepNext/>
      <w:spacing w:before="240" w:after="60"/>
      <w:outlineLvl w:val="3"/>
    </w:pPr>
    <w:rPr>
      <w:rFonts w:ascii="Times New Roman" w:hAnsi="Times New Roman"/>
      <w:b/>
      <w:i/>
      <w:sz w:val="24"/>
    </w:rPr>
  </w:style>
  <w:style w:type="paragraph" w:styleId="Heading5">
    <w:name w:val="heading 5"/>
    <w:basedOn w:val="Normal"/>
    <w:next w:val="Normal"/>
    <w:qFormat/>
    <w:pPr>
      <w:spacing w:before="240" w:after="60"/>
      <w:outlineLvl w:val="4"/>
    </w:pPr>
    <w:rPr>
      <w:rFonts w:ascii="Arial" w:hAnsi="Arial"/>
      <w:sz w:val="22"/>
    </w:rPr>
  </w:style>
  <w:style w:type="paragraph" w:styleId="Heading6">
    <w:name w:val="heading 6"/>
    <w:basedOn w:val="Normal"/>
    <w:next w:val="Normal"/>
    <w:qFormat/>
    <w:pPr>
      <w:spacing w:before="240" w:after="60"/>
      <w:outlineLvl w:val="5"/>
    </w:pPr>
    <w:rPr>
      <w:rFonts w:ascii="Arial" w:hAnsi="Arial"/>
      <w:i/>
      <w:sz w:val="22"/>
    </w:rPr>
  </w:style>
  <w:style w:type="paragraph" w:styleId="Heading7">
    <w:name w:val="heading 7"/>
    <w:basedOn w:val="Normal"/>
    <w:next w:val="Normal"/>
    <w:qFormat/>
    <w:pPr>
      <w:keepNext/>
      <w:tabs>
        <w:tab w:val="left" w:pos="-1440"/>
        <w:tab w:val="left" w:pos="-720"/>
        <w:tab w:val="left" w:pos="0"/>
        <w:tab w:val="left" w:pos="720"/>
        <w:tab w:val="left" w:pos="1930"/>
        <w:tab w:val="left" w:pos="7501"/>
        <w:tab w:val="right" w:pos="7920"/>
        <w:tab w:val="left" w:pos="8136"/>
        <w:tab w:val="left" w:pos="8640"/>
      </w:tabs>
      <w:suppressAutoHyphens/>
      <w:outlineLvl w:val="6"/>
    </w:pPr>
    <w:rPr>
      <w:rFonts w:ascii="Arial" w:hAnsi="Arial"/>
      <w:sz w:val="24"/>
    </w:rPr>
  </w:style>
  <w:style w:type="paragraph" w:styleId="Heading8">
    <w:name w:val="heading 8"/>
    <w:basedOn w:val="Normal"/>
    <w:next w:val="Normal"/>
    <w:qFormat/>
    <w:pPr>
      <w:keepNext/>
      <w:tabs>
        <w:tab w:val="left" w:pos="-1440"/>
        <w:tab w:val="left" w:pos="-720"/>
        <w:tab w:val="left" w:pos="0"/>
        <w:tab w:val="left" w:pos="720"/>
        <w:tab w:val="left" w:pos="1930"/>
        <w:tab w:val="left" w:pos="7501"/>
        <w:tab w:val="right" w:pos="7920"/>
        <w:tab w:val="left" w:pos="8136"/>
        <w:tab w:val="left" w:pos="8640"/>
      </w:tabs>
      <w:suppressAutoHyphens/>
      <w:ind w:left="720"/>
      <w:outlineLvl w:val="7"/>
    </w:pPr>
    <w:rPr>
      <w:rFonts w:ascii="Arial" w:hAnsi="Arial"/>
      <w:sz w:val="24"/>
    </w:rPr>
  </w:style>
  <w:style w:type="paragraph" w:styleId="Heading9">
    <w:name w:val="heading 9"/>
    <w:basedOn w:val="Normal"/>
    <w:next w:val="Normal"/>
    <w:qFormat/>
    <w:pPr>
      <w:keepNext/>
      <w:tabs>
        <w:tab w:val="left" w:pos="-1440"/>
        <w:tab w:val="left" w:pos="-720"/>
        <w:tab w:val="left" w:pos="0"/>
        <w:tab w:val="left" w:pos="720"/>
        <w:tab w:val="left" w:pos="1930"/>
        <w:tab w:val="left" w:pos="7501"/>
        <w:tab w:val="right" w:pos="7920"/>
        <w:tab w:val="left" w:pos="8136"/>
        <w:tab w:val="left" w:pos="8640"/>
      </w:tabs>
      <w:suppressAutoHyphens/>
      <w:ind w:left="720" w:hanging="720"/>
      <w:outlineLvl w:val="8"/>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4">
    <w:name w:val="Body Text 4"/>
    <w:basedOn w:val="BodyTextIndent"/>
  </w:style>
  <w:style w:type="paragraph" w:styleId="BodyTextIndent2">
    <w:name w:val="Body Text Indent 2"/>
    <w:basedOn w:val="Normal"/>
    <w:pPr>
      <w:ind w:left="720"/>
    </w:pPr>
    <w:rPr>
      <w:rFonts w:ascii="Arial" w:hAnsi="Arial"/>
      <w:sz w:val="24"/>
    </w:r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MessageHeader">
    <w:name w:val="Message Header"/>
    <w:basedOn w:val="Normal"/>
    <w:pPr>
      <w:ind w:left="1080" w:hanging="1080"/>
    </w:pPr>
    <w:rPr>
      <w:rFonts w:ascii="Arial" w:hAnsi="Arial"/>
      <w:sz w:val="24"/>
    </w:rPr>
  </w:style>
  <w:style w:type="paragraph" w:styleId="Salutation">
    <w:name w:val="Salutation"/>
    <w:basedOn w:val="Normal"/>
  </w:style>
  <w:style w:type="paragraph" w:styleId="Closing">
    <w:name w:val="Closing"/>
    <w:basedOn w:val="Normal"/>
    <w:pPr>
      <w:ind w:left="4320"/>
    </w:pPr>
  </w:style>
  <w:style w:type="paragraph" w:styleId="Date">
    <w:name w:val="Date"/>
    <w:basedOn w:val="Normal"/>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customStyle="1" w:styleId="InsideAddress">
    <w:name w:val="Inside Address"/>
    <w:basedOn w:val="Normal"/>
  </w:style>
  <w:style w:type="paragraph" w:styleId="Signature">
    <w:name w:val="Signature"/>
    <w:basedOn w:val="Normal"/>
    <w:pPr>
      <w:ind w:left="432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BodyTextIndent"/>
  </w:style>
  <w:style w:type="paragraph" w:customStyle="1" w:styleId="AttentionLine">
    <w:name w:val="Attention Line"/>
    <w:basedOn w:val="BodyText"/>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3">
    <w:name w:val="Body Text Indent 3"/>
    <w:basedOn w:val="Normal"/>
    <w:pPr>
      <w:tabs>
        <w:tab w:val="left" w:pos="-1440"/>
        <w:tab w:val="left" w:pos="-720"/>
        <w:tab w:val="left" w:pos="0"/>
        <w:tab w:val="left" w:pos="720"/>
        <w:tab w:val="left" w:pos="1930"/>
        <w:tab w:val="left" w:pos="7501"/>
        <w:tab w:val="right" w:pos="7920"/>
        <w:tab w:val="left" w:pos="8136"/>
        <w:tab w:val="left" w:pos="8640"/>
      </w:tabs>
      <w:suppressAutoHyphens/>
      <w:ind w:left="720"/>
    </w:pPr>
    <w:rPr>
      <w:rFonts w:ascii="Arial" w:hAnsi="Arial"/>
      <w:b/>
      <w:sz w:val="24"/>
    </w:rPr>
  </w:style>
  <w:style w:type="paragraph" w:styleId="BodyText2">
    <w:name w:val="Body Text 2"/>
    <w:basedOn w:val="Normal"/>
    <w:pPr>
      <w:tabs>
        <w:tab w:val="left" w:pos="-1440"/>
        <w:tab w:val="left" w:pos="-720"/>
        <w:tab w:val="left" w:pos="0"/>
        <w:tab w:val="left" w:pos="720"/>
        <w:tab w:val="left" w:pos="1930"/>
        <w:tab w:val="left" w:pos="7501"/>
        <w:tab w:val="right" w:pos="7920"/>
        <w:tab w:val="left" w:pos="8136"/>
        <w:tab w:val="left" w:pos="8640"/>
      </w:tabs>
      <w:suppressAutoHyphens/>
    </w:pPr>
    <w:rPr>
      <w:rFonts w:ascii="Arial" w:hAnsi="Arial"/>
      <w:sz w:val="24"/>
    </w:rPr>
  </w:style>
  <w:style w:type="paragraph" w:styleId="BlockText">
    <w:name w:val="Block Text"/>
    <w:basedOn w:val="Normal"/>
    <w:pPr>
      <w:tabs>
        <w:tab w:val="left" w:pos="-1440"/>
        <w:tab w:val="left" w:pos="-720"/>
        <w:tab w:val="left" w:pos="720"/>
        <w:tab w:val="left" w:pos="1930"/>
        <w:tab w:val="left" w:pos="7501"/>
        <w:tab w:val="right" w:pos="7920"/>
        <w:tab w:val="left" w:pos="8136"/>
        <w:tab w:val="left" w:pos="8640"/>
      </w:tabs>
      <w:suppressAutoHyphens/>
      <w:spacing w:before="240"/>
      <w:ind w:left="720" w:right="720"/>
    </w:pPr>
    <w:rPr>
      <w:rFonts w:ascii="Arial" w:hAnsi="Arial"/>
      <w:sz w:val="24"/>
    </w:rPr>
  </w:style>
  <w:style w:type="paragraph" w:styleId="FootnoteText">
    <w:name w:val="footnote text"/>
    <w:basedOn w:val="Normal"/>
    <w:link w:val="FootnoteTextChar"/>
    <w:uiPriority w:val="99"/>
  </w:style>
  <w:style w:type="character" w:styleId="FootnoteReference">
    <w:name w:val="footnote reference"/>
    <w:uiPriority w:val="99"/>
    <w:semiHidden/>
    <w:rPr>
      <w:vertAlign w:val="superscript"/>
    </w:rPr>
  </w:style>
  <w:style w:type="paragraph" w:styleId="ListParagraph">
    <w:name w:val="List Paragraph"/>
    <w:basedOn w:val="Normal"/>
    <w:uiPriority w:val="34"/>
    <w:qFormat/>
    <w:rsid w:val="00067AF5"/>
    <w:pPr>
      <w:ind w:left="720"/>
    </w:pPr>
  </w:style>
  <w:style w:type="paragraph" w:styleId="BalloonText">
    <w:name w:val="Balloon Text"/>
    <w:basedOn w:val="Normal"/>
    <w:link w:val="BalloonTextChar"/>
    <w:rsid w:val="007B77E1"/>
    <w:rPr>
      <w:rFonts w:ascii="Arial" w:hAnsi="Arial" w:cs="Arial"/>
      <w:sz w:val="16"/>
      <w:szCs w:val="16"/>
    </w:rPr>
  </w:style>
  <w:style w:type="character" w:customStyle="1" w:styleId="BalloonTextChar">
    <w:name w:val="Balloon Text Char"/>
    <w:link w:val="BalloonText"/>
    <w:rsid w:val="007B77E1"/>
    <w:rPr>
      <w:rFonts w:ascii="Arial" w:hAnsi="Arial" w:cs="Arial"/>
      <w:sz w:val="16"/>
      <w:szCs w:val="16"/>
    </w:rPr>
  </w:style>
  <w:style w:type="character" w:customStyle="1" w:styleId="FootnoteTextChar">
    <w:name w:val="Footnote Text Char"/>
    <w:basedOn w:val="DefaultParagraphFont"/>
    <w:link w:val="FootnoteText"/>
    <w:uiPriority w:val="99"/>
    <w:rsid w:val="00F64E7C"/>
    <w:rPr>
      <w:rFonts w:ascii="Courier New" w:hAnsi="Courier New"/>
    </w:rPr>
  </w:style>
  <w:style w:type="table" w:styleId="TableElegant">
    <w:name w:val="Table Elegant"/>
    <w:basedOn w:val="TableNormal"/>
    <w:rsid w:val="00F64E7C"/>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alt">
    <w:name w:val="alt"/>
    <w:basedOn w:val="DefaultParagraphFont"/>
    <w:rsid w:val="00F64E7C"/>
  </w:style>
  <w:style w:type="character" w:customStyle="1" w:styleId="FooterChar">
    <w:name w:val="Footer Char"/>
    <w:basedOn w:val="DefaultParagraphFont"/>
    <w:link w:val="Footer"/>
    <w:uiPriority w:val="99"/>
    <w:rsid w:val="005C427A"/>
    <w:rPr>
      <w:rFonts w:ascii="Courier New" w:hAnsi="Courier New"/>
    </w:rPr>
  </w:style>
  <w:style w:type="character" w:styleId="CommentReference">
    <w:name w:val="annotation reference"/>
    <w:basedOn w:val="DefaultParagraphFont"/>
    <w:semiHidden/>
    <w:unhideWhenUsed/>
    <w:rsid w:val="008F480A"/>
    <w:rPr>
      <w:sz w:val="16"/>
      <w:szCs w:val="16"/>
    </w:rPr>
  </w:style>
  <w:style w:type="paragraph" w:styleId="CommentText">
    <w:name w:val="annotation text"/>
    <w:basedOn w:val="Normal"/>
    <w:link w:val="CommentTextChar"/>
    <w:semiHidden/>
    <w:unhideWhenUsed/>
    <w:rsid w:val="008F480A"/>
  </w:style>
  <w:style w:type="character" w:customStyle="1" w:styleId="CommentTextChar">
    <w:name w:val="Comment Text Char"/>
    <w:basedOn w:val="DefaultParagraphFont"/>
    <w:link w:val="CommentText"/>
    <w:semiHidden/>
    <w:rsid w:val="008F480A"/>
    <w:rPr>
      <w:rFonts w:ascii="Courier New" w:hAnsi="Courier New"/>
    </w:rPr>
  </w:style>
  <w:style w:type="paragraph" w:styleId="CommentSubject">
    <w:name w:val="annotation subject"/>
    <w:basedOn w:val="CommentText"/>
    <w:next w:val="CommentText"/>
    <w:link w:val="CommentSubjectChar"/>
    <w:semiHidden/>
    <w:unhideWhenUsed/>
    <w:rsid w:val="008F480A"/>
    <w:rPr>
      <w:b/>
      <w:bCs/>
    </w:rPr>
  </w:style>
  <w:style w:type="character" w:customStyle="1" w:styleId="CommentSubjectChar">
    <w:name w:val="Comment Subject Char"/>
    <w:basedOn w:val="CommentTextChar"/>
    <w:link w:val="CommentSubject"/>
    <w:semiHidden/>
    <w:rsid w:val="008F480A"/>
    <w:rPr>
      <w:rFonts w:ascii="Courier New" w:hAnsi="Courier New"/>
      <w:b/>
      <w:bCs/>
    </w:rPr>
  </w:style>
  <w:style w:type="paragraph" w:styleId="Revision">
    <w:name w:val="Revision"/>
    <w:hidden/>
    <w:uiPriority w:val="99"/>
    <w:semiHidden/>
    <w:rsid w:val="00FD31F3"/>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PP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5EB1B-FF77-4851-99B9-1E02AC5E0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PP2.DOT</Template>
  <TotalTime>4</TotalTime>
  <Pages>17</Pages>
  <Words>4291</Words>
  <Characters>24462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September 15, 1995</vt:lpstr>
    </vt:vector>
  </TitlesOfParts>
  <Company>BCBSA</Company>
  <LinksUpToDate>false</LinksUpToDate>
  <CharactersWithSpaces>28696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September 15, 1995</dc:title>
  <dc:creator>BCBSA</dc:creator>
  <cp:lastModifiedBy>Jonah Smith</cp:lastModifiedBy>
  <cp:revision>5</cp:revision>
  <cp:lastPrinted>2012-08-24T00:29:00Z</cp:lastPrinted>
  <dcterms:created xsi:type="dcterms:W3CDTF">2024-06-18T14:40:00Z</dcterms:created>
  <dcterms:modified xsi:type="dcterms:W3CDTF">2024-06-18T14:45:00Z</dcterms:modified>
</cp:coreProperties>
</file>