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377DD" w14:textId="2CA770F9" w:rsidR="00F13F25" w:rsidRDefault="00F13F25">
      <w:pPr>
        <w:pStyle w:val="BodyTextIndent"/>
        <w:tabs>
          <w:tab w:val="clear" w:pos="1368"/>
          <w:tab w:val="left" w:pos="1440"/>
        </w:tabs>
        <w:ind w:left="1080" w:hanging="1080"/>
      </w:pPr>
      <w:r>
        <w:t xml:space="preserve">Whether </w:t>
      </w:r>
      <w:r w:rsidR="008C1E18">
        <w:t xml:space="preserve">the </w:t>
      </w:r>
      <w:r w:rsidR="00E20040">
        <w:t>M</w:t>
      </w:r>
      <w:r w:rsidR="006838E4">
        <w:t xml:space="preserve">edicaid eligible days </w:t>
      </w:r>
      <w:r w:rsidR="00AA4E72">
        <w:t>in</w:t>
      </w:r>
      <w:r w:rsidR="00B00FA2">
        <w:t xml:space="preserve"> the DSH calculation a</w:t>
      </w:r>
      <w:r w:rsidR="00AA4E72">
        <w:t>re properly stated based on the MAC’s sampling</w:t>
      </w:r>
      <w:r>
        <w:t>.</w:t>
      </w:r>
    </w:p>
    <w:p w14:paraId="559A367F" w14:textId="77777777" w:rsidR="00F13F25" w:rsidRDefault="00F13F25">
      <w:pPr>
        <w:tabs>
          <w:tab w:val="left" w:pos="-1440"/>
          <w:tab w:val="left" w:pos="-720"/>
          <w:tab w:val="left" w:pos="-36"/>
          <w:tab w:val="left" w:pos="648"/>
          <w:tab w:val="left" w:pos="1446"/>
          <w:tab w:val="left" w:pos="2130"/>
          <w:tab w:val="left" w:pos="2814"/>
          <w:tab w:val="left" w:pos="3612"/>
          <w:tab w:val="left" w:pos="4296"/>
          <w:tab w:val="left" w:pos="4980"/>
          <w:tab w:val="left" w:pos="5778"/>
          <w:tab w:val="left" w:pos="6462"/>
          <w:tab w:val="left" w:pos="7146"/>
          <w:tab w:val="left" w:pos="7944"/>
          <w:tab w:val="left" w:pos="8628"/>
          <w:tab w:val="left" w:pos="9312"/>
          <w:tab w:val="left" w:pos="10110"/>
        </w:tabs>
        <w:spacing w:line="480" w:lineRule="auto"/>
        <w:rPr>
          <w:sz w:val="24"/>
        </w:rPr>
      </w:pPr>
    </w:p>
    <w:p w14:paraId="18297E7B" w14:textId="77777777" w:rsidR="00F13F25" w:rsidRDefault="00F13F25">
      <w:pPr>
        <w:pStyle w:val="Heading1"/>
        <w:numPr>
          <w:ilvl w:val="0"/>
          <w:numId w:val="6"/>
        </w:numPr>
        <w:tabs>
          <w:tab w:val="left" w:pos="720"/>
        </w:tabs>
      </w:pPr>
      <w:r>
        <w:t>Facts</w:t>
      </w:r>
    </w:p>
    <w:p w14:paraId="0AE5EE15" w14:textId="77777777" w:rsidR="006F2B40" w:rsidRDefault="004C61F3" w:rsidP="00C16242">
      <w:pPr>
        <w:tabs>
          <w:tab w:val="left" w:pos="-1440"/>
          <w:tab w:val="left" w:pos="-720"/>
          <w:tab w:val="left" w:pos="-36"/>
          <w:tab w:val="left" w:pos="648"/>
          <w:tab w:val="left" w:pos="1446"/>
          <w:tab w:val="left" w:pos="2130"/>
          <w:tab w:val="left" w:pos="2814"/>
          <w:tab w:val="left" w:pos="3612"/>
          <w:tab w:val="left" w:pos="4296"/>
          <w:tab w:val="left" w:pos="4980"/>
          <w:tab w:val="left" w:pos="5778"/>
          <w:tab w:val="left" w:pos="6462"/>
          <w:tab w:val="left" w:pos="7146"/>
          <w:tab w:val="left" w:pos="7944"/>
          <w:tab w:val="left" w:pos="8628"/>
          <w:tab w:val="left" w:pos="9312"/>
          <w:tab w:val="left" w:pos="10110"/>
        </w:tabs>
        <w:spacing w:line="480" w:lineRule="auto"/>
        <w:rPr>
          <w:sz w:val="24"/>
        </w:rPr>
      </w:pPr>
      <w:r>
        <w:rPr>
          <w:sz w:val="24"/>
        </w:rPr>
        <w:t xml:space="preserve">This is a </w:t>
      </w:r>
      <w:r w:rsidR="00241209">
        <w:rPr>
          <w:sz w:val="24"/>
        </w:rPr>
        <w:t xml:space="preserve">group appeal with 2 participating providers (“the Providers”) with </w:t>
      </w:r>
      <w:r w:rsidR="00AA4E72">
        <w:rPr>
          <w:sz w:val="24"/>
        </w:rPr>
        <w:t>a fiscal year end of 04/30/2010</w:t>
      </w:r>
      <w:r w:rsidR="00241209">
        <w:rPr>
          <w:sz w:val="24"/>
        </w:rPr>
        <w:t xml:space="preserve"> </w:t>
      </w:r>
      <w:r w:rsidR="00CE09E3">
        <w:rPr>
          <w:sz w:val="24"/>
        </w:rPr>
        <w:t>(</w:t>
      </w:r>
      <w:r w:rsidR="00CE09E3" w:rsidRPr="00CE09E3">
        <w:rPr>
          <w:i/>
          <w:sz w:val="24"/>
        </w:rPr>
        <w:t>see</w:t>
      </w:r>
      <w:r w:rsidR="00431557">
        <w:rPr>
          <w:sz w:val="24"/>
        </w:rPr>
        <w:t xml:space="preserve"> </w:t>
      </w:r>
      <w:r w:rsidR="00431557" w:rsidRPr="004C61F3">
        <w:rPr>
          <w:b/>
          <w:sz w:val="24"/>
        </w:rPr>
        <w:t>Exhibit C-1</w:t>
      </w:r>
      <w:r w:rsidR="00CE09E3">
        <w:rPr>
          <w:sz w:val="24"/>
        </w:rPr>
        <w:t>)</w:t>
      </w:r>
      <w:r w:rsidR="00F05B5A">
        <w:rPr>
          <w:sz w:val="24"/>
        </w:rPr>
        <w:t>.</w:t>
      </w:r>
      <w:r w:rsidR="00553309">
        <w:rPr>
          <w:sz w:val="24"/>
        </w:rPr>
        <w:t xml:space="preserve">  The Providers in this group appeal </w:t>
      </w:r>
      <w:r w:rsidR="002A44A3">
        <w:rPr>
          <w:sz w:val="24"/>
        </w:rPr>
        <w:t xml:space="preserve">are challenging the </w:t>
      </w:r>
      <w:r w:rsidR="000B546C">
        <w:rPr>
          <w:sz w:val="24"/>
        </w:rPr>
        <w:t>Medicaid fraction</w:t>
      </w:r>
      <w:r w:rsidR="006838E4">
        <w:rPr>
          <w:sz w:val="24"/>
        </w:rPr>
        <w:t xml:space="preserve"> of the DSH calculation</w:t>
      </w:r>
      <w:r w:rsidR="00260671">
        <w:rPr>
          <w:sz w:val="24"/>
        </w:rPr>
        <w:t>.</w:t>
      </w:r>
      <w:r>
        <w:rPr>
          <w:sz w:val="24"/>
        </w:rPr>
        <w:t xml:space="preserve">  </w:t>
      </w:r>
      <w:r w:rsidR="00241209">
        <w:rPr>
          <w:sz w:val="24"/>
        </w:rPr>
        <w:t>The Providers filed the appeal based on their original NPRs</w:t>
      </w:r>
      <w:r w:rsidR="00AE04FA">
        <w:rPr>
          <w:sz w:val="24"/>
        </w:rPr>
        <w:t>.</w:t>
      </w:r>
    </w:p>
    <w:p w14:paraId="31EB545A" w14:textId="77777777" w:rsidR="00FF071C" w:rsidRDefault="00FF071C" w:rsidP="00C16242">
      <w:pPr>
        <w:tabs>
          <w:tab w:val="left" w:pos="-1440"/>
          <w:tab w:val="left" w:pos="-720"/>
          <w:tab w:val="left" w:pos="-36"/>
          <w:tab w:val="left" w:pos="648"/>
          <w:tab w:val="left" w:pos="1446"/>
          <w:tab w:val="left" w:pos="2130"/>
          <w:tab w:val="left" w:pos="2814"/>
          <w:tab w:val="left" w:pos="3612"/>
          <w:tab w:val="left" w:pos="4296"/>
          <w:tab w:val="left" w:pos="4980"/>
          <w:tab w:val="left" w:pos="5778"/>
          <w:tab w:val="left" w:pos="6462"/>
          <w:tab w:val="left" w:pos="7146"/>
          <w:tab w:val="left" w:pos="7944"/>
          <w:tab w:val="left" w:pos="8628"/>
          <w:tab w:val="left" w:pos="9312"/>
          <w:tab w:val="left" w:pos="10110"/>
        </w:tabs>
        <w:spacing w:line="480" w:lineRule="auto"/>
        <w:rPr>
          <w:sz w:val="24"/>
        </w:rPr>
      </w:pPr>
    </w:p>
    <w:p w14:paraId="2C0FC76E" w14:textId="77777777" w:rsidR="000B546C" w:rsidRDefault="000B546C" w:rsidP="00C16242">
      <w:pPr>
        <w:tabs>
          <w:tab w:val="left" w:pos="-1440"/>
          <w:tab w:val="left" w:pos="-720"/>
          <w:tab w:val="left" w:pos="-36"/>
          <w:tab w:val="left" w:pos="648"/>
          <w:tab w:val="left" w:pos="1446"/>
          <w:tab w:val="left" w:pos="2130"/>
          <w:tab w:val="left" w:pos="2814"/>
          <w:tab w:val="left" w:pos="3612"/>
          <w:tab w:val="left" w:pos="4296"/>
          <w:tab w:val="left" w:pos="4980"/>
          <w:tab w:val="left" w:pos="5778"/>
          <w:tab w:val="left" w:pos="6462"/>
          <w:tab w:val="left" w:pos="7146"/>
          <w:tab w:val="left" w:pos="7944"/>
          <w:tab w:val="left" w:pos="8628"/>
          <w:tab w:val="left" w:pos="9312"/>
          <w:tab w:val="left" w:pos="10110"/>
        </w:tabs>
        <w:spacing w:line="480" w:lineRule="auto"/>
        <w:rPr>
          <w:sz w:val="24"/>
        </w:rPr>
      </w:pPr>
      <w:r>
        <w:rPr>
          <w:sz w:val="24"/>
        </w:rPr>
        <w:t>In the Providers’ appeal request dated February 27, 2014, the issue description reads as follows:</w:t>
      </w:r>
    </w:p>
    <w:p w14:paraId="74628C6B" w14:textId="77777777" w:rsidR="000B546C" w:rsidRDefault="000B546C" w:rsidP="000B546C">
      <w:pPr>
        <w:tabs>
          <w:tab w:val="left" w:pos="-1440"/>
          <w:tab w:val="left" w:pos="-720"/>
          <w:tab w:val="left" w:pos="-36"/>
          <w:tab w:val="left" w:pos="648"/>
          <w:tab w:val="left" w:pos="1446"/>
          <w:tab w:val="left" w:pos="2130"/>
          <w:tab w:val="left" w:pos="2814"/>
          <w:tab w:val="left" w:pos="3612"/>
          <w:tab w:val="left" w:pos="4296"/>
          <w:tab w:val="left" w:pos="4980"/>
          <w:tab w:val="left" w:pos="5778"/>
          <w:tab w:val="left" w:pos="6462"/>
          <w:tab w:val="left" w:pos="7146"/>
          <w:tab w:val="left" w:pos="7944"/>
          <w:tab w:val="left" w:pos="8628"/>
          <w:tab w:val="left" w:pos="9312"/>
          <w:tab w:val="left" w:pos="10110"/>
        </w:tabs>
        <w:ind w:left="720"/>
        <w:rPr>
          <w:sz w:val="24"/>
        </w:rPr>
      </w:pPr>
      <w:r>
        <w:rPr>
          <w:sz w:val="24"/>
        </w:rPr>
        <w:t>This group appeal concerns the determination of the Providers’ Medicare disproportionate share hospital (“DSH”) adjustment payments under the prospective payment system (“PPS”) for operating and capital-related costs of inpatient hospital services.  The common issue relates to the Intermediary’s statistical sampling process used in adjusting Medicaid eligible days in determining the Providers’ disproportionate patient percentages (“DPP”) for the purpose of the Medicare DSH adjustment.  The common issue is whether in determining the Providers’ DPP, the Intermediary used a valid statistical sampling approach that provides reasonable certainty that the audit sample results are representative of the universe.  The Providers challenge the Intermediary’s exclusion of Medicaid eligible days from the Medicaid percentage pursuant to 42 U.S.C. §1395ww(d)(5)(F)(vi)(II) based on its audit sample results in the determination of their DSH adjustment payments.  Further, the Providers contend that the Intermediary’s statistical approach was not consistent with generally accepted statistical procedures as recommended by CMS and as used by the DHHS Office of the Inspector General.</w:t>
      </w:r>
    </w:p>
    <w:p w14:paraId="03B1CD53" w14:textId="77777777" w:rsidR="000B546C" w:rsidRDefault="000B546C" w:rsidP="00C16242">
      <w:pPr>
        <w:tabs>
          <w:tab w:val="left" w:pos="-1440"/>
          <w:tab w:val="left" w:pos="-720"/>
          <w:tab w:val="left" w:pos="-36"/>
          <w:tab w:val="left" w:pos="648"/>
          <w:tab w:val="left" w:pos="1446"/>
          <w:tab w:val="left" w:pos="2130"/>
          <w:tab w:val="left" w:pos="2814"/>
          <w:tab w:val="left" w:pos="3612"/>
          <w:tab w:val="left" w:pos="4296"/>
          <w:tab w:val="left" w:pos="4980"/>
          <w:tab w:val="left" w:pos="5778"/>
          <w:tab w:val="left" w:pos="6462"/>
          <w:tab w:val="left" w:pos="7146"/>
          <w:tab w:val="left" w:pos="7944"/>
          <w:tab w:val="left" w:pos="8628"/>
          <w:tab w:val="left" w:pos="9312"/>
          <w:tab w:val="left" w:pos="10110"/>
        </w:tabs>
        <w:spacing w:line="480" w:lineRule="auto"/>
        <w:rPr>
          <w:sz w:val="24"/>
        </w:rPr>
      </w:pPr>
    </w:p>
    <w:p w14:paraId="571EA4B8" w14:textId="77777777" w:rsidR="000B546C" w:rsidRDefault="000B546C" w:rsidP="00C16242">
      <w:pPr>
        <w:tabs>
          <w:tab w:val="left" w:pos="-1440"/>
          <w:tab w:val="left" w:pos="-720"/>
          <w:tab w:val="left" w:pos="-36"/>
          <w:tab w:val="left" w:pos="648"/>
          <w:tab w:val="left" w:pos="1446"/>
          <w:tab w:val="left" w:pos="2130"/>
          <w:tab w:val="left" w:pos="2814"/>
          <w:tab w:val="left" w:pos="3612"/>
          <w:tab w:val="left" w:pos="4296"/>
          <w:tab w:val="left" w:pos="4980"/>
          <w:tab w:val="left" w:pos="5778"/>
          <w:tab w:val="left" w:pos="6462"/>
          <w:tab w:val="left" w:pos="7146"/>
          <w:tab w:val="left" w:pos="7944"/>
          <w:tab w:val="left" w:pos="8628"/>
          <w:tab w:val="left" w:pos="9312"/>
          <w:tab w:val="left" w:pos="10110"/>
        </w:tabs>
        <w:spacing w:line="480" w:lineRule="auto"/>
        <w:rPr>
          <w:sz w:val="24"/>
        </w:rPr>
      </w:pPr>
      <w:r>
        <w:rPr>
          <w:sz w:val="24"/>
        </w:rPr>
        <w:t>The Providers</w:t>
      </w:r>
      <w:r w:rsidR="00CC3061">
        <w:rPr>
          <w:sz w:val="24"/>
        </w:rPr>
        <w:t>’ preliminary</w:t>
      </w:r>
      <w:r w:rsidR="001635B3">
        <w:rPr>
          <w:sz w:val="24"/>
        </w:rPr>
        <w:t xml:space="preserve"> and final</w:t>
      </w:r>
      <w:r w:rsidR="00CC3061">
        <w:rPr>
          <w:sz w:val="24"/>
        </w:rPr>
        <w:t xml:space="preserve"> position paper</w:t>
      </w:r>
      <w:r w:rsidR="0040088E">
        <w:rPr>
          <w:sz w:val="24"/>
        </w:rPr>
        <w:t>s</w:t>
      </w:r>
      <w:r w:rsidR="00CC3061">
        <w:rPr>
          <w:sz w:val="24"/>
        </w:rPr>
        <w:t xml:space="preserve"> identif</w:t>
      </w:r>
      <w:r w:rsidR="0040088E">
        <w:rPr>
          <w:sz w:val="24"/>
        </w:rPr>
        <w:t>y</w:t>
      </w:r>
      <w:r w:rsidR="00CC3061">
        <w:rPr>
          <w:sz w:val="24"/>
        </w:rPr>
        <w:t xml:space="preserve"> the issue as follows:</w:t>
      </w:r>
    </w:p>
    <w:p w14:paraId="4DA21031" w14:textId="77777777" w:rsidR="00CC3061" w:rsidRDefault="00CC3061" w:rsidP="001300BC">
      <w:pPr>
        <w:tabs>
          <w:tab w:val="left" w:pos="-1440"/>
          <w:tab w:val="left" w:pos="-720"/>
          <w:tab w:val="left" w:pos="-36"/>
          <w:tab w:val="left" w:pos="648"/>
          <w:tab w:val="left" w:pos="1446"/>
          <w:tab w:val="left" w:pos="2130"/>
          <w:tab w:val="left" w:pos="2814"/>
          <w:tab w:val="left" w:pos="3612"/>
          <w:tab w:val="left" w:pos="4296"/>
          <w:tab w:val="left" w:pos="4980"/>
          <w:tab w:val="left" w:pos="5778"/>
          <w:tab w:val="left" w:pos="6462"/>
          <w:tab w:val="left" w:pos="7146"/>
          <w:tab w:val="left" w:pos="7944"/>
          <w:tab w:val="left" w:pos="8628"/>
          <w:tab w:val="left" w:pos="9312"/>
          <w:tab w:val="left" w:pos="10110"/>
        </w:tabs>
        <w:ind w:left="720"/>
        <w:rPr>
          <w:sz w:val="24"/>
        </w:rPr>
      </w:pPr>
      <w:r>
        <w:rPr>
          <w:sz w:val="24"/>
        </w:rPr>
        <w:t>The Providers in this group appeal challenge adjustments that First Coast Service Options (the “MAC”) made to their DSH payments.</w:t>
      </w:r>
      <w:r w:rsidR="001300BC">
        <w:rPr>
          <w:sz w:val="24"/>
        </w:rPr>
        <w:t xml:space="preserve">  First, the MAC disallowed some of the Medicaid eligible days claimed by the Providers based on its analysis of statistical samplings of those days.  But the MAC’s statistical samplings were flawed for two reasons.  First, the MAC did not afford the Providers an opportunity to present 100% support for all their Medicaid days in lieu of extrapolation.  Had the MAC offered this, the Providers would have been able to claim additional Medicaid eligible days.  Second, the MAC’s analysis did not account for the Section 1115 days that the Provider claimed in the cost report.  The MAC simply disallowed all Section 1115 days without including them in the universe of sampled days.  And the MAC’s errors did not end there.  The MAC also manually entered the wrong DSH adjustment percentage for both providers.  </w:t>
      </w:r>
      <w:r w:rsidR="001300BC">
        <w:rPr>
          <w:sz w:val="24"/>
        </w:rPr>
        <w:lastRenderedPageBreak/>
        <w:t>The DSH adjustments that the MAC used erroneously excluded the sampled Medicaid eligible days that the MAC had extrapolated for its review.  As a result, the Providers’ DSH payments were understated.  The Providers ask that the Board reverse the MAC’s adjustments with respect to the (1) traditional Medicaid eligible days were disallowed as a result of the statistical sampling analysis, (2) the Section 1115 days that were disallowed wholesale without any even being reviewed, and (3) the MAC’s erroneous adjustment to the Providers’ DSH adjustment percentages.</w:t>
      </w:r>
    </w:p>
    <w:p w14:paraId="5D541079" w14:textId="77777777" w:rsidR="001300BC" w:rsidRDefault="001300BC" w:rsidP="00C16242">
      <w:pPr>
        <w:tabs>
          <w:tab w:val="left" w:pos="-1440"/>
          <w:tab w:val="left" w:pos="-720"/>
          <w:tab w:val="left" w:pos="-36"/>
          <w:tab w:val="left" w:pos="648"/>
          <w:tab w:val="left" w:pos="1446"/>
          <w:tab w:val="left" w:pos="2130"/>
          <w:tab w:val="left" w:pos="2814"/>
          <w:tab w:val="left" w:pos="3612"/>
          <w:tab w:val="left" w:pos="4296"/>
          <w:tab w:val="left" w:pos="4980"/>
          <w:tab w:val="left" w:pos="5778"/>
          <w:tab w:val="left" w:pos="6462"/>
          <w:tab w:val="left" w:pos="7146"/>
          <w:tab w:val="left" w:pos="7944"/>
          <w:tab w:val="left" w:pos="8628"/>
          <w:tab w:val="left" w:pos="9312"/>
          <w:tab w:val="left" w:pos="10110"/>
        </w:tabs>
        <w:spacing w:line="480" w:lineRule="auto"/>
        <w:rPr>
          <w:sz w:val="24"/>
        </w:rPr>
      </w:pPr>
    </w:p>
    <w:p w14:paraId="7D08E8A4" w14:textId="77777777" w:rsidR="001300BC" w:rsidRDefault="001300BC" w:rsidP="00C16242">
      <w:pPr>
        <w:tabs>
          <w:tab w:val="left" w:pos="-1440"/>
          <w:tab w:val="left" w:pos="-720"/>
          <w:tab w:val="left" w:pos="-36"/>
          <w:tab w:val="left" w:pos="648"/>
          <w:tab w:val="left" w:pos="1446"/>
          <w:tab w:val="left" w:pos="2130"/>
          <w:tab w:val="left" w:pos="2814"/>
          <w:tab w:val="left" w:pos="3612"/>
          <w:tab w:val="left" w:pos="4296"/>
          <w:tab w:val="left" w:pos="4980"/>
          <w:tab w:val="left" w:pos="5778"/>
          <w:tab w:val="left" w:pos="6462"/>
          <w:tab w:val="left" w:pos="7146"/>
          <w:tab w:val="left" w:pos="7944"/>
          <w:tab w:val="left" w:pos="8628"/>
          <w:tab w:val="left" w:pos="9312"/>
          <w:tab w:val="left" w:pos="10110"/>
        </w:tabs>
        <w:spacing w:line="480" w:lineRule="auto"/>
        <w:rPr>
          <w:sz w:val="24"/>
        </w:rPr>
      </w:pPr>
      <w:r>
        <w:rPr>
          <w:sz w:val="24"/>
        </w:rPr>
        <w:t>The MAC contends that the Providers are attempting to add the issue of Section 1115 waiver days, which was not identified as an issue in the original appeal request.</w:t>
      </w:r>
    </w:p>
    <w:p w14:paraId="59D1D0FD" w14:textId="77777777" w:rsidR="00FF071C" w:rsidRDefault="00FF071C">
      <w:pPr>
        <w:tabs>
          <w:tab w:val="left" w:pos="-1440"/>
          <w:tab w:val="left" w:pos="-720"/>
          <w:tab w:val="left" w:pos="-36"/>
          <w:tab w:val="left" w:pos="720"/>
          <w:tab w:val="left" w:pos="1446"/>
          <w:tab w:val="left" w:pos="2130"/>
          <w:tab w:val="left" w:pos="2814"/>
          <w:tab w:val="left" w:pos="3612"/>
          <w:tab w:val="left" w:pos="4296"/>
          <w:tab w:val="left" w:pos="4980"/>
          <w:tab w:val="left" w:pos="5778"/>
          <w:tab w:val="left" w:pos="6462"/>
          <w:tab w:val="left" w:pos="7146"/>
          <w:tab w:val="left" w:pos="7944"/>
          <w:tab w:val="left" w:pos="8628"/>
          <w:tab w:val="left" w:pos="9312"/>
          <w:tab w:val="left" w:pos="10110"/>
        </w:tabs>
        <w:spacing w:line="480" w:lineRule="auto"/>
        <w:rPr>
          <w:sz w:val="24"/>
        </w:rPr>
      </w:pPr>
    </w:p>
    <w:p w14:paraId="614B6C06" w14:textId="77777777" w:rsidR="00F13F25" w:rsidRDefault="00F13F25">
      <w:pPr>
        <w:tabs>
          <w:tab w:val="left" w:pos="-1440"/>
          <w:tab w:val="left" w:pos="-720"/>
          <w:tab w:val="left" w:pos="-36"/>
          <w:tab w:val="left" w:pos="720"/>
          <w:tab w:val="left" w:pos="1446"/>
          <w:tab w:val="left" w:pos="2130"/>
          <w:tab w:val="left" w:pos="2814"/>
          <w:tab w:val="left" w:pos="3612"/>
          <w:tab w:val="left" w:pos="4296"/>
          <w:tab w:val="left" w:pos="4980"/>
          <w:tab w:val="left" w:pos="5778"/>
          <w:tab w:val="left" w:pos="6462"/>
          <w:tab w:val="left" w:pos="7146"/>
          <w:tab w:val="left" w:pos="7944"/>
          <w:tab w:val="left" w:pos="8628"/>
          <w:tab w:val="left" w:pos="9312"/>
          <w:tab w:val="left" w:pos="10110"/>
        </w:tabs>
        <w:spacing w:line="480" w:lineRule="auto"/>
        <w:rPr>
          <w:sz w:val="24"/>
        </w:rPr>
      </w:pPr>
      <w:r>
        <w:rPr>
          <w:sz w:val="24"/>
        </w:rPr>
        <w:t>B.</w:t>
      </w:r>
      <w:r>
        <w:rPr>
          <w:sz w:val="24"/>
        </w:rPr>
        <w:tab/>
        <w:t>Arguments</w:t>
      </w:r>
    </w:p>
    <w:p w14:paraId="257C1486" w14:textId="77777777" w:rsidR="00D92894" w:rsidRDefault="004A51F3" w:rsidP="004A51F3">
      <w:pPr>
        <w:widowControl w:val="0"/>
        <w:tabs>
          <w:tab w:val="left" w:pos="-720"/>
        </w:tabs>
        <w:suppressAutoHyphens/>
        <w:spacing w:line="480" w:lineRule="auto"/>
        <w:rPr>
          <w:sz w:val="24"/>
          <w:szCs w:val="24"/>
        </w:rPr>
      </w:pPr>
      <w:r w:rsidRPr="004A51F3">
        <w:rPr>
          <w:sz w:val="24"/>
          <w:szCs w:val="24"/>
        </w:rPr>
        <w:t xml:space="preserve">The Providers </w:t>
      </w:r>
      <w:r w:rsidR="000D7490">
        <w:rPr>
          <w:sz w:val="24"/>
          <w:szCs w:val="24"/>
        </w:rPr>
        <w:t>initially filed this group appeal to challenge the statistical sampling of the Medicaid eligible days used to calculate the DSH percentage.  The MAC contends that this case never should have been filed as a group appeal.  According to 42 CFR § 405.1837(a)(2), the issue in a group appeal should involve “a single question of fact or interpretation of law, regulations, or CMS Rulings that is common to each provider in the group.”  The issue of statistical sampling and extrapolating results may be a similar issue with the two providers in this group appeal, but it is not a common legal issue.  Each sample is unique, and a uniform decision may not be appropriate.  Therefore, this never should have been initiated as a group appeal, which the MAC mentioned in its original Rule 15</w:t>
      </w:r>
      <w:r w:rsidR="00C6328D">
        <w:rPr>
          <w:sz w:val="24"/>
          <w:szCs w:val="24"/>
        </w:rPr>
        <w:t xml:space="preserve"> letter</w:t>
      </w:r>
      <w:r w:rsidR="00D92894">
        <w:rPr>
          <w:sz w:val="24"/>
          <w:szCs w:val="24"/>
        </w:rPr>
        <w:t xml:space="preserve">.  Now the Providers are attempting to add an additional issue to the group appeal through its position paper over 9 years after the initial appeal filing.  The MAC </w:t>
      </w:r>
      <w:r w:rsidR="001B09A6">
        <w:rPr>
          <w:sz w:val="24"/>
          <w:szCs w:val="24"/>
        </w:rPr>
        <w:t>has</w:t>
      </w:r>
      <w:r w:rsidR="00D92894">
        <w:rPr>
          <w:sz w:val="24"/>
          <w:szCs w:val="24"/>
        </w:rPr>
        <w:t xml:space="preserve"> file</w:t>
      </w:r>
      <w:r w:rsidR="001B09A6">
        <w:rPr>
          <w:sz w:val="24"/>
          <w:szCs w:val="24"/>
        </w:rPr>
        <w:t>d</w:t>
      </w:r>
      <w:r w:rsidR="00D92894">
        <w:rPr>
          <w:sz w:val="24"/>
          <w:szCs w:val="24"/>
        </w:rPr>
        <w:t xml:space="preserve"> a jurisdictional challenge regarding the Providers’ attempt to include Section 1115 waiver days within the scope of the appeal.</w:t>
      </w:r>
    </w:p>
    <w:p w14:paraId="242C1333" w14:textId="77777777" w:rsidR="00D92894" w:rsidRDefault="00D92894" w:rsidP="004A51F3">
      <w:pPr>
        <w:widowControl w:val="0"/>
        <w:tabs>
          <w:tab w:val="left" w:pos="-720"/>
        </w:tabs>
        <w:suppressAutoHyphens/>
        <w:spacing w:line="480" w:lineRule="auto"/>
        <w:rPr>
          <w:sz w:val="24"/>
          <w:szCs w:val="24"/>
        </w:rPr>
      </w:pPr>
    </w:p>
    <w:p w14:paraId="49E9600C" w14:textId="77777777" w:rsidR="00D92894" w:rsidRDefault="00D92894" w:rsidP="004A51F3">
      <w:pPr>
        <w:widowControl w:val="0"/>
        <w:tabs>
          <w:tab w:val="left" w:pos="-720"/>
        </w:tabs>
        <w:suppressAutoHyphens/>
        <w:spacing w:line="480" w:lineRule="auto"/>
        <w:rPr>
          <w:sz w:val="24"/>
          <w:szCs w:val="24"/>
        </w:rPr>
      </w:pPr>
      <w:r>
        <w:rPr>
          <w:sz w:val="24"/>
          <w:szCs w:val="24"/>
        </w:rPr>
        <w:t>Regarding the issue of statistical sampling, the Providers do not offer an argument to support their position, and no documentation has been provided in an attempt to resolve the issue.</w:t>
      </w:r>
    </w:p>
    <w:p w14:paraId="19168201" w14:textId="77777777" w:rsidR="00D92894" w:rsidRDefault="00D92894" w:rsidP="004A51F3">
      <w:pPr>
        <w:widowControl w:val="0"/>
        <w:tabs>
          <w:tab w:val="left" w:pos="-720"/>
        </w:tabs>
        <w:suppressAutoHyphens/>
        <w:spacing w:line="480" w:lineRule="auto"/>
        <w:rPr>
          <w:sz w:val="24"/>
          <w:szCs w:val="24"/>
        </w:rPr>
      </w:pPr>
    </w:p>
    <w:p w14:paraId="0F862B72" w14:textId="77777777" w:rsidR="00D92894" w:rsidRDefault="00D92894" w:rsidP="004A51F3">
      <w:pPr>
        <w:widowControl w:val="0"/>
        <w:tabs>
          <w:tab w:val="left" w:pos="-720"/>
        </w:tabs>
        <w:suppressAutoHyphens/>
        <w:spacing w:line="480" w:lineRule="auto"/>
        <w:rPr>
          <w:sz w:val="24"/>
          <w:szCs w:val="24"/>
        </w:rPr>
      </w:pPr>
      <w:r>
        <w:rPr>
          <w:sz w:val="24"/>
          <w:szCs w:val="24"/>
        </w:rPr>
        <w:t>The Providers’ position paper argues</w:t>
      </w:r>
      <w:r w:rsidR="005C5EE6">
        <w:rPr>
          <w:sz w:val="24"/>
          <w:szCs w:val="24"/>
        </w:rPr>
        <w:t xml:space="preserve"> (page 8): “The Providers contend that the statistical sampling analyses that the MAC used to adjust their traditional Medicaid eligible days were not based on a representative sampling of those days.  And as a result, the extrapolated adjustment was overstated.  This could have been avoided had the MAC afforded the Providers the opportunity to present 100% support for all the Medicaid eligible days in their cost report.  The Providers are prepared to present 100% support for all their Medicaid eligible days.”</w:t>
      </w:r>
    </w:p>
    <w:p w14:paraId="293D680B" w14:textId="77777777" w:rsidR="005C5EE6" w:rsidRDefault="005C5EE6" w:rsidP="004A51F3">
      <w:pPr>
        <w:widowControl w:val="0"/>
        <w:tabs>
          <w:tab w:val="left" w:pos="-720"/>
        </w:tabs>
        <w:suppressAutoHyphens/>
        <w:spacing w:line="480" w:lineRule="auto"/>
        <w:rPr>
          <w:sz w:val="24"/>
          <w:szCs w:val="24"/>
        </w:rPr>
      </w:pPr>
    </w:p>
    <w:p w14:paraId="33CD273E" w14:textId="77777777" w:rsidR="005C5EE6" w:rsidRDefault="00E75B12" w:rsidP="004A51F3">
      <w:pPr>
        <w:widowControl w:val="0"/>
        <w:tabs>
          <w:tab w:val="left" w:pos="-720"/>
        </w:tabs>
        <w:suppressAutoHyphens/>
        <w:spacing w:line="480" w:lineRule="auto"/>
        <w:rPr>
          <w:sz w:val="24"/>
          <w:szCs w:val="24"/>
        </w:rPr>
      </w:pPr>
      <w:r>
        <w:rPr>
          <w:sz w:val="24"/>
          <w:szCs w:val="24"/>
        </w:rPr>
        <w:t>In a separate section, the Providers’ position paper argues (pages 9 and 10): “The Providers also contend that the DSH adjustment factors that the MAC manually entered in their cost reports are erroneous.  The factors do not correspond to the number of Medicaid eligible days that the MAC allowed the Providers to include in their cost reports after completing its audit.  Rather, the DSH adjustment factors that the MAC used appear to be calculated after deducting the days that the MAC identified for sampling</w:t>
      </w:r>
      <w:r w:rsidR="006B5671">
        <w:rPr>
          <w:sz w:val="24"/>
          <w:szCs w:val="24"/>
        </w:rPr>
        <w:t>–</w:t>
      </w:r>
      <w:r>
        <w:rPr>
          <w:sz w:val="24"/>
          <w:szCs w:val="24"/>
        </w:rPr>
        <w:t>including the days that were allowed and disallowed as a result of that sampling analysis.  The MAC has offered no explanation for these obvious errors.”</w:t>
      </w:r>
    </w:p>
    <w:p w14:paraId="606746AB" w14:textId="77777777" w:rsidR="00E75B12" w:rsidRDefault="00E75B12" w:rsidP="004A51F3">
      <w:pPr>
        <w:widowControl w:val="0"/>
        <w:tabs>
          <w:tab w:val="left" w:pos="-720"/>
        </w:tabs>
        <w:suppressAutoHyphens/>
        <w:spacing w:line="480" w:lineRule="auto"/>
        <w:rPr>
          <w:sz w:val="24"/>
          <w:szCs w:val="24"/>
        </w:rPr>
      </w:pPr>
    </w:p>
    <w:p w14:paraId="750F0375" w14:textId="77777777" w:rsidR="00E75B12" w:rsidRDefault="00E75B12" w:rsidP="004A51F3">
      <w:pPr>
        <w:widowControl w:val="0"/>
        <w:tabs>
          <w:tab w:val="left" w:pos="-720"/>
        </w:tabs>
        <w:suppressAutoHyphens/>
        <w:spacing w:line="480" w:lineRule="auto"/>
        <w:rPr>
          <w:sz w:val="24"/>
          <w:szCs w:val="24"/>
        </w:rPr>
      </w:pPr>
      <w:r>
        <w:rPr>
          <w:sz w:val="24"/>
          <w:szCs w:val="24"/>
        </w:rPr>
        <w:t xml:space="preserve">These two small sections are the entire argument presented for the issue of statistical sampling.  The rest of the Providers’ position paper deals with a background of how DSH is calculated and the Section 1115 waiver days.  The MAC contends that the Providers have filed an incomplete position paper.  The Providers did not submit any supporting documentation, nor did they even offer an explanation on where they disagree, other than in general terms.  The Providers complain that they were not afforded the opportunity to present 100% support for all the Medicaid eligible days.  The appeal is now over 9 years old.  Why are the Providers not </w:t>
      </w:r>
      <w:r>
        <w:rPr>
          <w:sz w:val="24"/>
          <w:szCs w:val="24"/>
        </w:rPr>
        <w:lastRenderedPageBreak/>
        <w:t>presenting the “100% support for all their Medicaid eligible days” at this point in time</w:t>
      </w:r>
      <w:r w:rsidR="00A0155F">
        <w:rPr>
          <w:sz w:val="24"/>
          <w:szCs w:val="24"/>
        </w:rPr>
        <w:t>?</w:t>
      </w:r>
      <w:r>
        <w:rPr>
          <w:sz w:val="24"/>
          <w:szCs w:val="24"/>
        </w:rPr>
        <w:t xml:space="preserve">  That is supposed to be the purpose of an appeal</w:t>
      </w:r>
      <w:r w:rsidR="00A0155F">
        <w:rPr>
          <w:sz w:val="24"/>
          <w:szCs w:val="24"/>
        </w:rPr>
        <w:t xml:space="preserve"> – i.e., to explain your position and provide support for that position</w:t>
      </w:r>
      <w:r>
        <w:rPr>
          <w:sz w:val="24"/>
          <w:szCs w:val="24"/>
        </w:rPr>
        <w:t>.</w:t>
      </w:r>
    </w:p>
    <w:p w14:paraId="5C048A93" w14:textId="77777777" w:rsidR="00E75B12" w:rsidRDefault="00E75B12" w:rsidP="004A51F3">
      <w:pPr>
        <w:widowControl w:val="0"/>
        <w:tabs>
          <w:tab w:val="left" w:pos="-720"/>
        </w:tabs>
        <w:suppressAutoHyphens/>
        <w:spacing w:line="480" w:lineRule="auto"/>
        <w:rPr>
          <w:sz w:val="24"/>
          <w:szCs w:val="24"/>
        </w:rPr>
      </w:pPr>
    </w:p>
    <w:p w14:paraId="354518F9" w14:textId="77777777" w:rsidR="00E75B12" w:rsidRDefault="00E75B12" w:rsidP="004A51F3">
      <w:pPr>
        <w:widowControl w:val="0"/>
        <w:tabs>
          <w:tab w:val="left" w:pos="-720"/>
        </w:tabs>
        <w:suppressAutoHyphens/>
        <w:spacing w:line="480" w:lineRule="auto"/>
        <w:rPr>
          <w:sz w:val="24"/>
          <w:szCs w:val="24"/>
        </w:rPr>
      </w:pPr>
      <w:r>
        <w:rPr>
          <w:sz w:val="24"/>
          <w:szCs w:val="24"/>
        </w:rPr>
        <w:t xml:space="preserve">The MAC is not able to </w:t>
      </w:r>
      <w:r w:rsidR="00A0155F">
        <w:rPr>
          <w:sz w:val="24"/>
          <w:szCs w:val="24"/>
        </w:rPr>
        <w:t xml:space="preserve">effectively </w:t>
      </w:r>
      <w:r>
        <w:rPr>
          <w:sz w:val="24"/>
          <w:szCs w:val="24"/>
        </w:rPr>
        <w:t>respond with any specifics on the issue with the passage of 9 years because the Providers have not specifically stated their objection to the adjustments.  If the Providers are trying to support the days that were disallowed, then they should have already submitted this support.  If the Providers seek to expand the original sample or propose a different method of extrapolation, this should have been explained in its position paper.</w:t>
      </w:r>
    </w:p>
    <w:p w14:paraId="36DBCDB1" w14:textId="77777777" w:rsidR="00E75B12" w:rsidRDefault="00E75B12" w:rsidP="004A51F3">
      <w:pPr>
        <w:widowControl w:val="0"/>
        <w:tabs>
          <w:tab w:val="left" w:pos="-720"/>
        </w:tabs>
        <w:suppressAutoHyphens/>
        <w:spacing w:line="480" w:lineRule="auto"/>
        <w:rPr>
          <w:sz w:val="24"/>
          <w:szCs w:val="24"/>
        </w:rPr>
      </w:pPr>
    </w:p>
    <w:p w14:paraId="296ED2D9" w14:textId="77777777" w:rsidR="00E75B12" w:rsidRDefault="0017734B" w:rsidP="004A51F3">
      <w:pPr>
        <w:widowControl w:val="0"/>
        <w:tabs>
          <w:tab w:val="left" w:pos="-720"/>
        </w:tabs>
        <w:suppressAutoHyphens/>
        <w:spacing w:line="480" w:lineRule="auto"/>
        <w:rPr>
          <w:sz w:val="24"/>
          <w:szCs w:val="24"/>
        </w:rPr>
      </w:pPr>
      <w:r>
        <w:rPr>
          <w:sz w:val="24"/>
          <w:szCs w:val="24"/>
        </w:rPr>
        <w:t>With respect to position papers, the regulation at 42 C.F.R. § 405.1853(b)(2) states</w:t>
      </w:r>
      <w:r w:rsidR="00A23000">
        <w:rPr>
          <w:sz w:val="24"/>
          <w:szCs w:val="24"/>
        </w:rPr>
        <w:t xml:space="preserve"> in part</w:t>
      </w:r>
      <w:r>
        <w:rPr>
          <w:sz w:val="24"/>
          <w:szCs w:val="24"/>
        </w:rPr>
        <w:t>: “Each position paper must set forth the relevant facts and arguments regarding the Board’s jurisdiction over each remaining m</w:t>
      </w:r>
      <w:r w:rsidR="00A23000">
        <w:rPr>
          <w:sz w:val="24"/>
          <w:szCs w:val="24"/>
        </w:rPr>
        <w:t>atter at issue in the appeal (as described in § 405.1840 of this subpart), and the merits of the provider’s Medicare payment claims for each remaining issue.”</w:t>
      </w:r>
    </w:p>
    <w:p w14:paraId="1B9B969E" w14:textId="77777777" w:rsidR="00A23000" w:rsidRDefault="00A23000" w:rsidP="004A51F3">
      <w:pPr>
        <w:widowControl w:val="0"/>
        <w:tabs>
          <w:tab w:val="left" w:pos="-720"/>
        </w:tabs>
        <w:suppressAutoHyphens/>
        <w:spacing w:line="480" w:lineRule="auto"/>
        <w:rPr>
          <w:sz w:val="24"/>
          <w:szCs w:val="24"/>
        </w:rPr>
      </w:pPr>
    </w:p>
    <w:p w14:paraId="3AEDDF53" w14:textId="77777777" w:rsidR="0017734B" w:rsidRDefault="0017734B" w:rsidP="004A51F3">
      <w:pPr>
        <w:widowControl w:val="0"/>
        <w:tabs>
          <w:tab w:val="left" w:pos="-720"/>
        </w:tabs>
        <w:suppressAutoHyphens/>
        <w:spacing w:line="480" w:lineRule="auto"/>
        <w:rPr>
          <w:sz w:val="24"/>
          <w:szCs w:val="24"/>
        </w:rPr>
      </w:pPr>
      <w:r>
        <w:rPr>
          <w:sz w:val="24"/>
          <w:szCs w:val="24"/>
        </w:rPr>
        <w:t>The MAC contends that the Providers have violated</w:t>
      </w:r>
      <w:r w:rsidR="00A23000">
        <w:rPr>
          <w:sz w:val="24"/>
          <w:szCs w:val="24"/>
        </w:rPr>
        <w:t xml:space="preserve"> the regulations and</w:t>
      </w:r>
      <w:r>
        <w:rPr>
          <w:sz w:val="24"/>
          <w:szCs w:val="24"/>
        </w:rPr>
        <w:t xml:space="preserve"> Board Rule </w:t>
      </w:r>
      <w:r w:rsidR="00B975BD">
        <w:rPr>
          <w:sz w:val="24"/>
          <w:szCs w:val="24"/>
        </w:rPr>
        <w:t>25</w:t>
      </w:r>
      <w:r>
        <w:rPr>
          <w:sz w:val="24"/>
          <w:szCs w:val="24"/>
        </w:rPr>
        <w:t xml:space="preserve"> because the Providers’ preliminary </w:t>
      </w:r>
      <w:r w:rsidR="001B09A6">
        <w:rPr>
          <w:sz w:val="24"/>
          <w:szCs w:val="24"/>
        </w:rPr>
        <w:t xml:space="preserve">and final </w:t>
      </w:r>
      <w:r>
        <w:rPr>
          <w:sz w:val="24"/>
          <w:szCs w:val="24"/>
        </w:rPr>
        <w:t>position paper</w:t>
      </w:r>
      <w:r w:rsidR="001B09A6">
        <w:rPr>
          <w:sz w:val="24"/>
          <w:szCs w:val="24"/>
        </w:rPr>
        <w:t>s</w:t>
      </w:r>
      <w:r>
        <w:rPr>
          <w:sz w:val="24"/>
          <w:szCs w:val="24"/>
        </w:rPr>
        <w:t xml:space="preserve"> did not set forth the relevant facts and arguments regarding the merits of the Providers’ claims and failed to include all supporting documentation or properly identify unavailable/ missing documentation, explain why they are missing, and explain the efforts to obtain them.</w:t>
      </w:r>
      <w:r w:rsidR="00A23000">
        <w:rPr>
          <w:sz w:val="24"/>
          <w:szCs w:val="24"/>
        </w:rPr>
        <w:t xml:space="preserve">  The MAC contends that this case should be dismissed.</w:t>
      </w:r>
    </w:p>
    <w:p w14:paraId="529D4845" w14:textId="77777777" w:rsidR="00D92894" w:rsidRDefault="00D92894" w:rsidP="004A51F3">
      <w:pPr>
        <w:widowControl w:val="0"/>
        <w:tabs>
          <w:tab w:val="left" w:pos="-720"/>
        </w:tabs>
        <w:suppressAutoHyphens/>
        <w:spacing w:line="480" w:lineRule="auto"/>
        <w:rPr>
          <w:sz w:val="24"/>
          <w:szCs w:val="24"/>
        </w:rPr>
      </w:pPr>
    </w:p>
    <w:p w14:paraId="76EA6617" w14:textId="77777777" w:rsidR="00F13F25" w:rsidRDefault="00F13F25">
      <w:pPr>
        <w:pStyle w:val="Heading1"/>
      </w:pPr>
      <w:r w:rsidRPr="0009263C">
        <w:rPr>
          <w:szCs w:val="24"/>
        </w:rPr>
        <w:lastRenderedPageBreak/>
        <w:t>C.</w:t>
      </w:r>
      <w:r>
        <w:tab/>
        <w:t>Conclusion</w:t>
      </w:r>
    </w:p>
    <w:p w14:paraId="195B7732" w14:textId="77777777" w:rsidR="008C3C7A" w:rsidRPr="004A51F3" w:rsidRDefault="00D92894" w:rsidP="004A51F3">
      <w:pPr>
        <w:tabs>
          <w:tab w:val="left" w:pos="-720"/>
        </w:tabs>
        <w:suppressAutoHyphens/>
        <w:spacing w:line="480" w:lineRule="auto"/>
        <w:rPr>
          <w:sz w:val="24"/>
          <w:szCs w:val="24"/>
        </w:rPr>
      </w:pPr>
      <w:r>
        <w:rPr>
          <w:sz w:val="24"/>
          <w:szCs w:val="24"/>
        </w:rPr>
        <w:t xml:space="preserve">The Providers are attempting to untimely add the issue of Section 1115 wavier days to the appeal.  The MAC </w:t>
      </w:r>
      <w:r w:rsidR="001B09A6">
        <w:rPr>
          <w:sz w:val="24"/>
          <w:szCs w:val="24"/>
        </w:rPr>
        <w:t>has</w:t>
      </w:r>
      <w:r>
        <w:rPr>
          <w:sz w:val="24"/>
          <w:szCs w:val="24"/>
        </w:rPr>
        <w:t xml:space="preserve"> challenge</w:t>
      </w:r>
      <w:r w:rsidR="001B09A6">
        <w:rPr>
          <w:sz w:val="24"/>
          <w:szCs w:val="24"/>
        </w:rPr>
        <w:t>d</w:t>
      </w:r>
      <w:r>
        <w:rPr>
          <w:sz w:val="24"/>
          <w:szCs w:val="24"/>
        </w:rPr>
        <w:t xml:space="preserve"> jurisdiction.  For the issue of statistical sampling, the Providers have not submitted any documentation or even argued the merits of its position.  The MAC </w:t>
      </w:r>
      <w:r w:rsidR="001B09A6">
        <w:rPr>
          <w:sz w:val="24"/>
          <w:szCs w:val="24"/>
        </w:rPr>
        <w:t>has</w:t>
      </w:r>
      <w:r>
        <w:rPr>
          <w:sz w:val="24"/>
          <w:szCs w:val="24"/>
        </w:rPr>
        <w:t xml:space="preserve"> challenge</w:t>
      </w:r>
      <w:r w:rsidR="001B09A6">
        <w:rPr>
          <w:sz w:val="24"/>
          <w:szCs w:val="24"/>
        </w:rPr>
        <w:t>d</w:t>
      </w:r>
      <w:r>
        <w:rPr>
          <w:sz w:val="24"/>
          <w:szCs w:val="24"/>
        </w:rPr>
        <w:t xml:space="preserve"> jurisdiction on this issue as well, as the Providers have failed to file a complete position pape</w:t>
      </w:r>
      <w:r w:rsidR="00A0155F">
        <w:rPr>
          <w:sz w:val="24"/>
          <w:szCs w:val="24"/>
        </w:rPr>
        <w:t>r in accordance with Board rules</w:t>
      </w:r>
      <w:r w:rsidR="000D69CA">
        <w:t>.</w:t>
      </w:r>
    </w:p>
    <w:p w14:paraId="64F86FEF" w14:textId="1011870B" w:rsidR="00F13F25" w:rsidRDefault="008C3C7A" w:rsidP="00AF0521">
      <w:pPr>
        <w:pStyle w:val="BodyTextIndent"/>
        <w:tabs>
          <w:tab w:val="clear" w:pos="1368"/>
          <w:tab w:val="left" w:pos="1440"/>
        </w:tabs>
        <w:ind w:left="1080" w:hanging="1080"/>
        <w:rPr>
          <w:szCs w:val="24"/>
        </w:rPr>
      </w:pPr>
      <w:r>
        <w:br w:type="page"/>
      </w:r>
      <w:r w:rsidR="000F5644">
        <w:lastRenderedPageBreak/>
        <w:t>I</w:t>
      </w:r>
      <w:r w:rsidR="00F13F25">
        <w:t>V</w:t>
      </w:r>
      <w:r w:rsidR="00F13F25" w:rsidRPr="001827E2">
        <w:rPr>
          <w:szCs w:val="24"/>
        </w:rPr>
        <w:t xml:space="preserve">.     </w:t>
      </w:r>
      <w:r w:rsidR="00DD183B">
        <w:rPr>
          <w:szCs w:val="24"/>
        </w:rPr>
        <w:t>LAW, REGULATIONS, AND PROGRAM INSTRUCTIONS</w:t>
      </w:r>
    </w:p>
    <w:p w14:paraId="5A9FA91B" w14:textId="1410A9D2" w:rsidR="00DD183B" w:rsidRDefault="00DD183B" w:rsidP="00AF0521">
      <w:pPr>
        <w:pStyle w:val="BodyTextIndent"/>
        <w:tabs>
          <w:tab w:val="clear" w:pos="1368"/>
          <w:tab w:val="left" w:pos="1440"/>
        </w:tabs>
        <w:ind w:left="1080" w:hanging="1080"/>
        <w:rPr>
          <w:szCs w:val="24"/>
        </w:rPr>
      </w:pPr>
    </w:p>
    <w:p w14:paraId="2D4382F2" w14:textId="3928BAB7" w:rsidR="00DD183B" w:rsidRPr="001827E2" w:rsidRDefault="00DD183B" w:rsidP="00AF0521">
      <w:pPr>
        <w:pStyle w:val="BodyTextIndent"/>
        <w:tabs>
          <w:tab w:val="clear" w:pos="1368"/>
          <w:tab w:val="left" w:pos="1440"/>
        </w:tabs>
        <w:ind w:left="1080" w:hanging="1080"/>
        <w:rPr>
          <w:szCs w:val="24"/>
        </w:rPr>
      </w:pPr>
      <w:r>
        <w:rPr>
          <w:szCs w:val="24"/>
        </w:rPr>
        <w:t>Law:</w:t>
      </w:r>
    </w:p>
    <w:p w14:paraId="3779CA74" w14:textId="52E89D79" w:rsidR="00966CEE" w:rsidRPr="00DD183B" w:rsidRDefault="00A23000" w:rsidP="00DD183B">
      <w:pPr>
        <w:pStyle w:val="Heading4"/>
        <w:ind w:left="0" w:firstLine="0"/>
        <w:rPr>
          <w:szCs w:val="24"/>
        </w:rPr>
      </w:pPr>
      <w:r>
        <w:rPr>
          <w:szCs w:val="24"/>
        </w:rPr>
        <w:t>42 CFR § 405.1837(a)(2)</w:t>
      </w:r>
      <w:r w:rsidR="00DD183B">
        <w:rPr>
          <w:szCs w:val="24"/>
        </w:rPr>
        <w:t>;</w:t>
      </w:r>
      <w:r>
        <w:rPr>
          <w:szCs w:val="24"/>
        </w:rPr>
        <w:t>42 C.F.R. § 405.1853(b)</w:t>
      </w:r>
      <w:r w:rsidR="00DD183B">
        <w:rPr>
          <w:szCs w:val="24"/>
        </w:rPr>
        <w:t>;</w:t>
      </w:r>
      <w:r w:rsidR="006838E4">
        <w:rPr>
          <w:rFonts w:eastAsia="Calibri"/>
          <w:szCs w:val="24"/>
        </w:rPr>
        <w:t>42 C.F.R. § 412.106</w:t>
      </w:r>
      <w:r w:rsidR="00DD183B">
        <w:rPr>
          <w:rFonts w:eastAsia="Calibri"/>
          <w:szCs w:val="24"/>
        </w:rPr>
        <w:t>;</w:t>
      </w:r>
      <w:r w:rsidR="006838E4">
        <w:rPr>
          <w:rFonts w:eastAsia="Calibri"/>
          <w:color w:val="000000"/>
          <w:szCs w:val="24"/>
        </w:rPr>
        <w:t>42 U.S.C. § 1395ww(d)(5)</w:t>
      </w:r>
    </w:p>
    <w:p w14:paraId="56588614" w14:textId="77777777" w:rsidR="006838E4" w:rsidRDefault="006838E4" w:rsidP="0009263C">
      <w:pPr>
        <w:rPr>
          <w:sz w:val="24"/>
          <w:szCs w:val="24"/>
        </w:rPr>
      </w:pPr>
    </w:p>
    <w:p w14:paraId="1D1C811D" w14:textId="77777777" w:rsidR="008D636E" w:rsidRPr="001827E2" w:rsidRDefault="008D636E" w:rsidP="0009263C">
      <w:pPr>
        <w:rPr>
          <w:sz w:val="24"/>
          <w:szCs w:val="24"/>
        </w:rPr>
      </w:pPr>
    </w:p>
    <w:p w14:paraId="6991F2D3" w14:textId="77777777" w:rsidR="0009263C" w:rsidRPr="001827E2" w:rsidRDefault="0009263C" w:rsidP="0009263C">
      <w:pPr>
        <w:rPr>
          <w:sz w:val="24"/>
          <w:szCs w:val="24"/>
        </w:rPr>
      </w:pPr>
    </w:p>
    <w:p w14:paraId="1F1D78D3" w14:textId="77777777" w:rsidR="0009263C" w:rsidRPr="001827E2" w:rsidRDefault="0009263C" w:rsidP="0009263C">
      <w:pPr>
        <w:rPr>
          <w:sz w:val="24"/>
          <w:szCs w:val="24"/>
        </w:rPr>
      </w:pPr>
    </w:p>
    <w:p w14:paraId="48B0E6E8" w14:textId="77777777" w:rsidR="0009263C" w:rsidRPr="001827E2" w:rsidRDefault="0009263C" w:rsidP="0009263C">
      <w:pPr>
        <w:rPr>
          <w:sz w:val="24"/>
          <w:szCs w:val="24"/>
        </w:rPr>
      </w:pPr>
      <w:r w:rsidRPr="001827E2">
        <w:rPr>
          <w:sz w:val="24"/>
          <w:szCs w:val="24"/>
        </w:rPr>
        <w:t xml:space="preserve"> V.     EXHIBITS</w:t>
      </w:r>
    </w:p>
    <w:p w14:paraId="45972B39" w14:textId="77777777" w:rsidR="00431557" w:rsidRDefault="00431557" w:rsidP="0009263C">
      <w:pPr>
        <w:rPr>
          <w:sz w:val="24"/>
          <w:szCs w:val="24"/>
        </w:rPr>
      </w:pPr>
    </w:p>
    <w:p w14:paraId="5361F47C" w14:textId="6E2B30C6" w:rsidR="006838E4" w:rsidRPr="0089781D" w:rsidRDefault="00431557" w:rsidP="006838E4">
      <w:pPr>
        <w:rPr>
          <w:sz w:val="24"/>
          <w:szCs w:val="24"/>
        </w:rPr>
      </w:pPr>
      <w:r w:rsidRPr="0089781D">
        <w:rPr>
          <w:sz w:val="24"/>
          <w:szCs w:val="24"/>
        </w:rPr>
        <w:t>C-1 – Schedule of Providers</w:t>
      </w:r>
      <w:r w:rsidR="00A0581F">
        <w:rPr>
          <w:sz w:val="24"/>
          <w:szCs w:val="24"/>
        </w:rPr>
        <w:t xml:space="preserve"> (OH CDMS Extract)</w:t>
      </w:r>
    </w:p>
    <w:p w14:paraId="6FED1D86" w14:textId="77777777" w:rsidR="0009263C" w:rsidRPr="00893602" w:rsidRDefault="0009263C" w:rsidP="00A23000">
      <w:pPr>
        <w:widowControl w:val="0"/>
        <w:rPr>
          <w:sz w:val="24"/>
        </w:rPr>
      </w:pPr>
    </w:p>
    <w:sectPr w:rsidR="0009263C" w:rsidRPr="00893602">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1D61C" w14:textId="77777777" w:rsidR="002E65E2" w:rsidRDefault="002E65E2">
      <w:r>
        <w:separator/>
      </w:r>
    </w:p>
  </w:endnote>
  <w:endnote w:type="continuationSeparator" w:id="0">
    <w:p w14:paraId="767ED34E" w14:textId="77777777" w:rsidR="002E65E2" w:rsidRDefault="002E6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Letter Gothic Bold">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CF213" w14:textId="77777777" w:rsidR="00C96403" w:rsidRDefault="00C96403">
    <w:pPr>
      <w:pStyle w:val="Footer"/>
      <w:framePr w:w="576" w:wrap="around" w:vAnchor="page" w:hAnchor="page" w:x="5545" w:y="15121"/>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06FA73C" w14:textId="77777777" w:rsidR="00C96403" w:rsidRDefault="00C964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5AC9E" w14:textId="77777777" w:rsidR="00C96403" w:rsidRDefault="00C96403">
    <w:pPr>
      <w:pStyle w:val="Footer"/>
      <w:framePr w:w="576" w:wrap="around" w:vAnchor="page" w:hAnchor="page" w:x="5545" w:y="1512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FD0AD5">
      <w:rPr>
        <w:rStyle w:val="PageNumber"/>
        <w:noProof/>
      </w:rPr>
      <w:t>7</w:t>
    </w:r>
    <w:r>
      <w:rPr>
        <w:rStyle w:val="PageNumber"/>
      </w:rPr>
      <w:fldChar w:fldCharType="end"/>
    </w:r>
  </w:p>
  <w:p w14:paraId="4F6C0197" w14:textId="77777777" w:rsidR="00C96403" w:rsidRDefault="00C96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6B60D" w14:textId="77777777" w:rsidR="002E65E2" w:rsidRDefault="002E65E2">
      <w:r>
        <w:separator/>
      </w:r>
    </w:p>
  </w:footnote>
  <w:footnote w:type="continuationSeparator" w:id="0">
    <w:p w14:paraId="18B0FA26" w14:textId="77777777" w:rsidR="002E65E2" w:rsidRDefault="002E6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54EE4" w14:textId="77777777" w:rsidR="00486B7C" w:rsidRDefault="00486B7C">
    <w:pPr>
      <w:pStyle w:val="Header"/>
    </w:pPr>
    <w:r>
      <w:tab/>
    </w:r>
    <w:r>
      <w:tab/>
      <w:t>PRRB Case #14-2720GC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5C75"/>
    <w:multiLevelType w:val="singleLevel"/>
    <w:tmpl w:val="04090015"/>
    <w:lvl w:ilvl="0">
      <w:start w:val="1"/>
      <w:numFmt w:val="upperLetter"/>
      <w:lvlText w:val="%1."/>
      <w:lvlJc w:val="left"/>
      <w:pPr>
        <w:tabs>
          <w:tab w:val="num" w:pos="360"/>
        </w:tabs>
        <w:ind w:left="360" w:hanging="360"/>
      </w:pPr>
      <w:rPr>
        <w:rFonts w:hint="default"/>
      </w:rPr>
    </w:lvl>
  </w:abstractNum>
  <w:abstractNum w:abstractNumId="1" w15:restartNumberingAfterBreak="0">
    <w:nsid w:val="04D05A2B"/>
    <w:multiLevelType w:val="hybridMultilevel"/>
    <w:tmpl w:val="646ABFC8"/>
    <w:lvl w:ilvl="0" w:tplc="6CCE79FE">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14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7B77ACD"/>
    <w:multiLevelType w:val="singleLevel"/>
    <w:tmpl w:val="BF8A9496"/>
    <w:lvl w:ilvl="0">
      <w:start w:val="1"/>
      <w:numFmt w:val="decimal"/>
      <w:lvlText w:val="%1."/>
      <w:lvlJc w:val="left"/>
      <w:pPr>
        <w:tabs>
          <w:tab w:val="num" w:pos="1800"/>
        </w:tabs>
        <w:ind w:left="1800" w:hanging="360"/>
      </w:pPr>
      <w:rPr>
        <w:rFonts w:hint="default"/>
      </w:rPr>
    </w:lvl>
  </w:abstractNum>
  <w:abstractNum w:abstractNumId="3" w15:restartNumberingAfterBreak="0">
    <w:nsid w:val="217837B8"/>
    <w:multiLevelType w:val="hybridMultilevel"/>
    <w:tmpl w:val="054694F4"/>
    <w:lvl w:ilvl="0" w:tplc="A6BE570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3B51A98"/>
    <w:multiLevelType w:val="singleLevel"/>
    <w:tmpl w:val="D4A8AC58"/>
    <w:lvl w:ilvl="0">
      <w:start w:val="5"/>
      <w:numFmt w:val="upperRoman"/>
      <w:lvlText w:val="%1."/>
      <w:lvlJc w:val="left"/>
      <w:pPr>
        <w:tabs>
          <w:tab w:val="num" w:pos="840"/>
        </w:tabs>
        <w:ind w:left="840" w:hanging="720"/>
      </w:pPr>
      <w:rPr>
        <w:rFonts w:hint="default"/>
      </w:rPr>
    </w:lvl>
  </w:abstractNum>
  <w:abstractNum w:abstractNumId="5" w15:restartNumberingAfterBreak="0">
    <w:nsid w:val="2C5F7D60"/>
    <w:multiLevelType w:val="singleLevel"/>
    <w:tmpl w:val="4C56EC16"/>
    <w:lvl w:ilvl="0">
      <w:start w:val="1"/>
      <w:numFmt w:val="lowerLetter"/>
      <w:lvlText w:val="(%1)"/>
      <w:lvlJc w:val="left"/>
      <w:pPr>
        <w:tabs>
          <w:tab w:val="num" w:pos="1440"/>
        </w:tabs>
        <w:ind w:left="1440" w:hanging="360"/>
      </w:pPr>
      <w:rPr>
        <w:rFonts w:hint="default"/>
      </w:rPr>
    </w:lvl>
  </w:abstractNum>
  <w:abstractNum w:abstractNumId="6" w15:restartNumberingAfterBreak="0">
    <w:nsid w:val="330A427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3785188F"/>
    <w:multiLevelType w:val="hybridMultilevel"/>
    <w:tmpl w:val="D850FD44"/>
    <w:lvl w:ilvl="0" w:tplc="3B942872">
      <w:start w:val="2"/>
      <w:numFmt w:val="upperRoman"/>
      <w:lvlText w:val="%1."/>
      <w:lvlJc w:val="left"/>
      <w:pPr>
        <w:tabs>
          <w:tab w:val="num" w:pos="1080"/>
        </w:tabs>
        <w:ind w:left="1080" w:hanging="720"/>
      </w:pPr>
      <w:rPr>
        <w:rFonts w:hint="default"/>
      </w:rPr>
    </w:lvl>
    <w:lvl w:ilvl="1" w:tplc="B0F065A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BB4DF7"/>
    <w:multiLevelType w:val="hybridMultilevel"/>
    <w:tmpl w:val="D324AF5C"/>
    <w:lvl w:ilvl="0" w:tplc="1D3AAC9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F20602F"/>
    <w:multiLevelType w:val="hybridMultilevel"/>
    <w:tmpl w:val="635675BE"/>
    <w:lvl w:ilvl="0" w:tplc="24FAE374">
      <w:start w:val="1"/>
      <w:numFmt w:val="decimal"/>
      <w:lvlText w:val="%1."/>
      <w:lvlJc w:val="left"/>
      <w:pPr>
        <w:tabs>
          <w:tab w:val="num" w:pos="2160"/>
        </w:tabs>
        <w:ind w:left="2160" w:hanging="708"/>
      </w:pPr>
      <w:rPr>
        <w:rFonts w:hint="default"/>
      </w:rPr>
    </w:lvl>
    <w:lvl w:ilvl="1" w:tplc="04090019" w:tentative="1">
      <w:start w:val="1"/>
      <w:numFmt w:val="lowerLetter"/>
      <w:lvlText w:val="%2."/>
      <w:lvlJc w:val="left"/>
      <w:pPr>
        <w:tabs>
          <w:tab w:val="num" w:pos="2532"/>
        </w:tabs>
        <w:ind w:left="2532" w:hanging="360"/>
      </w:pPr>
    </w:lvl>
    <w:lvl w:ilvl="2" w:tplc="0409001B" w:tentative="1">
      <w:start w:val="1"/>
      <w:numFmt w:val="lowerRoman"/>
      <w:lvlText w:val="%3."/>
      <w:lvlJc w:val="right"/>
      <w:pPr>
        <w:tabs>
          <w:tab w:val="num" w:pos="3252"/>
        </w:tabs>
        <w:ind w:left="3252" w:hanging="180"/>
      </w:pPr>
    </w:lvl>
    <w:lvl w:ilvl="3" w:tplc="0409000F" w:tentative="1">
      <w:start w:val="1"/>
      <w:numFmt w:val="decimal"/>
      <w:lvlText w:val="%4."/>
      <w:lvlJc w:val="left"/>
      <w:pPr>
        <w:tabs>
          <w:tab w:val="num" w:pos="3972"/>
        </w:tabs>
        <w:ind w:left="3972" w:hanging="360"/>
      </w:pPr>
    </w:lvl>
    <w:lvl w:ilvl="4" w:tplc="04090019" w:tentative="1">
      <w:start w:val="1"/>
      <w:numFmt w:val="lowerLetter"/>
      <w:lvlText w:val="%5."/>
      <w:lvlJc w:val="left"/>
      <w:pPr>
        <w:tabs>
          <w:tab w:val="num" w:pos="4692"/>
        </w:tabs>
        <w:ind w:left="4692" w:hanging="360"/>
      </w:pPr>
    </w:lvl>
    <w:lvl w:ilvl="5" w:tplc="0409001B" w:tentative="1">
      <w:start w:val="1"/>
      <w:numFmt w:val="lowerRoman"/>
      <w:lvlText w:val="%6."/>
      <w:lvlJc w:val="right"/>
      <w:pPr>
        <w:tabs>
          <w:tab w:val="num" w:pos="5412"/>
        </w:tabs>
        <w:ind w:left="5412" w:hanging="180"/>
      </w:pPr>
    </w:lvl>
    <w:lvl w:ilvl="6" w:tplc="0409000F" w:tentative="1">
      <w:start w:val="1"/>
      <w:numFmt w:val="decimal"/>
      <w:lvlText w:val="%7."/>
      <w:lvlJc w:val="left"/>
      <w:pPr>
        <w:tabs>
          <w:tab w:val="num" w:pos="6132"/>
        </w:tabs>
        <w:ind w:left="6132" w:hanging="360"/>
      </w:pPr>
    </w:lvl>
    <w:lvl w:ilvl="7" w:tplc="04090019" w:tentative="1">
      <w:start w:val="1"/>
      <w:numFmt w:val="lowerLetter"/>
      <w:lvlText w:val="%8."/>
      <w:lvlJc w:val="left"/>
      <w:pPr>
        <w:tabs>
          <w:tab w:val="num" w:pos="6852"/>
        </w:tabs>
        <w:ind w:left="6852" w:hanging="360"/>
      </w:pPr>
    </w:lvl>
    <w:lvl w:ilvl="8" w:tplc="0409001B" w:tentative="1">
      <w:start w:val="1"/>
      <w:numFmt w:val="lowerRoman"/>
      <w:lvlText w:val="%9."/>
      <w:lvlJc w:val="right"/>
      <w:pPr>
        <w:tabs>
          <w:tab w:val="num" w:pos="7572"/>
        </w:tabs>
        <w:ind w:left="7572" w:hanging="180"/>
      </w:pPr>
    </w:lvl>
  </w:abstractNum>
  <w:abstractNum w:abstractNumId="10" w15:restartNumberingAfterBreak="0">
    <w:nsid w:val="422D0777"/>
    <w:multiLevelType w:val="singleLevel"/>
    <w:tmpl w:val="38581B64"/>
    <w:lvl w:ilvl="0">
      <w:start w:val="1"/>
      <w:numFmt w:val="upperLetter"/>
      <w:lvlText w:val="%1."/>
      <w:lvlJc w:val="left"/>
      <w:pPr>
        <w:tabs>
          <w:tab w:val="num" w:pos="540"/>
        </w:tabs>
        <w:ind w:left="540" w:hanging="540"/>
      </w:pPr>
      <w:rPr>
        <w:rFonts w:hint="default"/>
      </w:rPr>
    </w:lvl>
  </w:abstractNum>
  <w:abstractNum w:abstractNumId="11" w15:restartNumberingAfterBreak="0">
    <w:nsid w:val="4338097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5AA114C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5F632AE9"/>
    <w:multiLevelType w:val="singleLevel"/>
    <w:tmpl w:val="B1721028"/>
    <w:lvl w:ilvl="0">
      <w:start w:val="1"/>
      <w:numFmt w:val="upperLetter"/>
      <w:lvlText w:val="%1."/>
      <w:lvlJc w:val="left"/>
      <w:pPr>
        <w:tabs>
          <w:tab w:val="num" w:pos="1800"/>
        </w:tabs>
        <w:ind w:left="1800" w:hanging="360"/>
      </w:pPr>
      <w:rPr>
        <w:rFonts w:hint="default"/>
      </w:rPr>
    </w:lvl>
  </w:abstractNum>
  <w:abstractNum w:abstractNumId="14" w15:restartNumberingAfterBreak="0">
    <w:nsid w:val="79FB573C"/>
    <w:multiLevelType w:val="singleLevel"/>
    <w:tmpl w:val="A36AB88E"/>
    <w:lvl w:ilvl="0">
      <w:start w:val="2"/>
      <w:numFmt w:val="bullet"/>
      <w:lvlText w:val=""/>
      <w:lvlJc w:val="left"/>
      <w:pPr>
        <w:tabs>
          <w:tab w:val="num" w:pos="1080"/>
        </w:tabs>
        <w:ind w:left="1080" w:hanging="360"/>
      </w:pPr>
      <w:rPr>
        <w:rFonts w:ascii="Symbol" w:hAnsi="Symbol" w:hint="default"/>
      </w:rPr>
    </w:lvl>
  </w:abstractNum>
  <w:num w:numId="1" w16cid:durableId="2135715220">
    <w:abstractNumId w:val="13"/>
  </w:num>
  <w:num w:numId="2" w16cid:durableId="673189764">
    <w:abstractNumId w:val="2"/>
  </w:num>
  <w:num w:numId="3" w16cid:durableId="2051605857">
    <w:abstractNumId w:val="0"/>
  </w:num>
  <w:num w:numId="4" w16cid:durableId="400951292">
    <w:abstractNumId w:val="5"/>
  </w:num>
  <w:num w:numId="5" w16cid:durableId="175970691">
    <w:abstractNumId w:val="4"/>
  </w:num>
  <w:num w:numId="6" w16cid:durableId="1849254146">
    <w:abstractNumId w:val="10"/>
  </w:num>
  <w:num w:numId="7" w16cid:durableId="1672025088">
    <w:abstractNumId w:val="11"/>
  </w:num>
  <w:num w:numId="8" w16cid:durableId="1881505540">
    <w:abstractNumId w:val="6"/>
  </w:num>
  <w:num w:numId="9" w16cid:durableId="340012447">
    <w:abstractNumId w:val="12"/>
  </w:num>
  <w:num w:numId="10" w16cid:durableId="1791852259">
    <w:abstractNumId w:val="8"/>
  </w:num>
  <w:num w:numId="11" w16cid:durableId="608974854">
    <w:abstractNumId w:val="3"/>
  </w:num>
  <w:num w:numId="12" w16cid:durableId="2131123821">
    <w:abstractNumId w:val="9"/>
  </w:num>
  <w:num w:numId="13" w16cid:durableId="1258322889">
    <w:abstractNumId w:val="14"/>
  </w:num>
  <w:num w:numId="14" w16cid:durableId="455678469">
    <w:abstractNumId w:val="7"/>
  </w:num>
  <w:num w:numId="15" w16cid:durableId="1564365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25"/>
    <w:rsid w:val="000029D5"/>
    <w:rsid w:val="00003972"/>
    <w:rsid w:val="000160E6"/>
    <w:rsid w:val="00023791"/>
    <w:rsid w:val="00025E89"/>
    <w:rsid w:val="00032663"/>
    <w:rsid w:val="000502AA"/>
    <w:rsid w:val="0005107F"/>
    <w:rsid w:val="00057A05"/>
    <w:rsid w:val="00064DFE"/>
    <w:rsid w:val="00081762"/>
    <w:rsid w:val="00091D30"/>
    <w:rsid w:val="0009263C"/>
    <w:rsid w:val="000B546C"/>
    <w:rsid w:val="000C3340"/>
    <w:rsid w:val="000C6861"/>
    <w:rsid w:val="000D3747"/>
    <w:rsid w:val="000D47B5"/>
    <w:rsid w:val="000D66AA"/>
    <w:rsid w:val="000D69CA"/>
    <w:rsid w:val="000D7035"/>
    <w:rsid w:val="000D7490"/>
    <w:rsid w:val="000E2635"/>
    <w:rsid w:val="000E7643"/>
    <w:rsid w:val="000F140F"/>
    <w:rsid w:val="000F19C4"/>
    <w:rsid w:val="000F5278"/>
    <w:rsid w:val="000F5644"/>
    <w:rsid w:val="00103CF8"/>
    <w:rsid w:val="00107C30"/>
    <w:rsid w:val="001132A5"/>
    <w:rsid w:val="00115BF8"/>
    <w:rsid w:val="00116714"/>
    <w:rsid w:val="00122124"/>
    <w:rsid w:val="00126211"/>
    <w:rsid w:val="001300BC"/>
    <w:rsid w:val="00133D6C"/>
    <w:rsid w:val="001635B3"/>
    <w:rsid w:val="0017054A"/>
    <w:rsid w:val="00170FC3"/>
    <w:rsid w:val="00173A34"/>
    <w:rsid w:val="00175379"/>
    <w:rsid w:val="00175E2E"/>
    <w:rsid w:val="0017734B"/>
    <w:rsid w:val="001827E2"/>
    <w:rsid w:val="00187D5E"/>
    <w:rsid w:val="001913B6"/>
    <w:rsid w:val="00191844"/>
    <w:rsid w:val="001B09A6"/>
    <w:rsid w:val="001B60B3"/>
    <w:rsid w:val="001B63D0"/>
    <w:rsid w:val="001C7554"/>
    <w:rsid w:val="001D1373"/>
    <w:rsid w:val="001E28FB"/>
    <w:rsid w:val="001E791A"/>
    <w:rsid w:val="001F5192"/>
    <w:rsid w:val="00201241"/>
    <w:rsid w:val="00206F72"/>
    <w:rsid w:val="00210E5E"/>
    <w:rsid w:val="00215705"/>
    <w:rsid w:val="0023075E"/>
    <w:rsid w:val="002317B2"/>
    <w:rsid w:val="00241209"/>
    <w:rsid w:val="00245EAF"/>
    <w:rsid w:val="0024650D"/>
    <w:rsid w:val="00251E1E"/>
    <w:rsid w:val="00256771"/>
    <w:rsid w:val="00260671"/>
    <w:rsid w:val="00265268"/>
    <w:rsid w:val="00290087"/>
    <w:rsid w:val="002909A6"/>
    <w:rsid w:val="002924CE"/>
    <w:rsid w:val="002A02B0"/>
    <w:rsid w:val="002A44A3"/>
    <w:rsid w:val="002A6D5B"/>
    <w:rsid w:val="002A7865"/>
    <w:rsid w:val="002A7A16"/>
    <w:rsid w:val="002C7BE9"/>
    <w:rsid w:val="002E65E2"/>
    <w:rsid w:val="002F302F"/>
    <w:rsid w:val="002F4AAD"/>
    <w:rsid w:val="00304F8E"/>
    <w:rsid w:val="00305EF1"/>
    <w:rsid w:val="00316716"/>
    <w:rsid w:val="00321B8C"/>
    <w:rsid w:val="003263F3"/>
    <w:rsid w:val="00326F08"/>
    <w:rsid w:val="00327F87"/>
    <w:rsid w:val="0033174D"/>
    <w:rsid w:val="00335F68"/>
    <w:rsid w:val="0034602C"/>
    <w:rsid w:val="00354732"/>
    <w:rsid w:val="003904E0"/>
    <w:rsid w:val="0039121A"/>
    <w:rsid w:val="00393043"/>
    <w:rsid w:val="0039385E"/>
    <w:rsid w:val="003B6030"/>
    <w:rsid w:val="003C064A"/>
    <w:rsid w:val="003C52EE"/>
    <w:rsid w:val="003D18E2"/>
    <w:rsid w:val="003F7437"/>
    <w:rsid w:val="003F7871"/>
    <w:rsid w:val="0040088E"/>
    <w:rsid w:val="00404325"/>
    <w:rsid w:val="00422301"/>
    <w:rsid w:val="004272B9"/>
    <w:rsid w:val="00431557"/>
    <w:rsid w:val="00431843"/>
    <w:rsid w:val="00432EBE"/>
    <w:rsid w:val="00435306"/>
    <w:rsid w:val="004367BA"/>
    <w:rsid w:val="00440101"/>
    <w:rsid w:val="0044287F"/>
    <w:rsid w:val="00445654"/>
    <w:rsid w:val="00462853"/>
    <w:rsid w:val="00464DCA"/>
    <w:rsid w:val="00466ED7"/>
    <w:rsid w:val="00472223"/>
    <w:rsid w:val="00480530"/>
    <w:rsid w:val="0048302D"/>
    <w:rsid w:val="00486B7C"/>
    <w:rsid w:val="00495377"/>
    <w:rsid w:val="004A51F3"/>
    <w:rsid w:val="004A6643"/>
    <w:rsid w:val="004B7014"/>
    <w:rsid w:val="004C61F3"/>
    <w:rsid w:val="004D1214"/>
    <w:rsid w:val="004D1521"/>
    <w:rsid w:val="004E7823"/>
    <w:rsid w:val="004F0C83"/>
    <w:rsid w:val="004F692C"/>
    <w:rsid w:val="005012F6"/>
    <w:rsid w:val="00525824"/>
    <w:rsid w:val="00526878"/>
    <w:rsid w:val="00531D41"/>
    <w:rsid w:val="0053226F"/>
    <w:rsid w:val="00540737"/>
    <w:rsid w:val="00547FBC"/>
    <w:rsid w:val="00553309"/>
    <w:rsid w:val="0058218C"/>
    <w:rsid w:val="00583C84"/>
    <w:rsid w:val="0058526C"/>
    <w:rsid w:val="00587D76"/>
    <w:rsid w:val="005B3232"/>
    <w:rsid w:val="005B70BB"/>
    <w:rsid w:val="005C580D"/>
    <w:rsid w:val="005C5EE6"/>
    <w:rsid w:val="005D1F2D"/>
    <w:rsid w:val="005E262A"/>
    <w:rsid w:val="005E4655"/>
    <w:rsid w:val="005F1BDF"/>
    <w:rsid w:val="006067BE"/>
    <w:rsid w:val="00610311"/>
    <w:rsid w:val="00633F84"/>
    <w:rsid w:val="00635BCE"/>
    <w:rsid w:val="00637341"/>
    <w:rsid w:val="006418E2"/>
    <w:rsid w:val="00643A31"/>
    <w:rsid w:val="006507DE"/>
    <w:rsid w:val="0066505D"/>
    <w:rsid w:val="00677B62"/>
    <w:rsid w:val="006838E4"/>
    <w:rsid w:val="0069715B"/>
    <w:rsid w:val="006A73C7"/>
    <w:rsid w:val="006B5671"/>
    <w:rsid w:val="006C226A"/>
    <w:rsid w:val="006C2B37"/>
    <w:rsid w:val="006C57C9"/>
    <w:rsid w:val="006D6812"/>
    <w:rsid w:val="006D6DE8"/>
    <w:rsid w:val="006E1A90"/>
    <w:rsid w:val="006E5081"/>
    <w:rsid w:val="006E5225"/>
    <w:rsid w:val="006F10D7"/>
    <w:rsid w:val="006F1449"/>
    <w:rsid w:val="006F2B40"/>
    <w:rsid w:val="006F732C"/>
    <w:rsid w:val="007011DD"/>
    <w:rsid w:val="007021F1"/>
    <w:rsid w:val="007067E0"/>
    <w:rsid w:val="007228BE"/>
    <w:rsid w:val="00730608"/>
    <w:rsid w:val="00734480"/>
    <w:rsid w:val="00754849"/>
    <w:rsid w:val="007567D1"/>
    <w:rsid w:val="00756D05"/>
    <w:rsid w:val="00757B1F"/>
    <w:rsid w:val="00767986"/>
    <w:rsid w:val="0077005D"/>
    <w:rsid w:val="00774DBB"/>
    <w:rsid w:val="00775756"/>
    <w:rsid w:val="007757DF"/>
    <w:rsid w:val="00780075"/>
    <w:rsid w:val="007862C3"/>
    <w:rsid w:val="00786BCC"/>
    <w:rsid w:val="00790A3E"/>
    <w:rsid w:val="007979F5"/>
    <w:rsid w:val="007A3DB0"/>
    <w:rsid w:val="007A77B9"/>
    <w:rsid w:val="007C3519"/>
    <w:rsid w:val="007E24D9"/>
    <w:rsid w:val="007E4700"/>
    <w:rsid w:val="0081139B"/>
    <w:rsid w:val="00814045"/>
    <w:rsid w:val="00826CAF"/>
    <w:rsid w:val="00832A6C"/>
    <w:rsid w:val="00840688"/>
    <w:rsid w:val="00845D82"/>
    <w:rsid w:val="00850494"/>
    <w:rsid w:val="00854041"/>
    <w:rsid w:val="00855A16"/>
    <w:rsid w:val="00880166"/>
    <w:rsid w:val="00887E7B"/>
    <w:rsid w:val="00893602"/>
    <w:rsid w:val="0089781D"/>
    <w:rsid w:val="008B0899"/>
    <w:rsid w:val="008C1E18"/>
    <w:rsid w:val="008C3C7A"/>
    <w:rsid w:val="008C4ED2"/>
    <w:rsid w:val="008C7504"/>
    <w:rsid w:val="008D636E"/>
    <w:rsid w:val="008D76F9"/>
    <w:rsid w:val="008E0DD3"/>
    <w:rsid w:val="008E2BA9"/>
    <w:rsid w:val="008E3240"/>
    <w:rsid w:val="008F1B1F"/>
    <w:rsid w:val="008F4B68"/>
    <w:rsid w:val="008F708F"/>
    <w:rsid w:val="00905840"/>
    <w:rsid w:val="0091191D"/>
    <w:rsid w:val="00913C08"/>
    <w:rsid w:val="009154AC"/>
    <w:rsid w:val="00930AF9"/>
    <w:rsid w:val="00931024"/>
    <w:rsid w:val="00955DB5"/>
    <w:rsid w:val="0096152A"/>
    <w:rsid w:val="00963D27"/>
    <w:rsid w:val="00966CEE"/>
    <w:rsid w:val="009B1E93"/>
    <w:rsid w:val="009C09C8"/>
    <w:rsid w:val="009E496C"/>
    <w:rsid w:val="009E5172"/>
    <w:rsid w:val="009E6DD1"/>
    <w:rsid w:val="00A0155F"/>
    <w:rsid w:val="00A01F90"/>
    <w:rsid w:val="00A0581F"/>
    <w:rsid w:val="00A226B5"/>
    <w:rsid w:val="00A23000"/>
    <w:rsid w:val="00A3253E"/>
    <w:rsid w:val="00A325A9"/>
    <w:rsid w:val="00A33E5A"/>
    <w:rsid w:val="00A536CC"/>
    <w:rsid w:val="00A60156"/>
    <w:rsid w:val="00A63D75"/>
    <w:rsid w:val="00A6721E"/>
    <w:rsid w:val="00A74F05"/>
    <w:rsid w:val="00A7558B"/>
    <w:rsid w:val="00A756C7"/>
    <w:rsid w:val="00A77BAD"/>
    <w:rsid w:val="00A91CE8"/>
    <w:rsid w:val="00A94AE1"/>
    <w:rsid w:val="00A97D6E"/>
    <w:rsid w:val="00AA4496"/>
    <w:rsid w:val="00AA4E72"/>
    <w:rsid w:val="00AA5438"/>
    <w:rsid w:val="00AE04FA"/>
    <w:rsid w:val="00AF0521"/>
    <w:rsid w:val="00AF76C6"/>
    <w:rsid w:val="00B00FA2"/>
    <w:rsid w:val="00B00FE2"/>
    <w:rsid w:val="00B06C8D"/>
    <w:rsid w:val="00B12F22"/>
    <w:rsid w:val="00B2440E"/>
    <w:rsid w:val="00B311B0"/>
    <w:rsid w:val="00B41EB4"/>
    <w:rsid w:val="00B4753F"/>
    <w:rsid w:val="00B72438"/>
    <w:rsid w:val="00B82297"/>
    <w:rsid w:val="00B85375"/>
    <w:rsid w:val="00B8775E"/>
    <w:rsid w:val="00B93FA2"/>
    <w:rsid w:val="00B95BD1"/>
    <w:rsid w:val="00B975BD"/>
    <w:rsid w:val="00BA1AE3"/>
    <w:rsid w:val="00BA2B29"/>
    <w:rsid w:val="00BA4618"/>
    <w:rsid w:val="00BB2BDF"/>
    <w:rsid w:val="00BB6F64"/>
    <w:rsid w:val="00BB765F"/>
    <w:rsid w:val="00BD08A9"/>
    <w:rsid w:val="00BD73E5"/>
    <w:rsid w:val="00BE17E0"/>
    <w:rsid w:val="00BF3233"/>
    <w:rsid w:val="00BF4478"/>
    <w:rsid w:val="00C00EC4"/>
    <w:rsid w:val="00C02A95"/>
    <w:rsid w:val="00C055B2"/>
    <w:rsid w:val="00C11D91"/>
    <w:rsid w:val="00C13D4A"/>
    <w:rsid w:val="00C16242"/>
    <w:rsid w:val="00C211A9"/>
    <w:rsid w:val="00C2639C"/>
    <w:rsid w:val="00C34EB2"/>
    <w:rsid w:val="00C44E92"/>
    <w:rsid w:val="00C52563"/>
    <w:rsid w:val="00C528B3"/>
    <w:rsid w:val="00C52F0B"/>
    <w:rsid w:val="00C62730"/>
    <w:rsid w:val="00C62D04"/>
    <w:rsid w:val="00C6328D"/>
    <w:rsid w:val="00C70406"/>
    <w:rsid w:val="00C72080"/>
    <w:rsid w:val="00C83476"/>
    <w:rsid w:val="00C96031"/>
    <w:rsid w:val="00C96403"/>
    <w:rsid w:val="00CC3061"/>
    <w:rsid w:val="00CC4F50"/>
    <w:rsid w:val="00CD31C3"/>
    <w:rsid w:val="00CD3E08"/>
    <w:rsid w:val="00CE09E3"/>
    <w:rsid w:val="00CF1C97"/>
    <w:rsid w:val="00CF3F0A"/>
    <w:rsid w:val="00D00569"/>
    <w:rsid w:val="00D05308"/>
    <w:rsid w:val="00D11386"/>
    <w:rsid w:val="00D21D47"/>
    <w:rsid w:val="00D268FC"/>
    <w:rsid w:val="00D61DCF"/>
    <w:rsid w:val="00D80448"/>
    <w:rsid w:val="00D8562C"/>
    <w:rsid w:val="00D86F6E"/>
    <w:rsid w:val="00D92894"/>
    <w:rsid w:val="00DA61CB"/>
    <w:rsid w:val="00DC35A8"/>
    <w:rsid w:val="00DD183B"/>
    <w:rsid w:val="00DD7A49"/>
    <w:rsid w:val="00DE4881"/>
    <w:rsid w:val="00DF3ED7"/>
    <w:rsid w:val="00E066EF"/>
    <w:rsid w:val="00E07062"/>
    <w:rsid w:val="00E14D1B"/>
    <w:rsid w:val="00E20040"/>
    <w:rsid w:val="00E34F10"/>
    <w:rsid w:val="00E517DC"/>
    <w:rsid w:val="00E620EE"/>
    <w:rsid w:val="00E722E9"/>
    <w:rsid w:val="00E72327"/>
    <w:rsid w:val="00E75B12"/>
    <w:rsid w:val="00E849AC"/>
    <w:rsid w:val="00E9477B"/>
    <w:rsid w:val="00EC013F"/>
    <w:rsid w:val="00ED2751"/>
    <w:rsid w:val="00EE2269"/>
    <w:rsid w:val="00EE6AF3"/>
    <w:rsid w:val="00EF0190"/>
    <w:rsid w:val="00EF3DE7"/>
    <w:rsid w:val="00EF767F"/>
    <w:rsid w:val="00F05B5A"/>
    <w:rsid w:val="00F11B3B"/>
    <w:rsid w:val="00F13F25"/>
    <w:rsid w:val="00F36C3C"/>
    <w:rsid w:val="00F37587"/>
    <w:rsid w:val="00F5053F"/>
    <w:rsid w:val="00F52374"/>
    <w:rsid w:val="00F61224"/>
    <w:rsid w:val="00F6682B"/>
    <w:rsid w:val="00F85DFF"/>
    <w:rsid w:val="00F91F60"/>
    <w:rsid w:val="00F9305D"/>
    <w:rsid w:val="00F93072"/>
    <w:rsid w:val="00F93725"/>
    <w:rsid w:val="00FA3F56"/>
    <w:rsid w:val="00FB0885"/>
    <w:rsid w:val="00FC1644"/>
    <w:rsid w:val="00FC1AED"/>
    <w:rsid w:val="00FC63AA"/>
    <w:rsid w:val="00FD027A"/>
    <w:rsid w:val="00FD0AD5"/>
    <w:rsid w:val="00FE0414"/>
    <w:rsid w:val="00FF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0DC41"/>
  <w15:chartTrackingRefBased/>
  <w15:docId w15:val="{CFC577A0-9D0D-47D9-9FDB-5EF986FE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tabs>
        <w:tab w:val="left" w:pos="-1440"/>
        <w:tab w:val="left" w:pos="-720"/>
        <w:tab w:val="left" w:pos="-36"/>
        <w:tab w:val="left" w:pos="540"/>
        <w:tab w:val="left" w:pos="1446"/>
        <w:tab w:val="left" w:pos="2130"/>
        <w:tab w:val="left" w:pos="2814"/>
        <w:tab w:val="left" w:pos="3612"/>
        <w:tab w:val="left" w:pos="4296"/>
        <w:tab w:val="left" w:pos="4980"/>
        <w:tab w:val="left" w:pos="5778"/>
        <w:tab w:val="left" w:pos="6462"/>
        <w:tab w:val="left" w:pos="7146"/>
        <w:tab w:val="left" w:pos="7944"/>
        <w:tab w:val="left" w:pos="8628"/>
        <w:tab w:val="left" w:pos="9312"/>
        <w:tab w:val="left" w:pos="10110"/>
      </w:tabs>
      <w:spacing w:line="480" w:lineRule="auto"/>
      <w:outlineLvl w:val="0"/>
    </w:pPr>
    <w:rPr>
      <w:sz w:val="24"/>
    </w:rPr>
  </w:style>
  <w:style w:type="paragraph" w:styleId="Heading2">
    <w:name w:val="heading 2"/>
    <w:basedOn w:val="Normal"/>
    <w:next w:val="Normal"/>
    <w:qFormat/>
    <w:pPr>
      <w:keepNext/>
      <w:tabs>
        <w:tab w:val="left" w:pos="-1440"/>
        <w:tab w:val="left" w:pos="-720"/>
        <w:tab w:val="left" w:pos="1368"/>
        <w:tab w:val="left" w:pos="2574"/>
        <w:tab w:val="left" w:pos="8148"/>
        <w:tab w:val="left" w:pos="8784"/>
      </w:tabs>
      <w:spacing w:line="480" w:lineRule="auto"/>
      <w:jc w:val="center"/>
      <w:outlineLvl w:val="1"/>
    </w:pPr>
    <w:rPr>
      <w:sz w:val="24"/>
    </w:rPr>
  </w:style>
  <w:style w:type="paragraph" w:styleId="Heading3">
    <w:name w:val="heading 3"/>
    <w:basedOn w:val="Normal"/>
    <w:next w:val="Normal"/>
    <w:qFormat/>
    <w:pPr>
      <w:keepNext/>
      <w:tabs>
        <w:tab w:val="left" w:pos="-1440"/>
        <w:tab w:val="left" w:pos="-720"/>
        <w:tab w:val="left" w:pos="1620"/>
        <w:tab w:val="left" w:pos="2154"/>
        <w:tab w:val="left" w:pos="2868"/>
        <w:tab w:val="left" w:pos="3576"/>
        <w:tab w:val="left" w:pos="4284"/>
        <w:tab w:val="left" w:pos="4998"/>
        <w:tab w:val="left" w:pos="5796"/>
        <w:tab w:val="left" w:pos="6504"/>
        <w:tab w:val="left" w:pos="7218"/>
        <w:tab w:val="right" w:pos="8568"/>
      </w:tabs>
      <w:spacing w:line="480" w:lineRule="auto"/>
      <w:ind w:left="1080"/>
      <w:outlineLvl w:val="2"/>
    </w:pPr>
    <w:rPr>
      <w:sz w:val="24"/>
    </w:rPr>
  </w:style>
  <w:style w:type="paragraph" w:styleId="Heading4">
    <w:name w:val="heading 4"/>
    <w:basedOn w:val="Normal"/>
    <w:next w:val="Normal"/>
    <w:qFormat/>
    <w:pPr>
      <w:keepNext/>
      <w:ind w:left="1440" w:hanging="720"/>
      <w:outlineLvl w:val="3"/>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rPr>
      <w:rFonts w:ascii="Univers" w:hAnsi="Univers"/>
    </w:rPr>
  </w:style>
  <w:style w:type="paragraph" w:styleId="BodyTextIndent">
    <w:name w:val="Body Text Indent"/>
    <w:basedOn w:val="Normal"/>
    <w:link w:val="BodyTextIndentChar"/>
    <w:semiHidden/>
    <w:pPr>
      <w:tabs>
        <w:tab w:val="left" w:pos="-1440"/>
        <w:tab w:val="left" w:pos="-720"/>
        <w:tab w:val="left" w:pos="1368"/>
        <w:tab w:val="left" w:pos="2574"/>
        <w:tab w:val="left" w:pos="8148"/>
        <w:tab w:val="right" w:pos="8568"/>
        <w:tab w:val="left" w:pos="8784"/>
      </w:tabs>
      <w:ind w:left="1368" w:hanging="1368"/>
    </w:pPr>
    <w:rPr>
      <w:sz w:val="24"/>
    </w:rPr>
  </w:style>
  <w:style w:type="paragraph" w:styleId="BlockText">
    <w:name w:val="Block Text"/>
    <w:basedOn w:val="Normal"/>
    <w:semiHidden/>
    <w:pPr>
      <w:tabs>
        <w:tab w:val="left" w:pos="-1440"/>
        <w:tab w:val="left" w:pos="-720"/>
        <w:tab w:val="left" w:pos="720"/>
        <w:tab w:val="left" w:pos="2160"/>
        <w:tab w:val="left" w:pos="2574"/>
        <w:tab w:val="left" w:pos="2880"/>
        <w:tab w:val="left" w:pos="3600"/>
        <w:tab w:val="left" w:pos="4320"/>
        <w:tab w:val="left" w:pos="5040"/>
        <w:tab w:val="left" w:pos="5760"/>
        <w:tab w:val="left" w:pos="6480"/>
        <w:tab w:val="left" w:pos="7200"/>
        <w:tab w:val="left" w:pos="7920"/>
        <w:tab w:val="left" w:pos="8148"/>
        <w:tab w:val="right" w:pos="8568"/>
        <w:tab w:val="left" w:pos="8784"/>
      </w:tabs>
      <w:ind w:left="2574" w:right="1440" w:hanging="1134"/>
    </w:pPr>
    <w:rPr>
      <w:sz w:val="24"/>
    </w:rPr>
  </w:style>
  <w:style w:type="paragraph" w:styleId="BodyText">
    <w:name w:val="Body Text"/>
    <w:basedOn w:val="Normal"/>
    <w:link w:val="BodyTextChar"/>
    <w:semiHidden/>
    <w:pPr>
      <w:tabs>
        <w:tab w:val="left" w:pos="-1440"/>
        <w:tab w:val="left" w:pos="-720"/>
        <w:tab w:val="left" w:pos="-36"/>
        <w:tab w:val="left" w:pos="648"/>
        <w:tab w:val="left" w:pos="1446"/>
        <w:tab w:val="left" w:pos="2130"/>
        <w:tab w:val="left" w:pos="2814"/>
        <w:tab w:val="left" w:pos="3612"/>
        <w:tab w:val="left" w:pos="4296"/>
        <w:tab w:val="left" w:pos="4980"/>
        <w:tab w:val="left" w:pos="5778"/>
        <w:tab w:val="left" w:pos="6462"/>
        <w:tab w:val="left" w:pos="7146"/>
        <w:tab w:val="left" w:pos="7944"/>
        <w:tab w:val="left" w:pos="8628"/>
        <w:tab w:val="left" w:pos="9312"/>
        <w:tab w:val="left" w:pos="10110"/>
      </w:tabs>
      <w:spacing w:line="480" w:lineRule="auto"/>
    </w:pPr>
    <w:rPr>
      <w:sz w:val="24"/>
    </w:rPr>
  </w:style>
  <w:style w:type="paragraph" w:styleId="BodyTextIndent3">
    <w:name w:val="Body Text Indent 3"/>
    <w:basedOn w:val="Normal"/>
    <w:semiHidden/>
    <w:pPr>
      <w:widowControl w:val="0"/>
      <w:tabs>
        <w:tab w:val="left" w:pos="-1440"/>
        <w:tab w:val="left" w:pos="-720"/>
        <w:tab w:val="left" w:pos="1446"/>
        <w:tab w:val="left" w:pos="2154"/>
        <w:tab w:val="left" w:pos="2868"/>
        <w:tab w:val="left" w:pos="3576"/>
        <w:tab w:val="left" w:pos="4284"/>
        <w:tab w:val="left" w:pos="4998"/>
        <w:tab w:val="left" w:pos="5796"/>
        <w:tab w:val="left" w:pos="6504"/>
        <w:tab w:val="left" w:pos="7218"/>
        <w:tab w:val="right" w:pos="8568"/>
      </w:tabs>
      <w:ind w:left="1440"/>
    </w:pPr>
    <w:rPr>
      <w:sz w:val="24"/>
    </w:rPr>
  </w:style>
  <w:style w:type="paragraph" w:styleId="BodyTextIndent2">
    <w:name w:val="Body Text Indent 2"/>
    <w:basedOn w:val="Normal"/>
    <w:semiHidden/>
    <w:pPr>
      <w:tabs>
        <w:tab w:val="left" w:pos="-1440"/>
        <w:tab w:val="left" w:pos="-720"/>
        <w:tab w:val="left" w:pos="1620"/>
        <w:tab w:val="left" w:pos="2030"/>
      </w:tabs>
      <w:suppressAutoHyphens/>
      <w:ind w:left="1080"/>
    </w:pPr>
    <w:rPr>
      <w:rFonts w:ascii="Arial" w:hAnsi="Arial"/>
      <w:sz w:val="24"/>
    </w:rPr>
  </w:style>
  <w:style w:type="paragraph" w:styleId="BodyText2">
    <w:name w:val="Body Text 2"/>
    <w:basedOn w:val="Normal"/>
    <w:semiHidden/>
    <w:pPr>
      <w:widowControl w:val="0"/>
      <w:tabs>
        <w:tab w:val="left" w:pos="-720"/>
        <w:tab w:val="left" w:pos="0"/>
        <w:tab w:val="left" w:pos="1080"/>
        <w:tab w:val="left" w:pos="2160"/>
        <w:tab w:val="left" w:pos="2880"/>
        <w:tab w:val="left" w:pos="3600"/>
        <w:tab w:val="left" w:pos="4320"/>
        <w:tab w:val="left" w:pos="5040"/>
        <w:tab w:val="left" w:pos="5760"/>
      </w:tabs>
      <w:suppressAutoHyphens/>
      <w:jc w:val="both"/>
    </w:pPr>
    <w:rPr>
      <w:rFonts w:ascii="Arial" w:hAnsi="Arial"/>
      <w:sz w:val="24"/>
    </w:rPr>
  </w:style>
  <w:style w:type="paragraph" w:styleId="BodyText3">
    <w:name w:val="Body Text 3"/>
    <w:basedOn w:val="Normal"/>
    <w:semiHidden/>
    <w:pPr>
      <w:tabs>
        <w:tab w:val="left" w:pos="-1440"/>
        <w:tab w:val="left" w:pos="-720"/>
        <w:tab w:val="left" w:pos="1446"/>
        <w:tab w:val="left" w:pos="2154"/>
        <w:tab w:val="left" w:pos="2868"/>
        <w:tab w:val="left" w:pos="3576"/>
        <w:tab w:val="left" w:pos="4284"/>
        <w:tab w:val="left" w:pos="4998"/>
        <w:tab w:val="left" w:pos="5796"/>
        <w:tab w:val="left" w:pos="6504"/>
        <w:tab w:val="left" w:pos="7218"/>
        <w:tab w:val="right" w:pos="8568"/>
      </w:tabs>
      <w:spacing w:line="480" w:lineRule="auto"/>
    </w:pPr>
    <w:rPr>
      <w:sz w:val="24"/>
    </w:rPr>
  </w:style>
  <w:style w:type="paragraph" w:styleId="EndnoteText">
    <w:name w:val="endnote text"/>
    <w:basedOn w:val="Normal"/>
    <w:semiHidden/>
    <w:pPr>
      <w:widowControl w:val="0"/>
    </w:pPr>
    <w:rPr>
      <w:rFonts w:ascii="Letter Gothic Bold" w:hAnsi="Letter Gothic Bold"/>
      <w:sz w:val="24"/>
    </w:rPr>
  </w:style>
  <w:style w:type="paragraph" w:styleId="FootnoteText">
    <w:name w:val="footnote text"/>
    <w:basedOn w:val="Normal"/>
    <w:link w:val="FootnoteTextChar"/>
    <w:semiHidden/>
    <w:rsid w:val="0053226F"/>
  </w:style>
  <w:style w:type="character" w:customStyle="1" w:styleId="FootnoteTextChar">
    <w:name w:val="Footnote Text Char"/>
    <w:basedOn w:val="DefaultParagraphFont"/>
    <w:link w:val="FootnoteText"/>
    <w:semiHidden/>
    <w:rsid w:val="0053226F"/>
  </w:style>
  <w:style w:type="character" w:styleId="FootnoteReference">
    <w:name w:val="footnote reference"/>
    <w:semiHidden/>
    <w:rsid w:val="0053226F"/>
    <w:rPr>
      <w:vertAlign w:val="superscript"/>
    </w:rPr>
  </w:style>
  <w:style w:type="character" w:customStyle="1" w:styleId="Heading1Char">
    <w:name w:val="Heading 1 Char"/>
    <w:link w:val="Heading1"/>
    <w:rsid w:val="008C3C7A"/>
    <w:rPr>
      <w:sz w:val="24"/>
    </w:rPr>
  </w:style>
  <w:style w:type="character" w:customStyle="1" w:styleId="BodyTextIndentChar">
    <w:name w:val="Body Text Indent Char"/>
    <w:link w:val="BodyTextIndent"/>
    <w:semiHidden/>
    <w:rsid w:val="008C3C7A"/>
    <w:rPr>
      <w:sz w:val="24"/>
    </w:rPr>
  </w:style>
  <w:style w:type="character" w:customStyle="1" w:styleId="BodyTextChar">
    <w:name w:val="Body Text Char"/>
    <w:link w:val="BodyText"/>
    <w:semiHidden/>
    <w:rsid w:val="008C3C7A"/>
    <w:rPr>
      <w:sz w:val="24"/>
    </w:rPr>
  </w:style>
  <w:style w:type="paragraph" w:styleId="Header">
    <w:name w:val="header"/>
    <w:basedOn w:val="Normal"/>
    <w:link w:val="HeaderChar"/>
    <w:uiPriority w:val="99"/>
    <w:unhideWhenUsed/>
    <w:rsid w:val="00486B7C"/>
    <w:pPr>
      <w:tabs>
        <w:tab w:val="center" w:pos="4680"/>
        <w:tab w:val="right" w:pos="9360"/>
      </w:tabs>
    </w:pPr>
  </w:style>
  <w:style w:type="character" w:customStyle="1" w:styleId="HeaderChar">
    <w:name w:val="Header Char"/>
    <w:basedOn w:val="DefaultParagraphFont"/>
    <w:link w:val="Header"/>
    <w:uiPriority w:val="99"/>
    <w:rsid w:val="00486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677985">
      <w:bodyDiv w:val="1"/>
      <w:marLeft w:val="0"/>
      <w:marRight w:val="0"/>
      <w:marTop w:val="0"/>
      <w:marBottom w:val="0"/>
      <w:divBdr>
        <w:top w:val="none" w:sz="0" w:space="0" w:color="auto"/>
        <w:left w:val="none" w:sz="0" w:space="0" w:color="auto"/>
        <w:bottom w:val="none" w:sz="0" w:space="0" w:color="auto"/>
        <w:right w:val="none" w:sz="0" w:space="0" w:color="auto"/>
      </w:divBdr>
    </w:div>
    <w:div w:id="155674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90A45-CFAC-4FD0-974B-D9795A1D7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06/16/97</vt:lpstr>
    </vt:vector>
  </TitlesOfParts>
  <Company>Blue Cross Blue Shield of Florida</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06/16/97</dc:title>
  <dc:subject/>
  <dc:creator>Blue Cross Blue Shield of Florida</dc:creator>
  <cp:keywords/>
  <cp:lastModifiedBy>Jonah Smith</cp:lastModifiedBy>
  <cp:revision>3</cp:revision>
  <cp:lastPrinted>2007-08-29T18:57:00Z</cp:lastPrinted>
  <dcterms:created xsi:type="dcterms:W3CDTF">2024-07-01T12:24:00Z</dcterms:created>
  <dcterms:modified xsi:type="dcterms:W3CDTF">2024-07-01T12:25:00Z</dcterms:modified>
</cp:coreProperties>
</file>