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951BF" w14:textId="248E798F" w:rsidR="0049619B" w:rsidRPr="000836C9" w:rsidRDefault="0049619B" w:rsidP="00295C01">
      <w:pPr>
        <w:pStyle w:val="BodyText"/>
        <w:ind w:left="1080" w:hanging="1080"/>
        <w:rPr>
          <w:rFonts w:ascii="Calibri" w:hAnsi="Calibri" w:cs="Calibri"/>
          <w:sz w:val="22"/>
          <w:szCs w:val="22"/>
        </w:rPr>
      </w:pPr>
      <w:r w:rsidRPr="000836C9">
        <w:rPr>
          <w:rFonts w:ascii="Calibri" w:hAnsi="Calibri" w:cs="Calibri"/>
          <w:sz w:val="22"/>
          <w:szCs w:val="22"/>
        </w:rPr>
        <w:tab/>
      </w:r>
      <w:r w:rsidR="00190388" w:rsidRPr="000836C9">
        <w:rPr>
          <w:rFonts w:ascii="Calibri" w:hAnsi="Calibri" w:cs="Calibri"/>
          <w:sz w:val="22"/>
          <w:szCs w:val="22"/>
        </w:rPr>
        <w:t xml:space="preserve">Whether the providers are entitled to additional </w:t>
      </w:r>
      <w:r w:rsidR="0086646B" w:rsidRPr="000836C9">
        <w:rPr>
          <w:rFonts w:ascii="Calibri" w:hAnsi="Calibri" w:cs="Calibri"/>
          <w:sz w:val="22"/>
          <w:szCs w:val="22"/>
        </w:rPr>
        <w:t>Supplemental</w:t>
      </w:r>
      <w:r w:rsidR="00190388" w:rsidRPr="000836C9">
        <w:rPr>
          <w:rFonts w:ascii="Calibri" w:hAnsi="Calibri" w:cs="Calibri"/>
          <w:sz w:val="22"/>
          <w:szCs w:val="22"/>
        </w:rPr>
        <w:t xml:space="preserve"> </w:t>
      </w:r>
      <w:r w:rsidR="0086646B" w:rsidRPr="000836C9">
        <w:rPr>
          <w:rFonts w:ascii="Calibri" w:hAnsi="Calibri" w:cs="Calibri"/>
          <w:sz w:val="22"/>
          <w:szCs w:val="22"/>
        </w:rPr>
        <w:t>S</w:t>
      </w:r>
      <w:r w:rsidR="00190388" w:rsidRPr="000836C9">
        <w:rPr>
          <w:rFonts w:ascii="Calibri" w:hAnsi="Calibri" w:cs="Calibri"/>
          <w:sz w:val="22"/>
          <w:szCs w:val="22"/>
        </w:rPr>
        <w:t xml:space="preserve">ecurity </w:t>
      </w:r>
      <w:r w:rsidR="0086646B" w:rsidRPr="000836C9">
        <w:rPr>
          <w:rFonts w:ascii="Calibri" w:hAnsi="Calibri" w:cs="Calibri"/>
          <w:sz w:val="22"/>
          <w:szCs w:val="22"/>
        </w:rPr>
        <w:t>I</w:t>
      </w:r>
      <w:r w:rsidR="00190388" w:rsidRPr="000836C9">
        <w:rPr>
          <w:rFonts w:ascii="Calibri" w:hAnsi="Calibri" w:cs="Calibri"/>
          <w:sz w:val="22"/>
          <w:szCs w:val="22"/>
        </w:rPr>
        <w:t xml:space="preserve">ncome (SSI) days in the calculation of their SSI </w:t>
      </w:r>
      <w:r w:rsidR="00362A36" w:rsidRPr="000836C9">
        <w:rPr>
          <w:rFonts w:ascii="Calibri" w:hAnsi="Calibri" w:cs="Calibri"/>
          <w:sz w:val="22"/>
          <w:szCs w:val="22"/>
        </w:rPr>
        <w:t>ratios (or Medicare fraction)</w:t>
      </w:r>
      <w:r w:rsidR="00190388" w:rsidRPr="000836C9">
        <w:rPr>
          <w:rFonts w:ascii="Calibri" w:hAnsi="Calibri" w:cs="Calibri"/>
          <w:sz w:val="22"/>
          <w:szCs w:val="22"/>
        </w:rPr>
        <w:t>?</w:t>
      </w:r>
    </w:p>
    <w:p w14:paraId="1C01F943" w14:textId="77777777" w:rsidR="005F164A" w:rsidRDefault="005F164A" w:rsidP="00DA7F83">
      <w:pPr>
        <w:pStyle w:val="BodyText"/>
        <w:spacing w:line="240" w:lineRule="auto"/>
        <w:ind w:left="1440" w:hanging="1440"/>
        <w:rPr>
          <w:rFonts w:ascii="Arial" w:hAnsi="Arial" w:cs="Arial"/>
          <w:sz w:val="22"/>
          <w:szCs w:val="22"/>
        </w:rPr>
      </w:pPr>
    </w:p>
    <w:p w14:paraId="12C42FF9" w14:textId="77777777" w:rsidR="00295C01" w:rsidRPr="005438E6" w:rsidRDefault="00295C01" w:rsidP="00DA7F83">
      <w:pPr>
        <w:pStyle w:val="BodyText"/>
        <w:spacing w:line="240" w:lineRule="auto"/>
        <w:ind w:left="1440" w:hanging="1440"/>
        <w:rPr>
          <w:rFonts w:ascii="Arial" w:hAnsi="Arial" w:cs="Arial"/>
          <w:sz w:val="22"/>
          <w:szCs w:val="22"/>
        </w:rPr>
      </w:pPr>
    </w:p>
    <w:p w14:paraId="0B711284" w14:textId="77777777" w:rsidR="005F164A" w:rsidRDefault="00B10513" w:rsidP="003F29DF">
      <w:pPr>
        <w:numPr>
          <w:ilvl w:val="0"/>
          <w:numId w:val="7"/>
        </w:numPr>
        <w:rPr>
          <w:rFonts w:ascii="Arial" w:hAnsi="Arial" w:cs="Arial"/>
          <w:b/>
          <w:sz w:val="22"/>
          <w:szCs w:val="22"/>
        </w:rPr>
      </w:pPr>
      <w:r w:rsidRPr="005438E6">
        <w:rPr>
          <w:rFonts w:ascii="Arial" w:hAnsi="Arial" w:cs="Arial"/>
          <w:b/>
          <w:sz w:val="22"/>
          <w:szCs w:val="22"/>
        </w:rPr>
        <w:t>Facts</w:t>
      </w:r>
    </w:p>
    <w:p w14:paraId="0BE00821" w14:textId="77777777" w:rsidR="00295C01" w:rsidRPr="005438E6" w:rsidRDefault="00295C01" w:rsidP="00295C01">
      <w:pPr>
        <w:rPr>
          <w:rFonts w:ascii="Arial" w:hAnsi="Arial" w:cs="Arial"/>
          <w:b/>
          <w:sz w:val="22"/>
          <w:szCs w:val="22"/>
        </w:rPr>
      </w:pPr>
    </w:p>
    <w:p w14:paraId="2CA499FB" w14:textId="77777777" w:rsidR="00EA3305" w:rsidRPr="005438E6" w:rsidRDefault="00EA3305" w:rsidP="008C3686">
      <w:pPr>
        <w:rPr>
          <w:rFonts w:ascii="Arial" w:hAnsi="Arial" w:cs="Arial"/>
          <w:b/>
          <w:sz w:val="22"/>
          <w:szCs w:val="22"/>
        </w:rPr>
      </w:pPr>
    </w:p>
    <w:p w14:paraId="41B3EA4E" w14:textId="77777777" w:rsidR="008F5177" w:rsidRPr="008F5177" w:rsidRDefault="008F5177" w:rsidP="008F5177">
      <w:pPr>
        <w:autoSpaceDE w:val="0"/>
        <w:autoSpaceDN w:val="0"/>
        <w:adjustRightInd w:val="0"/>
        <w:spacing w:after="240" w:line="480" w:lineRule="auto"/>
        <w:jc w:val="both"/>
        <w:rPr>
          <w:rFonts w:ascii="Calibri" w:hAnsi="Calibri" w:cs="Arial"/>
          <w:color w:val="000000"/>
          <w:sz w:val="22"/>
          <w:szCs w:val="22"/>
        </w:rPr>
      </w:pPr>
      <w:r w:rsidRPr="008F5177">
        <w:rPr>
          <w:rFonts w:ascii="Calibri" w:hAnsi="Calibri" w:cs="Arial"/>
          <w:sz w:val="22"/>
          <w:szCs w:val="22"/>
        </w:rPr>
        <w:t>By way of background, h</w:t>
      </w:r>
      <w:r w:rsidRPr="008F5177">
        <w:rPr>
          <w:rFonts w:ascii="Calibri" w:hAnsi="Calibri" w:cs="Arial"/>
          <w:color w:val="000000"/>
          <w:sz w:val="22"/>
          <w:szCs w:val="22"/>
        </w:rPr>
        <w:t xml:space="preserve">ospitals are paid for services to Medicare patients under </w:t>
      </w:r>
      <w:r w:rsidR="008306F2">
        <w:rPr>
          <w:rFonts w:ascii="Calibri" w:hAnsi="Calibri" w:cs="Arial"/>
          <w:color w:val="000000"/>
          <w:sz w:val="22"/>
          <w:szCs w:val="22"/>
        </w:rPr>
        <w:t>the</w:t>
      </w:r>
      <w:r w:rsidRPr="008F5177">
        <w:rPr>
          <w:rFonts w:ascii="Calibri" w:hAnsi="Calibri" w:cs="Arial"/>
          <w:color w:val="000000"/>
          <w:sz w:val="22"/>
          <w:szCs w:val="22"/>
        </w:rPr>
        <w:t xml:space="preserve"> </w:t>
      </w:r>
      <w:r w:rsidR="0075323E">
        <w:rPr>
          <w:rFonts w:ascii="Calibri" w:hAnsi="Calibri" w:cs="Arial"/>
          <w:color w:val="000000"/>
          <w:sz w:val="22"/>
          <w:szCs w:val="22"/>
        </w:rPr>
        <w:t xml:space="preserve">inpatient </w:t>
      </w:r>
      <w:r w:rsidRPr="008F5177">
        <w:rPr>
          <w:rFonts w:ascii="Calibri" w:hAnsi="Calibri" w:cs="Arial"/>
          <w:color w:val="000000"/>
          <w:sz w:val="22"/>
          <w:szCs w:val="22"/>
        </w:rPr>
        <w:t>prospective payment system (“</w:t>
      </w:r>
      <w:r w:rsidR="0075323E">
        <w:rPr>
          <w:rFonts w:ascii="Calibri" w:hAnsi="Calibri" w:cs="Arial"/>
          <w:color w:val="000000"/>
          <w:sz w:val="22"/>
          <w:szCs w:val="22"/>
        </w:rPr>
        <w:t>I</w:t>
      </w:r>
      <w:r w:rsidRPr="008F5177">
        <w:rPr>
          <w:rFonts w:ascii="Calibri" w:hAnsi="Calibri" w:cs="Arial"/>
          <w:color w:val="000000"/>
          <w:sz w:val="22"/>
          <w:szCs w:val="22"/>
        </w:rPr>
        <w:t xml:space="preserve">PPS”). Under </w:t>
      </w:r>
      <w:r w:rsidR="0075323E">
        <w:rPr>
          <w:rFonts w:ascii="Calibri" w:hAnsi="Calibri" w:cs="Arial"/>
          <w:color w:val="000000"/>
          <w:sz w:val="22"/>
          <w:szCs w:val="22"/>
        </w:rPr>
        <w:t>I</w:t>
      </w:r>
      <w:r w:rsidRPr="008F5177">
        <w:rPr>
          <w:rFonts w:ascii="Calibri" w:hAnsi="Calibri" w:cs="Arial"/>
          <w:color w:val="000000"/>
          <w:sz w:val="22"/>
          <w:szCs w:val="22"/>
        </w:rPr>
        <w:t xml:space="preserve">PPS, inpatient operating costs are reimbursed based on a prospectively determined formula taking into account national and regional operating costs. The </w:t>
      </w:r>
      <w:r w:rsidR="0075323E">
        <w:rPr>
          <w:rFonts w:ascii="Calibri" w:hAnsi="Calibri" w:cs="Arial"/>
          <w:color w:val="000000"/>
          <w:sz w:val="22"/>
          <w:szCs w:val="22"/>
        </w:rPr>
        <w:t>I</w:t>
      </w:r>
      <w:r w:rsidRPr="008F5177">
        <w:rPr>
          <w:rFonts w:ascii="Calibri" w:hAnsi="Calibri" w:cs="Arial"/>
          <w:color w:val="000000"/>
          <w:sz w:val="22"/>
          <w:szCs w:val="22"/>
        </w:rPr>
        <w:t xml:space="preserve">PPS legislation contains a number of provisions that adjust reimbursement based on hospital-specific factors. </w:t>
      </w:r>
      <w:r w:rsidRPr="008F5177">
        <w:rPr>
          <w:rFonts w:ascii="Calibri" w:hAnsi="Calibri" w:cs="Arial"/>
          <w:i/>
          <w:color w:val="000000"/>
          <w:sz w:val="22"/>
          <w:szCs w:val="22"/>
        </w:rPr>
        <w:t>See</w:t>
      </w:r>
      <w:r w:rsidRPr="008F5177">
        <w:rPr>
          <w:rFonts w:ascii="Calibri" w:hAnsi="Calibri" w:cs="Arial"/>
          <w:color w:val="000000"/>
          <w:sz w:val="22"/>
          <w:szCs w:val="22"/>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(“DPP”). </w:t>
      </w:r>
      <w:r w:rsidRPr="008F5177">
        <w:rPr>
          <w:rFonts w:ascii="Calibri" w:hAnsi="Calibri" w:cs="Arial"/>
          <w:i/>
          <w:color w:val="000000"/>
          <w:sz w:val="22"/>
          <w:szCs w:val="22"/>
        </w:rPr>
        <w:t>See</w:t>
      </w:r>
      <w:r w:rsidRPr="008F5177">
        <w:rPr>
          <w:rFonts w:ascii="Calibri" w:hAnsi="Calibri" w:cs="Arial"/>
          <w:color w:val="000000"/>
          <w:sz w:val="22"/>
          <w:szCs w:val="22"/>
        </w:rPr>
        <w:t xml:space="preserve"> 42 U.S.C. § 1395ww(d)(5)(F)(v).</w:t>
      </w:r>
    </w:p>
    <w:p w14:paraId="2E308E0D" w14:textId="77777777" w:rsidR="008F5177" w:rsidRPr="008F5177" w:rsidRDefault="008F5177" w:rsidP="008F5177">
      <w:pPr>
        <w:spacing w:line="480" w:lineRule="auto"/>
        <w:jc w:val="both"/>
        <w:rPr>
          <w:rFonts w:ascii="Calibri" w:hAnsi="Calibri" w:cs="Arial"/>
          <w:sz w:val="22"/>
          <w:szCs w:val="22"/>
        </w:rPr>
      </w:pPr>
    </w:p>
    <w:p w14:paraId="17C648CA" w14:textId="77777777" w:rsidR="008F5177" w:rsidRPr="008F5177" w:rsidRDefault="008F5177" w:rsidP="008F5177">
      <w:pPr>
        <w:spacing w:line="480" w:lineRule="auto"/>
        <w:jc w:val="both"/>
        <w:rPr>
          <w:rFonts w:ascii="Calibri" w:hAnsi="Calibri" w:cs="Arial"/>
          <w:sz w:val="22"/>
          <w:szCs w:val="22"/>
        </w:rPr>
      </w:pPr>
      <w:r w:rsidRPr="008F5177">
        <w:rPr>
          <w:rFonts w:ascii="Calibri" w:hAnsi="Calibri" w:cs="Arial"/>
          <w:sz w:val="22"/>
          <w:szCs w:val="22"/>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w:t>
      </w:r>
      <w:r w:rsidRPr="008F5177">
        <w:rPr>
          <w:rFonts w:ascii="Calibri" w:hAnsi="Calibri" w:cs="Arial"/>
          <w:sz w:val="22"/>
          <w:szCs w:val="22"/>
        </w:rPr>
        <w:lastRenderedPageBreak/>
        <w:t>Plan approved under Title XIX for such period but not entitled to benefits under Medicare Part A by the total number of the hospital's patient days for such period. A provider whose DSH percentage meets certain thresholds receives an adjustment which results in increased PPS payment for inpatient hospital services. 42 U.S.C. § 1395ww(d)(5)(F)(ii).</w:t>
      </w:r>
    </w:p>
    <w:p w14:paraId="2CE32C79" w14:textId="77777777" w:rsidR="008F5177" w:rsidRPr="008F5177" w:rsidRDefault="008F5177" w:rsidP="008F5177">
      <w:pPr>
        <w:spacing w:line="480" w:lineRule="auto"/>
        <w:jc w:val="both"/>
        <w:rPr>
          <w:rFonts w:ascii="Calibri" w:hAnsi="Calibri" w:cs="Arial"/>
          <w:sz w:val="22"/>
          <w:szCs w:val="22"/>
        </w:rPr>
      </w:pPr>
    </w:p>
    <w:p w14:paraId="222DF58D" w14:textId="77777777" w:rsidR="008F5177" w:rsidRPr="008F5177" w:rsidRDefault="008F5177" w:rsidP="008F5177">
      <w:pPr>
        <w:tabs>
          <w:tab w:val="left" w:pos="-1440"/>
          <w:tab w:val="left" w:pos="-720"/>
          <w:tab w:val="left" w:pos="0"/>
          <w:tab w:val="left" w:pos="720"/>
          <w:tab w:val="left" w:pos="1194"/>
        </w:tabs>
        <w:suppressAutoHyphens/>
        <w:spacing w:after="240" w:line="480" w:lineRule="auto"/>
        <w:jc w:val="both"/>
        <w:rPr>
          <w:rFonts w:ascii="Calibri" w:hAnsi="Calibri" w:cs="Arial"/>
          <w:sz w:val="22"/>
          <w:szCs w:val="22"/>
        </w:rPr>
      </w:pPr>
      <w:r w:rsidRPr="008F5177">
        <w:rPr>
          <w:rFonts w:ascii="Calibri" w:hAnsi="Calibri" w:cs="Arial"/>
          <w:sz w:val="22"/>
          <w:szCs w:val="22"/>
        </w:rPr>
        <w:t xml:space="preserve">The process that CMS used to compute the Medicare fraction involved electronically matching the health insurance claim number of Medicare beneficiaries from records in the national claims history database, which contained data on Medicare claims for the current and previous three years, to Title II numbers on the SSI file supplied yearly by the Social Security Administration (“SSA”). </w:t>
      </w:r>
      <w:r w:rsidRPr="008F5177">
        <w:rPr>
          <w:rFonts w:ascii="Calibri" w:hAnsi="Calibri" w:cs="Arial"/>
          <w:i/>
          <w:sz w:val="22"/>
          <w:szCs w:val="22"/>
        </w:rPr>
        <w:t>See</w:t>
      </w:r>
      <w:r w:rsidRPr="008F5177">
        <w:rPr>
          <w:rFonts w:ascii="Calibri" w:hAnsi="Calibri" w:cs="Arial"/>
          <w:sz w:val="22"/>
          <w:szCs w:val="22"/>
        </w:rPr>
        <w:t xml:space="preserve"> 75 Fed. Reg. 50,041, 50,276 (Aug. 16, 2010). CMS tabulated the number of Medicare entitled/SSI days in PPS units of the hospitals and also the total number of Medicare entitled days in inpatient prospective payment system (“IPPS”) units of the hospitals. </w:t>
      </w:r>
      <w:r w:rsidRPr="008F5177">
        <w:rPr>
          <w:rFonts w:ascii="Calibri" w:hAnsi="Calibri" w:cs="Arial"/>
          <w:i/>
          <w:sz w:val="22"/>
          <w:szCs w:val="22"/>
        </w:rPr>
        <w:t>Id.</w:t>
      </w:r>
      <w:r w:rsidRPr="008F5177">
        <w:rPr>
          <w:rFonts w:ascii="Calibri" w:hAnsi="Calibri" w:cs="Arial"/>
          <w:sz w:val="22"/>
          <w:szCs w:val="22"/>
        </w:rPr>
        <w:t xml:space="preserve"> It then sent the resulting percentage (SSI ratio or Medicare fraction) to each hospital’s MAC. </w:t>
      </w:r>
      <w:r w:rsidRPr="008F5177">
        <w:rPr>
          <w:rFonts w:ascii="Calibri" w:hAnsi="Calibri" w:cs="Arial"/>
          <w:i/>
          <w:sz w:val="22"/>
          <w:szCs w:val="22"/>
        </w:rPr>
        <w:t>Id.</w:t>
      </w:r>
      <w:r w:rsidRPr="008F5177">
        <w:rPr>
          <w:rFonts w:ascii="Calibri" w:hAnsi="Calibri" w:cs="Arial"/>
          <w:sz w:val="22"/>
          <w:szCs w:val="22"/>
        </w:rPr>
        <w:t xml:space="preserve"> The MACs used the SSI ratio to determine whether the hospitals should receive DSH payments and, if so, the amount of such payments. </w:t>
      </w:r>
      <w:r w:rsidRPr="008F5177">
        <w:rPr>
          <w:rFonts w:ascii="Calibri" w:hAnsi="Calibri" w:cs="Arial"/>
          <w:i/>
          <w:sz w:val="22"/>
          <w:szCs w:val="22"/>
        </w:rPr>
        <w:t>Id.</w:t>
      </w:r>
    </w:p>
    <w:p w14:paraId="5831E2A9" w14:textId="2EFFE802" w:rsidR="007737A1" w:rsidRDefault="008F5177" w:rsidP="008F5177">
      <w:pPr>
        <w:tabs>
          <w:tab w:val="left" w:pos="-1440"/>
          <w:tab w:val="left" w:pos="-720"/>
          <w:tab w:val="left" w:pos="0"/>
          <w:tab w:val="left" w:pos="720"/>
          <w:tab w:val="left" w:pos="1194"/>
        </w:tabs>
        <w:suppressAutoHyphens/>
        <w:spacing w:line="480" w:lineRule="auto"/>
        <w:rPr>
          <w:rFonts w:ascii="Calibri" w:hAnsi="Calibri" w:cs="Arial"/>
          <w:sz w:val="22"/>
          <w:szCs w:val="22"/>
        </w:rPr>
      </w:pPr>
      <w:r w:rsidRPr="008F5177">
        <w:rPr>
          <w:rFonts w:ascii="Calibri" w:hAnsi="Calibri" w:cs="Arial"/>
          <w:sz w:val="22"/>
          <w:szCs w:val="22"/>
        </w:rPr>
        <w:t xml:space="preserve">The providers contend that the SSI ratios supplied by CMS to the MACs for the cost reporting years at issue did not include all SSI days and therefore, were not correct. As a result, the </w:t>
      </w:r>
      <w:r w:rsidR="001B7791" w:rsidRPr="008F5177">
        <w:rPr>
          <w:rFonts w:ascii="Calibri" w:hAnsi="Calibri" w:cs="Arial"/>
          <w:sz w:val="22"/>
          <w:szCs w:val="22"/>
        </w:rPr>
        <w:t>providers</w:t>
      </w:r>
      <w:r w:rsidRPr="008F5177">
        <w:rPr>
          <w:rFonts w:ascii="Calibri" w:hAnsi="Calibri" w:cs="Arial"/>
          <w:sz w:val="22"/>
          <w:szCs w:val="22"/>
        </w:rPr>
        <w:t xml:space="preserve"> assert that the DSH payments were understated.</w:t>
      </w:r>
    </w:p>
    <w:p w14:paraId="776FA9E7" w14:textId="77777777" w:rsidR="00DC2E7C" w:rsidRDefault="00DC2E7C" w:rsidP="008F5177">
      <w:pPr>
        <w:tabs>
          <w:tab w:val="left" w:pos="-1440"/>
          <w:tab w:val="left" w:pos="-720"/>
          <w:tab w:val="left" w:pos="0"/>
          <w:tab w:val="left" w:pos="720"/>
          <w:tab w:val="left" w:pos="1194"/>
        </w:tabs>
        <w:suppressAutoHyphens/>
        <w:spacing w:line="480" w:lineRule="auto"/>
        <w:rPr>
          <w:rFonts w:ascii="Calibri" w:hAnsi="Calibri" w:cs="Arial"/>
          <w:sz w:val="22"/>
          <w:szCs w:val="22"/>
        </w:rPr>
      </w:pPr>
    </w:p>
    <w:p w14:paraId="0DD38CEE" w14:textId="77777777" w:rsidR="00DC2E7C" w:rsidRPr="005C5F6A" w:rsidRDefault="00DC2E7C" w:rsidP="00DC2E7C">
      <w:pPr>
        <w:spacing w:line="480" w:lineRule="auto"/>
        <w:rPr>
          <w:rFonts w:ascii="Calibri" w:hAnsi="Calibri" w:cs="Calibri"/>
          <w:sz w:val="24"/>
          <w:szCs w:val="24"/>
        </w:rPr>
      </w:pPr>
      <w:r w:rsidRPr="005C5F6A">
        <w:rPr>
          <w:rFonts w:ascii="Calibri" w:hAnsi="Calibri" w:cs="Calibri"/>
          <w:sz w:val="24"/>
          <w:szCs w:val="24"/>
        </w:rPr>
        <w:t>In Becerra v. Empire Health Foundation, for Valley Hospital Medical Center, 20-1312, (U.S. Supreme Court, June 24, 2022), the Court ruled that:</w:t>
      </w:r>
    </w:p>
    <w:p w14:paraId="07D24448" w14:textId="77777777" w:rsidR="00DC2E7C" w:rsidRPr="005C5F6A" w:rsidRDefault="00DC2E7C" w:rsidP="00DC2E7C">
      <w:pPr>
        <w:spacing w:line="480" w:lineRule="auto"/>
        <w:ind w:left="720"/>
        <w:rPr>
          <w:rFonts w:ascii="Calibri" w:hAnsi="Calibri" w:cs="Calibri"/>
          <w:sz w:val="24"/>
          <w:szCs w:val="24"/>
        </w:rPr>
      </w:pPr>
      <w:r w:rsidRPr="005C5F6A">
        <w:rPr>
          <w:rFonts w:ascii="Calibri" w:hAnsi="Calibri" w:cs="Calibri"/>
          <w:sz w:val="24"/>
          <w:szCs w:val="24"/>
        </w:rPr>
        <w:t>In calculating the Medicare fraction, individuals “entitled to [Medicare Part A] benefits” are all those qualifying for the program, regardless of whether they receive Medicare payments for part or all of a hospital stay. Pp. 7–19.</w:t>
      </w:r>
    </w:p>
    <w:p w14:paraId="28922C04" w14:textId="77777777" w:rsidR="00DC2E7C" w:rsidRPr="005C5F6A" w:rsidRDefault="00DC2E7C" w:rsidP="00DC2E7C">
      <w:pPr>
        <w:spacing w:line="480" w:lineRule="auto"/>
        <w:rPr>
          <w:rFonts w:ascii="Calibri" w:hAnsi="Calibri" w:cs="Calibri"/>
          <w:sz w:val="24"/>
          <w:szCs w:val="24"/>
        </w:rPr>
      </w:pPr>
    </w:p>
    <w:p w14:paraId="0AAF4F3A" w14:textId="77777777" w:rsidR="00DC2E7C" w:rsidRDefault="00DC2E7C" w:rsidP="00DC2E7C">
      <w:pPr>
        <w:tabs>
          <w:tab w:val="left" w:pos="-1440"/>
          <w:tab w:val="left" w:pos="-720"/>
          <w:tab w:val="left" w:pos="0"/>
          <w:tab w:val="left" w:pos="720"/>
          <w:tab w:val="left" w:pos="1194"/>
        </w:tabs>
        <w:suppressAutoHyphens/>
        <w:spacing w:line="480" w:lineRule="auto"/>
        <w:rPr>
          <w:rFonts w:ascii="Calibri" w:hAnsi="Calibri" w:cs="Calibri"/>
          <w:sz w:val="24"/>
          <w:szCs w:val="24"/>
        </w:rPr>
      </w:pPr>
      <w:r w:rsidRPr="005C5F6A">
        <w:rPr>
          <w:rFonts w:ascii="Calibri" w:hAnsi="Calibri" w:cs="Calibri"/>
          <w:sz w:val="24"/>
          <w:szCs w:val="24"/>
        </w:rPr>
        <w:t>HHS’s regulation is consistent with the text, context, and structure of the DSH provisions. The agency has interpreted the phrase “entitled to benefits” in those provisions to mean just what it means throughout the Medicare statute: qualifying for benefits. And counting everyone who qualifies for Medicare benefits in the Medicare fraction and no one who qualifies for those benefits in the Medicaid fraction accords with the statute’s attempt to capture, through two separate measurements, two different segments of a hospital’s low-income patient population.</w:t>
      </w:r>
    </w:p>
    <w:p w14:paraId="027F1946" w14:textId="77777777" w:rsidR="00DC2E7C" w:rsidRDefault="00DC2E7C" w:rsidP="00DC2E7C">
      <w:pPr>
        <w:tabs>
          <w:tab w:val="left" w:pos="-1440"/>
          <w:tab w:val="left" w:pos="-720"/>
          <w:tab w:val="left" w:pos="0"/>
          <w:tab w:val="left" w:pos="720"/>
          <w:tab w:val="left" w:pos="1194"/>
        </w:tabs>
        <w:suppressAutoHyphens/>
        <w:spacing w:line="480" w:lineRule="auto"/>
        <w:rPr>
          <w:rFonts w:ascii="Calibri" w:hAnsi="Calibri" w:cs="Calibri"/>
          <w:sz w:val="24"/>
          <w:szCs w:val="24"/>
        </w:rPr>
      </w:pPr>
    </w:p>
    <w:p w14:paraId="5690D8A1" w14:textId="2A745B63" w:rsidR="00DC2E7C" w:rsidRDefault="00DC2E7C" w:rsidP="00DC2E7C">
      <w:pPr>
        <w:tabs>
          <w:tab w:val="left" w:pos="-1440"/>
          <w:tab w:val="left" w:pos="-720"/>
          <w:tab w:val="left" w:pos="0"/>
          <w:tab w:val="left" w:pos="720"/>
          <w:tab w:val="left" w:pos="1194"/>
        </w:tabs>
        <w:suppressAutoHyphens/>
        <w:spacing w:line="480" w:lineRule="auto"/>
        <w:rPr>
          <w:rFonts w:ascii="Calibri" w:hAnsi="Calibri" w:cs="Calibri"/>
          <w:sz w:val="24"/>
          <w:szCs w:val="24"/>
        </w:rPr>
      </w:pPr>
      <w:r>
        <w:rPr>
          <w:rFonts w:ascii="Calibri" w:hAnsi="Calibri" w:cs="Calibri"/>
          <w:sz w:val="24"/>
          <w:szCs w:val="24"/>
        </w:rPr>
        <w:t>In Advocate Christ Medical Center, ET AL v. Becerra, the United States Court of Appeals for the District of Columbia Circuit, No</w:t>
      </w:r>
      <w:r w:rsidR="001B7791">
        <w:rPr>
          <w:rFonts w:ascii="Calibri" w:hAnsi="Calibri" w:cs="Calibri"/>
          <w:sz w:val="24"/>
          <w:szCs w:val="24"/>
        </w:rPr>
        <w:t>.</w:t>
      </w:r>
      <w:r>
        <w:rPr>
          <w:rFonts w:ascii="Calibri" w:hAnsi="Calibri" w:cs="Calibri"/>
          <w:sz w:val="24"/>
          <w:szCs w:val="24"/>
        </w:rPr>
        <w:t xml:space="preserve"> 22-5214, decided September 1, 2023, the court granted summary judgement to the Secretary </w:t>
      </w:r>
      <w:r w:rsidR="001B7791">
        <w:rPr>
          <w:rFonts w:ascii="Calibri" w:hAnsi="Calibri" w:cs="Calibri"/>
          <w:sz w:val="24"/>
          <w:szCs w:val="24"/>
        </w:rPr>
        <w:t>of</w:t>
      </w:r>
      <w:r>
        <w:rPr>
          <w:rFonts w:ascii="Calibri" w:hAnsi="Calibri" w:cs="Calibri"/>
          <w:sz w:val="24"/>
          <w:szCs w:val="24"/>
        </w:rPr>
        <w:t xml:space="preserve"> Health and Human Services (HHS). Briefly, the court concluded that HHS properly determined that only paid SSI days belong in the numerator of the SSI proxy (Medicare fraction). The court also found that Section 951 of the Medicare Prescription Drug Improvement and Modernization ACT (MMA) does not require HHS make available all patient days attributed to SSI enrollees and the specific codes used by SSA to track why those individuals did or did not qualify for the monthly cash payment.</w:t>
      </w:r>
      <w:r>
        <w:rPr>
          <w:rStyle w:val="FootnoteReference"/>
          <w:rFonts w:ascii="Calibri" w:hAnsi="Calibri" w:cs="Calibri"/>
          <w:sz w:val="24"/>
          <w:szCs w:val="24"/>
        </w:rPr>
        <w:footnoteReference w:id="2"/>
      </w:r>
      <w:r>
        <w:rPr>
          <w:rFonts w:ascii="Calibri" w:hAnsi="Calibri" w:cs="Calibri"/>
          <w:sz w:val="24"/>
          <w:szCs w:val="24"/>
        </w:rPr>
        <w:t xml:space="preserve">  </w:t>
      </w:r>
    </w:p>
    <w:p w14:paraId="0F1D9E8F" w14:textId="77777777" w:rsidR="0013726D" w:rsidRDefault="0013726D" w:rsidP="00DC2E7C">
      <w:pPr>
        <w:tabs>
          <w:tab w:val="left" w:pos="-1440"/>
          <w:tab w:val="left" w:pos="-720"/>
          <w:tab w:val="left" w:pos="0"/>
          <w:tab w:val="left" w:pos="720"/>
          <w:tab w:val="left" w:pos="1194"/>
        </w:tabs>
        <w:suppressAutoHyphens/>
        <w:spacing w:line="480" w:lineRule="auto"/>
        <w:rPr>
          <w:rFonts w:ascii="Arial" w:hAnsi="Arial" w:cs="Arial"/>
          <w:sz w:val="22"/>
          <w:szCs w:val="22"/>
        </w:rPr>
      </w:pPr>
    </w:p>
    <w:p w14:paraId="0CD14F54" w14:textId="77777777" w:rsidR="00FA1059" w:rsidRPr="005438E6" w:rsidRDefault="00FA1059" w:rsidP="0086646B">
      <w:pPr>
        <w:tabs>
          <w:tab w:val="left" w:pos="-1440"/>
          <w:tab w:val="left" w:pos="-720"/>
          <w:tab w:val="left" w:pos="0"/>
          <w:tab w:val="left" w:pos="720"/>
          <w:tab w:val="left" w:pos="1194"/>
        </w:tabs>
        <w:suppressAutoHyphens/>
        <w:spacing w:line="480" w:lineRule="auto"/>
        <w:rPr>
          <w:rFonts w:ascii="Arial" w:hAnsi="Arial" w:cs="Arial"/>
          <w:sz w:val="22"/>
          <w:szCs w:val="22"/>
        </w:rPr>
      </w:pPr>
    </w:p>
    <w:p w14:paraId="54DD0C80" w14:textId="77777777" w:rsidR="004E2536" w:rsidRPr="005438E6" w:rsidRDefault="00964B94" w:rsidP="00FA1059">
      <w:pPr>
        <w:pStyle w:val="Heading2"/>
        <w:numPr>
          <w:ilvl w:val="0"/>
          <w:numId w:val="7"/>
        </w:numPr>
        <w:spacing w:line="480" w:lineRule="auto"/>
        <w:jc w:val="left"/>
        <w:rPr>
          <w:rFonts w:ascii="Arial" w:hAnsi="Arial" w:cs="Arial"/>
          <w:b/>
          <w:sz w:val="22"/>
          <w:szCs w:val="22"/>
        </w:rPr>
      </w:pPr>
      <w:r w:rsidRPr="005438E6">
        <w:rPr>
          <w:rFonts w:ascii="Arial" w:hAnsi="Arial" w:cs="Arial"/>
          <w:b/>
          <w:sz w:val="22"/>
          <w:szCs w:val="22"/>
        </w:rPr>
        <w:t>A</w:t>
      </w:r>
      <w:r w:rsidR="00B10513" w:rsidRPr="005438E6">
        <w:rPr>
          <w:rFonts w:ascii="Arial" w:hAnsi="Arial" w:cs="Arial"/>
          <w:b/>
          <w:sz w:val="22"/>
          <w:szCs w:val="22"/>
        </w:rPr>
        <w:t>rgument</w:t>
      </w:r>
      <w:r w:rsidR="00EE1A88">
        <w:rPr>
          <w:rFonts w:ascii="Arial" w:hAnsi="Arial" w:cs="Arial"/>
          <w:b/>
          <w:sz w:val="22"/>
          <w:szCs w:val="22"/>
        </w:rPr>
        <w:t>s</w:t>
      </w:r>
    </w:p>
    <w:p w14:paraId="3F35732D" w14:textId="77777777" w:rsidR="00A73A31" w:rsidRDefault="00A73A31" w:rsidP="00A73A31">
      <w:pPr>
        <w:rPr>
          <w:rFonts w:ascii="Arial" w:hAnsi="Arial" w:cs="Arial"/>
          <w:sz w:val="22"/>
          <w:szCs w:val="22"/>
        </w:rPr>
      </w:pPr>
    </w:p>
    <w:p w14:paraId="009055AD" w14:textId="77777777" w:rsidR="0057617D" w:rsidRPr="005438E6" w:rsidRDefault="0057617D" w:rsidP="00A73A31">
      <w:pPr>
        <w:rPr>
          <w:rFonts w:ascii="Arial" w:hAnsi="Arial" w:cs="Arial"/>
          <w:sz w:val="22"/>
          <w:szCs w:val="22"/>
        </w:rPr>
      </w:pPr>
    </w:p>
    <w:p w14:paraId="24B9503E" w14:textId="3FA078F5" w:rsidR="00DF54A9" w:rsidRDefault="008B15C2" w:rsidP="00FA1059">
      <w:pPr>
        <w:spacing w:line="480" w:lineRule="auto"/>
        <w:rPr>
          <w:rFonts w:ascii="Calibri" w:hAnsi="Calibri" w:cs="Calibri"/>
          <w:sz w:val="22"/>
          <w:szCs w:val="22"/>
        </w:rPr>
      </w:pPr>
      <w:r w:rsidRPr="000836C9">
        <w:rPr>
          <w:rFonts w:ascii="Calibri" w:hAnsi="Calibri" w:cs="Calibri"/>
          <w:sz w:val="22"/>
          <w:szCs w:val="22"/>
        </w:rPr>
        <w:t xml:space="preserve">As previously noted, the MAC </w:t>
      </w:r>
      <w:r w:rsidR="00DC2E7C">
        <w:rPr>
          <w:rFonts w:ascii="Calibri" w:hAnsi="Calibri" w:cs="Calibri"/>
          <w:sz w:val="22"/>
          <w:szCs w:val="22"/>
        </w:rPr>
        <w:t xml:space="preserve">will </w:t>
      </w:r>
      <w:r w:rsidRPr="000836C9">
        <w:rPr>
          <w:rFonts w:ascii="Calibri" w:hAnsi="Calibri" w:cs="Calibri"/>
          <w:sz w:val="22"/>
          <w:szCs w:val="22"/>
        </w:rPr>
        <w:t xml:space="preserve">file a jurisdictional challenge because the </w:t>
      </w:r>
      <w:r w:rsidR="008306F2">
        <w:rPr>
          <w:rFonts w:ascii="Calibri" w:hAnsi="Calibri" w:cs="Calibri"/>
          <w:sz w:val="22"/>
          <w:szCs w:val="22"/>
        </w:rPr>
        <w:t>p</w:t>
      </w:r>
      <w:r w:rsidRPr="000836C9">
        <w:rPr>
          <w:rFonts w:ascii="Calibri" w:hAnsi="Calibri" w:cs="Calibri"/>
          <w:sz w:val="22"/>
          <w:szCs w:val="22"/>
        </w:rPr>
        <w:t xml:space="preserve">roviders included two issues in this CIRP group appeal. </w:t>
      </w:r>
      <w:r w:rsidR="00656EE3" w:rsidRPr="000836C9">
        <w:rPr>
          <w:rFonts w:ascii="Calibri" w:hAnsi="Calibri" w:cs="Calibri"/>
          <w:sz w:val="22"/>
          <w:szCs w:val="22"/>
        </w:rPr>
        <w:t>With t</w:t>
      </w:r>
      <w:r w:rsidRPr="000836C9">
        <w:rPr>
          <w:rFonts w:ascii="Calibri" w:hAnsi="Calibri" w:cs="Calibri"/>
          <w:sz w:val="22"/>
          <w:szCs w:val="22"/>
        </w:rPr>
        <w:t xml:space="preserve">he first issue (a technical issue), the </w:t>
      </w:r>
      <w:r w:rsidR="008306F2">
        <w:rPr>
          <w:rFonts w:ascii="Calibri" w:hAnsi="Calibri" w:cs="Calibri"/>
          <w:sz w:val="22"/>
          <w:szCs w:val="22"/>
        </w:rPr>
        <w:t>p</w:t>
      </w:r>
      <w:r w:rsidRPr="000836C9">
        <w:rPr>
          <w:rFonts w:ascii="Calibri" w:hAnsi="Calibri" w:cs="Calibri"/>
          <w:sz w:val="22"/>
          <w:szCs w:val="22"/>
        </w:rPr>
        <w:t xml:space="preserve">roviders questioned CMS’s </w:t>
      </w:r>
      <w:r w:rsidRPr="000836C9">
        <w:rPr>
          <w:rFonts w:ascii="Calibri" w:hAnsi="Calibri" w:cs="Calibri"/>
          <w:sz w:val="22"/>
          <w:szCs w:val="22"/>
        </w:rPr>
        <w:lastRenderedPageBreak/>
        <w:t xml:space="preserve">SSI data match process. </w:t>
      </w:r>
      <w:r w:rsidR="00656EE3" w:rsidRPr="000836C9">
        <w:rPr>
          <w:rFonts w:ascii="Calibri" w:hAnsi="Calibri" w:cs="Calibri"/>
          <w:sz w:val="22"/>
          <w:szCs w:val="22"/>
        </w:rPr>
        <w:t xml:space="preserve">With the second issue (a policy issue), the </w:t>
      </w:r>
      <w:r w:rsidR="000B6E68">
        <w:rPr>
          <w:rFonts w:ascii="Calibri" w:hAnsi="Calibri" w:cs="Calibri"/>
          <w:sz w:val="22"/>
          <w:szCs w:val="22"/>
        </w:rPr>
        <w:t>p</w:t>
      </w:r>
      <w:r w:rsidR="00656EE3" w:rsidRPr="000836C9">
        <w:rPr>
          <w:rFonts w:ascii="Calibri" w:hAnsi="Calibri" w:cs="Calibri"/>
          <w:sz w:val="22"/>
          <w:szCs w:val="22"/>
        </w:rPr>
        <w:t>roviders questioned CMS’s treatment of patient days related to Dual Eligible (Medicare/Medicaid) patients</w:t>
      </w:r>
      <w:r w:rsidR="00EA61B8" w:rsidRPr="000836C9">
        <w:rPr>
          <w:rFonts w:ascii="Calibri" w:hAnsi="Calibri" w:cs="Calibri"/>
          <w:sz w:val="22"/>
          <w:szCs w:val="22"/>
        </w:rPr>
        <w:t xml:space="preserve"> that did </w:t>
      </w:r>
      <w:r w:rsidR="0057617D" w:rsidRPr="000836C9">
        <w:rPr>
          <w:rFonts w:ascii="Calibri" w:hAnsi="Calibri" w:cs="Calibri"/>
          <w:sz w:val="22"/>
          <w:szCs w:val="22"/>
        </w:rPr>
        <w:t xml:space="preserve">not </w:t>
      </w:r>
      <w:r w:rsidR="00EA61B8" w:rsidRPr="000836C9">
        <w:rPr>
          <w:rFonts w:ascii="Calibri" w:hAnsi="Calibri" w:cs="Calibri"/>
          <w:sz w:val="22"/>
          <w:szCs w:val="22"/>
        </w:rPr>
        <w:t>receive SSI benefits while receiving services from the Provider</w:t>
      </w:r>
      <w:r w:rsidR="00656EE3" w:rsidRPr="000836C9">
        <w:rPr>
          <w:rFonts w:ascii="Calibri" w:hAnsi="Calibri" w:cs="Calibri"/>
          <w:sz w:val="22"/>
          <w:szCs w:val="22"/>
        </w:rPr>
        <w:t xml:space="preserve">. CIRP and Optional group appeals are limited one common issue, in accordance with 42 C.F.R. § </w:t>
      </w:r>
      <w:r w:rsidR="00DB4E83" w:rsidRPr="000836C9">
        <w:rPr>
          <w:rFonts w:ascii="Calibri" w:hAnsi="Calibri" w:cs="Calibri"/>
          <w:sz w:val="22"/>
          <w:szCs w:val="22"/>
        </w:rPr>
        <w:t>405.1837(b). Board Rule 8.1</w:t>
      </w:r>
      <w:r w:rsidR="006378C2" w:rsidRPr="000836C9">
        <w:rPr>
          <w:rFonts w:ascii="Calibri" w:hAnsi="Calibri" w:cs="Calibri"/>
          <w:sz w:val="22"/>
          <w:szCs w:val="22"/>
        </w:rPr>
        <w:t xml:space="preserve"> notes that some issues may have multiple components. To comply with the regulatory requirement to specifically identify the items in dispute, each contested component must be appealed as a separate issue and described as narrowly as possible. The MAC will address both issues, </w:t>
      </w:r>
      <w:r w:rsidR="009A331E" w:rsidRPr="000836C9">
        <w:rPr>
          <w:rFonts w:ascii="Calibri" w:hAnsi="Calibri" w:cs="Calibri"/>
          <w:sz w:val="22"/>
          <w:szCs w:val="22"/>
        </w:rPr>
        <w:t>notwithstanding</w:t>
      </w:r>
      <w:r w:rsidR="00F67BCC" w:rsidRPr="000836C9">
        <w:rPr>
          <w:rFonts w:ascii="Calibri" w:hAnsi="Calibri" w:cs="Calibri"/>
          <w:sz w:val="22"/>
          <w:szCs w:val="22"/>
        </w:rPr>
        <w:t xml:space="preserve"> the </w:t>
      </w:r>
      <w:r w:rsidR="006378C2" w:rsidRPr="000836C9">
        <w:rPr>
          <w:rFonts w:ascii="Calibri" w:hAnsi="Calibri" w:cs="Calibri"/>
          <w:sz w:val="22"/>
          <w:szCs w:val="22"/>
        </w:rPr>
        <w:t xml:space="preserve">Board </w:t>
      </w:r>
      <w:r w:rsidR="00F67BCC" w:rsidRPr="000836C9">
        <w:rPr>
          <w:rFonts w:ascii="Calibri" w:hAnsi="Calibri" w:cs="Calibri"/>
          <w:sz w:val="22"/>
          <w:szCs w:val="22"/>
        </w:rPr>
        <w:t>accepts jurisdiction over both issues.</w:t>
      </w:r>
    </w:p>
    <w:p w14:paraId="0F391A8A" w14:textId="77777777" w:rsidR="00DF54A9" w:rsidRDefault="00DF54A9" w:rsidP="00FA1059">
      <w:pPr>
        <w:spacing w:line="480" w:lineRule="auto"/>
        <w:rPr>
          <w:rFonts w:ascii="Calibri" w:hAnsi="Calibri" w:cs="Calibri"/>
          <w:sz w:val="22"/>
          <w:szCs w:val="22"/>
        </w:rPr>
      </w:pPr>
    </w:p>
    <w:p w14:paraId="3510D940" w14:textId="3F83C1E7" w:rsidR="00F67BCC" w:rsidRPr="000836C9" w:rsidRDefault="003C10C3" w:rsidP="00FA1059">
      <w:pPr>
        <w:spacing w:line="480" w:lineRule="auto"/>
        <w:rPr>
          <w:rFonts w:ascii="Calibri" w:hAnsi="Calibri" w:cs="Calibri"/>
          <w:sz w:val="22"/>
          <w:szCs w:val="22"/>
        </w:rPr>
      </w:pPr>
      <w:r w:rsidRPr="000836C9">
        <w:rPr>
          <w:rFonts w:ascii="Calibri" w:hAnsi="Calibri" w:cs="Calibri"/>
          <w:sz w:val="22"/>
          <w:szCs w:val="22"/>
        </w:rPr>
        <w:t>The MAC contend</w:t>
      </w:r>
      <w:r w:rsidR="00730FDE" w:rsidRPr="000836C9">
        <w:rPr>
          <w:rFonts w:ascii="Calibri" w:hAnsi="Calibri" w:cs="Calibri"/>
          <w:sz w:val="22"/>
          <w:szCs w:val="22"/>
        </w:rPr>
        <w:t>s</w:t>
      </w:r>
      <w:r w:rsidRPr="000836C9">
        <w:rPr>
          <w:rFonts w:ascii="Calibri" w:hAnsi="Calibri" w:cs="Calibri"/>
          <w:sz w:val="22"/>
          <w:szCs w:val="22"/>
        </w:rPr>
        <w:t xml:space="preserve"> that CMS properly included </w:t>
      </w:r>
      <w:r w:rsidR="00C13841" w:rsidRPr="000836C9">
        <w:rPr>
          <w:rFonts w:ascii="Calibri" w:hAnsi="Calibri" w:cs="Calibri"/>
          <w:sz w:val="22"/>
          <w:szCs w:val="22"/>
        </w:rPr>
        <w:t xml:space="preserve">all </w:t>
      </w:r>
      <w:r w:rsidRPr="000836C9">
        <w:rPr>
          <w:rFonts w:ascii="Calibri" w:hAnsi="Calibri" w:cs="Calibri"/>
          <w:sz w:val="22"/>
          <w:szCs w:val="22"/>
        </w:rPr>
        <w:t xml:space="preserve">SSI </w:t>
      </w:r>
      <w:r w:rsidR="00F4265B" w:rsidRPr="000836C9">
        <w:rPr>
          <w:rFonts w:ascii="Calibri" w:hAnsi="Calibri" w:cs="Calibri"/>
          <w:sz w:val="22"/>
          <w:szCs w:val="22"/>
        </w:rPr>
        <w:t>days</w:t>
      </w:r>
      <w:r w:rsidR="00C13841" w:rsidRPr="000836C9">
        <w:rPr>
          <w:rFonts w:ascii="Calibri" w:hAnsi="Calibri" w:cs="Calibri"/>
          <w:sz w:val="22"/>
          <w:szCs w:val="22"/>
        </w:rPr>
        <w:t xml:space="preserve"> that have been sufficiently documented</w:t>
      </w:r>
      <w:r w:rsidR="00F4265B" w:rsidRPr="000836C9">
        <w:rPr>
          <w:rFonts w:ascii="Calibri" w:hAnsi="Calibri" w:cs="Calibri"/>
          <w:sz w:val="22"/>
          <w:szCs w:val="22"/>
        </w:rPr>
        <w:t xml:space="preserve"> </w:t>
      </w:r>
      <w:r w:rsidRPr="000836C9">
        <w:rPr>
          <w:rFonts w:ascii="Calibri" w:hAnsi="Calibri" w:cs="Calibri"/>
          <w:sz w:val="22"/>
          <w:szCs w:val="22"/>
        </w:rPr>
        <w:t xml:space="preserve">for purposes of calculating the </w:t>
      </w:r>
      <w:r w:rsidR="000B6E68">
        <w:rPr>
          <w:rFonts w:ascii="Calibri" w:hAnsi="Calibri" w:cs="Calibri"/>
          <w:sz w:val="22"/>
          <w:szCs w:val="22"/>
        </w:rPr>
        <w:t>p</w:t>
      </w:r>
      <w:r w:rsidRPr="000836C9">
        <w:rPr>
          <w:rFonts w:ascii="Calibri" w:hAnsi="Calibri" w:cs="Calibri"/>
          <w:sz w:val="22"/>
          <w:szCs w:val="22"/>
        </w:rPr>
        <w:t>rovider</w:t>
      </w:r>
      <w:r w:rsidR="00622218" w:rsidRPr="000836C9">
        <w:rPr>
          <w:rFonts w:ascii="Calibri" w:hAnsi="Calibri" w:cs="Calibri"/>
          <w:sz w:val="22"/>
          <w:szCs w:val="22"/>
        </w:rPr>
        <w:t>s’ Medicare fractions.</w:t>
      </w:r>
      <w:r w:rsidR="006D4E73" w:rsidRPr="000836C9">
        <w:rPr>
          <w:rFonts w:ascii="Calibri" w:hAnsi="Calibri" w:cs="Calibri"/>
          <w:sz w:val="22"/>
          <w:szCs w:val="22"/>
        </w:rPr>
        <w:t xml:space="preserve"> </w:t>
      </w:r>
    </w:p>
    <w:p w14:paraId="626B493C" w14:textId="77777777" w:rsidR="00F67BCC" w:rsidRPr="000836C9" w:rsidRDefault="00F67BCC" w:rsidP="00FA1059">
      <w:pPr>
        <w:spacing w:line="480" w:lineRule="auto"/>
        <w:rPr>
          <w:rFonts w:ascii="Calibri" w:hAnsi="Calibri" w:cs="Calibri"/>
          <w:sz w:val="22"/>
          <w:szCs w:val="22"/>
        </w:rPr>
      </w:pPr>
    </w:p>
    <w:p w14:paraId="48E56C98" w14:textId="77777777" w:rsidR="00F67BCC" w:rsidRPr="000836C9" w:rsidRDefault="00F67BCC" w:rsidP="00FA1059">
      <w:pPr>
        <w:spacing w:line="480" w:lineRule="auto"/>
        <w:rPr>
          <w:rFonts w:ascii="Calibri" w:hAnsi="Calibri" w:cs="Calibri"/>
          <w:sz w:val="22"/>
          <w:szCs w:val="22"/>
          <w:u w:val="single"/>
        </w:rPr>
      </w:pPr>
      <w:r w:rsidRPr="000836C9">
        <w:rPr>
          <w:rFonts w:ascii="Calibri" w:hAnsi="Calibri" w:cs="Calibri"/>
          <w:sz w:val="22"/>
          <w:szCs w:val="22"/>
          <w:u w:val="single"/>
        </w:rPr>
        <w:t>SSI Data Match Issue</w:t>
      </w:r>
    </w:p>
    <w:p w14:paraId="2483EF58" w14:textId="77777777" w:rsidR="009431B9" w:rsidRPr="000836C9" w:rsidRDefault="009431B9" w:rsidP="00FA1059">
      <w:pPr>
        <w:spacing w:line="480" w:lineRule="auto"/>
        <w:rPr>
          <w:rFonts w:ascii="Calibri" w:hAnsi="Calibri" w:cs="Calibri"/>
          <w:sz w:val="22"/>
          <w:szCs w:val="22"/>
          <w:u w:val="single"/>
        </w:rPr>
      </w:pPr>
    </w:p>
    <w:p w14:paraId="7481BA90" w14:textId="59A8CAED" w:rsidR="009431B9" w:rsidRPr="000836C9" w:rsidRDefault="009431B9" w:rsidP="009431B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480" w:lineRule="auto"/>
        <w:jc w:val="both"/>
        <w:rPr>
          <w:rFonts w:ascii="Calibri" w:hAnsi="Calibri" w:cs="Calibri"/>
          <w:sz w:val="22"/>
          <w:szCs w:val="22"/>
        </w:rPr>
      </w:pPr>
      <w:r w:rsidRPr="000836C9">
        <w:rPr>
          <w:rFonts w:ascii="Calibri" w:hAnsi="Calibri" w:cs="Calibri"/>
          <w:sz w:val="22"/>
          <w:szCs w:val="22"/>
        </w:rPr>
        <w:t>The CMS regulations do not allow for re-computations based on later or “corrected data.”  Regulation 42 C.F.R. § 412.106 provides that CMS will calculate a hospital’s Medicare fraction based on its discharge data for a FFY or based on its discharge data for its cost-reporting period. There is no provision for doing re-computations based on later or corrected data, and thus one should not be implied. CMS’</w:t>
      </w:r>
      <w:r w:rsidR="00EB327F">
        <w:rPr>
          <w:rFonts w:ascii="Calibri" w:hAnsi="Calibri" w:cs="Calibri"/>
          <w:sz w:val="22"/>
          <w:szCs w:val="22"/>
        </w:rPr>
        <w:t>s</w:t>
      </w:r>
      <w:r w:rsidRPr="000836C9">
        <w:rPr>
          <w:rFonts w:ascii="Calibri" w:hAnsi="Calibri" w:cs="Calibri"/>
          <w:sz w:val="22"/>
          <w:szCs w:val="22"/>
        </w:rPr>
        <w:t xml:space="preserve"> establishment of the recalculation process specified in section 412.106 gives further support to the MAC’s position. The recalculation process exists not for the purpose of simply using updated or corrected data, but, rather, to calculate a hospital’s Medicare fraction for a different time period, </w:t>
      </w:r>
      <w:r w:rsidRPr="000836C9">
        <w:rPr>
          <w:rFonts w:ascii="Calibri" w:hAnsi="Calibri" w:cs="Calibri"/>
          <w:sz w:val="22"/>
          <w:szCs w:val="22"/>
          <w:u w:val="single"/>
        </w:rPr>
        <w:t>i.e.</w:t>
      </w:r>
      <w:r w:rsidRPr="000836C9">
        <w:rPr>
          <w:rFonts w:ascii="Calibri" w:hAnsi="Calibri" w:cs="Calibri"/>
          <w:sz w:val="22"/>
          <w:szCs w:val="22"/>
        </w:rPr>
        <w:t>, its cost reporting period rather than the fiscal year in which its cost reporting period began.</w:t>
      </w:r>
      <w:r w:rsidRPr="000836C9">
        <w:rPr>
          <w:rFonts w:ascii="Calibri" w:hAnsi="Calibri" w:cs="Calibri"/>
          <w:sz w:val="22"/>
          <w:szCs w:val="22"/>
          <w:vertAlign w:val="superscript"/>
        </w:rPr>
        <w:footnoteReference w:id="3"/>
      </w:r>
      <w:r w:rsidRPr="000836C9">
        <w:rPr>
          <w:rFonts w:ascii="Calibri" w:hAnsi="Calibri" w:cs="Calibri"/>
          <w:sz w:val="22"/>
          <w:szCs w:val="22"/>
        </w:rPr>
        <w:t xml:space="preserve"> Where a provider seeks to </w:t>
      </w:r>
      <w:r w:rsidRPr="000836C9">
        <w:rPr>
          <w:rFonts w:ascii="Calibri" w:hAnsi="Calibri" w:cs="Calibri"/>
          <w:sz w:val="22"/>
          <w:szCs w:val="22"/>
        </w:rPr>
        <w:lastRenderedPageBreak/>
        <w:t xml:space="preserve">have its Medicare fraction recalculated on the basis of its cost reporting period, instead of on the basis of the Federal Fiscal Year (FFY), CMS will do so, but the resulting percentage, </w:t>
      </w:r>
      <w:r w:rsidRPr="000836C9">
        <w:rPr>
          <w:rFonts w:ascii="Calibri" w:hAnsi="Calibri" w:cs="Calibri"/>
          <w:sz w:val="22"/>
          <w:szCs w:val="22"/>
          <w:u w:val="single"/>
        </w:rPr>
        <w:t>higher or lower</w:t>
      </w:r>
      <w:r w:rsidRPr="000836C9">
        <w:rPr>
          <w:rFonts w:ascii="Calibri" w:hAnsi="Calibri" w:cs="Calibri"/>
          <w:sz w:val="22"/>
          <w:szCs w:val="22"/>
        </w:rPr>
        <w:t xml:space="preserve">, is the provider’s Medicare fraction.  </w:t>
      </w:r>
      <w:r w:rsidRPr="000836C9">
        <w:rPr>
          <w:rFonts w:ascii="Calibri" w:hAnsi="Calibri" w:cs="Calibri"/>
          <w:sz w:val="22"/>
          <w:szCs w:val="22"/>
          <w:u w:val="single"/>
        </w:rPr>
        <w:t>See</w:t>
      </w:r>
      <w:r w:rsidRPr="000836C9">
        <w:rPr>
          <w:rFonts w:ascii="Calibri" w:hAnsi="Calibri" w:cs="Calibri"/>
          <w:sz w:val="22"/>
          <w:szCs w:val="22"/>
        </w:rPr>
        <w:t xml:space="preserve"> 42 C.F.R. § 412.106.  Responding to a comment, in which the submitter suggested that hospitals that request a recalculation be “held harmless” if the resulting percentage were lower, CMS stated:  </w:t>
      </w:r>
    </w:p>
    <w:p w14:paraId="2FDF1DF9" w14:textId="77777777" w:rsidR="009431B9" w:rsidRPr="000836C9" w:rsidRDefault="009431B9" w:rsidP="009431B9">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line="360" w:lineRule="auto"/>
        <w:ind w:left="1440" w:right="1440"/>
        <w:jc w:val="both"/>
        <w:rPr>
          <w:rFonts w:ascii="Calibri" w:hAnsi="Calibri" w:cs="Calibri"/>
          <w:sz w:val="22"/>
          <w:szCs w:val="22"/>
        </w:rPr>
      </w:pPr>
    </w:p>
    <w:p w14:paraId="1D8DB672" w14:textId="77777777" w:rsidR="009431B9" w:rsidRPr="000836C9" w:rsidRDefault="009431B9" w:rsidP="009431B9">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ind w:left="1440" w:right="1440"/>
        <w:jc w:val="both"/>
        <w:rPr>
          <w:rFonts w:ascii="Calibri" w:hAnsi="Calibri" w:cs="Calibri"/>
          <w:sz w:val="22"/>
          <w:szCs w:val="22"/>
        </w:rPr>
      </w:pPr>
      <w:r w:rsidRPr="000836C9">
        <w:rPr>
          <w:rFonts w:ascii="Calibri" w:hAnsi="Calibri" w:cs="Calibri"/>
          <w:sz w:val="22"/>
          <w:szCs w:val="22"/>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09CF6D9" w14:textId="77777777" w:rsidR="009431B9" w:rsidRPr="000836C9" w:rsidRDefault="009431B9" w:rsidP="009431B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jc w:val="both"/>
        <w:rPr>
          <w:rFonts w:ascii="Calibri" w:hAnsi="Calibri" w:cs="Calibri"/>
          <w:sz w:val="22"/>
          <w:szCs w:val="22"/>
        </w:rPr>
      </w:pPr>
      <w:r w:rsidRPr="000836C9">
        <w:rPr>
          <w:rFonts w:ascii="Calibri" w:hAnsi="Calibri" w:cs="Calibri"/>
          <w:sz w:val="22"/>
          <w:szCs w:val="22"/>
        </w:rPr>
        <w:t xml:space="preserve">60 Fed. Reg. at 45812. </w:t>
      </w:r>
    </w:p>
    <w:p w14:paraId="00B6CEF5" w14:textId="77777777" w:rsidR="009431B9" w:rsidRPr="000836C9" w:rsidRDefault="009431B9" w:rsidP="009431B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jc w:val="both"/>
        <w:rPr>
          <w:rFonts w:ascii="Calibri" w:hAnsi="Calibri" w:cs="Calibri"/>
          <w:sz w:val="22"/>
          <w:szCs w:val="22"/>
        </w:rPr>
      </w:pPr>
    </w:p>
    <w:p w14:paraId="002E449B" w14:textId="77777777" w:rsidR="009431B9" w:rsidRPr="000836C9" w:rsidRDefault="009431B9" w:rsidP="009431B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480" w:lineRule="auto"/>
        <w:jc w:val="both"/>
        <w:rPr>
          <w:rFonts w:ascii="Calibri" w:hAnsi="Calibri" w:cs="Calibri"/>
          <w:sz w:val="22"/>
          <w:szCs w:val="22"/>
        </w:rPr>
      </w:pPr>
      <w:r w:rsidRPr="000836C9">
        <w:rPr>
          <w:rFonts w:ascii="Calibri" w:hAnsi="Calibri" w:cs="Calibri"/>
          <w:sz w:val="22"/>
          <w:szCs w:val="22"/>
        </w:rPr>
        <w:t xml:space="preserve">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so as to obtain a different Medicare fraction through the use of later data.  Similarly, a provider that has a cost reporting period that is the same as the FFY cannot obtain a different Medicare fraction through the use of later data.  This reading of the regulations is consistent with CMS’s stated goal to derive </w:t>
      </w:r>
      <w:r w:rsidRPr="000836C9">
        <w:rPr>
          <w:rFonts w:ascii="Calibri" w:hAnsi="Calibri" w:cs="Calibri"/>
          <w:sz w:val="22"/>
          <w:szCs w:val="22"/>
          <w:u w:val="single"/>
        </w:rPr>
        <w:t>approximate</w:t>
      </w:r>
      <w:r w:rsidRPr="000836C9">
        <w:rPr>
          <w:rFonts w:ascii="Calibri" w:hAnsi="Calibri" w:cs="Calibri"/>
          <w:sz w:val="22"/>
          <w:szCs w:val="22"/>
        </w:rPr>
        <w:t xml:space="preserve">, not perfect, disproportionate patient </w:t>
      </w:r>
      <w:r w:rsidRPr="000836C9">
        <w:rPr>
          <w:rFonts w:ascii="Calibri" w:hAnsi="Calibri" w:cs="Calibri"/>
          <w:sz w:val="22"/>
          <w:szCs w:val="22"/>
        </w:rPr>
        <w:lastRenderedPageBreak/>
        <w:t>percentages.</w:t>
      </w:r>
      <w:r w:rsidRPr="000836C9">
        <w:rPr>
          <w:rFonts w:ascii="Calibri" w:hAnsi="Calibri" w:cs="Calibri"/>
          <w:sz w:val="22"/>
          <w:szCs w:val="22"/>
          <w:vertAlign w:val="superscript"/>
        </w:rPr>
        <w:footnoteReference w:id="4"/>
      </w:r>
      <w:r w:rsidRPr="000836C9">
        <w:rPr>
          <w:rFonts w:ascii="Calibri" w:hAnsi="Calibri" w:cs="Calibri"/>
          <w:sz w:val="22"/>
          <w:szCs w:val="22"/>
        </w:rPr>
        <w:t xml:space="preserve"> In sum, regulation 412.106 should be read as not allowing re-computations based on later data. </w:t>
      </w:r>
    </w:p>
    <w:p w14:paraId="0A0A993F" w14:textId="77777777" w:rsidR="009431B9" w:rsidRPr="000836C9" w:rsidRDefault="009431B9" w:rsidP="009431B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rFonts w:ascii="Calibri" w:hAnsi="Calibri" w:cs="Calibri"/>
          <w:sz w:val="22"/>
          <w:szCs w:val="22"/>
        </w:rPr>
      </w:pPr>
    </w:p>
    <w:p w14:paraId="53A5C7EF" w14:textId="77777777" w:rsidR="009431B9" w:rsidRPr="000836C9" w:rsidRDefault="009431B9" w:rsidP="009431B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rFonts w:ascii="Calibri" w:hAnsi="Calibri" w:cs="Calibri"/>
          <w:sz w:val="22"/>
          <w:szCs w:val="22"/>
        </w:rPr>
      </w:pPr>
      <w:r w:rsidRPr="000836C9">
        <w:rPr>
          <w:rFonts w:ascii="Calibri" w:hAnsi="Calibri" w:cs="Calibri"/>
          <w:sz w:val="22"/>
          <w:szCs w:val="22"/>
        </w:rPr>
        <w:t xml:space="preserve">Even if the Board could rule on the question of whether subsequent or different data could be used, however, CMS’s policy should be upheld. Courts have recognized that in implementing the inpatient hospital </w:t>
      </w:r>
      <w:r w:rsidR="00C43059" w:rsidRPr="000836C9">
        <w:rPr>
          <w:rFonts w:ascii="Calibri" w:hAnsi="Calibri" w:cs="Calibri"/>
          <w:sz w:val="22"/>
          <w:szCs w:val="22"/>
        </w:rPr>
        <w:t>I</w:t>
      </w:r>
      <w:r w:rsidRPr="000836C9">
        <w:rPr>
          <w:rFonts w:ascii="Calibri" w:hAnsi="Calibri" w:cs="Calibri"/>
          <w:sz w:val="22"/>
          <w:szCs w:val="22"/>
        </w:rPr>
        <w:t>PPS, CMS is entitled to rely on the best data available at the time it makes a determination and is not obligated to correct its determinations based on later or corrected data.  If, based on later data, the Secretary was to revise a provider’s SSI fraction under their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it has the authority to address CMS’s policy of not performing re-computations, it should uphold CMS’s policy as reasonable and not arbitrary and capricious, and no adjustment to the provider’s SSI fractions should be made in this case. This is not the first, nor will it be the last time the Secretary’s “finality rationale” is challenged by a provider. The United States Court of Appeals for the District of Columbia has spoken on the issue of finality:</w:t>
      </w:r>
    </w:p>
    <w:p w14:paraId="19F3F930" w14:textId="77777777" w:rsidR="009431B9" w:rsidRPr="000836C9" w:rsidRDefault="009431B9" w:rsidP="009431B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jc w:val="both"/>
        <w:rPr>
          <w:rFonts w:ascii="Calibri" w:hAnsi="Calibri" w:cs="Calibri"/>
          <w:sz w:val="22"/>
          <w:szCs w:val="22"/>
        </w:rPr>
      </w:pPr>
    </w:p>
    <w:p w14:paraId="3FAB665A" w14:textId="77777777" w:rsidR="009431B9" w:rsidRPr="000836C9" w:rsidRDefault="009431B9" w:rsidP="009431B9">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Calibri" w:hAnsi="Calibri" w:cs="Calibri"/>
          <w:b/>
          <w:bCs/>
          <w:i/>
          <w:sz w:val="22"/>
          <w:szCs w:val="22"/>
        </w:rPr>
      </w:pPr>
      <w:r w:rsidRPr="000836C9">
        <w:rPr>
          <w:rFonts w:ascii="Calibri" w:hAnsi="Calibri" w:cs="Calibri"/>
          <w:sz w:val="22"/>
          <w:szCs w:val="22"/>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0836C9">
        <w:rPr>
          <w:rFonts w:ascii="Calibri" w:hAnsi="Calibri" w:cs="Calibri"/>
          <w:i/>
          <w:sz w:val="22"/>
          <w:szCs w:val="22"/>
        </w:rPr>
        <w:t xml:space="preserve">Methodist Hospital of Sacramento v. Shalala </w:t>
      </w:r>
      <w:r w:rsidRPr="000836C9">
        <w:rPr>
          <w:rFonts w:ascii="Calibri" w:hAnsi="Calibri" w:cs="Calibri"/>
          <w:b/>
          <w:bCs/>
          <w:i/>
          <w:sz w:val="22"/>
          <w:szCs w:val="22"/>
        </w:rPr>
        <w:t>38 F.3d 1225 (D.C. Cir. 1994)</w:t>
      </w:r>
    </w:p>
    <w:p w14:paraId="2D826237" w14:textId="77777777" w:rsidR="009431B9" w:rsidRPr="000836C9" w:rsidRDefault="009431B9" w:rsidP="009431B9">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Calibri" w:hAnsi="Calibri" w:cs="Calibri"/>
          <w:b/>
          <w:bCs/>
          <w:i/>
          <w:sz w:val="22"/>
          <w:szCs w:val="22"/>
        </w:rPr>
      </w:pPr>
    </w:p>
    <w:p w14:paraId="7AF18423" w14:textId="77777777" w:rsidR="009431B9" w:rsidRPr="000836C9" w:rsidRDefault="009431B9" w:rsidP="009431B9">
      <w:pPr>
        <w:pStyle w:val="BodyText"/>
        <w:jc w:val="both"/>
        <w:rPr>
          <w:rFonts w:ascii="Calibri" w:hAnsi="Calibri" w:cs="Calibri"/>
          <w:sz w:val="22"/>
          <w:szCs w:val="22"/>
        </w:rPr>
      </w:pPr>
      <w:r w:rsidRPr="000836C9">
        <w:rPr>
          <w:rFonts w:ascii="Calibri" w:hAnsi="Calibri" w:cs="Calibri"/>
          <w:sz w:val="22"/>
          <w:szCs w:val="22"/>
        </w:rPr>
        <w:lastRenderedPageBreak/>
        <w:t xml:space="preserve">The </w:t>
      </w:r>
      <w:r w:rsidR="000B6E68">
        <w:rPr>
          <w:rFonts w:ascii="Calibri" w:hAnsi="Calibri" w:cs="Calibri"/>
          <w:sz w:val="22"/>
          <w:szCs w:val="22"/>
        </w:rPr>
        <w:t>p</w:t>
      </w:r>
      <w:r w:rsidRPr="000836C9">
        <w:rPr>
          <w:rFonts w:ascii="Calibri" w:hAnsi="Calibri" w:cs="Calibri"/>
          <w:sz w:val="22"/>
          <w:szCs w:val="22"/>
        </w:rPr>
        <w:t>rovider</w:t>
      </w:r>
      <w:r w:rsidR="00C43059" w:rsidRPr="000836C9">
        <w:rPr>
          <w:rFonts w:ascii="Calibri" w:hAnsi="Calibri" w:cs="Calibri"/>
          <w:sz w:val="22"/>
          <w:szCs w:val="22"/>
        </w:rPr>
        <w:t>s</w:t>
      </w:r>
      <w:r w:rsidRPr="000836C9">
        <w:rPr>
          <w:rFonts w:ascii="Calibri" w:hAnsi="Calibri" w:cs="Calibri"/>
          <w:sz w:val="22"/>
          <w:szCs w:val="22"/>
        </w:rPr>
        <w:t xml:space="preserve"> </w:t>
      </w:r>
      <w:r w:rsidR="00C43059" w:rsidRPr="000836C9">
        <w:rPr>
          <w:rFonts w:ascii="Calibri" w:hAnsi="Calibri" w:cs="Calibri"/>
          <w:sz w:val="22"/>
          <w:szCs w:val="22"/>
        </w:rPr>
        <w:t>are</w:t>
      </w:r>
      <w:r w:rsidRPr="000836C9">
        <w:rPr>
          <w:rFonts w:ascii="Calibri" w:hAnsi="Calibri" w:cs="Calibri"/>
          <w:sz w:val="22"/>
          <w:szCs w:val="22"/>
        </w:rPr>
        <w:t xml:space="preserve"> simply arguing that there may be additional SSI days. </w:t>
      </w:r>
      <w:r w:rsidR="00C43059" w:rsidRPr="000836C9">
        <w:rPr>
          <w:rFonts w:ascii="Calibri" w:hAnsi="Calibri" w:cs="Calibri"/>
          <w:sz w:val="22"/>
          <w:szCs w:val="22"/>
        </w:rPr>
        <w:t>They have</w:t>
      </w:r>
      <w:r w:rsidRPr="000836C9">
        <w:rPr>
          <w:rFonts w:ascii="Calibri" w:hAnsi="Calibri" w:cs="Calibri"/>
          <w:sz w:val="22"/>
          <w:szCs w:val="22"/>
        </w:rPr>
        <w:t xml:space="preserve"> not identified errors with the Secretary’s SSI ratio, even though MEDPAR data has been available to the </w:t>
      </w:r>
      <w:r w:rsidR="00AF2FD6">
        <w:rPr>
          <w:rFonts w:ascii="Calibri" w:hAnsi="Calibri" w:cs="Calibri"/>
          <w:sz w:val="22"/>
          <w:szCs w:val="22"/>
        </w:rPr>
        <w:t>p</w:t>
      </w:r>
      <w:r w:rsidRPr="000836C9">
        <w:rPr>
          <w:rFonts w:ascii="Calibri" w:hAnsi="Calibri" w:cs="Calibri"/>
          <w:sz w:val="22"/>
          <w:szCs w:val="22"/>
        </w:rPr>
        <w:t>rovider</w:t>
      </w:r>
      <w:r w:rsidR="00C43059" w:rsidRPr="000836C9">
        <w:rPr>
          <w:rFonts w:ascii="Calibri" w:hAnsi="Calibri" w:cs="Calibri"/>
          <w:sz w:val="22"/>
          <w:szCs w:val="22"/>
        </w:rPr>
        <w:t>s</w:t>
      </w:r>
      <w:r w:rsidRPr="000836C9">
        <w:rPr>
          <w:rFonts w:ascii="Calibri" w:hAnsi="Calibri" w:cs="Calibri"/>
          <w:sz w:val="22"/>
          <w:szCs w:val="22"/>
        </w:rPr>
        <w:t xml:space="preserve"> to reconcile its listing of SSI days </w:t>
      </w:r>
      <w:r w:rsidR="00C43059" w:rsidRPr="000836C9">
        <w:rPr>
          <w:rFonts w:ascii="Calibri" w:hAnsi="Calibri" w:cs="Calibri"/>
          <w:sz w:val="22"/>
          <w:szCs w:val="22"/>
        </w:rPr>
        <w:t>they</w:t>
      </w:r>
      <w:r w:rsidRPr="000836C9">
        <w:rPr>
          <w:rFonts w:ascii="Calibri" w:hAnsi="Calibri" w:cs="Calibri"/>
          <w:sz w:val="22"/>
          <w:szCs w:val="22"/>
        </w:rPr>
        <w:t xml:space="preserve"> believe were omitted from its SSI percentage. MEDPAR data was available to the </w:t>
      </w:r>
      <w:r w:rsidR="00AF2FD6">
        <w:rPr>
          <w:rFonts w:ascii="Calibri" w:hAnsi="Calibri" w:cs="Calibri"/>
          <w:sz w:val="22"/>
          <w:szCs w:val="22"/>
        </w:rPr>
        <w:t>p</w:t>
      </w:r>
      <w:r w:rsidRPr="000836C9">
        <w:rPr>
          <w:rFonts w:ascii="Calibri" w:hAnsi="Calibri" w:cs="Calibri"/>
          <w:sz w:val="22"/>
          <w:szCs w:val="22"/>
        </w:rPr>
        <w:t>rovider</w:t>
      </w:r>
      <w:r w:rsidR="00C43059" w:rsidRPr="000836C9">
        <w:rPr>
          <w:rFonts w:ascii="Calibri" w:hAnsi="Calibri" w:cs="Calibri"/>
          <w:sz w:val="22"/>
          <w:szCs w:val="22"/>
        </w:rPr>
        <w:t>s</w:t>
      </w:r>
      <w:r w:rsidRPr="000836C9">
        <w:rPr>
          <w:rFonts w:ascii="Calibri" w:hAnsi="Calibri" w:cs="Calibri"/>
          <w:sz w:val="22"/>
          <w:szCs w:val="22"/>
        </w:rPr>
        <w:t xml:space="preserve"> prior to the date of its appeal request. The </w:t>
      </w:r>
      <w:r w:rsidR="00AF2FD6">
        <w:rPr>
          <w:rFonts w:ascii="Calibri" w:hAnsi="Calibri" w:cs="Calibri"/>
          <w:sz w:val="22"/>
          <w:szCs w:val="22"/>
        </w:rPr>
        <w:t>p</w:t>
      </w:r>
      <w:r w:rsidRPr="000836C9">
        <w:rPr>
          <w:rFonts w:ascii="Calibri" w:hAnsi="Calibri" w:cs="Calibri"/>
          <w:sz w:val="22"/>
          <w:szCs w:val="22"/>
        </w:rPr>
        <w:t>roviders</w:t>
      </w:r>
      <w:r w:rsidR="00C43059" w:rsidRPr="000836C9">
        <w:rPr>
          <w:rFonts w:ascii="Calibri" w:hAnsi="Calibri" w:cs="Calibri"/>
          <w:sz w:val="22"/>
          <w:szCs w:val="22"/>
        </w:rPr>
        <w:t>’</w:t>
      </w:r>
      <w:r w:rsidRPr="000836C9">
        <w:rPr>
          <w:rFonts w:ascii="Calibri" w:hAnsi="Calibri" w:cs="Calibri"/>
          <w:sz w:val="22"/>
          <w:szCs w:val="22"/>
        </w:rPr>
        <w:t xml:space="preserve"> claim that it has not been able to reconcile its listing with MEDPAR data is inaccurate and misleading. How can the </w:t>
      </w:r>
      <w:r w:rsidR="000B6E68">
        <w:rPr>
          <w:rFonts w:ascii="Calibri" w:hAnsi="Calibri" w:cs="Calibri"/>
          <w:sz w:val="22"/>
          <w:szCs w:val="22"/>
        </w:rPr>
        <w:t>p</w:t>
      </w:r>
      <w:r w:rsidRPr="000836C9">
        <w:rPr>
          <w:rFonts w:ascii="Calibri" w:hAnsi="Calibri" w:cs="Calibri"/>
          <w:sz w:val="22"/>
          <w:szCs w:val="22"/>
        </w:rPr>
        <w:t>rovider</w:t>
      </w:r>
      <w:r w:rsidR="00C43059" w:rsidRPr="000836C9">
        <w:rPr>
          <w:rFonts w:ascii="Calibri" w:hAnsi="Calibri" w:cs="Calibri"/>
          <w:sz w:val="22"/>
          <w:szCs w:val="22"/>
        </w:rPr>
        <w:t>s</w:t>
      </w:r>
      <w:r w:rsidRPr="000836C9">
        <w:rPr>
          <w:rFonts w:ascii="Calibri" w:hAnsi="Calibri" w:cs="Calibri"/>
          <w:sz w:val="22"/>
          <w:szCs w:val="22"/>
        </w:rPr>
        <w:t xml:space="preserve"> claim dissatisfaction with </w:t>
      </w:r>
      <w:r w:rsidR="00C43059" w:rsidRPr="000836C9">
        <w:rPr>
          <w:rFonts w:ascii="Calibri" w:hAnsi="Calibri" w:cs="Calibri"/>
          <w:sz w:val="22"/>
          <w:szCs w:val="22"/>
        </w:rPr>
        <w:t>their</w:t>
      </w:r>
      <w:r w:rsidRPr="000836C9">
        <w:rPr>
          <w:rFonts w:ascii="Calibri" w:hAnsi="Calibri" w:cs="Calibri"/>
          <w:sz w:val="22"/>
          <w:szCs w:val="22"/>
        </w:rPr>
        <w:t xml:space="preserve"> own failure to reconcile its records with the MEDPAR data?</w:t>
      </w:r>
    </w:p>
    <w:p w14:paraId="1E672CDA" w14:textId="77777777" w:rsidR="009431B9" w:rsidRPr="000836C9" w:rsidRDefault="009431B9" w:rsidP="009431B9">
      <w:pPr>
        <w:pStyle w:val="BodyText"/>
        <w:jc w:val="both"/>
        <w:rPr>
          <w:rFonts w:ascii="Calibri" w:hAnsi="Calibri" w:cs="Calibri"/>
          <w:sz w:val="22"/>
          <w:szCs w:val="22"/>
        </w:rPr>
      </w:pPr>
    </w:p>
    <w:p w14:paraId="77305DAA" w14:textId="5A3FC264" w:rsidR="009431B9" w:rsidRPr="000836C9" w:rsidRDefault="009431B9" w:rsidP="009431B9">
      <w:pPr>
        <w:pStyle w:val="BodyText"/>
        <w:jc w:val="both"/>
        <w:rPr>
          <w:rFonts w:ascii="Calibri" w:hAnsi="Calibri" w:cs="Calibri"/>
          <w:sz w:val="22"/>
          <w:szCs w:val="22"/>
        </w:rPr>
      </w:pPr>
      <w:r w:rsidRPr="000836C9">
        <w:rPr>
          <w:rFonts w:ascii="Calibri" w:hAnsi="Calibri" w:cs="Calibri"/>
          <w:sz w:val="22"/>
          <w:szCs w:val="22"/>
        </w:rPr>
        <w:t xml:space="preserve">The regulation at 42 C.F.R. § 413.20 states that a provider must permit the MAC to examine their records and documents as necessary to ascertain </w:t>
      </w:r>
      <w:r w:rsidR="008D30A6" w:rsidRPr="000836C9">
        <w:rPr>
          <w:rFonts w:ascii="Calibri" w:hAnsi="Calibri" w:cs="Calibri"/>
          <w:sz w:val="22"/>
          <w:szCs w:val="22"/>
        </w:rPr>
        <w:t>information</w:t>
      </w:r>
      <w:r w:rsidRPr="000836C9">
        <w:rPr>
          <w:rFonts w:ascii="Calibri" w:hAnsi="Calibri" w:cs="Calibri"/>
          <w:sz w:val="22"/>
          <w:szCs w:val="22"/>
        </w:rPr>
        <w:t xml:space="preserve"> pertinent to the determination of the proper amount of program payments due. The </w:t>
      </w:r>
      <w:r w:rsidR="000B6E68">
        <w:rPr>
          <w:rFonts w:ascii="Calibri" w:hAnsi="Calibri" w:cs="Calibri"/>
          <w:sz w:val="22"/>
          <w:szCs w:val="22"/>
        </w:rPr>
        <w:t>p</w:t>
      </w:r>
      <w:r w:rsidRPr="000836C9">
        <w:rPr>
          <w:rFonts w:ascii="Calibri" w:hAnsi="Calibri" w:cs="Calibri"/>
          <w:sz w:val="22"/>
          <w:szCs w:val="22"/>
        </w:rPr>
        <w:t>rovider</w:t>
      </w:r>
      <w:r w:rsidR="00C43059" w:rsidRPr="000836C9">
        <w:rPr>
          <w:rFonts w:ascii="Calibri" w:hAnsi="Calibri" w:cs="Calibri"/>
          <w:sz w:val="22"/>
          <w:szCs w:val="22"/>
        </w:rPr>
        <w:t>s</w:t>
      </w:r>
      <w:r w:rsidRPr="000836C9">
        <w:rPr>
          <w:rFonts w:ascii="Calibri" w:hAnsi="Calibri" w:cs="Calibri"/>
          <w:sz w:val="22"/>
          <w:szCs w:val="22"/>
        </w:rPr>
        <w:t xml:space="preserve">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w:t>
      </w:r>
      <w:r w:rsidR="00AF2FD6">
        <w:rPr>
          <w:rFonts w:ascii="Calibri" w:hAnsi="Calibri" w:cs="Calibri"/>
          <w:sz w:val="22"/>
          <w:szCs w:val="22"/>
        </w:rPr>
        <w:t>p</w:t>
      </w:r>
      <w:r w:rsidRPr="000836C9">
        <w:rPr>
          <w:rFonts w:ascii="Calibri" w:hAnsi="Calibri" w:cs="Calibri"/>
          <w:sz w:val="22"/>
          <w:szCs w:val="22"/>
        </w:rPr>
        <w:t>rovider</w:t>
      </w:r>
      <w:r w:rsidR="00AF2FD6">
        <w:rPr>
          <w:rFonts w:ascii="Calibri" w:hAnsi="Calibri" w:cs="Calibri"/>
          <w:sz w:val="22"/>
          <w:szCs w:val="22"/>
        </w:rPr>
        <w:t>s</w:t>
      </w:r>
      <w:r w:rsidRPr="000836C9">
        <w:rPr>
          <w:rFonts w:ascii="Calibri" w:hAnsi="Calibri" w:cs="Calibri"/>
          <w:sz w:val="22"/>
          <w:szCs w:val="22"/>
        </w:rPr>
        <w:t xml:space="preserve"> claim in </w:t>
      </w:r>
      <w:r w:rsidR="00AF2FD6">
        <w:rPr>
          <w:rFonts w:ascii="Calibri" w:hAnsi="Calibri" w:cs="Calibri"/>
          <w:sz w:val="22"/>
          <w:szCs w:val="22"/>
        </w:rPr>
        <w:t>their</w:t>
      </w:r>
      <w:r w:rsidRPr="000836C9">
        <w:rPr>
          <w:rFonts w:ascii="Calibri" w:hAnsi="Calibri" w:cs="Calibri"/>
          <w:sz w:val="22"/>
          <w:szCs w:val="22"/>
        </w:rPr>
        <w:t xml:space="preserve"> appeal request and position paper that it has not received the MEDPAR data.  Through </w:t>
      </w:r>
      <w:r w:rsidR="00C43059" w:rsidRPr="000836C9">
        <w:rPr>
          <w:rFonts w:ascii="Calibri" w:hAnsi="Calibri" w:cs="Calibri"/>
          <w:sz w:val="22"/>
          <w:szCs w:val="22"/>
        </w:rPr>
        <w:t>their</w:t>
      </w:r>
      <w:r w:rsidRPr="000836C9">
        <w:rPr>
          <w:rFonts w:ascii="Calibri" w:hAnsi="Calibri" w:cs="Calibri"/>
          <w:sz w:val="22"/>
          <w:szCs w:val="22"/>
        </w:rPr>
        <w:t xml:space="preserve"> own fault, the </w:t>
      </w:r>
      <w:r w:rsidR="00AF2FD6">
        <w:rPr>
          <w:rFonts w:ascii="Calibri" w:hAnsi="Calibri" w:cs="Calibri"/>
          <w:sz w:val="22"/>
          <w:szCs w:val="22"/>
        </w:rPr>
        <w:t>p</w:t>
      </w:r>
      <w:r w:rsidRPr="000836C9">
        <w:rPr>
          <w:rFonts w:ascii="Calibri" w:hAnsi="Calibri" w:cs="Calibri"/>
          <w:sz w:val="22"/>
          <w:szCs w:val="22"/>
        </w:rPr>
        <w:t>rovider</w:t>
      </w:r>
      <w:r w:rsidR="00C43059" w:rsidRPr="000836C9">
        <w:rPr>
          <w:rFonts w:ascii="Calibri" w:hAnsi="Calibri" w:cs="Calibri"/>
          <w:sz w:val="22"/>
          <w:szCs w:val="22"/>
        </w:rPr>
        <w:t>s</w:t>
      </w:r>
      <w:r w:rsidRPr="000836C9">
        <w:rPr>
          <w:rFonts w:ascii="Calibri" w:hAnsi="Calibri" w:cs="Calibri"/>
          <w:sz w:val="22"/>
          <w:szCs w:val="22"/>
        </w:rPr>
        <w:t xml:space="preserve"> ha</w:t>
      </w:r>
      <w:r w:rsidR="00C43059" w:rsidRPr="000836C9">
        <w:rPr>
          <w:rFonts w:ascii="Calibri" w:hAnsi="Calibri" w:cs="Calibri"/>
          <w:sz w:val="22"/>
          <w:szCs w:val="22"/>
        </w:rPr>
        <w:t>ve</w:t>
      </w:r>
      <w:r w:rsidRPr="000836C9">
        <w:rPr>
          <w:rFonts w:ascii="Calibri" w:hAnsi="Calibri" w:cs="Calibri"/>
          <w:sz w:val="22"/>
          <w:szCs w:val="22"/>
        </w:rPr>
        <w:t xml:space="preserve"> not reconciled the MEDPAR data with their records. The </w:t>
      </w:r>
      <w:r w:rsidR="00AF2FD6">
        <w:rPr>
          <w:rFonts w:ascii="Calibri" w:hAnsi="Calibri" w:cs="Calibri"/>
          <w:sz w:val="22"/>
          <w:szCs w:val="22"/>
        </w:rPr>
        <w:t>p</w:t>
      </w:r>
      <w:r w:rsidRPr="000836C9">
        <w:rPr>
          <w:rFonts w:ascii="Calibri" w:hAnsi="Calibri" w:cs="Calibri"/>
          <w:sz w:val="22"/>
          <w:szCs w:val="22"/>
        </w:rPr>
        <w:t>rovider</w:t>
      </w:r>
      <w:r w:rsidR="00C43059" w:rsidRPr="000836C9">
        <w:rPr>
          <w:rFonts w:ascii="Calibri" w:hAnsi="Calibri" w:cs="Calibri"/>
          <w:sz w:val="22"/>
          <w:szCs w:val="22"/>
        </w:rPr>
        <w:t>s</w:t>
      </w:r>
      <w:r w:rsidRPr="000836C9">
        <w:rPr>
          <w:rFonts w:ascii="Calibri" w:hAnsi="Calibri" w:cs="Calibri"/>
          <w:sz w:val="22"/>
          <w:szCs w:val="22"/>
        </w:rPr>
        <w:t xml:space="preserve"> should not be able to express dissatisfaction with </w:t>
      </w:r>
      <w:r w:rsidR="00AF2FD6">
        <w:rPr>
          <w:rFonts w:ascii="Calibri" w:hAnsi="Calibri" w:cs="Calibri"/>
          <w:sz w:val="22"/>
          <w:szCs w:val="22"/>
        </w:rPr>
        <w:t>their</w:t>
      </w:r>
      <w:r w:rsidRPr="000836C9">
        <w:rPr>
          <w:rFonts w:ascii="Calibri" w:hAnsi="Calibri" w:cs="Calibri"/>
          <w:sz w:val="22"/>
          <w:szCs w:val="22"/>
        </w:rPr>
        <w:t xml:space="preserve"> inability to gather MEDPAR data.  </w:t>
      </w:r>
    </w:p>
    <w:p w14:paraId="158644FC" w14:textId="77777777" w:rsidR="009431B9" w:rsidRPr="000836C9" w:rsidRDefault="009431B9" w:rsidP="009431B9">
      <w:pPr>
        <w:pStyle w:val="BodyText"/>
        <w:jc w:val="both"/>
        <w:rPr>
          <w:rFonts w:ascii="Calibri" w:hAnsi="Calibri" w:cs="Calibri"/>
          <w:sz w:val="22"/>
          <w:szCs w:val="22"/>
        </w:rPr>
      </w:pPr>
    </w:p>
    <w:p w14:paraId="5B1145B2" w14:textId="77777777" w:rsidR="009431B9" w:rsidRPr="000836C9" w:rsidRDefault="009431B9" w:rsidP="009431B9">
      <w:pPr>
        <w:pStyle w:val="BodyText"/>
        <w:spacing w:before="120"/>
        <w:jc w:val="both"/>
        <w:rPr>
          <w:rFonts w:ascii="Calibri" w:hAnsi="Calibri" w:cs="Calibri"/>
          <w:sz w:val="22"/>
          <w:szCs w:val="22"/>
        </w:rPr>
      </w:pPr>
      <w:r w:rsidRPr="000836C9">
        <w:rPr>
          <w:rFonts w:ascii="Calibri" w:hAnsi="Calibri" w:cs="Calibri"/>
          <w:sz w:val="22"/>
          <w:szCs w:val="22"/>
        </w:rPr>
        <w:t xml:space="preserve">The matching process was revised with the </w:t>
      </w:r>
      <w:r w:rsidRPr="000836C9">
        <w:rPr>
          <w:rFonts w:ascii="Calibri" w:hAnsi="Calibri" w:cs="Calibri"/>
          <w:sz w:val="22"/>
          <w:szCs w:val="22"/>
          <w:u w:val="single"/>
        </w:rPr>
        <w:t>Ruling No. CMS-1498-R</w:t>
      </w:r>
      <w:r w:rsidRPr="000836C9">
        <w:rPr>
          <w:rFonts w:ascii="Calibri" w:hAnsi="Calibri" w:cs="Calibri"/>
          <w:sz w:val="22"/>
          <w:szCs w:val="22"/>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w:t>
      </w:r>
      <w:r w:rsidRPr="000836C9">
        <w:rPr>
          <w:rFonts w:ascii="Calibri" w:hAnsi="Calibri" w:cs="Calibri"/>
          <w:sz w:val="22"/>
          <w:szCs w:val="22"/>
        </w:rPr>
        <w:lastRenderedPageBreak/>
        <w:t>issues, to each qualifying hospital cost reporting period where the contractor has not yet settled finally the provider’s Medicare cost report.</w:t>
      </w:r>
    </w:p>
    <w:p w14:paraId="40ABA8D0" w14:textId="77777777" w:rsidR="000B6E68" w:rsidRDefault="000B6E68" w:rsidP="009431B9">
      <w:pPr>
        <w:pStyle w:val="BodyText"/>
        <w:spacing w:before="120"/>
        <w:jc w:val="both"/>
        <w:rPr>
          <w:rFonts w:ascii="Calibri" w:hAnsi="Calibri" w:cs="Calibri"/>
          <w:sz w:val="22"/>
          <w:szCs w:val="22"/>
        </w:rPr>
      </w:pPr>
    </w:p>
    <w:p w14:paraId="147803AA" w14:textId="4308A02D" w:rsidR="009431B9" w:rsidRDefault="009431B9" w:rsidP="0013726D">
      <w:pPr>
        <w:pStyle w:val="BodyText"/>
        <w:jc w:val="both"/>
        <w:rPr>
          <w:rFonts w:ascii="Calibri" w:hAnsi="Calibri" w:cs="Calibri"/>
          <w:sz w:val="22"/>
          <w:szCs w:val="22"/>
        </w:rPr>
      </w:pPr>
      <w:r w:rsidRPr="000836C9">
        <w:rPr>
          <w:rFonts w:ascii="Calibri" w:hAnsi="Calibri" w:cs="Calibri"/>
          <w:sz w:val="22"/>
          <w:szCs w:val="22"/>
        </w:rPr>
        <w:t xml:space="preserve">If additional SSI days exist, the </w:t>
      </w:r>
      <w:r w:rsidR="000B6E68">
        <w:rPr>
          <w:rFonts w:ascii="Calibri" w:hAnsi="Calibri" w:cs="Calibri"/>
          <w:sz w:val="22"/>
          <w:szCs w:val="22"/>
        </w:rPr>
        <w:t>p</w:t>
      </w:r>
      <w:r w:rsidRPr="000836C9">
        <w:rPr>
          <w:rFonts w:ascii="Calibri" w:hAnsi="Calibri" w:cs="Calibri"/>
          <w:sz w:val="22"/>
          <w:szCs w:val="22"/>
        </w:rPr>
        <w:t>rovider</w:t>
      </w:r>
      <w:r w:rsidR="00C43059" w:rsidRPr="000836C9">
        <w:rPr>
          <w:rFonts w:ascii="Calibri" w:hAnsi="Calibri" w:cs="Calibri"/>
          <w:sz w:val="22"/>
          <w:szCs w:val="22"/>
        </w:rPr>
        <w:t>s</w:t>
      </w:r>
      <w:r w:rsidRPr="000836C9">
        <w:rPr>
          <w:rFonts w:ascii="Calibri" w:hAnsi="Calibri" w:cs="Calibri"/>
          <w:sz w:val="22"/>
          <w:szCs w:val="22"/>
        </w:rPr>
        <w:t xml:space="preserve"> ha</w:t>
      </w:r>
      <w:r w:rsidR="00C43059" w:rsidRPr="000836C9">
        <w:rPr>
          <w:rFonts w:ascii="Calibri" w:hAnsi="Calibri" w:cs="Calibri"/>
          <w:sz w:val="22"/>
          <w:szCs w:val="22"/>
        </w:rPr>
        <w:t>ve</w:t>
      </w:r>
      <w:r w:rsidRPr="000836C9">
        <w:rPr>
          <w:rFonts w:ascii="Calibri" w:hAnsi="Calibri" w:cs="Calibri"/>
          <w:sz w:val="22"/>
          <w:szCs w:val="22"/>
        </w:rPr>
        <w:t xml:space="preserve"> failed to explain why such days were not included in its SSI percentage.  At this time, the Provider</w:t>
      </w:r>
      <w:r w:rsidR="00C43059" w:rsidRPr="000836C9">
        <w:rPr>
          <w:rFonts w:ascii="Calibri" w:hAnsi="Calibri" w:cs="Calibri"/>
          <w:sz w:val="22"/>
          <w:szCs w:val="22"/>
        </w:rPr>
        <w:t>s</w:t>
      </w:r>
      <w:r w:rsidRPr="000836C9">
        <w:rPr>
          <w:rFonts w:ascii="Calibri" w:hAnsi="Calibri" w:cs="Calibri"/>
          <w:sz w:val="22"/>
          <w:szCs w:val="22"/>
        </w:rPr>
        <w:t xml:space="preserve"> ha</w:t>
      </w:r>
      <w:r w:rsidR="00C43059" w:rsidRPr="000836C9">
        <w:rPr>
          <w:rFonts w:ascii="Calibri" w:hAnsi="Calibri" w:cs="Calibri"/>
          <w:sz w:val="22"/>
          <w:szCs w:val="22"/>
        </w:rPr>
        <w:t>ve</w:t>
      </w:r>
      <w:r w:rsidRPr="000836C9">
        <w:rPr>
          <w:rFonts w:ascii="Calibri" w:hAnsi="Calibri" w:cs="Calibri"/>
          <w:sz w:val="22"/>
          <w:szCs w:val="22"/>
        </w:rPr>
        <w:t xml:space="preserve"> failed to identify any listing of additional SSI days.  There is no support of any effort put forth by the </w:t>
      </w:r>
      <w:r w:rsidR="00AF2FD6">
        <w:rPr>
          <w:rFonts w:ascii="Calibri" w:hAnsi="Calibri" w:cs="Calibri"/>
          <w:sz w:val="22"/>
          <w:szCs w:val="22"/>
        </w:rPr>
        <w:t>p</w:t>
      </w:r>
      <w:r w:rsidRPr="000836C9">
        <w:rPr>
          <w:rFonts w:ascii="Calibri" w:hAnsi="Calibri" w:cs="Calibri"/>
          <w:sz w:val="22"/>
          <w:szCs w:val="22"/>
        </w:rPr>
        <w:t>rovider</w:t>
      </w:r>
      <w:r w:rsidR="00C43059" w:rsidRPr="000836C9">
        <w:rPr>
          <w:rFonts w:ascii="Calibri" w:hAnsi="Calibri" w:cs="Calibri"/>
          <w:sz w:val="22"/>
          <w:szCs w:val="22"/>
        </w:rPr>
        <w:t>s</w:t>
      </w:r>
      <w:r w:rsidRPr="000836C9">
        <w:rPr>
          <w:rFonts w:ascii="Calibri" w:hAnsi="Calibri" w:cs="Calibri"/>
          <w:sz w:val="22"/>
          <w:szCs w:val="22"/>
        </w:rPr>
        <w:t xml:space="preserve"> to identify what additional days, if any, should be included in the computation of its SSI percentage. The MAC believes the Providers</w:t>
      </w:r>
      <w:r w:rsidR="00C43059" w:rsidRPr="000836C9">
        <w:rPr>
          <w:rFonts w:ascii="Calibri" w:hAnsi="Calibri" w:cs="Calibri"/>
          <w:sz w:val="22"/>
          <w:szCs w:val="22"/>
        </w:rPr>
        <w:t>’</w:t>
      </w:r>
      <w:r w:rsidRPr="000836C9">
        <w:rPr>
          <w:rFonts w:ascii="Calibri" w:hAnsi="Calibri" w:cs="Calibri"/>
          <w:sz w:val="22"/>
          <w:szCs w:val="22"/>
        </w:rPr>
        <w:t xml:space="preserve"> failure to support its contention related to additional SSI days demonstrates that this issue should be dismissed.</w:t>
      </w:r>
    </w:p>
    <w:p w14:paraId="3CF5C347" w14:textId="3B5147F8" w:rsidR="007E7F37" w:rsidRDefault="007E7F37" w:rsidP="0013726D">
      <w:pPr>
        <w:pStyle w:val="BodyText"/>
        <w:jc w:val="both"/>
        <w:rPr>
          <w:rFonts w:ascii="Calibri" w:hAnsi="Calibri" w:cs="Calibri"/>
          <w:sz w:val="22"/>
          <w:szCs w:val="22"/>
        </w:rPr>
      </w:pPr>
    </w:p>
    <w:p w14:paraId="0D1357F6" w14:textId="77777777" w:rsidR="00F67BCC" w:rsidRPr="000836C9" w:rsidRDefault="00EA61B8" w:rsidP="00FA1059">
      <w:pPr>
        <w:spacing w:line="480" w:lineRule="auto"/>
        <w:rPr>
          <w:rFonts w:ascii="Calibri" w:hAnsi="Calibri" w:cs="Calibri"/>
          <w:sz w:val="22"/>
          <w:szCs w:val="22"/>
          <w:u w:val="single"/>
        </w:rPr>
      </w:pPr>
      <w:r w:rsidRPr="000836C9">
        <w:rPr>
          <w:rFonts w:ascii="Calibri" w:hAnsi="Calibri" w:cs="Calibri"/>
          <w:sz w:val="22"/>
          <w:szCs w:val="22"/>
          <w:u w:val="single"/>
        </w:rPr>
        <w:t xml:space="preserve">SSI Entitlement/Eligibility Days – Dual Eligible </w:t>
      </w:r>
      <w:r w:rsidR="00E35EE6" w:rsidRPr="000836C9">
        <w:rPr>
          <w:rFonts w:ascii="Calibri" w:hAnsi="Calibri" w:cs="Calibri"/>
          <w:sz w:val="22"/>
          <w:szCs w:val="22"/>
          <w:u w:val="single"/>
        </w:rPr>
        <w:t xml:space="preserve">(Medicare/Medicaid) </w:t>
      </w:r>
      <w:r w:rsidRPr="000836C9">
        <w:rPr>
          <w:rFonts w:ascii="Calibri" w:hAnsi="Calibri" w:cs="Calibri"/>
          <w:sz w:val="22"/>
          <w:szCs w:val="22"/>
          <w:u w:val="single"/>
        </w:rPr>
        <w:t>Patients</w:t>
      </w:r>
    </w:p>
    <w:p w14:paraId="3A223C41" w14:textId="77777777" w:rsidR="009431B9" w:rsidRDefault="009431B9" w:rsidP="00FA1059">
      <w:pPr>
        <w:spacing w:line="480" w:lineRule="auto"/>
        <w:rPr>
          <w:rFonts w:ascii="Arial" w:hAnsi="Arial" w:cs="Arial"/>
          <w:sz w:val="22"/>
          <w:szCs w:val="22"/>
        </w:rPr>
      </w:pPr>
    </w:p>
    <w:p w14:paraId="4E6E52D1" w14:textId="77777777" w:rsidR="00E72F57" w:rsidRPr="000836C9" w:rsidRDefault="0075323E" w:rsidP="00FA1059">
      <w:pPr>
        <w:spacing w:line="480" w:lineRule="auto"/>
        <w:rPr>
          <w:rFonts w:ascii="Calibri" w:hAnsi="Calibri" w:cs="Calibri"/>
          <w:sz w:val="22"/>
          <w:szCs w:val="22"/>
        </w:rPr>
      </w:pPr>
      <w:r w:rsidRPr="0075323E">
        <w:rPr>
          <w:rFonts w:ascii="Calibri" w:hAnsi="Calibri" w:cs="Arial"/>
          <w:sz w:val="22"/>
          <w:szCs w:val="22"/>
        </w:rPr>
        <w:t>The MAC contends that CMS properly included all SSI days that have been sufficiently documented for purposes of calculating the providers’ Medicare fractions. The providers’ argument is primarily related to dual eligible patients.</w:t>
      </w:r>
      <w:r>
        <w:rPr>
          <w:rFonts w:ascii="Calibri" w:hAnsi="Calibri" w:cs="Arial"/>
          <w:sz w:val="22"/>
          <w:szCs w:val="22"/>
        </w:rPr>
        <w:t xml:space="preserve"> </w:t>
      </w:r>
      <w:r w:rsidR="003C10C3" w:rsidRPr="000836C9">
        <w:rPr>
          <w:rFonts w:ascii="Calibri" w:hAnsi="Calibri" w:cs="Calibri"/>
          <w:sz w:val="22"/>
          <w:szCs w:val="22"/>
        </w:rPr>
        <w:t>It has long been CMS’s position that, in general, dual eligible days should be included in the Medicare fraction. CMS specifically addressed d</w:t>
      </w:r>
      <w:r w:rsidR="00E72F57" w:rsidRPr="000836C9">
        <w:rPr>
          <w:rFonts w:ascii="Calibri" w:hAnsi="Calibri" w:cs="Calibri"/>
          <w:sz w:val="22"/>
          <w:szCs w:val="22"/>
        </w:rPr>
        <w:t xml:space="preserve">ual eligible patient days in </w:t>
      </w:r>
      <w:r w:rsidR="00FA1059" w:rsidRPr="000836C9">
        <w:rPr>
          <w:rFonts w:ascii="Calibri" w:hAnsi="Calibri" w:cs="Calibri"/>
          <w:sz w:val="22"/>
          <w:szCs w:val="22"/>
        </w:rPr>
        <w:t>68 Fed. Reg. 27,154, 27,207 (May 19, 2003), stating</w:t>
      </w:r>
      <w:r w:rsidR="00E72F57" w:rsidRPr="000836C9">
        <w:rPr>
          <w:rFonts w:ascii="Calibri" w:hAnsi="Calibri" w:cs="Calibri"/>
          <w:sz w:val="22"/>
          <w:szCs w:val="22"/>
        </w:rPr>
        <w:t>:</w:t>
      </w:r>
    </w:p>
    <w:p w14:paraId="796C0785" w14:textId="77777777" w:rsidR="00730FDE" w:rsidRPr="000836C9" w:rsidRDefault="00730FDE" w:rsidP="00FA1059">
      <w:pPr>
        <w:spacing w:line="480" w:lineRule="auto"/>
        <w:rPr>
          <w:rFonts w:ascii="Calibri" w:hAnsi="Calibri" w:cs="Calibri"/>
          <w:sz w:val="22"/>
          <w:szCs w:val="22"/>
        </w:rPr>
      </w:pPr>
    </w:p>
    <w:p w14:paraId="4069733A" w14:textId="77777777" w:rsidR="00E72F57" w:rsidRPr="000836C9" w:rsidRDefault="00E72F57" w:rsidP="00FA1059">
      <w:pPr>
        <w:spacing w:before="60"/>
        <w:ind w:left="720" w:right="720"/>
        <w:rPr>
          <w:rFonts w:ascii="Calibri" w:hAnsi="Calibri" w:cs="Calibri"/>
          <w:sz w:val="22"/>
          <w:szCs w:val="22"/>
        </w:rPr>
      </w:pPr>
      <w:r w:rsidRPr="000836C9">
        <w:rPr>
          <w:rFonts w:ascii="Calibri" w:hAnsi="Calibri" w:cs="Calibri"/>
          <w:sz w:val="22"/>
          <w:szCs w:val="22"/>
        </w:rPr>
        <w:t>If a patient is a Medicare beneficiary who is also eligible for Medicaid, the patient is considered dual-eligible and the patient days are included in the Medicare fraction of the DSH patient percentage but not the Medicaid fraction.</w:t>
      </w:r>
    </w:p>
    <w:p w14:paraId="28763FEE" w14:textId="77777777" w:rsidR="00FA1059" w:rsidRPr="000836C9" w:rsidRDefault="00FA1059" w:rsidP="00FA1059">
      <w:pPr>
        <w:pStyle w:val="BodyText"/>
        <w:spacing w:before="120" w:line="240" w:lineRule="auto"/>
        <w:rPr>
          <w:rFonts w:ascii="Calibri" w:hAnsi="Calibri" w:cs="Calibri"/>
          <w:sz w:val="22"/>
          <w:szCs w:val="22"/>
        </w:rPr>
      </w:pPr>
    </w:p>
    <w:p w14:paraId="5B7F485A" w14:textId="77777777" w:rsidR="00FA1059" w:rsidRPr="000836C9" w:rsidRDefault="00FA1059" w:rsidP="00FA1059">
      <w:pPr>
        <w:pStyle w:val="BodyText"/>
        <w:spacing w:line="240" w:lineRule="auto"/>
        <w:rPr>
          <w:rFonts w:ascii="Calibri" w:hAnsi="Calibri" w:cs="Calibri"/>
          <w:sz w:val="22"/>
          <w:szCs w:val="22"/>
        </w:rPr>
      </w:pPr>
    </w:p>
    <w:p w14:paraId="3D079C0E" w14:textId="77777777" w:rsidR="001E6614" w:rsidRPr="000836C9" w:rsidRDefault="003C10C3" w:rsidP="00FA1059">
      <w:pPr>
        <w:pStyle w:val="BodyText"/>
        <w:rPr>
          <w:rFonts w:ascii="Calibri" w:hAnsi="Calibri" w:cs="Calibri"/>
          <w:sz w:val="22"/>
          <w:szCs w:val="22"/>
        </w:rPr>
      </w:pPr>
      <w:r w:rsidRPr="000836C9">
        <w:rPr>
          <w:rFonts w:ascii="Calibri" w:hAnsi="Calibri" w:cs="Calibri"/>
          <w:sz w:val="22"/>
          <w:szCs w:val="22"/>
        </w:rPr>
        <w:t xml:space="preserve">The </w:t>
      </w:r>
      <w:r w:rsidR="00DA618E" w:rsidRPr="000836C9">
        <w:rPr>
          <w:rFonts w:ascii="Calibri" w:hAnsi="Calibri" w:cs="Calibri"/>
          <w:sz w:val="22"/>
          <w:szCs w:val="22"/>
        </w:rPr>
        <w:t>p</w:t>
      </w:r>
      <w:r w:rsidRPr="000836C9">
        <w:rPr>
          <w:rFonts w:ascii="Calibri" w:hAnsi="Calibri" w:cs="Calibri"/>
          <w:sz w:val="22"/>
          <w:szCs w:val="22"/>
        </w:rPr>
        <w:t xml:space="preserve">roviders’ primary argument is that </w:t>
      </w:r>
      <w:r w:rsidR="00C13841" w:rsidRPr="000836C9">
        <w:rPr>
          <w:rFonts w:ascii="Calibri" w:hAnsi="Calibri" w:cs="Calibri"/>
          <w:sz w:val="22"/>
          <w:szCs w:val="22"/>
        </w:rPr>
        <w:t xml:space="preserve">the term “entitled to SSI benefits” must be construed to include all patients who enrolled in the SSI program and were not terminated from the SSI program, even if the patients were not eligible for benefits while they were enrolled in the SSI program. The providers focus on patient days that were excluded because these days have been matched with SSA codes indicating </w:t>
      </w:r>
      <w:r w:rsidR="00C13841" w:rsidRPr="000836C9">
        <w:rPr>
          <w:rFonts w:ascii="Calibri" w:hAnsi="Calibri" w:cs="Calibri"/>
          <w:sz w:val="22"/>
          <w:szCs w:val="22"/>
        </w:rPr>
        <w:lastRenderedPageBreak/>
        <w:t>that the patients had not demonstrated that they were eligible for SSI benefits on the days for which care was provided. In the August 16, 2010</w:t>
      </w:r>
      <w:r w:rsidR="00730FDE" w:rsidRPr="000836C9">
        <w:rPr>
          <w:rFonts w:ascii="Calibri" w:hAnsi="Calibri" w:cs="Calibri"/>
          <w:sz w:val="22"/>
          <w:szCs w:val="22"/>
        </w:rPr>
        <w:t>,</w:t>
      </w:r>
      <w:r w:rsidR="00C13841" w:rsidRPr="000836C9">
        <w:rPr>
          <w:rFonts w:ascii="Calibri" w:hAnsi="Calibri" w:cs="Calibri"/>
          <w:sz w:val="22"/>
          <w:szCs w:val="22"/>
        </w:rPr>
        <w:t xml:space="preserve"> Federal Register, CMS explained why it had excluded these days in responses to comments raising complaints similar to those made by the </w:t>
      </w:r>
      <w:r w:rsidR="00DA618E" w:rsidRPr="000836C9">
        <w:rPr>
          <w:rFonts w:ascii="Calibri" w:hAnsi="Calibri" w:cs="Calibri"/>
          <w:sz w:val="22"/>
          <w:szCs w:val="22"/>
        </w:rPr>
        <w:t>p</w:t>
      </w:r>
      <w:r w:rsidR="00C13841" w:rsidRPr="000836C9">
        <w:rPr>
          <w:rFonts w:ascii="Calibri" w:hAnsi="Calibri" w:cs="Calibri"/>
          <w:sz w:val="22"/>
          <w:szCs w:val="22"/>
        </w:rPr>
        <w:t>roviders</w:t>
      </w:r>
      <w:r w:rsidR="004510E9" w:rsidRPr="000836C9">
        <w:rPr>
          <w:rFonts w:ascii="Calibri" w:hAnsi="Calibri" w:cs="Calibri"/>
          <w:sz w:val="22"/>
          <w:szCs w:val="22"/>
        </w:rPr>
        <w:t>:</w:t>
      </w:r>
    </w:p>
    <w:p w14:paraId="67FAAC7C" w14:textId="77777777" w:rsidR="00FA1059" w:rsidRPr="000836C9" w:rsidRDefault="00FA1059" w:rsidP="00FA1059">
      <w:pPr>
        <w:pStyle w:val="BodyText"/>
        <w:rPr>
          <w:rFonts w:ascii="Calibri" w:hAnsi="Calibri" w:cs="Calibri"/>
          <w:sz w:val="22"/>
          <w:szCs w:val="22"/>
        </w:rPr>
      </w:pPr>
    </w:p>
    <w:p w14:paraId="16B8045D" w14:textId="17710860" w:rsidR="00D63428" w:rsidRPr="000836C9" w:rsidRDefault="00D63428" w:rsidP="000C7A0F">
      <w:pPr>
        <w:pStyle w:val="HTMLPreformatted"/>
        <w:ind w:left="720" w:right="720"/>
        <w:rPr>
          <w:rFonts w:ascii="Calibri" w:hAnsi="Calibri" w:cs="Calibri"/>
          <w:sz w:val="22"/>
          <w:szCs w:val="22"/>
        </w:rPr>
      </w:pPr>
      <w:r w:rsidRPr="000836C9">
        <w:rPr>
          <w:rFonts w:ascii="Calibri" w:hAnsi="Calibri" w:cs="Calibri"/>
          <w:sz w:val="22"/>
          <w:szCs w:val="22"/>
        </w:rPr>
        <w:t xml:space="preserve">Comment: One commenter stated </w:t>
      </w:r>
      <w:r w:rsidR="00415298" w:rsidRPr="000836C9">
        <w:rPr>
          <w:rFonts w:ascii="Calibri" w:hAnsi="Calibri" w:cs="Calibri"/>
          <w:sz w:val="22"/>
          <w:szCs w:val="22"/>
        </w:rPr>
        <w:t xml:space="preserve">that CMS uses total (that is, </w:t>
      </w:r>
      <w:r w:rsidR="008B2E0B">
        <w:rPr>
          <w:rFonts w:ascii="Calibri" w:hAnsi="Calibri" w:cs="Calibri"/>
          <w:sz w:val="22"/>
          <w:szCs w:val="22"/>
        </w:rPr>
        <w:t>“</w:t>
      </w:r>
      <w:r w:rsidRPr="000836C9">
        <w:rPr>
          <w:rFonts w:ascii="Calibri" w:hAnsi="Calibri" w:cs="Calibri"/>
          <w:sz w:val="22"/>
          <w:szCs w:val="22"/>
        </w:rPr>
        <w:t>paid and unpaid</w:t>
      </w:r>
      <w:r w:rsidR="008B2E0B">
        <w:rPr>
          <w:rFonts w:ascii="Calibri" w:hAnsi="Calibri" w:cs="Calibri"/>
          <w:sz w:val="22"/>
          <w:szCs w:val="22"/>
        </w:rPr>
        <w:t>”</w:t>
      </w:r>
      <w:r w:rsidRPr="000836C9">
        <w:rPr>
          <w:rFonts w:ascii="Calibri" w:hAnsi="Calibri" w:cs="Calibri"/>
          <w:sz w:val="22"/>
          <w:szCs w:val="22"/>
        </w:rPr>
        <w:t xml:space="preserve">) Medicare days in the denominator of the SSI fraction but uses paid SSI days in the numerator of the SSI fraction. The commenter requested that CMS interpret the word </w:t>
      </w:r>
      <w:r w:rsidR="00252ED7">
        <w:rPr>
          <w:rFonts w:ascii="Calibri" w:hAnsi="Calibri" w:cs="Calibri"/>
          <w:sz w:val="22"/>
          <w:szCs w:val="22"/>
        </w:rPr>
        <w:t>“</w:t>
      </w:r>
      <w:r w:rsidRPr="000836C9">
        <w:rPr>
          <w:rFonts w:ascii="Calibri" w:hAnsi="Calibri" w:cs="Calibri"/>
          <w:sz w:val="22"/>
          <w:szCs w:val="22"/>
        </w:rPr>
        <w:t>entitled</w:t>
      </w:r>
      <w:r w:rsidR="007D3183">
        <w:rPr>
          <w:rFonts w:ascii="Calibri" w:hAnsi="Calibri" w:cs="Calibri"/>
          <w:sz w:val="22"/>
          <w:szCs w:val="22"/>
        </w:rPr>
        <w:t>”</w:t>
      </w:r>
      <w:r w:rsidRPr="000836C9">
        <w:rPr>
          <w:rFonts w:ascii="Calibri" w:hAnsi="Calibri" w:cs="Calibri"/>
          <w:sz w:val="22"/>
          <w:szCs w:val="22"/>
        </w:rPr>
        <w:t xml:space="preserve"> to mean </w:t>
      </w:r>
      <w:r w:rsidR="006B243B">
        <w:rPr>
          <w:rFonts w:ascii="Calibri" w:hAnsi="Calibri" w:cs="Calibri"/>
          <w:sz w:val="22"/>
          <w:szCs w:val="22"/>
        </w:rPr>
        <w:t>“</w:t>
      </w:r>
      <w:r w:rsidRPr="000836C9">
        <w:rPr>
          <w:rFonts w:ascii="Calibri" w:hAnsi="Calibri" w:cs="Calibri"/>
          <w:sz w:val="22"/>
          <w:szCs w:val="22"/>
        </w:rPr>
        <w:t>paid</w:t>
      </w:r>
      <w:r w:rsidR="007D3183">
        <w:rPr>
          <w:rFonts w:ascii="Calibri" w:hAnsi="Calibri" w:cs="Calibri"/>
          <w:sz w:val="22"/>
          <w:szCs w:val="22"/>
        </w:rPr>
        <w:t>”</w:t>
      </w:r>
      <w:r w:rsidRPr="000836C9">
        <w:rPr>
          <w:rFonts w:ascii="Calibri" w:hAnsi="Calibri" w:cs="Calibri"/>
          <w:sz w:val="22"/>
          <w:szCs w:val="22"/>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14:paraId="2C8C2C2B" w14:textId="77777777" w:rsidR="008D4151" w:rsidRPr="000836C9" w:rsidRDefault="00D63428" w:rsidP="000C7A0F">
      <w:pPr>
        <w:pStyle w:val="HTMLPreformatted"/>
        <w:ind w:left="720" w:right="720"/>
        <w:rPr>
          <w:rFonts w:ascii="Calibri" w:hAnsi="Calibri" w:cs="Calibri"/>
          <w:sz w:val="22"/>
          <w:szCs w:val="22"/>
        </w:rPr>
      </w:pPr>
      <w:r w:rsidRPr="000836C9">
        <w:rPr>
          <w:rFonts w:ascii="Calibri" w:hAnsi="Calibri" w:cs="Calibri"/>
          <w:sz w:val="22"/>
          <w:szCs w:val="22"/>
        </w:rPr>
        <w:t xml:space="preserve">     </w:t>
      </w:r>
    </w:p>
    <w:p w14:paraId="188732EF" w14:textId="77777777" w:rsidR="0075323E" w:rsidRPr="0075323E" w:rsidRDefault="0075323E" w:rsidP="0075323E">
      <w:pPr>
        <w:pStyle w:val="HTMLPreformatted"/>
        <w:ind w:left="720" w:right="720"/>
        <w:jc w:val="both"/>
        <w:rPr>
          <w:rFonts w:ascii="Calibri" w:hAnsi="Calibri" w:cs="Arial"/>
          <w:sz w:val="22"/>
          <w:szCs w:val="22"/>
        </w:rPr>
      </w:pPr>
      <w:r w:rsidRPr="0075323E">
        <w:rPr>
          <w:rFonts w:ascii="Calibri" w:hAnsi="Calibri" w:cs="Arial"/>
          <w:sz w:val="22"/>
          <w:szCs w:val="22"/>
        </w:rPr>
        <w:t xml:space="preserve">     E01 and E02</w:t>
      </w:r>
    </w:p>
    <w:p w14:paraId="15B9AEFA" w14:textId="77777777" w:rsidR="0075323E" w:rsidRPr="0075323E" w:rsidRDefault="0075323E" w:rsidP="0075323E">
      <w:pPr>
        <w:pStyle w:val="HTMLPreformatted"/>
        <w:ind w:left="720" w:right="720"/>
        <w:jc w:val="both"/>
        <w:rPr>
          <w:rFonts w:ascii="Calibri" w:hAnsi="Calibri" w:cs="Arial"/>
          <w:sz w:val="22"/>
          <w:szCs w:val="22"/>
        </w:rPr>
      </w:pPr>
      <w:r w:rsidRPr="0075323E">
        <w:rPr>
          <w:rFonts w:ascii="Calibri" w:hAnsi="Calibri" w:cs="Arial"/>
          <w:sz w:val="22"/>
          <w:szCs w:val="22"/>
        </w:rPr>
        <w:t xml:space="preserve">     N06, N10, N11, N18, N35, N39, N42, N43, N46, N50, and N54</w:t>
      </w:r>
    </w:p>
    <w:p w14:paraId="0F7A707C" w14:textId="77777777" w:rsidR="0075323E" w:rsidRPr="0075323E" w:rsidRDefault="0075323E" w:rsidP="0075323E">
      <w:pPr>
        <w:pStyle w:val="HTMLPreformatted"/>
        <w:ind w:left="720" w:right="720"/>
        <w:jc w:val="both"/>
        <w:rPr>
          <w:rFonts w:ascii="Calibri" w:hAnsi="Calibri" w:cs="Arial"/>
          <w:sz w:val="22"/>
          <w:szCs w:val="22"/>
        </w:rPr>
      </w:pPr>
      <w:r w:rsidRPr="0075323E">
        <w:rPr>
          <w:rFonts w:ascii="Calibri" w:hAnsi="Calibri" w:cs="Arial"/>
          <w:sz w:val="22"/>
          <w:szCs w:val="22"/>
        </w:rPr>
        <w:t xml:space="preserve">     P01</w:t>
      </w:r>
    </w:p>
    <w:p w14:paraId="6739F958" w14:textId="77777777" w:rsidR="0075323E" w:rsidRPr="0075323E" w:rsidRDefault="0075323E" w:rsidP="0075323E">
      <w:pPr>
        <w:pStyle w:val="HTMLPreformatted"/>
        <w:ind w:left="720" w:right="720"/>
        <w:jc w:val="both"/>
        <w:rPr>
          <w:rFonts w:ascii="Calibri" w:hAnsi="Calibri" w:cs="Arial"/>
          <w:sz w:val="22"/>
          <w:szCs w:val="22"/>
        </w:rPr>
      </w:pPr>
      <w:r w:rsidRPr="0075323E">
        <w:rPr>
          <w:rFonts w:ascii="Calibri" w:hAnsi="Calibri" w:cs="Arial"/>
          <w:sz w:val="22"/>
          <w:szCs w:val="22"/>
        </w:rPr>
        <w:t xml:space="preserve">     S04, S05, S06, S07, S08, S09, S10, S20, S21, S90, and S91</w:t>
      </w:r>
    </w:p>
    <w:p w14:paraId="361F9CEE" w14:textId="77777777" w:rsidR="0075323E" w:rsidRPr="0075323E" w:rsidRDefault="0075323E" w:rsidP="0075323E">
      <w:pPr>
        <w:pStyle w:val="HTMLPreformatted"/>
        <w:ind w:left="720" w:right="720"/>
        <w:jc w:val="both"/>
        <w:rPr>
          <w:rFonts w:ascii="Calibri" w:hAnsi="Calibri" w:cs="Arial"/>
          <w:sz w:val="22"/>
          <w:szCs w:val="22"/>
        </w:rPr>
      </w:pPr>
      <w:r w:rsidRPr="0075323E">
        <w:rPr>
          <w:rFonts w:ascii="Calibri" w:hAnsi="Calibri" w:cs="Arial"/>
          <w:sz w:val="22"/>
          <w:szCs w:val="22"/>
        </w:rPr>
        <w:t xml:space="preserve">     T01, T20, T22, and T31</w:t>
      </w:r>
    </w:p>
    <w:p w14:paraId="75D428E1" w14:textId="77777777" w:rsidR="008D4151" w:rsidRPr="000836C9" w:rsidRDefault="008D4151" w:rsidP="000C7A0F">
      <w:pPr>
        <w:pStyle w:val="BodyText"/>
        <w:spacing w:before="120" w:line="360" w:lineRule="auto"/>
        <w:rPr>
          <w:rFonts w:ascii="Calibri" w:hAnsi="Calibri" w:cs="Calibri"/>
          <w:sz w:val="22"/>
          <w:szCs w:val="22"/>
        </w:rPr>
      </w:pPr>
    </w:p>
    <w:p w14:paraId="67313872" w14:textId="77777777" w:rsidR="00D63428" w:rsidRPr="000836C9" w:rsidRDefault="007D16A8" w:rsidP="008D4151">
      <w:pPr>
        <w:pStyle w:val="BodyText"/>
        <w:rPr>
          <w:rFonts w:ascii="Calibri" w:hAnsi="Calibri" w:cs="Calibri"/>
          <w:sz w:val="22"/>
          <w:szCs w:val="22"/>
        </w:rPr>
      </w:pPr>
      <w:r w:rsidRPr="000836C9">
        <w:rPr>
          <w:rFonts w:ascii="Calibri" w:hAnsi="Calibri" w:cs="Calibri"/>
          <w:sz w:val="22"/>
          <w:szCs w:val="22"/>
        </w:rPr>
        <w:t>CMS responded definitively to the concerns included in the comment:</w:t>
      </w:r>
    </w:p>
    <w:p w14:paraId="664F5F3A" w14:textId="77777777" w:rsidR="008D4151" w:rsidRPr="000836C9" w:rsidRDefault="008D4151" w:rsidP="000C7A0F">
      <w:pPr>
        <w:pStyle w:val="BodyText"/>
        <w:spacing w:before="120" w:line="360" w:lineRule="auto"/>
        <w:rPr>
          <w:rFonts w:ascii="Calibri" w:hAnsi="Calibri" w:cs="Calibri"/>
          <w:sz w:val="22"/>
          <w:szCs w:val="22"/>
        </w:rPr>
      </w:pPr>
    </w:p>
    <w:p w14:paraId="0E0530E7" w14:textId="35DEC001" w:rsidR="007D16A8" w:rsidRPr="000836C9" w:rsidRDefault="007D16A8" w:rsidP="000C7A0F">
      <w:pPr>
        <w:pStyle w:val="HTMLPreformatted"/>
        <w:ind w:left="720" w:right="720"/>
        <w:rPr>
          <w:rFonts w:ascii="Calibri" w:hAnsi="Calibri" w:cs="Calibri"/>
          <w:sz w:val="22"/>
          <w:szCs w:val="22"/>
        </w:rPr>
      </w:pPr>
      <w:r w:rsidRPr="000836C9">
        <w:rPr>
          <w:rFonts w:ascii="Calibri" w:hAnsi="Calibri" w:cs="Calibri"/>
          <w:sz w:val="22"/>
          <w:szCs w:val="22"/>
        </w:rPr>
        <w:t xml:space="preserve">In response to the comment that we are incorrectly applying a different standard in interpreting the word </w:t>
      </w:r>
      <w:r w:rsidR="00295C2B">
        <w:rPr>
          <w:rFonts w:ascii="Calibri" w:hAnsi="Calibri" w:cs="Calibri"/>
          <w:sz w:val="22"/>
          <w:szCs w:val="22"/>
        </w:rPr>
        <w:t>“</w:t>
      </w:r>
      <w:r w:rsidRPr="000836C9">
        <w:rPr>
          <w:rFonts w:ascii="Calibri" w:hAnsi="Calibri" w:cs="Calibri"/>
          <w:sz w:val="22"/>
          <w:szCs w:val="22"/>
        </w:rPr>
        <w:t>entitled</w:t>
      </w:r>
      <w:r w:rsidR="00295C2B">
        <w:rPr>
          <w:rFonts w:ascii="Calibri" w:hAnsi="Calibri" w:cs="Calibri"/>
          <w:sz w:val="22"/>
          <w:szCs w:val="22"/>
        </w:rPr>
        <w:t>”</w:t>
      </w:r>
      <w:r w:rsidRPr="000836C9">
        <w:rPr>
          <w:rFonts w:ascii="Calibri" w:hAnsi="Calibri" w:cs="Calibri"/>
          <w:sz w:val="22"/>
          <w:szCs w:val="22"/>
        </w:rPr>
        <w:t xml:space="preserve"> with respect to SSI entitlement versus Medicare entitlement, we disagree. The authorizing DSH statute at section 1886(d)(5)(F)(vi)(I) of the Act limits the numerator to individuals entitled to Medicare benefits who are also </w:t>
      </w:r>
      <w:r w:rsidR="00252ED7">
        <w:rPr>
          <w:rFonts w:ascii="Calibri" w:hAnsi="Calibri" w:cs="Calibri"/>
          <w:sz w:val="22"/>
          <w:szCs w:val="22"/>
        </w:rPr>
        <w:t>“</w:t>
      </w:r>
      <w:r w:rsidRPr="000836C9">
        <w:rPr>
          <w:rFonts w:ascii="Calibri" w:hAnsi="Calibri" w:cs="Calibri"/>
          <w:sz w:val="22"/>
          <w:szCs w:val="22"/>
        </w:rPr>
        <w:t>entitled to supplemental security income benefits (excluding any State suppleme</w:t>
      </w:r>
      <w:r w:rsidR="001E6614" w:rsidRPr="000836C9">
        <w:rPr>
          <w:rFonts w:ascii="Calibri" w:hAnsi="Calibri" w:cs="Calibri"/>
          <w:sz w:val="22"/>
          <w:szCs w:val="22"/>
        </w:rPr>
        <w:t>ntation)</w:t>
      </w:r>
      <w:r w:rsidR="007D3183">
        <w:rPr>
          <w:rFonts w:ascii="Calibri" w:hAnsi="Calibri" w:cs="Calibri"/>
          <w:sz w:val="22"/>
          <w:szCs w:val="22"/>
        </w:rPr>
        <w:t>”</w:t>
      </w:r>
      <w:r w:rsidR="001E6614" w:rsidRPr="000836C9">
        <w:rPr>
          <w:rFonts w:ascii="Calibri" w:hAnsi="Calibri" w:cs="Calibri"/>
          <w:sz w:val="22"/>
          <w:szCs w:val="22"/>
        </w:rPr>
        <w:t xml:space="preserve"> (emphasis added).</w:t>
      </w:r>
      <w:r w:rsidRPr="000836C9">
        <w:rPr>
          <w:rFonts w:ascii="Calibri" w:hAnsi="Calibri" w:cs="Calibri"/>
          <w:sz w:val="22"/>
          <w:szCs w:val="22"/>
        </w:rPr>
        <w:t xml:space="preserve"> Consistent with this requirement, we have requested, and are using in the data matching process, those SSA codes that reflect </w:t>
      </w:r>
      <w:r w:rsidR="00252ED7">
        <w:rPr>
          <w:rFonts w:ascii="Calibri" w:hAnsi="Calibri" w:cs="Calibri"/>
          <w:sz w:val="22"/>
          <w:szCs w:val="22"/>
        </w:rPr>
        <w:t>“</w:t>
      </w:r>
      <w:r w:rsidRPr="000836C9">
        <w:rPr>
          <w:rFonts w:ascii="Calibri" w:hAnsi="Calibri" w:cs="Calibri"/>
          <w:sz w:val="22"/>
          <w:szCs w:val="22"/>
        </w:rPr>
        <w:t>entitlement to</w:t>
      </w:r>
      <w:r w:rsidR="007D3183">
        <w:rPr>
          <w:rFonts w:ascii="Calibri" w:hAnsi="Calibri" w:cs="Calibri"/>
          <w:sz w:val="22"/>
          <w:szCs w:val="22"/>
        </w:rPr>
        <w:t>”</w:t>
      </w:r>
      <w:r w:rsidRPr="000836C9">
        <w:rPr>
          <w:rFonts w:ascii="Calibri" w:hAnsi="Calibri" w:cs="Calibri"/>
          <w:sz w:val="22"/>
          <w:szCs w:val="22"/>
        </w:rPr>
        <w:t xml:space="preserve"> receive SSI benefits. Section 1602 of the Act provides that </w:t>
      </w:r>
      <w:r w:rsidR="00252ED7">
        <w:rPr>
          <w:rFonts w:ascii="Calibri" w:hAnsi="Calibri" w:cs="Calibri"/>
          <w:sz w:val="22"/>
          <w:szCs w:val="22"/>
        </w:rPr>
        <w:t>“</w:t>
      </w:r>
      <w:r w:rsidRPr="000836C9">
        <w:rPr>
          <w:rFonts w:ascii="Calibri" w:hAnsi="Calibri" w:cs="Calibri"/>
          <w:sz w:val="22"/>
          <w:szCs w:val="22"/>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7D3183">
        <w:rPr>
          <w:rFonts w:ascii="Calibri" w:hAnsi="Calibri" w:cs="Calibri"/>
          <w:sz w:val="22"/>
          <w:szCs w:val="22"/>
        </w:rPr>
        <w:t>”</w:t>
      </w:r>
      <w:r w:rsidRPr="000836C9">
        <w:rPr>
          <w:rFonts w:ascii="Calibri" w:hAnsi="Calibri" w:cs="Calibri"/>
          <w:sz w:val="22"/>
          <w:szCs w:val="22"/>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p>
    <w:p w14:paraId="7831D8EB" w14:textId="77777777" w:rsidR="001E6614" w:rsidRPr="000836C9" w:rsidRDefault="00B65F02" w:rsidP="000C7A0F">
      <w:pPr>
        <w:pStyle w:val="BodyText"/>
        <w:spacing w:before="120" w:line="360" w:lineRule="auto"/>
        <w:rPr>
          <w:rFonts w:ascii="Calibri" w:hAnsi="Calibri" w:cs="Calibri"/>
          <w:sz w:val="22"/>
          <w:szCs w:val="22"/>
        </w:rPr>
      </w:pPr>
      <w:r w:rsidRPr="000836C9">
        <w:rPr>
          <w:rFonts w:ascii="Calibri" w:hAnsi="Calibri" w:cs="Calibri"/>
          <w:sz w:val="22"/>
          <w:szCs w:val="22"/>
        </w:rPr>
        <w:lastRenderedPageBreak/>
        <w:t>75 Fed. Reg. 50,041, 50,280 (Aug. 16, 2010).</w:t>
      </w:r>
    </w:p>
    <w:p w14:paraId="2B5BA8C2" w14:textId="77777777" w:rsidR="00C22CC5" w:rsidRPr="000836C9" w:rsidRDefault="00C22CC5" w:rsidP="008D4151">
      <w:pPr>
        <w:pStyle w:val="BodyText"/>
        <w:rPr>
          <w:rFonts w:ascii="Calibri" w:hAnsi="Calibri" w:cs="Calibri"/>
          <w:sz w:val="22"/>
          <w:szCs w:val="22"/>
        </w:rPr>
      </w:pPr>
    </w:p>
    <w:p w14:paraId="7665D7D7" w14:textId="77777777" w:rsidR="007D16A8" w:rsidRPr="000836C9" w:rsidRDefault="007D16A8" w:rsidP="008D4151">
      <w:pPr>
        <w:pStyle w:val="BodyText"/>
        <w:rPr>
          <w:rFonts w:ascii="Calibri" w:hAnsi="Calibri" w:cs="Calibri"/>
          <w:sz w:val="22"/>
          <w:szCs w:val="22"/>
        </w:rPr>
      </w:pPr>
      <w:r w:rsidRPr="000836C9">
        <w:rPr>
          <w:rFonts w:ascii="Calibri" w:hAnsi="Calibri" w:cs="Calibri"/>
          <w:sz w:val="22"/>
          <w:szCs w:val="22"/>
        </w:rPr>
        <w:t>Later in CMS’</w:t>
      </w:r>
      <w:r w:rsidR="009E7671" w:rsidRPr="000836C9">
        <w:rPr>
          <w:rFonts w:ascii="Calibri" w:hAnsi="Calibri" w:cs="Calibri"/>
          <w:sz w:val="22"/>
          <w:szCs w:val="22"/>
        </w:rPr>
        <w:t>s</w:t>
      </w:r>
      <w:r w:rsidRPr="000836C9">
        <w:rPr>
          <w:rFonts w:ascii="Calibri" w:hAnsi="Calibri" w:cs="Calibri"/>
          <w:sz w:val="22"/>
          <w:szCs w:val="22"/>
        </w:rPr>
        <w:t xml:space="preserve"> response, it addressed each code submitted in the comment and explained why</w:t>
      </w:r>
      <w:r w:rsidR="009E7671" w:rsidRPr="000836C9">
        <w:rPr>
          <w:rFonts w:ascii="Calibri" w:hAnsi="Calibri" w:cs="Calibri"/>
          <w:sz w:val="22"/>
          <w:szCs w:val="22"/>
        </w:rPr>
        <w:t xml:space="preserve"> days with these codes did not establish that the patients were entitled to SSI benefits.</w:t>
      </w:r>
      <w:r w:rsidR="00B65F02" w:rsidRPr="000836C9">
        <w:rPr>
          <w:rFonts w:ascii="Calibri" w:hAnsi="Calibri" w:cs="Calibri"/>
          <w:sz w:val="22"/>
          <w:szCs w:val="22"/>
        </w:rPr>
        <w:t xml:space="preserve">  </w:t>
      </w:r>
      <w:r w:rsidR="00B65F02" w:rsidRPr="000836C9">
        <w:rPr>
          <w:rFonts w:ascii="Calibri" w:hAnsi="Calibri" w:cs="Calibri"/>
          <w:i/>
          <w:sz w:val="22"/>
          <w:szCs w:val="22"/>
        </w:rPr>
        <w:t>Id.</w:t>
      </w:r>
      <w:r w:rsidR="00B65F02" w:rsidRPr="000836C9">
        <w:rPr>
          <w:rFonts w:ascii="Calibri" w:hAnsi="Calibri" w:cs="Calibri"/>
          <w:sz w:val="22"/>
          <w:szCs w:val="22"/>
        </w:rPr>
        <w:t>, at 50,281.</w:t>
      </w:r>
    </w:p>
    <w:p w14:paraId="3C164A3E" w14:textId="77777777" w:rsidR="00C22CC5" w:rsidRPr="000836C9" w:rsidRDefault="00C22CC5" w:rsidP="008D4151">
      <w:pPr>
        <w:pStyle w:val="BodyText"/>
        <w:rPr>
          <w:rFonts w:ascii="Calibri" w:hAnsi="Calibri" w:cs="Calibri"/>
          <w:b/>
          <w:sz w:val="22"/>
          <w:szCs w:val="22"/>
        </w:rPr>
      </w:pPr>
    </w:p>
    <w:p w14:paraId="3E2AFF2B" w14:textId="77777777" w:rsidR="002127C8" w:rsidRPr="000836C9" w:rsidRDefault="00FB4313" w:rsidP="008D4151">
      <w:pPr>
        <w:pStyle w:val="BodyText"/>
        <w:rPr>
          <w:rFonts w:ascii="Calibri" w:hAnsi="Calibri" w:cs="Calibri"/>
          <w:sz w:val="22"/>
          <w:szCs w:val="22"/>
        </w:rPr>
      </w:pPr>
      <w:r w:rsidRPr="000836C9">
        <w:rPr>
          <w:rFonts w:ascii="Calibri" w:hAnsi="Calibri" w:cs="Calibri"/>
          <w:sz w:val="22"/>
          <w:szCs w:val="22"/>
        </w:rPr>
        <w:t xml:space="preserve">The </w:t>
      </w:r>
      <w:r w:rsidR="00DA618E" w:rsidRPr="000836C9">
        <w:rPr>
          <w:rFonts w:ascii="Calibri" w:hAnsi="Calibri" w:cs="Calibri"/>
          <w:sz w:val="22"/>
          <w:szCs w:val="22"/>
        </w:rPr>
        <w:t>p</w:t>
      </w:r>
      <w:r w:rsidRPr="000836C9">
        <w:rPr>
          <w:rFonts w:ascii="Calibri" w:hAnsi="Calibri" w:cs="Calibri"/>
          <w:sz w:val="22"/>
          <w:szCs w:val="22"/>
        </w:rPr>
        <w:t xml:space="preserve">roviders complain that </w:t>
      </w:r>
      <w:r w:rsidR="009E7671" w:rsidRPr="000836C9">
        <w:rPr>
          <w:rFonts w:ascii="Calibri" w:hAnsi="Calibri" w:cs="Calibri"/>
          <w:sz w:val="22"/>
          <w:szCs w:val="22"/>
        </w:rPr>
        <w:t>CMS’s determination is improper because certain codes merely indicate that patients did not receive payments, even though they may, nevertheless, have</w:t>
      </w:r>
      <w:r w:rsidR="00622218" w:rsidRPr="000836C9">
        <w:rPr>
          <w:rFonts w:ascii="Calibri" w:hAnsi="Calibri" w:cs="Calibri"/>
          <w:sz w:val="22"/>
          <w:szCs w:val="22"/>
        </w:rPr>
        <w:t xml:space="preserve"> be</w:t>
      </w:r>
      <w:r w:rsidR="00E87773" w:rsidRPr="000836C9">
        <w:rPr>
          <w:rFonts w:ascii="Calibri" w:hAnsi="Calibri" w:cs="Calibri"/>
          <w:sz w:val="22"/>
          <w:szCs w:val="22"/>
        </w:rPr>
        <w:t xml:space="preserve">en entitled to SSI benefits under the </w:t>
      </w:r>
      <w:r w:rsidR="00DA618E" w:rsidRPr="000836C9">
        <w:rPr>
          <w:rFonts w:ascii="Calibri" w:hAnsi="Calibri" w:cs="Calibri"/>
          <w:sz w:val="22"/>
          <w:szCs w:val="22"/>
        </w:rPr>
        <w:t>p</w:t>
      </w:r>
      <w:r w:rsidR="00E87773" w:rsidRPr="000836C9">
        <w:rPr>
          <w:rFonts w:ascii="Calibri" w:hAnsi="Calibri" w:cs="Calibri"/>
          <w:sz w:val="22"/>
          <w:szCs w:val="22"/>
        </w:rPr>
        <w:t>roviders’ theory that patients were entitled to benefits merely because they enrolled in the SSI program, even in months where they neither received benefits nor were even eligible to receive benefits, merely because they had not yet been officially terminated f</w:t>
      </w:r>
      <w:r w:rsidR="00A81F65" w:rsidRPr="000836C9">
        <w:rPr>
          <w:rFonts w:ascii="Calibri" w:hAnsi="Calibri" w:cs="Calibri"/>
          <w:sz w:val="22"/>
          <w:szCs w:val="22"/>
        </w:rPr>
        <w:t>rom</w:t>
      </w:r>
      <w:r w:rsidR="00E87773" w:rsidRPr="000836C9">
        <w:rPr>
          <w:rFonts w:ascii="Calibri" w:hAnsi="Calibri" w:cs="Calibri"/>
          <w:sz w:val="22"/>
          <w:szCs w:val="22"/>
        </w:rPr>
        <w:t xml:space="preserve"> the SSI program.</w:t>
      </w:r>
      <w:r w:rsidR="009E7671" w:rsidRPr="000836C9">
        <w:rPr>
          <w:rFonts w:ascii="Calibri" w:hAnsi="Calibri" w:cs="Calibri"/>
          <w:sz w:val="22"/>
          <w:szCs w:val="22"/>
        </w:rPr>
        <w:t xml:space="preserve"> The </w:t>
      </w:r>
      <w:r w:rsidR="00DA618E" w:rsidRPr="000836C9">
        <w:rPr>
          <w:rFonts w:ascii="Calibri" w:hAnsi="Calibri" w:cs="Calibri"/>
          <w:sz w:val="22"/>
          <w:szCs w:val="22"/>
        </w:rPr>
        <w:t>p</w:t>
      </w:r>
      <w:r w:rsidR="009E7671" w:rsidRPr="000836C9">
        <w:rPr>
          <w:rFonts w:ascii="Calibri" w:hAnsi="Calibri" w:cs="Calibri"/>
          <w:sz w:val="22"/>
          <w:szCs w:val="22"/>
        </w:rPr>
        <w:t>roviders</w:t>
      </w:r>
      <w:r w:rsidR="00DA618E" w:rsidRPr="000836C9">
        <w:rPr>
          <w:rFonts w:ascii="Calibri" w:hAnsi="Calibri" w:cs="Calibri"/>
          <w:sz w:val="22"/>
          <w:szCs w:val="22"/>
        </w:rPr>
        <w:t xml:space="preserve"> </w:t>
      </w:r>
      <w:r w:rsidR="009E7671" w:rsidRPr="000836C9">
        <w:rPr>
          <w:rFonts w:ascii="Calibri" w:hAnsi="Calibri" w:cs="Calibri"/>
          <w:sz w:val="22"/>
          <w:szCs w:val="22"/>
        </w:rPr>
        <w:t xml:space="preserve">are improperly attempting to shift the burden of proof to CMS to prove that </w:t>
      </w:r>
      <w:r w:rsidR="00927843" w:rsidRPr="000836C9">
        <w:rPr>
          <w:rFonts w:ascii="Calibri" w:hAnsi="Calibri" w:cs="Calibri"/>
          <w:sz w:val="22"/>
          <w:szCs w:val="22"/>
        </w:rPr>
        <w:t>these patients wer</w:t>
      </w:r>
      <w:r w:rsidR="00622218" w:rsidRPr="000836C9">
        <w:rPr>
          <w:rFonts w:ascii="Calibri" w:hAnsi="Calibri" w:cs="Calibri"/>
          <w:sz w:val="22"/>
          <w:szCs w:val="22"/>
        </w:rPr>
        <w:t>e not entitled to SSI benefits.</w:t>
      </w:r>
      <w:r w:rsidR="00927843" w:rsidRPr="000836C9">
        <w:rPr>
          <w:rFonts w:ascii="Calibri" w:hAnsi="Calibri" w:cs="Calibri"/>
          <w:sz w:val="22"/>
          <w:szCs w:val="22"/>
        </w:rPr>
        <w:t xml:space="preserve"> In fact, the burden is on the </w:t>
      </w:r>
      <w:r w:rsidR="00DA618E" w:rsidRPr="000836C9">
        <w:rPr>
          <w:rFonts w:ascii="Calibri" w:hAnsi="Calibri" w:cs="Calibri"/>
          <w:sz w:val="22"/>
          <w:szCs w:val="22"/>
        </w:rPr>
        <w:t>p</w:t>
      </w:r>
      <w:r w:rsidR="00927843" w:rsidRPr="000836C9">
        <w:rPr>
          <w:rFonts w:ascii="Calibri" w:hAnsi="Calibri" w:cs="Calibri"/>
          <w:sz w:val="22"/>
          <w:szCs w:val="22"/>
        </w:rPr>
        <w:t xml:space="preserve">roviders to demonstrate that these patients </w:t>
      </w:r>
      <w:r w:rsidR="00927843" w:rsidRPr="000836C9">
        <w:rPr>
          <w:rFonts w:ascii="Calibri" w:hAnsi="Calibri" w:cs="Calibri"/>
          <w:sz w:val="22"/>
          <w:szCs w:val="22"/>
          <w:u w:val="single"/>
        </w:rPr>
        <w:t>were</w:t>
      </w:r>
      <w:r w:rsidR="00927843" w:rsidRPr="000836C9">
        <w:rPr>
          <w:rFonts w:ascii="Calibri" w:hAnsi="Calibri" w:cs="Calibri"/>
          <w:sz w:val="22"/>
          <w:szCs w:val="22"/>
        </w:rPr>
        <w:t xml:space="preserve"> entitled to SSI benefits.</w:t>
      </w:r>
      <w:r w:rsidR="003955FC" w:rsidRPr="000836C9">
        <w:rPr>
          <w:rFonts w:ascii="Calibri" w:hAnsi="Calibri" w:cs="Calibri"/>
          <w:sz w:val="22"/>
          <w:szCs w:val="22"/>
        </w:rPr>
        <w:t xml:space="preserve"> </w:t>
      </w:r>
      <w:r w:rsidR="000B6E68">
        <w:rPr>
          <w:rFonts w:ascii="Calibri" w:hAnsi="Calibri" w:cs="Calibri"/>
          <w:sz w:val="22"/>
          <w:szCs w:val="22"/>
        </w:rPr>
        <w:t>T</w:t>
      </w:r>
      <w:r w:rsidR="003955FC" w:rsidRPr="000836C9">
        <w:rPr>
          <w:rFonts w:ascii="Calibri" w:hAnsi="Calibri" w:cs="Calibri"/>
          <w:sz w:val="22"/>
          <w:szCs w:val="22"/>
        </w:rPr>
        <w:t xml:space="preserve">o establish a right to relief, it is not enough for the </w:t>
      </w:r>
      <w:r w:rsidR="00DA618E" w:rsidRPr="000836C9">
        <w:rPr>
          <w:rFonts w:ascii="Calibri" w:hAnsi="Calibri" w:cs="Calibri"/>
          <w:sz w:val="22"/>
          <w:szCs w:val="22"/>
        </w:rPr>
        <w:t>p</w:t>
      </w:r>
      <w:r w:rsidR="003955FC" w:rsidRPr="000836C9">
        <w:rPr>
          <w:rFonts w:ascii="Calibri" w:hAnsi="Calibri" w:cs="Calibri"/>
          <w:sz w:val="22"/>
          <w:szCs w:val="22"/>
        </w:rPr>
        <w:t xml:space="preserve">roviders </w:t>
      </w:r>
      <w:r w:rsidR="00927843" w:rsidRPr="000836C9">
        <w:rPr>
          <w:rFonts w:ascii="Calibri" w:hAnsi="Calibri" w:cs="Calibri"/>
          <w:sz w:val="22"/>
          <w:szCs w:val="22"/>
        </w:rPr>
        <w:t>merely to identify a possible reason why a patient might still have been entitled to SSI benefits notwithstanding a code indicating that this pat</w:t>
      </w:r>
      <w:r w:rsidR="004510E9" w:rsidRPr="000836C9">
        <w:rPr>
          <w:rFonts w:ascii="Calibri" w:hAnsi="Calibri" w:cs="Calibri"/>
          <w:sz w:val="22"/>
          <w:szCs w:val="22"/>
        </w:rPr>
        <w:t>ient did not receive benefits.</w:t>
      </w:r>
      <w:r w:rsidR="00A83B7E" w:rsidRPr="000836C9">
        <w:rPr>
          <w:rFonts w:ascii="Calibri" w:hAnsi="Calibri" w:cs="Calibri"/>
          <w:sz w:val="22"/>
          <w:szCs w:val="22"/>
        </w:rPr>
        <w:t xml:space="preserve"> The providers are simply arguing that there may be additional SSI days. They have not substantiated </w:t>
      </w:r>
      <w:r w:rsidR="000B6E68">
        <w:rPr>
          <w:rFonts w:ascii="Calibri" w:hAnsi="Calibri" w:cs="Calibri"/>
          <w:sz w:val="22"/>
          <w:szCs w:val="22"/>
        </w:rPr>
        <w:t>e</w:t>
      </w:r>
      <w:r w:rsidR="00A83B7E" w:rsidRPr="000836C9">
        <w:rPr>
          <w:rFonts w:ascii="Calibri" w:hAnsi="Calibri" w:cs="Calibri"/>
          <w:sz w:val="22"/>
          <w:szCs w:val="22"/>
        </w:rPr>
        <w:t>rrors exist within the Secretary’s SSI ratio</w:t>
      </w:r>
      <w:r w:rsidR="00DA618E" w:rsidRPr="000836C9">
        <w:rPr>
          <w:rFonts w:ascii="Calibri" w:hAnsi="Calibri" w:cs="Calibri"/>
          <w:sz w:val="22"/>
          <w:szCs w:val="22"/>
        </w:rPr>
        <w:t>s</w:t>
      </w:r>
      <w:r w:rsidR="00A83B7E" w:rsidRPr="000836C9">
        <w:rPr>
          <w:rFonts w:ascii="Calibri" w:hAnsi="Calibri" w:cs="Calibri"/>
          <w:sz w:val="22"/>
          <w:szCs w:val="22"/>
        </w:rPr>
        <w:t>, even though MEDPAR data has been available to the providers to reconcile their listings of SSI days they believe were omitted from their SSI percentages. The providers make a number of unsubstantiated allegations in their position paper.</w:t>
      </w:r>
      <w:r w:rsidR="002127C8" w:rsidRPr="000836C9">
        <w:rPr>
          <w:rFonts w:ascii="Calibri" w:hAnsi="Calibri" w:cs="Calibri"/>
          <w:sz w:val="22"/>
          <w:szCs w:val="22"/>
        </w:rPr>
        <w:t xml:space="preserve"> If additional SSI days exist, the group has failed to explain why, and more importantly, document that any specific days were not included in their SSI percentages. There is no support that any effort was put forth on the part of the providers to identify what </w:t>
      </w:r>
      <w:r w:rsidR="00DA618E" w:rsidRPr="000836C9">
        <w:rPr>
          <w:rFonts w:ascii="Calibri" w:hAnsi="Calibri" w:cs="Calibri"/>
          <w:sz w:val="22"/>
          <w:szCs w:val="22"/>
        </w:rPr>
        <w:t xml:space="preserve">additional </w:t>
      </w:r>
      <w:r w:rsidR="002127C8" w:rsidRPr="000836C9">
        <w:rPr>
          <w:rFonts w:ascii="Calibri" w:hAnsi="Calibri" w:cs="Calibri"/>
          <w:sz w:val="22"/>
          <w:szCs w:val="22"/>
        </w:rPr>
        <w:t>days if any should be included in their SSI percentages</w:t>
      </w:r>
      <w:r w:rsidR="00DA618E" w:rsidRPr="000836C9">
        <w:rPr>
          <w:rFonts w:ascii="Calibri" w:hAnsi="Calibri" w:cs="Calibri"/>
          <w:sz w:val="22"/>
          <w:szCs w:val="22"/>
        </w:rPr>
        <w:t>. T</w:t>
      </w:r>
      <w:r w:rsidR="002127C8" w:rsidRPr="000836C9">
        <w:rPr>
          <w:rFonts w:ascii="Calibri" w:hAnsi="Calibri" w:cs="Calibri"/>
          <w:sz w:val="22"/>
          <w:szCs w:val="22"/>
        </w:rPr>
        <w:t>he providers failed to even supply a total listing of days they believe should be included in their respective SSI percentages.</w:t>
      </w:r>
    </w:p>
    <w:p w14:paraId="128BFBE0" w14:textId="77777777" w:rsidR="00C22CC5" w:rsidRPr="000836C9" w:rsidRDefault="00C22CC5" w:rsidP="008D4151">
      <w:pPr>
        <w:pStyle w:val="BodyText"/>
        <w:rPr>
          <w:rFonts w:ascii="Calibri" w:hAnsi="Calibri" w:cs="Calibri"/>
          <w:sz w:val="22"/>
          <w:szCs w:val="22"/>
        </w:rPr>
      </w:pPr>
    </w:p>
    <w:p w14:paraId="1F4A7F64" w14:textId="77777777" w:rsidR="009E7671" w:rsidRPr="000836C9" w:rsidRDefault="00E114AB" w:rsidP="008D4151">
      <w:pPr>
        <w:pStyle w:val="BodyText"/>
        <w:rPr>
          <w:rFonts w:ascii="Calibri" w:hAnsi="Calibri" w:cs="Calibri"/>
          <w:sz w:val="22"/>
          <w:szCs w:val="22"/>
        </w:rPr>
      </w:pPr>
      <w:r w:rsidRPr="000836C9">
        <w:rPr>
          <w:rFonts w:ascii="Calibri" w:hAnsi="Calibri" w:cs="Calibri"/>
          <w:sz w:val="22"/>
          <w:szCs w:val="22"/>
        </w:rPr>
        <w:lastRenderedPageBreak/>
        <w:t xml:space="preserve">The providers suggested that Medicaid eligibility should be used to substantiate SSI entitlement for dual-eligible beneficiaries. The providers are in possession, or have had access to their own records, Medicaid eligibility data, and MEDPAR data. Nothing prevented the providers from submitting evidence to substantiate their position related to Medicaid data. </w:t>
      </w:r>
      <w:r w:rsidR="00275302" w:rsidRPr="000836C9">
        <w:rPr>
          <w:rFonts w:ascii="Calibri" w:hAnsi="Calibri" w:cs="Calibri"/>
          <w:sz w:val="22"/>
          <w:szCs w:val="22"/>
        </w:rPr>
        <w:t>Similar</w:t>
      </w:r>
      <w:r w:rsidR="0093397F" w:rsidRPr="000836C9">
        <w:rPr>
          <w:rFonts w:ascii="Calibri" w:hAnsi="Calibri" w:cs="Calibri"/>
          <w:sz w:val="22"/>
          <w:szCs w:val="22"/>
        </w:rPr>
        <w:t>ly</w:t>
      </w:r>
      <w:r w:rsidR="00275302" w:rsidRPr="000836C9">
        <w:rPr>
          <w:rFonts w:ascii="Calibri" w:hAnsi="Calibri" w:cs="Calibri"/>
          <w:sz w:val="22"/>
          <w:szCs w:val="22"/>
        </w:rPr>
        <w:t>, the provider made other allegations related to Medicare Part D benefits. Again, the providers are in possession, or have had access to their own records, Medicare Part D data, and MEDPAR data. Nothing prevented the providers from submitting evidence to substantiate their position related to Medicare Part D benefits.</w:t>
      </w:r>
    </w:p>
    <w:p w14:paraId="0805EFF4" w14:textId="77777777" w:rsidR="00C22CC5" w:rsidRPr="000836C9" w:rsidRDefault="00C22CC5" w:rsidP="008D4151">
      <w:pPr>
        <w:pStyle w:val="BodyText"/>
        <w:rPr>
          <w:rFonts w:ascii="Calibri" w:hAnsi="Calibri" w:cs="Calibri"/>
          <w:sz w:val="22"/>
          <w:szCs w:val="22"/>
        </w:rPr>
      </w:pPr>
    </w:p>
    <w:p w14:paraId="66D32833" w14:textId="77777777" w:rsidR="00027D31" w:rsidRPr="000836C9" w:rsidRDefault="00027D31" w:rsidP="008D4151">
      <w:pPr>
        <w:pStyle w:val="BodyText"/>
        <w:rPr>
          <w:rFonts w:ascii="Calibri" w:hAnsi="Calibri" w:cs="Calibri"/>
          <w:sz w:val="22"/>
          <w:szCs w:val="22"/>
        </w:rPr>
      </w:pPr>
      <w:r w:rsidRPr="000836C9">
        <w:rPr>
          <w:rFonts w:ascii="Calibri" w:hAnsi="Calibri" w:cs="Calibri"/>
          <w:sz w:val="22"/>
          <w:szCs w:val="22"/>
        </w:rPr>
        <w:t xml:space="preserve">The providers have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w:t>
      </w:r>
      <w:r w:rsidR="001262CA" w:rsidRPr="000836C9">
        <w:rPr>
          <w:rFonts w:ascii="Calibri" w:hAnsi="Calibri" w:cs="Calibri"/>
          <w:sz w:val="22"/>
          <w:szCs w:val="22"/>
        </w:rPr>
        <w:t>E</w:t>
      </w:r>
      <w:r w:rsidRPr="000836C9">
        <w:rPr>
          <w:rFonts w:ascii="Calibri" w:hAnsi="Calibri" w:cs="Calibri"/>
          <w:sz w:val="22"/>
          <w:szCs w:val="22"/>
        </w:rPr>
        <w:t xml:space="preserve">ach provider </w:t>
      </w:r>
      <w:r w:rsidR="002253D6" w:rsidRPr="000836C9">
        <w:rPr>
          <w:rFonts w:ascii="Calibri" w:hAnsi="Calibri" w:cs="Calibri"/>
          <w:sz w:val="22"/>
          <w:szCs w:val="22"/>
        </w:rPr>
        <w:t>should</w:t>
      </w:r>
      <w:r w:rsidRPr="000836C9">
        <w:rPr>
          <w:rFonts w:ascii="Calibri" w:hAnsi="Calibri" w:cs="Calibri"/>
          <w:sz w:val="22"/>
          <w:szCs w:val="22"/>
        </w:rPr>
        <w:t xml:space="preserve"> submit the listing of days they believed belong in their SSI percentages and identifying within such listing those days they believe have been omitted. The providers contend that there are additional codes they believe are wrongfully excluded from the match process. The contentions are speculative in nature </w:t>
      </w:r>
      <w:r w:rsidR="005C788C" w:rsidRPr="000836C9">
        <w:rPr>
          <w:rFonts w:ascii="Calibri" w:hAnsi="Calibri" w:cs="Calibri"/>
          <w:sz w:val="22"/>
          <w:szCs w:val="22"/>
        </w:rPr>
        <w:t>because</w:t>
      </w:r>
      <w:r w:rsidRPr="000836C9">
        <w:rPr>
          <w:rFonts w:ascii="Calibri" w:hAnsi="Calibri" w:cs="Calibri"/>
          <w:sz w:val="22"/>
          <w:szCs w:val="22"/>
        </w:rPr>
        <w:t xml:space="preserve"> none of the providers have submitted a listing of days or documented where MEDPAR data confirms any of the contentions. </w:t>
      </w:r>
      <w:r w:rsidR="00927843" w:rsidRPr="000836C9">
        <w:rPr>
          <w:rFonts w:ascii="Calibri" w:hAnsi="Calibri" w:cs="Calibri"/>
          <w:sz w:val="22"/>
          <w:szCs w:val="22"/>
        </w:rPr>
        <w:t>It is reasonable for CMS to conclude – until presented with evidence to the contrary – that patients who did not receive SSI benefits were not eli</w:t>
      </w:r>
      <w:r w:rsidR="00E87773" w:rsidRPr="000836C9">
        <w:rPr>
          <w:rFonts w:ascii="Calibri" w:hAnsi="Calibri" w:cs="Calibri"/>
          <w:sz w:val="22"/>
          <w:szCs w:val="22"/>
        </w:rPr>
        <w:t>gible to receive SSI benefits and thus were not entitled to receive benefits.</w:t>
      </w:r>
      <w:r w:rsidR="00E52B33" w:rsidRPr="000836C9">
        <w:rPr>
          <w:rFonts w:ascii="Calibri" w:hAnsi="Calibri" w:cs="Calibri"/>
          <w:sz w:val="22"/>
          <w:szCs w:val="22"/>
        </w:rPr>
        <w:t xml:space="preserve"> It is also reasonable for CMS to conclude that patients who were suspended from the SSI program and ineligible for SSI benefits, were also not entitled to receive benefits.</w:t>
      </w:r>
    </w:p>
    <w:p w14:paraId="4DBA0E15" w14:textId="77777777" w:rsidR="00C22CC5" w:rsidRPr="000836C9" w:rsidRDefault="00C22CC5" w:rsidP="008D4151">
      <w:pPr>
        <w:pStyle w:val="BodyText"/>
        <w:rPr>
          <w:rFonts w:ascii="Calibri" w:hAnsi="Calibri" w:cs="Calibri"/>
          <w:sz w:val="22"/>
          <w:szCs w:val="22"/>
        </w:rPr>
      </w:pPr>
    </w:p>
    <w:p w14:paraId="75BB287F" w14:textId="0511F834" w:rsidR="00912750" w:rsidRPr="000836C9" w:rsidRDefault="00912750" w:rsidP="008D4151">
      <w:pPr>
        <w:pStyle w:val="BodyText"/>
        <w:rPr>
          <w:rFonts w:ascii="Calibri" w:hAnsi="Calibri" w:cs="Calibri"/>
          <w:sz w:val="22"/>
          <w:szCs w:val="22"/>
        </w:rPr>
      </w:pPr>
      <w:r w:rsidRPr="000836C9">
        <w:rPr>
          <w:rFonts w:ascii="Calibri" w:hAnsi="Calibri" w:cs="Calibri"/>
          <w:sz w:val="22"/>
          <w:szCs w:val="22"/>
        </w:rPr>
        <w:t xml:space="preserve">The MAC contends that CMS properly included all SSI days that have been sufficiently documented for purposes of calculating the providers’ Medicare fractions. The providers contend that entitlement to SSI </w:t>
      </w:r>
      <w:r w:rsidRPr="000836C9">
        <w:rPr>
          <w:rFonts w:ascii="Calibri" w:hAnsi="Calibri" w:cs="Calibri"/>
          <w:sz w:val="22"/>
          <w:szCs w:val="22"/>
        </w:rPr>
        <w:lastRenderedPageBreak/>
        <w:t>benefits is analogous to entitlement to Medicare Part A. The MAC has previously pointed out that this is an “apples to oranges” comparison, as an individual becomes automatically entitled to Medicare Part A by reaching age 65 and filing an application</w:t>
      </w:r>
      <w:r w:rsidR="005C788C" w:rsidRPr="000836C9">
        <w:rPr>
          <w:rFonts w:ascii="Calibri" w:hAnsi="Calibri" w:cs="Calibri"/>
          <w:sz w:val="22"/>
          <w:szCs w:val="22"/>
        </w:rPr>
        <w:t xml:space="preserve"> </w:t>
      </w:r>
      <w:r w:rsidRPr="000836C9">
        <w:rPr>
          <w:rFonts w:ascii="Calibri" w:hAnsi="Calibri" w:cs="Calibri"/>
          <w:sz w:val="22"/>
          <w:szCs w:val="22"/>
        </w:rPr>
        <w:t>or becoming disabled and entitled to disability benefits before reaching retirement age.</w:t>
      </w:r>
      <w:r w:rsidR="00E1445A" w:rsidRPr="000836C9">
        <w:rPr>
          <w:rFonts w:ascii="Calibri" w:hAnsi="Calibri" w:cs="Calibri"/>
          <w:sz w:val="22"/>
          <w:szCs w:val="22"/>
          <w:vertAlign w:val="superscript"/>
        </w:rPr>
        <w:footnoteReference w:id="5"/>
      </w:r>
      <w:r w:rsidRPr="000836C9">
        <w:rPr>
          <w:rFonts w:ascii="Calibri" w:hAnsi="Calibri" w:cs="Calibri"/>
          <w:sz w:val="22"/>
          <w:szCs w:val="22"/>
        </w:rPr>
        <w:t xml:space="preserve"> The United States Court of Appeals for the District of Columbia Circuit spoke to the question of entitlement to Part A benefits in </w:t>
      </w:r>
      <w:r w:rsidRPr="000836C9">
        <w:rPr>
          <w:rFonts w:ascii="Calibri" w:hAnsi="Calibri" w:cs="Calibri"/>
          <w:i/>
          <w:sz w:val="22"/>
          <w:szCs w:val="22"/>
        </w:rPr>
        <w:t>Hall vs. Sebelius</w:t>
      </w:r>
      <w:r w:rsidRPr="000836C9">
        <w:rPr>
          <w:rFonts w:ascii="Calibri" w:hAnsi="Calibri" w:cs="Calibri"/>
          <w:sz w:val="22"/>
          <w:szCs w:val="22"/>
        </w:rPr>
        <w:t xml:space="preserve"> (Decided February 7, 2012, No. 1:08-cv-01715).</w:t>
      </w:r>
      <w:r w:rsidR="00E939F4" w:rsidRPr="00E939F4">
        <w:rPr>
          <w:rFonts w:ascii="Calibri" w:hAnsi="Calibri" w:cs="Calibri"/>
          <w:sz w:val="22"/>
          <w:szCs w:val="22"/>
          <w:vertAlign w:val="superscript"/>
        </w:rPr>
        <w:t xml:space="preserve"> </w:t>
      </w:r>
      <w:r w:rsidR="00E939F4" w:rsidRPr="000836C9">
        <w:rPr>
          <w:rFonts w:ascii="Calibri" w:hAnsi="Calibri" w:cs="Calibri"/>
          <w:sz w:val="22"/>
          <w:szCs w:val="22"/>
          <w:vertAlign w:val="superscript"/>
        </w:rPr>
        <w:footnoteReference w:id="6"/>
      </w:r>
      <w:r w:rsidRPr="000836C9">
        <w:rPr>
          <w:rFonts w:ascii="Calibri" w:hAnsi="Calibri" w:cs="Calibri"/>
          <w:sz w:val="22"/>
          <w:szCs w:val="22"/>
        </w:rPr>
        <w:t xml:space="preserve"> In its opinion, the Court stated:</w:t>
      </w:r>
    </w:p>
    <w:p w14:paraId="280D8D6B" w14:textId="77777777" w:rsidR="00C22CC5" w:rsidRPr="000836C9" w:rsidRDefault="00C22CC5" w:rsidP="008D4151">
      <w:pPr>
        <w:pStyle w:val="BodyText"/>
        <w:rPr>
          <w:rFonts w:ascii="Calibri" w:hAnsi="Calibri" w:cs="Calibri"/>
          <w:sz w:val="22"/>
          <w:szCs w:val="22"/>
        </w:rPr>
      </w:pPr>
    </w:p>
    <w:p w14:paraId="2AF71053" w14:textId="77777777" w:rsidR="00912750" w:rsidRPr="000836C9" w:rsidRDefault="00912750" w:rsidP="00C22CC5">
      <w:pPr>
        <w:pStyle w:val="BodyText"/>
        <w:spacing w:line="240" w:lineRule="auto"/>
        <w:ind w:left="720"/>
        <w:rPr>
          <w:rFonts w:ascii="Calibri" w:hAnsi="Calibri" w:cs="Calibri"/>
          <w:sz w:val="22"/>
          <w:szCs w:val="22"/>
        </w:rPr>
      </w:pPr>
      <w:r w:rsidRPr="000836C9">
        <w:rPr>
          <w:rFonts w:ascii="Calibri" w:hAnsi="Calibri" w:cs="Calibri"/>
          <w:sz w:val="22"/>
          <w:szCs w:val="22"/>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6339FA72" w14:textId="77777777" w:rsidR="00C22CC5" w:rsidRPr="000836C9" w:rsidRDefault="00C22CC5" w:rsidP="00C22CC5">
      <w:pPr>
        <w:pStyle w:val="BodyText"/>
        <w:ind w:left="720"/>
        <w:rPr>
          <w:rFonts w:ascii="Calibri" w:hAnsi="Calibri" w:cs="Calibri"/>
          <w:sz w:val="22"/>
          <w:szCs w:val="22"/>
        </w:rPr>
      </w:pPr>
    </w:p>
    <w:p w14:paraId="4249CD64" w14:textId="77777777" w:rsidR="00C22CC5" w:rsidRPr="000836C9" w:rsidRDefault="00C22CC5" w:rsidP="00C22CC5">
      <w:pPr>
        <w:pStyle w:val="BodyText"/>
        <w:rPr>
          <w:rFonts w:ascii="Calibri" w:hAnsi="Calibri" w:cs="Calibri"/>
          <w:sz w:val="22"/>
          <w:szCs w:val="22"/>
        </w:rPr>
      </w:pPr>
    </w:p>
    <w:p w14:paraId="24595756" w14:textId="73A30C0B" w:rsidR="00912750" w:rsidRPr="000836C9" w:rsidRDefault="00912750" w:rsidP="00C22CC5">
      <w:pPr>
        <w:pStyle w:val="BodyText"/>
        <w:rPr>
          <w:rFonts w:ascii="Calibri" w:hAnsi="Calibri" w:cs="Calibri"/>
          <w:sz w:val="22"/>
          <w:szCs w:val="22"/>
        </w:rPr>
      </w:pPr>
      <w:r w:rsidRPr="000836C9">
        <w:rPr>
          <w:rFonts w:ascii="Calibri" w:hAnsi="Calibri" w:cs="Calibri"/>
          <w:sz w:val="22"/>
          <w:szCs w:val="22"/>
        </w:rPr>
        <w:t xml:space="preserve">The Court’s opinion in </w:t>
      </w:r>
      <w:r w:rsidRPr="000836C9">
        <w:rPr>
          <w:rFonts w:ascii="Calibri" w:hAnsi="Calibri" w:cs="Calibri"/>
          <w:i/>
          <w:sz w:val="22"/>
          <w:szCs w:val="22"/>
        </w:rPr>
        <w:t>Hall</w:t>
      </w:r>
      <w:r w:rsidRPr="000836C9">
        <w:rPr>
          <w:rFonts w:ascii="Calibri" w:hAnsi="Calibri" w:cs="Calibri"/>
          <w:sz w:val="22"/>
          <w:szCs w:val="22"/>
        </w:rPr>
        <w:t xml:space="preserve"> went on to point out that individuals may refuse to request Medicare payment for services they receive and instead pay for the services themselves or with other insurance.</w:t>
      </w:r>
      <w:r w:rsidR="00307D7F" w:rsidRPr="000836C9">
        <w:rPr>
          <w:rFonts w:ascii="Calibri" w:hAnsi="Calibri" w:cs="Calibri"/>
          <w:sz w:val="22"/>
          <w:szCs w:val="22"/>
          <w:vertAlign w:val="superscript"/>
        </w:rPr>
        <w:footnoteReference w:id="7"/>
      </w:r>
      <w:r w:rsidRPr="000836C9">
        <w:rPr>
          <w:rFonts w:ascii="Calibri" w:hAnsi="Calibri" w:cs="Calibri"/>
          <w:sz w:val="22"/>
          <w:szCs w:val="22"/>
        </w:rPr>
        <w:t xml:space="preserve"> As the Court points out, “If you are 65 or older and sign up for Social Security, you are automatically entitled to Medicare Part A benefits. You can decline those benefits. But you still remain entitled to them under the statute.” Clearly, entitlement to </w:t>
      </w:r>
      <w:r w:rsidR="00457F9B" w:rsidRPr="000836C9">
        <w:rPr>
          <w:rFonts w:ascii="Calibri" w:hAnsi="Calibri" w:cs="Calibri"/>
          <w:sz w:val="22"/>
          <w:szCs w:val="22"/>
        </w:rPr>
        <w:t>P</w:t>
      </w:r>
      <w:r w:rsidRPr="000836C9">
        <w:rPr>
          <w:rFonts w:ascii="Calibri" w:hAnsi="Calibri" w:cs="Calibri"/>
          <w:sz w:val="22"/>
          <w:szCs w:val="22"/>
        </w:rPr>
        <w:t xml:space="preserve">art A benefits is not reliant upon payment for those services. </w:t>
      </w:r>
      <w:r w:rsidR="0093397F" w:rsidRPr="000836C9">
        <w:rPr>
          <w:rFonts w:ascii="Calibri" w:hAnsi="Calibri" w:cs="Calibri"/>
          <w:sz w:val="22"/>
          <w:szCs w:val="22"/>
        </w:rPr>
        <w:t>Subsequent changes in circumstances typically cannot nullify one’s entitlement to Medicare Part A.</w:t>
      </w:r>
    </w:p>
    <w:p w14:paraId="12784833" w14:textId="77777777" w:rsidR="00C22CC5" w:rsidRPr="000836C9" w:rsidRDefault="00C22CC5" w:rsidP="00C22CC5">
      <w:pPr>
        <w:pStyle w:val="BodyText"/>
        <w:rPr>
          <w:rFonts w:ascii="Calibri" w:hAnsi="Calibri" w:cs="Calibri"/>
          <w:sz w:val="22"/>
          <w:szCs w:val="22"/>
        </w:rPr>
      </w:pPr>
    </w:p>
    <w:p w14:paraId="2B768AB8" w14:textId="18474248" w:rsidR="000B4A7C" w:rsidRPr="000836C9" w:rsidRDefault="003838A9" w:rsidP="00C22CC5">
      <w:pPr>
        <w:pStyle w:val="BodyText"/>
        <w:rPr>
          <w:rFonts w:ascii="Calibri" w:hAnsi="Calibri" w:cs="Calibri"/>
          <w:sz w:val="22"/>
          <w:szCs w:val="22"/>
        </w:rPr>
      </w:pPr>
      <w:r w:rsidRPr="000836C9">
        <w:rPr>
          <w:rFonts w:ascii="Calibri" w:hAnsi="Calibri" w:cs="Calibri"/>
          <w:sz w:val="22"/>
          <w:szCs w:val="22"/>
        </w:rPr>
        <w:lastRenderedPageBreak/>
        <w:t>To the contrary, the eligibility for payment, and the payment of benefits</w:t>
      </w:r>
      <w:r w:rsidR="0093397F" w:rsidRPr="000836C9">
        <w:rPr>
          <w:rFonts w:ascii="Calibri" w:hAnsi="Calibri" w:cs="Calibri"/>
          <w:sz w:val="22"/>
          <w:szCs w:val="22"/>
        </w:rPr>
        <w:t>,</w:t>
      </w:r>
      <w:r w:rsidRPr="000836C9">
        <w:rPr>
          <w:rFonts w:ascii="Calibri" w:hAnsi="Calibri" w:cs="Calibri"/>
          <w:sz w:val="22"/>
          <w:szCs w:val="22"/>
        </w:rPr>
        <w:t xml:space="preserve"> are intrinsic to basic SSI entitlement</w:t>
      </w:r>
      <w:r w:rsidR="00556116">
        <w:rPr>
          <w:rFonts w:ascii="Calibri" w:hAnsi="Calibri" w:cs="Calibri"/>
          <w:sz w:val="22"/>
          <w:szCs w:val="22"/>
        </w:rPr>
        <w:t>.</w:t>
      </w:r>
      <w:r w:rsidRPr="000836C9">
        <w:rPr>
          <w:rStyle w:val="FootnoteReference"/>
          <w:rFonts w:ascii="Calibri" w:hAnsi="Calibri" w:cs="Calibri"/>
          <w:sz w:val="22"/>
          <w:szCs w:val="22"/>
        </w:rPr>
        <w:footnoteReference w:id="8"/>
      </w:r>
      <w:r w:rsidRPr="000836C9">
        <w:rPr>
          <w:rFonts w:ascii="Calibri" w:hAnsi="Calibri" w:cs="Calibri"/>
          <w:sz w:val="22"/>
          <w:szCs w:val="22"/>
        </w:rPr>
        <w:t xml:space="preserve"> Statute requires the Commissioner of Social Security to pay SSI benefits to every individual who is determined to be eligible. There is no automatic entitlement to SSI. In fact, there are several requirements an individual must meet before achieving eligibility for SSI and receiving SSI benefits.</w:t>
      </w:r>
      <w:r w:rsidR="00BA49D7" w:rsidRPr="000836C9">
        <w:rPr>
          <w:rStyle w:val="FootnoteReference"/>
          <w:rFonts w:ascii="Calibri" w:hAnsi="Calibri" w:cs="Calibri"/>
          <w:sz w:val="22"/>
          <w:szCs w:val="22"/>
        </w:rPr>
        <w:footnoteReference w:id="9"/>
      </w:r>
      <w:r w:rsidRPr="000836C9">
        <w:rPr>
          <w:rFonts w:ascii="Calibri" w:hAnsi="Calibri" w:cs="Calibri"/>
          <w:sz w:val="22"/>
          <w:szCs w:val="22"/>
        </w:rPr>
        <w:t xml:space="preserve"> Further, regulation requires redeterminations of SSI eligibility on a scheduled basis at periodic intervals.</w:t>
      </w:r>
      <w:r w:rsidR="00BA49D7" w:rsidRPr="000836C9">
        <w:rPr>
          <w:rStyle w:val="FootnoteReference"/>
          <w:rFonts w:ascii="Calibri" w:hAnsi="Calibri" w:cs="Calibri"/>
          <w:sz w:val="22"/>
          <w:szCs w:val="22"/>
        </w:rPr>
        <w:footnoteReference w:id="10"/>
      </w:r>
    </w:p>
    <w:p w14:paraId="7DB4858A" w14:textId="77777777" w:rsidR="00C22CC5" w:rsidRPr="000836C9" w:rsidRDefault="00C22CC5" w:rsidP="00C22CC5">
      <w:pPr>
        <w:pStyle w:val="BodyText"/>
        <w:rPr>
          <w:rFonts w:ascii="Calibri" w:hAnsi="Calibri" w:cs="Calibri"/>
          <w:sz w:val="22"/>
          <w:szCs w:val="22"/>
        </w:rPr>
      </w:pPr>
    </w:p>
    <w:p w14:paraId="1173F107" w14:textId="77777777" w:rsidR="000B4A7C" w:rsidRPr="000836C9" w:rsidRDefault="003838A9" w:rsidP="00C22CC5">
      <w:pPr>
        <w:pStyle w:val="BodyText"/>
        <w:rPr>
          <w:rFonts w:ascii="Calibri" w:hAnsi="Calibri" w:cs="Calibri"/>
          <w:sz w:val="22"/>
          <w:szCs w:val="22"/>
        </w:rPr>
      </w:pPr>
      <w:r w:rsidRPr="000836C9">
        <w:rPr>
          <w:rFonts w:ascii="Calibri" w:hAnsi="Calibri" w:cs="Calibri"/>
          <w:sz w:val="22"/>
          <w:szCs w:val="22"/>
        </w:rPr>
        <w:t>Where one is entitled to SSI benefits, payment is made; therefore, it is more than reasonable for CMS to conclude that an individual was not entitled to SSI where the individual was not paid SSI benefits.</w:t>
      </w:r>
      <w:r w:rsidR="000B4A7C" w:rsidRPr="000836C9">
        <w:rPr>
          <w:rFonts w:ascii="Calibri" w:hAnsi="Calibri" w:cs="Calibri"/>
          <w:sz w:val="22"/>
          <w:szCs w:val="22"/>
        </w:rPr>
        <w:t xml:space="preserve"> Eligibility and entitlement to SSI benefits are much less straightforward and much less static than entitlement to Medicare Part A.  Initially, there are multiple SSI eligibility requirements: a person must be (1) 65 years of age or older, blind or disabled; (2) a lawful resident of the United States; (3) have limited income and resources; (4) not be fleeing to avoid prosecution for a crime or violating a condition of parole; and (5) file an application for benefits.  </w:t>
      </w:r>
      <w:r w:rsidR="000B4A7C" w:rsidRPr="000836C9">
        <w:rPr>
          <w:rFonts w:ascii="Calibri" w:hAnsi="Calibri" w:cs="Calibri"/>
          <w:i/>
          <w:sz w:val="22"/>
          <w:szCs w:val="22"/>
        </w:rPr>
        <w:t>See</w:t>
      </w:r>
      <w:r w:rsidR="000B4A7C" w:rsidRPr="000836C9">
        <w:rPr>
          <w:rFonts w:ascii="Calibri" w:hAnsi="Calibri" w:cs="Calibri"/>
          <w:sz w:val="22"/>
          <w:szCs w:val="22"/>
        </w:rPr>
        <w:t xml:space="preserve"> 20 C.F.R. § 416.202.</w:t>
      </w:r>
    </w:p>
    <w:p w14:paraId="27F2509E" w14:textId="77777777" w:rsidR="00C22CC5" w:rsidRPr="000836C9" w:rsidRDefault="00C22CC5" w:rsidP="00C22CC5">
      <w:pPr>
        <w:pStyle w:val="BodyText"/>
        <w:rPr>
          <w:rFonts w:ascii="Calibri" w:hAnsi="Calibri" w:cs="Calibri"/>
          <w:sz w:val="22"/>
          <w:szCs w:val="22"/>
        </w:rPr>
      </w:pPr>
    </w:p>
    <w:p w14:paraId="160B8449" w14:textId="4BCF413C" w:rsidR="000B4A7C" w:rsidRPr="000836C9" w:rsidRDefault="000B4A7C" w:rsidP="00C22CC5">
      <w:pPr>
        <w:pStyle w:val="BodyText"/>
        <w:rPr>
          <w:rFonts w:ascii="Calibri" w:hAnsi="Calibri" w:cs="Calibri"/>
          <w:sz w:val="22"/>
          <w:szCs w:val="22"/>
        </w:rPr>
      </w:pPr>
      <w:r w:rsidRPr="000836C9">
        <w:rPr>
          <w:rFonts w:ascii="Calibri" w:hAnsi="Calibri" w:cs="Calibri"/>
          <w:sz w:val="22"/>
          <w:szCs w:val="22"/>
        </w:rPr>
        <w:t xml:space="preserve">They explicitly note that SSI eligibility may be lost if a person no longer meets the basic requirements or because of one of the reasons set forth in Sections 416.207-416.216.  20 C.F.R. § 416.200. Thus, a person who was eligible but obtains more income or resources than are permitted, flees from prosecution or violates parole would no longer meet the basic requirements. </w:t>
      </w:r>
      <w:r w:rsidRPr="000836C9">
        <w:rPr>
          <w:rFonts w:ascii="Calibri" w:hAnsi="Calibri" w:cs="Calibri"/>
          <w:i/>
          <w:sz w:val="22"/>
          <w:szCs w:val="22"/>
        </w:rPr>
        <w:t>See</w:t>
      </w:r>
      <w:r w:rsidRPr="000836C9">
        <w:rPr>
          <w:rFonts w:ascii="Calibri" w:hAnsi="Calibri" w:cs="Calibri"/>
          <w:sz w:val="22"/>
          <w:szCs w:val="22"/>
        </w:rPr>
        <w:t xml:space="preserve"> 20 C.F.R. § 416.202. People who were entitled to SSI benefits at one time, but subsequently do not give the SSA permission to contact financial institutions (20 C.F.R. § 416.207), do not apply for other benefits (20 C.F.R. § 416.210), become residents of public institutions (such as prisons) (20 C.F.R. § 416.211), do not abide by treatment for drug addictions or alcoholism (20 C.F.R. § 416.214) or merely leave the United States for more than 30 days </w:t>
      </w:r>
      <w:r w:rsidRPr="000836C9">
        <w:rPr>
          <w:rFonts w:ascii="Calibri" w:hAnsi="Calibri" w:cs="Calibri"/>
          <w:sz w:val="22"/>
          <w:szCs w:val="22"/>
        </w:rPr>
        <w:lastRenderedPageBreak/>
        <w:t>(20 C.F.R. § 416.215), would all lose their eligibility for, and thus entitlement to SSI benefits. There are virtually no similar events that would cause people who were initially eligible to Medicare Part A to no longer be eligible for Medicare Part A.</w:t>
      </w:r>
      <w:r w:rsidR="00BA49D7" w:rsidRPr="000836C9">
        <w:rPr>
          <w:rStyle w:val="FootnoteReference"/>
          <w:rFonts w:ascii="Calibri" w:hAnsi="Calibri" w:cs="Calibri"/>
          <w:sz w:val="22"/>
          <w:szCs w:val="22"/>
        </w:rPr>
        <w:footnoteReference w:id="11"/>
      </w:r>
      <w:r w:rsidRPr="000836C9">
        <w:rPr>
          <w:rFonts w:ascii="Calibri" w:hAnsi="Calibri" w:cs="Calibri"/>
          <w:sz w:val="22"/>
          <w:szCs w:val="22"/>
        </w:rPr>
        <w:t xml:space="preserve"> Accordingly, it is necessary to show that patients were entitled to SSI benefits before including their days of care in the Medicare fraction. CMS also recognized this distinction when it discussed SSI eligibility in the August 16, 2010</w:t>
      </w:r>
      <w:r w:rsidR="004F2EEB" w:rsidRPr="000836C9">
        <w:rPr>
          <w:rFonts w:ascii="Calibri" w:hAnsi="Calibri" w:cs="Calibri"/>
          <w:sz w:val="22"/>
          <w:szCs w:val="22"/>
        </w:rPr>
        <w:t>,</w:t>
      </w:r>
      <w:r w:rsidRPr="000836C9">
        <w:rPr>
          <w:rFonts w:ascii="Calibri" w:hAnsi="Calibri" w:cs="Calibri"/>
          <w:sz w:val="22"/>
          <w:szCs w:val="22"/>
        </w:rPr>
        <w:t xml:space="preserve"> Federal Register:</w:t>
      </w:r>
    </w:p>
    <w:p w14:paraId="52DE918D" w14:textId="77777777" w:rsidR="00C22CC5" w:rsidRPr="000836C9" w:rsidRDefault="00C22CC5" w:rsidP="00C22CC5">
      <w:pPr>
        <w:pStyle w:val="BodyText"/>
        <w:rPr>
          <w:rFonts w:ascii="Calibri" w:hAnsi="Calibri" w:cs="Calibri"/>
          <w:sz w:val="22"/>
          <w:szCs w:val="22"/>
        </w:rPr>
      </w:pPr>
    </w:p>
    <w:p w14:paraId="3F82AE6E" w14:textId="77777777" w:rsidR="000B4A7C" w:rsidRPr="000836C9" w:rsidRDefault="000B4A7C" w:rsidP="00C22CC5">
      <w:pPr>
        <w:ind w:left="720" w:right="720"/>
        <w:rPr>
          <w:rFonts w:ascii="Calibri" w:hAnsi="Calibri" w:cs="Calibri"/>
          <w:sz w:val="22"/>
          <w:szCs w:val="22"/>
        </w:rPr>
      </w:pPr>
      <w:r w:rsidRPr="000836C9">
        <w:rPr>
          <w:rFonts w:ascii="Calibri" w:hAnsi="Calibri" w:cs="Calibri"/>
          <w:sz w:val="22"/>
          <w:szCs w:val="22"/>
        </w:rPr>
        <w:t>[U]nlike the SSI program (in which entitlement to receive SSI benefits is based on income and resources and, therefore, can vary from time to time), once a person becomes entitled to Medicare Part A, the individual does not lose such entitlement simply because there was no Medicare Part A coverage of a specific inpatient stay.</w:t>
      </w:r>
    </w:p>
    <w:p w14:paraId="136A947F" w14:textId="77777777" w:rsidR="000B4A7C" w:rsidRPr="000836C9" w:rsidRDefault="000B4A7C" w:rsidP="00C22CC5">
      <w:pPr>
        <w:pStyle w:val="BodyText"/>
        <w:spacing w:line="240" w:lineRule="auto"/>
        <w:ind w:left="720"/>
        <w:rPr>
          <w:rFonts w:ascii="Calibri" w:hAnsi="Calibri" w:cs="Calibri"/>
          <w:sz w:val="22"/>
          <w:szCs w:val="22"/>
        </w:rPr>
      </w:pPr>
      <w:r w:rsidRPr="000836C9">
        <w:rPr>
          <w:rFonts w:ascii="Calibri" w:hAnsi="Calibri" w:cs="Calibri"/>
          <w:i/>
          <w:sz w:val="22"/>
          <w:szCs w:val="22"/>
        </w:rPr>
        <w:t>Id.</w:t>
      </w:r>
      <w:r w:rsidRPr="000836C9">
        <w:rPr>
          <w:rFonts w:ascii="Calibri" w:hAnsi="Calibri" w:cs="Calibri"/>
          <w:sz w:val="22"/>
          <w:szCs w:val="22"/>
        </w:rPr>
        <w:t>, 75 Fed. Reg. at 50,280.</w:t>
      </w:r>
    </w:p>
    <w:p w14:paraId="7ACF7A24" w14:textId="77777777" w:rsidR="00B82D1E" w:rsidRPr="000836C9" w:rsidRDefault="00B82D1E" w:rsidP="00C22CC5">
      <w:pPr>
        <w:pStyle w:val="BodyText"/>
        <w:rPr>
          <w:rFonts w:ascii="Calibri" w:hAnsi="Calibri" w:cs="Calibri"/>
          <w:sz w:val="22"/>
          <w:szCs w:val="22"/>
        </w:rPr>
      </w:pPr>
    </w:p>
    <w:p w14:paraId="048DA527" w14:textId="77777777" w:rsidR="00B82D1E" w:rsidRPr="000836C9" w:rsidRDefault="00B82D1E" w:rsidP="00C22CC5">
      <w:pPr>
        <w:pStyle w:val="BodyText"/>
        <w:rPr>
          <w:rFonts w:ascii="Calibri" w:hAnsi="Calibri" w:cs="Calibri"/>
          <w:sz w:val="22"/>
          <w:szCs w:val="22"/>
        </w:rPr>
      </w:pPr>
    </w:p>
    <w:p w14:paraId="49057633" w14:textId="77777777" w:rsidR="003838A9" w:rsidRPr="000836C9" w:rsidRDefault="003838A9" w:rsidP="004F2EEB">
      <w:pPr>
        <w:pStyle w:val="BodyText"/>
        <w:rPr>
          <w:rFonts w:ascii="Calibri" w:hAnsi="Calibri" w:cs="Calibri"/>
          <w:sz w:val="22"/>
          <w:szCs w:val="22"/>
        </w:rPr>
      </w:pPr>
      <w:r w:rsidRPr="000836C9">
        <w:rPr>
          <w:rFonts w:ascii="Calibri" w:hAnsi="Calibri" w:cs="Calibri"/>
          <w:sz w:val="22"/>
          <w:szCs w:val="22"/>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719462BC" w14:textId="77777777" w:rsidR="00B82D1E" w:rsidRPr="000836C9" w:rsidRDefault="00B82D1E" w:rsidP="00C22CC5">
      <w:pPr>
        <w:pStyle w:val="BodyText"/>
        <w:rPr>
          <w:rFonts w:ascii="Calibri" w:hAnsi="Calibri" w:cs="Calibri"/>
          <w:sz w:val="22"/>
          <w:szCs w:val="22"/>
        </w:rPr>
      </w:pPr>
    </w:p>
    <w:p w14:paraId="649CA8D3" w14:textId="18EF3840" w:rsidR="00B82D1E" w:rsidRPr="000836C9" w:rsidRDefault="003838A9" w:rsidP="00B82D1E">
      <w:pPr>
        <w:pStyle w:val="BodyText"/>
        <w:spacing w:line="240" w:lineRule="auto"/>
        <w:ind w:left="720" w:right="720"/>
        <w:rPr>
          <w:rFonts w:ascii="Calibri" w:hAnsi="Calibri" w:cs="Calibri"/>
          <w:sz w:val="22"/>
          <w:szCs w:val="22"/>
        </w:rPr>
      </w:pPr>
      <w:r w:rsidRPr="000836C9">
        <w:rPr>
          <w:rFonts w:ascii="Calibri" w:hAnsi="Calibri" w:cs="Calibri"/>
          <w:sz w:val="22"/>
          <w:szCs w:val="22"/>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002D5192">
        <w:rPr>
          <w:rFonts w:ascii="Calibri" w:hAnsi="Calibri" w:cs="Calibri"/>
          <w:sz w:val="22"/>
          <w:szCs w:val="22"/>
        </w:rPr>
        <w:t>.</w:t>
      </w:r>
      <w:r w:rsidRPr="000836C9">
        <w:rPr>
          <w:rStyle w:val="FootnoteReference"/>
          <w:rFonts w:ascii="Calibri" w:hAnsi="Calibri" w:cs="Calibri"/>
          <w:sz w:val="22"/>
          <w:szCs w:val="22"/>
        </w:rPr>
        <w:footnoteReference w:id="12"/>
      </w:r>
    </w:p>
    <w:p w14:paraId="6905A175" w14:textId="77777777" w:rsidR="00B82D1E" w:rsidRPr="000836C9" w:rsidRDefault="00B82D1E" w:rsidP="00B82D1E">
      <w:pPr>
        <w:pStyle w:val="BodyText"/>
        <w:spacing w:line="240" w:lineRule="auto"/>
        <w:rPr>
          <w:rFonts w:ascii="Calibri" w:hAnsi="Calibri" w:cs="Calibri"/>
          <w:sz w:val="22"/>
          <w:szCs w:val="22"/>
        </w:rPr>
      </w:pPr>
    </w:p>
    <w:p w14:paraId="180FFA8B" w14:textId="77777777" w:rsidR="00B82D1E" w:rsidRPr="000836C9" w:rsidRDefault="00B82D1E" w:rsidP="00B82D1E">
      <w:pPr>
        <w:pStyle w:val="BodyText"/>
        <w:spacing w:line="240" w:lineRule="auto"/>
        <w:rPr>
          <w:rFonts w:ascii="Calibri" w:hAnsi="Calibri" w:cs="Calibri"/>
          <w:sz w:val="22"/>
          <w:szCs w:val="22"/>
        </w:rPr>
      </w:pPr>
    </w:p>
    <w:p w14:paraId="380B75B2" w14:textId="77777777" w:rsidR="00B82D1E" w:rsidRPr="000836C9" w:rsidRDefault="00B82D1E" w:rsidP="00B82D1E">
      <w:pPr>
        <w:pStyle w:val="BodyText"/>
        <w:spacing w:line="240" w:lineRule="auto"/>
        <w:rPr>
          <w:rFonts w:ascii="Calibri" w:hAnsi="Calibri" w:cs="Calibri"/>
          <w:sz w:val="22"/>
          <w:szCs w:val="22"/>
        </w:rPr>
      </w:pPr>
    </w:p>
    <w:p w14:paraId="2AAF0748" w14:textId="77777777" w:rsidR="00B82D1E" w:rsidRPr="000836C9" w:rsidRDefault="00B82D1E" w:rsidP="00B82D1E">
      <w:pPr>
        <w:pStyle w:val="BodyText"/>
        <w:spacing w:line="240" w:lineRule="auto"/>
        <w:rPr>
          <w:rFonts w:ascii="Calibri" w:hAnsi="Calibri" w:cs="Calibri"/>
          <w:sz w:val="22"/>
          <w:szCs w:val="22"/>
        </w:rPr>
      </w:pPr>
    </w:p>
    <w:p w14:paraId="17B711ED" w14:textId="77777777" w:rsidR="003838A9" w:rsidRPr="000836C9" w:rsidRDefault="003838A9" w:rsidP="00B82D1E">
      <w:pPr>
        <w:pStyle w:val="BodyText"/>
        <w:rPr>
          <w:rFonts w:ascii="Calibri" w:hAnsi="Calibri" w:cs="Calibri"/>
          <w:sz w:val="22"/>
          <w:szCs w:val="22"/>
        </w:rPr>
      </w:pPr>
      <w:r w:rsidRPr="000836C9">
        <w:rPr>
          <w:rFonts w:ascii="Calibri" w:hAnsi="Calibri" w:cs="Calibri"/>
          <w:sz w:val="22"/>
          <w:szCs w:val="22"/>
        </w:rPr>
        <w:t xml:space="preserve">As previously noted, statute requires that all individuals eligible for SSI benefits must be paid those benefits by the Commissioner of Social Security. The Commissioner of Social Security provided many clues as to who is or is not eligible for SSI benefits, that </w:t>
      </w:r>
      <w:r w:rsidR="004F2EEB" w:rsidRPr="000836C9">
        <w:rPr>
          <w:rFonts w:ascii="Calibri" w:hAnsi="Calibri" w:cs="Calibri"/>
          <w:sz w:val="22"/>
          <w:szCs w:val="22"/>
        </w:rPr>
        <w:t xml:space="preserve">is, </w:t>
      </w:r>
      <w:r w:rsidRPr="000836C9">
        <w:rPr>
          <w:rFonts w:ascii="Calibri" w:hAnsi="Calibri" w:cs="Calibri"/>
          <w:sz w:val="22"/>
          <w:szCs w:val="22"/>
        </w:rPr>
        <w:t>individuals must meet all basic requirements listed in 20 CFR § 416.202.</w:t>
      </w:r>
    </w:p>
    <w:p w14:paraId="6537707C" w14:textId="77777777" w:rsidR="00B82D1E" w:rsidRPr="000836C9" w:rsidRDefault="00B82D1E" w:rsidP="00B82D1E">
      <w:pPr>
        <w:pStyle w:val="BodyText"/>
        <w:rPr>
          <w:rFonts w:ascii="Calibri" w:hAnsi="Calibri" w:cs="Calibri"/>
          <w:sz w:val="22"/>
          <w:szCs w:val="22"/>
        </w:rPr>
      </w:pPr>
    </w:p>
    <w:p w14:paraId="1AE33884" w14:textId="386D5A9C" w:rsidR="004F2EEB" w:rsidRPr="000836C9" w:rsidRDefault="000B4A7C" w:rsidP="00B82D1E">
      <w:pPr>
        <w:pStyle w:val="BodyText"/>
        <w:rPr>
          <w:rFonts w:ascii="Calibri" w:hAnsi="Calibri" w:cs="Calibri"/>
          <w:sz w:val="22"/>
          <w:szCs w:val="22"/>
        </w:rPr>
      </w:pPr>
      <w:r w:rsidRPr="000836C9">
        <w:rPr>
          <w:rFonts w:ascii="Calibri" w:hAnsi="Calibri" w:cs="Calibri"/>
          <w:sz w:val="22"/>
          <w:szCs w:val="22"/>
        </w:rPr>
        <w:t xml:space="preserve">The </w:t>
      </w:r>
      <w:r w:rsidR="000B6E68">
        <w:rPr>
          <w:rFonts w:ascii="Calibri" w:hAnsi="Calibri" w:cs="Calibri"/>
          <w:sz w:val="22"/>
          <w:szCs w:val="22"/>
        </w:rPr>
        <w:t>p</w:t>
      </w:r>
      <w:r w:rsidRPr="000836C9">
        <w:rPr>
          <w:rFonts w:ascii="Calibri" w:hAnsi="Calibri" w:cs="Calibri"/>
          <w:sz w:val="22"/>
          <w:szCs w:val="22"/>
        </w:rPr>
        <w:t>roviders argue that suspension from the SSI program, and the corresponding suspension of benefits, is in no way indicative of entitlement to SSI. As previously noted, statute dictates that basic entitlement requires eligibility for and payment of SSI benefits</w:t>
      </w:r>
      <w:r w:rsidR="002D5192">
        <w:rPr>
          <w:rFonts w:ascii="Calibri" w:hAnsi="Calibri" w:cs="Calibri"/>
          <w:sz w:val="22"/>
          <w:szCs w:val="22"/>
        </w:rPr>
        <w:t>.</w:t>
      </w:r>
      <w:r w:rsidRPr="000836C9">
        <w:rPr>
          <w:rStyle w:val="FootnoteReference"/>
          <w:rFonts w:ascii="Calibri" w:hAnsi="Calibri" w:cs="Calibri"/>
          <w:sz w:val="22"/>
          <w:szCs w:val="22"/>
        </w:rPr>
        <w:footnoteReference w:id="13"/>
      </w:r>
      <w:r w:rsidRPr="000836C9">
        <w:rPr>
          <w:rFonts w:ascii="Calibri" w:hAnsi="Calibri" w:cs="Calibri"/>
          <w:sz w:val="22"/>
          <w:szCs w:val="22"/>
        </w:rPr>
        <w:t xml:space="preserve"> Further, statute goes on to require that individuals meet a number of criteria to be eligible for payment of SSI benefits</w:t>
      </w:r>
      <w:r w:rsidR="00500A18">
        <w:rPr>
          <w:rFonts w:ascii="Calibri" w:hAnsi="Calibri" w:cs="Calibri"/>
          <w:sz w:val="22"/>
          <w:szCs w:val="22"/>
        </w:rPr>
        <w:t>.</w:t>
      </w:r>
      <w:r w:rsidRPr="000836C9">
        <w:rPr>
          <w:rStyle w:val="FootnoteReference"/>
          <w:rFonts w:ascii="Calibri" w:hAnsi="Calibri" w:cs="Calibri"/>
          <w:sz w:val="22"/>
          <w:szCs w:val="22"/>
        </w:rPr>
        <w:footnoteReference w:id="14"/>
      </w:r>
      <w:r w:rsidRPr="000836C9">
        <w:rPr>
          <w:rFonts w:ascii="Calibri" w:hAnsi="Calibri" w:cs="Calibri"/>
          <w:sz w:val="22"/>
          <w:szCs w:val="22"/>
        </w:rPr>
        <w:t xml:space="preserve"> The providers argue that until an individual is terminated from the SSI program, all of his or her patient days must be counted in the Medicare Fraction. The providers’ contention related to termination must be rejected.</w:t>
      </w:r>
    </w:p>
    <w:p w14:paraId="19FBCFE9" w14:textId="77777777" w:rsidR="004F2EEB" w:rsidRPr="000836C9" w:rsidRDefault="004F2EEB" w:rsidP="00B82D1E">
      <w:pPr>
        <w:pStyle w:val="BodyText"/>
        <w:rPr>
          <w:rFonts w:ascii="Calibri" w:hAnsi="Calibri" w:cs="Calibri"/>
          <w:sz w:val="22"/>
          <w:szCs w:val="22"/>
        </w:rPr>
      </w:pPr>
    </w:p>
    <w:p w14:paraId="6C63DAB5" w14:textId="07D9E7C4" w:rsidR="000B4A7C" w:rsidRPr="000836C9" w:rsidRDefault="000B4A7C" w:rsidP="00B82D1E">
      <w:pPr>
        <w:pStyle w:val="BodyText"/>
        <w:rPr>
          <w:rFonts w:ascii="Calibri" w:hAnsi="Calibri" w:cs="Calibri"/>
          <w:sz w:val="22"/>
          <w:szCs w:val="22"/>
        </w:rPr>
      </w:pPr>
      <w:r w:rsidRPr="000836C9">
        <w:rPr>
          <w:rFonts w:ascii="Calibri" w:hAnsi="Calibri" w:cs="Calibri"/>
          <w:sz w:val="22"/>
          <w:szCs w:val="22"/>
        </w:rPr>
        <w:t>The Social Security Administration Program Operations Manual System (POMS) identifies suspension and termination both as post-eligibility (PE) events and found it important to note that the term eligible as it pertains to SSI, means that a recipient meets all basic SSI eligibility requirements</w:t>
      </w:r>
      <w:r w:rsidR="002D5192">
        <w:rPr>
          <w:rFonts w:ascii="Calibri" w:hAnsi="Calibri" w:cs="Calibri"/>
          <w:sz w:val="22"/>
          <w:szCs w:val="22"/>
        </w:rPr>
        <w:t>.</w:t>
      </w:r>
      <w:r w:rsidRPr="000836C9">
        <w:rPr>
          <w:rStyle w:val="FootnoteReference"/>
          <w:rFonts w:ascii="Calibri" w:hAnsi="Calibri" w:cs="Calibri"/>
          <w:sz w:val="22"/>
          <w:szCs w:val="22"/>
        </w:rPr>
        <w:footnoteReference w:id="15"/>
      </w:r>
      <w:r w:rsidRPr="000836C9">
        <w:rPr>
          <w:rFonts w:ascii="Calibri" w:hAnsi="Calibri" w:cs="Calibri"/>
          <w:sz w:val="22"/>
          <w:szCs w:val="22"/>
        </w:rPr>
        <w:t xml:space="preserve"> Like an individual who has terminated from the SSI program, an individual who has been suspended from the program is no longer eligible for SSI benefits. Even though termination and suspension both result in a lack of eligibility and payment of SSI benefits (both basic elements of SSI entitlement), termination is much less probable, which is the likely reason the providers contend termination should be the measure. Whether a patient terminates from the SSI program, or is suspended from the SSI program, he or she is no longer eligible for or entitled to SSI benefits. Further, as noted in the August 16, 2010</w:t>
      </w:r>
      <w:r w:rsidR="004F2EEB" w:rsidRPr="000836C9">
        <w:rPr>
          <w:rFonts w:ascii="Calibri" w:hAnsi="Calibri" w:cs="Calibri"/>
          <w:sz w:val="22"/>
          <w:szCs w:val="22"/>
        </w:rPr>
        <w:t>,</w:t>
      </w:r>
      <w:r w:rsidRPr="000836C9">
        <w:rPr>
          <w:rFonts w:ascii="Calibri" w:hAnsi="Calibri" w:cs="Calibri"/>
          <w:sz w:val="22"/>
          <w:szCs w:val="22"/>
        </w:rPr>
        <w:t xml:space="preserve"> </w:t>
      </w:r>
      <w:r w:rsidRPr="000836C9">
        <w:rPr>
          <w:rFonts w:ascii="Calibri" w:hAnsi="Calibri" w:cs="Calibri"/>
          <w:sz w:val="22"/>
          <w:szCs w:val="22"/>
        </w:rPr>
        <w:lastRenderedPageBreak/>
        <w:t>Federal Register, the Social Security Administration (SSA) confirmed that individuals in a suspended status are not entitled to SSI benefits</w:t>
      </w:r>
      <w:r w:rsidR="00500A18">
        <w:rPr>
          <w:rFonts w:ascii="Calibri" w:hAnsi="Calibri" w:cs="Calibri"/>
          <w:sz w:val="22"/>
          <w:szCs w:val="22"/>
        </w:rPr>
        <w:t>.</w:t>
      </w:r>
      <w:r w:rsidRPr="000836C9">
        <w:rPr>
          <w:rStyle w:val="FootnoteReference"/>
          <w:rFonts w:ascii="Calibri" w:hAnsi="Calibri" w:cs="Calibri"/>
          <w:sz w:val="22"/>
          <w:szCs w:val="22"/>
        </w:rPr>
        <w:footnoteReference w:id="16"/>
      </w:r>
      <w:r w:rsidRPr="000836C9">
        <w:rPr>
          <w:rFonts w:ascii="Calibri" w:hAnsi="Calibri" w:cs="Calibri"/>
          <w:sz w:val="22"/>
          <w:szCs w:val="22"/>
        </w:rPr>
        <w:t xml:space="preserve"> Clearly, patients who are enrolled in the SSI Program, whose SSI eligibility and payments have been suspended, are not entitled to SSI benefits.</w:t>
      </w:r>
    </w:p>
    <w:p w14:paraId="4DCA5361" w14:textId="77777777" w:rsidR="004F2EEB" w:rsidRPr="000836C9" w:rsidRDefault="004F2EEB" w:rsidP="00B82D1E">
      <w:pPr>
        <w:pStyle w:val="BodyText"/>
        <w:rPr>
          <w:rFonts w:ascii="Calibri" w:hAnsi="Calibri" w:cs="Calibri"/>
          <w:sz w:val="22"/>
          <w:szCs w:val="22"/>
        </w:rPr>
      </w:pPr>
    </w:p>
    <w:p w14:paraId="65ED935E" w14:textId="77777777" w:rsidR="0021644A" w:rsidRPr="000836C9" w:rsidRDefault="00F91595" w:rsidP="00B82D1E">
      <w:pPr>
        <w:pStyle w:val="BodyText"/>
        <w:rPr>
          <w:rFonts w:ascii="Calibri" w:hAnsi="Calibri" w:cs="Calibri"/>
          <w:sz w:val="22"/>
          <w:szCs w:val="22"/>
        </w:rPr>
      </w:pPr>
      <w:r w:rsidRPr="000836C9">
        <w:rPr>
          <w:rFonts w:ascii="Calibri" w:hAnsi="Calibri" w:cs="Calibri"/>
          <w:sz w:val="22"/>
          <w:szCs w:val="22"/>
        </w:rPr>
        <w:t xml:space="preserve">Because SSI entitlement is impermanent, difficult to establish and easy to lose, the </w:t>
      </w:r>
      <w:r w:rsidR="00AF2FD6">
        <w:rPr>
          <w:rFonts w:ascii="Calibri" w:hAnsi="Calibri" w:cs="Calibri"/>
          <w:sz w:val="22"/>
          <w:szCs w:val="22"/>
        </w:rPr>
        <w:t>p</w:t>
      </w:r>
      <w:r w:rsidRPr="000836C9">
        <w:rPr>
          <w:rFonts w:ascii="Calibri" w:hAnsi="Calibri" w:cs="Calibri"/>
          <w:sz w:val="22"/>
          <w:szCs w:val="22"/>
        </w:rPr>
        <w:t xml:space="preserve">roviders’ </w:t>
      </w:r>
      <w:r w:rsidR="00937466" w:rsidRPr="000836C9">
        <w:rPr>
          <w:rFonts w:ascii="Calibri" w:hAnsi="Calibri" w:cs="Calibri"/>
          <w:sz w:val="22"/>
          <w:szCs w:val="22"/>
        </w:rPr>
        <w:t>complaint that CMS and the MACs</w:t>
      </w:r>
      <w:r w:rsidRPr="000836C9">
        <w:rPr>
          <w:rFonts w:ascii="Calibri" w:hAnsi="Calibri" w:cs="Calibri"/>
          <w:sz w:val="22"/>
          <w:szCs w:val="22"/>
        </w:rPr>
        <w:t xml:space="preserve"> excluded patient days based on codes that do not “prove</w:t>
      </w:r>
      <w:r w:rsidR="006E6D47" w:rsidRPr="000836C9">
        <w:rPr>
          <w:rFonts w:ascii="Calibri" w:hAnsi="Calibri" w:cs="Calibri"/>
          <w:sz w:val="22"/>
          <w:szCs w:val="22"/>
        </w:rPr>
        <w:t>” ineligibility is unwarranted.</w:t>
      </w:r>
      <w:r w:rsidR="00FE47F2" w:rsidRPr="000836C9">
        <w:rPr>
          <w:rFonts w:ascii="Calibri" w:hAnsi="Calibri" w:cs="Calibri"/>
          <w:sz w:val="22"/>
          <w:szCs w:val="22"/>
        </w:rPr>
        <w:t xml:space="preserve"> </w:t>
      </w:r>
      <w:r w:rsidR="00801AE1" w:rsidRPr="000836C9">
        <w:rPr>
          <w:rFonts w:ascii="Calibri" w:hAnsi="Calibri" w:cs="Calibri"/>
          <w:sz w:val="22"/>
          <w:szCs w:val="22"/>
        </w:rPr>
        <w:t xml:space="preserve">There are a variety of reasons why a person might lose entitlement to SSI benefits, and it is reasonable for CMS to conclude, for instance, that </w:t>
      </w:r>
      <w:r w:rsidR="00875B4D" w:rsidRPr="000836C9">
        <w:rPr>
          <w:rFonts w:ascii="Calibri" w:hAnsi="Calibri" w:cs="Calibri"/>
          <w:sz w:val="22"/>
          <w:szCs w:val="22"/>
        </w:rPr>
        <w:t>once a person no longer has an address on file</w:t>
      </w:r>
      <w:r w:rsidR="006C71C4" w:rsidRPr="000836C9">
        <w:rPr>
          <w:rFonts w:ascii="Calibri" w:hAnsi="Calibri" w:cs="Calibri"/>
          <w:sz w:val="22"/>
          <w:szCs w:val="22"/>
        </w:rPr>
        <w:t xml:space="preserve"> and is suspended from the SSI program</w:t>
      </w:r>
      <w:r w:rsidR="00875B4D" w:rsidRPr="000836C9">
        <w:rPr>
          <w:rFonts w:ascii="Calibri" w:hAnsi="Calibri" w:cs="Calibri"/>
          <w:sz w:val="22"/>
          <w:szCs w:val="22"/>
        </w:rPr>
        <w:t xml:space="preserve">, this person </w:t>
      </w:r>
      <w:r w:rsidR="006C71C4" w:rsidRPr="000836C9">
        <w:rPr>
          <w:rFonts w:ascii="Calibri" w:hAnsi="Calibri" w:cs="Calibri"/>
          <w:sz w:val="22"/>
          <w:szCs w:val="22"/>
        </w:rPr>
        <w:t>is</w:t>
      </w:r>
      <w:r w:rsidR="00875B4D" w:rsidRPr="000836C9">
        <w:rPr>
          <w:rFonts w:ascii="Calibri" w:hAnsi="Calibri" w:cs="Calibri"/>
          <w:sz w:val="22"/>
          <w:szCs w:val="22"/>
        </w:rPr>
        <w:t xml:space="preserve"> no longer entitled to SSI benefits and may properly be excluded from the Medicare fraction</w:t>
      </w:r>
      <w:r w:rsidR="003955FC" w:rsidRPr="000836C9">
        <w:rPr>
          <w:rFonts w:ascii="Calibri" w:hAnsi="Calibri" w:cs="Calibri"/>
          <w:sz w:val="22"/>
          <w:szCs w:val="22"/>
        </w:rPr>
        <w:t>,</w:t>
      </w:r>
      <w:r w:rsidR="00875B4D" w:rsidRPr="000836C9">
        <w:rPr>
          <w:rFonts w:ascii="Calibri" w:hAnsi="Calibri" w:cs="Calibri"/>
          <w:sz w:val="22"/>
          <w:szCs w:val="22"/>
        </w:rPr>
        <w:t xml:space="preserve"> ba</w:t>
      </w:r>
      <w:r w:rsidR="000E5A6F" w:rsidRPr="000836C9">
        <w:rPr>
          <w:rFonts w:ascii="Calibri" w:hAnsi="Calibri" w:cs="Calibri"/>
          <w:sz w:val="22"/>
          <w:szCs w:val="22"/>
        </w:rPr>
        <w:t>rring evidence to the contrary.</w:t>
      </w:r>
      <w:r w:rsidR="006C71C4" w:rsidRPr="000836C9">
        <w:rPr>
          <w:rFonts w:ascii="Calibri" w:hAnsi="Calibri" w:cs="Calibri"/>
          <w:sz w:val="22"/>
          <w:szCs w:val="22"/>
        </w:rPr>
        <w:t xml:space="preserve"> </w:t>
      </w:r>
      <w:r w:rsidR="00875B4D" w:rsidRPr="000836C9">
        <w:rPr>
          <w:rFonts w:ascii="Calibri" w:hAnsi="Calibri" w:cs="Calibri"/>
          <w:sz w:val="22"/>
          <w:szCs w:val="22"/>
        </w:rPr>
        <w:t xml:space="preserve">The </w:t>
      </w:r>
      <w:r w:rsidR="000B6E68">
        <w:rPr>
          <w:rFonts w:ascii="Calibri" w:hAnsi="Calibri" w:cs="Calibri"/>
          <w:sz w:val="22"/>
          <w:szCs w:val="22"/>
        </w:rPr>
        <w:t>p</w:t>
      </w:r>
      <w:r w:rsidR="00875B4D" w:rsidRPr="000836C9">
        <w:rPr>
          <w:rFonts w:ascii="Calibri" w:hAnsi="Calibri" w:cs="Calibri"/>
          <w:sz w:val="22"/>
          <w:szCs w:val="22"/>
        </w:rPr>
        <w:t>r</w:t>
      </w:r>
      <w:r w:rsidR="00AF3B6E" w:rsidRPr="000836C9">
        <w:rPr>
          <w:rFonts w:ascii="Calibri" w:hAnsi="Calibri" w:cs="Calibri"/>
          <w:sz w:val="22"/>
          <w:szCs w:val="22"/>
        </w:rPr>
        <w:t>oviders</w:t>
      </w:r>
      <w:r w:rsidR="00875B4D" w:rsidRPr="000836C9">
        <w:rPr>
          <w:rFonts w:ascii="Calibri" w:hAnsi="Calibri" w:cs="Calibri"/>
          <w:sz w:val="22"/>
          <w:szCs w:val="22"/>
        </w:rPr>
        <w:t xml:space="preserve"> have failed to produce such evidence to the contrary.</w:t>
      </w:r>
      <w:r w:rsidR="00437A6B" w:rsidRPr="000836C9">
        <w:rPr>
          <w:rFonts w:ascii="Calibri" w:hAnsi="Calibri" w:cs="Calibri"/>
          <w:sz w:val="22"/>
          <w:szCs w:val="22"/>
        </w:rPr>
        <w:t xml:space="preserve"> The </w:t>
      </w:r>
      <w:r w:rsidR="000B6E68">
        <w:rPr>
          <w:rFonts w:ascii="Calibri" w:hAnsi="Calibri" w:cs="Calibri"/>
          <w:sz w:val="22"/>
          <w:szCs w:val="22"/>
        </w:rPr>
        <w:t>p</w:t>
      </w:r>
      <w:r w:rsidR="00437A6B" w:rsidRPr="000836C9">
        <w:rPr>
          <w:rFonts w:ascii="Calibri" w:hAnsi="Calibri" w:cs="Calibri"/>
          <w:sz w:val="22"/>
          <w:szCs w:val="22"/>
        </w:rPr>
        <w:t>roviders</w:t>
      </w:r>
      <w:r w:rsidR="002B6DC4" w:rsidRPr="000836C9">
        <w:rPr>
          <w:rFonts w:ascii="Calibri" w:hAnsi="Calibri" w:cs="Calibri"/>
          <w:sz w:val="22"/>
          <w:szCs w:val="22"/>
        </w:rPr>
        <w:t xml:space="preserve"> sim</w:t>
      </w:r>
      <w:r w:rsidR="00437A6B" w:rsidRPr="000836C9">
        <w:rPr>
          <w:rFonts w:ascii="Calibri" w:hAnsi="Calibri" w:cs="Calibri"/>
          <w:sz w:val="22"/>
          <w:szCs w:val="22"/>
        </w:rPr>
        <w:t>ply</w:t>
      </w:r>
      <w:r w:rsidR="002B6DC4" w:rsidRPr="000836C9">
        <w:rPr>
          <w:rFonts w:ascii="Calibri" w:hAnsi="Calibri" w:cs="Calibri"/>
          <w:sz w:val="22"/>
          <w:szCs w:val="22"/>
        </w:rPr>
        <w:t xml:space="preserve"> contend </w:t>
      </w:r>
      <w:r w:rsidR="00437A6B" w:rsidRPr="000836C9">
        <w:rPr>
          <w:rFonts w:ascii="Calibri" w:hAnsi="Calibri" w:cs="Calibri"/>
          <w:sz w:val="22"/>
          <w:szCs w:val="22"/>
        </w:rPr>
        <w:t xml:space="preserve">there are dual eligible days </w:t>
      </w:r>
      <w:r w:rsidR="002B6DC4" w:rsidRPr="000836C9">
        <w:rPr>
          <w:rFonts w:ascii="Calibri" w:hAnsi="Calibri" w:cs="Calibri"/>
          <w:sz w:val="22"/>
          <w:szCs w:val="22"/>
        </w:rPr>
        <w:t>that were not inc</w:t>
      </w:r>
      <w:r w:rsidR="006E6D47" w:rsidRPr="000836C9">
        <w:rPr>
          <w:rFonts w:ascii="Calibri" w:hAnsi="Calibri" w:cs="Calibri"/>
          <w:sz w:val="22"/>
          <w:szCs w:val="22"/>
        </w:rPr>
        <w:t>luded in the Medicare fraction.</w:t>
      </w:r>
      <w:r w:rsidR="002B6DC4" w:rsidRPr="000836C9">
        <w:rPr>
          <w:rFonts w:ascii="Calibri" w:hAnsi="Calibri" w:cs="Calibri"/>
          <w:sz w:val="22"/>
          <w:szCs w:val="22"/>
        </w:rPr>
        <w:t xml:space="preserve"> The documentation in the record does not satisfy the auditable documentation requirements of 42 C.F.R. §§ 413.20 and 413.24 necessary to award the </w:t>
      </w:r>
      <w:r w:rsidR="004F2EEB" w:rsidRPr="000836C9">
        <w:rPr>
          <w:rFonts w:ascii="Calibri" w:hAnsi="Calibri" w:cs="Calibri"/>
          <w:sz w:val="22"/>
          <w:szCs w:val="22"/>
        </w:rPr>
        <w:t>p</w:t>
      </w:r>
      <w:r w:rsidR="002B6DC4" w:rsidRPr="000836C9">
        <w:rPr>
          <w:rFonts w:ascii="Calibri" w:hAnsi="Calibri" w:cs="Calibri"/>
          <w:sz w:val="22"/>
          <w:szCs w:val="22"/>
        </w:rPr>
        <w:t>roviders any relief.</w:t>
      </w:r>
    </w:p>
    <w:p w14:paraId="663B62E6" w14:textId="77777777" w:rsidR="004F2EEB" w:rsidRPr="000836C9" w:rsidRDefault="004F2EEB" w:rsidP="00B82D1E">
      <w:pPr>
        <w:pStyle w:val="BodyText"/>
        <w:rPr>
          <w:rFonts w:ascii="Calibri" w:hAnsi="Calibri" w:cs="Calibri"/>
          <w:sz w:val="22"/>
          <w:szCs w:val="22"/>
        </w:rPr>
      </w:pPr>
    </w:p>
    <w:p w14:paraId="0F4E0506" w14:textId="77777777" w:rsidR="00AF727E" w:rsidRPr="000836C9" w:rsidRDefault="00AF727E" w:rsidP="00B82D1E">
      <w:pPr>
        <w:pStyle w:val="BodyText"/>
        <w:rPr>
          <w:rFonts w:ascii="Calibri" w:hAnsi="Calibri" w:cs="Calibri"/>
          <w:sz w:val="22"/>
          <w:szCs w:val="22"/>
        </w:rPr>
      </w:pPr>
      <w:r w:rsidRPr="000836C9">
        <w:rPr>
          <w:rFonts w:ascii="Calibri" w:hAnsi="Calibri" w:cs="Calibri"/>
          <w:sz w:val="22"/>
          <w:szCs w:val="22"/>
        </w:rPr>
        <w:t xml:space="preserve">The </w:t>
      </w:r>
      <w:r w:rsidR="000B6E68">
        <w:rPr>
          <w:rFonts w:ascii="Calibri" w:hAnsi="Calibri" w:cs="Calibri"/>
          <w:sz w:val="22"/>
          <w:szCs w:val="22"/>
        </w:rPr>
        <w:t>p</w:t>
      </w:r>
      <w:r w:rsidRPr="000836C9">
        <w:rPr>
          <w:rFonts w:ascii="Calibri" w:hAnsi="Calibri" w:cs="Calibri"/>
          <w:sz w:val="22"/>
          <w:szCs w:val="22"/>
        </w:rPr>
        <w:t>roviders suggest that CMS should allow Medicaid eligibility to substantiate SSI entitlement. In short, the providers believe patient days related to those Medicare beneficiaries who are eligible for Medicaid</w:t>
      </w:r>
      <w:r w:rsidRPr="000836C9">
        <w:rPr>
          <w:rStyle w:val="FootnoteReference"/>
          <w:rFonts w:ascii="Calibri" w:hAnsi="Calibri" w:cs="Calibri"/>
          <w:sz w:val="22"/>
          <w:szCs w:val="22"/>
        </w:rPr>
        <w:footnoteReference w:id="17"/>
      </w:r>
      <w:r w:rsidRPr="000836C9">
        <w:rPr>
          <w:rFonts w:ascii="Calibri" w:hAnsi="Calibri" w:cs="Calibri"/>
          <w:sz w:val="22"/>
          <w:szCs w:val="22"/>
        </w:rPr>
        <w:t xml:space="preserve">, should automatically be counted within their SSI percentages. First, the </w:t>
      </w:r>
      <w:r w:rsidR="000B6E68">
        <w:rPr>
          <w:rFonts w:ascii="Calibri" w:hAnsi="Calibri" w:cs="Calibri"/>
          <w:sz w:val="22"/>
          <w:szCs w:val="22"/>
        </w:rPr>
        <w:t>p</w:t>
      </w:r>
      <w:r w:rsidRPr="000836C9">
        <w:rPr>
          <w:rFonts w:ascii="Calibri" w:hAnsi="Calibri" w:cs="Calibri"/>
          <w:sz w:val="22"/>
          <w:szCs w:val="22"/>
        </w:rPr>
        <w:t xml:space="preserve">roviders’ suggestion that “dual eligible status” should verify SSI entitlement is flawed. SSI entitlement is impermanent, difficult to establish, and easy to lose. The </w:t>
      </w:r>
      <w:r w:rsidR="000B6E68">
        <w:rPr>
          <w:rFonts w:ascii="Calibri" w:hAnsi="Calibri" w:cs="Calibri"/>
          <w:sz w:val="22"/>
          <w:szCs w:val="22"/>
        </w:rPr>
        <w:t>p</w:t>
      </w:r>
      <w:r w:rsidRPr="000836C9">
        <w:rPr>
          <w:rFonts w:ascii="Calibri" w:hAnsi="Calibri" w:cs="Calibri"/>
          <w:sz w:val="22"/>
          <w:szCs w:val="22"/>
        </w:rPr>
        <w:t xml:space="preserve">roviders have failed in any way to verify that the gain or loss of SSI entitlement would require the gain or loss of Medicaid eligibility, or that the gain or loss of Medicaid eligibility would require the gain or loss of SSI entitlement. Second, the providers </w:t>
      </w:r>
      <w:r w:rsidRPr="000836C9">
        <w:rPr>
          <w:rFonts w:ascii="Calibri" w:hAnsi="Calibri" w:cs="Calibri"/>
          <w:sz w:val="22"/>
          <w:szCs w:val="22"/>
        </w:rPr>
        <w:lastRenderedPageBreak/>
        <w:t>possess the Medicaid eligibility data, and have not produced listings of days they believe should be included in their SSI percentages based upon Medicaid data.</w:t>
      </w:r>
    </w:p>
    <w:p w14:paraId="3F236722" w14:textId="77777777" w:rsidR="004F2EEB" w:rsidRPr="000836C9" w:rsidRDefault="004F2EEB" w:rsidP="00B82D1E">
      <w:pPr>
        <w:pStyle w:val="BodyText"/>
        <w:rPr>
          <w:rFonts w:ascii="Calibri" w:hAnsi="Calibri" w:cs="Calibri"/>
          <w:sz w:val="22"/>
          <w:szCs w:val="22"/>
        </w:rPr>
      </w:pPr>
    </w:p>
    <w:p w14:paraId="4C3866C8" w14:textId="77777777" w:rsidR="0069268E" w:rsidRPr="000836C9" w:rsidRDefault="0069268E" w:rsidP="00B82D1E">
      <w:pPr>
        <w:pStyle w:val="BodyText"/>
        <w:rPr>
          <w:rFonts w:ascii="Calibri" w:hAnsi="Calibri" w:cs="Calibri"/>
          <w:sz w:val="22"/>
          <w:szCs w:val="22"/>
        </w:rPr>
      </w:pPr>
      <w:r w:rsidRPr="000836C9">
        <w:rPr>
          <w:rFonts w:ascii="Calibri" w:hAnsi="Calibri" w:cs="Calibri"/>
          <w:sz w:val="22"/>
          <w:szCs w:val="22"/>
        </w:rPr>
        <w:t xml:space="preserve">The </w:t>
      </w:r>
      <w:r w:rsidR="000B6E68">
        <w:rPr>
          <w:rFonts w:ascii="Calibri" w:hAnsi="Calibri" w:cs="Calibri"/>
          <w:sz w:val="22"/>
          <w:szCs w:val="22"/>
        </w:rPr>
        <w:t>p</w:t>
      </w:r>
      <w:r w:rsidRPr="000836C9">
        <w:rPr>
          <w:rFonts w:ascii="Calibri" w:hAnsi="Calibri" w:cs="Calibri"/>
          <w:sz w:val="22"/>
          <w:szCs w:val="22"/>
        </w:rPr>
        <w:t>roviders argue that CMS’s treatment of fully subsidized Medicare Part D prescription drug coverage somehow demonstrates a discordant construction of the DSH statute. This is not the case. Individuals can be deemed automatically eligible for the full Medicare Part D subsidy because they were enrolled and eligible for SSI benefits, or eligible for full Medicaid benefits, or eligible for a Medicare Savings Program. If not automatically deemed eligible, individuals could obtain a full subsidy through an application process. Clearly, eligibility to have one’s Part D coverage subsidized, is not indicative of being entitled to SSI benefits.</w:t>
      </w:r>
      <w:r w:rsidR="00457F9B" w:rsidRPr="000836C9">
        <w:rPr>
          <w:rFonts w:ascii="Calibri" w:hAnsi="Calibri" w:cs="Calibri"/>
          <w:sz w:val="22"/>
          <w:szCs w:val="22"/>
        </w:rPr>
        <w:t xml:space="preserve"> </w:t>
      </w:r>
      <w:r w:rsidRPr="000836C9">
        <w:rPr>
          <w:rFonts w:ascii="Calibri" w:hAnsi="Calibri" w:cs="Calibri"/>
          <w:sz w:val="22"/>
          <w:szCs w:val="22"/>
        </w:rPr>
        <w:t>Part D Extra Help ensures patients do not pay premiums or deductibles for drugs and limits the price of drugs covered by individuals’ plans. Extra Help is not a benefit paid to individuals. On the other hand, SSI benefits are a monthly cash benefit paid to SSI eligible individuals by the Commissioner of Social Security. Medicare Part D and SSI are separate programs. Entitlement to Medicare Part D does not make an individual entitled to monthly SSI payments.</w:t>
      </w:r>
    </w:p>
    <w:p w14:paraId="2ACBE1EC" w14:textId="77777777" w:rsidR="004F2EEB" w:rsidRPr="000836C9" w:rsidRDefault="004F2EEB" w:rsidP="00B82D1E">
      <w:pPr>
        <w:pStyle w:val="BodyText"/>
        <w:rPr>
          <w:rFonts w:ascii="Calibri" w:hAnsi="Calibri" w:cs="Calibri"/>
          <w:sz w:val="22"/>
          <w:szCs w:val="22"/>
        </w:rPr>
      </w:pPr>
    </w:p>
    <w:p w14:paraId="6AA6D759" w14:textId="77777777" w:rsidR="0069268E" w:rsidRPr="000836C9" w:rsidRDefault="0069268E" w:rsidP="00B82D1E">
      <w:pPr>
        <w:pStyle w:val="BodyText"/>
        <w:rPr>
          <w:rFonts w:ascii="Calibri" w:hAnsi="Calibri" w:cs="Calibri"/>
          <w:sz w:val="22"/>
          <w:szCs w:val="22"/>
        </w:rPr>
      </w:pPr>
      <w:r w:rsidRPr="000836C9">
        <w:rPr>
          <w:rFonts w:ascii="Calibri" w:hAnsi="Calibri" w:cs="Calibri"/>
          <w:sz w:val="22"/>
          <w:szCs w:val="22"/>
        </w:rPr>
        <w:t xml:space="preserve">The </w:t>
      </w:r>
      <w:r w:rsidR="000B6E68">
        <w:rPr>
          <w:rFonts w:ascii="Calibri" w:hAnsi="Calibri" w:cs="Calibri"/>
          <w:sz w:val="22"/>
          <w:szCs w:val="22"/>
        </w:rPr>
        <w:t>p</w:t>
      </w:r>
      <w:r w:rsidRPr="000836C9">
        <w:rPr>
          <w:rFonts w:ascii="Calibri" w:hAnsi="Calibri" w:cs="Calibri"/>
          <w:sz w:val="22"/>
          <w:szCs w:val="22"/>
        </w:rPr>
        <w:t>roviders argue that there is one PSC code (E01) used to identify recipients of SSI benefits for the purpose of the full Part D subsidy, but that same code is not identified as an SSI eligible code when identifying individuals entitled to SSI benefits. PSC Code E01 represents an individual who is a resident of a medical treatment facility and is subject to a $30 payment limit but has countable income of $30 or more.  Such individual is not entitled to receive SSI payments. Alternatively, an individual who is a resident of a medical treatment facility and is subject to a $30 payment limit, but does not have countable income of at least $30, would be reflected on the SSI file as a C01 (which denotes SSI entitlement) for any month in which the requirements of this sentence are met. Therefore, code E01 represents an individual who is not entitled to SSI benefits and is reflected accordingly in the SSI file.</w:t>
      </w:r>
    </w:p>
    <w:p w14:paraId="1DA06F84" w14:textId="77777777" w:rsidR="00323799" w:rsidRPr="000836C9" w:rsidRDefault="00323799" w:rsidP="00B82D1E">
      <w:pPr>
        <w:pStyle w:val="BodyText"/>
        <w:rPr>
          <w:rFonts w:ascii="Calibri" w:hAnsi="Calibri" w:cs="Calibri"/>
          <w:sz w:val="22"/>
          <w:szCs w:val="22"/>
        </w:rPr>
      </w:pPr>
    </w:p>
    <w:p w14:paraId="2EE2C9EF" w14:textId="77777777" w:rsidR="00323799" w:rsidRPr="000836C9" w:rsidRDefault="002B6DC4" w:rsidP="00B82D1E">
      <w:pPr>
        <w:pStyle w:val="BodyText"/>
        <w:rPr>
          <w:rFonts w:ascii="Calibri" w:hAnsi="Calibri" w:cs="Calibri"/>
          <w:sz w:val="22"/>
          <w:szCs w:val="22"/>
        </w:rPr>
      </w:pPr>
      <w:r w:rsidRPr="000836C9">
        <w:rPr>
          <w:rFonts w:ascii="Calibri" w:hAnsi="Calibri" w:cs="Calibri"/>
          <w:sz w:val="22"/>
          <w:szCs w:val="22"/>
        </w:rPr>
        <w:t xml:space="preserve">The </w:t>
      </w:r>
      <w:r w:rsidR="000B6E68">
        <w:rPr>
          <w:rFonts w:ascii="Calibri" w:hAnsi="Calibri" w:cs="Calibri"/>
          <w:sz w:val="22"/>
          <w:szCs w:val="22"/>
        </w:rPr>
        <w:t>p</w:t>
      </w:r>
      <w:r w:rsidRPr="000836C9">
        <w:rPr>
          <w:rFonts w:ascii="Calibri" w:hAnsi="Calibri" w:cs="Calibri"/>
          <w:sz w:val="22"/>
          <w:szCs w:val="22"/>
        </w:rPr>
        <w:t xml:space="preserve">roviders contend that they have been prevented from obtaining the necessary data from the SSA. Whether and to what extent this contention is accurate is irrelevant. CMS does not have any authority over the SSA, and the Board may not award any relief to the </w:t>
      </w:r>
      <w:r w:rsidR="00AF2FD6">
        <w:rPr>
          <w:rFonts w:ascii="Calibri" w:hAnsi="Calibri" w:cs="Calibri"/>
          <w:sz w:val="22"/>
          <w:szCs w:val="22"/>
        </w:rPr>
        <w:t>p</w:t>
      </w:r>
      <w:r w:rsidRPr="000836C9">
        <w:rPr>
          <w:rFonts w:ascii="Calibri" w:hAnsi="Calibri" w:cs="Calibri"/>
          <w:sz w:val="22"/>
          <w:szCs w:val="22"/>
        </w:rPr>
        <w:t xml:space="preserve">roviders based on their purported inability to obtain documentation from a party that is not before the Board. </w:t>
      </w:r>
    </w:p>
    <w:p w14:paraId="4D69AB64" w14:textId="77777777" w:rsidR="00323799" w:rsidRPr="000836C9" w:rsidRDefault="00323799" w:rsidP="00B82D1E">
      <w:pPr>
        <w:pStyle w:val="BodyText"/>
        <w:rPr>
          <w:rFonts w:ascii="Calibri" w:hAnsi="Calibri" w:cs="Calibri"/>
          <w:sz w:val="22"/>
          <w:szCs w:val="22"/>
        </w:rPr>
      </w:pPr>
    </w:p>
    <w:p w14:paraId="69E105CD" w14:textId="77777777" w:rsidR="00161D74" w:rsidRPr="000836C9" w:rsidRDefault="0069268E" w:rsidP="00B82D1E">
      <w:pPr>
        <w:pStyle w:val="BodyText"/>
        <w:rPr>
          <w:rFonts w:ascii="Calibri" w:hAnsi="Calibri" w:cs="Calibri"/>
          <w:sz w:val="22"/>
          <w:szCs w:val="22"/>
        </w:rPr>
      </w:pPr>
      <w:r w:rsidRPr="000836C9">
        <w:rPr>
          <w:rFonts w:ascii="Calibri" w:hAnsi="Calibri" w:cs="Calibri"/>
          <w:sz w:val="22"/>
          <w:szCs w:val="22"/>
        </w:rPr>
        <w:t xml:space="preserve">The providers allege that Medicaid data and Medicare Part D data support their contentions. As previously noted, not a single provider in the group has submitted a listing of days that they believe are supported by Medicaid or Medicare Part D data. </w:t>
      </w:r>
      <w:r w:rsidR="00020BDF" w:rsidRPr="000836C9">
        <w:rPr>
          <w:rFonts w:ascii="Calibri" w:hAnsi="Calibri" w:cs="Calibri"/>
          <w:sz w:val="22"/>
          <w:szCs w:val="22"/>
        </w:rPr>
        <w:t>Nor has any provider in the group submitted a shred of Medicaid or Medicare Part D data. The providers are free to include whatever argument they wish in their position paper; however, where the providers fail to substantiate their arguments with documenting evidence, their arguments must be dismissed.</w:t>
      </w:r>
    </w:p>
    <w:p w14:paraId="78A86794" w14:textId="77777777" w:rsidR="00323799" w:rsidRPr="000836C9" w:rsidRDefault="00323799" w:rsidP="00B82D1E">
      <w:pPr>
        <w:pStyle w:val="BodyText"/>
        <w:rPr>
          <w:rFonts w:ascii="Calibri" w:hAnsi="Calibri" w:cs="Calibri"/>
          <w:sz w:val="22"/>
          <w:szCs w:val="22"/>
        </w:rPr>
      </w:pPr>
    </w:p>
    <w:p w14:paraId="6F9A9E5C" w14:textId="2EA75B49" w:rsidR="00E85FFA" w:rsidRDefault="00D37A64" w:rsidP="00B82D1E">
      <w:pPr>
        <w:pStyle w:val="BodyText"/>
        <w:rPr>
          <w:rFonts w:ascii="Arial" w:hAnsi="Arial" w:cs="Arial"/>
          <w:sz w:val="22"/>
          <w:szCs w:val="22"/>
        </w:rPr>
      </w:pPr>
      <w:r w:rsidRPr="000836C9">
        <w:rPr>
          <w:rFonts w:ascii="Calibri" w:hAnsi="Calibri" w:cs="Calibri"/>
          <w:sz w:val="22"/>
          <w:szCs w:val="22"/>
        </w:rPr>
        <w:t xml:space="preserve">The </w:t>
      </w:r>
      <w:r w:rsidR="000B6E68">
        <w:rPr>
          <w:rFonts w:ascii="Calibri" w:hAnsi="Calibri" w:cs="Calibri"/>
          <w:sz w:val="22"/>
          <w:szCs w:val="22"/>
        </w:rPr>
        <w:t>p</w:t>
      </w:r>
      <w:r w:rsidRPr="000836C9">
        <w:rPr>
          <w:rFonts w:ascii="Calibri" w:hAnsi="Calibri" w:cs="Calibri"/>
          <w:sz w:val="22"/>
          <w:szCs w:val="22"/>
        </w:rPr>
        <w:t xml:space="preserve">roviders contend that </w:t>
      </w:r>
      <w:r w:rsidR="00602C46" w:rsidRPr="000836C9">
        <w:rPr>
          <w:rFonts w:ascii="Calibri" w:hAnsi="Calibri" w:cs="Calibri"/>
          <w:sz w:val="22"/>
          <w:szCs w:val="22"/>
        </w:rPr>
        <w:t xml:space="preserve">CMS’s policy is arbitrary and capricious because it leads to such absurd results that any explanation CMS has offered or could offer cannot be accepted. </w:t>
      </w:r>
      <w:r w:rsidR="002135AB" w:rsidRPr="000836C9">
        <w:rPr>
          <w:rFonts w:ascii="Calibri" w:hAnsi="Calibri" w:cs="Calibri"/>
          <w:sz w:val="22"/>
          <w:szCs w:val="22"/>
        </w:rPr>
        <w:t>There is really no support for the provider’s contention</w:t>
      </w:r>
      <w:r w:rsidR="00F7519C" w:rsidRPr="000836C9">
        <w:rPr>
          <w:rFonts w:ascii="Calibri" w:hAnsi="Calibri" w:cs="Calibri"/>
          <w:sz w:val="22"/>
          <w:szCs w:val="22"/>
        </w:rPr>
        <w:t>, as t</w:t>
      </w:r>
      <w:r w:rsidR="002135AB" w:rsidRPr="000836C9">
        <w:rPr>
          <w:rFonts w:ascii="Calibri" w:hAnsi="Calibri" w:cs="Calibri"/>
          <w:sz w:val="22"/>
          <w:szCs w:val="22"/>
        </w:rPr>
        <w:t xml:space="preserve">hey </w:t>
      </w:r>
      <w:r w:rsidR="00B01453" w:rsidRPr="000836C9">
        <w:rPr>
          <w:rFonts w:ascii="Calibri" w:hAnsi="Calibri" w:cs="Calibri"/>
          <w:sz w:val="22"/>
          <w:szCs w:val="22"/>
        </w:rPr>
        <w:t xml:space="preserve">fail to </w:t>
      </w:r>
      <w:r w:rsidR="002135AB" w:rsidRPr="000836C9">
        <w:rPr>
          <w:rFonts w:ascii="Calibri" w:hAnsi="Calibri" w:cs="Calibri"/>
          <w:sz w:val="22"/>
          <w:szCs w:val="22"/>
        </w:rPr>
        <w:t xml:space="preserve">provide </w:t>
      </w:r>
      <w:r w:rsidR="00B01453" w:rsidRPr="000836C9">
        <w:rPr>
          <w:rFonts w:ascii="Calibri" w:hAnsi="Calibri" w:cs="Calibri"/>
          <w:sz w:val="22"/>
          <w:szCs w:val="22"/>
        </w:rPr>
        <w:t>any</w:t>
      </w:r>
      <w:r w:rsidR="002135AB" w:rsidRPr="000836C9">
        <w:rPr>
          <w:rFonts w:ascii="Calibri" w:hAnsi="Calibri" w:cs="Calibri"/>
          <w:sz w:val="22"/>
          <w:szCs w:val="22"/>
        </w:rPr>
        <w:t xml:space="preserve"> examples of patient days that substantiate any of their speculati</w:t>
      </w:r>
      <w:r w:rsidR="00170299" w:rsidRPr="000836C9">
        <w:rPr>
          <w:rFonts w:ascii="Calibri" w:hAnsi="Calibri" w:cs="Calibri"/>
          <w:sz w:val="22"/>
          <w:szCs w:val="22"/>
        </w:rPr>
        <w:t>on</w:t>
      </w:r>
      <w:r w:rsidR="002135AB" w:rsidRPr="000836C9">
        <w:rPr>
          <w:rFonts w:ascii="Calibri" w:hAnsi="Calibri" w:cs="Calibri"/>
          <w:sz w:val="22"/>
          <w:szCs w:val="22"/>
        </w:rPr>
        <w:t xml:space="preserve">. </w:t>
      </w:r>
      <w:r w:rsidR="00F7519C" w:rsidRPr="000836C9">
        <w:rPr>
          <w:rFonts w:ascii="Calibri" w:hAnsi="Calibri" w:cs="Calibri"/>
          <w:sz w:val="22"/>
          <w:szCs w:val="22"/>
        </w:rPr>
        <w:t>M</w:t>
      </w:r>
      <w:r w:rsidR="0004641E" w:rsidRPr="000836C9">
        <w:rPr>
          <w:rFonts w:ascii="Calibri" w:hAnsi="Calibri" w:cs="Calibri"/>
          <w:sz w:val="22"/>
          <w:szCs w:val="22"/>
        </w:rPr>
        <w:t>ore importantly,</w:t>
      </w:r>
      <w:r w:rsidR="002135AB" w:rsidRPr="000836C9">
        <w:rPr>
          <w:rFonts w:ascii="Calibri" w:hAnsi="Calibri" w:cs="Calibri"/>
          <w:sz w:val="22"/>
          <w:szCs w:val="22"/>
        </w:rPr>
        <w:t xml:space="preserve"> the </w:t>
      </w:r>
      <w:r w:rsidR="000B6E68">
        <w:rPr>
          <w:rFonts w:ascii="Calibri" w:hAnsi="Calibri" w:cs="Calibri"/>
          <w:sz w:val="22"/>
          <w:szCs w:val="22"/>
        </w:rPr>
        <w:t>p</w:t>
      </w:r>
      <w:r w:rsidR="002135AB" w:rsidRPr="000836C9">
        <w:rPr>
          <w:rFonts w:ascii="Calibri" w:hAnsi="Calibri" w:cs="Calibri"/>
          <w:sz w:val="22"/>
          <w:szCs w:val="22"/>
        </w:rPr>
        <w:t>rovider</w:t>
      </w:r>
      <w:r w:rsidR="0004641E" w:rsidRPr="000836C9">
        <w:rPr>
          <w:rFonts w:ascii="Calibri" w:hAnsi="Calibri" w:cs="Calibri"/>
          <w:sz w:val="22"/>
          <w:szCs w:val="22"/>
        </w:rPr>
        <w:t xml:space="preserve">s’ contention requires one to </w:t>
      </w:r>
      <w:r w:rsidR="00170299" w:rsidRPr="000836C9">
        <w:rPr>
          <w:rFonts w:ascii="Calibri" w:hAnsi="Calibri" w:cs="Calibri"/>
          <w:sz w:val="22"/>
          <w:szCs w:val="22"/>
        </w:rPr>
        <w:t>disregard the</w:t>
      </w:r>
      <w:r w:rsidR="00B01453" w:rsidRPr="000836C9">
        <w:rPr>
          <w:rFonts w:ascii="Calibri" w:hAnsi="Calibri" w:cs="Calibri"/>
          <w:sz w:val="22"/>
          <w:szCs w:val="22"/>
        </w:rPr>
        <w:t xml:space="preserve"> applicable statute and </w:t>
      </w:r>
      <w:r w:rsidR="0096058B" w:rsidRPr="000836C9">
        <w:rPr>
          <w:rFonts w:ascii="Calibri" w:hAnsi="Calibri" w:cs="Calibri"/>
          <w:sz w:val="22"/>
          <w:szCs w:val="22"/>
        </w:rPr>
        <w:t xml:space="preserve">direct instruction from the Commissioner of Social Security. The providers’ contention requires patient days to be included in the count of SSI days within their Medicare fractions that are related to individuals </w:t>
      </w:r>
      <w:r w:rsidR="00E21D5C" w:rsidRPr="000836C9">
        <w:rPr>
          <w:rFonts w:ascii="Calibri" w:hAnsi="Calibri" w:cs="Calibri"/>
          <w:sz w:val="22"/>
          <w:szCs w:val="22"/>
        </w:rPr>
        <w:t>who</w:t>
      </w:r>
      <w:r w:rsidR="0096058B" w:rsidRPr="000836C9">
        <w:rPr>
          <w:rFonts w:ascii="Calibri" w:hAnsi="Calibri" w:cs="Calibri"/>
          <w:sz w:val="22"/>
          <w:szCs w:val="22"/>
        </w:rPr>
        <w:t xml:space="preserve"> are suspended from the SSI program, ineligible for SSI benefits, and fail to meet the basic requirements for entitlement to SSI benefits. </w:t>
      </w:r>
      <w:r w:rsidR="0004641E" w:rsidRPr="000836C9">
        <w:rPr>
          <w:rFonts w:ascii="Calibri" w:hAnsi="Calibri" w:cs="Calibri"/>
          <w:sz w:val="22"/>
          <w:szCs w:val="22"/>
        </w:rPr>
        <w:t xml:space="preserve">42 U.S.C. §1381a </w:t>
      </w:r>
      <w:r w:rsidR="00263381" w:rsidRPr="000836C9">
        <w:rPr>
          <w:rFonts w:ascii="Calibri" w:hAnsi="Calibri" w:cs="Calibri"/>
          <w:sz w:val="22"/>
          <w:szCs w:val="22"/>
        </w:rPr>
        <w:t>requires every individual who is entitled to SSI benefits be paid benefits by the Commissioner of Social Security</w:t>
      </w:r>
      <w:r w:rsidR="0096058B" w:rsidRPr="000836C9">
        <w:rPr>
          <w:rFonts w:ascii="Calibri" w:hAnsi="Calibri" w:cs="Calibri"/>
          <w:sz w:val="22"/>
          <w:szCs w:val="22"/>
        </w:rPr>
        <w:t>, and</w:t>
      </w:r>
      <w:r w:rsidR="00B01453" w:rsidRPr="000836C9">
        <w:rPr>
          <w:rFonts w:ascii="Calibri" w:hAnsi="Calibri" w:cs="Calibri"/>
          <w:sz w:val="22"/>
          <w:szCs w:val="22"/>
        </w:rPr>
        <w:t xml:space="preserve"> </w:t>
      </w:r>
      <w:r w:rsidR="00507C39" w:rsidRPr="000836C9">
        <w:rPr>
          <w:rFonts w:ascii="Calibri" w:hAnsi="Calibri" w:cs="Calibri"/>
          <w:sz w:val="22"/>
          <w:szCs w:val="22"/>
        </w:rPr>
        <w:t>the</w:t>
      </w:r>
      <w:r w:rsidR="00263381" w:rsidRPr="000836C9">
        <w:rPr>
          <w:rFonts w:ascii="Calibri" w:hAnsi="Calibri" w:cs="Calibri"/>
          <w:sz w:val="22"/>
          <w:szCs w:val="22"/>
        </w:rPr>
        <w:t xml:space="preserve"> Commissioner of Social Security</w:t>
      </w:r>
      <w:r w:rsidR="00B01453" w:rsidRPr="000836C9">
        <w:rPr>
          <w:rFonts w:ascii="Calibri" w:hAnsi="Calibri" w:cs="Calibri"/>
          <w:sz w:val="22"/>
          <w:szCs w:val="22"/>
        </w:rPr>
        <w:t xml:space="preserve"> has clearly stated that</w:t>
      </w:r>
      <w:r w:rsidR="0092106C" w:rsidRPr="000836C9">
        <w:rPr>
          <w:rFonts w:ascii="Calibri" w:hAnsi="Calibri" w:cs="Calibri"/>
          <w:sz w:val="22"/>
          <w:szCs w:val="22"/>
        </w:rPr>
        <w:t xml:space="preserve"> individuals who are suspended from the SSI program are not e</w:t>
      </w:r>
      <w:r w:rsidR="00C013A5" w:rsidRPr="000836C9">
        <w:rPr>
          <w:rFonts w:ascii="Calibri" w:hAnsi="Calibri" w:cs="Calibri"/>
          <w:sz w:val="22"/>
          <w:szCs w:val="22"/>
        </w:rPr>
        <w:t>ntitled to</w:t>
      </w:r>
      <w:r w:rsidR="0092106C" w:rsidRPr="000836C9">
        <w:rPr>
          <w:rFonts w:ascii="Calibri" w:hAnsi="Calibri" w:cs="Calibri"/>
          <w:sz w:val="22"/>
          <w:szCs w:val="22"/>
        </w:rPr>
        <w:t xml:space="preserve"> SSI benefits and fail to meet the basi</w:t>
      </w:r>
      <w:r w:rsidR="000F4457" w:rsidRPr="000836C9">
        <w:rPr>
          <w:rFonts w:ascii="Calibri" w:hAnsi="Calibri" w:cs="Calibri"/>
          <w:sz w:val="22"/>
          <w:szCs w:val="22"/>
        </w:rPr>
        <w:t>c</w:t>
      </w:r>
      <w:r w:rsidR="0092106C" w:rsidRPr="000836C9">
        <w:rPr>
          <w:rFonts w:ascii="Calibri" w:hAnsi="Calibri" w:cs="Calibri"/>
          <w:sz w:val="22"/>
          <w:szCs w:val="22"/>
        </w:rPr>
        <w:t xml:space="preserve"> requirements for </w:t>
      </w:r>
      <w:r w:rsidR="0092106C" w:rsidRPr="000836C9">
        <w:rPr>
          <w:rFonts w:ascii="Calibri" w:hAnsi="Calibri" w:cs="Calibri"/>
          <w:sz w:val="22"/>
          <w:szCs w:val="22"/>
        </w:rPr>
        <w:lastRenderedPageBreak/>
        <w:t xml:space="preserve">eligibility. </w:t>
      </w:r>
      <w:r w:rsidR="007F3B46" w:rsidRPr="000836C9">
        <w:rPr>
          <w:rFonts w:ascii="Calibri" w:hAnsi="Calibri" w:cs="Calibri"/>
          <w:sz w:val="22"/>
          <w:szCs w:val="22"/>
        </w:rPr>
        <w:t xml:space="preserve">When all facts are considered, CMS’s policy </w:t>
      </w:r>
      <w:r w:rsidR="0096058B" w:rsidRPr="000836C9">
        <w:rPr>
          <w:rFonts w:ascii="Calibri" w:hAnsi="Calibri" w:cs="Calibri"/>
          <w:sz w:val="22"/>
          <w:szCs w:val="22"/>
        </w:rPr>
        <w:t>i</w:t>
      </w:r>
      <w:r w:rsidR="007F3B46" w:rsidRPr="000836C9">
        <w:rPr>
          <w:rFonts w:ascii="Calibri" w:hAnsi="Calibri" w:cs="Calibri"/>
          <w:sz w:val="22"/>
          <w:szCs w:val="22"/>
        </w:rPr>
        <w:t>s logical</w:t>
      </w:r>
      <w:r w:rsidR="00E85FFA" w:rsidRPr="000836C9">
        <w:rPr>
          <w:rFonts w:ascii="Calibri" w:hAnsi="Calibri" w:cs="Calibri"/>
          <w:sz w:val="22"/>
          <w:szCs w:val="22"/>
        </w:rPr>
        <w:t xml:space="preserve"> and reasonable</w:t>
      </w:r>
      <w:r w:rsidR="001C6624" w:rsidRPr="000836C9">
        <w:rPr>
          <w:rFonts w:ascii="Calibri" w:hAnsi="Calibri" w:cs="Calibri"/>
          <w:sz w:val="22"/>
          <w:szCs w:val="22"/>
        </w:rPr>
        <w:t xml:space="preserve">, rather than absurd as the </w:t>
      </w:r>
      <w:r w:rsidR="008306F2">
        <w:rPr>
          <w:rFonts w:ascii="Calibri" w:hAnsi="Calibri" w:cs="Calibri"/>
          <w:sz w:val="22"/>
          <w:szCs w:val="22"/>
        </w:rPr>
        <w:t>P</w:t>
      </w:r>
      <w:r w:rsidR="001C6624" w:rsidRPr="000836C9">
        <w:rPr>
          <w:rFonts w:ascii="Calibri" w:hAnsi="Calibri" w:cs="Calibri"/>
          <w:sz w:val="22"/>
          <w:szCs w:val="22"/>
        </w:rPr>
        <w:t>roviders would have the Board believe</w:t>
      </w:r>
      <w:r w:rsidR="00E85FFA" w:rsidRPr="000836C9">
        <w:rPr>
          <w:rFonts w:ascii="Calibri" w:hAnsi="Calibri" w:cs="Calibri"/>
          <w:sz w:val="22"/>
          <w:szCs w:val="22"/>
        </w:rPr>
        <w:t>.</w:t>
      </w:r>
      <w:r w:rsidR="00E85FFA" w:rsidRPr="005438E6">
        <w:rPr>
          <w:rFonts w:ascii="Arial" w:hAnsi="Arial" w:cs="Arial"/>
          <w:sz w:val="22"/>
          <w:szCs w:val="22"/>
        </w:rPr>
        <w:t xml:space="preserve"> </w:t>
      </w:r>
    </w:p>
    <w:p w14:paraId="387F0E04" w14:textId="77777777" w:rsidR="00740C20" w:rsidRDefault="00740C20" w:rsidP="00B82D1E">
      <w:pPr>
        <w:pStyle w:val="BodyText"/>
        <w:rPr>
          <w:rFonts w:ascii="Arial" w:hAnsi="Arial" w:cs="Arial"/>
          <w:sz w:val="22"/>
          <w:szCs w:val="22"/>
        </w:rPr>
      </w:pPr>
    </w:p>
    <w:p w14:paraId="635A1E82" w14:textId="14D0655C" w:rsidR="00261379" w:rsidRPr="001D0960" w:rsidRDefault="003A3847" w:rsidP="00B82D1E">
      <w:pPr>
        <w:pStyle w:val="BodyText"/>
        <w:rPr>
          <w:rFonts w:asciiTheme="minorHAnsi" w:hAnsiTheme="minorHAnsi" w:cstheme="minorHAnsi"/>
          <w:sz w:val="22"/>
          <w:szCs w:val="22"/>
          <w:u w:val="single"/>
        </w:rPr>
      </w:pPr>
      <w:r w:rsidRPr="001D0960">
        <w:rPr>
          <w:rFonts w:asciiTheme="minorHAnsi" w:hAnsiTheme="minorHAnsi" w:cstheme="minorHAnsi"/>
          <w:sz w:val="22"/>
          <w:szCs w:val="22"/>
          <w:u w:val="single"/>
        </w:rPr>
        <w:t xml:space="preserve">Providers’ claim that failure to use best available data rises to ultra vires action and violates both steps of Chevron.   </w:t>
      </w:r>
    </w:p>
    <w:p w14:paraId="33671265" w14:textId="77777777" w:rsidR="00261379" w:rsidRPr="001D0960" w:rsidRDefault="00261379" w:rsidP="00B82D1E">
      <w:pPr>
        <w:pStyle w:val="BodyText"/>
        <w:rPr>
          <w:rFonts w:asciiTheme="minorHAnsi" w:hAnsiTheme="minorHAnsi" w:cstheme="minorHAnsi"/>
          <w:sz w:val="22"/>
          <w:szCs w:val="22"/>
        </w:rPr>
      </w:pPr>
    </w:p>
    <w:p w14:paraId="0C1182C4" w14:textId="77777777" w:rsidR="002B0073" w:rsidRPr="001D0960" w:rsidRDefault="00261379" w:rsidP="00B82D1E">
      <w:pPr>
        <w:pStyle w:val="BodyText"/>
        <w:rPr>
          <w:rFonts w:asciiTheme="minorHAnsi" w:hAnsiTheme="minorHAnsi" w:cstheme="minorHAnsi"/>
          <w:sz w:val="22"/>
          <w:szCs w:val="22"/>
        </w:rPr>
      </w:pPr>
      <w:r w:rsidRPr="001D0960">
        <w:rPr>
          <w:rFonts w:asciiTheme="minorHAnsi" w:hAnsiTheme="minorHAnsi" w:cstheme="minorHAnsi"/>
          <w:sz w:val="22"/>
          <w:szCs w:val="22"/>
        </w:rPr>
        <w:t xml:space="preserve">The providers </w:t>
      </w:r>
      <w:r w:rsidR="00A670DC" w:rsidRPr="001D0960">
        <w:rPr>
          <w:rFonts w:asciiTheme="minorHAnsi" w:hAnsiTheme="minorHAnsi" w:cstheme="minorHAnsi"/>
          <w:sz w:val="22"/>
          <w:szCs w:val="22"/>
        </w:rPr>
        <w:t xml:space="preserve">state that because CMS does not use the best data available, they are giving rise to ultra vires and are steps of the </w:t>
      </w:r>
      <w:r w:rsidR="00A670DC" w:rsidRPr="001D0960">
        <w:rPr>
          <w:rFonts w:asciiTheme="minorHAnsi" w:hAnsiTheme="minorHAnsi" w:cstheme="minorHAnsi"/>
          <w:i/>
          <w:iCs/>
          <w:sz w:val="22"/>
          <w:szCs w:val="22"/>
        </w:rPr>
        <w:t xml:space="preserve">Chevron. </w:t>
      </w:r>
      <w:r w:rsidR="00A670DC" w:rsidRPr="001D0960">
        <w:rPr>
          <w:rFonts w:asciiTheme="minorHAnsi" w:hAnsiTheme="minorHAnsi" w:cstheme="minorHAnsi"/>
          <w:sz w:val="22"/>
          <w:szCs w:val="22"/>
        </w:rPr>
        <w:t xml:space="preserve">The providers in </w:t>
      </w:r>
      <w:r w:rsidR="00A670DC" w:rsidRPr="001D0960">
        <w:rPr>
          <w:rFonts w:asciiTheme="minorHAnsi" w:hAnsiTheme="minorHAnsi" w:cstheme="minorHAnsi"/>
          <w:sz w:val="22"/>
          <w:szCs w:val="22"/>
          <w:u w:val="single"/>
        </w:rPr>
        <w:t>Advocate Christ Medical Center, et al., vs Becerra</w:t>
      </w:r>
      <w:r w:rsidR="00A670DC" w:rsidRPr="001D0960">
        <w:rPr>
          <w:rFonts w:asciiTheme="minorHAnsi" w:hAnsiTheme="minorHAnsi" w:cstheme="minorHAnsi"/>
          <w:i/>
          <w:iCs/>
          <w:sz w:val="22"/>
          <w:szCs w:val="22"/>
        </w:rPr>
        <w:t xml:space="preserve"> </w:t>
      </w:r>
      <w:r w:rsidR="00A670DC" w:rsidRPr="001D0960">
        <w:rPr>
          <w:rFonts w:asciiTheme="minorHAnsi" w:hAnsiTheme="minorHAnsi" w:cstheme="minorHAnsi"/>
          <w:sz w:val="22"/>
          <w:szCs w:val="22"/>
        </w:rPr>
        <w:t>held this same position. The United States Court of Appeals for the District of Columbia Circuit dismissed this argument. The Court stated</w:t>
      </w:r>
      <w:r w:rsidR="002B0073" w:rsidRPr="001D0960">
        <w:rPr>
          <w:rFonts w:asciiTheme="minorHAnsi" w:hAnsiTheme="minorHAnsi" w:cstheme="minorHAnsi"/>
          <w:sz w:val="22"/>
          <w:szCs w:val="22"/>
        </w:rPr>
        <w:t>:</w:t>
      </w:r>
    </w:p>
    <w:p w14:paraId="1D7299C6" w14:textId="77777777" w:rsidR="002B0073" w:rsidRDefault="002B0073" w:rsidP="00B82D1E">
      <w:pPr>
        <w:pStyle w:val="BodyText"/>
        <w:rPr>
          <w:rFonts w:ascii="Arial" w:hAnsi="Arial" w:cs="Arial"/>
          <w:sz w:val="22"/>
          <w:szCs w:val="22"/>
        </w:rPr>
      </w:pPr>
    </w:p>
    <w:p w14:paraId="0A94C35E" w14:textId="01249EAC" w:rsidR="00740C20" w:rsidRPr="002B0073" w:rsidRDefault="002B0073" w:rsidP="002B0073">
      <w:pPr>
        <w:pStyle w:val="BodyText"/>
        <w:spacing w:line="240" w:lineRule="auto"/>
        <w:ind w:left="720" w:right="720"/>
        <w:rPr>
          <w:rFonts w:asciiTheme="minorHAnsi" w:hAnsiTheme="minorHAnsi" w:cstheme="minorHAnsi"/>
          <w:sz w:val="22"/>
          <w:szCs w:val="22"/>
        </w:rPr>
      </w:pPr>
      <w:r w:rsidRPr="002B0073">
        <w:rPr>
          <w:rFonts w:asciiTheme="minorHAnsi" w:hAnsiTheme="minorHAnsi" w:cstheme="minorHAnsi"/>
          <w:sz w:val="22"/>
          <w:szCs w:val="22"/>
        </w:rPr>
        <w:t xml:space="preserve">We have also deferentially reviewed HHS interpretations of the Medicare Act under </w:t>
      </w:r>
      <w:r w:rsidRPr="002B0073">
        <w:rPr>
          <w:rFonts w:asciiTheme="minorHAnsi" w:hAnsiTheme="minorHAnsi" w:cstheme="minorHAnsi"/>
          <w:i/>
          <w:iCs/>
          <w:sz w:val="22"/>
          <w:szCs w:val="22"/>
        </w:rPr>
        <w:t>Chevron U.S.A. Inc. v. NRDC</w:t>
      </w:r>
      <w:r w:rsidRPr="002B0073">
        <w:rPr>
          <w:rFonts w:asciiTheme="minorHAnsi" w:hAnsiTheme="minorHAnsi" w:cstheme="minorHAnsi"/>
          <w:sz w:val="22"/>
          <w:szCs w:val="22"/>
        </w:rPr>
        <w:t xml:space="preserve">, 467 U.S. 837 (1984). </w:t>
      </w:r>
      <w:r w:rsidRPr="002B0073">
        <w:rPr>
          <w:rFonts w:asciiTheme="minorHAnsi" w:hAnsiTheme="minorHAnsi" w:cstheme="minorHAnsi"/>
          <w:i/>
          <w:iCs/>
          <w:color w:val="3C3C3C"/>
          <w:sz w:val="22"/>
          <w:szCs w:val="22"/>
        </w:rPr>
        <w:t>See Gentiva</w:t>
      </w:r>
      <w:r w:rsidRPr="002B0073">
        <w:rPr>
          <w:rFonts w:asciiTheme="minorHAnsi" w:hAnsiTheme="minorHAnsi" w:cstheme="minorHAnsi"/>
          <w:color w:val="3C3C3C"/>
          <w:sz w:val="22"/>
          <w:szCs w:val="22"/>
        </w:rPr>
        <w:t xml:space="preserve">, 31 F.4th at 775. </w:t>
      </w:r>
      <w:r w:rsidRPr="002B0073">
        <w:rPr>
          <w:rFonts w:asciiTheme="minorHAnsi" w:hAnsiTheme="minorHAnsi" w:cstheme="minorHAnsi"/>
          <w:sz w:val="22"/>
          <w:szCs w:val="22"/>
        </w:rPr>
        <w:t xml:space="preserve">However, we need not apply the </w:t>
      </w:r>
      <w:r w:rsidRPr="002B0073">
        <w:rPr>
          <w:rFonts w:asciiTheme="minorHAnsi" w:hAnsiTheme="minorHAnsi" w:cstheme="minorHAnsi"/>
          <w:i/>
          <w:iCs/>
          <w:sz w:val="22"/>
          <w:szCs w:val="22"/>
        </w:rPr>
        <w:t xml:space="preserve">Chevron </w:t>
      </w:r>
      <w:r w:rsidRPr="002B0073">
        <w:rPr>
          <w:rFonts w:asciiTheme="minorHAnsi" w:hAnsiTheme="minorHAnsi" w:cstheme="minorHAnsi"/>
          <w:sz w:val="22"/>
          <w:szCs w:val="22"/>
        </w:rPr>
        <w:t xml:space="preserve">framework if we conclude that the agency has correctly construed the governing statute. </w:t>
      </w:r>
      <w:r w:rsidRPr="002B0073">
        <w:rPr>
          <w:rFonts w:asciiTheme="minorHAnsi" w:hAnsiTheme="minorHAnsi" w:cstheme="minorHAnsi"/>
          <w:i/>
          <w:iCs/>
          <w:sz w:val="22"/>
          <w:szCs w:val="22"/>
        </w:rPr>
        <w:t>See Empire</w:t>
      </w:r>
      <w:r w:rsidRPr="002B0073">
        <w:rPr>
          <w:rFonts w:asciiTheme="minorHAnsi" w:hAnsiTheme="minorHAnsi" w:cstheme="minorHAnsi"/>
          <w:sz w:val="22"/>
          <w:szCs w:val="22"/>
        </w:rPr>
        <w:t>, 142 S. Ct. at 2362.</w:t>
      </w:r>
      <w:r>
        <w:rPr>
          <w:rStyle w:val="FootnoteReference"/>
          <w:rFonts w:asciiTheme="minorHAnsi" w:hAnsiTheme="minorHAnsi" w:cstheme="minorHAnsi"/>
          <w:sz w:val="22"/>
          <w:szCs w:val="22"/>
        </w:rPr>
        <w:footnoteReference w:id="18"/>
      </w:r>
      <w:r w:rsidRPr="002B0073">
        <w:rPr>
          <w:rFonts w:asciiTheme="minorHAnsi" w:hAnsiTheme="minorHAnsi" w:cstheme="minorHAnsi"/>
          <w:sz w:val="22"/>
          <w:szCs w:val="22"/>
        </w:rPr>
        <w:t xml:space="preserve"> </w:t>
      </w:r>
      <w:r w:rsidR="00A670DC" w:rsidRPr="002B0073">
        <w:rPr>
          <w:rFonts w:asciiTheme="minorHAnsi" w:hAnsiTheme="minorHAnsi" w:cstheme="minorHAnsi"/>
          <w:sz w:val="22"/>
          <w:szCs w:val="22"/>
        </w:rPr>
        <w:t xml:space="preserve"> </w:t>
      </w:r>
    </w:p>
    <w:p w14:paraId="6565D4F0" w14:textId="0EA6D7BA" w:rsidR="003922CA" w:rsidRDefault="003922CA" w:rsidP="00B82D1E">
      <w:pPr>
        <w:pStyle w:val="BodyText"/>
        <w:rPr>
          <w:rFonts w:ascii="Arial" w:hAnsi="Arial" w:cs="Arial"/>
          <w:sz w:val="22"/>
          <w:szCs w:val="22"/>
        </w:rPr>
      </w:pPr>
    </w:p>
    <w:p w14:paraId="31AEBA8F" w14:textId="2DD5C596" w:rsidR="003922CA" w:rsidRPr="002B0073" w:rsidRDefault="002B0073" w:rsidP="002B0073">
      <w:pPr>
        <w:pStyle w:val="BodyText"/>
        <w:spacing w:line="240" w:lineRule="auto"/>
        <w:ind w:left="720" w:right="720"/>
        <w:rPr>
          <w:rFonts w:asciiTheme="minorHAnsi" w:hAnsiTheme="minorHAnsi" w:cstheme="minorHAnsi"/>
          <w:sz w:val="22"/>
          <w:szCs w:val="22"/>
        </w:rPr>
      </w:pPr>
      <w:r w:rsidRPr="002B0073">
        <w:rPr>
          <w:rFonts w:asciiTheme="minorHAnsi" w:hAnsiTheme="minorHAnsi" w:cstheme="minorHAnsi"/>
          <w:sz w:val="22"/>
          <w:szCs w:val="22"/>
        </w:rPr>
        <w:t xml:space="preserve">Because we agree that the Secretary offered the correct interpretation of the Medicare fraction, we adopt it without considering any question of </w:t>
      </w:r>
      <w:r w:rsidRPr="002B0073">
        <w:rPr>
          <w:rFonts w:asciiTheme="minorHAnsi" w:hAnsiTheme="minorHAnsi" w:cstheme="minorHAnsi"/>
          <w:i/>
          <w:iCs/>
          <w:sz w:val="22"/>
          <w:szCs w:val="22"/>
        </w:rPr>
        <w:t xml:space="preserve">Chevron </w:t>
      </w:r>
      <w:r w:rsidRPr="002B0073">
        <w:rPr>
          <w:rFonts w:asciiTheme="minorHAnsi" w:hAnsiTheme="minorHAnsi" w:cstheme="minorHAnsi"/>
          <w:sz w:val="22"/>
          <w:szCs w:val="22"/>
        </w:rPr>
        <w:t>deference.</w:t>
      </w:r>
    </w:p>
    <w:p w14:paraId="19BA2A88" w14:textId="77777777" w:rsidR="00457F9B" w:rsidRDefault="00457F9B" w:rsidP="00B82D1E">
      <w:pPr>
        <w:pStyle w:val="BodyText"/>
        <w:rPr>
          <w:rFonts w:ascii="Arial" w:hAnsi="Arial" w:cs="Arial"/>
          <w:sz w:val="22"/>
          <w:szCs w:val="22"/>
        </w:rPr>
      </w:pPr>
    </w:p>
    <w:p w14:paraId="19824C1D" w14:textId="77777777" w:rsidR="00D27FA4" w:rsidRDefault="00D27FA4" w:rsidP="00B82D1E">
      <w:pPr>
        <w:pStyle w:val="BodyText"/>
        <w:rPr>
          <w:rFonts w:ascii="Arial" w:hAnsi="Arial" w:cs="Arial"/>
          <w:sz w:val="22"/>
          <w:szCs w:val="22"/>
          <w:u w:val="single"/>
        </w:rPr>
      </w:pPr>
    </w:p>
    <w:p w14:paraId="4E5DEAF9" w14:textId="4D9CF463" w:rsidR="002B0073" w:rsidRPr="001D0960" w:rsidRDefault="000036ED" w:rsidP="00B82D1E">
      <w:pPr>
        <w:pStyle w:val="BodyText"/>
        <w:rPr>
          <w:rFonts w:asciiTheme="minorHAnsi" w:hAnsiTheme="minorHAnsi" w:cstheme="minorHAnsi"/>
          <w:sz w:val="22"/>
          <w:szCs w:val="22"/>
          <w:u w:val="single"/>
        </w:rPr>
      </w:pPr>
      <w:r w:rsidRPr="001D0960">
        <w:rPr>
          <w:rFonts w:asciiTheme="minorHAnsi" w:hAnsiTheme="minorHAnsi" w:cstheme="minorHAnsi"/>
          <w:sz w:val="22"/>
          <w:szCs w:val="22"/>
          <w:u w:val="single"/>
        </w:rPr>
        <w:t xml:space="preserve">Medicare Prescription </w:t>
      </w:r>
      <w:r w:rsidR="00D27FA4" w:rsidRPr="001D0960">
        <w:rPr>
          <w:rFonts w:asciiTheme="minorHAnsi" w:hAnsiTheme="minorHAnsi" w:cstheme="minorHAnsi"/>
          <w:sz w:val="22"/>
          <w:szCs w:val="22"/>
          <w:u w:val="single"/>
        </w:rPr>
        <w:t>D</w:t>
      </w:r>
      <w:r w:rsidRPr="001D0960">
        <w:rPr>
          <w:rFonts w:asciiTheme="minorHAnsi" w:hAnsiTheme="minorHAnsi" w:cstheme="minorHAnsi"/>
          <w:sz w:val="22"/>
          <w:szCs w:val="22"/>
          <w:u w:val="single"/>
        </w:rPr>
        <w:t xml:space="preserve">rug, Improvement, and </w:t>
      </w:r>
      <w:r w:rsidR="00511238" w:rsidRPr="001D0960">
        <w:rPr>
          <w:rFonts w:asciiTheme="minorHAnsi" w:hAnsiTheme="minorHAnsi" w:cstheme="minorHAnsi"/>
          <w:sz w:val="22"/>
          <w:szCs w:val="22"/>
          <w:u w:val="single"/>
        </w:rPr>
        <w:t>Modernization</w:t>
      </w:r>
      <w:r w:rsidRPr="001D0960">
        <w:rPr>
          <w:rFonts w:asciiTheme="minorHAnsi" w:hAnsiTheme="minorHAnsi" w:cstheme="minorHAnsi"/>
          <w:sz w:val="22"/>
          <w:szCs w:val="22"/>
          <w:u w:val="single"/>
        </w:rPr>
        <w:t xml:space="preserve"> (MMA) § 951</w:t>
      </w:r>
    </w:p>
    <w:p w14:paraId="642B78D6" w14:textId="77777777" w:rsidR="002B0073" w:rsidRPr="001D0960" w:rsidRDefault="002B0073" w:rsidP="00B82D1E">
      <w:pPr>
        <w:pStyle w:val="BodyText"/>
        <w:rPr>
          <w:rFonts w:asciiTheme="minorHAnsi" w:hAnsiTheme="minorHAnsi" w:cstheme="minorHAnsi"/>
          <w:sz w:val="22"/>
          <w:szCs w:val="22"/>
        </w:rPr>
      </w:pPr>
    </w:p>
    <w:p w14:paraId="37A50BCA" w14:textId="3C1B276C" w:rsidR="00D27FA4" w:rsidRPr="001D0960" w:rsidRDefault="000036ED" w:rsidP="00B82D1E">
      <w:pPr>
        <w:pStyle w:val="BodyText"/>
        <w:rPr>
          <w:rFonts w:asciiTheme="minorHAnsi" w:hAnsiTheme="minorHAnsi" w:cstheme="minorHAnsi"/>
          <w:sz w:val="22"/>
          <w:szCs w:val="22"/>
        </w:rPr>
      </w:pPr>
      <w:r w:rsidRPr="001D0960">
        <w:rPr>
          <w:rFonts w:asciiTheme="minorHAnsi" w:hAnsiTheme="minorHAnsi" w:cstheme="minorHAnsi"/>
          <w:sz w:val="22"/>
          <w:szCs w:val="22"/>
        </w:rPr>
        <w:t xml:space="preserve">The </w:t>
      </w:r>
      <w:r w:rsidR="00D27FA4" w:rsidRPr="001D0960">
        <w:rPr>
          <w:rFonts w:asciiTheme="minorHAnsi" w:hAnsiTheme="minorHAnsi" w:cstheme="minorHAnsi"/>
          <w:sz w:val="22"/>
          <w:szCs w:val="22"/>
        </w:rPr>
        <w:t>p</w:t>
      </w:r>
      <w:r w:rsidRPr="001D0960">
        <w:rPr>
          <w:rFonts w:asciiTheme="minorHAnsi" w:hAnsiTheme="minorHAnsi" w:cstheme="minorHAnsi"/>
          <w:sz w:val="22"/>
          <w:szCs w:val="22"/>
        </w:rPr>
        <w:t xml:space="preserve">roviders argue that under MMA § 95, CMS is required to give each hospital the data necessary for the hospital to compute number of patients days used in computing their DSH percentages. </w:t>
      </w:r>
      <w:r w:rsidR="00D27FA4" w:rsidRPr="001D0960">
        <w:rPr>
          <w:rFonts w:asciiTheme="minorHAnsi" w:hAnsiTheme="minorHAnsi" w:cstheme="minorHAnsi"/>
          <w:sz w:val="22"/>
          <w:szCs w:val="22"/>
        </w:rPr>
        <w:t>The</w:t>
      </w:r>
      <w:r w:rsidR="0013726D" w:rsidRPr="001D0960">
        <w:rPr>
          <w:rFonts w:asciiTheme="minorHAnsi" w:hAnsiTheme="minorHAnsi" w:cstheme="minorHAnsi"/>
          <w:sz w:val="22"/>
          <w:szCs w:val="22"/>
        </w:rPr>
        <w:t xml:space="preserve"> MAC</w:t>
      </w:r>
      <w:r w:rsidR="00D27FA4" w:rsidRPr="001D0960">
        <w:rPr>
          <w:rFonts w:asciiTheme="minorHAnsi" w:hAnsiTheme="minorHAnsi" w:cstheme="minorHAnsi"/>
          <w:sz w:val="22"/>
          <w:szCs w:val="22"/>
        </w:rPr>
        <w:t xml:space="preserve"> asserts that CMS has made available the necessary data that they can are required submit to the providers. </w:t>
      </w:r>
    </w:p>
    <w:p w14:paraId="1B4B4DB5" w14:textId="77777777" w:rsidR="00D27FA4" w:rsidRPr="001D0960" w:rsidRDefault="00D27FA4" w:rsidP="00B82D1E">
      <w:pPr>
        <w:pStyle w:val="BodyText"/>
        <w:rPr>
          <w:rFonts w:asciiTheme="minorHAnsi" w:hAnsiTheme="minorHAnsi" w:cstheme="minorHAnsi"/>
          <w:sz w:val="22"/>
          <w:szCs w:val="22"/>
        </w:rPr>
      </w:pPr>
    </w:p>
    <w:p w14:paraId="6F8410DD" w14:textId="08B36CD3" w:rsidR="000036ED" w:rsidRPr="001D0960" w:rsidRDefault="00D27FA4" w:rsidP="00B82D1E">
      <w:pPr>
        <w:pStyle w:val="BodyText"/>
        <w:rPr>
          <w:rFonts w:asciiTheme="minorHAnsi" w:hAnsiTheme="minorHAnsi" w:cstheme="minorHAnsi"/>
          <w:sz w:val="22"/>
          <w:szCs w:val="22"/>
        </w:rPr>
      </w:pPr>
      <w:r w:rsidRPr="001D0960">
        <w:rPr>
          <w:rFonts w:asciiTheme="minorHAnsi" w:hAnsiTheme="minorHAnsi" w:cstheme="minorHAnsi"/>
          <w:sz w:val="22"/>
          <w:szCs w:val="22"/>
        </w:rPr>
        <w:t xml:space="preserve">The providers in </w:t>
      </w:r>
      <w:r w:rsidRPr="001D0960">
        <w:rPr>
          <w:rFonts w:asciiTheme="minorHAnsi" w:hAnsiTheme="minorHAnsi" w:cstheme="minorHAnsi"/>
          <w:sz w:val="22"/>
          <w:szCs w:val="22"/>
          <w:u w:val="single"/>
        </w:rPr>
        <w:t>Advocate Christ Medical Center, et al., vs Becerra</w:t>
      </w:r>
      <w:r w:rsidRPr="001D0960">
        <w:rPr>
          <w:rFonts w:asciiTheme="minorHAnsi" w:hAnsiTheme="minorHAnsi" w:cstheme="minorHAnsi"/>
          <w:i/>
          <w:iCs/>
          <w:sz w:val="22"/>
          <w:szCs w:val="22"/>
        </w:rPr>
        <w:t xml:space="preserve"> </w:t>
      </w:r>
      <w:r w:rsidRPr="001D0960">
        <w:rPr>
          <w:rFonts w:asciiTheme="minorHAnsi" w:hAnsiTheme="minorHAnsi" w:cstheme="minorHAnsi"/>
          <w:sz w:val="22"/>
          <w:szCs w:val="22"/>
        </w:rPr>
        <w:t xml:space="preserve">held this same position, as the provider of this instant case. The United States Court of Appeals for the District of Columbia Circuit dismissed this argument. The Court stated: </w:t>
      </w:r>
    </w:p>
    <w:p w14:paraId="2FCF8420" w14:textId="77777777" w:rsidR="00D27FA4" w:rsidRPr="001D0960" w:rsidRDefault="00D27FA4" w:rsidP="00B82D1E">
      <w:pPr>
        <w:pStyle w:val="BodyText"/>
        <w:rPr>
          <w:rFonts w:asciiTheme="minorHAnsi" w:hAnsiTheme="minorHAnsi" w:cstheme="minorHAnsi"/>
          <w:sz w:val="22"/>
          <w:szCs w:val="22"/>
        </w:rPr>
      </w:pPr>
    </w:p>
    <w:p w14:paraId="4A2BB31C" w14:textId="098306E0" w:rsidR="00D27FA4" w:rsidRPr="00DC3008" w:rsidRDefault="00D27FA4" w:rsidP="00D27FA4">
      <w:pPr>
        <w:pStyle w:val="BodyText"/>
        <w:spacing w:line="240" w:lineRule="auto"/>
        <w:ind w:left="720" w:right="720"/>
        <w:rPr>
          <w:rFonts w:asciiTheme="minorHAnsi" w:hAnsiTheme="minorHAnsi" w:cstheme="minorHAnsi"/>
          <w:sz w:val="22"/>
          <w:szCs w:val="22"/>
        </w:rPr>
      </w:pPr>
      <w:r w:rsidRPr="00DC3008">
        <w:rPr>
          <w:rFonts w:asciiTheme="minorHAnsi" w:hAnsiTheme="minorHAnsi" w:cstheme="minorHAnsi"/>
          <w:sz w:val="22"/>
          <w:szCs w:val="22"/>
        </w:rPr>
        <w:t>To comply with the MMA, the agency gives hospitals data of the “matched patient-specific Medicare Part A inpatient days/SSI eligibility data on a month-to-month basis.” Medicare Program; Changes to the Hospital Inpatient Prospective Payment Systems and Fiscal Year 2006 Rates, 70 Fed. Reg. 47,278, 47,440 (Aug. 12, 2005). This amounts to a list of inpatient days along with a binary yes-or-no marker indicating whether the patient for those days was counted as being entitled to SSI benefits. HHS neither receives from SSA, nor gives to the hospitals, the individual codes reflecting SSA’s determination of why specific enrollees were or were not entitled to SSI benefits month-to-month.</w:t>
      </w:r>
    </w:p>
    <w:p w14:paraId="45A43F1E" w14:textId="77777777" w:rsidR="00D27FA4" w:rsidRPr="00DC3008" w:rsidRDefault="00D27FA4" w:rsidP="00D27FA4">
      <w:pPr>
        <w:pStyle w:val="BodyText"/>
        <w:ind w:right="720"/>
        <w:rPr>
          <w:rFonts w:asciiTheme="minorHAnsi" w:hAnsiTheme="minorHAnsi" w:cstheme="minorHAnsi"/>
          <w:sz w:val="22"/>
          <w:szCs w:val="22"/>
        </w:rPr>
      </w:pPr>
    </w:p>
    <w:p w14:paraId="15FE67AB" w14:textId="77777777" w:rsidR="005F164A" w:rsidRPr="001D0960" w:rsidRDefault="00B10513" w:rsidP="00B82D1E">
      <w:pPr>
        <w:pStyle w:val="BodyText"/>
        <w:numPr>
          <w:ilvl w:val="0"/>
          <w:numId w:val="7"/>
        </w:numPr>
        <w:rPr>
          <w:rFonts w:asciiTheme="minorHAnsi" w:hAnsiTheme="minorHAnsi" w:cstheme="minorHAnsi"/>
          <w:b/>
          <w:sz w:val="22"/>
          <w:szCs w:val="22"/>
        </w:rPr>
      </w:pPr>
      <w:r w:rsidRPr="001D0960">
        <w:rPr>
          <w:rFonts w:asciiTheme="minorHAnsi" w:hAnsiTheme="minorHAnsi" w:cstheme="minorHAnsi"/>
          <w:b/>
          <w:sz w:val="22"/>
          <w:szCs w:val="22"/>
        </w:rPr>
        <w:t>Conclusion</w:t>
      </w:r>
    </w:p>
    <w:p w14:paraId="5BDBD0CE" w14:textId="77777777" w:rsidR="00B82D1E" w:rsidRPr="001D0960" w:rsidRDefault="00B82D1E" w:rsidP="00B82D1E">
      <w:pPr>
        <w:pStyle w:val="BodyText"/>
        <w:rPr>
          <w:rFonts w:asciiTheme="minorHAnsi" w:hAnsiTheme="minorHAnsi" w:cstheme="minorHAnsi"/>
          <w:sz w:val="22"/>
          <w:szCs w:val="22"/>
        </w:rPr>
      </w:pPr>
    </w:p>
    <w:p w14:paraId="1AE645D5" w14:textId="77777777" w:rsidR="00ED37D8" w:rsidRPr="001D0960" w:rsidRDefault="00AF2FD6" w:rsidP="00B82D1E">
      <w:pPr>
        <w:pStyle w:val="BodyText"/>
        <w:rPr>
          <w:rFonts w:asciiTheme="minorHAnsi" w:hAnsiTheme="minorHAnsi" w:cstheme="minorHAnsi"/>
          <w:sz w:val="22"/>
          <w:szCs w:val="22"/>
        </w:rPr>
      </w:pPr>
      <w:r w:rsidRPr="001D0960">
        <w:rPr>
          <w:rFonts w:asciiTheme="minorHAnsi" w:hAnsiTheme="minorHAnsi" w:cstheme="minorHAnsi"/>
          <w:sz w:val="22"/>
          <w:szCs w:val="22"/>
        </w:rPr>
        <w:t xml:space="preserve">The Board should dismiss this CIRP group appeal because the providers have included two separate issues in the appeal. The data match issue (a technical issue) and the Dual Eligible Days issue (a policy issue) should have been included in two </w:t>
      </w:r>
      <w:r w:rsidR="00ED37D8" w:rsidRPr="001D0960">
        <w:rPr>
          <w:rFonts w:asciiTheme="minorHAnsi" w:hAnsiTheme="minorHAnsi" w:cstheme="minorHAnsi"/>
          <w:sz w:val="22"/>
          <w:szCs w:val="22"/>
        </w:rPr>
        <w:t xml:space="preserve">different appeals. </w:t>
      </w:r>
    </w:p>
    <w:p w14:paraId="0F11AB70" w14:textId="77777777" w:rsidR="00AF2FD6" w:rsidRPr="001D0960" w:rsidRDefault="00AF2FD6" w:rsidP="00B82D1E">
      <w:pPr>
        <w:pStyle w:val="BodyText"/>
        <w:rPr>
          <w:rFonts w:asciiTheme="minorHAnsi" w:hAnsiTheme="minorHAnsi" w:cstheme="minorHAnsi"/>
          <w:sz w:val="22"/>
          <w:szCs w:val="22"/>
        </w:rPr>
      </w:pPr>
      <w:r w:rsidRPr="001D0960">
        <w:rPr>
          <w:rFonts w:asciiTheme="minorHAnsi" w:hAnsiTheme="minorHAnsi" w:cstheme="minorHAnsi"/>
          <w:sz w:val="22"/>
          <w:szCs w:val="22"/>
        </w:rPr>
        <w:t xml:space="preserve"> </w:t>
      </w:r>
    </w:p>
    <w:p w14:paraId="33EA9DDD" w14:textId="77777777" w:rsidR="002B6DC4" w:rsidRPr="001D0960" w:rsidRDefault="00AF3B6E" w:rsidP="00B82D1E">
      <w:pPr>
        <w:pStyle w:val="BodyText"/>
        <w:rPr>
          <w:rFonts w:asciiTheme="minorHAnsi" w:hAnsiTheme="minorHAnsi" w:cstheme="minorHAnsi"/>
          <w:sz w:val="22"/>
          <w:szCs w:val="22"/>
        </w:rPr>
      </w:pPr>
      <w:r w:rsidRPr="001D0960">
        <w:rPr>
          <w:rFonts w:asciiTheme="minorHAnsi" w:hAnsiTheme="minorHAnsi" w:cstheme="minorHAnsi"/>
          <w:sz w:val="22"/>
          <w:szCs w:val="22"/>
        </w:rPr>
        <w:t>In view of the foregoing, the</w:t>
      </w:r>
      <w:r w:rsidR="002B6DC4" w:rsidRPr="001D0960">
        <w:rPr>
          <w:rFonts w:asciiTheme="minorHAnsi" w:hAnsiTheme="minorHAnsi" w:cstheme="minorHAnsi"/>
          <w:sz w:val="22"/>
          <w:szCs w:val="22"/>
        </w:rPr>
        <w:t xml:space="preserve"> </w:t>
      </w:r>
      <w:r w:rsidRPr="001D0960">
        <w:rPr>
          <w:rFonts w:asciiTheme="minorHAnsi" w:hAnsiTheme="minorHAnsi" w:cstheme="minorHAnsi"/>
          <w:sz w:val="22"/>
          <w:szCs w:val="22"/>
        </w:rPr>
        <w:t>p</w:t>
      </w:r>
      <w:r w:rsidR="002B6DC4" w:rsidRPr="001D0960">
        <w:rPr>
          <w:rFonts w:asciiTheme="minorHAnsi" w:hAnsiTheme="minorHAnsi" w:cstheme="minorHAnsi"/>
          <w:sz w:val="22"/>
          <w:szCs w:val="22"/>
        </w:rPr>
        <w:t>roviders have failed to establish that CMS or the MACs improperly excluded SSI d</w:t>
      </w:r>
      <w:r w:rsidR="006E6D47" w:rsidRPr="001D0960">
        <w:rPr>
          <w:rFonts w:asciiTheme="minorHAnsi" w:hAnsiTheme="minorHAnsi" w:cstheme="minorHAnsi"/>
          <w:sz w:val="22"/>
          <w:szCs w:val="22"/>
        </w:rPr>
        <w:t>ays from the Medicare fraction.</w:t>
      </w:r>
      <w:r w:rsidR="002B6DC4" w:rsidRPr="001D0960">
        <w:rPr>
          <w:rFonts w:asciiTheme="minorHAnsi" w:hAnsiTheme="minorHAnsi" w:cstheme="minorHAnsi"/>
          <w:sz w:val="22"/>
          <w:szCs w:val="22"/>
        </w:rPr>
        <w:t xml:space="preserve"> </w:t>
      </w:r>
      <w:r w:rsidRPr="001D0960">
        <w:rPr>
          <w:rFonts w:asciiTheme="minorHAnsi" w:hAnsiTheme="minorHAnsi" w:cstheme="minorHAnsi"/>
          <w:sz w:val="22"/>
          <w:szCs w:val="22"/>
        </w:rPr>
        <w:t xml:space="preserve">Accordingly, the burden of proof, which was upon the </w:t>
      </w:r>
      <w:r w:rsidR="00AF2FD6" w:rsidRPr="001D0960">
        <w:rPr>
          <w:rFonts w:asciiTheme="minorHAnsi" w:hAnsiTheme="minorHAnsi" w:cstheme="minorHAnsi"/>
          <w:sz w:val="22"/>
          <w:szCs w:val="22"/>
        </w:rPr>
        <w:t>p</w:t>
      </w:r>
      <w:r w:rsidRPr="001D0960">
        <w:rPr>
          <w:rFonts w:asciiTheme="minorHAnsi" w:hAnsiTheme="minorHAnsi" w:cstheme="minorHAnsi"/>
          <w:sz w:val="22"/>
          <w:szCs w:val="22"/>
        </w:rPr>
        <w:t>roviders, has not been met. Therefore, the Board must find that the MACs’ determinations were not arbitrary or capricious and did in fact adhere to Medicare Law, Regulation, and Program Instructions. Thus, the Board should conclude that the Providers are not entitled to an increase in their DSH payments</w:t>
      </w:r>
      <w:r w:rsidR="00E87773" w:rsidRPr="001D0960">
        <w:rPr>
          <w:rFonts w:asciiTheme="minorHAnsi" w:hAnsiTheme="minorHAnsi" w:cstheme="minorHAnsi"/>
          <w:sz w:val="22"/>
          <w:szCs w:val="22"/>
        </w:rPr>
        <w:t xml:space="preserve"> and </w:t>
      </w:r>
      <w:r w:rsidR="002B6DC4" w:rsidRPr="001D0960">
        <w:rPr>
          <w:rFonts w:asciiTheme="minorHAnsi" w:hAnsiTheme="minorHAnsi" w:cstheme="minorHAnsi"/>
          <w:sz w:val="22"/>
          <w:szCs w:val="22"/>
        </w:rPr>
        <w:t>dismiss the Providers’ appeals.</w:t>
      </w:r>
    </w:p>
    <w:p w14:paraId="19E37084" w14:textId="78680D45" w:rsidR="00757631" w:rsidRDefault="00757631">
      <w:pPr>
        <w:rPr>
          <w:rFonts w:asciiTheme="minorHAnsi" w:hAnsiTheme="minorHAnsi" w:cstheme="minorHAnsi"/>
          <w:sz w:val="22"/>
          <w:szCs w:val="22"/>
        </w:rPr>
      </w:pPr>
      <w:r>
        <w:rPr>
          <w:rFonts w:asciiTheme="minorHAnsi" w:hAnsiTheme="minorHAnsi" w:cstheme="minorHAnsi"/>
          <w:sz w:val="22"/>
          <w:szCs w:val="22"/>
        </w:rPr>
        <w:br w:type="page"/>
      </w:r>
    </w:p>
    <w:p w14:paraId="69A8CDDE" w14:textId="0CEB67F8" w:rsidR="002F2279" w:rsidRPr="001D0960" w:rsidRDefault="002F2279" w:rsidP="00323799">
      <w:pPr>
        <w:pStyle w:val="BodyText"/>
        <w:rPr>
          <w:rFonts w:asciiTheme="minorHAnsi" w:hAnsiTheme="minorHAnsi" w:cstheme="minorHAnsi"/>
          <w:sz w:val="22"/>
          <w:szCs w:val="22"/>
        </w:rPr>
      </w:pPr>
      <w:r w:rsidRPr="001D0960">
        <w:rPr>
          <w:rFonts w:asciiTheme="minorHAnsi" w:hAnsiTheme="minorHAnsi" w:cstheme="minorHAnsi"/>
          <w:sz w:val="22"/>
          <w:szCs w:val="22"/>
        </w:rPr>
        <w:lastRenderedPageBreak/>
        <w:t>IV.</w:t>
      </w:r>
      <w:r w:rsidRPr="001D0960">
        <w:rPr>
          <w:rFonts w:asciiTheme="minorHAnsi" w:hAnsiTheme="minorHAnsi" w:cstheme="minorHAnsi"/>
          <w:sz w:val="22"/>
          <w:szCs w:val="22"/>
        </w:rPr>
        <w:tab/>
        <w:t>LAW, REGULATIONS</w:t>
      </w:r>
      <w:r w:rsidR="000865FE" w:rsidRPr="001D0960">
        <w:rPr>
          <w:rFonts w:asciiTheme="minorHAnsi" w:hAnsiTheme="minorHAnsi" w:cstheme="minorHAnsi"/>
          <w:sz w:val="22"/>
          <w:szCs w:val="22"/>
        </w:rPr>
        <w:t>,</w:t>
      </w:r>
      <w:r w:rsidRPr="001D0960">
        <w:rPr>
          <w:rFonts w:asciiTheme="minorHAnsi" w:hAnsiTheme="minorHAnsi" w:cstheme="minorHAnsi"/>
          <w:sz w:val="22"/>
          <w:szCs w:val="22"/>
        </w:rPr>
        <w:t xml:space="preserve"> AND PROGRAM INSTRUCTIONS</w:t>
      </w:r>
    </w:p>
    <w:p w14:paraId="0BEE9D56" w14:textId="77777777" w:rsidR="002F2279" w:rsidRPr="001D0960" w:rsidRDefault="002F2279" w:rsidP="002F2279">
      <w:pPr>
        <w:rPr>
          <w:rFonts w:asciiTheme="minorHAnsi" w:hAnsiTheme="minorHAnsi" w:cstheme="minorHAnsi"/>
          <w:sz w:val="22"/>
          <w:szCs w:val="22"/>
        </w:rPr>
      </w:pPr>
    </w:p>
    <w:p w14:paraId="5C169DFE" w14:textId="77777777" w:rsidR="00234CA1" w:rsidRPr="001D0960" w:rsidRDefault="00234CA1" w:rsidP="002F2279">
      <w:pPr>
        <w:rPr>
          <w:rFonts w:asciiTheme="minorHAnsi" w:hAnsiTheme="minorHAnsi" w:cstheme="minorHAnsi"/>
          <w:sz w:val="22"/>
          <w:szCs w:val="22"/>
        </w:rPr>
      </w:pPr>
    </w:p>
    <w:p w14:paraId="6AB80A7D" w14:textId="77777777" w:rsidR="00C134BF" w:rsidRPr="001D0960" w:rsidRDefault="002234D5" w:rsidP="00C134BF">
      <w:pPr>
        <w:rPr>
          <w:rFonts w:asciiTheme="minorHAnsi" w:hAnsiTheme="minorHAnsi" w:cstheme="minorHAnsi"/>
          <w:sz w:val="22"/>
          <w:szCs w:val="22"/>
        </w:rPr>
      </w:pPr>
      <w:r w:rsidRPr="001D0960">
        <w:rPr>
          <w:rFonts w:asciiTheme="minorHAnsi" w:hAnsiTheme="minorHAnsi" w:cstheme="minorHAnsi"/>
          <w:sz w:val="22"/>
          <w:szCs w:val="22"/>
          <w:u w:val="single"/>
        </w:rPr>
        <w:t>United States Statutes</w:t>
      </w:r>
      <w:r w:rsidR="002F2279" w:rsidRPr="001D0960">
        <w:rPr>
          <w:rFonts w:asciiTheme="minorHAnsi" w:hAnsiTheme="minorHAnsi" w:cstheme="minorHAnsi"/>
          <w:sz w:val="22"/>
          <w:szCs w:val="22"/>
        </w:rPr>
        <w:t xml:space="preserve">:                               </w:t>
      </w:r>
    </w:p>
    <w:p w14:paraId="0178EF81" w14:textId="4A368984" w:rsidR="00C134BF" w:rsidRPr="00401458" w:rsidRDefault="00B65F02" w:rsidP="00C134BF">
      <w:pPr>
        <w:rPr>
          <w:rFonts w:asciiTheme="minorHAnsi" w:hAnsiTheme="minorHAnsi" w:cstheme="minorHAnsi"/>
          <w:color w:val="000000"/>
          <w:sz w:val="22"/>
          <w:szCs w:val="22"/>
        </w:rPr>
      </w:pPr>
      <w:r w:rsidRPr="001D0960">
        <w:rPr>
          <w:rFonts w:asciiTheme="minorHAnsi" w:hAnsiTheme="minorHAnsi" w:cstheme="minorHAnsi"/>
          <w:sz w:val="22"/>
          <w:szCs w:val="22"/>
        </w:rPr>
        <w:t>42 U.S.C. § 402</w:t>
      </w:r>
      <w:r w:rsidR="00401458">
        <w:rPr>
          <w:rFonts w:asciiTheme="minorHAnsi" w:hAnsiTheme="minorHAnsi" w:cstheme="minorHAnsi"/>
          <w:sz w:val="22"/>
          <w:szCs w:val="22"/>
        </w:rPr>
        <w:t>;</w:t>
      </w:r>
      <w:r w:rsidR="00C134BF" w:rsidRPr="001D0960">
        <w:rPr>
          <w:rFonts w:asciiTheme="minorHAnsi" w:hAnsiTheme="minorHAnsi" w:cstheme="minorHAnsi"/>
          <w:color w:val="000000"/>
          <w:sz w:val="22"/>
          <w:szCs w:val="22"/>
        </w:rPr>
        <w:t>42 U.S.C. § 1395ww(d)(5)</w:t>
      </w:r>
      <w:r w:rsidR="00401458">
        <w:rPr>
          <w:rFonts w:asciiTheme="minorHAnsi" w:hAnsiTheme="minorHAnsi" w:cstheme="minorHAnsi"/>
          <w:color w:val="000000"/>
          <w:sz w:val="22"/>
          <w:szCs w:val="22"/>
        </w:rPr>
        <w:t>;</w:t>
      </w:r>
      <w:r w:rsidR="00C134BF" w:rsidRPr="001D0960">
        <w:rPr>
          <w:rFonts w:asciiTheme="minorHAnsi" w:hAnsiTheme="minorHAnsi" w:cstheme="minorHAnsi"/>
          <w:color w:val="000000"/>
          <w:sz w:val="22"/>
          <w:szCs w:val="22"/>
        </w:rPr>
        <w:t>42 U.S.C. § 1395ww(d)(5)(F)(i)(I)</w:t>
      </w:r>
      <w:r w:rsidR="00401458">
        <w:rPr>
          <w:rFonts w:asciiTheme="minorHAnsi" w:hAnsiTheme="minorHAnsi" w:cstheme="minorHAnsi"/>
          <w:color w:val="000000"/>
          <w:sz w:val="22"/>
          <w:szCs w:val="22"/>
        </w:rPr>
        <w:t>;</w:t>
      </w:r>
      <w:r w:rsidR="00C134BF" w:rsidRPr="001D0960">
        <w:rPr>
          <w:rFonts w:asciiTheme="minorHAnsi" w:hAnsiTheme="minorHAnsi" w:cstheme="minorHAnsi"/>
          <w:color w:val="000000"/>
          <w:sz w:val="22"/>
          <w:szCs w:val="22"/>
        </w:rPr>
        <w:t>42 U.S.C. § 1395ww(d)(5)(F)(v)</w:t>
      </w:r>
    </w:p>
    <w:p w14:paraId="1788DDAA" w14:textId="77777777" w:rsidR="002F2279" w:rsidRPr="001D0960" w:rsidRDefault="002F2279" w:rsidP="002F2279">
      <w:pPr>
        <w:rPr>
          <w:rFonts w:asciiTheme="minorHAnsi" w:hAnsiTheme="minorHAnsi" w:cstheme="minorHAnsi"/>
          <w:sz w:val="22"/>
          <w:szCs w:val="22"/>
        </w:rPr>
      </w:pPr>
    </w:p>
    <w:p w14:paraId="78AC8644" w14:textId="77777777" w:rsidR="00C134BF" w:rsidRPr="001D0960" w:rsidRDefault="002234D5" w:rsidP="002F2279">
      <w:pPr>
        <w:rPr>
          <w:rFonts w:asciiTheme="minorHAnsi" w:hAnsiTheme="minorHAnsi" w:cstheme="minorHAnsi"/>
          <w:sz w:val="22"/>
          <w:szCs w:val="22"/>
        </w:rPr>
      </w:pPr>
      <w:r w:rsidRPr="001D0960">
        <w:rPr>
          <w:rFonts w:asciiTheme="minorHAnsi" w:hAnsiTheme="minorHAnsi" w:cstheme="minorHAnsi"/>
          <w:sz w:val="22"/>
          <w:szCs w:val="22"/>
          <w:u w:val="single"/>
        </w:rPr>
        <w:t xml:space="preserve">Federal </w:t>
      </w:r>
      <w:r w:rsidR="002F2279" w:rsidRPr="001D0960">
        <w:rPr>
          <w:rFonts w:asciiTheme="minorHAnsi" w:hAnsiTheme="minorHAnsi" w:cstheme="minorHAnsi"/>
          <w:sz w:val="22"/>
          <w:szCs w:val="22"/>
          <w:u w:val="single"/>
        </w:rPr>
        <w:t>Regulations</w:t>
      </w:r>
      <w:r w:rsidR="002F2279" w:rsidRPr="001D0960">
        <w:rPr>
          <w:rFonts w:asciiTheme="minorHAnsi" w:hAnsiTheme="minorHAnsi" w:cstheme="minorHAnsi"/>
          <w:sz w:val="22"/>
          <w:szCs w:val="22"/>
        </w:rPr>
        <w:t xml:space="preserve">:                  </w:t>
      </w:r>
      <w:r w:rsidR="00C134BF" w:rsidRPr="001D0960">
        <w:rPr>
          <w:rFonts w:asciiTheme="minorHAnsi" w:hAnsiTheme="minorHAnsi" w:cstheme="minorHAnsi"/>
          <w:sz w:val="22"/>
          <w:szCs w:val="22"/>
        </w:rPr>
        <w:tab/>
      </w:r>
    </w:p>
    <w:p w14:paraId="156286AA" w14:textId="7D6636C9" w:rsidR="006F6557" w:rsidRPr="001D0960" w:rsidRDefault="00F91595" w:rsidP="002F2279">
      <w:pPr>
        <w:rPr>
          <w:rFonts w:asciiTheme="minorHAnsi" w:hAnsiTheme="minorHAnsi" w:cstheme="minorHAnsi"/>
          <w:sz w:val="22"/>
          <w:szCs w:val="22"/>
        </w:rPr>
      </w:pPr>
      <w:r w:rsidRPr="001D0960">
        <w:rPr>
          <w:rFonts w:asciiTheme="minorHAnsi" w:hAnsiTheme="minorHAnsi" w:cstheme="minorHAnsi"/>
          <w:sz w:val="22"/>
          <w:szCs w:val="22"/>
        </w:rPr>
        <w:t>20 C.F.R. § 416.200</w:t>
      </w:r>
      <w:r w:rsidR="00401458">
        <w:rPr>
          <w:rFonts w:asciiTheme="minorHAnsi" w:hAnsiTheme="minorHAnsi" w:cstheme="minorHAnsi"/>
          <w:sz w:val="22"/>
          <w:szCs w:val="22"/>
        </w:rPr>
        <w:t>;</w:t>
      </w:r>
      <w:r w:rsidRPr="001D0960">
        <w:rPr>
          <w:rFonts w:asciiTheme="minorHAnsi" w:hAnsiTheme="minorHAnsi" w:cstheme="minorHAnsi"/>
          <w:sz w:val="22"/>
          <w:szCs w:val="22"/>
        </w:rPr>
        <w:t>20 C.F.R. § 416.202</w:t>
      </w:r>
      <w:r w:rsidR="00401458">
        <w:rPr>
          <w:rFonts w:asciiTheme="minorHAnsi" w:hAnsiTheme="minorHAnsi" w:cstheme="minorHAnsi"/>
          <w:sz w:val="22"/>
          <w:szCs w:val="22"/>
        </w:rPr>
        <w:t>;</w:t>
      </w:r>
      <w:r w:rsidRPr="001D0960">
        <w:rPr>
          <w:rFonts w:asciiTheme="minorHAnsi" w:hAnsiTheme="minorHAnsi" w:cstheme="minorHAnsi"/>
          <w:sz w:val="22"/>
          <w:szCs w:val="22"/>
        </w:rPr>
        <w:t>20 C.F.R. § 416.204</w:t>
      </w:r>
      <w:r w:rsidR="00401458">
        <w:rPr>
          <w:rFonts w:asciiTheme="minorHAnsi" w:hAnsiTheme="minorHAnsi" w:cstheme="minorHAnsi"/>
          <w:sz w:val="22"/>
          <w:szCs w:val="22"/>
        </w:rPr>
        <w:t>;</w:t>
      </w:r>
      <w:r w:rsidRPr="001D0960">
        <w:rPr>
          <w:rFonts w:asciiTheme="minorHAnsi" w:hAnsiTheme="minorHAnsi" w:cstheme="minorHAnsi"/>
          <w:sz w:val="22"/>
          <w:szCs w:val="22"/>
        </w:rPr>
        <w:t>20 C.F.R. § 416.207</w:t>
      </w:r>
      <w:r w:rsidR="00401458">
        <w:rPr>
          <w:rFonts w:asciiTheme="minorHAnsi" w:hAnsiTheme="minorHAnsi" w:cstheme="minorHAnsi"/>
          <w:sz w:val="22"/>
          <w:szCs w:val="22"/>
        </w:rPr>
        <w:t>;</w:t>
      </w:r>
      <w:r w:rsidRPr="001D0960">
        <w:rPr>
          <w:rFonts w:asciiTheme="minorHAnsi" w:hAnsiTheme="minorHAnsi" w:cstheme="minorHAnsi"/>
          <w:sz w:val="22"/>
          <w:szCs w:val="22"/>
        </w:rPr>
        <w:t>20 C.F.R. § 416.211</w:t>
      </w:r>
      <w:r w:rsidR="00401458">
        <w:rPr>
          <w:rFonts w:asciiTheme="minorHAnsi" w:hAnsiTheme="minorHAnsi" w:cstheme="minorHAnsi"/>
          <w:sz w:val="22"/>
          <w:szCs w:val="22"/>
        </w:rPr>
        <w:t>;</w:t>
      </w:r>
      <w:r w:rsidRPr="001D0960">
        <w:rPr>
          <w:rFonts w:asciiTheme="minorHAnsi" w:hAnsiTheme="minorHAnsi" w:cstheme="minorHAnsi"/>
          <w:sz w:val="22"/>
          <w:szCs w:val="22"/>
        </w:rPr>
        <w:t>20 C.F.R. § 416.214</w:t>
      </w:r>
      <w:r w:rsidR="00401458">
        <w:rPr>
          <w:rFonts w:asciiTheme="minorHAnsi" w:hAnsiTheme="minorHAnsi" w:cstheme="minorHAnsi"/>
          <w:sz w:val="22"/>
          <w:szCs w:val="22"/>
        </w:rPr>
        <w:t>;</w:t>
      </w:r>
      <w:r w:rsidRPr="001D0960">
        <w:rPr>
          <w:rFonts w:asciiTheme="minorHAnsi" w:hAnsiTheme="minorHAnsi" w:cstheme="minorHAnsi"/>
          <w:sz w:val="22"/>
          <w:szCs w:val="22"/>
        </w:rPr>
        <w:t>20 C.F.R. § 416.215</w:t>
      </w:r>
      <w:r w:rsidR="00401458">
        <w:rPr>
          <w:rFonts w:asciiTheme="minorHAnsi" w:hAnsiTheme="minorHAnsi" w:cstheme="minorHAnsi"/>
          <w:sz w:val="22"/>
          <w:szCs w:val="22"/>
        </w:rPr>
        <w:t>;</w:t>
      </w:r>
      <w:r w:rsidR="002F2279" w:rsidRPr="001D0960">
        <w:rPr>
          <w:rFonts w:asciiTheme="minorHAnsi" w:hAnsiTheme="minorHAnsi" w:cstheme="minorHAnsi"/>
          <w:sz w:val="22"/>
          <w:szCs w:val="22"/>
        </w:rPr>
        <w:t>42 C.F.R.</w:t>
      </w:r>
      <w:r w:rsidR="00C134BF" w:rsidRPr="001D0960">
        <w:rPr>
          <w:rFonts w:asciiTheme="minorHAnsi" w:hAnsiTheme="minorHAnsi" w:cstheme="minorHAnsi"/>
          <w:sz w:val="22"/>
          <w:szCs w:val="22"/>
        </w:rPr>
        <w:t xml:space="preserve"> § 412.106(a)</w:t>
      </w:r>
      <w:r w:rsidR="00401458">
        <w:rPr>
          <w:rFonts w:asciiTheme="minorHAnsi" w:hAnsiTheme="minorHAnsi" w:cstheme="minorHAnsi"/>
          <w:sz w:val="22"/>
          <w:szCs w:val="22"/>
        </w:rPr>
        <w:t>;</w:t>
      </w:r>
      <w:r w:rsidR="00C134BF" w:rsidRPr="001D0960">
        <w:rPr>
          <w:rFonts w:asciiTheme="minorHAnsi" w:hAnsiTheme="minorHAnsi" w:cstheme="minorHAnsi"/>
          <w:sz w:val="22"/>
          <w:szCs w:val="22"/>
        </w:rPr>
        <w:t>42 C.F.R. § 412.106(b)</w:t>
      </w:r>
      <w:r w:rsidR="00401458">
        <w:rPr>
          <w:rFonts w:asciiTheme="minorHAnsi" w:hAnsiTheme="minorHAnsi" w:cstheme="minorHAnsi"/>
          <w:sz w:val="22"/>
          <w:szCs w:val="22"/>
        </w:rPr>
        <w:t>;</w:t>
      </w:r>
      <w:r w:rsidR="003955FC" w:rsidRPr="001D0960">
        <w:rPr>
          <w:rFonts w:asciiTheme="minorHAnsi" w:hAnsiTheme="minorHAnsi" w:cstheme="minorHAnsi"/>
          <w:sz w:val="22"/>
          <w:szCs w:val="22"/>
        </w:rPr>
        <w:t>42 C.F.R. § 413.20</w:t>
      </w:r>
      <w:r w:rsidR="00401458">
        <w:rPr>
          <w:rFonts w:asciiTheme="minorHAnsi" w:hAnsiTheme="minorHAnsi" w:cstheme="minorHAnsi"/>
          <w:sz w:val="22"/>
          <w:szCs w:val="22"/>
        </w:rPr>
        <w:t>;</w:t>
      </w:r>
      <w:r w:rsidR="003955FC" w:rsidRPr="001D0960">
        <w:rPr>
          <w:rFonts w:asciiTheme="minorHAnsi" w:hAnsiTheme="minorHAnsi" w:cstheme="minorHAnsi"/>
          <w:sz w:val="22"/>
          <w:szCs w:val="22"/>
        </w:rPr>
        <w:t>42 C.F.R. § 413.24</w:t>
      </w:r>
      <w:r w:rsidR="00401458">
        <w:rPr>
          <w:rFonts w:asciiTheme="minorHAnsi" w:hAnsiTheme="minorHAnsi" w:cstheme="minorHAnsi"/>
          <w:sz w:val="22"/>
          <w:szCs w:val="22"/>
        </w:rPr>
        <w:t>;</w:t>
      </w:r>
      <w:r w:rsidR="006F6557" w:rsidRPr="001D0960">
        <w:rPr>
          <w:rFonts w:asciiTheme="minorHAnsi" w:hAnsiTheme="minorHAnsi" w:cstheme="minorHAnsi"/>
          <w:sz w:val="22"/>
          <w:szCs w:val="22"/>
        </w:rPr>
        <w:t>42 C.F.R. § 405.1837(b)</w:t>
      </w:r>
    </w:p>
    <w:p w14:paraId="7FD4D3AA" w14:textId="77777777" w:rsidR="002F2279" w:rsidRPr="001D0960" w:rsidRDefault="002F2279" w:rsidP="002F2279">
      <w:pPr>
        <w:rPr>
          <w:rFonts w:asciiTheme="minorHAnsi" w:hAnsiTheme="minorHAnsi" w:cstheme="minorHAnsi"/>
          <w:sz w:val="22"/>
          <w:szCs w:val="22"/>
        </w:rPr>
      </w:pPr>
      <w:r w:rsidRPr="001D0960">
        <w:rPr>
          <w:rFonts w:asciiTheme="minorHAnsi" w:hAnsiTheme="minorHAnsi" w:cstheme="minorHAnsi"/>
          <w:sz w:val="22"/>
          <w:szCs w:val="22"/>
        </w:rPr>
        <w:t xml:space="preserve">                                                                                        </w:t>
      </w:r>
    </w:p>
    <w:p w14:paraId="22C90B88" w14:textId="77777777" w:rsidR="003955FC" w:rsidRPr="001D0960" w:rsidRDefault="00C134BF" w:rsidP="002F2279">
      <w:pPr>
        <w:rPr>
          <w:rFonts w:asciiTheme="minorHAnsi" w:hAnsiTheme="minorHAnsi" w:cstheme="minorHAnsi"/>
          <w:sz w:val="22"/>
          <w:szCs w:val="22"/>
        </w:rPr>
      </w:pPr>
      <w:r w:rsidRPr="001D0960">
        <w:rPr>
          <w:rFonts w:asciiTheme="minorHAnsi" w:hAnsiTheme="minorHAnsi" w:cstheme="minorHAnsi"/>
          <w:sz w:val="22"/>
          <w:szCs w:val="22"/>
          <w:u w:val="single"/>
        </w:rPr>
        <w:t>Federal Cases</w:t>
      </w:r>
      <w:r w:rsidRPr="001D0960">
        <w:rPr>
          <w:rFonts w:asciiTheme="minorHAnsi" w:hAnsiTheme="minorHAnsi" w:cstheme="minorHAnsi"/>
          <w:sz w:val="22"/>
          <w:szCs w:val="22"/>
        </w:rPr>
        <w:t>:</w:t>
      </w:r>
      <w:r w:rsidRPr="001D0960">
        <w:rPr>
          <w:rFonts w:asciiTheme="minorHAnsi" w:hAnsiTheme="minorHAnsi" w:cstheme="minorHAnsi"/>
          <w:sz w:val="22"/>
          <w:szCs w:val="22"/>
        </w:rPr>
        <w:tab/>
      </w:r>
      <w:r w:rsidRPr="001D0960">
        <w:rPr>
          <w:rFonts w:asciiTheme="minorHAnsi" w:hAnsiTheme="minorHAnsi" w:cstheme="minorHAnsi"/>
          <w:sz w:val="22"/>
          <w:szCs w:val="22"/>
        </w:rPr>
        <w:tab/>
      </w:r>
    </w:p>
    <w:p w14:paraId="55F79F2A" w14:textId="13C03952" w:rsidR="00F91595" w:rsidRPr="001D0960" w:rsidRDefault="00C134BF" w:rsidP="002234D5">
      <w:pPr>
        <w:rPr>
          <w:rFonts w:asciiTheme="minorHAnsi" w:hAnsiTheme="minorHAnsi" w:cstheme="minorHAnsi"/>
          <w:sz w:val="22"/>
          <w:szCs w:val="22"/>
        </w:rPr>
      </w:pPr>
      <w:r w:rsidRPr="001D0960">
        <w:rPr>
          <w:rFonts w:asciiTheme="minorHAnsi" w:hAnsiTheme="minorHAnsi" w:cstheme="minorHAnsi"/>
          <w:i/>
          <w:sz w:val="22"/>
          <w:szCs w:val="22"/>
        </w:rPr>
        <w:t>Allina Health System v. Sebelius</w:t>
      </w:r>
      <w:r w:rsidRPr="001D0960">
        <w:rPr>
          <w:rFonts w:asciiTheme="minorHAnsi" w:hAnsiTheme="minorHAnsi" w:cstheme="minorHAnsi"/>
          <w:sz w:val="22"/>
          <w:szCs w:val="22"/>
        </w:rPr>
        <w:t>, 982 F. Supp. 2d 1, 5 (D.D.C. 2013)</w:t>
      </w:r>
      <w:r w:rsidR="00401458">
        <w:rPr>
          <w:rFonts w:asciiTheme="minorHAnsi" w:hAnsiTheme="minorHAnsi" w:cstheme="minorHAnsi"/>
          <w:sz w:val="22"/>
          <w:szCs w:val="22"/>
        </w:rPr>
        <w:t>;</w:t>
      </w:r>
      <w:r w:rsidRPr="001D0960">
        <w:rPr>
          <w:rFonts w:asciiTheme="minorHAnsi" w:hAnsiTheme="minorHAnsi" w:cstheme="minorHAnsi"/>
          <w:i/>
          <w:sz w:val="22"/>
          <w:szCs w:val="22"/>
        </w:rPr>
        <w:t>McCreary v. Offner</w:t>
      </w:r>
      <w:r w:rsidRPr="001D0960">
        <w:rPr>
          <w:rFonts w:asciiTheme="minorHAnsi" w:hAnsiTheme="minorHAnsi" w:cstheme="minorHAnsi"/>
          <w:sz w:val="22"/>
          <w:szCs w:val="22"/>
        </w:rPr>
        <w:t>, 172 F.3d 76, 78 (D.C. Cir. 1999)</w:t>
      </w:r>
    </w:p>
    <w:p w14:paraId="17A1E04F" w14:textId="77777777" w:rsidR="002234D5" w:rsidRPr="001D0960" w:rsidRDefault="002234D5" w:rsidP="002234D5">
      <w:pPr>
        <w:rPr>
          <w:rFonts w:asciiTheme="minorHAnsi" w:hAnsiTheme="minorHAnsi" w:cstheme="minorHAnsi"/>
          <w:sz w:val="22"/>
          <w:szCs w:val="22"/>
        </w:rPr>
      </w:pPr>
    </w:p>
    <w:p w14:paraId="3826E634" w14:textId="77777777" w:rsidR="003955FC" w:rsidRPr="001D0960" w:rsidRDefault="003955FC" w:rsidP="00F91595">
      <w:pPr>
        <w:tabs>
          <w:tab w:val="left" w:pos="3240"/>
        </w:tabs>
        <w:rPr>
          <w:rFonts w:asciiTheme="minorHAnsi" w:hAnsiTheme="minorHAnsi" w:cstheme="minorHAnsi"/>
          <w:sz w:val="22"/>
          <w:szCs w:val="22"/>
        </w:rPr>
      </w:pPr>
      <w:r w:rsidRPr="001D0960">
        <w:rPr>
          <w:rFonts w:asciiTheme="minorHAnsi" w:hAnsiTheme="minorHAnsi" w:cstheme="minorHAnsi"/>
          <w:sz w:val="22"/>
          <w:szCs w:val="22"/>
          <w:u w:val="single"/>
        </w:rPr>
        <w:t>Federal Register</w:t>
      </w:r>
      <w:r w:rsidR="00F91595" w:rsidRPr="001D0960">
        <w:rPr>
          <w:rFonts w:asciiTheme="minorHAnsi" w:hAnsiTheme="minorHAnsi" w:cstheme="minorHAnsi"/>
          <w:sz w:val="22"/>
          <w:szCs w:val="22"/>
          <w:u w:val="single"/>
        </w:rPr>
        <w:t xml:space="preserve"> Notices</w:t>
      </w:r>
      <w:r w:rsidRPr="001D0960">
        <w:rPr>
          <w:rFonts w:asciiTheme="minorHAnsi" w:hAnsiTheme="minorHAnsi" w:cstheme="minorHAnsi"/>
          <w:sz w:val="22"/>
          <w:szCs w:val="22"/>
        </w:rPr>
        <w:t>:</w:t>
      </w:r>
    </w:p>
    <w:p w14:paraId="6B44B700" w14:textId="6E27FD1A" w:rsidR="00B65F02" w:rsidRPr="001D0960" w:rsidRDefault="006C54AC" w:rsidP="00401458">
      <w:pPr>
        <w:tabs>
          <w:tab w:val="left" w:pos="3240"/>
        </w:tabs>
        <w:rPr>
          <w:rFonts w:asciiTheme="minorHAnsi" w:hAnsiTheme="minorHAnsi" w:cstheme="minorHAnsi"/>
          <w:sz w:val="22"/>
          <w:szCs w:val="22"/>
        </w:rPr>
      </w:pPr>
      <w:r w:rsidRPr="001D0960">
        <w:rPr>
          <w:rFonts w:asciiTheme="minorHAnsi" w:hAnsiTheme="minorHAnsi" w:cstheme="minorHAnsi"/>
          <w:sz w:val="22"/>
          <w:szCs w:val="22"/>
        </w:rPr>
        <w:t>68 Fed. Reg. 27,154, 27,207 (May 19, 2003)</w:t>
      </w:r>
      <w:r w:rsidR="00401458">
        <w:rPr>
          <w:rFonts w:asciiTheme="minorHAnsi" w:hAnsiTheme="minorHAnsi" w:cstheme="minorHAnsi"/>
          <w:sz w:val="22"/>
          <w:szCs w:val="22"/>
        </w:rPr>
        <w:t>;</w:t>
      </w:r>
      <w:r w:rsidR="004B49D9" w:rsidRPr="001D0960">
        <w:rPr>
          <w:rFonts w:asciiTheme="minorHAnsi" w:hAnsiTheme="minorHAnsi" w:cstheme="minorHAnsi"/>
          <w:sz w:val="22"/>
          <w:szCs w:val="22"/>
        </w:rPr>
        <w:t>75 Fed. Reg. 50,041, 50,276</w:t>
      </w:r>
      <w:r w:rsidR="00B65F02" w:rsidRPr="001D0960">
        <w:rPr>
          <w:rFonts w:asciiTheme="minorHAnsi" w:hAnsiTheme="minorHAnsi" w:cstheme="minorHAnsi"/>
          <w:sz w:val="22"/>
          <w:szCs w:val="22"/>
        </w:rPr>
        <w:t>-50,281 (Aug. 16, 2010).</w:t>
      </w:r>
    </w:p>
    <w:p w14:paraId="4438C022" w14:textId="6290D9BA" w:rsidR="00457F9B" w:rsidRPr="001D0960" w:rsidRDefault="00240A88" w:rsidP="002F2279">
      <w:pPr>
        <w:rPr>
          <w:rFonts w:asciiTheme="minorHAnsi" w:hAnsiTheme="minorHAnsi" w:cstheme="minorHAnsi"/>
          <w:sz w:val="22"/>
          <w:szCs w:val="22"/>
        </w:rPr>
      </w:pPr>
      <w:r w:rsidRPr="001D0960">
        <w:rPr>
          <w:rFonts w:asciiTheme="minorHAnsi" w:hAnsiTheme="minorHAnsi" w:cstheme="minorHAnsi"/>
          <w:sz w:val="22"/>
          <w:szCs w:val="22"/>
        </w:rPr>
        <w:br w:type="page"/>
      </w:r>
    </w:p>
    <w:p w14:paraId="502FA4A1" w14:textId="77777777" w:rsidR="002F2279" w:rsidRPr="001D0960" w:rsidRDefault="002F2279" w:rsidP="002F2279">
      <w:pPr>
        <w:rPr>
          <w:rFonts w:asciiTheme="minorHAnsi" w:hAnsiTheme="minorHAnsi" w:cstheme="minorHAnsi"/>
          <w:sz w:val="22"/>
          <w:szCs w:val="22"/>
        </w:rPr>
      </w:pPr>
      <w:r w:rsidRPr="001D0960">
        <w:rPr>
          <w:rFonts w:asciiTheme="minorHAnsi" w:hAnsiTheme="minorHAnsi" w:cstheme="minorHAnsi"/>
          <w:sz w:val="22"/>
          <w:szCs w:val="22"/>
        </w:rPr>
        <w:lastRenderedPageBreak/>
        <w:t>V.</w:t>
      </w:r>
      <w:r w:rsidRPr="001D0960">
        <w:rPr>
          <w:rFonts w:asciiTheme="minorHAnsi" w:hAnsiTheme="minorHAnsi" w:cstheme="minorHAnsi"/>
          <w:sz w:val="22"/>
          <w:szCs w:val="22"/>
        </w:rPr>
        <w:tab/>
        <w:t>EXHIBITS</w:t>
      </w:r>
    </w:p>
    <w:p w14:paraId="4ECB8AE1" w14:textId="77777777" w:rsidR="002F2279" w:rsidRPr="001D0960" w:rsidRDefault="002F2279" w:rsidP="002F2279">
      <w:pPr>
        <w:rPr>
          <w:rFonts w:asciiTheme="minorHAnsi" w:hAnsiTheme="minorHAnsi" w:cstheme="minorHAnsi"/>
          <w:b/>
          <w:sz w:val="22"/>
          <w:szCs w:val="22"/>
          <w:u w:val="single"/>
        </w:rPr>
      </w:pPr>
    </w:p>
    <w:p w14:paraId="719BC422" w14:textId="3745E655" w:rsidR="002F2279" w:rsidRPr="001D0960" w:rsidRDefault="00457F9B" w:rsidP="00F91595">
      <w:pPr>
        <w:spacing w:after="240"/>
        <w:rPr>
          <w:rFonts w:asciiTheme="minorHAnsi" w:hAnsiTheme="minorHAnsi" w:cstheme="minorHAnsi"/>
          <w:sz w:val="22"/>
          <w:szCs w:val="22"/>
        </w:rPr>
      </w:pPr>
      <w:r w:rsidRPr="001D0960">
        <w:rPr>
          <w:rFonts w:asciiTheme="minorHAnsi" w:hAnsiTheme="minorHAnsi" w:cstheme="minorHAnsi"/>
          <w:sz w:val="22"/>
          <w:szCs w:val="22"/>
        </w:rPr>
        <w:t>C</w:t>
      </w:r>
      <w:r w:rsidR="00D264BD" w:rsidRPr="001D0960">
        <w:rPr>
          <w:rFonts w:asciiTheme="minorHAnsi" w:hAnsiTheme="minorHAnsi" w:cstheme="minorHAnsi"/>
          <w:sz w:val="22"/>
          <w:szCs w:val="22"/>
        </w:rPr>
        <w:t>-1</w:t>
      </w:r>
      <w:r w:rsidR="003327F7">
        <w:rPr>
          <w:rFonts w:asciiTheme="minorHAnsi" w:hAnsiTheme="minorHAnsi" w:cstheme="minorHAnsi"/>
          <w:sz w:val="22"/>
          <w:szCs w:val="22"/>
        </w:rPr>
        <w:t>.</w:t>
      </w:r>
      <w:r w:rsidR="00D264BD" w:rsidRPr="001D0960">
        <w:rPr>
          <w:rFonts w:asciiTheme="minorHAnsi" w:hAnsiTheme="minorHAnsi" w:cstheme="minorHAnsi"/>
          <w:sz w:val="22"/>
          <w:szCs w:val="22"/>
        </w:rPr>
        <w:tab/>
        <w:t>Schedule of Providers</w:t>
      </w:r>
    </w:p>
    <w:p w14:paraId="7C272410" w14:textId="121B5EE5" w:rsidR="00240A88" w:rsidRPr="001D0960" w:rsidRDefault="00240A88" w:rsidP="00F22590">
      <w:pPr>
        <w:spacing w:after="240"/>
        <w:ind w:left="720" w:hanging="720"/>
        <w:rPr>
          <w:rFonts w:asciiTheme="minorHAnsi" w:hAnsiTheme="minorHAnsi" w:cstheme="minorHAnsi"/>
          <w:sz w:val="22"/>
          <w:szCs w:val="22"/>
        </w:rPr>
      </w:pPr>
      <w:r w:rsidRPr="001D0960">
        <w:rPr>
          <w:rFonts w:asciiTheme="minorHAnsi" w:hAnsiTheme="minorHAnsi" w:cstheme="minorHAnsi"/>
          <w:sz w:val="22"/>
          <w:szCs w:val="22"/>
        </w:rPr>
        <w:t>C-2</w:t>
      </w:r>
      <w:r w:rsidR="008A12CE">
        <w:rPr>
          <w:rFonts w:asciiTheme="minorHAnsi" w:hAnsiTheme="minorHAnsi" w:cstheme="minorHAnsi"/>
          <w:sz w:val="22"/>
          <w:szCs w:val="22"/>
        </w:rPr>
        <w:t>.</w:t>
      </w:r>
      <w:r w:rsidRPr="001D0960">
        <w:rPr>
          <w:rFonts w:asciiTheme="minorHAnsi" w:hAnsiTheme="minorHAnsi" w:cstheme="minorHAnsi"/>
          <w:sz w:val="22"/>
          <w:szCs w:val="22"/>
        </w:rPr>
        <w:tab/>
      </w:r>
      <w:r w:rsidR="00CC6C94" w:rsidRPr="001D0960">
        <w:rPr>
          <w:rFonts w:asciiTheme="minorHAnsi" w:hAnsiTheme="minorHAnsi" w:cstheme="minorHAnsi"/>
          <w:sz w:val="22"/>
          <w:szCs w:val="22"/>
        </w:rPr>
        <w:t>Advocate Christ Medical Center, et al., v. Becerra, United States Court of Appeals for the District of Columbia Circuit, decided September 1, 2023.</w:t>
      </w:r>
    </w:p>
    <w:sectPr w:rsidR="00240A88" w:rsidRPr="001D0960" w:rsidSect="008C2166">
      <w:headerReference w:type="default" r:id="rId8"/>
      <w:footerReference w:type="default" r:id="rId9"/>
      <w:type w:val="continuous"/>
      <w:pgSz w:w="12240" w:h="15840" w:code="1"/>
      <w:pgMar w:top="1440" w:right="1440" w:bottom="1440" w:left="1440" w:header="720" w:footer="720" w:gutter="0"/>
      <w:pgNumType w:start="2"/>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B9B37" w14:textId="77777777" w:rsidR="000207C5" w:rsidRDefault="000207C5">
      <w:r>
        <w:separator/>
      </w:r>
    </w:p>
  </w:endnote>
  <w:endnote w:type="continuationSeparator" w:id="0">
    <w:p w14:paraId="41175E3A" w14:textId="77777777" w:rsidR="000207C5" w:rsidRDefault="000207C5">
      <w:r>
        <w:continuationSeparator/>
      </w:r>
    </w:p>
  </w:endnote>
  <w:endnote w:type="continuationNotice" w:id="1">
    <w:p w14:paraId="2001A60E" w14:textId="77777777" w:rsidR="000207C5" w:rsidRDefault="000207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1FED3" w14:textId="0DF7028F" w:rsidR="001511C5" w:rsidRPr="00240A88" w:rsidRDefault="001511C5" w:rsidP="001511C5">
    <w:pPr>
      <w:pStyle w:val="Footer"/>
      <w:jc w:val="center"/>
      <w:rPr>
        <w:rFonts w:ascii="Calibri" w:hAnsi="Calibri" w:cs="Calibri"/>
      </w:rPr>
    </w:pPr>
    <w:r w:rsidRPr="00240A88">
      <w:rPr>
        <w:rFonts w:ascii="Calibri" w:hAnsi="Calibri" w:cs="Calibri"/>
      </w:rPr>
      <w:t xml:space="preserve">Page </w:t>
    </w:r>
    <w:r w:rsidRPr="00240A88">
      <w:rPr>
        <w:rFonts w:ascii="Calibri" w:hAnsi="Calibri" w:cs="Calibri"/>
      </w:rPr>
      <w:fldChar w:fldCharType="begin"/>
    </w:r>
    <w:r w:rsidRPr="00240A88">
      <w:rPr>
        <w:rFonts w:ascii="Calibri" w:hAnsi="Calibri" w:cs="Calibri"/>
      </w:rPr>
      <w:instrText xml:space="preserve"> PAGE </w:instrText>
    </w:r>
    <w:r w:rsidRPr="00240A88">
      <w:rPr>
        <w:rFonts w:ascii="Calibri" w:hAnsi="Calibri" w:cs="Calibri"/>
      </w:rPr>
      <w:fldChar w:fldCharType="separate"/>
    </w:r>
    <w:r w:rsidRPr="00240A88">
      <w:rPr>
        <w:rFonts w:ascii="Calibri" w:hAnsi="Calibri" w:cs="Calibri"/>
        <w:noProof/>
      </w:rPr>
      <w:t>2</w:t>
    </w:r>
    <w:r w:rsidRPr="00240A88">
      <w:rPr>
        <w:rFonts w:ascii="Calibri" w:hAnsi="Calibri" w:cs="Calibri"/>
      </w:rPr>
      <w:fldChar w:fldCharType="end"/>
    </w:r>
    <w:r w:rsidRPr="00240A88">
      <w:rPr>
        <w:rFonts w:ascii="Calibri" w:hAnsi="Calibri" w:cs="Calibri"/>
      </w:rPr>
      <w:t xml:space="preserve"> of </w:t>
    </w:r>
    <w:r w:rsidRPr="00240A88">
      <w:rPr>
        <w:rFonts w:ascii="Calibri" w:hAnsi="Calibri" w:cs="Calibri"/>
      </w:rPr>
      <w:fldChar w:fldCharType="begin"/>
    </w:r>
    <w:r w:rsidRPr="00240A88">
      <w:rPr>
        <w:rFonts w:ascii="Calibri" w:hAnsi="Calibri" w:cs="Calibri"/>
      </w:rPr>
      <w:instrText xml:space="preserve"> NUMPAGES  </w:instrText>
    </w:r>
    <w:r w:rsidRPr="00240A88">
      <w:rPr>
        <w:rFonts w:ascii="Calibri" w:hAnsi="Calibri" w:cs="Calibri"/>
      </w:rPr>
      <w:fldChar w:fldCharType="separate"/>
    </w:r>
    <w:r w:rsidRPr="00240A88">
      <w:rPr>
        <w:rFonts w:ascii="Calibri" w:hAnsi="Calibri" w:cs="Calibri"/>
        <w:noProof/>
      </w:rPr>
      <w:t>2</w:t>
    </w:r>
    <w:r w:rsidRPr="00240A88">
      <w:rPr>
        <w:rFonts w:ascii="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8DAA1" w14:textId="77777777" w:rsidR="000207C5" w:rsidRDefault="000207C5">
      <w:r>
        <w:separator/>
      </w:r>
    </w:p>
  </w:footnote>
  <w:footnote w:type="continuationSeparator" w:id="0">
    <w:p w14:paraId="0E4DA465" w14:textId="77777777" w:rsidR="000207C5" w:rsidRDefault="000207C5">
      <w:r>
        <w:continuationSeparator/>
      </w:r>
    </w:p>
  </w:footnote>
  <w:footnote w:type="continuationNotice" w:id="1">
    <w:p w14:paraId="7D79B6C0" w14:textId="77777777" w:rsidR="000207C5" w:rsidRDefault="000207C5"/>
  </w:footnote>
  <w:footnote w:id="2">
    <w:p w14:paraId="55C7E948" w14:textId="77777777" w:rsidR="00DC2E7C" w:rsidRDefault="00DC2E7C" w:rsidP="00DC2E7C">
      <w:pPr>
        <w:pStyle w:val="FootnoteText"/>
      </w:pPr>
      <w:r>
        <w:rPr>
          <w:rStyle w:val="FootnoteReference"/>
        </w:rPr>
        <w:footnoteRef/>
      </w:r>
      <w:r>
        <w:t xml:space="preserve"> </w:t>
      </w:r>
      <w:r w:rsidRPr="005230D5">
        <w:rPr>
          <w:rFonts w:asciiTheme="minorHAnsi" w:hAnsiTheme="minorHAnsi" w:cstheme="minorHAnsi"/>
        </w:rPr>
        <w:t>See Exhibit C-2</w:t>
      </w:r>
    </w:p>
  </w:footnote>
  <w:footnote w:id="3">
    <w:p w14:paraId="22D72DA5" w14:textId="77777777" w:rsidR="009431B9" w:rsidRDefault="009431B9" w:rsidP="009431B9">
      <w:pPr>
        <w:pStyle w:val="Footer"/>
      </w:pPr>
      <w:r w:rsidRPr="00205205">
        <w:rPr>
          <w:sz w:val="2"/>
        </w:rPr>
        <w:continuationSeparator/>
      </w:r>
      <w:r>
        <w:tab/>
      </w:r>
      <w:r w:rsidRPr="009431B9">
        <w:rPr>
          <w:rFonts w:ascii="Calibri" w:hAnsi="Calibri"/>
          <w:vertAlign w:val="superscript"/>
        </w:rPr>
        <w:footnoteRef/>
      </w:r>
      <w:r w:rsidRPr="009431B9">
        <w:rPr>
          <w:rFonts w:ascii="Calibri" w:hAnsi="Calibri"/>
        </w:rP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4">
    <w:p w14:paraId="33FED10F" w14:textId="77777777" w:rsidR="009431B9" w:rsidRPr="009431B9" w:rsidRDefault="009431B9" w:rsidP="009431B9">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rPr>
          <w:rFonts w:ascii="Calibri" w:hAnsi="Calibri"/>
        </w:rPr>
      </w:pPr>
      <w:r w:rsidRPr="009431B9">
        <w:rPr>
          <w:rFonts w:ascii="Calibri" w:hAnsi="Calibri"/>
          <w:vertAlign w:val="superscript"/>
        </w:rPr>
        <w:footnoteRef/>
      </w:r>
      <w:r w:rsidRPr="009431B9">
        <w:rPr>
          <w:rFonts w:ascii="Calibri" w:hAnsi="Calibri"/>
        </w:rPr>
        <w:t xml:space="preserve">  In the final rule implementing the DSH adjustment, CMS explained that its preferred method was to calculate Medicare fractions based on the FFY, rather than on the hospital’s cost reporting period. It stated:</w:t>
      </w:r>
    </w:p>
    <w:p w14:paraId="51A6F62E" w14:textId="77777777" w:rsidR="009431B9" w:rsidRDefault="009431B9" w:rsidP="009431B9">
      <w:pPr>
        <w:pStyle w:val="Footer"/>
      </w:pPr>
      <w:r w:rsidRPr="009431B9">
        <w:rPr>
          <w:rFonts w:ascii="Calibri" w:hAnsi="Calibri"/>
        </w:rPr>
        <w:t>We do not believe that there are likely to be significant fluctuations from one year to the next in the percentage of patients served by the hospital who are dually entitled to Medicare Part A and SSI.</w:t>
      </w:r>
      <w:r>
        <w:t xml:space="preserve"> </w:t>
      </w:r>
    </w:p>
  </w:footnote>
  <w:footnote w:id="5">
    <w:p w14:paraId="36720B11" w14:textId="77777777" w:rsidR="00E1445A" w:rsidRDefault="00E1445A" w:rsidP="00E1445A">
      <w:pPr>
        <w:pStyle w:val="FootnoteText"/>
      </w:pPr>
      <w:r>
        <w:rPr>
          <w:rStyle w:val="FootnoteReference"/>
        </w:rPr>
        <w:footnoteRef/>
      </w:r>
      <w:r>
        <w:t xml:space="preserve"> 42 U.S.C. § 402</w:t>
      </w:r>
    </w:p>
  </w:footnote>
  <w:footnote w:id="6">
    <w:p w14:paraId="78EF09C3" w14:textId="77777777" w:rsidR="00E939F4" w:rsidRDefault="00E939F4" w:rsidP="00E939F4">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7">
    <w:p w14:paraId="21BD49D4" w14:textId="77777777" w:rsidR="00307D7F" w:rsidRDefault="00307D7F" w:rsidP="00307D7F">
      <w:pPr>
        <w:pStyle w:val="FootnoteText"/>
      </w:pPr>
      <w:r>
        <w:rPr>
          <w:rStyle w:val="FootnoteReference"/>
        </w:rPr>
        <w:footnoteRef/>
      </w:r>
      <w:r>
        <w:t xml:space="preserve"> See Medicare Claims Processing Manual Chapter 1, § 50.1.5.</w:t>
      </w:r>
    </w:p>
  </w:footnote>
  <w:footnote w:id="8">
    <w:p w14:paraId="4A6356C7" w14:textId="3EC7AF49" w:rsidR="00020BDF" w:rsidRDefault="00020BDF" w:rsidP="003838A9">
      <w:pPr>
        <w:pStyle w:val="FootnoteText"/>
      </w:pPr>
      <w:r>
        <w:rPr>
          <w:rStyle w:val="FootnoteReference"/>
        </w:rPr>
        <w:footnoteRef/>
      </w:r>
      <w:r>
        <w:t xml:space="preserve"> See 42 U.S. Code § </w:t>
      </w:r>
      <w:r w:rsidR="004C1DF6">
        <w:t>1381a.</w:t>
      </w:r>
    </w:p>
  </w:footnote>
  <w:footnote w:id="9">
    <w:p w14:paraId="5C32A3D5" w14:textId="77777777" w:rsidR="00BA49D7" w:rsidRDefault="00BA49D7" w:rsidP="00BA49D7">
      <w:pPr>
        <w:pStyle w:val="FootnoteText"/>
      </w:pPr>
      <w:r>
        <w:rPr>
          <w:rStyle w:val="FootnoteReference"/>
        </w:rPr>
        <w:footnoteRef/>
      </w:r>
      <w:r>
        <w:t xml:space="preserve"> See 20 CFR § 416.202.</w:t>
      </w:r>
    </w:p>
  </w:footnote>
  <w:footnote w:id="10">
    <w:p w14:paraId="201A6D95" w14:textId="77777777" w:rsidR="00BA49D7" w:rsidRDefault="00BA49D7" w:rsidP="00BA49D7">
      <w:pPr>
        <w:pStyle w:val="FootnoteText"/>
      </w:pPr>
      <w:r>
        <w:rPr>
          <w:rStyle w:val="FootnoteReference"/>
        </w:rPr>
        <w:footnoteRef/>
      </w:r>
      <w:r>
        <w:t xml:space="preserve"> See 20 CFR § 416.204.</w:t>
      </w:r>
    </w:p>
  </w:footnote>
  <w:footnote w:id="11">
    <w:p w14:paraId="40CAA8D7" w14:textId="77777777" w:rsidR="00BA49D7" w:rsidRDefault="00BA49D7" w:rsidP="00BA49D7">
      <w:pPr>
        <w:pStyle w:val="FootnoteText"/>
      </w:pPr>
      <w:r>
        <w:rPr>
          <w:rStyle w:val="FootnoteReference"/>
        </w:rPr>
        <w:footnoteRef/>
      </w:r>
      <w:r>
        <w:t xml:space="preserve"> While a beneficiary might become ineligible by for instance, becoming eligible via a permanent disability that miraculously was cured, such events are “rare to remote” and, moreover, the Medicare fraction is merely a proxy measure, not an exact measurement, and the providers have not demonstrated that such events occur anywhere nearly as often as commonplace events such as a slight income increase that would make someone ineligible for and no longer entitled to SSI benefits.</w:t>
      </w:r>
    </w:p>
  </w:footnote>
  <w:footnote w:id="12">
    <w:p w14:paraId="65192A6E" w14:textId="77777777" w:rsidR="00020BDF" w:rsidRDefault="00020BDF" w:rsidP="003838A9">
      <w:pPr>
        <w:pStyle w:val="FootnoteText"/>
      </w:pPr>
      <w:r>
        <w:rPr>
          <w:rStyle w:val="FootnoteReference"/>
        </w:rPr>
        <w:footnoteRef/>
      </w:r>
      <w:r>
        <w:t xml:space="preserve"> See 42 U.S.C. § 1395ww(d)(5)(F)(vi)</w:t>
      </w:r>
    </w:p>
  </w:footnote>
  <w:footnote w:id="13">
    <w:p w14:paraId="117D9C99" w14:textId="77777777" w:rsidR="00020BDF" w:rsidRPr="006A7205" w:rsidRDefault="00020BDF" w:rsidP="000B4A7C">
      <w:pPr>
        <w:pStyle w:val="FootnoteText"/>
      </w:pPr>
      <w:r>
        <w:rPr>
          <w:rStyle w:val="FootnoteReference"/>
        </w:rPr>
        <w:footnoteRef/>
      </w:r>
      <w:r>
        <w:t xml:space="preserve"> </w:t>
      </w:r>
      <w:r w:rsidRPr="006A7205">
        <w:rPr>
          <w:i/>
        </w:rPr>
        <w:t>Id.</w:t>
      </w:r>
      <w:r>
        <w:t>at 42 U.S.C. § 1381a</w:t>
      </w:r>
    </w:p>
  </w:footnote>
  <w:footnote w:id="14">
    <w:p w14:paraId="1AED5CDF" w14:textId="77777777" w:rsidR="00020BDF" w:rsidRDefault="00020BDF" w:rsidP="000B4A7C">
      <w:pPr>
        <w:pStyle w:val="FootnoteText"/>
      </w:pPr>
      <w:r>
        <w:rPr>
          <w:rStyle w:val="FootnoteReference"/>
        </w:rPr>
        <w:footnoteRef/>
      </w:r>
      <w:r>
        <w:t xml:space="preserve"> 42 U.S.C. § 1382</w:t>
      </w:r>
    </w:p>
  </w:footnote>
  <w:footnote w:id="15">
    <w:p w14:paraId="1F108ED6" w14:textId="77777777" w:rsidR="00020BDF" w:rsidRDefault="00020BDF" w:rsidP="000B4A7C">
      <w:pPr>
        <w:pStyle w:val="FootnoteText"/>
      </w:pPr>
      <w:r>
        <w:rPr>
          <w:rStyle w:val="FootnoteReference"/>
        </w:rPr>
        <w:footnoteRef/>
      </w:r>
      <w:r>
        <w:t xml:space="preserve"> See SSA POMS SI 02301.201</w:t>
      </w:r>
    </w:p>
  </w:footnote>
  <w:footnote w:id="16">
    <w:p w14:paraId="59446794" w14:textId="77777777" w:rsidR="00020BDF" w:rsidRDefault="00020BDF" w:rsidP="000B4A7C">
      <w:pPr>
        <w:pStyle w:val="FootnoteText"/>
      </w:pPr>
      <w:r>
        <w:rPr>
          <w:rStyle w:val="FootnoteReference"/>
        </w:rPr>
        <w:footnoteRef/>
      </w:r>
      <w:r>
        <w:t xml:space="preserve"> </w:t>
      </w:r>
      <w:r w:rsidRPr="00240A88">
        <w:rPr>
          <w:rFonts w:ascii="Calibri" w:hAnsi="Calibri" w:cs="Calibri"/>
        </w:rPr>
        <w:t>FR Vol. 75, No. 157, Monday August 16, 2010, at page 50281</w:t>
      </w:r>
      <w:r>
        <w:t>.</w:t>
      </w:r>
    </w:p>
  </w:footnote>
  <w:footnote w:id="17">
    <w:p w14:paraId="30468FAE" w14:textId="77777777" w:rsidR="00AF727E" w:rsidRDefault="00AF727E" w:rsidP="00AF727E">
      <w:pPr>
        <w:pStyle w:val="FootnoteText"/>
      </w:pPr>
      <w:r>
        <w:rPr>
          <w:rStyle w:val="FootnoteReference"/>
        </w:rPr>
        <w:footnoteRef/>
      </w:r>
      <w:r>
        <w:t xml:space="preserve"> Dual eligible beneficiaries.</w:t>
      </w:r>
    </w:p>
  </w:footnote>
  <w:footnote w:id="18">
    <w:p w14:paraId="74E7E31B" w14:textId="1922B4BA" w:rsidR="002B0073" w:rsidRDefault="002B0073">
      <w:pPr>
        <w:pStyle w:val="FootnoteText"/>
      </w:pPr>
      <w:r>
        <w:rPr>
          <w:rStyle w:val="FootnoteReference"/>
        </w:rPr>
        <w:footnoteRef/>
      </w:r>
      <w:r>
        <w:t xml:space="preserve"> </w:t>
      </w:r>
      <w:r w:rsidRPr="002B0073">
        <w:rPr>
          <w:rFonts w:asciiTheme="minorHAnsi" w:hAnsiTheme="minorHAnsi" w:cstheme="minorHAnsi"/>
        </w:rPr>
        <w:t>Exhibit C-2, page</w:t>
      </w:r>
      <w:r w:rsidR="0006351E">
        <w:rPr>
          <w:rFonts w:asciiTheme="minorHAnsi" w:hAnsiTheme="minorHAnsi" w:cstheme="minorHAnsi"/>
        </w:rPr>
        <w:t xml:space="preserve">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0AF06" w14:textId="23213E6B" w:rsidR="004336CE" w:rsidRDefault="004336CE" w:rsidP="004336CE">
    <w:pPr>
      <w:pStyle w:val="Header"/>
    </w:pPr>
    <w:r>
      <w:t>PRRB Case No. 22-1</w:t>
    </w:r>
    <w:r w:rsidR="007E18EE">
      <w:t>357</w:t>
    </w:r>
    <w:r>
      <w:t>G</w:t>
    </w:r>
  </w:p>
  <w:p w14:paraId="18883769" w14:textId="0351CB4E" w:rsidR="001A7725" w:rsidRPr="00240A88" w:rsidRDefault="001A7725" w:rsidP="0005430D">
    <w:pPr>
      <w:pStyle w:val="Header"/>
      <w:jc w:val="right"/>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2"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C630AC0"/>
    <w:multiLevelType w:val="hybridMultilevel"/>
    <w:tmpl w:val="298C3E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6" w15:restartNumberingAfterBreak="0">
    <w:nsid w:val="38432F61"/>
    <w:multiLevelType w:val="hybridMultilevel"/>
    <w:tmpl w:val="8E20C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CB65BBC"/>
    <w:multiLevelType w:val="hybridMultilevel"/>
    <w:tmpl w:val="E6481C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1"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3"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5"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925531743">
    <w:abstractNumId w:val="12"/>
  </w:num>
  <w:num w:numId="2" w16cid:durableId="649140469">
    <w:abstractNumId w:val="7"/>
  </w:num>
  <w:num w:numId="3" w16cid:durableId="2113470788">
    <w:abstractNumId w:val="17"/>
  </w:num>
  <w:num w:numId="4" w16cid:durableId="18358874">
    <w:abstractNumId w:val="10"/>
  </w:num>
  <w:num w:numId="5" w16cid:durableId="737292285">
    <w:abstractNumId w:val="15"/>
  </w:num>
  <w:num w:numId="6" w16cid:durableId="694845392">
    <w:abstractNumId w:val="4"/>
  </w:num>
  <w:num w:numId="7" w16cid:durableId="1678463780">
    <w:abstractNumId w:val="11"/>
  </w:num>
  <w:num w:numId="8" w16cid:durableId="1472594333">
    <w:abstractNumId w:val="16"/>
  </w:num>
  <w:num w:numId="9" w16cid:durableId="464586312">
    <w:abstractNumId w:val="1"/>
  </w:num>
  <w:num w:numId="10" w16cid:durableId="488987857">
    <w:abstractNumId w:val="2"/>
  </w:num>
  <w:num w:numId="11" w16cid:durableId="513999913">
    <w:abstractNumId w:val="14"/>
  </w:num>
  <w:num w:numId="12" w16cid:durableId="1798405654">
    <w:abstractNumId w:val="5"/>
  </w:num>
  <w:num w:numId="13" w16cid:durableId="115372081">
    <w:abstractNumId w:val="8"/>
  </w:num>
  <w:num w:numId="14" w16cid:durableId="1453866631">
    <w:abstractNumId w:val="0"/>
  </w:num>
  <w:num w:numId="15" w16cid:durableId="1740321450">
    <w:abstractNumId w:val="13"/>
  </w:num>
  <w:num w:numId="16" w16cid:durableId="1223758327">
    <w:abstractNumId w:val="6"/>
  </w:num>
  <w:num w:numId="17" w16cid:durableId="395206055">
    <w:abstractNumId w:val="9"/>
  </w:num>
  <w:num w:numId="18" w16cid:durableId="1333340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0sDA1MDazMDAxNjVU0lEKTi0uzszPAykwrAUAhzr4AiwAAAA="/>
    <w:docVar w:name="ValidSession" w:val="False"/>
  </w:docVars>
  <w:rsids>
    <w:rsidRoot w:val="001D5DD4"/>
    <w:rsid w:val="000009A0"/>
    <w:rsid w:val="000009FB"/>
    <w:rsid w:val="00001615"/>
    <w:rsid w:val="000036ED"/>
    <w:rsid w:val="00005611"/>
    <w:rsid w:val="00011157"/>
    <w:rsid w:val="00012C1E"/>
    <w:rsid w:val="000207C5"/>
    <w:rsid w:val="00020BDF"/>
    <w:rsid w:val="00023C85"/>
    <w:rsid w:val="00025DBF"/>
    <w:rsid w:val="00027D31"/>
    <w:rsid w:val="00030BED"/>
    <w:rsid w:val="00033EE3"/>
    <w:rsid w:val="0004641E"/>
    <w:rsid w:val="000512A9"/>
    <w:rsid w:val="000525A2"/>
    <w:rsid w:val="00054109"/>
    <w:rsid w:val="0005430D"/>
    <w:rsid w:val="0005504D"/>
    <w:rsid w:val="0006351E"/>
    <w:rsid w:val="00063706"/>
    <w:rsid w:val="00064039"/>
    <w:rsid w:val="00065C24"/>
    <w:rsid w:val="00065C50"/>
    <w:rsid w:val="00066CFD"/>
    <w:rsid w:val="00067202"/>
    <w:rsid w:val="000678C7"/>
    <w:rsid w:val="00070AE1"/>
    <w:rsid w:val="000737E6"/>
    <w:rsid w:val="000771F0"/>
    <w:rsid w:val="000803BE"/>
    <w:rsid w:val="00080E45"/>
    <w:rsid w:val="00082396"/>
    <w:rsid w:val="000836C9"/>
    <w:rsid w:val="000865FE"/>
    <w:rsid w:val="00086F7D"/>
    <w:rsid w:val="00090099"/>
    <w:rsid w:val="000922F1"/>
    <w:rsid w:val="000931AF"/>
    <w:rsid w:val="000942EB"/>
    <w:rsid w:val="0009483C"/>
    <w:rsid w:val="00096477"/>
    <w:rsid w:val="000A1D2C"/>
    <w:rsid w:val="000A2FFF"/>
    <w:rsid w:val="000A3FC8"/>
    <w:rsid w:val="000A50E4"/>
    <w:rsid w:val="000A59C2"/>
    <w:rsid w:val="000B06D1"/>
    <w:rsid w:val="000B0857"/>
    <w:rsid w:val="000B13E7"/>
    <w:rsid w:val="000B22BB"/>
    <w:rsid w:val="000B4A7C"/>
    <w:rsid w:val="000B52AB"/>
    <w:rsid w:val="000B5569"/>
    <w:rsid w:val="000B6E68"/>
    <w:rsid w:val="000C1D7F"/>
    <w:rsid w:val="000C25DB"/>
    <w:rsid w:val="000C32DD"/>
    <w:rsid w:val="000C72E5"/>
    <w:rsid w:val="000C7A0F"/>
    <w:rsid w:val="000D2965"/>
    <w:rsid w:val="000D379D"/>
    <w:rsid w:val="000D47DE"/>
    <w:rsid w:val="000D56D9"/>
    <w:rsid w:val="000D57C8"/>
    <w:rsid w:val="000E080E"/>
    <w:rsid w:val="000E1AC5"/>
    <w:rsid w:val="000E1D67"/>
    <w:rsid w:val="000E5A6F"/>
    <w:rsid w:val="000E6342"/>
    <w:rsid w:val="000E785B"/>
    <w:rsid w:val="000F1B61"/>
    <w:rsid w:val="000F2CED"/>
    <w:rsid w:val="000F33DA"/>
    <w:rsid w:val="000F36AA"/>
    <w:rsid w:val="000F4457"/>
    <w:rsid w:val="000F4EBD"/>
    <w:rsid w:val="00101750"/>
    <w:rsid w:val="00103189"/>
    <w:rsid w:val="0010587C"/>
    <w:rsid w:val="00111646"/>
    <w:rsid w:val="00111EC4"/>
    <w:rsid w:val="00114BEF"/>
    <w:rsid w:val="00114C92"/>
    <w:rsid w:val="00114F15"/>
    <w:rsid w:val="00114FAF"/>
    <w:rsid w:val="001245E3"/>
    <w:rsid w:val="00124953"/>
    <w:rsid w:val="0012549B"/>
    <w:rsid w:val="001255EC"/>
    <w:rsid w:val="001262CA"/>
    <w:rsid w:val="00126B2A"/>
    <w:rsid w:val="00135E71"/>
    <w:rsid w:val="0013726D"/>
    <w:rsid w:val="00141F56"/>
    <w:rsid w:val="00144074"/>
    <w:rsid w:val="00144596"/>
    <w:rsid w:val="00145E71"/>
    <w:rsid w:val="00146E93"/>
    <w:rsid w:val="00150F79"/>
    <w:rsid w:val="001511C5"/>
    <w:rsid w:val="00155D42"/>
    <w:rsid w:val="00157840"/>
    <w:rsid w:val="001611C6"/>
    <w:rsid w:val="00161D74"/>
    <w:rsid w:val="001633E8"/>
    <w:rsid w:val="00166108"/>
    <w:rsid w:val="001669BC"/>
    <w:rsid w:val="00166B01"/>
    <w:rsid w:val="00166DF2"/>
    <w:rsid w:val="00170299"/>
    <w:rsid w:val="00171C92"/>
    <w:rsid w:val="00172DC6"/>
    <w:rsid w:val="0017588B"/>
    <w:rsid w:val="0018175E"/>
    <w:rsid w:val="00182BF8"/>
    <w:rsid w:val="00185332"/>
    <w:rsid w:val="00185367"/>
    <w:rsid w:val="00187F72"/>
    <w:rsid w:val="00190388"/>
    <w:rsid w:val="00194854"/>
    <w:rsid w:val="00194FBE"/>
    <w:rsid w:val="001961A0"/>
    <w:rsid w:val="00197B03"/>
    <w:rsid w:val="001A17AE"/>
    <w:rsid w:val="001A4258"/>
    <w:rsid w:val="001A4A7C"/>
    <w:rsid w:val="001A5233"/>
    <w:rsid w:val="001A5B78"/>
    <w:rsid w:val="001A67EB"/>
    <w:rsid w:val="001A7725"/>
    <w:rsid w:val="001B0913"/>
    <w:rsid w:val="001B0B07"/>
    <w:rsid w:val="001B6986"/>
    <w:rsid w:val="001B7791"/>
    <w:rsid w:val="001C2288"/>
    <w:rsid w:val="001C24DA"/>
    <w:rsid w:val="001C5039"/>
    <w:rsid w:val="001C5097"/>
    <w:rsid w:val="001C6624"/>
    <w:rsid w:val="001C7212"/>
    <w:rsid w:val="001D0960"/>
    <w:rsid w:val="001D1D0F"/>
    <w:rsid w:val="001D2217"/>
    <w:rsid w:val="001D2BD9"/>
    <w:rsid w:val="001D408D"/>
    <w:rsid w:val="001D5DD4"/>
    <w:rsid w:val="001D6BAE"/>
    <w:rsid w:val="001E26BA"/>
    <w:rsid w:val="001E6614"/>
    <w:rsid w:val="001F00AE"/>
    <w:rsid w:val="001F0F9A"/>
    <w:rsid w:val="002014BC"/>
    <w:rsid w:val="00202D98"/>
    <w:rsid w:val="00203FAF"/>
    <w:rsid w:val="00204448"/>
    <w:rsid w:val="002127C8"/>
    <w:rsid w:val="0021284C"/>
    <w:rsid w:val="00212C1B"/>
    <w:rsid w:val="00212D95"/>
    <w:rsid w:val="002135AB"/>
    <w:rsid w:val="00213BB5"/>
    <w:rsid w:val="00216304"/>
    <w:rsid w:val="0021644A"/>
    <w:rsid w:val="0021694B"/>
    <w:rsid w:val="002176F4"/>
    <w:rsid w:val="0022091A"/>
    <w:rsid w:val="002234D5"/>
    <w:rsid w:val="00224406"/>
    <w:rsid w:val="002253D6"/>
    <w:rsid w:val="00225E7D"/>
    <w:rsid w:val="00230280"/>
    <w:rsid w:val="00232893"/>
    <w:rsid w:val="00233AF1"/>
    <w:rsid w:val="00234CA1"/>
    <w:rsid w:val="00235304"/>
    <w:rsid w:val="00240A88"/>
    <w:rsid w:val="002421C2"/>
    <w:rsid w:val="002429D1"/>
    <w:rsid w:val="00250CBC"/>
    <w:rsid w:val="00252ED7"/>
    <w:rsid w:val="00254268"/>
    <w:rsid w:val="0025788F"/>
    <w:rsid w:val="0026085F"/>
    <w:rsid w:val="00261379"/>
    <w:rsid w:val="00263381"/>
    <w:rsid w:val="00267F6D"/>
    <w:rsid w:val="002729BC"/>
    <w:rsid w:val="0027419A"/>
    <w:rsid w:val="00275302"/>
    <w:rsid w:val="002847BF"/>
    <w:rsid w:val="00290A8C"/>
    <w:rsid w:val="00292707"/>
    <w:rsid w:val="00293C1A"/>
    <w:rsid w:val="00294277"/>
    <w:rsid w:val="0029529F"/>
    <w:rsid w:val="00295C01"/>
    <w:rsid w:val="00295C2B"/>
    <w:rsid w:val="00297FA2"/>
    <w:rsid w:val="002A35AE"/>
    <w:rsid w:val="002A4386"/>
    <w:rsid w:val="002A5E92"/>
    <w:rsid w:val="002A6D18"/>
    <w:rsid w:val="002B0073"/>
    <w:rsid w:val="002B32C1"/>
    <w:rsid w:val="002B4404"/>
    <w:rsid w:val="002B6DC4"/>
    <w:rsid w:val="002B74E4"/>
    <w:rsid w:val="002C0490"/>
    <w:rsid w:val="002C0833"/>
    <w:rsid w:val="002C1790"/>
    <w:rsid w:val="002C4D66"/>
    <w:rsid w:val="002C67FC"/>
    <w:rsid w:val="002D123F"/>
    <w:rsid w:val="002D162F"/>
    <w:rsid w:val="002D5192"/>
    <w:rsid w:val="002D6FCA"/>
    <w:rsid w:val="002E232E"/>
    <w:rsid w:val="002E2F92"/>
    <w:rsid w:val="002E32BA"/>
    <w:rsid w:val="002E3B6E"/>
    <w:rsid w:val="002E4795"/>
    <w:rsid w:val="002E7C9C"/>
    <w:rsid w:val="002F0608"/>
    <w:rsid w:val="002F0A83"/>
    <w:rsid w:val="002F2279"/>
    <w:rsid w:val="002F35AF"/>
    <w:rsid w:val="002F5748"/>
    <w:rsid w:val="00300751"/>
    <w:rsid w:val="00301E61"/>
    <w:rsid w:val="00302D40"/>
    <w:rsid w:val="0030508B"/>
    <w:rsid w:val="00307D7F"/>
    <w:rsid w:val="00310923"/>
    <w:rsid w:val="00313D59"/>
    <w:rsid w:val="00320A0A"/>
    <w:rsid w:val="0032135F"/>
    <w:rsid w:val="00322256"/>
    <w:rsid w:val="00323799"/>
    <w:rsid w:val="00325AA7"/>
    <w:rsid w:val="00326FB0"/>
    <w:rsid w:val="003327F7"/>
    <w:rsid w:val="00336577"/>
    <w:rsid w:val="003420C4"/>
    <w:rsid w:val="0035002C"/>
    <w:rsid w:val="00356FEF"/>
    <w:rsid w:val="00361808"/>
    <w:rsid w:val="003622F9"/>
    <w:rsid w:val="003626EC"/>
    <w:rsid w:val="00362746"/>
    <w:rsid w:val="00362897"/>
    <w:rsid w:val="00362A36"/>
    <w:rsid w:val="00362CC8"/>
    <w:rsid w:val="003660A3"/>
    <w:rsid w:val="00367DCB"/>
    <w:rsid w:val="003713EE"/>
    <w:rsid w:val="00372F21"/>
    <w:rsid w:val="0037648B"/>
    <w:rsid w:val="00376545"/>
    <w:rsid w:val="0037673A"/>
    <w:rsid w:val="00380C41"/>
    <w:rsid w:val="00381095"/>
    <w:rsid w:val="00382ACB"/>
    <w:rsid w:val="003838A9"/>
    <w:rsid w:val="003853C5"/>
    <w:rsid w:val="00386073"/>
    <w:rsid w:val="0039002B"/>
    <w:rsid w:val="003922CA"/>
    <w:rsid w:val="0039517E"/>
    <w:rsid w:val="003955FC"/>
    <w:rsid w:val="003A12D8"/>
    <w:rsid w:val="003A1305"/>
    <w:rsid w:val="003A3847"/>
    <w:rsid w:val="003A468E"/>
    <w:rsid w:val="003A60B2"/>
    <w:rsid w:val="003B2D2A"/>
    <w:rsid w:val="003B52F2"/>
    <w:rsid w:val="003B6E60"/>
    <w:rsid w:val="003B7E80"/>
    <w:rsid w:val="003C0AD0"/>
    <w:rsid w:val="003C10C3"/>
    <w:rsid w:val="003C1671"/>
    <w:rsid w:val="003C3636"/>
    <w:rsid w:val="003C5C0B"/>
    <w:rsid w:val="003C6B9D"/>
    <w:rsid w:val="003D0CF7"/>
    <w:rsid w:val="003D2186"/>
    <w:rsid w:val="003D25D0"/>
    <w:rsid w:val="003D2E8B"/>
    <w:rsid w:val="003D360A"/>
    <w:rsid w:val="003D406D"/>
    <w:rsid w:val="003D6842"/>
    <w:rsid w:val="003E1471"/>
    <w:rsid w:val="003E4AE1"/>
    <w:rsid w:val="003E4FBA"/>
    <w:rsid w:val="003E5A40"/>
    <w:rsid w:val="003F043D"/>
    <w:rsid w:val="003F075C"/>
    <w:rsid w:val="003F183F"/>
    <w:rsid w:val="003F29DF"/>
    <w:rsid w:val="00401458"/>
    <w:rsid w:val="00403941"/>
    <w:rsid w:val="00403A17"/>
    <w:rsid w:val="00403D97"/>
    <w:rsid w:val="00405301"/>
    <w:rsid w:val="00411127"/>
    <w:rsid w:val="00415298"/>
    <w:rsid w:val="00416A50"/>
    <w:rsid w:val="00417B14"/>
    <w:rsid w:val="004222A3"/>
    <w:rsid w:val="00430E1A"/>
    <w:rsid w:val="004336CE"/>
    <w:rsid w:val="0043489B"/>
    <w:rsid w:val="00435E51"/>
    <w:rsid w:val="00437A6B"/>
    <w:rsid w:val="00442F9B"/>
    <w:rsid w:val="0044376B"/>
    <w:rsid w:val="004460A2"/>
    <w:rsid w:val="00446296"/>
    <w:rsid w:val="00447193"/>
    <w:rsid w:val="004510E9"/>
    <w:rsid w:val="00451A64"/>
    <w:rsid w:val="00452252"/>
    <w:rsid w:val="004534D9"/>
    <w:rsid w:val="004546C8"/>
    <w:rsid w:val="00454781"/>
    <w:rsid w:val="00454B45"/>
    <w:rsid w:val="00457205"/>
    <w:rsid w:val="00457670"/>
    <w:rsid w:val="00457F9B"/>
    <w:rsid w:val="00460287"/>
    <w:rsid w:val="00461CCB"/>
    <w:rsid w:val="00462CB6"/>
    <w:rsid w:val="00464889"/>
    <w:rsid w:val="004663D3"/>
    <w:rsid w:val="00466C24"/>
    <w:rsid w:val="00467E5B"/>
    <w:rsid w:val="0047029C"/>
    <w:rsid w:val="00474B07"/>
    <w:rsid w:val="00475047"/>
    <w:rsid w:val="00480826"/>
    <w:rsid w:val="00485338"/>
    <w:rsid w:val="00490E35"/>
    <w:rsid w:val="004934CB"/>
    <w:rsid w:val="00493CF3"/>
    <w:rsid w:val="0049619B"/>
    <w:rsid w:val="004961CB"/>
    <w:rsid w:val="004A1E6F"/>
    <w:rsid w:val="004A2574"/>
    <w:rsid w:val="004A39B7"/>
    <w:rsid w:val="004A5E2C"/>
    <w:rsid w:val="004A7E36"/>
    <w:rsid w:val="004B1707"/>
    <w:rsid w:val="004B22DF"/>
    <w:rsid w:val="004B2AD9"/>
    <w:rsid w:val="004B49D9"/>
    <w:rsid w:val="004C0F0E"/>
    <w:rsid w:val="004C109B"/>
    <w:rsid w:val="004C19EF"/>
    <w:rsid w:val="004C1DF6"/>
    <w:rsid w:val="004C3146"/>
    <w:rsid w:val="004C3F23"/>
    <w:rsid w:val="004C4799"/>
    <w:rsid w:val="004C66A4"/>
    <w:rsid w:val="004D043E"/>
    <w:rsid w:val="004D566D"/>
    <w:rsid w:val="004E21C4"/>
    <w:rsid w:val="004E2536"/>
    <w:rsid w:val="004E2E9E"/>
    <w:rsid w:val="004E352D"/>
    <w:rsid w:val="004E3F27"/>
    <w:rsid w:val="004E4687"/>
    <w:rsid w:val="004E5332"/>
    <w:rsid w:val="004F2EEB"/>
    <w:rsid w:val="004F46F1"/>
    <w:rsid w:val="004F5409"/>
    <w:rsid w:val="004F709D"/>
    <w:rsid w:val="00500061"/>
    <w:rsid w:val="00500A18"/>
    <w:rsid w:val="00503694"/>
    <w:rsid w:val="00504057"/>
    <w:rsid w:val="005051CE"/>
    <w:rsid w:val="00507C39"/>
    <w:rsid w:val="00511238"/>
    <w:rsid w:val="005121D4"/>
    <w:rsid w:val="005146F0"/>
    <w:rsid w:val="005156EA"/>
    <w:rsid w:val="00517CE2"/>
    <w:rsid w:val="00517F26"/>
    <w:rsid w:val="00520503"/>
    <w:rsid w:val="005228F8"/>
    <w:rsid w:val="00524DDF"/>
    <w:rsid w:val="00532F7B"/>
    <w:rsid w:val="005332F0"/>
    <w:rsid w:val="00533A7D"/>
    <w:rsid w:val="00540872"/>
    <w:rsid w:val="005438E6"/>
    <w:rsid w:val="00544B0D"/>
    <w:rsid w:val="005460DA"/>
    <w:rsid w:val="00547134"/>
    <w:rsid w:val="00550B15"/>
    <w:rsid w:val="00554F74"/>
    <w:rsid w:val="0055504A"/>
    <w:rsid w:val="00555510"/>
    <w:rsid w:val="00556116"/>
    <w:rsid w:val="00556AF0"/>
    <w:rsid w:val="00562DB2"/>
    <w:rsid w:val="0056370B"/>
    <w:rsid w:val="00563D35"/>
    <w:rsid w:val="00565427"/>
    <w:rsid w:val="00567121"/>
    <w:rsid w:val="0057256F"/>
    <w:rsid w:val="0057294D"/>
    <w:rsid w:val="00573404"/>
    <w:rsid w:val="005734B1"/>
    <w:rsid w:val="0057617D"/>
    <w:rsid w:val="0057765D"/>
    <w:rsid w:val="005806E6"/>
    <w:rsid w:val="00583371"/>
    <w:rsid w:val="005866B2"/>
    <w:rsid w:val="0058691F"/>
    <w:rsid w:val="00586FAF"/>
    <w:rsid w:val="00590B54"/>
    <w:rsid w:val="00591A9E"/>
    <w:rsid w:val="005948E9"/>
    <w:rsid w:val="00594958"/>
    <w:rsid w:val="005A3A83"/>
    <w:rsid w:val="005A4227"/>
    <w:rsid w:val="005A705F"/>
    <w:rsid w:val="005B00C9"/>
    <w:rsid w:val="005B16CC"/>
    <w:rsid w:val="005B216A"/>
    <w:rsid w:val="005B221D"/>
    <w:rsid w:val="005B508F"/>
    <w:rsid w:val="005B5659"/>
    <w:rsid w:val="005B5B1C"/>
    <w:rsid w:val="005B7CE7"/>
    <w:rsid w:val="005C083E"/>
    <w:rsid w:val="005C13C3"/>
    <w:rsid w:val="005C241D"/>
    <w:rsid w:val="005C5683"/>
    <w:rsid w:val="005C65ED"/>
    <w:rsid w:val="005C736A"/>
    <w:rsid w:val="005C788C"/>
    <w:rsid w:val="005D17C3"/>
    <w:rsid w:val="005D2111"/>
    <w:rsid w:val="005D312F"/>
    <w:rsid w:val="005D39F4"/>
    <w:rsid w:val="005D5C02"/>
    <w:rsid w:val="005D708E"/>
    <w:rsid w:val="005E0E6E"/>
    <w:rsid w:val="005E1217"/>
    <w:rsid w:val="005E17D8"/>
    <w:rsid w:val="005E2CDB"/>
    <w:rsid w:val="005E4615"/>
    <w:rsid w:val="005E5344"/>
    <w:rsid w:val="005E5791"/>
    <w:rsid w:val="005E67F4"/>
    <w:rsid w:val="005F164A"/>
    <w:rsid w:val="005F34AA"/>
    <w:rsid w:val="005F50A1"/>
    <w:rsid w:val="0060068D"/>
    <w:rsid w:val="00602C46"/>
    <w:rsid w:val="0060363E"/>
    <w:rsid w:val="00603FB4"/>
    <w:rsid w:val="00604509"/>
    <w:rsid w:val="0060568D"/>
    <w:rsid w:val="0061025B"/>
    <w:rsid w:val="0061336A"/>
    <w:rsid w:val="00614351"/>
    <w:rsid w:val="006143B6"/>
    <w:rsid w:val="0061619B"/>
    <w:rsid w:val="006204C6"/>
    <w:rsid w:val="00620926"/>
    <w:rsid w:val="00622218"/>
    <w:rsid w:val="006224FB"/>
    <w:rsid w:val="006225A7"/>
    <w:rsid w:val="00623F40"/>
    <w:rsid w:val="006263AC"/>
    <w:rsid w:val="00626CF4"/>
    <w:rsid w:val="00626D53"/>
    <w:rsid w:val="00632325"/>
    <w:rsid w:val="00632D31"/>
    <w:rsid w:val="00636EFC"/>
    <w:rsid w:val="006378C2"/>
    <w:rsid w:val="00640AC3"/>
    <w:rsid w:val="006416FC"/>
    <w:rsid w:val="0064607A"/>
    <w:rsid w:val="00650F19"/>
    <w:rsid w:val="00656EE3"/>
    <w:rsid w:val="00664E0A"/>
    <w:rsid w:val="0066654C"/>
    <w:rsid w:val="00667129"/>
    <w:rsid w:val="00667D1C"/>
    <w:rsid w:val="00672BF0"/>
    <w:rsid w:val="00673098"/>
    <w:rsid w:val="0067473E"/>
    <w:rsid w:val="0068668C"/>
    <w:rsid w:val="00686A2D"/>
    <w:rsid w:val="00687764"/>
    <w:rsid w:val="00691C79"/>
    <w:rsid w:val="0069268E"/>
    <w:rsid w:val="00697029"/>
    <w:rsid w:val="006970F6"/>
    <w:rsid w:val="00697117"/>
    <w:rsid w:val="006A27BF"/>
    <w:rsid w:val="006B0607"/>
    <w:rsid w:val="006B243B"/>
    <w:rsid w:val="006B268A"/>
    <w:rsid w:val="006B2FF3"/>
    <w:rsid w:val="006B4B3B"/>
    <w:rsid w:val="006B5C35"/>
    <w:rsid w:val="006B6303"/>
    <w:rsid w:val="006B66D2"/>
    <w:rsid w:val="006C1972"/>
    <w:rsid w:val="006C204E"/>
    <w:rsid w:val="006C2596"/>
    <w:rsid w:val="006C54AC"/>
    <w:rsid w:val="006C71C4"/>
    <w:rsid w:val="006D4932"/>
    <w:rsid w:val="006D4E73"/>
    <w:rsid w:val="006D503D"/>
    <w:rsid w:val="006D5E9F"/>
    <w:rsid w:val="006D66AB"/>
    <w:rsid w:val="006D68E6"/>
    <w:rsid w:val="006E08B4"/>
    <w:rsid w:val="006E18B5"/>
    <w:rsid w:val="006E2EB2"/>
    <w:rsid w:val="006E4B02"/>
    <w:rsid w:val="006E5D7C"/>
    <w:rsid w:val="006E6D47"/>
    <w:rsid w:val="006F1047"/>
    <w:rsid w:val="006F168A"/>
    <w:rsid w:val="006F36FF"/>
    <w:rsid w:val="006F6557"/>
    <w:rsid w:val="006F671D"/>
    <w:rsid w:val="00705D9C"/>
    <w:rsid w:val="00715E4F"/>
    <w:rsid w:val="007161B5"/>
    <w:rsid w:val="007251DC"/>
    <w:rsid w:val="007260B9"/>
    <w:rsid w:val="00726BBF"/>
    <w:rsid w:val="007271DF"/>
    <w:rsid w:val="00730FDE"/>
    <w:rsid w:val="007314B5"/>
    <w:rsid w:val="00735E20"/>
    <w:rsid w:val="00740C20"/>
    <w:rsid w:val="00745E77"/>
    <w:rsid w:val="007471C3"/>
    <w:rsid w:val="00751F59"/>
    <w:rsid w:val="00752A18"/>
    <w:rsid w:val="0075323E"/>
    <w:rsid w:val="00753310"/>
    <w:rsid w:val="00757631"/>
    <w:rsid w:val="0076051E"/>
    <w:rsid w:val="00760EF5"/>
    <w:rsid w:val="0076150C"/>
    <w:rsid w:val="00765BB6"/>
    <w:rsid w:val="00771953"/>
    <w:rsid w:val="007737A1"/>
    <w:rsid w:val="00774FB1"/>
    <w:rsid w:val="007801A6"/>
    <w:rsid w:val="00782EE4"/>
    <w:rsid w:val="00783359"/>
    <w:rsid w:val="00784CFA"/>
    <w:rsid w:val="0078646C"/>
    <w:rsid w:val="00786B08"/>
    <w:rsid w:val="00793A79"/>
    <w:rsid w:val="00794547"/>
    <w:rsid w:val="00795515"/>
    <w:rsid w:val="00796344"/>
    <w:rsid w:val="007973D6"/>
    <w:rsid w:val="00797E6F"/>
    <w:rsid w:val="007A1B44"/>
    <w:rsid w:val="007A2748"/>
    <w:rsid w:val="007A3F4A"/>
    <w:rsid w:val="007A5084"/>
    <w:rsid w:val="007A6F60"/>
    <w:rsid w:val="007B283B"/>
    <w:rsid w:val="007C2685"/>
    <w:rsid w:val="007C6625"/>
    <w:rsid w:val="007C7895"/>
    <w:rsid w:val="007D16A8"/>
    <w:rsid w:val="007D3183"/>
    <w:rsid w:val="007D33E1"/>
    <w:rsid w:val="007D4E82"/>
    <w:rsid w:val="007D53C4"/>
    <w:rsid w:val="007D574D"/>
    <w:rsid w:val="007D725F"/>
    <w:rsid w:val="007D7292"/>
    <w:rsid w:val="007E18EE"/>
    <w:rsid w:val="007E202C"/>
    <w:rsid w:val="007E213A"/>
    <w:rsid w:val="007E6D74"/>
    <w:rsid w:val="007E7F37"/>
    <w:rsid w:val="007F07C3"/>
    <w:rsid w:val="007F1B5C"/>
    <w:rsid w:val="007F20BC"/>
    <w:rsid w:val="007F2744"/>
    <w:rsid w:val="007F3B46"/>
    <w:rsid w:val="007F55E4"/>
    <w:rsid w:val="00801AE1"/>
    <w:rsid w:val="008025F0"/>
    <w:rsid w:val="0080544E"/>
    <w:rsid w:val="008068CA"/>
    <w:rsid w:val="00812277"/>
    <w:rsid w:val="008176AA"/>
    <w:rsid w:val="00824DEF"/>
    <w:rsid w:val="0082621C"/>
    <w:rsid w:val="00826A67"/>
    <w:rsid w:val="00826B9E"/>
    <w:rsid w:val="00827C2E"/>
    <w:rsid w:val="008306F2"/>
    <w:rsid w:val="0083134F"/>
    <w:rsid w:val="00832A53"/>
    <w:rsid w:val="00832C70"/>
    <w:rsid w:val="008353B9"/>
    <w:rsid w:val="00835709"/>
    <w:rsid w:val="00835EC6"/>
    <w:rsid w:val="00840E89"/>
    <w:rsid w:val="00843DB2"/>
    <w:rsid w:val="00851116"/>
    <w:rsid w:val="00855999"/>
    <w:rsid w:val="0085758C"/>
    <w:rsid w:val="0086019A"/>
    <w:rsid w:val="00864914"/>
    <w:rsid w:val="0086646B"/>
    <w:rsid w:val="00866B7A"/>
    <w:rsid w:val="00872579"/>
    <w:rsid w:val="008747EC"/>
    <w:rsid w:val="00875B4D"/>
    <w:rsid w:val="008768AC"/>
    <w:rsid w:val="00876A6E"/>
    <w:rsid w:val="008819F5"/>
    <w:rsid w:val="00883807"/>
    <w:rsid w:val="00883D42"/>
    <w:rsid w:val="008974B1"/>
    <w:rsid w:val="008A12CE"/>
    <w:rsid w:val="008A359E"/>
    <w:rsid w:val="008B0049"/>
    <w:rsid w:val="008B0ABF"/>
    <w:rsid w:val="008B140C"/>
    <w:rsid w:val="008B15C2"/>
    <w:rsid w:val="008B1EE3"/>
    <w:rsid w:val="008B29FF"/>
    <w:rsid w:val="008B2C0D"/>
    <w:rsid w:val="008B2E0B"/>
    <w:rsid w:val="008B62FD"/>
    <w:rsid w:val="008B65C7"/>
    <w:rsid w:val="008C051A"/>
    <w:rsid w:val="008C17F4"/>
    <w:rsid w:val="008C1D1C"/>
    <w:rsid w:val="008C2166"/>
    <w:rsid w:val="008C290A"/>
    <w:rsid w:val="008C33A1"/>
    <w:rsid w:val="008C3686"/>
    <w:rsid w:val="008D270C"/>
    <w:rsid w:val="008D30A6"/>
    <w:rsid w:val="008D4151"/>
    <w:rsid w:val="008D691E"/>
    <w:rsid w:val="008D7A4D"/>
    <w:rsid w:val="008E0CAB"/>
    <w:rsid w:val="008E1C9E"/>
    <w:rsid w:val="008E2EB4"/>
    <w:rsid w:val="008E3055"/>
    <w:rsid w:val="008F001D"/>
    <w:rsid w:val="008F1A5A"/>
    <w:rsid w:val="008F5177"/>
    <w:rsid w:val="00902E95"/>
    <w:rsid w:val="00905290"/>
    <w:rsid w:val="0091255B"/>
    <w:rsid w:val="00912750"/>
    <w:rsid w:val="00913A72"/>
    <w:rsid w:val="00913B64"/>
    <w:rsid w:val="00916BF5"/>
    <w:rsid w:val="00920638"/>
    <w:rsid w:val="00920BEA"/>
    <w:rsid w:val="0092106C"/>
    <w:rsid w:val="0092156D"/>
    <w:rsid w:val="00926D88"/>
    <w:rsid w:val="00927843"/>
    <w:rsid w:val="00932D3D"/>
    <w:rsid w:val="009330A4"/>
    <w:rsid w:val="0093397F"/>
    <w:rsid w:val="00934E5F"/>
    <w:rsid w:val="00934ECB"/>
    <w:rsid w:val="00937466"/>
    <w:rsid w:val="0094167D"/>
    <w:rsid w:val="009431B9"/>
    <w:rsid w:val="00945A25"/>
    <w:rsid w:val="0095037D"/>
    <w:rsid w:val="00950CD6"/>
    <w:rsid w:val="00951FEC"/>
    <w:rsid w:val="0095220E"/>
    <w:rsid w:val="00954179"/>
    <w:rsid w:val="00954A94"/>
    <w:rsid w:val="009601BE"/>
    <w:rsid w:val="0096058B"/>
    <w:rsid w:val="00960AC4"/>
    <w:rsid w:val="00962861"/>
    <w:rsid w:val="009633C8"/>
    <w:rsid w:val="00964B94"/>
    <w:rsid w:val="00965348"/>
    <w:rsid w:val="00971839"/>
    <w:rsid w:val="00973FA7"/>
    <w:rsid w:val="00974A40"/>
    <w:rsid w:val="00976BAB"/>
    <w:rsid w:val="00977C2C"/>
    <w:rsid w:val="009827DF"/>
    <w:rsid w:val="00984A4F"/>
    <w:rsid w:val="009851EA"/>
    <w:rsid w:val="00986E77"/>
    <w:rsid w:val="00987D55"/>
    <w:rsid w:val="0099147A"/>
    <w:rsid w:val="00994143"/>
    <w:rsid w:val="00997F09"/>
    <w:rsid w:val="009A2B27"/>
    <w:rsid w:val="009A331E"/>
    <w:rsid w:val="009A793C"/>
    <w:rsid w:val="009B12B4"/>
    <w:rsid w:val="009B3E32"/>
    <w:rsid w:val="009B4C8A"/>
    <w:rsid w:val="009B4FC5"/>
    <w:rsid w:val="009B745E"/>
    <w:rsid w:val="009B7E1B"/>
    <w:rsid w:val="009C2D4A"/>
    <w:rsid w:val="009C3AF3"/>
    <w:rsid w:val="009C4367"/>
    <w:rsid w:val="009C62BE"/>
    <w:rsid w:val="009C66F9"/>
    <w:rsid w:val="009C7C86"/>
    <w:rsid w:val="009D3A0C"/>
    <w:rsid w:val="009D3C6D"/>
    <w:rsid w:val="009D7D37"/>
    <w:rsid w:val="009D7E9E"/>
    <w:rsid w:val="009E2BE6"/>
    <w:rsid w:val="009E4525"/>
    <w:rsid w:val="009E5816"/>
    <w:rsid w:val="009E7671"/>
    <w:rsid w:val="009F0A31"/>
    <w:rsid w:val="009F17F0"/>
    <w:rsid w:val="009F19AE"/>
    <w:rsid w:val="009F2E76"/>
    <w:rsid w:val="009F5751"/>
    <w:rsid w:val="00A00E7D"/>
    <w:rsid w:val="00A03E56"/>
    <w:rsid w:val="00A04AB9"/>
    <w:rsid w:val="00A0648A"/>
    <w:rsid w:val="00A07299"/>
    <w:rsid w:val="00A0749E"/>
    <w:rsid w:val="00A1027C"/>
    <w:rsid w:val="00A110EA"/>
    <w:rsid w:val="00A135D1"/>
    <w:rsid w:val="00A154DF"/>
    <w:rsid w:val="00A1752B"/>
    <w:rsid w:val="00A227E4"/>
    <w:rsid w:val="00A2550D"/>
    <w:rsid w:val="00A30E26"/>
    <w:rsid w:val="00A30E94"/>
    <w:rsid w:val="00A31641"/>
    <w:rsid w:val="00A316C6"/>
    <w:rsid w:val="00A3343B"/>
    <w:rsid w:val="00A37EAB"/>
    <w:rsid w:val="00A40F99"/>
    <w:rsid w:val="00A438ED"/>
    <w:rsid w:val="00A50DFC"/>
    <w:rsid w:val="00A53A55"/>
    <w:rsid w:val="00A55DE0"/>
    <w:rsid w:val="00A56D11"/>
    <w:rsid w:val="00A670DC"/>
    <w:rsid w:val="00A72B4C"/>
    <w:rsid w:val="00A73A31"/>
    <w:rsid w:val="00A73F6E"/>
    <w:rsid w:val="00A76496"/>
    <w:rsid w:val="00A80167"/>
    <w:rsid w:val="00A814AE"/>
    <w:rsid w:val="00A81F65"/>
    <w:rsid w:val="00A82780"/>
    <w:rsid w:val="00A82EB7"/>
    <w:rsid w:val="00A83B7E"/>
    <w:rsid w:val="00A85264"/>
    <w:rsid w:val="00A8547E"/>
    <w:rsid w:val="00A9192B"/>
    <w:rsid w:val="00A92BC4"/>
    <w:rsid w:val="00A93EA1"/>
    <w:rsid w:val="00A94C1A"/>
    <w:rsid w:val="00AA2478"/>
    <w:rsid w:val="00AA2DFE"/>
    <w:rsid w:val="00AA4181"/>
    <w:rsid w:val="00AB33C9"/>
    <w:rsid w:val="00AB770D"/>
    <w:rsid w:val="00AB7BB6"/>
    <w:rsid w:val="00AC02AF"/>
    <w:rsid w:val="00AC0CE5"/>
    <w:rsid w:val="00AC2694"/>
    <w:rsid w:val="00AC34F8"/>
    <w:rsid w:val="00AC5E28"/>
    <w:rsid w:val="00AD3CFE"/>
    <w:rsid w:val="00AE0185"/>
    <w:rsid w:val="00AE0E54"/>
    <w:rsid w:val="00AE68F3"/>
    <w:rsid w:val="00AE6C65"/>
    <w:rsid w:val="00AF0A7C"/>
    <w:rsid w:val="00AF2FD6"/>
    <w:rsid w:val="00AF3AB3"/>
    <w:rsid w:val="00AF3B6E"/>
    <w:rsid w:val="00AF405C"/>
    <w:rsid w:val="00AF727E"/>
    <w:rsid w:val="00AF72A5"/>
    <w:rsid w:val="00B001A4"/>
    <w:rsid w:val="00B01453"/>
    <w:rsid w:val="00B0192C"/>
    <w:rsid w:val="00B01A27"/>
    <w:rsid w:val="00B02338"/>
    <w:rsid w:val="00B02F83"/>
    <w:rsid w:val="00B035EC"/>
    <w:rsid w:val="00B065D5"/>
    <w:rsid w:val="00B10513"/>
    <w:rsid w:val="00B11144"/>
    <w:rsid w:val="00B13007"/>
    <w:rsid w:val="00B17DEA"/>
    <w:rsid w:val="00B20AEB"/>
    <w:rsid w:val="00B22665"/>
    <w:rsid w:val="00B22C6B"/>
    <w:rsid w:val="00B3176E"/>
    <w:rsid w:val="00B34D78"/>
    <w:rsid w:val="00B34EFD"/>
    <w:rsid w:val="00B34FA3"/>
    <w:rsid w:val="00B3575D"/>
    <w:rsid w:val="00B36337"/>
    <w:rsid w:val="00B41C39"/>
    <w:rsid w:val="00B43A35"/>
    <w:rsid w:val="00B46B9A"/>
    <w:rsid w:val="00B504F6"/>
    <w:rsid w:val="00B536BF"/>
    <w:rsid w:val="00B538E5"/>
    <w:rsid w:val="00B53AE5"/>
    <w:rsid w:val="00B546B8"/>
    <w:rsid w:val="00B5539F"/>
    <w:rsid w:val="00B566A0"/>
    <w:rsid w:val="00B6457E"/>
    <w:rsid w:val="00B6508C"/>
    <w:rsid w:val="00B65F02"/>
    <w:rsid w:val="00B66741"/>
    <w:rsid w:val="00B67CAC"/>
    <w:rsid w:val="00B7241B"/>
    <w:rsid w:val="00B72422"/>
    <w:rsid w:val="00B72D78"/>
    <w:rsid w:val="00B738C8"/>
    <w:rsid w:val="00B77811"/>
    <w:rsid w:val="00B8134E"/>
    <w:rsid w:val="00B82D1E"/>
    <w:rsid w:val="00B838B3"/>
    <w:rsid w:val="00B86AC5"/>
    <w:rsid w:val="00B913EC"/>
    <w:rsid w:val="00B9146D"/>
    <w:rsid w:val="00B92278"/>
    <w:rsid w:val="00B93EB8"/>
    <w:rsid w:val="00B94BBB"/>
    <w:rsid w:val="00B95B8D"/>
    <w:rsid w:val="00B96DD2"/>
    <w:rsid w:val="00BA11D4"/>
    <w:rsid w:val="00BA1B79"/>
    <w:rsid w:val="00BA24B8"/>
    <w:rsid w:val="00BA2F9D"/>
    <w:rsid w:val="00BA3E76"/>
    <w:rsid w:val="00BA49D7"/>
    <w:rsid w:val="00BA64ED"/>
    <w:rsid w:val="00BA6AEE"/>
    <w:rsid w:val="00BB02A3"/>
    <w:rsid w:val="00BB085E"/>
    <w:rsid w:val="00BB25CB"/>
    <w:rsid w:val="00BB3CCB"/>
    <w:rsid w:val="00BB3EC3"/>
    <w:rsid w:val="00BB509A"/>
    <w:rsid w:val="00BB52DB"/>
    <w:rsid w:val="00BB546F"/>
    <w:rsid w:val="00BC2575"/>
    <w:rsid w:val="00BC3532"/>
    <w:rsid w:val="00BC4CB0"/>
    <w:rsid w:val="00BC5F13"/>
    <w:rsid w:val="00BC6791"/>
    <w:rsid w:val="00BC6CA1"/>
    <w:rsid w:val="00BD16FD"/>
    <w:rsid w:val="00BD1BF6"/>
    <w:rsid w:val="00BD1CC1"/>
    <w:rsid w:val="00BD2144"/>
    <w:rsid w:val="00BD4FB8"/>
    <w:rsid w:val="00BD62D6"/>
    <w:rsid w:val="00BD7C52"/>
    <w:rsid w:val="00BE43A6"/>
    <w:rsid w:val="00BE4857"/>
    <w:rsid w:val="00BE4F6C"/>
    <w:rsid w:val="00BE5130"/>
    <w:rsid w:val="00BF4F80"/>
    <w:rsid w:val="00BF7587"/>
    <w:rsid w:val="00C013A5"/>
    <w:rsid w:val="00C0171B"/>
    <w:rsid w:val="00C02344"/>
    <w:rsid w:val="00C032F3"/>
    <w:rsid w:val="00C07DD1"/>
    <w:rsid w:val="00C116A2"/>
    <w:rsid w:val="00C134BF"/>
    <w:rsid w:val="00C13841"/>
    <w:rsid w:val="00C14973"/>
    <w:rsid w:val="00C1499D"/>
    <w:rsid w:val="00C17482"/>
    <w:rsid w:val="00C20C77"/>
    <w:rsid w:val="00C22CC5"/>
    <w:rsid w:val="00C32579"/>
    <w:rsid w:val="00C32C2F"/>
    <w:rsid w:val="00C33306"/>
    <w:rsid w:val="00C42F41"/>
    <w:rsid w:val="00C43059"/>
    <w:rsid w:val="00C471DA"/>
    <w:rsid w:val="00C47D56"/>
    <w:rsid w:val="00C5074F"/>
    <w:rsid w:val="00C6113D"/>
    <w:rsid w:val="00C6141A"/>
    <w:rsid w:val="00C6285F"/>
    <w:rsid w:val="00C629E5"/>
    <w:rsid w:val="00C635CC"/>
    <w:rsid w:val="00C6654B"/>
    <w:rsid w:val="00C67279"/>
    <w:rsid w:val="00C70063"/>
    <w:rsid w:val="00C72271"/>
    <w:rsid w:val="00C72376"/>
    <w:rsid w:val="00C7249B"/>
    <w:rsid w:val="00C72F7B"/>
    <w:rsid w:val="00C73187"/>
    <w:rsid w:val="00C739A8"/>
    <w:rsid w:val="00C74D27"/>
    <w:rsid w:val="00C751C2"/>
    <w:rsid w:val="00C77251"/>
    <w:rsid w:val="00C8114A"/>
    <w:rsid w:val="00C818FE"/>
    <w:rsid w:val="00C90326"/>
    <w:rsid w:val="00C903D3"/>
    <w:rsid w:val="00C959C9"/>
    <w:rsid w:val="00CA087B"/>
    <w:rsid w:val="00CA0E70"/>
    <w:rsid w:val="00CA5812"/>
    <w:rsid w:val="00CA5F54"/>
    <w:rsid w:val="00CA7CC8"/>
    <w:rsid w:val="00CB2472"/>
    <w:rsid w:val="00CB2B1B"/>
    <w:rsid w:val="00CB3135"/>
    <w:rsid w:val="00CB4929"/>
    <w:rsid w:val="00CC06E0"/>
    <w:rsid w:val="00CC0A43"/>
    <w:rsid w:val="00CC4F4B"/>
    <w:rsid w:val="00CC6C94"/>
    <w:rsid w:val="00CD1EE6"/>
    <w:rsid w:val="00CD26DB"/>
    <w:rsid w:val="00CD3030"/>
    <w:rsid w:val="00CD48A3"/>
    <w:rsid w:val="00CD4A8B"/>
    <w:rsid w:val="00CD4F8A"/>
    <w:rsid w:val="00CD741F"/>
    <w:rsid w:val="00CD7CBF"/>
    <w:rsid w:val="00CE02FF"/>
    <w:rsid w:val="00CE0677"/>
    <w:rsid w:val="00CE217E"/>
    <w:rsid w:val="00CE4B60"/>
    <w:rsid w:val="00CE73CC"/>
    <w:rsid w:val="00CF0819"/>
    <w:rsid w:val="00CF0F25"/>
    <w:rsid w:val="00CF2010"/>
    <w:rsid w:val="00CF293D"/>
    <w:rsid w:val="00CF3D34"/>
    <w:rsid w:val="00CF4074"/>
    <w:rsid w:val="00CF66FE"/>
    <w:rsid w:val="00CF7C32"/>
    <w:rsid w:val="00D004B1"/>
    <w:rsid w:val="00D05BF8"/>
    <w:rsid w:val="00D12A68"/>
    <w:rsid w:val="00D14093"/>
    <w:rsid w:val="00D14E4B"/>
    <w:rsid w:val="00D16ECD"/>
    <w:rsid w:val="00D16EFF"/>
    <w:rsid w:val="00D23627"/>
    <w:rsid w:val="00D25966"/>
    <w:rsid w:val="00D264BD"/>
    <w:rsid w:val="00D27FA4"/>
    <w:rsid w:val="00D30C96"/>
    <w:rsid w:val="00D3604B"/>
    <w:rsid w:val="00D37004"/>
    <w:rsid w:val="00D3753C"/>
    <w:rsid w:val="00D37A64"/>
    <w:rsid w:val="00D37B17"/>
    <w:rsid w:val="00D4120A"/>
    <w:rsid w:val="00D450DD"/>
    <w:rsid w:val="00D455C5"/>
    <w:rsid w:val="00D47CE2"/>
    <w:rsid w:val="00D50092"/>
    <w:rsid w:val="00D52369"/>
    <w:rsid w:val="00D527D0"/>
    <w:rsid w:val="00D556F0"/>
    <w:rsid w:val="00D62B8A"/>
    <w:rsid w:val="00D63428"/>
    <w:rsid w:val="00D63ECA"/>
    <w:rsid w:val="00D73BA8"/>
    <w:rsid w:val="00D74820"/>
    <w:rsid w:val="00D748FD"/>
    <w:rsid w:val="00D75062"/>
    <w:rsid w:val="00D83D34"/>
    <w:rsid w:val="00D844B5"/>
    <w:rsid w:val="00D852D7"/>
    <w:rsid w:val="00D91621"/>
    <w:rsid w:val="00D93D4F"/>
    <w:rsid w:val="00D965F2"/>
    <w:rsid w:val="00DA50CD"/>
    <w:rsid w:val="00DA618E"/>
    <w:rsid w:val="00DA6730"/>
    <w:rsid w:val="00DA7F83"/>
    <w:rsid w:val="00DB08C6"/>
    <w:rsid w:val="00DB1D33"/>
    <w:rsid w:val="00DB4E83"/>
    <w:rsid w:val="00DB66A3"/>
    <w:rsid w:val="00DB66C5"/>
    <w:rsid w:val="00DC01A3"/>
    <w:rsid w:val="00DC0457"/>
    <w:rsid w:val="00DC0C10"/>
    <w:rsid w:val="00DC2E7C"/>
    <w:rsid w:val="00DC3008"/>
    <w:rsid w:val="00DC3862"/>
    <w:rsid w:val="00DD04E2"/>
    <w:rsid w:val="00DD1509"/>
    <w:rsid w:val="00DD3434"/>
    <w:rsid w:val="00DD46DA"/>
    <w:rsid w:val="00DD6A52"/>
    <w:rsid w:val="00DE05F1"/>
    <w:rsid w:val="00DE1EA8"/>
    <w:rsid w:val="00DE3884"/>
    <w:rsid w:val="00DE6900"/>
    <w:rsid w:val="00DE741B"/>
    <w:rsid w:val="00DF290C"/>
    <w:rsid w:val="00DF29BF"/>
    <w:rsid w:val="00DF3014"/>
    <w:rsid w:val="00DF303D"/>
    <w:rsid w:val="00DF34B4"/>
    <w:rsid w:val="00DF4AFA"/>
    <w:rsid w:val="00DF54A9"/>
    <w:rsid w:val="00DF7E7F"/>
    <w:rsid w:val="00E00B57"/>
    <w:rsid w:val="00E018B4"/>
    <w:rsid w:val="00E03A03"/>
    <w:rsid w:val="00E05E09"/>
    <w:rsid w:val="00E0760E"/>
    <w:rsid w:val="00E07EB0"/>
    <w:rsid w:val="00E10B06"/>
    <w:rsid w:val="00E114AB"/>
    <w:rsid w:val="00E12378"/>
    <w:rsid w:val="00E12DFE"/>
    <w:rsid w:val="00E1445A"/>
    <w:rsid w:val="00E1467D"/>
    <w:rsid w:val="00E15A13"/>
    <w:rsid w:val="00E16887"/>
    <w:rsid w:val="00E20ABE"/>
    <w:rsid w:val="00E219F5"/>
    <w:rsid w:val="00E21D5C"/>
    <w:rsid w:val="00E24E60"/>
    <w:rsid w:val="00E265B3"/>
    <w:rsid w:val="00E337A2"/>
    <w:rsid w:val="00E33AAA"/>
    <w:rsid w:val="00E35EE6"/>
    <w:rsid w:val="00E3669B"/>
    <w:rsid w:val="00E36D2A"/>
    <w:rsid w:val="00E36FCD"/>
    <w:rsid w:val="00E37E3C"/>
    <w:rsid w:val="00E401D0"/>
    <w:rsid w:val="00E52B33"/>
    <w:rsid w:val="00E53C74"/>
    <w:rsid w:val="00E5585D"/>
    <w:rsid w:val="00E57D94"/>
    <w:rsid w:val="00E61000"/>
    <w:rsid w:val="00E6241F"/>
    <w:rsid w:val="00E633A3"/>
    <w:rsid w:val="00E63979"/>
    <w:rsid w:val="00E643EF"/>
    <w:rsid w:val="00E724A8"/>
    <w:rsid w:val="00E72F57"/>
    <w:rsid w:val="00E745A7"/>
    <w:rsid w:val="00E76DCD"/>
    <w:rsid w:val="00E85FFA"/>
    <w:rsid w:val="00E86EA6"/>
    <w:rsid w:val="00E875C6"/>
    <w:rsid w:val="00E87773"/>
    <w:rsid w:val="00E939F4"/>
    <w:rsid w:val="00E94C38"/>
    <w:rsid w:val="00EA11BE"/>
    <w:rsid w:val="00EA3305"/>
    <w:rsid w:val="00EA5D25"/>
    <w:rsid w:val="00EA61B8"/>
    <w:rsid w:val="00EA6F94"/>
    <w:rsid w:val="00EA70A2"/>
    <w:rsid w:val="00EB1281"/>
    <w:rsid w:val="00EB2BCB"/>
    <w:rsid w:val="00EB327F"/>
    <w:rsid w:val="00EB72B4"/>
    <w:rsid w:val="00EC10B0"/>
    <w:rsid w:val="00EC26AA"/>
    <w:rsid w:val="00EC4938"/>
    <w:rsid w:val="00EC5D68"/>
    <w:rsid w:val="00EC6218"/>
    <w:rsid w:val="00EC6FC2"/>
    <w:rsid w:val="00EC74D2"/>
    <w:rsid w:val="00ED37D8"/>
    <w:rsid w:val="00ED5984"/>
    <w:rsid w:val="00ED76A7"/>
    <w:rsid w:val="00ED7ADE"/>
    <w:rsid w:val="00EE1A88"/>
    <w:rsid w:val="00EE5CFA"/>
    <w:rsid w:val="00EE6788"/>
    <w:rsid w:val="00EE6B40"/>
    <w:rsid w:val="00EE6D79"/>
    <w:rsid w:val="00EE741C"/>
    <w:rsid w:val="00EF197F"/>
    <w:rsid w:val="00EF3D67"/>
    <w:rsid w:val="00EF64B3"/>
    <w:rsid w:val="00F015B4"/>
    <w:rsid w:val="00F04BF7"/>
    <w:rsid w:val="00F1006B"/>
    <w:rsid w:val="00F1013A"/>
    <w:rsid w:val="00F11A78"/>
    <w:rsid w:val="00F14052"/>
    <w:rsid w:val="00F14537"/>
    <w:rsid w:val="00F15FDD"/>
    <w:rsid w:val="00F166F5"/>
    <w:rsid w:val="00F17D86"/>
    <w:rsid w:val="00F2056C"/>
    <w:rsid w:val="00F21921"/>
    <w:rsid w:val="00F22590"/>
    <w:rsid w:val="00F2302F"/>
    <w:rsid w:val="00F25DC2"/>
    <w:rsid w:val="00F30630"/>
    <w:rsid w:val="00F312E3"/>
    <w:rsid w:val="00F32D5A"/>
    <w:rsid w:val="00F3428C"/>
    <w:rsid w:val="00F4265B"/>
    <w:rsid w:val="00F435E4"/>
    <w:rsid w:val="00F46870"/>
    <w:rsid w:val="00F540B7"/>
    <w:rsid w:val="00F556F8"/>
    <w:rsid w:val="00F55C09"/>
    <w:rsid w:val="00F5702B"/>
    <w:rsid w:val="00F57C02"/>
    <w:rsid w:val="00F57D84"/>
    <w:rsid w:val="00F60402"/>
    <w:rsid w:val="00F62376"/>
    <w:rsid w:val="00F63FD4"/>
    <w:rsid w:val="00F64302"/>
    <w:rsid w:val="00F67201"/>
    <w:rsid w:val="00F6758E"/>
    <w:rsid w:val="00F67BCC"/>
    <w:rsid w:val="00F7160E"/>
    <w:rsid w:val="00F71A6F"/>
    <w:rsid w:val="00F71C29"/>
    <w:rsid w:val="00F72D21"/>
    <w:rsid w:val="00F7519C"/>
    <w:rsid w:val="00F75405"/>
    <w:rsid w:val="00F75C50"/>
    <w:rsid w:val="00F75E1A"/>
    <w:rsid w:val="00F81042"/>
    <w:rsid w:val="00F8147F"/>
    <w:rsid w:val="00F81775"/>
    <w:rsid w:val="00F82050"/>
    <w:rsid w:val="00F829C9"/>
    <w:rsid w:val="00F83AE5"/>
    <w:rsid w:val="00F84BC4"/>
    <w:rsid w:val="00F86507"/>
    <w:rsid w:val="00F87219"/>
    <w:rsid w:val="00F91595"/>
    <w:rsid w:val="00F91EDE"/>
    <w:rsid w:val="00F92BAF"/>
    <w:rsid w:val="00FA0500"/>
    <w:rsid w:val="00FA1059"/>
    <w:rsid w:val="00FA1C6D"/>
    <w:rsid w:val="00FA39C6"/>
    <w:rsid w:val="00FB077A"/>
    <w:rsid w:val="00FB345D"/>
    <w:rsid w:val="00FB4313"/>
    <w:rsid w:val="00FC0197"/>
    <w:rsid w:val="00FC46AB"/>
    <w:rsid w:val="00FC69CB"/>
    <w:rsid w:val="00FD6776"/>
    <w:rsid w:val="00FE01BB"/>
    <w:rsid w:val="00FE0970"/>
    <w:rsid w:val="00FE1E39"/>
    <w:rsid w:val="00FE207F"/>
    <w:rsid w:val="00FE432D"/>
    <w:rsid w:val="00FE47F2"/>
    <w:rsid w:val="00FE769E"/>
    <w:rsid w:val="00FF0CE1"/>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11F4E"/>
  <w15:chartTrackingRefBased/>
  <w15:docId w15:val="{6734F497-952E-416C-9393-9E000DE7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paragraph" w:styleId="HTMLPreformatted">
    <w:name w:val="HTML Preformatted"/>
    <w:basedOn w:val="Normal"/>
    <w:link w:val="HTMLPreformattedChar"/>
    <w:uiPriority w:val="99"/>
    <w:unhideWhenUsed/>
    <w:rsid w:val="00D63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D63428"/>
    <w:rPr>
      <w:rFonts w:ascii="Courier New" w:hAnsi="Courier New" w:cs="Courier New"/>
    </w:rPr>
  </w:style>
  <w:style w:type="character" w:customStyle="1" w:styleId="FootnoteTextChar">
    <w:name w:val="Footnote Text Char"/>
    <w:link w:val="FootnoteText"/>
    <w:uiPriority w:val="99"/>
    <w:semiHidden/>
    <w:rsid w:val="00BA2F9D"/>
  </w:style>
  <w:style w:type="character" w:customStyle="1" w:styleId="BodyTextChar">
    <w:name w:val="Body Text Char"/>
    <w:link w:val="BodyText"/>
    <w:rsid w:val="003838A9"/>
    <w:rPr>
      <w:sz w:val="24"/>
    </w:rPr>
  </w:style>
  <w:style w:type="character" w:customStyle="1" w:styleId="HeaderChar">
    <w:name w:val="Header Char"/>
    <w:basedOn w:val="DefaultParagraphFont"/>
    <w:link w:val="Header"/>
    <w:uiPriority w:val="99"/>
    <w:rsid w:val="006B268A"/>
  </w:style>
  <w:style w:type="paragraph" w:styleId="Revision">
    <w:name w:val="Revision"/>
    <w:hidden/>
    <w:uiPriority w:val="99"/>
    <w:semiHidden/>
    <w:rsid w:val="006F6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4633">
      <w:bodyDiv w:val="1"/>
      <w:marLeft w:val="0"/>
      <w:marRight w:val="0"/>
      <w:marTop w:val="0"/>
      <w:marBottom w:val="0"/>
      <w:divBdr>
        <w:top w:val="none" w:sz="0" w:space="0" w:color="auto"/>
        <w:left w:val="none" w:sz="0" w:space="0" w:color="auto"/>
        <w:bottom w:val="none" w:sz="0" w:space="0" w:color="auto"/>
        <w:right w:val="none" w:sz="0" w:space="0" w:color="auto"/>
      </w:divBdr>
      <w:divsChild>
        <w:div w:id="1268391681">
          <w:marLeft w:val="0"/>
          <w:marRight w:val="0"/>
          <w:marTop w:val="0"/>
          <w:marBottom w:val="0"/>
          <w:divBdr>
            <w:top w:val="none" w:sz="0" w:space="0" w:color="auto"/>
            <w:left w:val="none" w:sz="0" w:space="0" w:color="auto"/>
            <w:bottom w:val="none" w:sz="0" w:space="0" w:color="auto"/>
            <w:right w:val="none" w:sz="0" w:space="0" w:color="auto"/>
          </w:divBdr>
          <w:divsChild>
            <w:div w:id="1052997352">
              <w:marLeft w:val="0"/>
              <w:marRight w:val="0"/>
              <w:marTop w:val="0"/>
              <w:marBottom w:val="0"/>
              <w:divBdr>
                <w:top w:val="none" w:sz="0" w:space="0" w:color="auto"/>
                <w:left w:val="none" w:sz="0" w:space="0" w:color="auto"/>
                <w:bottom w:val="none" w:sz="0" w:space="0" w:color="auto"/>
                <w:right w:val="none" w:sz="0" w:space="0" w:color="auto"/>
              </w:divBdr>
              <w:divsChild>
                <w:div w:id="971251923">
                  <w:marLeft w:val="0"/>
                  <w:marRight w:val="0"/>
                  <w:marTop w:val="0"/>
                  <w:marBottom w:val="0"/>
                  <w:divBdr>
                    <w:top w:val="none" w:sz="0" w:space="0" w:color="auto"/>
                    <w:left w:val="none" w:sz="0" w:space="0" w:color="auto"/>
                    <w:bottom w:val="none" w:sz="0" w:space="0" w:color="auto"/>
                    <w:right w:val="none" w:sz="0" w:space="0" w:color="auto"/>
                  </w:divBdr>
                  <w:divsChild>
                    <w:div w:id="675234505">
                      <w:marLeft w:val="0"/>
                      <w:marRight w:val="0"/>
                      <w:marTop w:val="0"/>
                      <w:marBottom w:val="0"/>
                      <w:divBdr>
                        <w:top w:val="none" w:sz="0" w:space="0" w:color="auto"/>
                        <w:left w:val="none" w:sz="0" w:space="0" w:color="auto"/>
                        <w:bottom w:val="none" w:sz="0" w:space="0" w:color="auto"/>
                        <w:right w:val="none" w:sz="0" w:space="0" w:color="auto"/>
                      </w:divBdr>
                      <w:divsChild>
                        <w:div w:id="438989619">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3175">
      <w:bodyDiv w:val="1"/>
      <w:marLeft w:val="0"/>
      <w:marRight w:val="0"/>
      <w:marTop w:val="0"/>
      <w:marBottom w:val="0"/>
      <w:divBdr>
        <w:top w:val="none" w:sz="0" w:space="0" w:color="auto"/>
        <w:left w:val="none" w:sz="0" w:space="0" w:color="auto"/>
        <w:bottom w:val="none" w:sz="0" w:space="0" w:color="auto"/>
        <w:right w:val="none" w:sz="0" w:space="0" w:color="auto"/>
      </w:divBdr>
    </w:div>
    <w:div w:id="354231460">
      <w:bodyDiv w:val="1"/>
      <w:marLeft w:val="0"/>
      <w:marRight w:val="0"/>
      <w:marTop w:val="0"/>
      <w:marBottom w:val="0"/>
      <w:divBdr>
        <w:top w:val="none" w:sz="0" w:space="0" w:color="auto"/>
        <w:left w:val="none" w:sz="0" w:space="0" w:color="auto"/>
        <w:bottom w:val="none" w:sz="0" w:space="0" w:color="auto"/>
        <w:right w:val="none" w:sz="0" w:space="0" w:color="auto"/>
      </w:divBdr>
      <w:divsChild>
        <w:div w:id="541870309">
          <w:marLeft w:val="0"/>
          <w:marRight w:val="0"/>
          <w:marTop w:val="0"/>
          <w:marBottom w:val="0"/>
          <w:divBdr>
            <w:top w:val="none" w:sz="0" w:space="0" w:color="auto"/>
            <w:left w:val="none" w:sz="0" w:space="0" w:color="auto"/>
            <w:bottom w:val="none" w:sz="0" w:space="0" w:color="auto"/>
            <w:right w:val="none" w:sz="0" w:space="0" w:color="auto"/>
          </w:divBdr>
          <w:divsChild>
            <w:div w:id="1332215855">
              <w:marLeft w:val="0"/>
              <w:marRight w:val="0"/>
              <w:marTop w:val="0"/>
              <w:marBottom w:val="0"/>
              <w:divBdr>
                <w:top w:val="none" w:sz="0" w:space="0" w:color="auto"/>
                <w:left w:val="none" w:sz="0" w:space="0" w:color="auto"/>
                <w:bottom w:val="none" w:sz="0" w:space="0" w:color="auto"/>
                <w:right w:val="none" w:sz="0" w:space="0" w:color="auto"/>
              </w:divBdr>
              <w:divsChild>
                <w:div w:id="1330522340">
                  <w:marLeft w:val="0"/>
                  <w:marRight w:val="0"/>
                  <w:marTop w:val="0"/>
                  <w:marBottom w:val="0"/>
                  <w:divBdr>
                    <w:top w:val="none" w:sz="0" w:space="0" w:color="auto"/>
                    <w:left w:val="none" w:sz="0" w:space="0" w:color="auto"/>
                    <w:bottom w:val="none" w:sz="0" w:space="0" w:color="auto"/>
                    <w:right w:val="none" w:sz="0" w:space="0" w:color="auto"/>
                  </w:divBdr>
                  <w:divsChild>
                    <w:div w:id="841773947">
                      <w:marLeft w:val="0"/>
                      <w:marRight w:val="0"/>
                      <w:marTop w:val="0"/>
                      <w:marBottom w:val="0"/>
                      <w:divBdr>
                        <w:top w:val="none" w:sz="0" w:space="0" w:color="auto"/>
                        <w:left w:val="none" w:sz="0" w:space="0" w:color="auto"/>
                        <w:bottom w:val="none" w:sz="0" w:space="0" w:color="auto"/>
                        <w:right w:val="none" w:sz="0" w:space="0" w:color="auto"/>
                      </w:divBdr>
                      <w:divsChild>
                        <w:div w:id="557207512">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750981">
      <w:bodyDiv w:val="1"/>
      <w:marLeft w:val="0"/>
      <w:marRight w:val="0"/>
      <w:marTop w:val="0"/>
      <w:marBottom w:val="0"/>
      <w:divBdr>
        <w:top w:val="none" w:sz="0" w:space="0" w:color="auto"/>
        <w:left w:val="none" w:sz="0" w:space="0" w:color="auto"/>
        <w:bottom w:val="none" w:sz="0" w:space="0" w:color="auto"/>
        <w:right w:val="none" w:sz="0" w:space="0" w:color="auto"/>
      </w:divBdr>
      <w:divsChild>
        <w:div w:id="1172641294">
          <w:marLeft w:val="0"/>
          <w:marRight w:val="0"/>
          <w:marTop w:val="0"/>
          <w:marBottom w:val="0"/>
          <w:divBdr>
            <w:top w:val="none" w:sz="0" w:space="0" w:color="auto"/>
            <w:left w:val="none" w:sz="0" w:space="0" w:color="auto"/>
            <w:bottom w:val="none" w:sz="0" w:space="0" w:color="auto"/>
            <w:right w:val="none" w:sz="0" w:space="0" w:color="auto"/>
          </w:divBdr>
          <w:divsChild>
            <w:div w:id="935598961">
              <w:marLeft w:val="0"/>
              <w:marRight w:val="0"/>
              <w:marTop w:val="0"/>
              <w:marBottom w:val="0"/>
              <w:divBdr>
                <w:top w:val="none" w:sz="0" w:space="0" w:color="auto"/>
                <w:left w:val="none" w:sz="0" w:space="0" w:color="auto"/>
                <w:bottom w:val="none" w:sz="0" w:space="0" w:color="auto"/>
                <w:right w:val="none" w:sz="0" w:space="0" w:color="auto"/>
              </w:divBdr>
              <w:divsChild>
                <w:div w:id="176967050">
                  <w:marLeft w:val="0"/>
                  <w:marRight w:val="0"/>
                  <w:marTop w:val="0"/>
                  <w:marBottom w:val="0"/>
                  <w:divBdr>
                    <w:top w:val="none" w:sz="0" w:space="0" w:color="auto"/>
                    <w:left w:val="none" w:sz="0" w:space="0" w:color="auto"/>
                    <w:bottom w:val="none" w:sz="0" w:space="0" w:color="auto"/>
                    <w:right w:val="none" w:sz="0" w:space="0" w:color="auto"/>
                  </w:divBdr>
                  <w:divsChild>
                    <w:div w:id="1367179146">
                      <w:marLeft w:val="0"/>
                      <w:marRight w:val="0"/>
                      <w:marTop w:val="0"/>
                      <w:marBottom w:val="0"/>
                      <w:divBdr>
                        <w:top w:val="none" w:sz="0" w:space="0" w:color="auto"/>
                        <w:left w:val="none" w:sz="0" w:space="0" w:color="auto"/>
                        <w:bottom w:val="none" w:sz="0" w:space="0" w:color="auto"/>
                        <w:right w:val="none" w:sz="0" w:space="0" w:color="auto"/>
                      </w:divBdr>
                      <w:divsChild>
                        <w:div w:id="1956669139">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753437">
      <w:bodyDiv w:val="1"/>
      <w:marLeft w:val="0"/>
      <w:marRight w:val="0"/>
      <w:marTop w:val="0"/>
      <w:marBottom w:val="0"/>
      <w:divBdr>
        <w:top w:val="none" w:sz="0" w:space="0" w:color="auto"/>
        <w:left w:val="none" w:sz="0" w:space="0" w:color="auto"/>
        <w:bottom w:val="none" w:sz="0" w:space="0" w:color="auto"/>
        <w:right w:val="none" w:sz="0" w:space="0" w:color="auto"/>
      </w:divBdr>
      <w:divsChild>
        <w:div w:id="130289112">
          <w:marLeft w:val="0"/>
          <w:marRight w:val="0"/>
          <w:marTop w:val="0"/>
          <w:marBottom w:val="0"/>
          <w:divBdr>
            <w:top w:val="none" w:sz="0" w:space="0" w:color="auto"/>
            <w:left w:val="none" w:sz="0" w:space="0" w:color="auto"/>
            <w:bottom w:val="none" w:sz="0" w:space="0" w:color="auto"/>
            <w:right w:val="none" w:sz="0" w:space="0" w:color="auto"/>
          </w:divBdr>
          <w:divsChild>
            <w:div w:id="675113521">
              <w:marLeft w:val="0"/>
              <w:marRight w:val="0"/>
              <w:marTop w:val="0"/>
              <w:marBottom w:val="0"/>
              <w:divBdr>
                <w:top w:val="none" w:sz="0" w:space="0" w:color="auto"/>
                <w:left w:val="none" w:sz="0" w:space="0" w:color="auto"/>
                <w:bottom w:val="none" w:sz="0" w:space="0" w:color="auto"/>
                <w:right w:val="none" w:sz="0" w:space="0" w:color="auto"/>
              </w:divBdr>
              <w:divsChild>
                <w:div w:id="1005128025">
                  <w:marLeft w:val="0"/>
                  <w:marRight w:val="0"/>
                  <w:marTop w:val="0"/>
                  <w:marBottom w:val="0"/>
                  <w:divBdr>
                    <w:top w:val="none" w:sz="0" w:space="0" w:color="auto"/>
                    <w:left w:val="none" w:sz="0" w:space="0" w:color="auto"/>
                    <w:bottom w:val="none" w:sz="0" w:space="0" w:color="auto"/>
                    <w:right w:val="none" w:sz="0" w:space="0" w:color="auto"/>
                  </w:divBdr>
                  <w:divsChild>
                    <w:div w:id="1244797875">
                      <w:marLeft w:val="0"/>
                      <w:marRight w:val="0"/>
                      <w:marTop w:val="0"/>
                      <w:marBottom w:val="0"/>
                      <w:divBdr>
                        <w:top w:val="none" w:sz="0" w:space="0" w:color="auto"/>
                        <w:left w:val="none" w:sz="0" w:space="0" w:color="auto"/>
                        <w:bottom w:val="none" w:sz="0" w:space="0" w:color="auto"/>
                        <w:right w:val="none" w:sz="0" w:space="0" w:color="auto"/>
                      </w:divBdr>
                      <w:divsChild>
                        <w:div w:id="627394620">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204024">
      <w:bodyDiv w:val="1"/>
      <w:marLeft w:val="0"/>
      <w:marRight w:val="0"/>
      <w:marTop w:val="0"/>
      <w:marBottom w:val="0"/>
      <w:divBdr>
        <w:top w:val="none" w:sz="0" w:space="0" w:color="auto"/>
        <w:left w:val="none" w:sz="0" w:space="0" w:color="auto"/>
        <w:bottom w:val="none" w:sz="0" w:space="0" w:color="auto"/>
        <w:right w:val="none" w:sz="0" w:space="0" w:color="auto"/>
      </w:divBdr>
    </w:div>
    <w:div w:id="482235153">
      <w:bodyDiv w:val="1"/>
      <w:marLeft w:val="0"/>
      <w:marRight w:val="0"/>
      <w:marTop w:val="0"/>
      <w:marBottom w:val="0"/>
      <w:divBdr>
        <w:top w:val="none" w:sz="0" w:space="0" w:color="auto"/>
        <w:left w:val="none" w:sz="0" w:space="0" w:color="auto"/>
        <w:bottom w:val="none" w:sz="0" w:space="0" w:color="auto"/>
        <w:right w:val="none" w:sz="0" w:space="0" w:color="auto"/>
      </w:divBdr>
    </w:div>
    <w:div w:id="570578160">
      <w:bodyDiv w:val="1"/>
      <w:marLeft w:val="0"/>
      <w:marRight w:val="0"/>
      <w:marTop w:val="0"/>
      <w:marBottom w:val="0"/>
      <w:divBdr>
        <w:top w:val="none" w:sz="0" w:space="0" w:color="auto"/>
        <w:left w:val="none" w:sz="0" w:space="0" w:color="auto"/>
        <w:bottom w:val="none" w:sz="0" w:space="0" w:color="auto"/>
        <w:right w:val="none" w:sz="0" w:space="0" w:color="auto"/>
      </w:divBdr>
      <w:divsChild>
        <w:div w:id="871723607">
          <w:marLeft w:val="0"/>
          <w:marRight w:val="0"/>
          <w:marTop w:val="0"/>
          <w:marBottom w:val="0"/>
          <w:divBdr>
            <w:top w:val="none" w:sz="0" w:space="0" w:color="auto"/>
            <w:left w:val="none" w:sz="0" w:space="0" w:color="auto"/>
            <w:bottom w:val="none" w:sz="0" w:space="0" w:color="auto"/>
            <w:right w:val="none" w:sz="0" w:space="0" w:color="auto"/>
          </w:divBdr>
          <w:divsChild>
            <w:div w:id="1558198534">
              <w:marLeft w:val="0"/>
              <w:marRight w:val="0"/>
              <w:marTop w:val="0"/>
              <w:marBottom w:val="0"/>
              <w:divBdr>
                <w:top w:val="none" w:sz="0" w:space="0" w:color="auto"/>
                <w:left w:val="none" w:sz="0" w:space="0" w:color="auto"/>
                <w:bottom w:val="none" w:sz="0" w:space="0" w:color="auto"/>
                <w:right w:val="none" w:sz="0" w:space="0" w:color="auto"/>
              </w:divBdr>
              <w:divsChild>
                <w:div w:id="1709182055">
                  <w:marLeft w:val="0"/>
                  <w:marRight w:val="0"/>
                  <w:marTop w:val="0"/>
                  <w:marBottom w:val="0"/>
                  <w:divBdr>
                    <w:top w:val="none" w:sz="0" w:space="0" w:color="auto"/>
                    <w:left w:val="none" w:sz="0" w:space="0" w:color="auto"/>
                    <w:bottom w:val="none" w:sz="0" w:space="0" w:color="auto"/>
                    <w:right w:val="none" w:sz="0" w:space="0" w:color="auto"/>
                  </w:divBdr>
                  <w:divsChild>
                    <w:div w:id="1401468">
                      <w:marLeft w:val="0"/>
                      <w:marRight w:val="0"/>
                      <w:marTop w:val="0"/>
                      <w:marBottom w:val="0"/>
                      <w:divBdr>
                        <w:top w:val="none" w:sz="0" w:space="0" w:color="auto"/>
                        <w:left w:val="none" w:sz="0" w:space="0" w:color="auto"/>
                        <w:bottom w:val="none" w:sz="0" w:space="0" w:color="auto"/>
                        <w:right w:val="none" w:sz="0" w:space="0" w:color="auto"/>
                      </w:divBdr>
                      <w:divsChild>
                        <w:div w:id="1006324361">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170743">
      <w:bodyDiv w:val="1"/>
      <w:marLeft w:val="0"/>
      <w:marRight w:val="0"/>
      <w:marTop w:val="0"/>
      <w:marBottom w:val="0"/>
      <w:divBdr>
        <w:top w:val="none" w:sz="0" w:space="0" w:color="auto"/>
        <w:left w:val="none" w:sz="0" w:space="0" w:color="auto"/>
        <w:bottom w:val="none" w:sz="0" w:space="0" w:color="auto"/>
        <w:right w:val="none" w:sz="0" w:space="0" w:color="auto"/>
      </w:divBdr>
      <w:divsChild>
        <w:div w:id="1163398249">
          <w:marLeft w:val="0"/>
          <w:marRight w:val="0"/>
          <w:marTop w:val="0"/>
          <w:marBottom w:val="0"/>
          <w:divBdr>
            <w:top w:val="none" w:sz="0" w:space="0" w:color="auto"/>
            <w:left w:val="none" w:sz="0" w:space="0" w:color="auto"/>
            <w:bottom w:val="none" w:sz="0" w:space="0" w:color="auto"/>
            <w:right w:val="none" w:sz="0" w:space="0" w:color="auto"/>
          </w:divBdr>
          <w:divsChild>
            <w:div w:id="1153910661">
              <w:marLeft w:val="0"/>
              <w:marRight w:val="0"/>
              <w:marTop w:val="0"/>
              <w:marBottom w:val="0"/>
              <w:divBdr>
                <w:top w:val="none" w:sz="0" w:space="0" w:color="auto"/>
                <w:left w:val="none" w:sz="0" w:space="0" w:color="auto"/>
                <w:bottom w:val="none" w:sz="0" w:space="0" w:color="auto"/>
                <w:right w:val="none" w:sz="0" w:space="0" w:color="auto"/>
              </w:divBdr>
              <w:divsChild>
                <w:div w:id="2080712508">
                  <w:marLeft w:val="0"/>
                  <w:marRight w:val="0"/>
                  <w:marTop w:val="0"/>
                  <w:marBottom w:val="0"/>
                  <w:divBdr>
                    <w:top w:val="none" w:sz="0" w:space="0" w:color="auto"/>
                    <w:left w:val="none" w:sz="0" w:space="0" w:color="auto"/>
                    <w:bottom w:val="none" w:sz="0" w:space="0" w:color="auto"/>
                    <w:right w:val="none" w:sz="0" w:space="0" w:color="auto"/>
                  </w:divBdr>
                  <w:divsChild>
                    <w:div w:id="543831457">
                      <w:marLeft w:val="0"/>
                      <w:marRight w:val="0"/>
                      <w:marTop w:val="0"/>
                      <w:marBottom w:val="0"/>
                      <w:divBdr>
                        <w:top w:val="none" w:sz="0" w:space="0" w:color="auto"/>
                        <w:left w:val="none" w:sz="0" w:space="0" w:color="auto"/>
                        <w:bottom w:val="none" w:sz="0" w:space="0" w:color="auto"/>
                        <w:right w:val="none" w:sz="0" w:space="0" w:color="auto"/>
                      </w:divBdr>
                      <w:divsChild>
                        <w:div w:id="1920482743">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433613">
      <w:bodyDiv w:val="1"/>
      <w:marLeft w:val="0"/>
      <w:marRight w:val="0"/>
      <w:marTop w:val="0"/>
      <w:marBottom w:val="0"/>
      <w:divBdr>
        <w:top w:val="none" w:sz="0" w:space="0" w:color="auto"/>
        <w:left w:val="none" w:sz="0" w:space="0" w:color="auto"/>
        <w:bottom w:val="none" w:sz="0" w:space="0" w:color="auto"/>
        <w:right w:val="none" w:sz="0" w:space="0" w:color="auto"/>
      </w:divBdr>
      <w:divsChild>
        <w:div w:id="638000044">
          <w:marLeft w:val="0"/>
          <w:marRight w:val="0"/>
          <w:marTop w:val="0"/>
          <w:marBottom w:val="0"/>
          <w:divBdr>
            <w:top w:val="none" w:sz="0" w:space="0" w:color="auto"/>
            <w:left w:val="none" w:sz="0" w:space="0" w:color="auto"/>
            <w:bottom w:val="none" w:sz="0" w:space="0" w:color="auto"/>
            <w:right w:val="none" w:sz="0" w:space="0" w:color="auto"/>
          </w:divBdr>
          <w:divsChild>
            <w:div w:id="1779789743">
              <w:marLeft w:val="0"/>
              <w:marRight w:val="0"/>
              <w:marTop w:val="0"/>
              <w:marBottom w:val="0"/>
              <w:divBdr>
                <w:top w:val="none" w:sz="0" w:space="0" w:color="auto"/>
                <w:left w:val="none" w:sz="0" w:space="0" w:color="auto"/>
                <w:bottom w:val="none" w:sz="0" w:space="0" w:color="auto"/>
                <w:right w:val="none" w:sz="0" w:space="0" w:color="auto"/>
              </w:divBdr>
              <w:divsChild>
                <w:div w:id="1309895814">
                  <w:marLeft w:val="0"/>
                  <w:marRight w:val="0"/>
                  <w:marTop w:val="0"/>
                  <w:marBottom w:val="0"/>
                  <w:divBdr>
                    <w:top w:val="none" w:sz="0" w:space="0" w:color="auto"/>
                    <w:left w:val="none" w:sz="0" w:space="0" w:color="auto"/>
                    <w:bottom w:val="none" w:sz="0" w:space="0" w:color="auto"/>
                    <w:right w:val="none" w:sz="0" w:space="0" w:color="auto"/>
                  </w:divBdr>
                  <w:divsChild>
                    <w:div w:id="1526989152">
                      <w:marLeft w:val="0"/>
                      <w:marRight w:val="0"/>
                      <w:marTop w:val="0"/>
                      <w:marBottom w:val="0"/>
                      <w:divBdr>
                        <w:top w:val="none" w:sz="0" w:space="0" w:color="auto"/>
                        <w:left w:val="none" w:sz="0" w:space="0" w:color="auto"/>
                        <w:bottom w:val="none" w:sz="0" w:space="0" w:color="auto"/>
                        <w:right w:val="none" w:sz="0" w:space="0" w:color="auto"/>
                      </w:divBdr>
                      <w:divsChild>
                        <w:div w:id="231280640">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522895">
      <w:bodyDiv w:val="1"/>
      <w:marLeft w:val="0"/>
      <w:marRight w:val="0"/>
      <w:marTop w:val="0"/>
      <w:marBottom w:val="0"/>
      <w:divBdr>
        <w:top w:val="none" w:sz="0" w:space="0" w:color="auto"/>
        <w:left w:val="none" w:sz="0" w:space="0" w:color="auto"/>
        <w:bottom w:val="none" w:sz="0" w:space="0" w:color="auto"/>
        <w:right w:val="none" w:sz="0" w:space="0" w:color="auto"/>
      </w:divBdr>
      <w:divsChild>
        <w:div w:id="604702195">
          <w:marLeft w:val="0"/>
          <w:marRight w:val="0"/>
          <w:marTop w:val="0"/>
          <w:marBottom w:val="0"/>
          <w:divBdr>
            <w:top w:val="none" w:sz="0" w:space="0" w:color="auto"/>
            <w:left w:val="none" w:sz="0" w:space="0" w:color="auto"/>
            <w:bottom w:val="none" w:sz="0" w:space="0" w:color="auto"/>
            <w:right w:val="none" w:sz="0" w:space="0" w:color="auto"/>
          </w:divBdr>
          <w:divsChild>
            <w:div w:id="753092314">
              <w:marLeft w:val="0"/>
              <w:marRight w:val="0"/>
              <w:marTop w:val="0"/>
              <w:marBottom w:val="0"/>
              <w:divBdr>
                <w:top w:val="none" w:sz="0" w:space="0" w:color="auto"/>
                <w:left w:val="none" w:sz="0" w:space="0" w:color="auto"/>
                <w:bottom w:val="none" w:sz="0" w:space="0" w:color="auto"/>
                <w:right w:val="none" w:sz="0" w:space="0" w:color="auto"/>
              </w:divBdr>
              <w:divsChild>
                <w:div w:id="1885676357">
                  <w:marLeft w:val="0"/>
                  <w:marRight w:val="0"/>
                  <w:marTop w:val="0"/>
                  <w:marBottom w:val="0"/>
                  <w:divBdr>
                    <w:top w:val="none" w:sz="0" w:space="0" w:color="auto"/>
                    <w:left w:val="none" w:sz="0" w:space="0" w:color="auto"/>
                    <w:bottom w:val="none" w:sz="0" w:space="0" w:color="auto"/>
                    <w:right w:val="none" w:sz="0" w:space="0" w:color="auto"/>
                  </w:divBdr>
                  <w:divsChild>
                    <w:div w:id="284433466">
                      <w:marLeft w:val="0"/>
                      <w:marRight w:val="0"/>
                      <w:marTop w:val="0"/>
                      <w:marBottom w:val="0"/>
                      <w:divBdr>
                        <w:top w:val="none" w:sz="0" w:space="0" w:color="auto"/>
                        <w:left w:val="none" w:sz="0" w:space="0" w:color="auto"/>
                        <w:bottom w:val="none" w:sz="0" w:space="0" w:color="auto"/>
                        <w:right w:val="none" w:sz="0" w:space="0" w:color="auto"/>
                      </w:divBdr>
                      <w:divsChild>
                        <w:div w:id="114689203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381925">
      <w:bodyDiv w:val="1"/>
      <w:marLeft w:val="0"/>
      <w:marRight w:val="0"/>
      <w:marTop w:val="0"/>
      <w:marBottom w:val="0"/>
      <w:divBdr>
        <w:top w:val="none" w:sz="0" w:space="0" w:color="auto"/>
        <w:left w:val="none" w:sz="0" w:space="0" w:color="auto"/>
        <w:bottom w:val="none" w:sz="0" w:space="0" w:color="auto"/>
        <w:right w:val="none" w:sz="0" w:space="0" w:color="auto"/>
      </w:divBdr>
      <w:divsChild>
        <w:div w:id="520169980">
          <w:marLeft w:val="0"/>
          <w:marRight w:val="0"/>
          <w:marTop w:val="0"/>
          <w:marBottom w:val="0"/>
          <w:divBdr>
            <w:top w:val="none" w:sz="0" w:space="0" w:color="auto"/>
            <w:left w:val="none" w:sz="0" w:space="0" w:color="auto"/>
            <w:bottom w:val="none" w:sz="0" w:space="0" w:color="auto"/>
            <w:right w:val="none" w:sz="0" w:space="0" w:color="auto"/>
          </w:divBdr>
          <w:divsChild>
            <w:div w:id="1858036203">
              <w:marLeft w:val="0"/>
              <w:marRight w:val="0"/>
              <w:marTop w:val="0"/>
              <w:marBottom w:val="0"/>
              <w:divBdr>
                <w:top w:val="none" w:sz="0" w:space="0" w:color="auto"/>
                <w:left w:val="none" w:sz="0" w:space="0" w:color="auto"/>
                <w:bottom w:val="none" w:sz="0" w:space="0" w:color="auto"/>
                <w:right w:val="none" w:sz="0" w:space="0" w:color="auto"/>
              </w:divBdr>
              <w:divsChild>
                <w:div w:id="1431507752">
                  <w:marLeft w:val="0"/>
                  <w:marRight w:val="0"/>
                  <w:marTop w:val="0"/>
                  <w:marBottom w:val="0"/>
                  <w:divBdr>
                    <w:top w:val="none" w:sz="0" w:space="0" w:color="auto"/>
                    <w:left w:val="none" w:sz="0" w:space="0" w:color="auto"/>
                    <w:bottom w:val="none" w:sz="0" w:space="0" w:color="auto"/>
                    <w:right w:val="none" w:sz="0" w:space="0" w:color="auto"/>
                  </w:divBdr>
                  <w:divsChild>
                    <w:div w:id="728529504">
                      <w:marLeft w:val="0"/>
                      <w:marRight w:val="0"/>
                      <w:marTop w:val="0"/>
                      <w:marBottom w:val="0"/>
                      <w:divBdr>
                        <w:top w:val="none" w:sz="0" w:space="0" w:color="auto"/>
                        <w:left w:val="none" w:sz="0" w:space="0" w:color="auto"/>
                        <w:bottom w:val="none" w:sz="0" w:space="0" w:color="auto"/>
                        <w:right w:val="none" w:sz="0" w:space="0" w:color="auto"/>
                      </w:divBdr>
                      <w:divsChild>
                        <w:div w:id="2044397246">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435073">
      <w:bodyDiv w:val="1"/>
      <w:marLeft w:val="0"/>
      <w:marRight w:val="0"/>
      <w:marTop w:val="0"/>
      <w:marBottom w:val="0"/>
      <w:divBdr>
        <w:top w:val="none" w:sz="0" w:space="0" w:color="auto"/>
        <w:left w:val="none" w:sz="0" w:space="0" w:color="auto"/>
        <w:bottom w:val="none" w:sz="0" w:space="0" w:color="auto"/>
        <w:right w:val="none" w:sz="0" w:space="0" w:color="auto"/>
      </w:divBdr>
    </w:div>
    <w:div w:id="977802925">
      <w:bodyDiv w:val="1"/>
      <w:marLeft w:val="0"/>
      <w:marRight w:val="0"/>
      <w:marTop w:val="0"/>
      <w:marBottom w:val="0"/>
      <w:divBdr>
        <w:top w:val="none" w:sz="0" w:space="0" w:color="auto"/>
        <w:left w:val="none" w:sz="0" w:space="0" w:color="auto"/>
        <w:bottom w:val="none" w:sz="0" w:space="0" w:color="auto"/>
        <w:right w:val="none" w:sz="0" w:space="0" w:color="auto"/>
      </w:divBdr>
      <w:divsChild>
        <w:div w:id="1395931872">
          <w:marLeft w:val="0"/>
          <w:marRight w:val="0"/>
          <w:marTop w:val="0"/>
          <w:marBottom w:val="0"/>
          <w:divBdr>
            <w:top w:val="none" w:sz="0" w:space="0" w:color="auto"/>
            <w:left w:val="none" w:sz="0" w:space="0" w:color="auto"/>
            <w:bottom w:val="none" w:sz="0" w:space="0" w:color="auto"/>
            <w:right w:val="none" w:sz="0" w:space="0" w:color="auto"/>
          </w:divBdr>
          <w:divsChild>
            <w:div w:id="360283557">
              <w:marLeft w:val="0"/>
              <w:marRight w:val="0"/>
              <w:marTop w:val="0"/>
              <w:marBottom w:val="0"/>
              <w:divBdr>
                <w:top w:val="none" w:sz="0" w:space="0" w:color="auto"/>
                <w:left w:val="none" w:sz="0" w:space="0" w:color="auto"/>
                <w:bottom w:val="none" w:sz="0" w:space="0" w:color="auto"/>
                <w:right w:val="none" w:sz="0" w:space="0" w:color="auto"/>
              </w:divBdr>
              <w:divsChild>
                <w:div w:id="1654020066">
                  <w:marLeft w:val="0"/>
                  <w:marRight w:val="0"/>
                  <w:marTop w:val="0"/>
                  <w:marBottom w:val="0"/>
                  <w:divBdr>
                    <w:top w:val="none" w:sz="0" w:space="0" w:color="auto"/>
                    <w:left w:val="none" w:sz="0" w:space="0" w:color="auto"/>
                    <w:bottom w:val="none" w:sz="0" w:space="0" w:color="auto"/>
                    <w:right w:val="none" w:sz="0" w:space="0" w:color="auto"/>
                  </w:divBdr>
                  <w:divsChild>
                    <w:div w:id="2121296275">
                      <w:marLeft w:val="0"/>
                      <w:marRight w:val="0"/>
                      <w:marTop w:val="0"/>
                      <w:marBottom w:val="0"/>
                      <w:divBdr>
                        <w:top w:val="none" w:sz="0" w:space="0" w:color="auto"/>
                        <w:left w:val="none" w:sz="0" w:space="0" w:color="auto"/>
                        <w:bottom w:val="none" w:sz="0" w:space="0" w:color="auto"/>
                        <w:right w:val="none" w:sz="0" w:space="0" w:color="auto"/>
                      </w:divBdr>
                      <w:divsChild>
                        <w:div w:id="1034889546">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38520">
      <w:bodyDiv w:val="1"/>
      <w:marLeft w:val="0"/>
      <w:marRight w:val="0"/>
      <w:marTop w:val="0"/>
      <w:marBottom w:val="0"/>
      <w:divBdr>
        <w:top w:val="none" w:sz="0" w:space="0" w:color="auto"/>
        <w:left w:val="none" w:sz="0" w:space="0" w:color="auto"/>
        <w:bottom w:val="none" w:sz="0" w:space="0" w:color="auto"/>
        <w:right w:val="none" w:sz="0" w:space="0" w:color="auto"/>
      </w:divBdr>
      <w:divsChild>
        <w:div w:id="1793864562">
          <w:marLeft w:val="0"/>
          <w:marRight w:val="0"/>
          <w:marTop w:val="0"/>
          <w:marBottom w:val="0"/>
          <w:divBdr>
            <w:top w:val="none" w:sz="0" w:space="0" w:color="auto"/>
            <w:left w:val="none" w:sz="0" w:space="0" w:color="auto"/>
            <w:bottom w:val="none" w:sz="0" w:space="0" w:color="auto"/>
            <w:right w:val="none" w:sz="0" w:space="0" w:color="auto"/>
          </w:divBdr>
          <w:divsChild>
            <w:div w:id="2021155679">
              <w:marLeft w:val="0"/>
              <w:marRight w:val="0"/>
              <w:marTop w:val="0"/>
              <w:marBottom w:val="0"/>
              <w:divBdr>
                <w:top w:val="none" w:sz="0" w:space="0" w:color="auto"/>
                <w:left w:val="none" w:sz="0" w:space="0" w:color="auto"/>
                <w:bottom w:val="none" w:sz="0" w:space="0" w:color="auto"/>
                <w:right w:val="none" w:sz="0" w:space="0" w:color="auto"/>
              </w:divBdr>
              <w:divsChild>
                <w:div w:id="1321277531">
                  <w:marLeft w:val="0"/>
                  <w:marRight w:val="0"/>
                  <w:marTop w:val="0"/>
                  <w:marBottom w:val="0"/>
                  <w:divBdr>
                    <w:top w:val="none" w:sz="0" w:space="0" w:color="auto"/>
                    <w:left w:val="none" w:sz="0" w:space="0" w:color="auto"/>
                    <w:bottom w:val="none" w:sz="0" w:space="0" w:color="auto"/>
                    <w:right w:val="none" w:sz="0" w:space="0" w:color="auto"/>
                  </w:divBdr>
                  <w:divsChild>
                    <w:div w:id="522281723">
                      <w:marLeft w:val="0"/>
                      <w:marRight w:val="0"/>
                      <w:marTop w:val="0"/>
                      <w:marBottom w:val="0"/>
                      <w:divBdr>
                        <w:top w:val="none" w:sz="0" w:space="0" w:color="auto"/>
                        <w:left w:val="none" w:sz="0" w:space="0" w:color="auto"/>
                        <w:bottom w:val="none" w:sz="0" w:space="0" w:color="auto"/>
                        <w:right w:val="none" w:sz="0" w:space="0" w:color="auto"/>
                      </w:divBdr>
                      <w:divsChild>
                        <w:div w:id="1904414258">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21112">
      <w:bodyDiv w:val="1"/>
      <w:marLeft w:val="0"/>
      <w:marRight w:val="0"/>
      <w:marTop w:val="0"/>
      <w:marBottom w:val="0"/>
      <w:divBdr>
        <w:top w:val="none" w:sz="0" w:space="0" w:color="auto"/>
        <w:left w:val="none" w:sz="0" w:space="0" w:color="auto"/>
        <w:bottom w:val="none" w:sz="0" w:space="0" w:color="auto"/>
        <w:right w:val="none" w:sz="0" w:space="0" w:color="auto"/>
      </w:divBdr>
      <w:divsChild>
        <w:div w:id="247008121">
          <w:marLeft w:val="0"/>
          <w:marRight w:val="0"/>
          <w:marTop w:val="0"/>
          <w:marBottom w:val="0"/>
          <w:divBdr>
            <w:top w:val="none" w:sz="0" w:space="0" w:color="auto"/>
            <w:left w:val="none" w:sz="0" w:space="0" w:color="auto"/>
            <w:bottom w:val="none" w:sz="0" w:space="0" w:color="auto"/>
            <w:right w:val="none" w:sz="0" w:space="0" w:color="auto"/>
          </w:divBdr>
          <w:divsChild>
            <w:div w:id="956521252">
              <w:marLeft w:val="0"/>
              <w:marRight w:val="0"/>
              <w:marTop w:val="0"/>
              <w:marBottom w:val="0"/>
              <w:divBdr>
                <w:top w:val="none" w:sz="0" w:space="0" w:color="auto"/>
                <w:left w:val="none" w:sz="0" w:space="0" w:color="auto"/>
                <w:bottom w:val="none" w:sz="0" w:space="0" w:color="auto"/>
                <w:right w:val="none" w:sz="0" w:space="0" w:color="auto"/>
              </w:divBdr>
              <w:divsChild>
                <w:div w:id="48506097">
                  <w:marLeft w:val="0"/>
                  <w:marRight w:val="0"/>
                  <w:marTop w:val="0"/>
                  <w:marBottom w:val="0"/>
                  <w:divBdr>
                    <w:top w:val="none" w:sz="0" w:space="0" w:color="auto"/>
                    <w:left w:val="none" w:sz="0" w:space="0" w:color="auto"/>
                    <w:bottom w:val="none" w:sz="0" w:space="0" w:color="auto"/>
                    <w:right w:val="none" w:sz="0" w:space="0" w:color="auto"/>
                  </w:divBdr>
                  <w:divsChild>
                    <w:div w:id="1603684460">
                      <w:marLeft w:val="0"/>
                      <w:marRight w:val="0"/>
                      <w:marTop w:val="0"/>
                      <w:marBottom w:val="0"/>
                      <w:divBdr>
                        <w:top w:val="none" w:sz="0" w:space="0" w:color="auto"/>
                        <w:left w:val="none" w:sz="0" w:space="0" w:color="auto"/>
                        <w:bottom w:val="none" w:sz="0" w:space="0" w:color="auto"/>
                        <w:right w:val="none" w:sz="0" w:space="0" w:color="auto"/>
                      </w:divBdr>
                      <w:divsChild>
                        <w:div w:id="20134929">
                          <w:marLeft w:val="0"/>
                          <w:marRight w:val="0"/>
                          <w:marTop w:val="0"/>
                          <w:marBottom w:val="0"/>
                          <w:divBdr>
                            <w:top w:val="none" w:sz="0" w:space="0" w:color="auto"/>
                            <w:left w:val="none" w:sz="0" w:space="0" w:color="auto"/>
                            <w:bottom w:val="none" w:sz="0" w:space="0" w:color="auto"/>
                            <w:right w:val="none" w:sz="0" w:space="0" w:color="auto"/>
                          </w:divBdr>
                          <w:divsChild>
                            <w:div w:id="1315987793">
                              <w:marLeft w:val="0"/>
                              <w:marRight w:val="0"/>
                              <w:marTop w:val="0"/>
                              <w:marBottom w:val="0"/>
                              <w:divBdr>
                                <w:top w:val="none" w:sz="0" w:space="0" w:color="auto"/>
                                <w:left w:val="none" w:sz="0" w:space="0" w:color="auto"/>
                                <w:bottom w:val="none" w:sz="0" w:space="0" w:color="auto"/>
                                <w:right w:val="none" w:sz="0" w:space="0" w:color="auto"/>
                              </w:divBdr>
                              <w:divsChild>
                                <w:div w:id="75248919">
                                  <w:marLeft w:val="0"/>
                                  <w:marRight w:val="0"/>
                                  <w:marTop w:val="0"/>
                                  <w:marBottom w:val="0"/>
                                  <w:divBdr>
                                    <w:top w:val="none" w:sz="0" w:space="0" w:color="auto"/>
                                    <w:left w:val="none" w:sz="0" w:space="0" w:color="auto"/>
                                    <w:bottom w:val="none" w:sz="0" w:space="0" w:color="auto"/>
                                    <w:right w:val="none" w:sz="0" w:space="0" w:color="auto"/>
                                  </w:divBdr>
                                  <w:divsChild>
                                    <w:div w:id="1620339706">
                                      <w:marLeft w:val="0"/>
                                      <w:marRight w:val="0"/>
                                      <w:marTop w:val="0"/>
                                      <w:marBottom w:val="0"/>
                                      <w:divBdr>
                                        <w:top w:val="none" w:sz="0" w:space="0" w:color="auto"/>
                                        <w:left w:val="none" w:sz="0" w:space="0" w:color="auto"/>
                                        <w:bottom w:val="none" w:sz="0" w:space="0" w:color="auto"/>
                                        <w:right w:val="none" w:sz="0" w:space="0" w:color="auto"/>
                                      </w:divBdr>
                                      <w:divsChild>
                                        <w:div w:id="1398624945">
                                          <w:marLeft w:val="0"/>
                                          <w:marRight w:val="0"/>
                                          <w:marTop w:val="0"/>
                                          <w:marBottom w:val="0"/>
                                          <w:divBdr>
                                            <w:top w:val="none" w:sz="0" w:space="0" w:color="auto"/>
                                            <w:left w:val="none" w:sz="0" w:space="0" w:color="auto"/>
                                            <w:bottom w:val="none" w:sz="0" w:space="0" w:color="auto"/>
                                            <w:right w:val="none" w:sz="0" w:space="0" w:color="auto"/>
                                          </w:divBdr>
                                          <w:divsChild>
                                            <w:div w:id="54475383">
                                              <w:marLeft w:val="0"/>
                                              <w:marRight w:val="0"/>
                                              <w:marTop w:val="0"/>
                                              <w:marBottom w:val="0"/>
                                              <w:divBdr>
                                                <w:top w:val="none" w:sz="0" w:space="0" w:color="auto"/>
                                                <w:left w:val="none" w:sz="0" w:space="0" w:color="auto"/>
                                                <w:bottom w:val="none" w:sz="0" w:space="0" w:color="auto"/>
                                                <w:right w:val="none" w:sz="0" w:space="0" w:color="auto"/>
                                              </w:divBdr>
                                            </w:div>
                                            <w:div w:id="65694005">
                                              <w:marLeft w:val="0"/>
                                              <w:marRight w:val="0"/>
                                              <w:marTop w:val="0"/>
                                              <w:marBottom w:val="0"/>
                                              <w:divBdr>
                                                <w:top w:val="none" w:sz="0" w:space="0" w:color="auto"/>
                                                <w:left w:val="none" w:sz="0" w:space="0" w:color="auto"/>
                                                <w:bottom w:val="none" w:sz="0" w:space="0" w:color="auto"/>
                                                <w:right w:val="none" w:sz="0" w:space="0" w:color="auto"/>
                                              </w:divBdr>
                                            </w:div>
                                            <w:div w:id="671685722">
                                              <w:marLeft w:val="0"/>
                                              <w:marRight w:val="0"/>
                                              <w:marTop w:val="0"/>
                                              <w:marBottom w:val="0"/>
                                              <w:divBdr>
                                                <w:top w:val="none" w:sz="0" w:space="0" w:color="auto"/>
                                                <w:left w:val="none" w:sz="0" w:space="0" w:color="auto"/>
                                                <w:bottom w:val="none" w:sz="0" w:space="0" w:color="auto"/>
                                                <w:right w:val="none" w:sz="0" w:space="0" w:color="auto"/>
                                              </w:divBdr>
                                            </w:div>
                                            <w:div w:id="1143157943">
                                              <w:marLeft w:val="0"/>
                                              <w:marRight w:val="0"/>
                                              <w:marTop w:val="0"/>
                                              <w:marBottom w:val="0"/>
                                              <w:divBdr>
                                                <w:top w:val="none" w:sz="0" w:space="0" w:color="auto"/>
                                                <w:left w:val="none" w:sz="0" w:space="0" w:color="auto"/>
                                                <w:bottom w:val="none" w:sz="0" w:space="0" w:color="auto"/>
                                                <w:right w:val="none" w:sz="0" w:space="0" w:color="auto"/>
                                              </w:divBdr>
                                            </w:div>
                                            <w:div w:id="1239172030">
                                              <w:marLeft w:val="0"/>
                                              <w:marRight w:val="0"/>
                                              <w:marTop w:val="0"/>
                                              <w:marBottom w:val="0"/>
                                              <w:divBdr>
                                                <w:top w:val="none" w:sz="0" w:space="0" w:color="auto"/>
                                                <w:left w:val="none" w:sz="0" w:space="0" w:color="auto"/>
                                                <w:bottom w:val="none" w:sz="0" w:space="0" w:color="auto"/>
                                                <w:right w:val="none" w:sz="0" w:space="0" w:color="auto"/>
                                              </w:divBdr>
                                            </w:div>
                                            <w:div w:id="1322923931">
                                              <w:marLeft w:val="0"/>
                                              <w:marRight w:val="0"/>
                                              <w:marTop w:val="0"/>
                                              <w:marBottom w:val="0"/>
                                              <w:divBdr>
                                                <w:top w:val="none" w:sz="0" w:space="0" w:color="auto"/>
                                                <w:left w:val="none" w:sz="0" w:space="0" w:color="auto"/>
                                                <w:bottom w:val="none" w:sz="0" w:space="0" w:color="auto"/>
                                                <w:right w:val="none" w:sz="0" w:space="0" w:color="auto"/>
                                              </w:divBdr>
                                            </w:div>
                                            <w:div w:id="1779061402">
                                              <w:marLeft w:val="0"/>
                                              <w:marRight w:val="0"/>
                                              <w:marTop w:val="0"/>
                                              <w:marBottom w:val="0"/>
                                              <w:divBdr>
                                                <w:top w:val="none" w:sz="0" w:space="0" w:color="auto"/>
                                                <w:left w:val="none" w:sz="0" w:space="0" w:color="auto"/>
                                                <w:bottom w:val="none" w:sz="0" w:space="0" w:color="auto"/>
                                                <w:right w:val="none" w:sz="0" w:space="0" w:color="auto"/>
                                              </w:divBdr>
                                            </w:div>
                                            <w:div w:id="18516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716378">
      <w:bodyDiv w:val="1"/>
      <w:marLeft w:val="0"/>
      <w:marRight w:val="0"/>
      <w:marTop w:val="0"/>
      <w:marBottom w:val="0"/>
      <w:divBdr>
        <w:top w:val="none" w:sz="0" w:space="0" w:color="auto"/>
        <w:left w:val="none" w:sz="0" w:space="0" w:color="auto"/>
        <w:bottom w:val="none" w:sz="0" w:space="0" w:color="auto"/>
        <w:right w:val="none" w:sz="0" w:space="0" w:color="auto"/>
      </w:divBdr>
      <w:divsChild>
        <w:div w:id="374891382">
          <w:marLeft w:val="0"/>
          <w:marRight w:val="0"/>
          <w:marTop w:val="0"/>
          <w:marBottom w:val="0"/>
          <w:divBdr>
            <w:top w:val="none" w:sz="0" w:space="0" w:color="auto"/>
            <w:left w:val="none" w:sz="0" w:space="0" w:color="auto"/>
            <w:bottom w:val="none" w:sz="0" w:space="0" w:color="auto"/>
            <w:right w:val="none" w:sz="0" w:space="0" w:color="auto"/>
          </w:divBdr>
          <w:divsChild>
            <w:div w:id="1200774988">
              <w:marLeft w:val="0"/>
              <w:marRight w:val="0"/>
              <w:marTop w:val="0"/>
              <w:marBottom w:val="0"/>
              <w:divBdr>
                <w:top w:val="none" w:sz="0" w:space="0" w:color="auto"/>
                <w:left w:val="none" w:sz="0" w:space="0" w:color="auto"/>
                <w:bottom w:val="none" w:sz="0" w:space="0" w:color="auto"/>
                <w:right w:val="none" w:sz="0" w:space="0" w:color="auto"/>
              </w:divBdr>
              <w:divsChild>
                <w:div w:id="2022076265">
                  <w:marLeft w:val="0"/>
                  <w:marRight w:val="0"/>
                  <w:marTop w:val="0"/>
                  <w:marBottom w:val="0"/>
                  <w:divBdr>
                    <w:top w:val="none" w:sz="0" w:space="0" w:color="auto"/>
                    <w:left w:val="none" w:sz="0" w:space="0" w:color="auto"/>
                    <w:bottom w:val="none" w:sz="0" w:space="0" w:color="auto"/>
                    <w:right w:val="none" w:sz="0" w:space="0" w:color="auto"/>
                  </w:divBdr>
                  <w:divsChild>
                    <w:div w:id="1150950081">
                      <w:marLeft w:val="0"/>
                      <w:marRight w:val="0"/>
                      <w:marTop w:val="0"/>
                      <w:marBottom w:val="0"/>
                      <w:divBdr>
                        <w:top w:val="none" w:sz="0" w:space="0" w:color="auto"/>
                        <w:left w:val="none" w:sz="0" w:space="0" w:color="auto"/>
                        <w:bottom w:val="none" w:sz="0" w:space="0" w:color="auto"/>
                        <w:right w:val="none" w:sz="0" w:space="0" w:color="auto"/>
                      </w:divBdr>
                      <w:divsChild>
                        <w:div w:id="766850854">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602509">
      <w:bodyDiv w:val="1"/>
      <w:marLeft w:val="0"/>
      <w:marRight w:val="0"/>
      <w:marTop w:val="0"/>
      <w:marBottom w:val="0"/>
      <w:divBdr>
        <w:top w:val="none" w:sz="0" w:space="0" w:color="auto"/>
        <w:left w:val="none" w:sz="0" w:space="0" w:color="auto"/>
        <w:bottom w:val="none" w:sz="0" w:space="0" w:color="auto"/>
        <w:right w:val="none" w:sz="0" w:space="0" w:color="auto"/>
      </w:divBdr>
    </w:div>
    <w:div w:id="1538273246">
      <w:bodyDiv w:val="1"/>
      <w:marLeft w:val="0"/>
      <w:marRight w:val="0"/>
      <w:marTop w:val="0"/>
      <w:marBottom w:val="0"/>
      <w:divBdr>
        <w:top w:val="none" w:sz="0" w:space="0" w:color="auto"/>
        <w:left w:val="none" w:sz="0" w:space="0" w:color="auto"/>
        <w:bottom w:val="none" w:sz="0" w:space="0" w:color="auto"/>
        <w:right w:val="none" w:sz="0" w:space="0" w:color="auto"/>
      </w:divBdr>
      <w:divsChild>
        <w:div w:id="1046182853">
          <w:marLeft w:val="0"/>
          <w:marRight w:val="0"/>
          <w:marTop w:val="0"/>
          <w:marBottom w:val="0"/>
          <w:divBdr>
            <w:top w:val="none" w:sz="0" w:space="0" w:color="auto"/>
            <w:left w:val="none" w:sz="0" w:space="0" w:color="auto"/>
            <w:bottom w:val="none" w:sz="0" w:space="0" w:color="auto"/>
            <w:right w:val="none" w:sz="0" w:space="0" w:color="auto"/>
          </w:divBdr>
          <w:divsChild>
            <w:div w:id="1929730189">
              <w:marLeft w:val="0"/>
              <w:marRight w:val="0"/>
              <w:marTop w:val="0"/>
              <w:marBottom w:val="0"/>
              <w:divBdr>
                <w:top w:val="none" w:sz="0" w:space="0" w:color="auto"/>
                <w:left w:val="none" w:sz="0" w:space="0" w:color="auto"/>
                <w:bottom w:val="none" w:sz="0" w:space="0" w:color="auto"/>
                <w:right w:val="none" w:sz="0" w:space="0" w:color="auto"/>
              </w:divBdr>
              <w:divsChild>
                <w:div w:id="1177304481">
                  <w:marLeft w:val="0"/>
                  <w:marRight w:val="0"/>
                  <w:marTop w:val="0"/>
                  <w:marBottom w:val="0"/>
                  <w:divBdr>
                    <w:top w:val="none" w:sz="0" w:space="0" w:color="auto"/>
                    <w:left w:val="none" w:sz="0" w:space="0" w:color="auto"/>
                    <w:bottom w:val="none" w:sz="0" w:space="0" w:color="auto"/>
                    <w:right w:val="none" w:sz="0" w:space="0" w:color="auto"/>
                  </w:divBdr>
                  <w:divsChild>
                    <w:div w:id="954798423">
                      <w:marLeft w:val="0"/>
                      <w:marRight w:val="0"/>
                      <w:marTop w:val="0"/>
                      <w:marBottom w:val="0"/>
                      <w:divBdr>
                        <w:top w:val="none" w:sz="0" w:space="0" w:color="auto"/>
                        <w:left w:val="none" w:sz="0" w:space="0" w:color="auto"/>
                        <w:bottom w:val="none" w:sz="0" w:space="0" w:color="auto"/>
                        <w:right w:val="none" w:sz="0" w:space="0" w:color="auto"/>
                      </w:divBdr>
                      <w:divsChild>
                        <w:div w:id="1666863158">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175036">
      <w:bodyDiv w:val="1"/>
      <w:marLeft w:val="0"/>
      <w:marRight w:val="0"/>
      <w:marTop w:val="0"/>
      <w:marBottom w:val="0"/>
      <w:divBdr>
        <w:top w:val="none" w:sz="0" w:space="0" w:color="auto"/>
        <w:left w:val="none" w:sz="0" w:space="0" w:color="auto"/>
        <w:bottom w:val="none" w:sz="0" w:space="0" w:color="auto"/>
        <w:right w:val="none" w:sz="0" w:space="0" w:color="auto"/>
      </w:divBdr>
      <w:divsChild>
        <w:div w:id="1721132165">
          <w:marLeft w:val="0"/>
          <w:marRight w:val="0"/>
          <w:marTop w:val="0"/>
          <w:marBottom w:val="0"/>
          <w:divBdr>
            <w:top w:val="none" w:sz="0" w:space="0" w:color="auto"/>
            <w:left w:val="none" w:sz="0" w:space="0" w:color="auto"/>
            <w:bottom w:val="none" w:sz="0" w:space="0" w:color="auto"/>
            <w:right w:val="none" w:sz="0" w:space="0" w:color="auto"/>
          </w:divBdr>
          <w:divsChild>
            <w:div w:id="2120906276">
              <w:marLeft w:val="0"/>
              <w:marRight w:val="0"/>
              <w:marTop w:val="0"/>
              <w:marBottom w:val="0"/>
              <w:divBdr>
                <w:top w:val="none" w:sz="0" w:space="0" w:color="auto"/>
                <w:left w:val="none" w:sz="0" w:space="0" w:color="auto"/>
                <w:bottom w:val="none" w:sz="0" w:space="0" w:color="auto"/>
                <w:right w:val="none" w:sz="0" w:space="0" w:color="auto"/>
              </w:divBdr>
              <w:divsChild>
                <w:div w:id="1719279498">
                  <w:marLeft w:val="0"/>
                  <w:marRight w:val="0"/>
                  <w:marTop w:val="0"/>
                  <w:marBottom w:val="0"/>
                  <w:divBdr>
                    <w:top w:val="none" w:sz="0" w:space="0" w:color="auto"/>
                    <w:left w:val="none" w:sz="0" w:space="0" w:color="auto"/>
                    <w:bottom w:val="none" w:sz="0" w:space="0" w:color="auto"/>
                    <w:right w:val="none" w:sz="0" w:space="0" w:color="auto"/>
                  </w:divBdr>
                  <w:divsChild>
                    <w:div w:id="1928808045">
                      <w:marLeft w:val="0"/>
                      <w:marRight w:val="0"/>
                      <w:marTop w:val="0"/>
                      <w:marBottom w:val="0"/>
                      <w:divBdr>
                        <w:top w:val="none" w:sz="0" w:space="0" w:color="auto"/>
                        <w:left w:val="none" w:sz="0" w:space="0" w:color="auto"/>
                        <w:bottom w:val="none" w:sz="0" w:space="0" w:color="auto"/>
                        <w:right w:val="none" w:sz="0" w:space="0" w:color="auto"/>
                      </w:divBdr>
                      <w:divsChild>
                        <w:div w:id="1873959879">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745960">
      <w:bodyDiv w:val="1"/>
      <w:marLeft w:val="0"/>
      <w:marRight w:val="0"/>
      <w:marTop w:val="0"/>
      <w:marBottom w:val="0"/>
      <w:divBdr>
        <w:top w:val="none" w:sz="0" w:space="0" w:color="auto"/>
        <w:left w:val="none" w:sz="0" w:space="0" w:color="auto"/>
        <w:bottom w:val="none" w:sz="0" w:space="0" w:color="auto"/>
        <w:right w:val="none" w:sz="0" w:space="0" w:color="auto"/>
      </w:divBdr>
    </w:div>
    <w:div w:id="1979651854">
      <w:bodyDiv w:val="1"/>
      <w:marLeft w:val="0"/>
      <w:marRight w:val="0"/>
      <w:marTop w:val="0"/>
      <w:marBottom w:val="0"/>
      <w:divBdr>
        <w:top w:val="none" w:sz="0" w:space="0" w:color="auto"/>
        <w:left w:val="none" w:sz="0" w:space="0" w:color="auto"/>
        <w:bottom w:val="none" w:sz="0" w:space="0" w:color="auto"/>
        <w:right w:val="none" w:sz="0" w:space="0" w:color="auto"/>
      </w:divBdr>
    </w:div>
    <w:div w:id="1990549751">
      <w:bodyDiv w:val="1"/>
      <w:marLeft w:val="0"/>
      <w:marRight w:val="0"/>
      <w:marTop w:val="0"/>
      <w:marBottom w:val="0"/>
      <w:divBdr>
        <w:top w:val="none" w:sz="0" w:space="0" w:color="auto"/>
        <w:left w:val="none" w:sz="0" w:space="0" w:color="auto"/>
        <w:bottom w:val="none" w:sz="0" w:space="0" w:color="auto"/>
        <w:right w:val="none" w:sz="0" w:space="0" w:color="auto"/>
      </w:divBdr>
      <w:divsChild>
        <w:div w:id="1807434036">
          <w:marLeft w:val="0"/>
          <w:marRight w:val="0"/>
          <w:marTop w:val="0"/>
          <w:marBottom w:val="0"/>
          <w:divBdr>
            <w:top w:val="none" w:sz="0" w:space="0" w:color="auto"/>
            <w:left w:val="none" w:sz="0" w:space="0" w:color="auto"/>
            <w:bottom w:val="none" w:sz="0" w:space="0" w:color="auto"/>
            <w:right w:val="none" w:sz="0" w:space="0" w:color="auto"/>
          </w:divBdr>
          <w:divsChild>
            <w:div w:id="780685427">
              <w:marLeft w:val="0"/>
              <w:marRight w:val="0"/>
              <w:marTop w:val="0"/>
              <w:marBottom w:val="0"/>
              <w:divBdr>
                <w:top w:val="none" w:sz="0" w:space="0" w:color="auto"/>
                <w:left w:val="none" w:sz="0" w:space="0" w:color="auto"/>
                <w:bottom w:val="none" w:sz="0" w:space="0" w:color="auto"/>
                <w:right w:val="none" w:sz="0" w:space="0" w:color="auto"/>
              </w:divBdr>
              <w:divsChild>
                <w:div w:id="752118572">
                  <w:marLeft w:val="0"/>
                  <w:marRight w:val="0"/>
                  <w:marTop w:val="0"/>
                  <w:marBottom w:val="0"/>
                  <w:divBdr>
                    <w:top w:val="none" w:sz="0" w:space="0" w:color="auto"/>
                    <w:left w:val="none" w:sz="0" w:space="0" w:color="auto"/>
                    <w:bottom w:val="none" w:sz="0" w:space="0" w:color="auto"/>
                    <w:right w:val="none" w:sz="0" w:space="0" w:color="auto"/>
                  </w:divBdr>
                  <w:divsChild>
                    <w:div w:id="1605263104">
                      <w:marLeft w:val="0"/>
                      <w:marRight w:val="0"/>
                      <w:marTop w:val="0"/>
                      <w:marBottom w:val="0"/>
                      <w:divBdr>
                        <w:top w:val="none" w:sz="0" w:space="0" w:color="auto"/>
                        <w:left w:val="none" w:sz="0" w:space="0" w:color="auto"/>
                        <w:bottom w:val="none" w:sz="0" w:space="0" w:color="auto"/>
                        <w:right w:val="none" w:sz="0" w:space="0" w:color="auto"/>
                      </w:divBdr>
                      <w:divsChild>
                        <w:div w:id="1121999130">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79025">
      <w:bodyDiv w:val="1"/>
      <w:marLeft w:val="0"/>
      <w:marRight w:val="0"/>
      <w:marTop w:val="0"/>
      <w:marBottom w:val="0"/>
      <w:divBdr>
        <w:top w:val="none" w:sz="0" w:space="0" w:color="auto"/>
        <w:left w:val="none" w:sz="0" w:space="0" w:color="auto"/>
        <w:bottom w:val="none" w:sz="0" w:space="0" w:color="auto"/>
        <w:right w:val="none" w:sz="0" w:space="0" w:color="auto"/>
      </w:divBdr>
      <w:divsChild>
        <w:div w:id="543442645">
          <w:marLeft w:val="0"/>
          <w:marRight w:val="0"/>
          <w:marTop w:val="0"/>
          <w:marBottom w:val="0"/>
          <w:divBdr>
            <w:top w:val="none" w:sz="0" w:space="0" w:color="auto"/>
            <w:left w:val="none" w:sz="0" w:space="0" w:color="auto"/>
            <w:bottom w:val="none" w:sz="0" w:space="0" w:color="auto"/>
            <w:right w:val="none" w:sz="0" w:space="0" w:color="auto"/>
          </w:divBdr>
          <w:divsChild>
            <w:div w:id="1817869218">
              <w:marLeft w:val="0"/>
              <w:marRight w:val="0"/>
              <w:marTop w:val="0"/>
              <w:marBottom w:val="0"/>
              <w:divBdr>
                <w:top w:val="none" w:sz="0" w:space="0" w:color="auto"/>
                <w:left w:val="none" w:sz="0" w:space="0" w:color="auto"/>
                <w:bottom w:val="none" w:sz="0" w:space="0" w:color="auto"/>
                <w:right w:val="none" w:sz="0" w:space="0" w:color="auto"/>
              </w:divBdr>
              <w:divsChild>
                <w:div w:id="544827445">
                  <w:marLeft w:val="0"/>
                  <w:marRight w:val="0"/>
                  <w:marTop w:val="0"/>
                  <w:marBottom w:val="0"/>
                  <w:divBdr>
                    <w:top w:val="none" w:sz="0" w:space="0" w:color="auto"/>
                    <w:left w:val="none" w:sz="0" w:space="0" w:color="auto"/>
                    <w:bottom w:val="none" w:sz="0" w:space="0" w:color="auto"/>
                    <w:right w:val="none" w:sz="0" w:space="0" w:color="auto"/>
                  </w:divBdr>
                  <w:divsChild>
                    <w:div w:id="10953301">
                      <w:marLeft w:val="0"/>
                      <w:marRight w:val="0"/>
                      <w:marTop w:val="0"/>
                      <w:marBottom w:val="0"/>
                      <w:divBdr>
                        <w:top w:val="none" w:sz="0" w:space="0" w:color="auto"/>
                        <w:left w:val="none" w:sz="0" w:space="0" w:color="auto"/>
                        <w:bottom w:val="none" w:sz="0" w:space="0" w:color="auto"/>
                        <w:right w:val="none" w:sz="0" w:space="0" w:color="auto"/>
                      </w:divBdr>
                      <w:divsChild>
                        <w:div w:id="1792744947">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67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D93C8-893F-4D53-9AC8-A2FA2D5C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5942</Words>
  <Characters>33873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39736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3</cp:revision>
  <cp:lastPrinted>2015-06-25T12:10:00Z</cp:lastPrinted>
  <dcterms:created xsi:type="dcterms:W3CDTF">2024-07-03T13:12:00Z</dcterms:created>
  <dcterms:modified xsi:type="dcterms:W3CDTF">2024-07-03T13:17:00Z</dcterms:modified>
</cp:coreProperties>
</file>