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DD9A8" w14:textId="1700F027" w:rsidR="005C48C0" w:rsidRPr="005C48C0" w:rsidRDefault="001D6540" w:rsidP="005C48C0">
      <w:pPr>
        <w:keepNext/>
        <w:spacing w:line="480" w:lineRule="auto"/>
        <w:ind w:left="1440" w:hanging="1440"/>
        <w:outlineLvl w:val="4"/>
        <w:rPr>
          <w:rFonts w:ascii="Arial" w:hAnsi="Arial" w:cs="Arial"/>
          <w:sz w:val="24"/>
        </w:rPr>
      </w:pPr>
      <w:r w:rsidRPr="001D6540">
        <w:rPr>
          <w:rFonts w:ascii="Arial" w:hAnsi="Arial" w:cs="Arial"/>
          <w:sz w:val="24"/>
        </w:rPr>
        <w:t xml:space="preserve">Whether the formula for calculating the number of full-time equivalent (FTE) residents a hospital may count in a year for purposes of direct graduate medical education (DGME) </w:t>
      </w:r>
      <w:proofErr w:type="gramStart"/>
      <w:r w:rsidRPr="001D6540">
        <w:rPr>
          <w:rFonts w:ascii="Arial" w:hAnsi="Arial" w:cs="Arial"/>
          <w:sz w:val="24"/>
        </w:rPr>
        <w:t>reimbursement is</w:t>
      </w:r>
      <w:proofErr w:type="gramEnd"/>
      <w:r w:rsidRPr="001D6540">
        <w:rPr>
          <w:rFonts w:ascii="Arial" w:hAnsi="Arial" w:cs="Arial"/>
          <w:sz w:val="24"/>
        </w:rPr>
        <w:t xml:space="preserve"> unlawful?</w:t>
      </w:r>
    </w:p>
    <w:p w14:paraId="5423DF77" w14:textId="77777777" w:rsidR="004B28E9" w:rsidRPr="00207747" w:rsidRDefault="004B28E9" w:rsidP="004B28E9">
      <w:pPr>
        <w:ind w:left="1080" w:hanging="1080"/>
        <w:rPr>
          <w:rFonts w:ascii="Arial" w:hAnsi="Arial" w:cs="Arial"/>
          <w:sz w:val="24"/>
          <w:szCs w:val="24"/>
        </w:rPr>
      </w:pPr>
    </w:p>
    <w:p w14:paraId="7F40C579" w14:textId="77777777" w:rsidR="004B28E9" w:rsidRPr="00207747" w:rsidRDefault="004B28E9" w:rsidP="004B28E9">
      <w:pPr>
        <w:numPr>
          <w:ilvl w:val="0"/>
          <w:numId w:val="21"/>
        </w:numPr>
        <w:rPr>
          <w:rFonts w:ascii="Arial" w:hAnsi="Arial" w:cs="Arial"/>
          <w:b/>
          <w:sz w:val="24"/>
          <w:szCs w:val="24"/>
        </w:rPr>
      </w:pPr>
      <w:r w:rsidRPr="00207747">
        <w:rPr>
          <w:rFonts w:ascii="Arial" w:hAnsi="Arial" w:cs="Arial"/>
          <w:b/>
          <w:sz w:val="24"/>
          <w:szCs w:val="24"/>
        </w:rPr>
        <w:t>Facts</w:t>
      </w:r>
    </w:p>
    <w:p w14:paraId="72E4ACB6" w14:textId="77777777" w:rsidR="004B28E9" w:rsidRPr="00207747" w:rsidRDefault="004B28E9" w:rsidP="004B28E9">
      <w:pPr>
        <w:rPr>
          <w:rFonts w:ascii="Arial" w:hAnsi="Arial" w:cs="Arial"/>
          <w:sz w:val="24"/>
          <w:szCs w:val="24"/>
        </w:rPr>
      </w:pPr>
    </w:p>
    <w:p w14:paraId="49C2C8C3" w14:textId="77777777" w:rsidR="004B28E9" w:rsidRPr="00207747" w:rsidRDefault="004B28E9" w:rsidP="004B28E9">
      <w:pPr>
        <w:rPr>
          <w:rFonts w:ascii="Arial" w:hAnsi="Arial" w:cs="Arial"/>
          <w:sz w:val="24"/>
          <w:szCs w:val="24"/>
        </w:rPr>
      </w:pPr>
    </w:p>
    <w:p w14:paraId="3DE1D79A" w14:textId="6D853E41" w:rsidR="000A3A81" w:rsidRPr="000A3A81" w:rsidRDefault="000A3A81" w:rsidP="000A3A81">
      <w:pPr>
        <w:spacing w:line="480" w:lineRule="auto"/>
        <w:rPr>
          <w:rFonts w:ascii="Arial" w:hAnsi="Arial" w:cs="Arial"/>
          <w:sz w:val="24"/>
          <w:szCs w:val="24"/>
        </w:rPr>
      </w:pPr>
      <w:r w:rsidRPr="000A3A81">
        <w:rPr>
          <w:rFonts w:ascii="Arial" w:hAnsi="Arial" w:cs="Arial"/>
          <w:sz w:val="24"/>
          <w:szCs w:val="24"/>
        </w:rPr>
        <w:t>The issue presented in this appeal is whether the formula at 42 CFR 413</w:t>
      </w:r>
      <w:r w:rsidR="00BC5836">
        <w:rPr>
          <w:rFonts w:ascii="Arial" w:hAnsi="Arial" w:cs="Arial"/>
          <w:sz w:val="24"/>
          <w:szCs w:val="24"/>
        </w:rPr>
        <w:t>.</w:t>
      </w:r>
      <w:r w:rsidRPr="000A3A81">
        <w:rPr>
          <w:rFonts w:ascii="Arial" w:hAnsi="Arial" w:cs="Arial"/>
          <w:sz w:val="24"/>
          <w:szCs w:val="24"/>
        </w:rPr>
        <w:t>79(c)(2)(iii) for calculating the number of full time equivalent (“FTE”) residents a hospital may count in a year for the purposes of direct graduate medical education reimbursement is unlawful insofar as it penalizes hospitals that train fellows (i.e., residents who are not in their initial residency period) while operating in excess of their FTE caps.  The Provider maintains that this formula is unlawful and seeks relief in the form of an adjustment to its FTE count for its present, prior and penultimate years.</w:t>
      </w:r>
      <w:r w:rsidR="00182A91">
        <w:rPr>
          <w:rFonts w:ascii="Arial" w:hAnsi="Arial" w:cs="Arial"/>
          <w:sz w:val="24"/>
          <w:szCs w:val="24"/>
        </w:rPr>
        <w:t xml:space="preserve">  However, the provider’s preliminary paper did not address the changes proposed to the regulation with the FFY 2023 Final Rule</w:t>
      </w:r>
      <w:r w:rsidR="00F800E3">
        <w:rPr>
          <w:rFonts w:ascii="Arial" w:hAnsi="Arial" w:cs="Arial"/>
          <w:sz w:val="24"/>
          <w:szCs w:val="24"/>
        </w:rPr>
        <w:t xml:space="preserve"> (Exhibit C-6)</w:t>
      </w:r>
      <w:r w:rsidR="00182A91">
        <w:rPr>
          <w:rFonts w:ascii="Arial" w:hAnsi="Arial" w:cs="Arial"/>
          <w:sz w:val="24"/>
          <w:szCs w:val="24"/>
        </w:rPr>
        <w:t>.</w:t>
      </w:r>
    </w:p>
    <w:p w14:paraId="17CD2976" w14:textId="77777777" w:rsidR="000A3A81" w:rsidRDefault="000A3A81" w:rsidP="007D40B3">
      <w:pPr>
        <w:spacing w:line="480" w:lineRule="auto"/>
        <w:rPr>
          <w:rFonts w:ascii="Arial" w:hAnsi="Arial" w:cs="Arial"/>
          <w:sz w:val="24"/>
          <w:szCs w:val="24"/>
        </w:rPr>
      </w:pPr>
    </w:p>
    <w:p w14:paraId="34BC4D30" w14:textId="77777777" w:rsidR="000A3A81" w:rsidRPr="000A3A81" w:rsidRDefault="000A3A81" w:rsidP="000A3A81">
      <w:pPr>
        <w:spacing w:line="480" w:lineRule="auto"/>
        <w:rPr>
          <w:rFonts w:ascii="Arial" w:hAnsi="Arial" w:cs="Arial"/>
          <w:sz w:val="24"/>
          <w:szCs w:val="24"/>
        </w:rPr>
      </w:pPr>
      <w:r w:rsidRPr="000A3A81">
        <w:rPr>
          <w:rFonts w:ascii="Arial" w:hAnsi="Arial" w:cs="Arial"/>
          <w:sz w:val="24"/>
          <w:szCs w:val="24"/>
        </w:rPr>
        <w:t>The statement raises two questions to consider at the outset.   One is more process/procedurally oriented.  The second is on the merits as to whether the formula is in fact unlawful.  The limit on residents that can be used in Direct Graduate Medical Education (DGME) payments is generally referred to as the Cap.</w:t>
      </w:r>
    </w:p>
    <w:p w14:paraId="36EA028E" w14:textId="77777777" w:rsidR="000A3A81" w:rsidRPr="000A3A81" w:rsidRDefault="000A3A81" w:rsidP="000A3A81">
      <w:pPr>
        <w:spacing w:line="480" w:lineRule="auto"/>
        <w:rPr>
          <w:rFonts w:ascii="Arial" w:hAnsi="Arial" w:cs="Arial"/>
          <w:sz w:val="24"/>
          <w:szCs w:val="24"/>
        </w:rPr>
      </w:pPr>
    </w:p>
    <w:p w14:paraId="4A70CC70" w14:textId="3AF89387" w:rsidR="000A3A81" w:rsidRPr="000A3A81" w:rsidRDefault="000A3A81" w:rsidP="000A3A81">
      <w:pPr>
        <w:spacing w:line="480" w:lineRule="auto"/>
        <w:rPr>
          <w:rFonts w:ascii="Arial" w:hAnsi="Arial" w:cs="Arial"/>
          <w:sz w:val="24"/>
          <w:szCs w:val="24"/>
        </w:rPr>
      </w:pPr>
      <w:r w:rsidRPr="000A3A81">
        <w:rPr>
          <w:rFonts w:ascii="Arial" w:hAnsi="Arial" w:cs="Arial"/>
          <w:sz w:val="24"/>
          <w:szCs w:val="24"/>
        </w:rPr>
        <w:lastRenderedPageBreak/>
        <w:t xml:space="preserve">As presented in the issue statement, the Provider challenges a formula embedded in the DGME regulation.  The Provider is not alleging that the MAC misapplied the formula or used incorrect inputs.  That being the starting point, the PRRB lacks the authority to rewrite the formula and change the final weighted resident count as it is bound by 42 CFR 405.1867.  </w:t>
      </w:r>
      <w:r w:rsidR="00182A91" w:rsidRPr="00182A91">
        <w:rPr>
          <w:rFonts w:ascii="Arial" w:hAnsi="Arial" w:cs="Arial"/>
          <w:b/>
          <w:bCs/>
          <w:sz w:val="24"/>
          <w:szCs w:val="24"/>
        </w:rPr>
        <w:t>The Provider did not consider in its preliminary paper the impact of the FFY 2023 Final Rule.</w:t>
      </w:r>
      <w:r w:rsidR="00182A91">
        <w:rPr>
          <w:rFonts w:ascii="Arial" w:hAnsi="Arial" w:cs="Arial"/>
          <w:sz w:val="24"/>
          <w:szCs w:val="24"/>
        </w:rPr>
        <w:t xml:space="preserve">  Otherwise, </w:t>
      </w:r>
      <w:r w:rsidRPr="000A3A81">
        <w:rPr>
          <w:rFonts w:ascii="Arial" w:hAnsi="Arial" w:cs="Arial"/>
          <w:sz w:val="24"/>
          <w:szCs w:val="24"/>
        </w:rPr>
        <w:t>an appropriate action would be to proceed under the Expedited Judicial Procedures in 42 CFR 405.1842.  However, it is not the MAC’s role to initiate the EJR process.</w:t>
      </w:r>
    </w:p>
    <w:p w14:paraId="645FD022" w14:textId="77777777" w:rsidR="000A3A81" w:rsidRPr="000A3A81" w:rsidRDefault="000A3A81" w:rsidP="000A3A81">
      <w:pPr>
        <w:spacing w:line="480" w:lineRule="auto"/>
        <w:rPr>
          <w:rFonts w:ascii="Arial" w:hAnsi="Arial" w:cs="Arial"/>
          <w:sz w:val="24"/>
          <w:szCs w:val="24"/>
        </w:rPr>
      </w:pPr>
    </w:p>
    <w:p w14:paraId="4AC09453" w14:textId="77777777" w:rsidR="000A3A81" w:rsidRPr="000A3A81" w:rsidRDefault="000A3A81" w:rsidP="000A3A81">
      <w:pPr>
        <w:spacing w:line="480" w:lineRule="auto"/>
        <w:rPr>
          <w:rFonts w:ascii="Arial" w:hAnsi="Arial" w:cs="Arial"/>
          <w:sz w:val="24"/>
          <w:szCs w:val="24"/>
        </w:rPr>
      </w:pPr>
      <w:r w:rsidRPr="000A3A81">
        <w:rPr>
          <w:rFonts w:ascii="Arial" w:hAnsi="Arial" w:cs="Arial"/>
          <w:sz w:val="24"/>
          <w:szCs w:val="24"/>
        </w:rPr>
        <w:t xml:space="preserve">As to the argument on the merits that the formula unfairly penalizes hospitals that train fellows, the MAC disagrees.  The formula recognizes the statutory difference in the weighting or FTE count value for “fellows” as compared to residents in their initial residency period (IRPs).  An IRP is considered a 1.0 FTE and a fellow as 0.5 or half. The higher the ratio of “fellows” to “IRPs”, the lesser is the “weighted” count.  That is the simple mathematical application of Medicare law. </w:t>
      </w:r>
    </w:p>
    <w:p w14:paraId="7D2B74F4" w14:textId="77777777" w:rsidR="000A3A81" w:rsidRDefault="000A3A81" w:rsidP="007D40B3">
      <w:pPr>
        <w:spacing w:line="480" w:lineRule="auto"/>
        <w:rPr>
          <w:rFonts w:ascii="Arial" w:hAnsi="Arial" w:cs="Arial"/>
          <w:sz w:val="24"/>
          <w:szCs w:val="24"/>
        </w:rPr>
      </w:pPr>
    </w:p>
    <w:p w14:paraId="045C97C9"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The Cap is a product of 42 U.S.C.  1395ww(h)(4)(F)(i):</w:t>
      </w:r>
    </w:p>
    <w:p w14:paraId="439DAE9D"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(F) Limitation on number of residents in allopathic and osteopathic medicine</w:t>
      </w:r>
    </w:p>
    <w:p w14:paraId="13409A2D" w14:textId="77777777" w:rsidR="00DB695F" w:rsidRPr="00DB695F" w:rsidRDefault="00DB695F" w:rsidP="00DB695F">
      <w:pPr>
        <w:ind w:left="720"/>
        <w:rPr>
          <w:rFonts w:ascii="Arial" w:hAnsi="Arial" w:cs="Arial"/>
          <w:b/>
          <w:sz w:val="24"/>
          <w:szCs w:val="24"/>
        </w:rPr>
      </w:pPr>
    </w:p>
    <w:p w14:paraId="30675B5C"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 xml:space="preserve">For purposes of a cost reporting period beginning on or after October 1, 1997… the total number of  full-time equivalent residents before application of weighting factors (as determined under this paragraph) with respect to a hospital’s approved  medical residency training program in the fields of allopathic and osteopathic medicine </w:t>
      </w:r>
      <w:r w:rsidRPr="00DB695F">
        <w:rPr>
          <w:rFonts w:ascii="Arial" w:hAnsi="Arial" w:cs="Arial"/>
          <w:b/>
          <w:sz w:val="24"/>
          <w:szCs w:val="24"/>
        </w:rPr>
        <w:lastRenderedPageBreak/>
        <w:t xml:space="preserve">may not exceed the number (or, 130 percent of such number in the case of a hospital located in a rural area) of such full time equivalent residents for the hospital’s most recent cost reporting ending on or before December 31, 1996. </w:t>
      </w:r>
    </w:p>
    <w:p w14:paraId="082895F1"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ab/>
      </w:r>
    </w:p>
    <w:p w14:paraId="180CF6E6"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To neutrally restate the Cap law for allopathic and osteopathic physician trainees not in a rural area, the law can be fairly paraphrased as:</w:t>
      </w:r>
    </w:p>
    <w:p w14:paraId="44689FCF" w14:textId="77777777" w:rsidR="00DB695F" w:rsidRPr="00DB695F" w:rsidRDefault="00DB695F" w:rsidP="00DB695F">
      <w:pPr>
        <w:spacing w:line="480" w:lineRule="auto"/>
        <w:rPr>
          <w:rFonts w:ascii="Arial" w:hAnsi="Arial" w:cs="Arial"/>
          <w:sz w:val="24"/>
          <w:szCs w:val="24"/>
        </w:rPr>
      </w:pPr>
    </w:p>
    <w:p w14:paraId="7CC7A242" w14:textId="77777777" w:rsidR="00DB695F" w:rsidRPr="00DB695F" w:rsidRDefault="00DB695F" w:rsidP="00DB695F">
      <w:pPr>
        <w:ind w:left="720"/>
        <w:rPr>
          <w:rFonts w:ascii="Arial" w:hAnsi="Arial" w:cs="Arial"/>
          <w:sz w:val="24"/>
          <w:szCs w:val="24"/>
        </w:rPr>
      </w:pPr>
      <w:r w:rsidRPr="00DB695F">
        <w:rPr>
          <w:rFonts w:ascii="Arial" w:hAnsi="Arial" w:cs="Arial"/>
          <w:sz w:val="24"/>
          <w:szCs w:val="24"/>
        </w:rPr>
        <w:t>The total number of FTEs before application of weighting factors with respect to approved training program may not exceed the number of unweighted FTEs for the hospital’s most recent cost reporting period ending on or before Dec 31, 1996.</w:t>
      </w:r>
    </w:p>
    <w:p w14:paraId="11A8CAEB" w14:textId="77777777" w:rsidR="00DB695F" w:rsidRPr="00DB695F" w:rsidRDefault="00DB695F" w:rsidP="00DB695F">
      <w:pPr>
        <w:spacing w:line="480" w:lineRule="auto"/>
        <w:rPr>
          <w:rFonts w:ascii="Arial" w:hAnsi="Arial" w:cs="Arial"/>
          <w:sz w:val="24"/>
          <w:szCs w:val="24"/>
        </w:rPr>
      </w:pPr>
    </w:p>
    <w:p w14:paraId="137D667A"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 xml:space="preserve">Key to the MAC analysis here is that the law did not say “the total number of FTEs allowed before application is equal to the number of unweighted FTEs in the base period.”  Nevertheless, that is how the Providers want the law read.  However, the weighting factors determined what the final FTE count was in the base year, so the actual weighting or mix of “fellows” and IRPs must be a factor in all future Cap years.  </w:t>
      </w:r>
    </w:p>
    <w:p w14:paraId="4CD10646" w14:textId="77777777" w:rsidR="00DB695F" w:rsidRPr="00DB695F" w:rsidRDefault="00DB695F" w:rsidP="00DB695F">
      <w:pPr>
        <w:spacing w:line="480" w:lineRule="auto"/>
        <w:rPr>
          <w:rFonts w:ascii="Arial" w:hAnsi="Arial" w:cs="Arial"/>
          <w:sz w:val="24"/>
          <w:szCs w:val="24"/>
        </w:rPr>
      </w:pPr>
    </w:p>
    <w:p w14:paraId="09EA8EDD"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The weighting differences between fellows and IRPs is also a product of law and predates the imposition of the Cap.  The law is at 42 USC 1395ww(h)(4)(C):</w:t>
      </w:r>
    </w:p>
    <w:p w14:paraId="2E0B130E"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 xml:space="preserve">In calculating the number of full time equivalent residents in an approved residency program… </w:t>
      </w:r>
    </w:p>
    <w:p w14:paraId="79E6D7E6"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 xml:space="preserve">(ii) for a resident who is in the residency period… the weighting factor is 1.00, … </w:t>
      </w:r>
    </w:p>
    <w:p w14:paraId="27F58E43" w14:textId="77777777" w:rsidR="00DB695F" w:rsidRPr="00DB695F" w:rsidRDefault="00DB695F" w:rsidP="00DB695F">
      <w:pPr>
        <w:ind w:left="720"/>
        <w:rPr>
          <w:rFonts w:ascii="Arial" w:hAnsi="Arial" w:cs="Arial"/>
          <w:sz w:val="24"/>
          <w:szCs w:val="24"/>
        </w:rPr>
      </w:pPr>
      <w:r w:rsidRPr="00DB695F">
        <w:rPr>
          <w:rFonts w:ascii="Arial" w:hAnsi="Arial" w:cs="Arial"/>
          <w:b/>
          <w:sz w:val="24"/>
          <w:szCs w:val="24"/>
        </w:rPr>
        <w:t>(iv) for a resident who is not in the resident’s initial residency period… the weighting factor is .50</w:t>
      </w:r>
      <w:r w:rsidRPr="00DB695F">
        <w:rPr>
          <w:rFonts w:ascii="Arial" w:hAnsi="Arial" w:cs="Arial"/>
          <w:sz w:val="24"/>
          <w:szCs w:val="24"/>
        </w:rPr>
        <w:t>.</w:t>
      </w:r>
    </w:p>
    <w:p w14:paraId="71107752" w14:textId="77777777" w:rsidR="00DB695F" w:rsidRDefault="00DB695F" w:rsidP="00DB695F">
      <w:pPr>
        <w:spacing w:line="480" w:lineRule="auto"/>
        <w:rPr>
          <w:rFonts w:ascii="Arial" w:hAnsi="Arial" w:cs="Arial"/>
          <w:sz w:val="24"/>
          <w:szCs w:val="24"/>
        </w:rPr>
      </w:pPr>
    </w:p>
    <w:p w14:paraId="2EEA471E" w14:textId="3A267983" w:rsidR="00DB695F" w:rsidRPr="00DB695F" w:rsidRDefault="00DB695F" w:rsidP="00DB695F">
      <w:pPr>
        <w:spacing w:line="480" w:lineRule="auto"/>
        <w:rPr>
          <w:rFonts w:ascii="Arial" w:hAnsi="Arial" w:cs="Arial"/>
          <w:sz w:val="24"/>
          <w:szCs w:val="24"/>
        </w:rPr>
      </w:pPr>
      <w:r>
        <w:rPr>
          <w:rFonts w:ascii="Arial" w:hAnsi="Arial" w:cs="Arial"/>
          <w:sz w:val="24"/>
          <w:szCs w:val="24"/>
        </w:rPr>
        <w:lastRenderedPageBreak/>
        <w:t>W</w:t>
      </w:r>
      <w:r w:rsidRPr="00DB695F">
        <w:rPr>
          <w:rFonts w:ascii="Arial" w:hAnsi="Arial" w:cs="Arial"/>
          <w:sz w:val="24"/>
          <w:szCs w:val="24"/>
        </w:rPr>
        <w:t>hile (iv) above does not specifically use the term “fellow” it is understood that the reference is physicians seeking some specialized advance certification.  They have completed an initial residency period.</w:t>
      </w:r>
    </w:p>
    <w:p w14:paraId="6CB70337" w14:textId="77777777" w:rsidR="00DB695F" w:rsidRPr="00DB695F" w:rsidRDefault="00DB695F" w:rsidP="00DB695F">
      <w:pPr>
        <w:spacing w:line="480" w:lineRule="auto"/>
        <w:rPr>
          <w:rFonts w:ascii="Arial" w:hAnsi="Arial" w:cs="Arial"/>
          <w:sz w:val="24"/>
          <w:szCs w:val="24"/>
        </w:rPr>
      </w:pPr>
    </w:p>
    <w:p w14:paraId="44035376"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The point is that the down-weighting of fellows as compared to IRPs is a product of statute.  It was not a limitation on the Cap setting extra-legally added by CMS or its predecessor agency HCFA when the Cap was imposed.  It was a factor in establishing allowable FTEs long before the implementation of the Cap.</w:t>
      </w:r>
    </w:p>
    <w:p w14:paraId="4EA5A0B8" w14:textId="77777777" w:rsidR="00DB695F" w:rsidRPr="00DB695F" w:rsidRDefault="00DB695F" w:rsidP="00DB695F">
      <w:pPr>
        <w:spacing w:line="480" w:lineRule="auto"/>
        <w:rPr>
          <w:rFonts w:ascii="Arial" w:hAnsi="Arial" w:cs="Arial"/>
          <w:sz w:val="24"/>
          <w:szCs w:val="24"/>
        </w:rPr>
      </w:pPr>
    </w:p>
    <w:p w14:paraId="43139E4B"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A further factor affecting the FTE count in a post 1996 Cap year is the 3-year rolling average imposed by 42 USC 1395ww(h)(4)(G) (i);</w:t>
      </w:r>
    </w:p>
    <w:p w14:paraId="62AC68DA" w14:textId="77777777" w:rsidR="00DB695F" w:rsidRPr="00DB695F" w:rsidRDefault="00DB695F" w:rsidP="00DB695F">
      <w:pPr>
        <w:spacing w:line="480" w:lineRule="auto"/>
        <w:rPr>
          <w:rFonts w:ascii="Arial" w:hAnsi="Arial" w:cs="Arial"/>
          <w:sz w:val="24"/>
          <w:szCs w:val="24"/>
        </w:rPr>
      </w:pPr>
    </w:p>
    <w:p w14:paraId="0B3F6996"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[T]he total number of full-time equivalent residents for determining a hospital’s graduate medical education payment shall equal the average of the actual full time equivalent resident counts for the cost reporting period and the preceding two cost reporting periods.</w:t>
      </w:r>
    </w:p>
    <w:p w14:paraId="1AC252AC" w14:textId="77777777" w:rsidR="00DB695F" w:rsidRPr="00DB695F" w:rsidRDefault="00DB695F" w:rsidP="00DB695F">
      <w:pPr>
        <w:spacing w:line="480" w:lineRule="auto"/>
        <w:rPr>
          <w:rFonts w:ascii="Arial" w:hAnsi="Arial" w:cs="Arial"/>
          <w:b/>
          <w:sz w:val="24"/>
          <w:szCs w:val="24"/>
        </w:rPr>
      </w:pPr>
    </w:p>
    <w:p w14:paraId="2BEA4649"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The controlling regulations were promulgated as part of the FFY 1997 rule making process and designated as 42 CFR 413.86 (g)(4) and (5):</w:t>
      </w:r>
    </w:p>
    <w:p w14:paraId="55972207" w14:textId="77777777" w:rsidR="00DB695F" w:rsidRPr="00DB695F" w:rsidRDefault="00DB695F" w:rsidP="00DB695F">
      <w:pPr>
        <w:spacing w:line="480" w:lineRule="auto"/>
        <w:rPr>
          <w:rFonts w:ascii="Arial" w:hAnsi="Arial" w:cs="Arial"/>
          <w:sz w:val="24"/>
          <w:szCs w:val="24"/>
        </w:rPr>
      </w:pPr>
    </w:p>
    <w:p w14:paraId="220159A3"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 xml:space="preserve">(413.86(g)(4) For purposes of determining direct graduate medical education payment for cost reporting periods beginning on or after October 1, 1997, a hospital’s unweighted FTE count for residents in Allopathic and osteopathic medicine may not exceed the hospital’s unweighted FTE count for these residents for the most recent cost reporting period ending on or before December 31, 1996.  If the hospital’s number of residents exceeds the limit described in this paragraph (g), the hospital’s weighted FTE count (before application of the limit) will be reduced in the same proportion that the number of FTE residents for that cost reporting period exceeds the number </w:t>
      </w:r>
      <w:r w:rsidRPr="00DB695F">
        <w:rPr>
          <w:rFonts w:ascii="Arial" w:hAnsi="Arial" w:cs="Arial"/>
          <w:b/>
          <w:sz w:val="24"/>
          <w:szCs w:val="24"/>
        </w:rPr>
        <w:lastRenderedPageBreak/>
        <w:t>of FTE residents for the most recent cost reporting period ending on or before December 31, 1996.…</w:t>
      </w:r>
    </w:p>
    <w:p w14:paraId="28D875B1" w14:textId="77777777" w:rsidR="00DB695F" w:rsidRPr="00DB695F" w:rsidRDefault="00DB695F" w:rsidP="00DB695F">
      <w:pPr>
        <w:spacing w:line="480" w:lineRule="auto"/>
        <w:rPr>
          <w:rFonts w:ascii="Arial" w:hAnsi="Arial" w:cs="Arial"/>
          <w:sz w:val="24"/>
          <w:szCs w:val="24"/>
        </w:rPr>
      </w:pPr>
    </w:p>
    <w:p w14:paraId="1327D8FA"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The second sentence in the regulation quoted above contains the formula being challenged.  The formula can be expressed in the following equation:</w:t>
      </w:r>
    </w:p>
    <w:p w14:paraId="7ABBA1D8" w14:textId="77777777" w:rsidR="00DB695F" w:rsidRPr="00DB695F" w:rsidRDefault="00DB695F" w:rsidP="00DB695F">
      <w:pPr>
        <w:spacing w:line="480" w:lineRule="auto"/>
        <w:rPr>
          <w:rFonts w:ascii="Arial" w:hAnsi="Arial" w:cs="Arial"/>
          <w:sz w:val="24"/>
          <w:szCs w:val="24"/>
        </w:rPr>
      </w:pPr>
    </w:p>
    <w:p w14:paraId="0B3CD010" w14:textId="1FC9AB6C" w:rsidR="00DB695F" w:rsidRPr="00DB695F" w:rsidRDefault="00DB695F" w:rsidP="00DB695F">
      <w:pPr>
        <w:ind w:left="720"/>
        <w:rPr>
          <w:rFonts w:ascii="Arial" w:hAnsi="Arial" w:cs="Arial"/>
          <w:sz w:val="24"/>
          <w:szCs w:val="24"/>
        </w:rPr>
      </w:pPr>
      <w:r w:rsidRPr="00DB695F">
        <w:rPr>
          <w:rFonts w:ascii="Arial" w:hAnsi="Arial" w:cs="Arial"/>
          <w:sz w:val="24"/>
          <w:szCs w:val="24"/>
        </w:rPr>
        <w:t xml:space="preserve">Current Year                                </w:t>
      </w:r>
      <w:r>
        <w:rPr>
          <w:rFonts w:ascii="Arial" w:hAnsi="Arial" w:cs="Arial"/>
          <w:sz w:val="24"/>
          <w:szCs w:val="24"/>
        </w:rPr>
        <w:tab/>
      </w:r>
      <w:r w:rsidRPr="00DB695F">
        <w:rPr>
          <w:rFonts w:ascii="Arial" w:hAnsi="Arial" w:cs="Arial"/>
          <w:sz w:val="24"/>
          <w:szCs w:val="24"/>
          <w:u w:val="single"/>
        </w:rPr>
        <w:t>Unweighted 1996 FTE Cap</w:t>
      </w:r>
      <w:r w:rsidRPr="00DB695F">
        <w:rPr>
          <w:rFonts w:ascii="Arial" w:hAnsi="Arial" w:cs="Arial"/>
          <w:sz w:val="24"/>
          <w:szCs w:val="24"/>
        </w:rPr>
        <w:t xml:space="preserve">          </w:t>
      </w:r>
    </w:p>
    <w:p w14:paraId="37069B34" w14:textId="2B81709B" w:rsidR="00DB695F" w:rsidRPr="00DB695F" w:rsidRDefault="00DB695F" w:rsidP="00DB695F">
      <w:pPr>
        <w:ind w:left="720"/>
        <w:rPr>
          <w:rFonts w:ascii="Arial" w:hAnsi="Arial" w:cs="Arial"/>
          <w:sz w:val="24"/>
          <w:szCs w:val="24"/>
        </w:rPr>
      </w:pPr>
      <w:r w:rsidRPr="00DB695F">
        <w:rPr>
          <w:rFonts w:ascii="Arial" w:hAnsi="Arial" w:cs="Arial"/>
          <w:sz w:val="24"/>
          <w:szCs w:val="24"/>
        </w:rPr>
        <w:t xml:space="preserve">Allowable FTE Count     =          </w:t>
      </w:r>
      <w:r>
        <w:rPr>
          <w:rFonts w:ascii="Arial" w:hAnsi="Arial" w:cs="Arial"/>
          <w:sz w:val="24"/>
          <w:szCs w:val="24"/>
        </w:rPr>
        <w:tab/>
      </w:r>
      <w:r w:rsidRPr="00DB695F">
        <w:rPr>
          <w:rFonts w:ascii="Arial" w:hAnsi="Arial" w:cs="Arial"/>
          <w:sz w:val="24"/>
          <w:szCs w:val="24"/>
        </w:rPr>
        <w:t xml:space="preserve">Unweighted Current Yr. FTE Count   </w:t>
      </w:r>
    </w:p>
    <w:p w14:paraId="137CE5DF" w14:textId="4410BD80" w:rsidR="00DB695F" w:rsidRPr="00DB695F" w:rsidRDefault="00DB695F" w:rsidP="00DB695F">
      <w:pPr>
        <w:ind w:left="720"/>
        <w:rPr>
          <w:rFonts w:ascii="Arial" w:hAnsi="Arial" w:cs="Arial"/>
          <w:sz w:val="24"/>
          <w:szCs w:val="24"/>
        </w:rPr>
      </w:pPr>
      <w:r w:rsidRPr="00DB695F">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891ABA" w:rsidRPr="00DB695F">
        <w:rPr>
          <w:rFonts w:ascii="Arial" w:hAnsi="Arial" w:cs="Arial"/>
          <w:sz w:val="24"/>
          <w:szCs w:val="24"/>
        </w:rPr>
        <w:t>x Weighted</w:t>
      </w:r>
      <w:r w:rsidRPr="00DB695F">
        <w:rPr>
          <w:rFonts w:ascii="Arial" w:hAnsi="Arial" w:cs="Arial"/>
          <w:sz w:val="24"/>
          <w:szCs w:val="24"/>
        </w:rPr>
        <w:t xml:space="preserve"> Current Yr. FTE Count</w:t>
      </w:r>
    </w:p>
    <w:p w14:paraId="398B5688" w14:textId="77777777" w:rsidR="00DB695F" w:rsidRPr="00DB695F" w:rsidRDefault="00DB695F" w:rsidP="00DB695F">
      <w:pPr>
        <w:spacing w:line="480" w:lineRule="auto"/>
        <w:rPr>
          <w:rFonts w:ascii="Arial" w:hAnsi="Arial" w:cs="Arial"/>
          <w:sz w:val="24"/>
          <w:szCs w:val="24"/>
        </w:rPr>
      </w:pPr>
    </w:p>
    <w:p w14:paraId="318373ED" w14:textId="7FA9EBAC"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To calculate the allowable resident count and execute the formula, CMS has developed a cost report instruction (CMS Pub 15-2, Section 4034) and a cost report worksheet (Worksheet E-4).  (See Exhibit C-</w:t>
      </w:r>
      <w:r w:rsidR="00891ABA">
        <w:rPr>
          <w:rFonts w:ascii="Arial" w:hAnsi="Arial" w:cs="Arial"/>
          <w:sz w:val="24"/>
          <w:szCs w:val="24"/>
        </w:rPr>
        <w:t>3</w:t>
      </w:r>
      <w:r w:rsidRPr="00DB695F">
        <w:rPr>
          <w:rFonts w:ascii="Arial" w:hAnsi="Arial" w:cs="Arial"/>
          <w:sz w:val="24"/>
          <w:szCs w:val="24"/>
        </w:rPr>
        <w:t xml:space="preserve"> for a sample Worksheet E-4 for the FYE in controversy). Providers are not arguing that the Worksheet E-4 conflicts with the regulation’s formula. </w:t>
      </w:r>
    </w:p>
    <w:p w14:paraId="1B0320BE" w14:textId="77777777" w:rsidR="00DB695F" w:rsidRPr="00DB695F" w:rsidRDefault="00DB695F" w:rsidP="00DB695F">
      <w:pPr>
        <w:spacing w:line="480" w:lineRule="auto"/>
        <w:rPr>
          <w:rFonts w:ascii="Arial" w:hAnsi="Arial" w:cs="Arial"/>
          <w:sz w:val="24"/>
          <w:szCs w:val="24"/>
        </w:rPr>
      </w:pPr>
    </w:p>
    <w:p w14:paraId="620BE41A"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Next in play in the Provider’s FTE Count is the 3-year rolling average imposed by 42 CFR 413.86(g)(5)</w:t>
      </w:r>
    </w:p>
    <w:p w14:paraId="7D3A936E" w14:textId="77777777" w:rsidR="00DB695F" w:rsidRPr="00DB695F" w:rsidRDefault="00DB695F" w:rsidP="00DB695F">
      <w:pPr>
        <w:spacing w:line="480" w:lineRule="auto"/>
        <w:rPr>
          <w:rFonts w:ascii="Arial" w:hAnsi="Arial" w:cs="Arial"/>
          <w:sz w:val="24"/>
          <w:szCs w:val="24"/>
        </w:rPr>
      </w:pPr>
    </w:p>
    <w:p w14:paraId="4B36E8EF" w14:textId="77777777" w:rsidR="00DB695F" w:rsidRPr="00DB695F" w:rsidRDefault="00DB695F" w:rsidP="00891ABA">
      <w:pPr>
        <w:ind w:left="720"/>
        <w:rPr>
          <w:rFonts w:ascii="Arial" w:hAnsi="Arial" w:cs="Arial"/>
          <w:b/>
          <w:sz w:val="24"/>
          <w:szCs w:val="24"/>
        </w:rPr>
      </w:pPr>
      <w:r w:rsidRPr="00DB695F">
        <w:rPr>
          <w:rFonts w:ascii="Arial" w:hAnsi="Arial" w:cs="Arial"/>
          <w:b/>
          <w:sz w:val="24"/>
          <w:szCs w:val="24"/>
        </w:rPr>
        <w:t>…For cost reporting periods beginning on or after October 1, 1998, the hospital’s weighted FTE count is equal to the average of the weighted FTE count for the payment year cost reporting period and the preceding two cost reporting periods.</w:t>
      </w:r>
    </w:p>
    <w:p w14:paraId="1492E9F9" w14:textId="77777777" w:rsidR="00DB695F" w:rsidRPr="00DB695F" w:rsidRDefault="00DB695F" w:rsidP="00DB695F">
      <w:pPr>
        <w:spacing w:line="480" w:lineRule="auto"/>
        <w:rPr>
          <w:rFonts w:ascii="Arial" w:hAnsi="Arial" w:cs="Arial"/>
          <w:b/>
          <w:sz w:val="24"/>
          <w:szCs w:val="24"/>
        </w:rPr>
      </w:pPr>
    </w:p>
    <w:p w14:paraId="614A9B08" w14:textId="1260F38F"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 xml:space="preserve">There was a change in 42 CFR 413.86 effective for FFY 2001.  In applying the weighted FTE count, there was a further mathematical step that separated primary care and OB/GYNE residents as a group from non-primary care residents.  Later, in FFY 2004, 42 CFR 413.86 was re-designated as 42 CFR </w:t>
      </w:r>
      <w:r w:rsidRPr="00DB695F">
        <w:rPr>
          <w:rFonts w:ascii="Arial" w:hAnsi="Arial" w:cs="Arial"/>
          <w:sz w:val="24"/>
          <w:szCs w:val="24"/>
        </w:rPr>
        <w:lastRenderedPageBreak/>
        <w:t>413.79.  Notwithstanding these actions, the operation of the formula under attack ha</w:t>
      </w:r>
      <w:r w:rsidR="002B58A8">
        <w:rPr>
          <w:rFonts w:ascii="Arial" w:hAnsi="Arial" w:cs="Arial"/>
          <w:sz w:val="24"/>
          <w:szCs w:val="24"/>
        </w:rPr>
        <w:t xml:space="preserve">d </w:t>
      </w:r>
      <w:r w:rsidRPr="00DB695F">
        <w:rPr>
          <w:rFonts w:ascii="Arial" w:hAnsi="Arial" w:cs="Arial"/>
          <w:sz w:val="24"/>
          <w:szCs w:val="24"/>
        </w:rPr>
        <w:t>not changed</w:t>
      </w:r>
      <w:r w:rsidR="002B58A8">
        <w:rPr>
          <w:rFonts w:ascii="Arial" w:hAnsi="Arial" w:cs="Arial"/>
          <w:sz w:val="24"/>
          <w:szCs w:val="24"/>
        </w:rPr>
        <w:t xml:space="preserve"> at the time of the NPRs</w:t>
      </w:r>
      <w:r w:rsidRPr="00DB695F">
        <w:rPr>
          <w:rFonts w:ascii="Arial" w:hAnsi="Arial" w:cs="Arial"/>
          <w:sz w:val="24"/>
          <w:szCs w:val="24"/>
        </w:rPr>
        <w:t>.</w:t>
      </w:r>
    </w:p>
    <w:p w14:paraId="062A7167" w14:textId="77777777" w:rsidR="00DB695F" w:rsidRPr="00DB695F" w:rsidRDefault="00DB695F" w:rsidP="00DB695F">
      <w:pPr>
        <w:spacing w:line="480" w:lineRule="auto"/>
        <w:rPr>
          <w:rFonts w:ascii="Arial" w:hAnsi="Arial" w:cs="Arial"/>
          <w:sz w:val="24"/>
          <w:szCs w:val="24"/>
        </w:rPr>
      </w:pPr>
    </w:p>
    <w:p w14:paraId="254D3AAF" w14:textId="77777777" w:rsidR="00DB695F" w:rsidRDefault="00DB695F" w:rsidP="00DB695F">
      <w:pPr>
        <w:spacing w:line="480" w:lineRule="auto"/>
        <w:rPr>
          <w:rFonts w:ascii="Arial" w:hAnsi="Arial" w:cs="Arial"/>
          <w:sz w:val="24"/>
          <w:szCs w:val="24"/>
        </w:rPr>
      </w:pPr>
      <w:r w:rsidRPr="00DB695F">
        <w:rPr>
          <w:rFonts w:ascii="Arial" w:hAnsi="Arial" w:cs="Arial"/>
          <w:sz w:val="24"/>
          <w:szCs w:val="24"/>
        </w:rPr>
        <w:t>Instead of focusing its arguments on the allowable resident count in the FYE in dispute, the Providers use simplified examples.  The MAC will do the same.  The examples the MAC will use come first from the Rule Making process.</w:t>
      </w:r>
    </w:p>
    <w:p w14:paraId="3BBA459E" w14:textId="77777777" w:rsidR="00182A91" w:rsidRDefault="00182A91" w:rsidP="00DB695F">
      <w:pPr>
        <w:spacing w:line="480" w:lineRule="auto"/>
        <w:rPr>
          <w:rFonts w:ascii="Arial" w:hAnsi="Arial" w:cs="Arial"/>
          <w:sz w:val="24"/>
          <w:szCs w:val="24"/>
        </w:rPr>
      </w:pPr>
    </w:p>
    <w:p w14:paraId="490928A9" w14:textId="6BF762C2" w:rsidR="00182A91" w:rsidRPr="00DB695F" w:rsidRDefault="00182A91" w:rsidP="00DB695F">
      <w:pPr>
        <w:spacing w:line="480" w:lineRule="auto"/>
        <w:rPr>
          <w:rFonts w:ascii="Arial" w:hAnsi="Arial" w:cs="Arial"/>
          <w:sz w:val="24"/>
          <w:szCs w:val="24"/>
        </w:rPr>
      </w:pPr>
      <w:r>
        <w:rPr>
          <w:rFonts w:ascii="Arial" w:hAnsi="Arial" w:cs="Arial"/>
          <w:sz w:val="24"/>
          <w:szCs w:val="24"/>
        </w:rPr>
        <w:t xml:space="preserve">On June </w:t>
      </w:r>
      <w:r w:rsidR="004D1BF5">
        <w:rPr>
          <w:rFonts w:ascii="Arial" w:hAnsi="Arial" w:cs="Arial"/>
          <w:sz w:val="24"/>
          <w:szCs w:val="24"/>
        </w:rPr>
        <w:t>7</w:t>
      </w:r>
      <w:r>
        <w:rPr>
          <w:rFonts w:ascii="Arial" w:hAnsi="Arial" w:cs="Arial"/>
          <w:sz w:val="24"/>
          <w:szCs w:val="24"/>
        </w:rPr>
        <w:t xml:space="preserve">, </w:t>
      </w:r>
      <w:r w:rsidR="004D1BF5">
        <w:rPr>
          <w:rFonts w:ascii="Arial" w:hAnsi="Arial" w:cs="Arial"/>
          <w:sz w:val="24"/>
          <w:szCs w:val="24"/>
        </w:rPr>
        <w:t>2023,</w:t>
      </w:r>
      <w:r>
        <w:rPr>
          <w:rFonts w:ascii="Arial" w:hAnsi="Arial" w:cs="Arial"/>
          <w:sz w:val="24"/>
          <w:szCs w:val="24"/>
        </w:rPr>
        <w:t xml:space="preserve"> the MAC conferred with the provider</w:t>
      </w:r>
      <w:r w:rsidR="004D1BF5">
        <w:rPr>
          <w:rFonts w:ascii="Arial" w:hAnsi="Arial" w:cs="Arial"/>
          <w:sz w:val="24"/>
          <w:szCs w:val="24"/>
        </w:rPr>
        <w:t xml:space="preserve"> regarding the FFY 2023 Final Rule’s change to the regulations at 42 C.F.R. § 413.79(c)(2)(iii) and 42 C.F.R. § 413.79(d)(3).  The Provider agrees that the implementation following the updated regulation may result in the administrative resolution of these cases.   </w:t>
      </w:r>
    </w:p>
    <w:p w14:paraId="0BB93230" w14:textId="77777777" w:rsidR="004B28E9" w:rsidRPr="00207747" w:rsidRDefault="004B28E9" w:rsidP="004B28E9">
      <w:pPr>
        <w:spacing w:line="480" w:lineRule="auto"/>
        <w:rPr>
          <w:rFonts w:ascii="Arial" w:hAnsi="Arial" w:cs="Arial"/>
          <w:b/>
          <w:sz w:val="24"/>
          <w:szCs w:val="24"/>
        </w:rPr>
      </w:pPr>
    </w:p>
    <w:p w14:paraId="5AC7179B" w14:textId="77777777" w:rsidR="004B28E9" w:rsidRPr="00207747" w:rsidRDefault="004B28E9" w:rsidP="004B28E9">
      <w:pPr>
        <w:numPr>
          <w:ilvl w:val="0"/>
          <w:numId w:val="21"/>
        </w:numPr>
        <w:rPr>
          <w:rFonts w:ascii="Arial" w:hAnsi="Arial" w:cs="Arial"/>
          <w:b/>
          <w:sz w:val="24"/>
          <w:szCs w:val="24"/>
        </w:rPr>
      </w:pPr>
      <w:r w:rsidRPr="00207747">
        <w:rPr>
          <w:rFonts w:ascii="Arial" w:hAnsi="Arial" w:cs="Arial"/>
          <w:b/>
          <w:sz w:val="24"/>
          <w:szCs w:val="24"/>
        </w:rPr>
        <w:t>Argument</w:t>
      </w:r>
      <w:r w:rsidR="00FA76D5">
        <w:rPr>
          <w:rFonts w:ascii="Arial" w:hAnsi="Arial" w:cs="Arial"/>
          <w:b/>
          <w:sz w:val="24"/>
          <w:szCs w:val="24"/>
        </w:rPr>
        <w:t>s</w:t>
      </w:r>
    </w:p>
    <w:p w14:paraId="22E169AE" w14:textId="77777777" w:rsidR="004B28E9" w:rsidRPr="00207747" w:rsidRDefault="004B28E9" w:rsidP="004B28E9">
      <w:pPr>
        <w:rPr>
          <w:rFonts w:ascii="Arial" w:hAnsi="Arial" w:cs="Arial"/>
          <w:sz w:val="24"/>
          <w:szCs w:val="24"/>
        </w:rPr>
      </w:pPr>
    </w:p>
    <w:p w14:paraId="3C9FFFEB" w14:textId="77777777" w:rsidR="004B28E9" w:rsidRPr="00E94E7A" w:rsidRDefault="004B28E9" w:rsidP="004B28E9">
      <w:pPr>
        <w:outlineLvl w:val="0"/>
        <w:rPr>
          <w:rFonts w:ascii="Arial" w:hAnsi="Arial" w:cs="Arial"/>
          <w:sz w:val="24"/>
          <w:szCs w:val="24"/>
          <w:u w:val="single"/>
        </w:rPr>
      </w:pPr>
    </w:p>
    <w:p w14:paraId="0FB87913" w14:textId="06A22412" w:rsidR="006407D3" w:rsidRPr="006407D3" w:rsidRDefault="006407D3" w:rsidP="006407D3">
      <w:pPr>
        <w:pStyle w:val="ListParagraph"/>
        <w:numPr>
          <w:ilvl w:val="0"/>
          <w:numId w:val="31"/>
        </w:numPr>
        <w:spacing w:line="480" w:lineRule="auto"/>
        <w:ind w:right="144"/>
        <w:jc w:val="both"/>
        <w:rPr>
          <w:rFonts w:ascii="Arial" w:eastAsia="Calibri" w:hAnsi="Arial" w:cs="Arial"/>
          <w:b/>
          <w:bCs/>
          <w:sz w:val="24"/>
          <w:szCs w:val="24"/>
        </w:rPr>
      </w:pPr>
      <w:r w:rsidRPr="006407D3">
        <w:rPr>
          <w:rFonts w:ascii="Arial" w:eastAsia="Calibri" w:hAnsi="Arial" w:cs="Arial"/>
          <w:b/>
          <w:bCs/>
          <w:sz w:val="24"/>
          <w:szCs w:val="24"/>
        </w:rPr>
        <w:t>Regulation Prior to FFY 2023 Final Rule</w:t>
      </w:r>
    </w:p>
    <w:p w14:paraId="1C33B912" w14:textId="168E46B8"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On August 29, 1997 at 62 FR 45966 the HEALTH CARE FINANCING ADMINISTRATION (HCFA) published a final rule with comment period in part to implement the DGME Cap recently enacted in the Balanced Budget Act of 1997.  It is in the preamble where the issue is first developed.  (Exhibit C-</w:t>
      </w:r>
      <w:r w:rsidR="002B58A8">
        <w:rPr>
          <w:rFonts w:ascii="Arial" w:eastAsia="Calibri" w:hAnsi="Arial" w:cs="Arial"/>
          <w:sz w:val="24"/>
          <w:szCs w:val="24"/>
        </w:rPr>
        <w:t>4</w:t>
      </w:r>
      <w:r w:rsidRPr="0024160D">
        <w:rPr>
          <w:rFonts w:ascii="Arial" w:eastAsia="Calibri" w:hAnsi="Arial" w:cs="Arial"/>
          <w:sz w:val="24"/>
          <w:szCs w:val="24"/>
        </w:rPr>
        <w:t>). In 2001, the agency name changed to CENTERS FOR MEDICARE AND MEDICAID SERVICES (CMS). Appropriate following references will be to CMS</w:t>
      </w:r>
      <w:r>
        <w:rPr>
          <w:rFonts w:ascii="Arial" w:eastAsia="Calibri" w:hAnsi="Arial" w:cs="Arial"/>
          <w:sz w:val="24"/>
          <w:szCs w:val="24"/>
        </w:rPr>
        <w:t>.</w:t>
      </w:r>
      <w:r w:rsidRPr="0024160D">
        <w:rPr>
          <w:rFonts w:ascii="Arial" w:eastAsia="Calibri" w:hAnsi="Arial" w:cs="Arial"/>
          <w:sz w:val="24"/>
          <w:szCs w:val="24"/>
        </w:rPr>
        <w:t xml:space="preserve"> </w:t>
      </w:r>
    </w:p>
    <w:p w14:paraId="074FAC07" w14:textId="77777777" w:rsidR="0024160D" w:rsidRPr="0024160D" w:rsidRDefault="0024160D" w:rsidP="0024160D">
      <w:pPr>
        <w:spacing w:line="480" w:lineRule="auto"/>
        <w:ind w:right="144"/>
        <w:jc w:val="both"/>
        <w:rPr>
          <w:rFonts w:ascii="Arial" w:eastAsia="Calibri" w:hAnsi="Arial" w:cs="Arial"/>
          <w:sz w:val="24"/>
          <w:szCs w:val="24"/>
        </w:rPr>
      </w:pPr>
    </w:p>
    <w:p w14:paraId="16873CC5"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The discussion of the Cap application starts at 62 FR 46004 </w:t>
      </w:r>
    </w:p>
    <w:p w14:paraId="5D331C32" w14:textId="77777777" w:rsidR="0024160D" w:rsidRPr="0024160D" w:rsidRDefault="0024160D" w:rsidP="0024160D">
      <w:pPr>
        <w:spacing w:line="480" w:lineRule="auto"/>
        <w:ind w:right="144"/>
        <w:jc w:val="both"/>
        <w:rPr>
          <w:rFonts w:ascii="Arial" w:eastAsia="Calibri" w:hAnsi="Arial" w:cs="Arial"/>
          <w:sz w:val="24"/>
          <w:szCs w:val="24"/>
        </w:rPr>
      </w:pPr>
    </w:p>
    <w:p w14:paraId="0CCD80B6" w14:textId="77777777" w:rsidR="0024160D" w:rsidRPr="0024160D" w:rsidRDefault="0024160D" w:rsidP="0024160D">
      <w:pPr>
        <w:ind w:left="720" w:right="144"/>
        <w:jc w:val="both"/>
        <w:rPr>
          <w:rFonts w:ascii="Arial" w:eastAsia="Calibri" w:hAnsi="Arial" w:cs="Arial"/>
          <w:b/>
          <w:sz w:val="24"/>
          <w:szCs w:val="24"/>
        </w:rPr>
      </w:pPr>
      <w:r w:rsidRPr="0024160D">
        <w:rPr>
          <w:rFonts w:ascii="Arial" w:eastAsia="Calibri" w:hAnsi="Arial" w:cs="Arial"/>
          <w:b/>
          <w:sz w:val="24"/>
          <w:szCs w:val="24"/>
        </w:rPr>
        <w:lastRenderedPageBreak/>
        <w:t xml:space="preserve">(1) </w:t>
      </w:r>
      <w:r w:rsidRPr="0024160D">
        <w:rPr>
          <w:rFonts w:ascii="Arial" w:eastAsia="Calibri" w:hAnsi="Arial" w:cs="Arial"/>
          <w:b/>
          <w:sz w:val="24"/>
          <w:szCs w:val="24"/>
        </w:rPr>
        <w:tab/>
        <w:t>Counting Residents based on a 3- year average (413.86(g)(5))</w:t>
      </w:r>
    </w:p>
    <w:p w14:paraId="42CF71BA" w14:textId="77777777" w:rsidR="0024160D" w:rsidRPr="0024160D" w:rsidRDefault="0024160D" w:rsidP="0024160D">
      <w:pPr>
        <w:ind w:left="720" w:right="144"/>
        <w:jc w:val="both"/>
        <w:rPr>
          <w:rFonts w:ascii="Arial" w:eastAsia="Calibri" w:hAnsi="Arial" w:cs="Arial"/>
          <w:sz w:val="24"/>
          <w:szCs w:val="24"/>
        </w:rPr>
      </w:pPr>
    </w:p>
    <w:p w14:paraId="2B4ABB79" w14:textId="77777777" w:rsidR="0024160D" w:rsidRPr="0024160D" w:rsidRDefault="0024160D" w:rsidP="0024160D">
      <w:pPr>
        <w:ind w:left="720" w:right="144"/>
        <w:jc w:val="both"/>
        <w:rPr>
          <w:rFonts w:ascii="Arial" w:eastAsia="Calibri" w:hAnsi="Arial" w:cs="Arial"/>
          <w:b/>
          <w:sz w:val="24"/>
          <w:szCs w:val="24"/>
        </w:rPr>
      </w:pPr>
      <w:r w:rsidRPr="0024160D">
        <w:rPr>
          <w:rFonts w:ascii="Arial" w:eastAsia="Calibri" w:hAnsi="Arial" w:cs="Arial"/>
          <w:b/>
          <w:sz w:val="24"/>
          <w:szCs w:val="24"/>
        </w:rPr>
        <w:t xml:space="preserve">Section 1886(h) of the Acts added by section 4623 of Public Law 105-33, provides that for the hospital’s first cost reporting period beginning on or after October 1, 1997, the hospital’s weighted FTE count for payment purposes equals the average of the weighted FTE count for that cost reporting period and the preceding cost reporting period.   For cost reporting periods beginning on or after October 1, 1998, section 1886(h)(4)(G) of the act requires that hospitals’ direct medical education weighted FTE count for payment purposes equals the average of the actual weighted FTE count for payment purposes equal the average of the actual weighted FTE count for the payment year cost reporting period and the preceding 2 cost reporting periods.  This provides incentives for hospitals to reduce the number of residents in training by phasing in the associated reduction in payment over a 3-year period. We are revising 413.86(g)(5) accordingly. </w:t>
      </w:r>
    </w:p>
    <w:p w14:paraId="6D06CEB2" w14:textId="77777777" w:rsidR="0024160D" w:rsidRPr="0024160D" w:rsidRDefault="0024160D" w:rsidP="0024160D">
      <w:pPr>
        <w:ind w:left="720" w:right="144"/>
        <w:jc w:val="both"/>
        <w:rPr>
          <w:rFonts w:ascii="Arial" w:eastAsia="Calibri" w:hAnsi="Arial" w:cs="Arial"/>
          <w:b/>
          <w:sz w:val="24"/>
          <w:szCs w:val="24"/>
        </w:rPr>
      </w:pPr>
    </w:p>
    <w:p w14:paraId="39347647" w14:textId="77777777" w:rsidR="0024160D" w:rsidRPr="0024160D" w:rsidRDefault="0024160D" w:rsidP="0024160D">
      <w:pPr>
        <w:ind w:left="720" w:right="144"/>
        <w:jc w:val="both"/>
        <w:rPr>
          <w:rFonts w:ascii="Arial" w:eastAsia="Calibri" w:hAnsi="Arial" w:cs="Arial"/>
          <w:b/>
          <w:sz w:val="24"/>
          <w:szCs w:val="24"/>
        </w:rPr>
      </w:pPr>
      <w:r w:rsidRPr="0024160D">
        <w:rPr>
          <w:rFonts w:ascii="Arial" w:eastAsia="Calibri" w:hAnsi="Arial" w:cs="Arial"/>
          <w:b/>
          <w:sz w:val="24"/>
          <w:szCs w:val="24"/>
        </w:rPr>
        <w:t>For cost reporting periods beginning on or after October 1, 1997, we will determine the hospital’s direct GME payments as follows:</w:t>
      </w:r>
    </w:p>
    <w:p w14:paraId="2CAA6620" w14:textId="77777777" w:rsidR="0024160D" w:rsidRPr="0024160D" w:rsidRDefault="0024160D" w:rsidP="0024160D">
      <w:pPr>
        <w:spacing w:line="480" w:lineRule="auto"/>
        <w:ind w:right="144"/>
        <w:jc w:val="both"/>
        <w:rPr>
          <w:rFonts w:ascii="Arial" w:eastAsia="Calibri" w:hAnsi="Arial" w:cs="Arial"/>
          <w:b/>
          <w:sz w:val="24"/>
          <w:szCs w:val="24"/>
        </w:rPr>
      </w:pPr>
    </w:p>
    <w:p w14:paraId="201C956C" w14:textId="3FF10883"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The preamble goes on to identify four steps to determine the final total Medicare DGME payments.  Step one, which is the step </w:t>
      </w:r>
      <w:r w:rsidR="00E017BD">
        <w:rPr>
          <w:rFonts w:ascii="Arial" w:eastAsia="Calibri" w:hAnsi="Arial" w:cs="Arial"/>
          <w:sz w:val="24"/>
          <w:szCs w:val="24"/>
        </w:rPr>
        <w:t>at</w:t>
      </w:r>
      <w:r w:rsidRPr="0024160D">
        <w:rPr>
          <w:rFonts w:ascii="Arial" w:eastAsia="Calibri" w:hAnsi="Arial" w:cs="Arial"/>
          <w:sz w:val="24"/>
          <w:szCs w:val="24"/>
        </w:rPr>
        <w:t xml:space="preserve"> issue</w:t>
      </w:r>
      <w:r w:rsidR="00E017BD">
        <w:rPr>
          <w:rFonts w:ascii="Arial" w:eastAsia="Calibri" w:hAnsi="Arial" w:cs="Arial"/>
          <w:sz w:val="24"/>
          <w:szCs w:val="24"/>
        </w:rPr>
        <w:t>,</w:t>
      </w:r>
      <w:r w:rsidRPr="0024160D">
        <w:rPr>
          <w:rFonts w:ascii="Arial" w:eastAsia="Calibri" w:hAnsi="Arial" w:cs="Arial"/>
          <w:sz w:val="24"/>
          <w:szCs w:val="24"/>
        </w:rPr>
        <w:t xml:space="preserve"> is to determine the 3 year weighted rolling average.  Steps two, three and four which are described starting in the left column at 62 FR 46005 in the exhibit are not part of the dispute.</w:t>
      </w:r>
    </w:p>
    <w:p w14:paraId="039D01C4" w14:textId="77777777" w:rsidR="0024160D" w:rsidRPr="0024160D" w:rsidRDefault="0024160D" w:rsidP="0024160D">
      <w:pPr>
        <w:spacing w:line="480" w:lineRule="auto"/>
        <w:ind w:right="144"/>
        <w:jc w:val="both"/>
        <w:rPr>
          <w:rFonts w:ascii="Arial" w:eastAsia="Calibri" w:hAnsi="Arial" w:cs="Arial"/>
          <w:sz w:val="24"/>
          <w:szCs w:val="24"/>
        </w:rPr>
      </w:pPr>
    </w:p>
    <w:p w14:paraId="39597227"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The point of the debate is starting to emerge in step one.  Once the 3-year rolling weighted average is calculated, what is it compared against?  The Providers argument taken down to its basics, is if the 3-year rolling weighted average exceeds the unweighted base year count, it should be paid based on that unweighted base year count.  What that argument ignores is the hospital’s base year experience.</w:t>
      </w:r>
    </w:p>
    <w:p w14:paraId="377D139E" w14:textId="77777777" w:rsidR="0024160D" w:rsidRPr="0024160D" w:rsidRDefault="0024160D" w:rsidP="0024160D">
      <w:pPr>
        <w:spacing w:line="480" w:lineRule="auto"/>
        <w:ind w:right="144"/>
        <w:jc w:val="both"/>
        <w:rPr>
          <w:rFonts w:ascii="Arial" w:eastAsia="Calibri" w:hAnsi="Arial" w:cs="Arial"/>
          <w:sz w:val="24"/>
          <w:szCs w:val="24"/>
        </w:rPr>
      </w:pPr>
    </w:p>
    <w:p w14:paraId="546658E2" w14:textId="77777777" w:rsidR="0024160D" w:rsidRPr="0024160D" w:rsidRDefault="0024160D" w:rsidP="0024160D">
      <w:pPr>
        <w:spacing w:line="480" w:lineRule="auto"/>
        <w:ind w:right="144"/>
        <w:jc w:val="both"/>
        <w:rPr>
          <w:rFonts w:ascii="Arial" w:eastAsia="Calibri" w:hAnsi="Arial" w:cs="Arial"/>
          <w:b/>
          <w:sz w:val="24"/>
          <w:szCs w:val="24"/>
        </w:rPr>
      </w:pPr>
      <w:r w:rsidRPr="0024160D">
        <w:rPr>
          <w:rFonts w:ascii="Arial" w:eastAsia="Calibri" w:hAnsi="Arial" w:cs="Arial"/>
          <w:sz w:val="24"/>
          <w:szCs w:val="24"/>
        </w:rPr>
        <w:lastRenderedPageBreak/>
        <w:t>Consider three different hospitals that have an unweighted count of 100.  The first has all IRPs, the second has 80 IRPs and 20 fellows, and the third has 50 IRPs and 50 fellows.  The weighted FTE counts will be 100, 90 and 75.  The Provider wants to ignore a hospital’s base year weighting outcome as irrelevant in determining its DGME FTE allowance once the Cap was in place.  That is not justified by the statutory design or the regulation’s application.</w:t>
      </w:r>
    </w:p>
    <w:p w14:paraId="756CB0B0" w14:textId="77777777" w:rsidR="0024160D" w:rsidRPr="0024160D" w:rsidRDefault="0024160D" w:rsidP="0024160D">
      <w:pPr>
        <w:spacing w:line="480" w:lineRule="auto"/>
        <w:ind w:right="144"/>
        <w:jc w:val="both"/>
        <w:rPr>
          <w:rFonts w:ascii="Arial" w:eastAsia="Calibri" w:hAnsi="Arial" w:cs="Arial"/>
          <w:sz w:val="24"/>
          <w:szCs w:val="24"/>
        </w:rPr>
      </w:pPr>
    </w:p>
    <w:p w14:paraId="65C340ED"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Starting at the bottom of the first column at 62 FR 46005, an example is given for a hypothetical provider that illustrates the base year (1996), calculates the weighted FTE count for 1997, 1998 and 1999 and then modifies the 1998 calculation to apply the formula being challenged.</w:t>
      </w:r>
    </w:p>
    <w:p w14:paraId="0E9EC102" w14:textId="77777777" w:rsidR="0024160D" w:rsidRPr="0024160D" w:rsidRDefault="0024160D" w:rsidP="0024160D">
      <w:pPr>
        <w:spacing w:line="480" w:lineRule="auto"/>
        <w:ind w:right="144"/>
        <w:jc w:val="both"/>
        <w:rPr>
          <w:rFonts w:ascii="Arial" w:eastAsia="Calibri" w:hAnsi="Arial" w:cs="Arial"/>
          <w:sz w:val="24"/>
          <w:szCs w:val="24"/>
        </w:rPr>
      </w:pPr>
    </w:p>
    <w:p w14:paraId="7B5F1555" w14:textId="77777777" w:rsidR="0024160D" w:rsidRPr="0024160D" w:rsidRDefault="0024160D" w:rsidP="0024160D">
      <w:pPr>
        <w:ind w:left="720" w:right="144"/>
        <w:jc w:val="both"/>
        <w:rPr>
          <w:rFonts w:ascii="Arial" w:eastAsia="Calibri" w:hAnsi="Arial" w:cs="Arial"/>
          <w:b/>
          <w:sz w:val="24"/>
          <w:szCs w:val="24"/>
        </w:rPr>
      </w:pPr>
      <w:r w:rsidRPr="0024160D">
        <w:rPr>
          <w:rFonts w:ascii="Arial" w:eastAsia="Calibri" w:hAnsi="Arial" w:cs="Arial"/>
          <w:b/>
          <w:sz w:val="24"/>
          <w:szCs w:val="24"/>
        </w:rPr>
        <w:t xml:space="preserve">The following example illustrates determination of direct GME payment under the rolling average methodology: </w:t>
      </w:r>
    </w:p>
    <w:p w14:paraId="09C25325" w14:textId="77777777" w:rsidR="0024160D" w:rsidRPr="0024160D" w:rsidRDefault="0024160D" w:rsidP="0024160D">
      <w:pPr>
        <w:ind w:left="720" w:right="144"/>
        <w:jc w:val="both"/>
        <w:rPr>
          <w:rFonts w:ascii="Arial" w:eastAsia="Calibri" w:hAnsi="Arial" w:cs="Arial"/>
          <w:b/>
          <w:sz w:val="24"/>
          <w:szCs w:val="24"/>
        </w:rPr>
      </w:pPr>
    </w:p>
    <w:p w14:paraId="7EFC7041" w14:textId="77777777" w:rsidR="0024160D" w:rsidRPr="0024160D" w:rsidRDefault="0024160D" w:rsidP="0024160D">
      <w:pPr>
        <w:ind w:left="720" w:right="144"/>
        <w:jc w:val="both"/>
        <w:rPr>
          <w:rFonts w:ascii="Arial" w:eastAsia="Calibri" w:hAnsi="Arial" w:cs="Arial"/>
          <w:b/>
          <w:sz w:val="24"/>
          <w:szCs w:val="24"/>
        </w:rPr>
      </w:pPr>
      <w:r w:rsidRPr="0024160D">
        <w:rPr>
          <w:rFonts w:ascii="Arial" w:eastAsia="Calibri" w:hAnsi="Arial" w:cs="Arial"/>
          <w:b/>
          <w:sz w:val="24"/>
          <w:szCs w:val="24"/>
        </w:rPr>
        <w:t>Assume a hospital cost reporting period ending December 31, 1996 (beginning January 1, 1996) had 100 unweighted residents and 90 weighted FTE residents.  The hospital’s FTE Cap is 100 unweighted residents.</w:t>
      </w:r>
    </w:p>
    <w:p w14:paraId="356B6832" w14:textId="77777777" w:rsidR="0024160D" w:rsidRPr="0024160D" w:rsidRDefault="0024160D" w:rsidP="0024160D">
      <w:pPr>
        <w:spacing w:line="480" w:lineRule="auto"/>
        <w:ind w:right="144"/>
        <w:jc w:val="both"/>
        <w:rPr>
          <w:rFonts w:ascii="Arial" w:eastAsia="Calibri" w:hAnsi="Arial" w:cs="Arial"/>
          <w:sz w:val="24"/>
          <w:szCs w:val="24"/>
        </w:rPr>
      </w:pPr>
    </w:p>
    <w:p w14:paraId="7489264B"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As a starting point although not expressly stated, given 100 unweighted residents, 90 weighted residents and the weighting of 1.0 for and IRP and 0.5 for a fellow, the distribution in the base year had to be 80 IRPs and 20 fellows. (80 x 1.0 + 20 x 0.5) = 90.  Therefore, its DGME payment in the base year (1996) would have been based on 90 FTEs.  The weighted count is as important as the unweighted count.  The two values worked in concert when a particular hospital’s Cap was set in its 1996 base year.</w:t>
      </w:r>
    </w:p>
    <w:tbl>
      <w:tblPr>
        <w:tblW w:w="10340" w:type="dxa"/>
        <w:tblInd w:w="-444" w:type="dxa"/>
        <w:tblLook w:val="04A0" w:firstRow="1" w:lastRow="0" w:firstColumn="1" w:lastColumn="0" w:noHBand="0" w:noVBand="1"/>
      </w:tblPr>
      <w:tblGrid>
        <w:gridCol w:w="622"/>
        <w:gridCol w:w="1023"/>
        <w:gridCol w:w="380"/>
        <w:gridCol w:w="1070"/>
        <w:gridCol w:w="1070"/>
        <w:gridCol w:w="360"/>
        <w:gridCol w:w="844"/>
        <w:gridCol w:w="380"/>
        <w:gridCol w:w="1070"/>
        <w:gridCol w:w="371"/>
        <w:gridCol w:w="1027"/>
        <w:gridCol w:w="1233"/>
        <w:gridCol w:w="890"/>
      </w:tblGrid>
      <w:tr w:rsidR="003B583B" w:rsidRPr="003B583B" w14:paraId="15A179E9" w14:textId="77777777" w:rsidTr="00FD24B4">
        <w:trPr>
          <w:trHeight w:val="900"/>
        </w:trPr>
        <w:tc>
          <w:tcPr>
            <w:tcW w:w="622" w:type="dxa"/>
            <w:tcBorders>
              <w:top w:val="nil"/>
              <w:left w:val="nil"/>
              <w:bottom w:val="nil"/>
              <w:right w:val="nil"/>
            </w:tcBorders>
            <w:shd w:val="clear" w:color="auto" w:fill="auto"/>
            <w:noWrap/>
            <w:vAlign w:val="bottom"/>
            <w:hideMark/>
          </w:tcPr>
          <w:p w14:paraId="54C430D8" w14:textId="77777777" w:rsidR="003B583B" w:rsidRPr="003B583B" w:rsidRDefault="003B583B" w:rsidP="003B583B">
            <w:pPr>
              <w:jc w:val="center"/>
              <w:rPr>
                <w:rFonts w:ascii="Calibri" w:hAnsi="Calibri"/>
                <w:b/>
                <w:bCs/>
                <w:color w:val="000000"/>
              </w:rPr>
            </w:pPr>
            <w:r w:rsidRPr="003B583B">
              <w:rPr>
                <w:rFonts w:ascii="Calibri" w:hAnsi="Calibri"/>
                <w:b/>
                <w:bCs/>
                <w:color w:val="000000"/>
              </w:rPr>
              <w:lastRenderedPageBreak/>
              <w:t>FY</w:t>
            </w:r>
          </w:p>
        </w:tc>
        <w:tc>
          <w:tcPr>
            <w:tcW w:w="1023" w:type="dxa"/>
            <w:tcBorders>
              <w:top w:val="nil"/>
              <w:left w:val="nil"/>
              <w:bottom w:val="nil"/>
              <w:right w:val="nil"/>
            </w:tcBorders>
            <w:shd w:val="clear" w:color="auto" w:fill="auto"/>
            <w:vAlign w:val="bottom"/>
            <w:hideMark/>
          </w:tcPr>
          <w:p w14:paraId="0592A34B"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Residents in IRP </w:t>
            </w:r>
          </w:p>
        </w:tc>
        <w:tc>
          <w:tcPr>
            <w:tcW w:w="380" w:type="dxa"/>
            <w:tcBorders>
              <w:top w:val="nil"/>
              <w:left w:val="nil"/>
              <w:bottom w:val="nil"/>
              <w:right w:val="nil"/>
            </w:tcBorders>
            <w:shd w:val="clear" w:color="auto" w:fill="auto"/>
            <w:vAlign w:val="bottom"/>
            <w:hideMark/>
          </w:tcPr>
          <w:p w14:paraId="658F1909" w14:textId="77777777" w:rsidR="003B583B" w:rsidRPr="003B583B" w:rsidRDefault="003B583B" w:rsidP="003B583B">
            <w:pPr>
              <w:jc w:val="center"/>
              <w:rPr>
                <w:rFonts w:ascii="Calibri" w:hAnsi="Calibri"/>
                <w:b/>
                <w:bCs/>
                <w:color w:val="000000"/>
              </w:rPr>
            </w:pPr>
          </w:p>
        </w:tc>
        <w:tc>
          <w:tcPr>
            <w:tcW w:w="1070" w:type="dxa"/>
            <w:tcBorders>
              <w:top w:val="nil"/>
              <w:left w:val="nil"/>
              <w:bottom w:val="nil"/>
              <w:right w:val="nil"/>
            </w:tcBorders>
          </w:tcPr>
          <w:p w14:paraId="3DC04F3A" w14:textId="77777777" w:rsidR="003B583B" w:rsidRPr="003B583B" w:rsidRDefault="003B583B" w:rsidP="003B583B">
            <w:pPr>
              <w:jc w:val="center"/>
              <w:rPr>
                <w:rFonts w:ascii="Calibri" w:hAnsi="Calibri"/>
                <w:b/>
                <w:bCs/>
                <w:color w:val="000000"/>
              </w:rPr>
            </w:pPr>
          </w:p>
        </w:tc>
        <w:tc>
          <w:tcPr>
            <w:tcW w:w="1070" w:type="dxa"/>
            <w:tcBorders>
              <w:top w:val="nil"/>
              <w:left w:val="nil"/>
              <w:bottom w:val="nil"/>
              <w:right w:val="nil"/>
            </w:tcBorders>
            <w:shd w:val="clear" w:color="auto" w:fill="auto"/>
            <w:vAlign w:val="bottom"/>
            <w:hideMark/>
          </w:tcPr>
          <w:p w14:paraId="15AC3F90"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IRP Weighting </w:t>
            </w:r>
          </w:p>
        </w:tc>
        <w:tc>
          <w:tcPr>
            <w:tcW w:w="360" w:type="dxa"/>
            <w:tcBorders>
              <w:top w:val="nil"/>
              <w:left w:val="nil"/>
              <w:bottom w:val="nil"/>
              <w:right w:val="nil"/>
            </w:tcBorders>
            <w:shd w:val="clear" w:color="auto" w:fill="auto"/>
            <w:vAlign w:val="bottom"/>
            <w:hideMark/>
          </w:tcPr>
          <w:p w14:paraId="0C0F227A" w14:textId="77777777" w:rsidR="003B583B" w:rsidRPr="003B583B" w:rsidRDefault="003B583B" w:rsidP="003B583B">
            <w:pPr>
              <w:jc w:val="center"/>
              <w:rPr>
                <w:rFonts w:ascii="Calibri" w:hAnsi="Calibri"/>
                <w:b/>
                <w:bCs/>
                <w:color w:val="000000"/>
              </w:rPr>
            </w:pPr>
          </w:p>
        </w:tc>
        <w:tc>
          <w:tcPr>
            <w:tcW w:w="844" w:type="dxa"/>
            <w:tcBorders>
              <w:top w:val="nil"/>
              <w:left w:val="nil"/>
              <w:bottom w:val="nil"/>
              <w:right w:val="nil"/>
            </w:tcBorders>
            <w:shd w:val="clear" w:color="auto" w:fill="auto"/>
            <w:vAlign w:val="bottom"/>
            <w:hideMark/>
          </w:tcPr>
          <w:p w14:paraId="3BAA4769"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Fellows </w:t>
            </w:r>
          </w:p>
        </w:tc>
        <w:tc>
          <w:tcPr>
            <w:tcW w:w="380" w:type="dxa"/>
            <w:tcBorders>
              <w:top w:val="nil"/>
              <w:left w:val="nil"/>
              <w:bottom w:val="nil"/>
              <w:right w:val="nil"/>
            </w:tcBorders>
            <w:shd w:val="clear" w:color="auto" w:fill="auto"/>
            <w:vAlign w:val="bottom"/>
            <w:hideMark/>
          </w:tcPr>
          <w:p w14:paraId="0E825D9D" w14:textId="77777777" w:rsidR="003B583B" w:rsidRPr="003B583B" w:rsidRDefault="003B583B" w:rsidP="003B583B">
            <w:pPr>
              <w:jc w:val="center"/>
              <w:rPr>
                <w:rFonts w:ascii="Calibri" w:hAnsi="Calibri"/>
                <w:b/>
                <w:bCs/>
                <w:color w:val="000000"/>
              </w:rPr>
            </w:pPr>
          </w:p>
        </w:tc>
        <w:tc>
          <w:tcPr>
            <w:tcW w:w="1070" w:type="dxa"/>
            <w:tcBorders>
              <w:top w:val="nil"/>
              <w:left w:val="nil"/>
              <w:bottom w:val="nil"/>
              <w:right w:val="nil"/>
            </w:tcBorders>
            <w:shd w:val="clear" w:color="auto" w:fill="auto"/>
            <w:vAlign w:val="bottom"/>
            <w:hideMark/>
          </w:tcPr>
          <w:p w14:paraId="3A4E1B0A"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Fellows Weighting </w:t>
            </w:r>
          </w:p>
        </w:tc>
        <w:tc>
          <w:tcPr>
            <w:tcW w:w="371" w:type="dxa"/>
            <w:tcBorders>
              <w:top w:val="nil"/>
              <w:left w:val="nil"/>
              <w:bottom w:val="nil"/>
              <w:right w:val="nil"/>
            </w:tcBorders>
            <w:shd w:val="clear" w:color="auto" w:fill="auto"/>
            <w:vAlign w:val="bottom"/>
            <w:hideMark/>
          </w:tcPr>
          <w:p w14:paraId="617021A7" w14:textId="77777777" w:rsidR="003B583B" w:rsidRPr="003B583B" w:rsidRDefault="003B583B" w:rsidP="003B583B">
            <w:pPr>
              <w:jc w:val="center"/>
              <w:rPr>
                <w:rFonts w:ascii="Calibri" w:hAnsi="Calibri"/>
                <w:b/>
                <w:bCs/>
                <w:color w:val="000000"/>
              </w:rPr>
            </w:pPr>
          </w:p>
        </w:tc>
        <w:tc>
          <w:tcPr>
            <w:tcW w:w="1027" w:type="dxa"/>
            <w:tcBorders>
              <w:top w:val="nil"/>
              <w:left w:val="nil"/>
              <w:bottom w:val="nil"/>
              <w:right w:val="nil"/>
            </w:tcBorders>
            <w:shd w:val="clear" w:color="auto" w:fill="auto"/>
            <w:vAlign w:val="bottom"/>
            <w:hideMark/>
          </w:tcPr>
          <w:p w14:paraId="25C7E766"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Weighted FTE Count </w:t>
            </w:r>
          </w:p>
        </w:tc>
        <w:tc>
          <w:tcPr>
            <w:tcW w:w="1233" w:type="dxa"/>
            <w:tcBorders>
              <w:top w:val="nil"/>
              <w:left w:val="nil"/>
              <w:bottom w:val="nil"/>
              <w:right w:val="nil"/>
            </w:tcBorders>
            <w:shd w:val="clear" w:color="auto" w:fill="auto"/>
            <w:vAlign w:val="bottom"/>
            <w:hideMark/>
          </w:tcPr>
          <w:p w14:paraId="010504D5"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Unweighted FTE Count </w:t>
            </w:r>
          </w:p>
        </w:tc>
        <w:tc>
          <w:tcPr>
            <w:tcW w:w="890" w:type="dxa"/>
            <w:tcBorders>
              <w:top w:val="nil"/>
              <w:left w:val="nil"/>
              <w:bottom w:val="nil"/>
              <w:right w:val="nil"/>
            </w:tcBorders>
            <w:shd w:val="clear" w:color="auto" w:fill="auto"/>
            <w:vAlign w:val="bottom"/>
            <w:hideMark/>
          </w:tcPr>
          <w:p w14:paraId="38970B83"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of IRPs to Total</w:t>
            </w:r>
          </w:p>
        </w:tc>
      </w:tr>
      <w:tr w:rsidR="003B583B" w:rsidRPr="003B583B" w14:paraId="288594A2" w14:textId="77777777" w:rsidTr="00FD24B4">
        <w:trPr>
          <w:trHeight w:val="300"/>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E8C00" w14:textId="77777777" w:rsidR="003B583B" w:rsidRPr="003B583B" w:rsidRDefault="003B583B" w:rsidP="003B583B">
            <w:pPr>
              <w:jc w:val="center"/>
              <w:rPr>
                <w:rFonts w:ascii="Calibri" w:hAnsi="Calibri"/>
                <w:color w:val="000000"/>
              </w:rPr>
            </w:pPr>
            <w:r w:rsidRPr="003B583B">
              <w:rPr>
                <w:rFonts w:ascii="Calibri" w:hAnsi="Calibri"/>
                <w:color w:val="000000"/>
              </w:rPr>
              <w:t>1996</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4DDCA39" w14:textId="77777777" w:rsidR="003B583B" w:rsidRPr="003B583B" w:rsidRDefault="003B583B" w:rsidP="003B583B">
            <w:pPr>
              <w:jc w:val="center"/>
              <w:rPr>
                <w:rFonts w:ascii="Calibri" w:hAnsi="Calibri"/>
                <w:color w:val="000000"/>
              </w:rPr>
            </w:pPr>
            <w:r w:rsidRPr="003B583B">
              <w:rPr>
                <w:rFonts w:ascii="Calibri" w:hAnsi="Calibri"/>
                <w:color w:val="000000"/>
              </w:rPr>
              <w:t xml:space="preserve">  80.00         80.00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4BA3A7AD" w14:textId="77777777" w:rsidR="003B583B" w:rsidRPr="003B583B" w:rsidRDefault="003B583B" w:rsidP="003B583B">
            <w:pPr>
              <w:jc w:val="center"/>
              <w:rPr>
                <w:rFonts w:ascii="Calibri" w:hAnsi="Calibri"/>
                <w:bCs/>
                <w:color w:val="000000"/>
              </w:rPr>
            </w:pPr>
            <w:r w:rsidRPr="003B583B">
              <w:rPr>
                <w:rFonts w:ascii="Calibri" w:hAnsi="Calibri"/>
                <w:bCs/>
                <w:color w:val="000000"/>
              </w:rPr>
              <w:t xml:space="preserve"> X </w:t>
            </w:r>
          </w:p>
        </w:tc>
        <w:tc>
          <w:tcPr>
            <w:tcW w:w="1070" w:type="dxa"/>
            <w:tcBorders>
              <w:top w:val="single" w:sz="4" w:space="0" w:color="auto"/>
              <w:left w:val="nil"/>
              <w:bottom w:val="single" w:sz="4" w:space="0" w:color="auto"/>
              <w:right w:val="nil"/>
            </w:tcBorders>
          </w:tcPr>
          <w:p w14:paraId="60646FD0" w14:textId="77777777" w:rsidR="003B583B" w:rsidRPr="003B583B" w:rsidRDefault="003B583B" w:rsidP="003B583B">
            <w:pPr>
              <w:jc w:val="center"/>
              <w:rPr>
                <w:rFonts w:ascii="Calibri" w:hAnsi="Calibri"/>
                <w:color w:val="000000"/>
              </w:rPr>
            </w:pP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082261D9" w14:textId="77777777" w:rsidR="003B583B" w:rsidRPr="003B583B" w:rsidRDefault="003B583B" w:rsidP="003B583B">
            <w:pPr>
              <w:jc w:val="center"/>
              <w:rPr>
                <w:rFonts w:ascii="Calibri" w:hAnsi="Calibri"/>
                <w:color w:val="000000"/>
              </w:rPr>
            </w:pPr>
            <w:r w:rsidRPr="003B583B">
              <w:rPr>
                <w:rFonts w:ascii="Calibri" w:hAnsi="Calibri"/>
                <w:color w:val="000000"/>
              </w:rPr>
              <w:t xml:space="preserve">             1.00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2A1068CC" w14:textId="77777777" w:rsidR="003B583B" w:rsidRPr="003B583B" w:rsidRDefault="003B583B" w:rsidP="003B583B">
            <w:pPr>
              <w:jc w:val="center"/>
              <w:rPr>
                <w:rFonts w:ascii="Calibri" w:hAnsi="Calibri"/>
                <w:bCs/>
                <w:color w:val="000000"/>
              </w:rPr>
            </w:pPr>
            <w:r w:rsidRPr="003B583B">
              <w:rPr>
                <w:rFonts w:ascii="Calibri" w:hAnsi="Calibri"/>
                <w:bCs/>
                <w:color w:val="000000"/>
              </w:rPr>
              <w:t xml:space="preserve"> + </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52911EF8" w14:textId="77777777" w:rsidR="003B583B" w:rsidRPr="003B583B" w:rsidRDefault="003B583B" w:rsidP="003B583B">
            <w:pPr>
              <w:jc w:val="center"/>
              <w:rPr>
                <w:rFonts w:ascii="Calibri" w:hAnsi="Calibri"/>
                <w:color w:val="000000"/>
              </w:rPr>
            </w:pPr>
            <w:r w:rsidRPr="003B583B">
              <w:rPr>
                <w:rFonts w:ascii="Calibri" w:hAnsi="Calibri"/>
                <w:color w:val="000000"/>
              </w:rPr>
              <w:t xml:space="preserve">        20.00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245DE72A" w14:textId="77777777" w:rsidR="003B583B" w:rsidRPr="003B583B" w:rsidRDefault="003B583B" w:rsidP="003B583B">
            <w:pPr>
              <w:jc w:val="center"/>
              <w:rPr>
                <w:rFonts w:ascii="Calibri" w:hAnsi="Calibri"/>
                <w:bCs/>
                <w:color w:val="000000"/>
              </w:rPr>
            </w:pPr>
            <w:r w:rsidRPr="003B583B">
              <w:rPr>
                <w:rFonts w:ascii="Calibri" w:hAnsi="Calibri"/>
                <w:bCs/>
                <w:color w:val="000000"/>
              </w:rPr>
              <w:t xml:space="preserve"> X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4179EC48" w14:textId="77777777" w:rsidR="003B583B" w:rsidRPr="003B583B" w:rsidRDefault="003B583B" w:rsidP="003B583B">
            <w:pPr>
              <w:jc w:val="center"/>
              <w:rPr>
                <w:rFonts w:ascii="Calibri" w:hAnsi="Calibri"/>
                <w:color w:val="000000"/>
              </w:rPr>
            </w:pPr>
            <w:r w:rsidRPr="003B583B">
              <w:rPr>
                <w:rFonts w:ascii="Calibri" w:hAnsi="Calibri"/>
                <w:color w:val="000000"/>
              </w:rPr>
              <w:t xml:space="preserve">              0.50 </w:t>
            </w:r>
          </w:p>
        </w:tc>
        <w:tc>
          <w:tcPr>
            <w:tcW w:w="371" w:type="dxa"/>
            <w:tcBorders>
              <w:top w:val="single" w:sz="4" w:space="0" w:color="auto"/>
              <w:left w:val="nil"/>
              <w:bottom w:val="single" w:sz="4" w:space="0" w:color="auto"/>
              <w:right w:val="single" w:sz="4" w:space="0" w:color="auto"/>
            </w:tcBorders>
            <w:shd w:val="clear" w:color="auto" w:fill="auto"/>
            <w:noWrap/>
            <w:vAlign w:val="bottom"/>
            <w:hideMark/>
          </w:tcPr>
          <w:p w14:paraId="7D6A5E91"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 </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74BAEDC3" w14:textId="77777777" w:rsidR="003B583B" w:rsidRPr="003B583B" w:rsidRDefault="003B583B" w:rsidP="003B583B">
            <w:pPr>
              <w:jc w:val="center"/>
              <w:rPr>
                <w:rFonts w:ascii="Calibri" w:hAnsi="Calibri"/>
                <w:color w:val="000000"/>
              </w:rPr>
            </w:pPr>
            <w:r w:rsidRPr="003B583B">
              <w:rPr>
                <w:rFonts w:ascii="Calibri" w:hAnsi="Calibri"/>
                <w:color w:val="000000"/>
              </w:rPr>
              <w:t xml:space="preserve">          90.00 </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4240533E" w14:textId="77777777" w:rsidR="003B583B" w:rsidRPr="003B583B" w:rsidRDefault="003B583B" w:rsidP="003B583B">
            <w:pPr>
              <w:jc w:val="center"/>
              <w:rPr>
                <w:rFonts w:ascii="Calibri" w:hAnsi="Calibri"/>
                <w:color w:val="000000"/>
              </w:rPr>
            </w:pPr>
            <w:r w:rsidRPr="003B583B">
              <w:rPr>
                <w:rFonts w:ascii="Calibri" w:hAnsi="Calibri"/>
                <w:color w:val="000000"/>
              </w:rPr>
              <w:t>100.00</w:t>
            </w:r>
          </w:p>
        </w:tc>
        <w:tc>
          <w:tcPr>
            <w:tcW w:w="890" w:type="dxa"/>
            <w:tcBorders>
              <w:top w:val="single" w:sz="4" w:space="0" w:color="auto"/>
              <w:left w:val="nil"/>
              <w:bottom w:val="single" w:sz="4" w:space="0" w:color="auto"/>
              <w:right w:val="single" w:sz="4" w:space="0" w:color="auto"/>
            </w:tcBorders>
            <w:shd w:val="clear" w:color="auto" w:fill="auto"/>
            <w:noWrap/>
            <w:vAlign w:val="bottom"/>
            <w:hideMark/>
          </w:tcPr>
          <w:p w14:paraId="38C63FAD" w14:textId="77777777" w:rsidR="003B583B" w:rsidRPr="003B583B" w:rsidRDefault="003B583B" w:rsidP="003B583B">
            <w:pPr>
              <w:jc w:val="center"/>
              <w:rPr>
                <w:rFonts w:ascii="Calibri" w:hAnsi="Calibri"/>
                <w:color w:val="000000"/>
              </w:rPr>
            </w:pPr>
            <w:r w:rsidRPr="003B583B">
              <w:rPr>
                <w:rFonts w:ascii="Calibri" w:hAnsi="Calibri"/>
                <w:color w:val="000000"/>
              </w:rPr>
              <w:t>80.0%</w:t>
            </w:r>
          </w:p>
        </w:tc>
      </w:tr>
    </w:tbl>
    <w:p w14:paraId="4C8F0D2C" w14:textId="77777777" w:rsidR="0024160D" w:rsidRPr="0024160D" w:rsidRDefault="0024160D" w:rsidP="00947975">
      <w:pPr>
        <w:ind w:left="-720" w:right="-1440"/>
        <w:jc w:val="both"/>
        <w:rPr>
          <w:rFonts w:ascii="Arial" w:eastAsia="Calibri" w:hAnsi="Arial" w:cs="Arial"/>
          <w:sz w:val="24"/>
          <w:szCs w:val="24"/>
        </w:rPr>
      </w:pPr>
    </w:p>
    <w:p w14:paraId="26F929A0" w14:textId="77777777" w:rsidR="0024160D" w:rsidRPr="0024160D" w:rsidRDefault="0024160D" w:rsidP="00947975">
      <w:pPr>
        <w:ind w:left="-720" w:right="-1440"/>
        <w:jc w:val="both"/>
        <w:rPr>
          <w:rFonts w:ascii="Arial" w:eastAsia="Calibri" w:hAnsi="Arial" w:cs="Arial"/>
          <w:sz w:val="24"/>
          <w:szCs w:val="24"/>
        </w:rPr>
      </w:pPr>
    </w:p>
    <w:p w14:paraId="7B32EED9"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The dispute begins here.  It is true that the hospital’s allowable FTE count can never exceed 100. The Provider implicitly argues that if the unweighted count exceeds 100 in a future year, then 100 FTEs is the payment multiplier.  The Provider’s unstated argument is that the base year mix of IRPs and fellows is irrelevant for future years with the Cap in play.  The MAC responds that weighted base year experience is an inseparable part of future year FTE counts. </w:t>
      </w:r>
    </w:p>
    <w:p w14:paraId="6C01FBBD" w14:textId="77777777" w:rsidR="0024160D" w:rsidRPr="0024160D" w:rsidRDefault="0024160D" w:rsidP="0024160D">
      <w:pPr>
        <w:spacing w:line="480" w:lineRule="auto"/>
        <w:ind w:right="144"/>
        <w:jc w:val="both"/>
        <w:rPr>
          <w:rFonts w:ascii="Arial" w:eastAsia="Calibri" w:hAnsi="Arial" w:cs="Arial"/>
          <w:sz w:val="24"/>
          <w:szCs w:val="24"/>
        </w:rPr>
      </w:pPr>
    </w:p>
    <w:p w14:paraId="23237AD2"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The preamble continues </w:t>
      </w:r>
      <w:r w:rsidRPr="0024160D">
        <w:rPr>
          <w:rFonts w:ascii="Arial" w:eastAsia="Calibri" w:hAnsi="Arial" w:cs="Arial"/>
          <w:b/>
          <w:sz w:val="24"/>
          <w:szCs w:val="24"/>
        </w:rPr>
        <w:t>(in bold)</w:t>
      </w:r>
      <w:r w:rsidRPr="0024160D">
        <w:rPr>
          <w:rFonts w:ascii="Arial" w:eastAsia="Calibri" w:hAnsi="Arial" w:cs="Arial"/>
          <w:sz w:val="24"/>
          <w:szCs w:val="24"/>
        </w:rPr>
        <w:t>,</w:t>
      </w:r>
      <w:r w:rsidRPr="0024160D">
        <w:rPr>
          <w:rFonts w:ascii="Arial" w:eastAsia="Calibri" w:hAnsi="Arial" w:cs="Arial"/>
          <w:b/>
          <w:sz w:val="24"/>
          <w:szCs w:val="24"/>
        </w:rPr>
        <w:t xml:space="preserve"> </w:t>
      </w:r>
      <w:r w:rsidRPr="0024160D">
        <w:rPr>
          <w:rFonts w:ascii="Arial" w:eastAsia="Calibri" w:hAnsi="Arial" w:cs="Arial"/>
          <w:sz w:val="24"/>
          <w:szCs w:val="24"/>
        </w:rPr>
        <w:t>with MAC annotations following:</w:t>
      </w:r>
    </w:p>
    <w:p w14:paraId="232B9931" w14:textId="77777777" w:rsidR="0024160D" w:rsidRPr="0024160D" w:rsidRDefault="0024160D" w:rsidP="006407D3">
      <w:pPr>
        <w:ind w:left="720" w:right="144"/>
        <w:jc w:val="both"/>
        <w:rPr>
          <w:rFonts w:ascii="Arial" w:eastAsia="Calibri" w:hAnsi="Arial" w:cs="Arial"/>
          <w:sz w:val="24"/>
          <w:szCs w:val="24"/>
        </w:rPr>
      </w:pPr>
    </w:p>
    <w:p w14:paraId="5AA0AA8A" w14:textId="77777777" w:rsidR="0024160D" w:rsidRPr="0024160D" w:rsidRDefault="0024160D" w:rsidP="006407D3">
      <w:pPr>
        <w:ind w:left="720" w:right="144"/>
        <w:jc w:val="both"/>
        <w:rPr>
          <w:rFonts w:ascii="Arial" w:eastAsia="Calibri" w:hAnsi="Arial" w:cs="Arial"/>
          <w:b/>
          <w:sz w:val="24"/>
          <w:szCs w:val="24"/>
        </w:rPr>
      </w:pPr>
      <w:r w:rsidRPr="0024160D">
        <w:rPr>
          <w:rFonts w:ascii="Arial" w:eastAsia="Calibri" w:hAnsi="Arial" w:cs="Arial"/>
          <w:b/>
          <w:sz w:val="24"/>
          <w:szCs w:val="24"/>
        </w:rPr>
        <w:t>Step one.  In its cost reporting period beginning January 1, 1997, it had 100 unweighted residents and 90 weighted residents.</w:t>
      </w:r>
    </w:p>
    <w:p w14:paraId="60BB63BF" w14:textId="77777777" w:rsidR="0024160D" w:rsidRPr="0024160D" w:rsidRDefault="0024160D" w:rsidP="0024160D">
      <w:pPr>
        <w:spacing w:line="480" w:lineRule="auto"/>
        <w:ind w:right="144"/>
        <w:jc w:val="both"/>
        <w:rPr>
          <w:rFonts w:ascii="Arial" w:eastAsia="Calibri" w:hAnsi="Arial" w:cs="Arial"/>
          <w:b/>
          <w:sz w:val="24"/>
          <w:szCs w:val="24"/>
        </w:rPr>
      </w:pPr>
    </w:p>
    <w:tbl>
      <w:tblPr>
        <w:tblW w:w="9238" w:type="dxa"/>
        <w:tblInd w:w="540" w:type="dxa"/>
        <w:tblLook w:val="04A0" w:firstRow="1" w:lastRow="0" w:firstColumn="1" w:lastColumn="0" w:noHBand="0" w:noVBand="1"/>
      </w:tblPr>
      <w:tblGrid>
        <w:gridCol w:w="622"/>
        <w:gridCol w:w="1023"/>
        <w:gridCol w:w="380"/>
        <w:gridCol w:w="1070"/>
        <w:gridCol w:w="360"/>
        <w:gridCol w:w="865"/>
        <w:gridCol w:w="380"/>
        <w:gridCol w:w="1070"/>
        <w:gridCol w:w="350"/>
        <w:gridCol w:w="1060"/>
        <w:gridCol w:w="1233"/>
        <w:gridCol w:w="868"/>
      </w:tblGrid>
      <w:tr w:rsidR="00557598" w:rsidRPr="00557598" w14:paraId="2549D779" w14:textId="77777777" w:rsidTr="00FD24B4">
        <w:trPr>
          <w:trHeight w:val="900"/>
        </w:trPr>
        <w:tc>
          <w:tcPr>
            <w:tcW w:w="622" w:type="dxa"/>
            <w:tcBorders>
              <w:top w:val="nil"/>
              <w:left w:val="nil"/>
              <w:bottom w:val="nil"/>
              <w:right w:val="nil"/>
            </w:tcBorders>
            <w:shd w:val="clear" w:color="auto" w:fill="auto"/>
            <w:noWrap/>
            <w:vAlign w:val="bottom"/>
            <w:hideMark/>
          </w:tcPr>
          <w:p w14:paraId="098B7183" w14:textId="77777777" w:rsidR="00557598" w:rsidRPr="00557598" w:rsidRDefault="00557598" w:rsidP="00557598">
            <w:pPr>
              <w:jc w:val="center"/>
              <w:rPr>
                <w:rFonts w:ascii="Calibri" w:hAnsi="Calibri"/>
                <w:b/>
                <w:bCs/>
                <w:color w:val="000000"/>
              </w:rPr>
            </w:pPr>
            <w:r w:rsidRPr="00557598">
              <w:rPr>
                <w:rFonts w:ascii="Calibri" w:hAnsi="Calibri"/>
                <w:b/>
                <w:bCs/>
                <w:color w:val="000000"/>
              </w:rPr>
              <w:t>FY</w:t>
            </w:r>
          </w:p>
        </w:tc>
        <w:tc>
          <w:tcPr>
            <w:tcW w:w="1023" w:type="dxa"/>
            <w:tcBorders>
              <w:top w:val="nil"/>
              <w:left w:val="nil"/>
              <w:bottom w:val="nil"/>
              <w:right w:val="nil"/>
            </w:tcBorders>
            <w:shd w:val="clear" w:color="auto" w:fill="auto"/>
            <w:vAlign w:val="bottom"/>
            <w:hideMark/>
          </w:tcPr>
          <w:p w14:paraId="458E625E"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Residents in IRP </w:t>
            </w:r>
          </w:p>
        </w:tc>
        <w:tc>
          <w:tcPr>
            <w:tcW w:w="380" w:type="dxa"/>
            <w:tcBorders>
              <w:top w:val="nil"/>
              <w:left w:val="nil"/>
              <w:bottom w:val="nil"/>
              <w:right w:val="nil"/>
            </w:tcBorders>
            <w:shd w:val="clear" w:color="auto" w:fill="auto"/>
            <w:vAlign w:val="bottom"/>
            <w:hideMark/>
          </w:tcPr>
          <w:p w14:paraId="02607756" w14:textId="77777777" w:rsidR="00557598" w:rsidRPr="00557598" w:rsidRDefault="00557598" w:rsidP="00557598">
            <w:pPr>
              <w:jc w:val="center"/>
              <w:rPr>
                <w:rFonts w:ascii="Calibri" w:hAnsi="Calibri"/>
                <w:b/>
                <w:bCs/>
                <w:color w:val="000000"/>
              </w:rPr>
            </w:pPr>
          </w:p>
        </w:tc>
        <w:tc>
          <w:tcPr>
            <w:tcW w:w="1070" w:type="dxa"/>
            <w:tcBorders>
              <w:top w:val="nil"/>
              <w:left w:val="nil"/>
              <w:bottom w:val="nil"/>
              <w:right w:val="nil"/>
            </w:tcBorders>
            <w:shd w:val="clear" w:color="auto" w:fill="auto"/>
            <w:vAlign w:val="bottom"/>
            <w:hideMark/>
          </w:tcPr>
          <w:p w14:paraId="49CEC0C9"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IRP Weighting </w:t>
            </w:r>
          </w:p>
        </w:tc>
        <w:tc>
          <w:tcPr>
            <w:tcW w:w="360" w:type="dxa"/>
            <w:tcBorders>
              <w:top w:val="nil"/>
              <w:left w:val="nil"/>
              <w:bottom w:val="nil"/>
              <w:right w:val="nil"/>
            </w:tcBorders>
            <w:shd w:val="clear" w:color="auto" w:fill="auto"/>
            <w:vAlign w:val="bottom"/>
            <w:hideMark/>
          </w:tcPr>
          <w:p w14:paraId="1BC6AEC0" w14:textId="77777777" w:rsidR="00557598" w:rsidRPr="00557598" w:rsidRDefault="00557598" w:rsidP="00557598">
            <w:pPr>
              <w:jc w:val="center"/>
              <w:rPr>
                <w:rFonts w:ascii="Calibri" w:hAnsi="Calibri"/>
                <w:b/>
                <w:bCs/>
                <w:color w:val="000000"/>
              </w:rPr>
            </w:pPr>
          </w:p>
        </w:tc>
        <w:tc>
          <w:tcPr>
            <w:tcW w:w="865" w:type="dxa"/>
            <w:tcBorders>
              <w:top w:val="nil"/>
              <w:left w:val="nil"/>
              <w:bottom w:val="nil"/>
              <w:right w:val="nil"/>
            </w:tcBorders>
            <w:shd w:val="clear" w:color="auto" w:fill="auto"/>
            <w:vAlign w:val="bottom"/>
            <w:hideMark/>
          </w:tcPr>
          <w:p w14:paraId="302AAA0F"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Fellows </w:t>
            </w:r>
          </w:p>
        </w:tc>
        <w:tc>
          <w:tcPr>
            <w:tcW w:w="380" w:type="dxa"/>
            <w:tcBorders>
              <w:top w:val="nil"/>
              <w:left w:val="nil"/>
              <w:bottom w:val="nil"/>
              <w:right w:val="nil"/>
            </w:tcBorders>
            <w:shd w:val="clear" w:color="auto" w:fill="auto"/>
            <w:vAlign w:val="bottom"/>
            <w:hideMark/>
          </w:tcPr>
          <w:p w14:paraId="6FCABEAA" w14:textId="77777777" w:rsidR="00557598" w:rsidRPr="00557598" w:rsidRDefault="00557598" w:rsidP="00557598">
            <w:pPr>
              <w:jc w:val="center"/>
              <w:rPr>
                <w:rFonts w:ascii="Calibri" w:hAnsi="Calibri"/>
                <w:b/>
                <w:bCs/>
                <w:color w:val="000000"/>
              </w:rPr>
            </w:pPr>
          </w:p>
        </w:tc>
        <w:tc>
          <w:tcPr>
            <w:tcW w:w="1070" w:type="dxa"/>
            <w:tcBorders>
              <w:top w:val="nil"/>
              <w:left w:val="nil"/>
              <w:bottom w:val="nil"/>
              <w:right w:val="nil"/>
            </w:tcBorders>
            <w:shd w:val="clear" w:color="auto" w:fill="auto"/>
            <w:vAlign w:val="bottom"/>
            <w:hideMark/>
          </w:tcPr>
          <w:p w14:paraId="500168F5"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Fellows Weighting </w:t>
            </w:r>
          </w:p>
        </w:tc>
        <w:tc>
          <w:tcPr>
            <w:tcW w:w="350" w:type="dxa"/>
            <w:tcBorders>
              <w:top w:val="nil"/>
              <w:left w:val="nil"/>
              <w:bottom w:val="nil"/>
              <w:right w:val="nil"/>
            </w:tcBorders>
            <w:shd w:val="clear" w:color="auto" w:fill="auto"/>
            <w:vAlign w:val="bottom"/>
            <w:hideMark/>
          </w:tcPr>
          <w:p w14:paraId="612459BE" w14:textId="77777777" w:rsidR="00557598" w:rsidRPr="00557598" w:rsidRDefault="00557598" w:rsidP="00557598">
            <w:pPr>
              <w:jc w:val="center"/>
              <w:rPr>
                <w:rFonts w:ascii="Calibri" w:hAnsi="Calibri"/>
                <w:b/>
                <w:bCs/>
                <w:color w:val="000000"/>
              </w:rPr>
            </w:pPr>
          </w:p>
        </w:tc>
        <w:tc>
          <w:tcPr>
            <w:tcW w:w="1060" w:type="dxa"/>
            <w:tcBorders>
              <w:top w:val="nil"/>
              <w:left w:val="nil"/>
              <w:bottom w:val="nil"/>
              <w:right w:val="nil"/>
            </w:tcBorders>
            <w:shd w:val="clear" w:color="auto" w:fill="auto"/>
            <w:vAlign w:val="bottom"/>
            <w:hideMark/>
          </w:tcPr>
          <w:p w14:paraId="4A93A697"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Weighted FTE Count </w:t>
            </w:r>
          </w:p>
        </w:tc>
        <w:tc>
          <w:tcPr>
            <w:tcW w:w="1190" w:type="dxa"/>
            <w:tcBorders>
              <w:top w:val="nil"/>
              <w:left w:val="nil"/>
              <w:bottom w:val="nil"/>
              <w:right w:val="nil"/>
            </w:tcBorders>
            <w:shd w:val="clear" w:color="auto" w:fill="auto"/>
            <w:vAlign w:val="bottom"/>
            <w:hideMark/>
          </w:tcPr>
          <w:p w14:paraId="1D6ABD28"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Unweighted FTE Count </w:t>
            </w:r>
          </w:p>
        </w:tc>
        <w:tc>
          <w:tcPr>
            <w:tcW w:w="868" w:type="dxa"/>
            <w:tcBorders>
              <w:top w:val="nil"/>
              <w:left w:val="nil"/>
              <w:bottom w:val="nil"/>
              <w:right w:val="nil"/>
            </w:tcBorders>
            <w:shd w:val="clear" w:color="auto" w:fill="auto"/>
            <w:vAlign w:val="bottom"/>
            <w:hideMark/>
          </w:tcPr>
          <w:p w14:paraId="22E77A41"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of IRPs to Total</w:t>
            </w:r>
          </w:p>
        </w:tc>
      </w:tr>
      <w:tr w:rsidR="00557598" w:rsidRPr="00557598" w14:paraId="7639F45E" w14:textId="77777777" w:rsidTr="00FD24B4">
        <w:trPr>
          <w:trHeight w:val="300"/>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BF7DA" w14:textId="77777777" w:rsidR="00557598" w:rsidRPr="00557598" w:rsidRDefault="00557598" w:rsidP="00557598">
            <w:pPr>
              <w:jc w:val="center"/>
              <w:rPr>
                <w:rFonts w:ascii="Calibri" w:hAnsi="Calibri"/>
                <w:color w:val="000000"/>
              </w:rPr>
            </w:pPr>
            <w:r w:rsidRPr="00557598">
              <w:rPr>
                <w:rFonts w:ascii="Calibri" w:hAnsi="Calibri"/>
                <w:color w:val="000000"/>
              </w:rPr>
              <w:t>1997</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3DC03731" w14:textId="77777777" w:rsidR="00557598" w:rsidRPr="00557598" w:rsidRDefault="00557598" w:rsidP="00557598">
            <w:pPr>
              <w:jc w:val="center"/>
              <w:rPr>
                <w:rFonts w:ascii="Calibri" w:hAnsi="Calibri"/>
                <w:color w:val="000000"/>
              </w:rPr>
            </w:pPr>
            <w:r w:rsidRPr="00557598">
              <w:rPr>
                <w:rFonts w:ascii="Calibri" w:hAnsi="Calibri"/>
                <w:color w:val="000000"/>
              </w:rPr>
              <w:t xml:space="preserve">           80.00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12123A34" w14:textId="77777777" w:rsidR="00557598" w:rsidRPr="00557598" w:rsidRDefault="00557598" w:rsidP="00557598">
            <w:pPr>
              <w:jc w:val="center"/>
              <w:rPr>
                <w:rFonts w:ascii="Calibri" w:hAnsi="Calibri"/>
                <w:bCs/>
                <w:color w:val="000000"/>
              </w:rPr>
            </w:pPr>
            <w:r w:rsidRPr="00557598">
              <w:rPr>
                <w:rFonts w:ascii="Calibri" w:hAnsi="Calibri"/>
                <w:bCs/>
                <w:color w:val="000000"/>
              </w:rPr>
              <w:t xml:space="preserve"> X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604FA9D7" w14:textId="77777777" w:rsidR="00557598" w:rsidRPr="00557598" w:rsidRDefault="00557598" w:rsidP="00557598">
            <w:pPr>
              <w:jc w:val="center"/>
              <w:rPr>
                <w:rFonts w:ascii="Calibri" w:hAnsi="Calibri"/>
                <w:color w:val="000000"/>
              </w:rPr>
            </w:pPr>
            <w:r w:rsidRPr="00557598">
              <w:rPr>
                <w:rFonts w:ascii="Calibri" w:hAnsi="Calibri"/>
                <w:color w:val="000000"/>
              </w:rPr>
              <w:t xml:space="preserve">             1.00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6B338BD9" w14:textId="77777777" w:rsidR="00557598" w:rsidRPr="00557598" w:rsidRDefault="00557598" w:rsidP="00557598">
            <w:pPr>
              <w:jc w:val="center"/>
              <w:rPr>
                <w:rFonts w:ascii="Calibri" w:hAnsi="Calibri"/>
                <w:bCs/>
                <w:color w:val="000000"/>
              </w:rPr>
            </w:pPr>
            <w:r w:rsidRPr="00557598">
              <w:rPr>
                <w:rFonts w:ascii="Calibri" w:hAnsi="Calibri"/>
                <w:bCs/>
                <w:color w:val="000000"/>
              </w:rPr>
              <w:t xml:space="preserve"> + </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3388EF81" w14:textId="77777777" w:rsidR="00557598" w:rsidRPr="00557598" w:rsidRDefault="00557598" w:rsidP="00557598">
            <w:pPr>
              <w:jc w:val="center"/>
              <w:rPr>
                <w:rFonts w:ascii="Calibri" w:hAnsi="Calibri"/>
                <w:color w:val="000000"/>
              </w:rPr>
            </w:pPr>
            <w:r w:rsidRPr="00557598">
              <w:rPr>
                <w:rFonts w:ascii="Calibri" w:hAnsi="Calibri"/>
                <w:color w:val="000000"/>
              </w:rPr>
              <w:t xml:space="preserve">        20.00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27590274" w14:textId="77777777" w:rsidR="00557598" w:rsidRPr="00557598" w:rsidRDefault="00557598" w:rsidP="00557598">
            <w:pPr>
              <w:jc w:val="center"/>
              <w:rPr>
                <w:rFonts w:ascii="Calibri" w:hAnsi="Calibri"/>
                <w:bCs/>
                <w:color w:val="000000"/>
              </w:rPr>
            </w:pPr>
            <w:r w:rsidRPr="00557598">
              <w:rPr>
                <w:rFonts w:ascii="Calibri" w:hAnsi="Calibri"/>
                <w:bCs/>
                <w:color w:val="000000"/>
              </w:rPr>
              <w:t xml:space="preserve"> X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1CBFE6C6" w14:textId="77777777" w:rsidR="00557598" w:rsidRPr="00557598" w:rsidRDefault="00557598" w:rsidP="00557598">
            <w:pPr>
              <w:jc w:val="center"/>
              <w:rPr>
                <w:rFonts w:ascii="Calibri" w:hAnsi="Calibri"/>
                <w:color w:val="000000"/>
              </w:rPr>
            </w:pPr>
            <w:r w:rsidRPr="00557598">
              <w:rPr>
                <w:rFonts w:ascii="Calibri" w:hAnsi="Calibri"/>
                <w:color w:val="000000"/>
              </w:rPr>
              <w:t xml:space="preserve">              0.50 </w:t>
            </w:r>
          </w:p>
        </w:tc>
        <w:tc>
          <w:tcPr>
            <w:tcW w:w="350" w:type="dxa"/>
            <w:tcBorders>
              <w:top w:val="single" w:sz="4" w:space="0" w:color="auto"/>
              <w:left w:val="nil"/>
              <w:bottom w:val="single" w:sz="4" w:space="0" w:color="auto"/>
              <w:right w:val="single" w:sz="4" w:space="0" w:color="auto"/>
            </w:tcBorders>
            <w:shd w:val="clear" w:color="auto" w:fill="auto"/>
            <w:noWrap/>
            <w:vAlign w:val="bottom"/>
            <w:hideMark/>
          </w:tcPr>
          <w:p w14:paraId="0904EA1D"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C960625" w14:textId="77777777" w:rsidR="00557598" w:rsidRPr="00557598" w:rsidRDefault="00557598" w:rsidP="00557598">
            <w:pPr>
              <w:jc w:val="center"/>
              <w:rPr>
                <w:rFonts w:ascii="Calibri" w:hAnsi="Calibri"/>
                <w:color w:val="000000"/>
              </w:rPr>
            </w:pPr>
            <w:r w:rsidRPr="00557598">
              <w:rPr>
                <w:rFonts w:ascii="Calibri" w:hAnsi="Calibri"/>
                <w:color w:val="000000"/>
              </w:rPr>
              <w:t xml:space="preserve">          90.00 </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14:paraId="42768857" w14:textId="77777777" w:rsidR="00557598" w:rsidRPr="00557598" w:rsidRDefault="00557598" w:rsidP="00557598">
            <w:pPr>
              <w:jc w:val="center"/>
              <w:rPr>
                <w:rFonts w:ascii="Calibri" w:hAnsi="Calibri"/>
                <w:color w:val="000000"/>
              </w:rPr>
            </w:pPr>
            <w:r w:rsidRPr="00557598">
              <w:rPr>
                <w:rFonts w:ascii="Calibri" w:hAnsi="Calibri"/>
                <w:color w:val="000000"/>
              </w:rPr>
              <w:t>100.00</w:t>
            </w:r>
          </w:p>
        </w:tc>
        <w:tc>
          <w:tcPr>
            <w:tcW w:w="868" w:type="dxa"/>
            <w:tcBorders>
              <w:top w:val="single" w:sz="4" w:space="0" w:color="auto"/>
              <w:left w:val="nil"/>
              <w:bottom w:val="single" w:sz="4" w:space="0" w:color="auto"/>
              <w:right w:val="single" w:sz="4" w:space="0" w:color="auto"/>
            </w:tcBorders>
            <w:shd w:val="clear" w:color="auto" w:fill="auto"/>
            <w:noWrap/>
            <w:vAlign w:val="bottom"/>
            <w:hideMark/>
          </w:tcPr>
          <w:p w14:paraId="585955B5" w14:textId="77777777" w:rsidR="00557598" w:rsidRPr="00557598" w:rsidRDefault="00557598" w:rsidP="00557598">
            <w:pPr>
              <w:jc w:val="center"/>
              <w:rPr>
                <w:rFonts w:ascii="Calibri" w:hAnsi="Calibri"/>
                <w:color w:val="000000"/>
              </w:rPr>
            </w:pPr>
            <w:r w:rsidRPr="00557598">
              <w:rPr>
                <w:rFonts w:ascii="Calibri" w:hAnsi="Calibri"/>
                <w:color w:val="000000"/>
              </w:rPr>
              <w:t>80.0%</w:t>
            </w:r>
          </w:p>
        </w:tc>
      </w:tr>
    </w:tbl>
    <w:p w14:paraId="14CB75D1" w14:textId="77777777" w:rsidR="00B70EDE" w:rsidRDefault="00B70EDE" w:rsidP="0024160D">
      <w:pPr>
        <w:spacing w:line="480" w:lineRule="auto"/>
        <w:ind w:right="144"/>
        <w:jc w:val="both"/>
        <w:rPr>
          <w:rFonts w:ascii="Arial" w:eastAsia="Calibri" w:hAnsi="Arial" w:cs="Arial"/>
          <w:sz w:val="24"/>
          <w:szCs w:val="24"/>
        </w:rPr>
      </w:pPr>
    </w:p>
    <w:p w14:paraId="7B421A31" w14:textId="2019B1EC"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In this example, there was no change from the base year residents in the penultimate year.</w:t>
      </w:r>
    </w:p>
    <w:p w14:paraId="31F3D432"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The hospital had 90 unweighted residents and 85 weighted residents for its cost reporting period beginning January 1, 1998.</w:t>
      </w:r>
    </w:p>
    <w:tbl>
      <w:tblPr>
        <w:tblW w:w="9270" w:type="dxa"/>
        <w:tblInd w:w="540" w:type="dxa"/>
        <w:tblLook w:val="04A0" w:firstRow="1" w:lastRow="0" w:firstColumn="1" w:lastColumn="0" w:noHBand="0" w:noVBand="1"/>
      </w:tblPr>
      <w:tblGrid>
        <w:gridCol w:w="622"/>
        <w:gridCol w:w="1023"/>
        <w:gridCol w:w="380"/>
        <w:gridCol w:w="1100"/>
        <w:gridCol w:w="360"/>
        <w:gridCol w:w="844"/>
        <w:gridCol w:w="380"/>
        <w:gridCol w:w="1120"/>
        <w:gridCol w:w="316"/>
        <w:gridCol w:w="1060"/>
        <w:gridCol w:w="1233"/>
        <w:gridCol w:w="832"/>
      </w:tblGrid>
      <w:tr w:rsidR="00B70EDE" w:rsidRPr="00B70EDE" w14:paraId="4EBDAA5B" w14:textId="77777777" w:rsidTr="00FD24B4">
        <w:trPr>
          <w:trHeight w:val="900"/>
        </w:trPr>
        <w:tc>
          <w:tcPr>
            <w:tcW w:w="622" w:type="dxa"/>
            <w:tcBorders>
              <w:top w:val="nil"/>
              <w:left w:val="nil"/>
              <w:bottom w:val="single" w:sz="4" w:space="0" w:color="auto"/>
              <w:right w:val="nil"/>
            </w:tcBorders>
            <w:shd w:val="clear" w:color="auto" w:fill="auto"/>
            <w:noWrap/>
            <w:vAlign w:val="bottom"/>
            <w:hideMark/>
          </w:tcPr>
          <w:p w14:paraId="6BDA1FE3" w14:textId="77777777" w:rsidR="00B70EDE" w:rsidRPr="00B70EDE" w:rsidRDefault="00B70EDE" w:rsidP="00B70EDE">
            <w:pPr>
              <w:jc w:val="center"/>
              <w:rPr>
                <w:rFonts w:ascii="Calibri" w:hAnsi="Calibri"/>
                <w:b/>
                <w:bCs/>
                <w:color w:val="000000"/>
              </w:rPr>
            </w:pPr>
            <w:r w:rsidRPr="00B70EDE">
              <w:rPr>
                <w:rFonts w:ascii="Calibri" w:hAnsi="Calibri"/>
                <w:b/>
                <w:bCs/>
                <w:color w:val="000000"/>
              </w:rPr>
              <w:t>FY</w:t>
            </w:r>
          </w:p>
        </w:tc>
        <w:tc>
          <w:tcPr>
            <w:tcW w:w="1023" w:type="dxa"/>
            <w:tcBorders>
              <w:top w:val="nil"/>
              <w:left w:val="nil"/>
              <w:bottom w:val="single" w:sz="4" w:space="0" w:color="auto"/>
              <w:right w:val="nil"/>
            </w:tcBorders>
            <w:shd w:val="clear" w:color="auto" w:fill="auto"/>
            <w:vAlign w:val="bottom"/>
            <w:hideMark/>
          </w:tcPr>
          <w:p w14:paraId="2A0628CC"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Residents in IRP </w:t>
            </w:r>
          </w:p>
        </w:tc>
        <w:tc>
          <w:tcPr>
            <w:tcW w:w="380" w:type="dxa"/>
            <w:tcBorders>
              <w:top w:val="nil"/>
              <w:left w:val="nil"/>
              <w:bottom w:val="single" w:sz="4" w:space="0" w:color="auto"/>
              <w:right w:val="nil"/>
            </w:tcBorders>
            <w:shd w:val="clear" w:color="auto" w:fill="auto"/>
            <w:vAlign w:val="bottom"/>
            <w:hideMark/>
          </w:tcPr>
          <w:p w14:paraId="4957F226" w14:textId="77777777" w:rsidR="00B70EDE" w:rsidRPr="00B70EDE" w:rsidRDefault="00B70EDE" w:rsidP="00B70EDE">
            <w:pPr>
              <w:jc w:val="center"/>
              <w:rPr>
                <w:rFonts w:ascii="Calibri" w:hAnsi="Calibri"/>
                <w:b/>
                <w:bCs/>
                <w:color w:val="000000"/>
              </w:rPr>
            </w:pPr>
          </w:p>
        </w:tc>
        <w:tc>
          <w:tcPr>
            <w:tcW w:w="1100" w:type="dxa"/>
            <w:tcBorders>
              <w:top w:val="nil"/>
              <w:left w:val="nil"/>
              <w:bottom w:val="single" w:sz="4" w:space="0" w:color="auto"/>
              <w:right w:val="nil"/>
            </w:tcBorders>
            <w:shd w:val="clear" w:color="auto" w:fill="auto"/>
            <w:vAlign w:val="bottom"/>
            <w:hideMark/>
          </w:tcPr>
          <w:p w14:paraId="4DF1860D"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IRP Weighting </w:t>
            </w:r>
          </w:p>
        </w:tc>
        <w:tc>
          <w:tcPr>
            <w:tcW w:w="360" w:type="dxa"/>
            <w:tcBorders>
              <w:top w:val="nil"/>
              <w:left w:val="nil"/>
              <w:bottom w:val="single" w:sz="4" w:space="0" w:color="auto"/>
              <w:right w:val="nil"/>
            </w:tcBorders>
            <w:shd w:val="clear" w:color="auto" w:fill="auto"/>
            <w:vAlign w:val="bottom"/>
            <w:hideMark/>
          </w:tcPr>
          <w:p w14:paraId="45B0904A" w14:textId="77777777" w:rsidR="00B70EDE" w:rsidRPr="00B70EDE" w:rsidRDefault="00B70EDE" w:rsidP="00B70EDE">
            <w:pPr>
              <w:jc w:val="center"/>
              <w:rPr>
                <w:rFonts w:ascii="Calibri" w:hAnsi="Calibri"/>
                <w:b/>
                <w:bCs/>
                <w:color w:val="000000"/>
              </w:rPr>
            </w:pPr>
          </w:p>
        </w:tc>
        <w:tc>
          <w:tcPr>
            <w:tcW w:w="844" w:type="dxa"/>
            <w:tcBorders>
              <w:top w:val="nil"/>
              <w:left w:val="nil"/>
              <w:bottom w:val="single" w:sz="4" w:space="0" w:color="auto"/>
              <w:right w:val="nil"/>
            </w:tcBorders>
            <w:shd w:val="clear" w:color="auto" w:fill="auto"/>
            <w:vAlign w:val="bottom"/>
            <w:hideMark/>
          </w:tcPr>
          <w:p w14:paraId="219C527B"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t>
            </w:r>
          </w:p>
        </w:tc>
        <w:tc>
          <w:tcPr>
            <w:tcW w:w="380" w:type="dxa"/>
            <w:tcBorders>
              <w:top w:val="nil"/>
              <w:left w:val="nil"/>
              <w:bottom w:val="single" w:sz="4" w:space="0" w:color="auto"/>
              <w:right w:val="nil"/>
            </w:tcBorders>
            <w:shd w:val="clear" w:color="auto" w:fill="auto"/>
            <w:vAlign w:val="bottom"/>
            <w:hideMark/>
          </w:tcPr>
          <w:p w14:paraId="05150C3C" w14:textId="77777777" w:rsidR="00B70EDE" w:rsidRPr="00B70EDE" w:rsidRDefault="00B70EDE" w:rsidP="00B70EDE">
            <w:pPr>
              <w:jc w:val="center"/>
              <w:rPr>
                <w:rFonts w:ascii="Calibri" w:hAnsi="Calibri"/>
                <w:b/>
                <w:bCs/>
                <w:color w:val="000000"/>
              </w:rPr>
            </w:pPr>
          </w:p>
        </w:tc>
        <w:tc>
          <w:tcPr>
            <w:tcW w:w="1120" w:type="dxa"/>
            <w:tcBorders>
              <w:top w:val="nil"/>
              <w:left w:val="nil"/>
              <w:bottom w:val="single" w:sz="4" w:space="0" w:color="auto"/>
              <w:right w:val="nil"/>
            </w:tcBorders>
            <w:shd w:val="clear" w:color="auto" w:fill="auto"/>
            <w:vAlign w:val="bottom"/>
            <w:hideMark/>
          </w:tcPr>
          <w:p w14:paraId="1382FB38"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Weighting </w:t>
            </w:r>
          </w:p>
        </w:tc>
        <w:tc>
          <w:tcPr>
            <w:tcW w:w="316" w:type="dxa"/>
            <w:tcBorders>
              <w:top w:val="nil"/>
              <w:left w:val="nil"/>
              <w:bottom w:val="single" w:sz="4" w:space="0" w:color="auto"/>
              <w:right w:val="nil"/>
            </w:tcBorders>
            <w:shd w:val="clear" w:color="auto" w:fill="auto"/>
            <w:vAlign w:val="bottom"/>
            <w:hideMark/>
          </w:tcPr>
          <w:p w14:paraId="22EC4745" w14:textId="77777777" w:rsidR="00B70EDE" w:rsidRPr="00B70EDE" w:rsidRDefault="00B70EDE" w:rsidP="00B70EDE">
            <w:pPr>
              <w:jc w:val="center"/>
              <w:rPr>
                <w:rFonts w:ascii="Calibri" w:hAnsi="Calibri"/>
                <w:b/>
                <w:bCs/>
                <w:color w:val="000000"/>
              </w:rPr>
            </w:pPr>
          </w:p>
        </w:tc>
        <w:tc>
          <w:tcPr>
            <w:tcW w:w="1060" w:type="dxa"/>
            <w:tcBorders>
              <w:top w:val="nil"/>
              <w:left w:val="nil"/>
              <w:bottom w:val="single" w:sz="4" w:space="0" w:color="auto"/>
              <w:right w:val="nil"/>
            </w:tcBorders>
            <w:shd w:val="clear" w:color="auto" w:fill="auto"/>
            <w:vAlign w:val="bottom"/>
            <w:hideMark/>
          </w:tcPr>
          <w:p w14:paraId="5D76F72F"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Weighted FTE Count </w:t>
            </w:r>
          </w:p>
        </w:tc>
        <w:tc>
          <w:tcPr>
            <w:tcW w:w="1233" w:type="dxa"/>
            <w:tcBorders>
              <w:top w:val="nil"/>
              <w:left w:val="nil"/>
              <w:bottom w:val="single" w:sz="4" w:space="0" w:color="auto"/>
              <w:right w:val="nil"/>
            </w:tcBorders>
            <w:shd w:val="clear" w:color="auto" w:fill="auto"/>
            <w:vAlign w:val="bottom"/>
            <w:hideMark/>
          </w:tcPr>
          <w:p w14:paraId="37F5AD1A"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Unweighted FTE Count </w:t>
            </w:r>
          </w:p>
        </w:tc>
        <w:tc>
          <w:tcPr>
            <w:tcW w:w="832" w:type="dxa"/>
            <w:tcBorders>
              <w:top w:val="nil"/>
              <w:left w:val="nil"/>
              <w:bottom w:val="single" w:sz="4" w:space="0" w:color="auto"/>
              <w:right w:val="nil"/>
            </w:tcBorders>
            <w:shd w:val="clear" w:color="auto" w:fill="auto"/>
            <w:vAlign w:val="bottom"/>
            <w:hideMark/>
          </w:tcPr>
          <w:p w14:paraId="66FE8EEB"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of IRPs to Total</w:t>
            </w:r>
          </w:p>
        </w:tc>
      </w:tr>
      <w:tr w:rsidR="00B70EDE" w:rsidRPr="00B70EDE" w14:paraId="31F9A04E" w14:textId="77777777" w:rsidTr="00FD24B4">
        <w:trPr>
          <w:trHeight w:val="300"/>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D4EDB" w14:textId="77777777" w:rsidR="00B70EDE" w:rsidRPr="00B70EDE" w:rsidRDefault="00B70EDE" w:rsidP="00B70EDE">
            <w:pPr>
              <w:jc w:val="center"/>
              <w:rPr>
                <w:rFonts w:ascii="Calibri" w:hAnsi="Calibri"/>
                <w:color w:val="000000"/>
              </w:rPr>
            </w:pPr>
            <w:r w:rsidRPr="00B70EDE">
              <w:rPr>
                <w:rFonts w:ascii="Calibri" w:hAnsi="Calibri"/>
                <w:color w:val="000000"/>
              </w:rPr>
              <w:t>1998</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40713AF"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6E8AD82B"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5F93E148"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47366424"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0CACA2E1"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55F1577F"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6B68119"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0.50 </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42836D61"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707FF26"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85.00 </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18D437A3" w14:textId="77777777" w:rsidR="00B70EDE" w:rsidRPr="00B70EDE" w:rsidRDefault="00B70EDE" w:rsidP="00B70EDE">
            <w:pPr>
              <w:jc w:val="center"/>
              <w:rPr>
                <w:rFonts w:ascii="Calibri" w:hAnsi="Calibri"/>
                <w:color w:val="000000"/>
              </w:rPr>
            </w:pPr>
            <w:r w:rsidRPr="00B70EDE">
              <w:rPr>
                <w:rFonts w:ascii="Calibri" w:hAnsi="Calibri"/>
                <w:color w:val="000000"/>
              </w:rPr>
              <w:t>90.00</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20673219" w14:textId="77777777" w:rsidR="00B70EDE" w:rsidRPr="00B70EDE" w:rsidRDefault="00B70EDE" w:rsidP="00B70EDE">
            <w:pPr>
              <w:jc w:val="center"/>
              <w:rPr>
                <w:rFonts w:ascii="Calibri" w:hAnsi="Calibri"/>
                <w:color w:val="000000"/>
              </w:rPr>
            </w:pPr>
            <w:r w:rsidRPr="00B70EDE">
              <w:rPr>
                <w:rFonts w:ascii="Calibri" w:hAnsi="Calibri"/>
                <w:color w:val="000000"/>
              </w:rPr>
              <w:t>88.9%</w:t>
            </w:r>
          </w:p>
        </w:tc>
      </w:tr>
    </w:tbl>
    <w:p w14:paraId="696CD676" w14:textId="77777777" w:rsidR="0024160D" w:rsidRPr="0024160D" w:rsidRDefault="0024160D" w:rsidP="0024160D">
      <w:pPr>
        <w:spacing w:line="480" w:lineRule="auto"/>
        <w:ind w:right="144"/>
        <w:jc w:val="both"/>
        <w:rPr>
          <w:rFonts w:ascii="Arial" w:eastAsia="Calibri" w:hAnsi="Arial" w:cs="Arial"/>
          <w:b/>
          <w:sz w:val="24"/>
          <w:szCs w:val="24"/>
        </w:rPr>
      </w:pPr>
    </w:p>
    <w:p w14:paraId="0F6C6667"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In the prior year, using the counts given, the IRPs held at 80 but the fellows dropped by 10.</w:t>
      </w:r>
    </w:p>
    <w:p w14:paraId="4CA148B8" w14:textId="77777777" w:rsidR="0024160D" w:rsidRPr="0024160D" w:rsidRDefault="0024160D" w:rsidP="00B70EDE">
      <w:pPr>
        <w:ind w:left="720" w:right="144"/>
        <w:jc w:val="both"/>
        <w:rPr>
          <w:rFonts w:ascii="Arial" w:eastAsia="Calibri" w:hAnsi="Arial" w:cs="Arial"/>
          <w:sz w:val="24"/>
          <w:szCs w:val="24"/>
        </w:rPr>
      </w:pPr>
    </w:p>
    <w:p w14:paraId="626FA9BC"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 xml:space="preserve">In its cost reporting period beginning on January 1, 1999, the hospital had 80 unweighted residents and 80 weighted residents. </w:t>
      </w:r>
    </w:p>
    <w:tbl>
      <w:tblPr>
        <w:tblW w:w="9270" w:type="dxa"/>
        <w:tblInd w:w="540" w:type="dxa"/>
        <w:tblLook w:val="04A0" w:firstRow="1" w:lastRow="0" w:firstColumn="1" w:lastColumn="0" w:noHBand="0" w:noVBand="1"/>
      </w:tblPr>
      <w:tblGrid>
        <w:gridCol w:w="622"/>
        <w:gridCol w:w="1023"/>
        <w:gridCol w:w="380"/>
        <w:gridCol w:w="1070"/>
        <w:gridCol w:w="360"/>
        <w:gridCol w:w="865"/>
        <w:gridCol w:w="380"/>
        <w:gridCol w:w="1156"/>
        <w:gridCol w:w="316"/>
        <w:gridCol w:w="1028"/>
        <w:gridCol w:w="1233"/>
        <w:gridCol w:w="837"/>
      </w:tblGrid>
      <w:tr w:rsidR="00B70EDE" w:rsidRPr="00B70EDE" w14:paraId="476223E6" w14:textId="77777777" w:rsidTr="00FD24B4">
        <w:trPr>
          <w:trHeight w:val="900"/>
        </w:trPr>
        <w:tc>
          <w:tcPr>
            <w:tcW w:w="622" w:type="dxa"/>
            <w:tcBorders>
              <w:top w:val="nil"/>
              <w:left w:val="nil"/>
              <w:bottom w:val="single" w:sz="4" w:space="0" w:color="auto"/>
              <w:right w:val="nil"/>
            </w:tcBorders>
            <w:shd w:val="clear" w:color="auto" w:fill="auto"/>
            <w:noWrap/>
            <w:vAlign w:val="bottom"/>
            <w:hideMark/>
          </w:tcPr>
          <w:p w14:paraId="6E3AEB47" w14:textId="77777777" w:rsidR="00B70EDE" w:rsidRPr="00B70EDE" w:rsidRDefault="00B70EDE" w:rsidP="00B70EDE">
            <w:pPr>
              <w:jc w:val="center"/>
              <w:rPr>
                <w:rFonts w:ascii="Calibri" w:hAnsi="Calibri"/>
                <w:b/>
                <w:bCs/>
                <w:color w:val="000000"/>
              </w:rPr>
            </w:pPr>
            <w:r w:rsidRPr="00B70EDE">
              <w:rPr>
                <w:rFonts w:ascii="Calibri" w:hAnsi="Calibri"/>
                <w:b/>
                <w:bCs/>
                <w:color w:val="000000"/>
              </w:rPr>
              <w:t>FY</w:t>
            </w:r>
          </w:p>
        </w:tc>
        <w:tc>
          <w:tcPr>
            <w:tcW w:w="1023" w:type="dxa"/>
            <w:tcBorders>
              <w:top w:val="nil"/>
              <w:left w:val="nil"/>
              <w:bottom w:val="single" w:sz="4" w:space="0" w:color="auto"/>
              <w:right w:val="nil"/>
            </w:tcBorders>
            <w:shd w:val="clear" w:color="auto" w:fill="auto"/>
            <w:vAlign w:val="bottom"/>
            <w:hideMark/>
          </w:tcPr>
          <w:p w14:paraId="6560EE63"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Residents in IRP </w:t>
            </w:r>
          </w:p>
        </w:tc>
        <w:tc>
          <w:tcPr>
            <w:tcW w:w="380" w:type="dxa"/>
            <w:tcBorders>
              <w:top w:val="nil"/>
              <w:left w:val="nil"/>
              <w:bottom w:val="single" w:sz="4" w:space="0" w:color="auto"/>
              <w:right w:val="nil"/>
            </w:tcBorders>
            <w:shd w:val="clear" w:color="auto" w:fill="auto"/>
            <w:vAlign w:val="bottom"/>
            <w:hideMark/>
          </w:tcPr>
          <w:p w14:paraId="52A645DF" w14:textId="77777777" w:rsidR="00B70EDE" w:rsidRPr="00B70EDE" w:rsidRDefault="00B70EDE" w:rsidP="00B70EDE">
            <w:pPr>
              <w:jc w:val="center"/>
              <w:rPr>
                <w:rFonts w:ascii="Calibri" w:hAnsi="Calibri"/>
                <w:b/>
                <w:bCs/>
                <w:color w:val="000000"/>
              </w:rPr>
            </w:pPr>
          </w:p>
        </w:tc>
        <w:tc>
          <w:tcPr>
            <w:tcW w:w="1070" w:type="dxa"/>
            <w:tcBorders>
              <w:top w:val="nil"/>
              <w:left w:val="nil"/>
              <w:bottom w:val="single" w:sz="4" w:space="0" w:color="auto"/>
              <w:right w:val="nil"/>
            </w:tcBorders>
            <w:shd w:val="clear" w:color="auto" w:fill="auto"/>
            <w:vAlign w:val="bottom"/>
            <w:hideMark/>
          </w:tcPr>
          <w:p w14:paraId="4FD36A28"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IRP Weighting </w:t>
            </w:r>
          </w:p>
        </w:tc>
        <w:tc>
          <w:tcPr>
            <w:tcW w:w="360" w:type="dxa"/>
            <w:tcBorders>
              <w:top w:val="nil"/>
              <w:left w:val="nil"/>
              <w:bottom w:val="single" w:sz="4" w:space="0" w:color="auto"/>
              <w:right w:val="nil"/>
            </w:tcBorders>
            <w:shd w:val="clear" w:color="auto" w:fill="auto"/>
            <w:vAlign w:val="bottom"/>
            <w:hideMark/>
          </w:tcPr>
          <w:p w14:paraId="7C9C5AD1" w14:textId="77777777" w:rsidR="00B70EDE" w:rsidRPr="00B70EDE" w:rsidRDefault="00B70EDE" w:rsidP="00B70EDE">
            <w:pPr>
              <w:jc w:val="center"/>
              <w:rPr>
                <w:rFonts w:ascii="Calibri" w:hAnsi="Calibri"/>
                <w:b/>
                <w:bCs/>
                <w:color w:val="000000"/>
              </w:rPr>
            </w:pPr>
          </w:p>
        </w:tc>
        <w:tc>
          <w:tcPr>
            <w:tcW w:w="865" w:type="dxa"/>
            <w:tcBorders>
              <w:top w:val="nil"/>
              <w:left w:val="nil"/>
              <w:bottom w:val="single" w:sz="4" w:space="0" w:color="auto"/>
              <w:right w:val="nil"/>
            </w:tcBorders>
            <w:shd w:val="clear" w:color="auto" w:fill="auto"/>
            <w:vAlign w:val="bottom"/>
            <w:hideMark/>
          </w:tcPr>
          <w:p w14:paraId="1554FF69"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t>
            </w:r>
          </w:p>
        </w:tc>
        <w:tc>
          <w:tcPr>
            <w:tcW w:w="380" w:type="dxa"/>
            <w:tcBorders>
              <w:top w:val="nil"/>
              <w:left w:val="nil"/>
              <w:bottom w:val="single" w:sz="4" w:space="0" w:color="auto"/>
              <w:right w:val="nil"/>
            </w:tcBorders>
            <w:shd w:val="clear" w:color="auto" w:fill="auto"/>
            <w:vAlign w:val="bottom"/>
            <w:hideMark/>
          </w:tcPr>
          <w:p w14:paraId="78D71FCE" w14:textId="77777777" w:rsidR="00B70EDE" w:rsidRPr="00B70EDE" w:rsidRDefault="00B70EDE" w:rsidP="00B70EDE">
            <w:pPr>
              <w:jc w:val="center"/>
              <w:rPr>
                <w:rFonts w:ascii="Calibri" w:hAnsi="Calibri"/>
                <w:b/>
                <w:bCs/>
                <w:color w:val="000000"/>
              </w:rPr>
            </w:pPr>
          </w:p>
        </w:tc>
        <w:tc>
          <w:tcPr>
            <w:tcW w:w="1156" w:type="dxa"/>
            <w:tcBorders>
              <w:top w:val="nil"/>
              <w:left w:val="nil"/>
              <w:bottom w:val="single" w:sz="4" w:space="0" w:color="auto"/>
              <w:right w:val="nil"/>
            </w:tcBorders>
            <w:shd w:val="clear" w:color="auto" w:fill="auto"/>
            <w:vAlign w:val="bottom"/>
            <w:hideMark/>
          </w:tcPr>
          <w:p w14:paraId="6FEC18AB"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Weighting </w:t>
            </w:r>
          </w:p>
        </w:tc>
        <w:tc>
          <w:tcPr>
            <w:tcW w:w="316" w:type="dxa"/>
            <w:tcBorders>
              <w:top w:val="nil"/>
              <w:left w:val="nil"/>
              <w:bottom w:val="single" w:sz="4" w:space="0" w:color="auto"/>
              <w:right w:val="nil"/>
            </w:tcBorders>
            <w:shd w:val="clear" w:color="auto" w:fill="auto"/>
            <w:vAlign w:val="bottom"/>
            <w:hideMark/>
          </w:tcPr>
          <w:p w14:paraId="4F7B5B9F" w14:textId="77777777" w:rsidR="00B70EDE" w:rsidRPr="00B70EDE" w:rsidRDefault="00B70EDE" w:rsidP="00B70EDE">
            <w:pPr>
              <w:jc w:val="center"/>
              <w:rPr>
                <w:rFonts w:ascii="Calibri" w:hAnsi="Calibri"/>
                <w:b/>
                <w:bCs/>
                <w:color w:val="000000"/>
              </w:rPr>
            </w:pPr>
          </w:p>
        </w:tc>
        <w:tc>
          <w:tcPr>
            <w:tcW w:w="1028" w:type="dxa"/>
            <w:tcBorders>
              <w:top w:val="nil"/>
              <w:left w:val="nil"/>
              <w:bottom w:val="single" w:sz="4" w:space="0" w:color="auto"/>
              <w:right w:val="nil"/>
            </w:tcBorders>
            <w:shd w:val="clear" w:color="auto" w:fill="auto"/>
            <w:vAlign w:val="bottom"/>
            <w:hideMark/>
          </w:tcPr>
          <w:p w14:paraId="4A76B435"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Weighted FTE Count </w:t>
            </w:r>
          </w:p>
        </w:tc>
        <w:tc>
          <w:tcPr>
            <w:tcW w:w="1233" w:type="dxa"/>
            <w:tcBorders>
              <w:top w:val="nil"/>
              <w:left w:val="nil"/>
              <w:bottom w:val="single" w:sz="4" w:space="0" w:color="auto"/>
              <w:right w:val="nil"/>
            </w:tcBorders>
            <w:shd w:val="clear" w:color="auto" w:fill="auto"/>
            <w:vAlign w:val="bottom"/>
            <w:hideMark/>
          </w:tcPr>
          <w:p w14:paraId="46EC401A"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Unweighted FTE Count </w:t>
            </w:r>
          </w:p>
        </w:tc>
        <w:tc>
          <w:tcPr>
            <w:tcW w:w="837" w:type="dxa"/>
            <w:tcBorders>
              <w:top w:val="nil"/>
              <w:left w:val="nil"/>
              <w:bottom w:val="single" w:sz="4" w:space="0" w:color="auto"/>
              <w:right w:val="nil"/>
            </w:tcBorders>
            <w:shd w:val="clear" w:color="auto" w:fill="auto"/>
            <w:vAlign w:val="bottom"/>
            <w:hideMark/>
          </w:tcPr>
          <w:p w14:paraId="70640008"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of IRPs to Total</w:t>
            </w:r>
          </w:p>
        </w:tc>
      </w:tr>
      <w:tr w:rsidR="00B70EDE" w:rsidRPr="00B70EDE" w14:paraId="74E9DA38" w14:textId="77777777" w:rsidTr="00FD24B4">
        <w:trPr>
          <w:trHeight w:val="300"/>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80519" w14:textId="77777777" w:rsidR="00B70EDE" w:rsidRPr="00B70EDE" w:rsidRDefault="00B70EDE" w:rsidP="00B70EDE">
            <w:pPr>
              <w:jc w:val="center"/>
              <w:rPr>
                <w:rFonts w:ascii="Calibri" w:hAnsi="Calibri"/>
                <w:color w:val="000000"/>
              </w:rPr>
            </w:pPr>
            <w:r w:rsidRPr="00B70EDE">
              <w:rPr>
                <w:rFonts w:ascii="Calibri" w:hAnsi="Calibri"/>
                <w:color w:val="000000"/>
              </w:rPr>
              <w:t>1999</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DB8620E"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459681FC"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3A0584A7"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00BEC7EC"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320866A0"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0755E351"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14:paraId="04FE5B94"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0.50 </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2D0C00FD"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408EBF4B"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3F4D661E" w14:textId="77777777" w:rsidR="00B70EDE" w:rsidRPr="00B70EDE" w:rsidRDefault="00B70EDE" w:rsidP="00B70EDE">
            <w:pPr>
              <w:jc w:val="center"/>
              <w:rPr>
                <w:rFonts w:ascii="Calibri" w:hAnsi="Calibri"/>
                <w:color w:val="000000"/>
              </w:rPr>
            </w:pPr>
            <w:r w:rsidRPr="00B70EDE">
              <w:rPr>
                <w:rFonts w:ascii="Calibri" w:hAnsi="Calibri"/>
                <w:color w:val="000000"/>
              </w:rPr>
              <w:t>80.00</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14:paraId="1753622B" w14:textId="77777777" w:rsidR="00B70EDE" w:rsidRPr="00B70EDE" w:rsidRDefault="00B70EDE" w:rsidP="00B70EDE">
            <w:pPr>
              <w:jc w:val="center"/>
              <w:rPr>
                <w:rFonts w:ascii="Calibri" w:hAnsi="Calibri"/>
                <w:color w:val="000000"/>
              </w:rPr>
            </w:pPr>
            <w:r w:rsidRPr="00B70EDE">
              <w:rPr>
                <w:rFonts w:ascii="Calibri" w:hAnsi="Calibri"/>
                <w:color w:val="000000"/>
              </w:rPr>
              <w:t>100.0%</w:t>
            </w:r>
          </w:p>
        </w:tc>
      </w:tr>
    </w:tbl>
    <w:p w14:paraId="61703B6D" w14:textId="77777777" w:rsidR="0024160D" w:rsidRPr="0024160D" w:rsidRDefault="0024160D" w:rsidP="0024160D">
      <w:pPr>
        <w:spacing w:line="480" w:lineRule="auto"/>
        <w:ind w:right="144"/>
        <w:jc w:val="both"/>
        <w:rPr>
          <w:rFonts w:ascii="Arial" w:eastAsia="Calibri" w:hAnsi="Arial" w:cs="Arial"/>
          <w:sz w:val="24"/>
          <w:szCs w:val="24"/>
        </w:rPr>
      </w:pPr>
    </w:p>
    <w:p w14:paraId="29A4B631"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In the current year, the IRPs stayed at 80 and the fellows were gone.</w:t>
      </w:r>
    </w:p>
    <w:p w14:paraId="2EEE375D" w14:textId="77777777" w:rsidR="0024160D" w:rsidRPr="0024160D" w:rsidRDefault="0024160D" w:rsidP="00B70EDE">
      <w:pPr>
        <w:ind w:left="720" w:right="144"/>
        <w:jc w:val="both"/>
        <w:rPr>
          <w:rFonts w:ascii="Arial" w:eastAsia="Calibri" w:hAnsi="Arial" w:cs="Arial"/>
          <w:sz w:val="24"/>
          <w:szCs w:val="24"/>
        </w:rPr>
      </w:pPr>
    </w:p>
    <w:p w14:paraId="03CEC228"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The 3-year weighted average for the hospital’s cost reporting beginning January 1, 1999, is 85 (90+85+80/3).</w:t>
      </w:r>
    </w:p>
    <w:tbl>
      <w:tblPr>
        <w:tblW w:w="10855" w:type="dxa"/>
        <w:tblLook w:val="04A0" w:firstRow="1" w:lastRow="0" w:firstColumn="1" w:lastColumn="0" w:noHBand="0" w:noVBand="1"/>
      </w:tblPr>
      <w:tblGrid>
        <w:gridCol w:w="521"/>
        <w:gridCol w:w="142"/>
        <w:gridCol w:w="480"/>
        <w:gridCol w:w="687"/>
        <w:gridCol w:w="338"/>
        <w:gridCol w:w="338"/>
        <w:gridCol w:w="818"/>
        <w:gridCol w:w="326"/>
        <w:gridCol w:w="326"/>
        <w:gridCol w:w="604"/>
        <w:gridCol w:w="326"/>
        <w:gridCol w:w="12"/>
        <w:gridCol w:w="326"/>
        <w:gridCol w:w="830"/>
        <w:gridCol w:w="326"/>
        <w:gridCol w:w="350"/>
        <w:gridCol w:w="70"/>
        <w:gridCol w:w="957"/>
        <w:gridCol w:w="462"/>
        <w:gridCol w:w="771"/>
        <w:gridCol w:w="190"/>
        <w:gridCol w:w="462"/>
        <w:gridCol w:w="163"/>
        <w:gridCol w:w="830"/>
        <w:gridCol w:w="200"/>
      </w:tblGrid>
      <w:tr w:rsidR="00B70EDE" w:rsidRPr="00B70EDE" w14:paraId="10B5E04B" w14:textId="77777777" w:rsidTr="00FD24B4">
        <w:trPr>
          <w:gridBefore w:val="1"/>
          <w:gridAfter w:val="2"/>
          <w:wBefore w:w="521" w:type="dxa"/>
          <w:wAfter w:w="1030" w:type="dxa"/>
          <w:trHeight w:val="900"/>
        </w:trPr>
        <w:tc>
          <w:tcPr>
            <w:tcW w:w="622" w:type="dxa"/>
            <w:gridSpan w:val="2"/>
            <w:tcBorders>
              <w:top w:val="nil"/>
              <w:left w:val="nil"/>
              <w:bottom w:val="nil"/>
              <w:right w:val="nil"/>
            </w:tcBorders>
            <w:shd w:val="clear" w:color="auto" w:fill="auto"/>
            <w:noWrap/>
            <w:vAlign w:val="bottom"/>
            <w:hideMark/>
          </w:tcPr>
          <w:p w14:paraId="5426040E" w14:textId="77777777" w:rsidR="00B70EDE" w:rsidRPr="00B70EDE" w:rsidRDefault="00B70EDE" w:rsidP="00B70EDE">
            <w:pPr>
              <w:jc w:val="center"/>
              <w:rPr>
                <w:rFonts w:ascii="Calibri" w:hAnsi="Calibri"/>
                <w:b/>
                <w:bCs/>
                <w:color w:val="000000"/>
              </w:rPr>
            </w:pPr>
            <w:r w:rsidRPr="00B70EDE">
              <w:rPr>
                <w:rFonts w:ascii="Calibri" w:hAnsi="Calibri"/>
                <w:b/>
                <w:bCs/>
                <w:color w:val="000000"/>
              </w:rPr>
              <w:t>FY</w:t>
            </w:r>
          </w:p>
        </w:tc>
        <w:tc>
          <w:tcPr>
            <w:tcW w:w="1025" w:type="dxa"/>
            <w:gridSpan w:val="2"/>
            <w:tcBorders>
              <w:top w:val="nil"/>
              <w:left w:val="nil"/>
              <w:bottom w:val="nil"/>
              <w:right w:val="nil"/>
            </w:tcBorders>
            <w:shd w:val="clear" w:color="auto" w:fill="auto"/>
            <w:vAlign w:val="bottom"/>
            <w:hideMark/>
          </w:tcPr>
          <w:p w14:paraId="51765F0F"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Residents in IRP </w:t>
            </w:r>
          </w:p>
        </w:tc>
        <w:tc>
          <w:tcPr>
            <w:tcW w:w="338" w:type="dxa"/>
            <w:tcBorders>
              <w:top w:val="nil"/>
              <w:left w:val="nil"/>
              <w:bottom w:val="nil"/>
              <w:right w:val="nil"/>
            </w:tcBorders>
            <w:shd w:val="clear" w:color="auto" w:fill="auto"/>
            <w:vAlign w:val="bottom"/>
            <w:hideMark/>
          </w:tcPr>
          <w:p w14:paraId="45299159" w14:textId="77777777" w:rsidR="00B70EDE" w:rsidRPr="00B70EDE" w:rsidRDefault="00B70EDE" w:rsidP="00B70EDE">
            <w:pPr>
              <w:jc w:val="center"/>
              <w:rPr>
                <w:rFonts w:ascii="Calibri" w:hAnsi="Calibri"/>
                <w:b/>
                <w:bCs/>
                <w:color w:val="000000"/>
              </w:rPr>
            </w:pPr>
          </w:p>
        </w:tc>
        <w:tc>
          <w:tcPr>
            <w:tcW w:w="1144" w:type="dxa"/>
            <w:gridSpan w:val="2"/>
            <w:tcBorders>
              <w:top w:val="nil"/>
              <w:left w:val="nil"/>
              <w:bottom w:val="nil"/>
              <w:right w:val="nil"/>
            </w:tcBorders>
            <w:shd w:val="clear" w:color="auto" w:fill="auto"/>
            <w:vAlign w:val="bottom"/>
            <w:hideMark/>
          </w:tcPr>
          <w:p w14:paraId="66B9E76F"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IRP Weighting </w:t>
            </w:r>
          </w:p>
        </w:tc>
        <w:tc>
          <w:tcPr>
            <w:tcW w:w="326" w:type="dxa"/>
            <w:tcBorders>
              <w:top w:val="nil"/>
              <w:left w:val="nil"/>
              <w:bottom w:val="nil"/>
              <w:right w:val="nil"/>
            </w:tcBorders>
            <w:shd w:val="clear" w:color="auto" w:fill="auto"/>
            <w:vAlign w:val="bottom"/>
            <w:hideMark/>
          </w:tcPr>
          <w:p w14:paraId="04F080F1" w14:textId="77777777" w:rsidR="00B70EDE" w:rsidRPr="00B70EDE" w:rsidRDefault="00B70EDE" w:rsidP="00B70EDE">
            <w:pPr>
              <w:jc w:val="center"/>
              <w:rPr>
                <w:rFonts w:ascii="Calibri" w:hAnsi="Calibri"/>
                <w:b/>
                <w:bCs/>
                <w:color w:val="000000"/>
              </w:rPr>
            </w:pPr>
          </w:p>
        </w:tc>
        <w:tc>
          <w:tcPr>
            <w:tcW w:w="930" w:type="dxa"/>
            <w:gridSpan w:val="2"/>
            <w:tcBorders>
              <w:top w:val="nil"/>
              <w:left w:val="nil"/>
              <w:bottom w:val="nil"/>
              <w:right w:val="nil"/>
            </w:tcBorders>
            <w:shd w:val="clear" w:color="auto" w:fill="auto"/>
            <w:vAlign w:val="bottom"/>
            <w:hideMark/>
          </w:tcPr>
          <w:p w14:paraId="198F5B72"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t>
            </w:r>
          </w:p>
        </w:tc>
        <w:tc>
          <w:tcPr>
            <w:tcW w:w="338" w:type="dxa"/>
            <w:gridSpan w:val="2"/>
            <w:tcBorders>
              <w:top w:val="nil"/>
              <w:left w:val="nil"/>
              <w:bottom w:val="nil"/>
              <w:right w:val="nil"/>
            </w:tcBorders>
            <w:shd w:val="clear" w:color="auto" w:fill="auto"/>
            <w:vAlign w:val="bottom"/>
            <w:hideMark/>
          </w:tcPr>
          <w:p w14:paraId="2BB3D93D" w14:textId="77777777" w:rsidR="00B70EDE" w:rsidRPr="00B70EDE" w:rsidRDefault="00B70EDE" w:rsidP="00B70EDE">
            <w:pPr>
              <w:jc w:val="center"/>
              <w:rPr>
                <w:rFonts w:ascii="Calibri" w:hAnsi="Calibri"/>
                <w:b/>
                <w:bCs/>
                <w:color w:val="000000"/>
              </w:rPr>
            </w:pPr>
          </w:p>
        </w:tc>
        <w:tc>
          <w:tcPr>
            <w:tcW w:w="1156" w:type="dxa"/>
            <w:gridSpan w:val="2"/>
            <w:tcBorders>
              <w:top w:val="nil"/>
              <w:left w:val="nil"/>
              <w:bottom w:val="nil"/>
              <w:right w:val="nil"/>
            </w:tcBorders>
            <w:shd w:val="clear" w:color="auto" w:fill="auto"/>
            <w:vAlign w:val="bottom"/>
            <w:hideMark/>
          </w:tcPr>
          <w:p w14:paraId="2DA1D52C"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Weighting </w:t>
            </w:r>
          </w:p>
        </w:tc>
        <w:tc>
          <w:tcPr>
            <w:tcW w:w="350" w:type="dxa"/>
            <w:tcBorders>
              <w:top w:val="nil"/>
              <w:left w:val="nil"/>
              <w:bottom w:val="nil"/>
              <w:right w:val="nil"/>
            </w:tcBorders>
            <w:shd w:val="clear" w:color="auto" w:fill="auto"/>
            <w:vAlign w:val="bottom"/>
            <w:hideMark/>
          </w:tcPr>
          <w:p w14:paraId="347BD4EC" w14:textId="77777777" w:rsidR="00B70EDE" w:rsidRPr="00B70EDE" w:rsidRDefault="00B70EDE" w:rsidP="00B70EDE">
            <w:pPr>
              <w:jc w:val="center"/>
              <w:rPr>
                <w:rFonts w:ascii="Calibri" w:hAnsi="Calibri"/>
                <w:b/>
                <w:bCs/>
                <w:color w:val="000000"/>
              </w:rPr>
            </w:pPr>
          </w:p>
        </w:tc>
        <w:tc>
          <w:tcPr>
            <w:tcW w:w="1027" w:type="dxa"/>
            <w:gridSpan w:val="2"/>
            <w:tcBorders>
              <w:top w:val="nil"/>
              <w:left w:val="nil"/>
              <w:bottom w:val="nil"/>
              <w:right w:val="nil"/>
            </w:tcBorders>
            <w:shd w:val="clear" w:color="auto" w:fill="auto"/>
            <w:vAlign w:val="bottom"/>
            <w:hideMark/>
          </w:tcPr>
          <w:p w14:paraId="0DA436B5"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Weighted FTE Count </w:t>
            </w:r>
          </w:p>
        </w:tc>
        <w:tc>
          <w:tcPr>
            <w:tcW w:w="1233" w:type="dxa"/>
            <w:gridSpan w:val="2"/>
            <w:tcBorders>
              <w:top w:val="nil"/>
              <w:left w:val="nil"/>
              <w:bottom w:val="nil"/>
              <w:right w:val="nil"/>
            </w:tcBorders>
            <w:shd w:val="clear" w:color="auto" w:fill="auto"/>
            <w:vAlign w:val="bottom"/>
            <w:hideMark/>
          </w:tcPr>
          <w:p w14:paraId="6FD3707A"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Unweighted FTE Count </w:t>
            </w:r>
          </w:p>
        </w:tc>
        <w:tc>
          <w:tcPr>
            <w:tcW w:w="815" w:type="dxa"/>
            <w:gridSpan w:val="3"/>
            <w:tcBorders>
              <w:top w:val="nil"/>
              <w:left w:val="nil"/>
              <w:bottom w:val="nil"/>
              <w:right w:val="nil"/>
            </w:tcBorders>
            <w:shd w:val="clear" w:color="auto" w:fill="auto"/>
            <w:vAlign w:val="bottom"/>
            <w:hideMark/>
          </w:tcPr>
          <w:p w14:paraId="1D8EF767"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of IRPs to Total</w:t>
            </w:r>
          </w:p>
        </w:tc>
      </w:tr>
      <w:tr w:rsidR="00B70EDE" w:rsidRPr="00B70EDE" w14:paraId="6CC01C66" w14:textId="77777777" w:rsidTr="00FD24B4">
        <w:trPr>
          <w:gridBefore w:val="1"/>
          <w:gridAfter w:val="2"/>
          <w:wBefore w:w="521" w:type="dxa"/>
          <w:wAfter w:w="1030" w:type="dxa"/>
          <w:trHeight w:val="300"/>
        </w:trPr>
        <w:tc>
          <w:tcPr>
            <w:tcW w:w="6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A67BA" w14:textId="77777777" w:rsidR="00B70EDE" w:rsidRPr="00B70EDE" w:rsidRDefault="00B70EDE" w:rsidP="00B70EDE">
            <w:pPr>
              <w:jc w:val="center"/>
              <w:rPr>
                <w:rFonts w:ascii="Calibri" w:hAnsi="Calibri"/>
                <w:color w:val="000000"/>
              </w:rPr>
            </w:pPr>
            <w:r w:rsidRPr="00B70EDE">
              <w:rPr>
                <w:rFonts w:ascii="Calibri" w:hAnsi="Calibri"/>
                <w:color w:val="000000"/>
              </w:rPr>
              <w:t>1997</w:t>
            </w:r>
          </w:p>
        </w:tc>
        <w:tc>
          <w:tcPr>
            <w:tcW w:w="102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91A132E"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14:paraId="485E7F90"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44" w:type="dxa"/>
            <w:gridSpan w:val="2"/>
            <w:tcBorders>
              <w:top w:val="single" w:sz="4" w:space="0" w:color="auto"/>
              <w:left w:val="nil"/>
              <w:bottom w:val="single" w:sz="4" w:space="0" w:color="auto"/>
              <w:right w:val="single" w:sz="4" w:space="0" w:color="auto"/>
            </w:tcBorders>
            <w:shd w:val="clear" w:color="auto" w:fill="auto"/>
            <w:noWrap/>
            <w:vAlign w:val="bottom"/>
            <w:hideMark/>
          </w:tcPr>
          <w:p w14:paraId="6C508576"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 </w:t>
            </w:r>
          </w:p>
        </w:tc>
        <w:tc>
          <w:tcPr>
            <w:tcW w:w="326" w:type="dxa"/>
            <w:tcBorders>
              <w:top w:val="single" w:sz="4" w:space="0" w:color="auto"/>
              <w:left w:val="nil"/>
              <w:bottom w:val="single" w:sz="4" w:space="0" w:color="auto"/>
              <w:right w:val="single" w:sz="4" w:space="0" w:color="auto"/>
            </w:tcBorders>
            <w:shd w:val="clear" w:color="auto" w:fill="auto"/>
            <w:noWrap/>
            <w:vAlign w:val="bottom"/>
            <w:hideMark/>
          </w:tcPr>
          <w:p w14:paraId="681CEB03"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9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70C8B4"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20.00 </w:t>
            </w:r>
          </w:p>
        </w:tc>
        <w:tc>
          <w:tcPr>
            <w:tcW w:w="338"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D06978"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5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B6B16C2"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0.50 </w:t>
            </w:r>
          </w:p>
        </w:tc>
        <w:tc>
          <w:tcPr>
            <w:tcW w:w="350" w:type="dxa"/>
            <w:tcBorders>
              <w:top w:val="single" w:sz="4" w:space="0" w:color="auto"/>
              <w:left w:val="nil"/>
              <w:bottom w:val="single" w:sz="4" w:space="0" w:color="auto"/>
              <w:right w:val="single" w:sz="4" w:space="0" w:color="auto"/>
            </w:tcBorders>
            <w:shd w:val="clear" w:color="auto" w:fill="auto"/>
            <w:noWrap/>
            <w:vAlign w:val="bottom"/>
            <w:hideMark/>
          </w:tcPr>
          <w:p w14:paraId="4654D51C"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 </w:t>
            </w:r>
          </w:p>
        </w:tc>
        <w:tc>
          <w:tcPr>
            <w:tcW w:w="10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807BB2"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90.00 </w:t>
            </w:r>
          </w:p>
        </w:tc>
        <w:tc>
          <w:tcPr>
            <w:tcW w:w="1233"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16446A" w14:textId="77777777" w:rsidR="00B70EDE" w:rsidRPr="00B70EDE" w:rsidRDefault="00B70EDE" w:rsidP="00B70EDE">
            <w:pPr>
              <w:jc w:val="center"/>
              <w:rPr>
                <w:rFonts w:ascii="Calibri" w:hAnsi="Calibri"/>
                <w:color w:val="000000"/>
              </w:rPr>
            </w:pPr>
            <w:r w:rsidRPr="00B70EDE">
              <w:rPr>
                <w:rFonts w:ascii="Calibri" w:hAnsi="Calibri"/>
                <w:color w:val="000000"/>
              </w:rPr>
              <w:t>100.00</w:t>
            </w:r>
          </w:p>
        </w:tc>
        <w:tc>
          <w:tcPr>
            <w:tcW w:w="815" w:type="dxa"/>
            <w:gridSpan w:val="3"/>
            <w:tcBorders>
              <w:top w:val="single" w:sz="4" w:space="0" w:color="auto"/>
              <w:left w:val="nil"/>
              <w:bottom w:val="single" w:sz="4" w:space="0" w:color="auto"/>
              <w:right w:val="single" w:sz="4" w:space="0" w:color="auto"/>
            </w:tcBorders>
            <w:shd w:val="clear" w:color="auto" w:fill="auto"/>
            <w:noWrap/>
            <w:vAlign w:val="bottom"/>
            <w:hideMark/>
          </w:tcPr>
          <w:p w14:paraId="544B6DCC" w14:textId="77777777" w:rsidR="00B70EDE" w:rsidRPr="00B70EDE" w:rsidRDefault="00B70EDE" w:rsidP="00B70EDE">
            <w:pPr>
              <w:jc w:val="center"/>
              <w:rPr>
                <w:rFonts w:ascii="Calibri" w:hAnsi="Calibri"/>
                <w:color w:val="000000"/>
              </w:rPr>
            </w:pPr>
            <w:r w:rsidRPr="00B70EDE">
              <w:rPr>
                <w:rFonts w:ascii="Calibri" w:hAnsi="Calibri"/>
                <w:color w:val="000000"/>
              </w:rPr>
              <w:t>80.0%</w:t>
            </w:r>
          </w:p>
        </w:tc>
      </w:tr>
      <w:tr w:rsidR="00B70EDE" w:rsidRPr="00B70EDE" w14:paraId="163B0DD7" w14:textId="77777777" w:rsidTr="00FD24B4">
        <w:trPr>
          <w:gridBefore w:val="1"/>
          <w:gridAfter w:val="2"/>
          <w:wBefore w:w="521" w:type="dxa"/>
          <w:wAfter w:w="1030" w:type="dxa"/>
          <w:trHeight w:val="300"/>
        </w:trPr>
        <w:tc>
          <w:tcPr>
            <w:tcW w:w="622" w:type="dxa"/>
            <w:gridSpan w:val="2"/>
            <w:tcBorders>
              <w:top w:val="nil"/>
              <w:left w:val="single" w:sz="4" w:space="0" w:color="auto"/>
              <w:bottom w:val="single" w:sz="4" w:space="0" w:color="auto"/>
              <w:right w:val="single" w:sz="4" w:space="0" w:color="auto"/>
            </w:tcBorders>
            <w:shd w:val="clear" w:color="auto" w:fill="auto"/>
            <w:noWrap/>
            <w:vAlign w:val="bottom"/>
            <w:hideMark/>
          </w:tcPr>
          <w:p w14:paraId="210E6779" w14:textId="77777777" w:rsidR="00B70EDE" w:rsidRPr="00B70EDE" w:rsidRDefault="00B70EDE" w:rsidP="00B70EDE">
            <w:pPr>
              <w:jc w:val="center"/>
              <w:rPr>
                <w:rFonts w:ascii="Calibri" w:hAnsi="Calibri"/>
                <w:color w:val="000000"/>
              </w:rPr>
            </w:pPr>
            <w:r w:rsidRPr="00B70EDE">
              <w:rPr>
                <w:rFonts w:ascii="Calibri" w:hAnsi="Calibri"/>
                <w:color w:val="000000"/>
              </w:rPr>
              <w:t>1998</w:t>
            </w:r>
          </w:p>
        </w:tc>
        <w:tc>
          <w:tcPr>
            <w:tcW w:w="1025" w:type="dxa"/>
            <w:gridSpan w:val="2"/>
            <w:tcBorders>
              <w:top w:val="nil"/>
              <w:left w:val="nil"/>
              <w:bottom w:val="single" w:sz="4" w:space="0" w:color="auto"/>
              <w:right w:val="single" w:sz="4" w:space="0" w:color="auto"/>
            </w:tcBorders>
            <w:shd w:val="clear" w:color="auto" w:fill="auto"/>
            <w:noWrap/>
            <w:vAlign w:val="bottom"/>
            <w:hideMark/>
          </w:tcPr>
          <w:p w14:paraId="40A44E85"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338" w:type="dxa"/>
            <w:tcBorders>
              <w:top w:val="nil"/>
              <w:left w:val="nil"/>
              <w:bottom w:val="single" w:sz="4" w:space="0" w:color="auto"/>
              <w:right w:val="single" w:sz="4" w:space="0" w:color="auto"/>
            </w:tcBorders>
            <w:shd w:val="clear" w:color="auto" w:fill="auto"/>
            <w:noWrap/>
            <w:vAlign w:val="bottom"/>
            <w:hideMark/>
          </w:tcPr>
          <w:p w14:paraId="7A651BAE"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44" w:type="dxa"/>
            <w:gridSpan w:val="2"/>
            <w:tcBorders>
              <w:top w:val="nil"/>
              <w:left w:val="nil"/>
              <w:bottom w:val="single" w:sz="4" w:space="0" w:color="auto"/>
              <w:right w:val="single" w:sz="4" w:space="0" w:color="auto"/>
            </w:tcBorders>
            <w:shd w:val="clear" w:color="auto" w:fill="auto"/>
            <w:noWrap/>
            <w:vAlign w:val="bottom"/>
            <w:hideMark/>
          </w:tcPr>
          <w:p w14:paraId="13E3DA79"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 </w:t>
            </w:r>
          </w:p>
        </w:tc>
        <w:tc>
          <w:tcPr>
            <w:tcW w:w="326" w:type="dxa"/>
            <w:tcBorders>
              <w:top w:val="nil"/>
              <w:left w:val="nil"/>
              <w:bottom w:val="single" w:sz="4" w:space="0" w:color="auto"/>
              <w:right w:val="single" w:sz="4" w:space="0" w:color="auto"/>
            </w:tcBorders>
            <w:shd w:val="clear" w:color="auto" w:fill="auto"/>
            <w:noWrap/>
            <w:vAlign w:val="bottom"/>
            <w:hideMark/>
          </w:tcPr>
          <w:p w14:paraId="27411BF7"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930" w:type="dxa"/>
            <w:gridSpan w:val="2"/>
            <w:tcBorders>
              <w:top w:val="nil"/>
              <w:left w:val="nil"/>
              <w:bottom w:val="single" w:sz="4" w:space="0" w:color="auto"/>
              <w:right w:val="single" w:sz="4" w:space="0" w:color="auto"/>
            </w:tcBorders>
            <w:shd w:val="clear" w:color="auto" w:fill="auto"/>
            <w:noWrap/>
            <w:vAlign w:val="bottom"/>
            <w:hideMark/>
          </w:tcPr>
          <w:p w14:paraId="07DA9B91"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10.00 </w:t>
            </w:r>
          </w:p>
        </w:tc>
        <w:tc>
          <w:tcPr>
            <w:tcW w:w="338" w:type="dxa"/>
            <w:gridSpan w:val="2"/>
            <w:tcBorders>
              <w:top w:val="nil"/>
              <w:left w:val="nil"/>
              <w:bottom w:val="single" w:sz="4" w:space="0" w:color="auto"/>
              <w:right w:val="single" w:sz="4" w:space="0" w:color="auto"/>
            </w:tcBorders>
            <w:shd w:val="clear" w:color="auto" w:fill="auto"/>
            <w:noWrap/>
            <w:vAlign w:val="bottom"/>
            <w:hideMark/>
          </w:tcPr>
          <w:p w14:paraId="688EAC11"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56" w:type="dxa"/>
            <w:gridSpan w:val="2"/>
            <w:tcBorders>
              <w:top w:val="nil"/>
              <w:left w:val="nil"/>
              <w:bottom w:val="single" w:sz="4" w:space="0" w:color="auto"/>
              <w:right w:val="single" w:sz="4" w:space="0" w:color="auto"/>
            </w:tcBorders>
            <w:shd w:val="clear" w:color="auto" w:fill="auto"/>
            <w:noWrap/>
            <w:vAlign w:val="bottom"/>
            <w:hideMark/>
          </w:tcPr>
          <w:p w14:paraId="446BF053"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0.50 </w:t>
            </w:r>
          </w:p>
        </w:tc>
        <w:tc>
          <w:tcPr>
            <w:tcW w:w="350" w:type="dxa"/>
            <w:tcBorders>
              <w:top w:val="nil"/>
              <w:left w:val="nil"/>
              <w:bottom w:val="single" w:sz="4" w:space="0" w:color="auto"/>
              <w:right w:val="single" w:sz="4" w:space="0" w:color="auto"/>
            </w:tcBorders>
            <w:shd w:val="clear" w:color="auto" w:fill="auto"/>
            <w:noWrap/>
            <w:vAlign w:val="bottom"/>
            <w:hideMark/>
          </w:tcPr>
          <w:p w14:paraId="7BEF8C6C"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 </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2FEAF722"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85.00 </w:t>
            </w:r>
          </w:p>
        </w:tc>
        <w:tc>
          <w:tcPr>
            <w:tcW w:w="1233" w:type="dxa"/>
            <w:gridSpan w:val="2"/>
            <w:tcBorders>
              <w:top w:val="nil"/>
              <w:left w:val="nil"/>
              <w:bottom w:val="single" w:sz="4" w:space="0" w:color="auto"/>
              <w:right w:val="single" w:sz="4" w:space="0" w:color="auto"/>
            </w:tcBorders>
            <w:shd w:val="clear" w:color="auto" w:fill="auto"/>
            <w:noWrap/>
            <w:vAlign w:val="bottom"/>
            <w:hideMark/>
          </w:tcPr>
          <w:p w14:paraId="64179C68" w14:textId="77777777" w:rsidR="00B70EDE" w:rsidRPr="00B70EDE" w:rsidRDefault="00B70EDE" w:rsidP="00B70EDE">
            <w:pPr>
              <w:jc w:val="center"/>
              <w:rPr>
                <w:rFonts w:ascii="Calibri" w:hAnsi="Calibri"/>
                <w:color w:val="000000"/>
              </w:rPr>
            </w:pPr>
            <w:r w:rsidRPr="00B70EDE">
              <w:rPr>
                <w:rFonts w:ascii="Calibri" w:hAnsi="Calibri"/>
                <w:color w:val="000000"/>
              </w:rPr>
              <w:t>90.00</w:t>
            </w:r>
          </w:p>
        </w:tc>
        <w:tc>
          <w:tcPr>
            <w:tcW w:w="815" w:type="dxa"/>
            <w:gridSpan w:val="3"/>
            <w:tcBorders>
              <w:top w:val="nil"/>
              <w:left w:val="nil"/>
              <w:bottom w:val="single" w:sz="4" w:space="0" w:color="auto"/>
              <w:right w:val="single" w:sz="4" w:space="0" w:color="auto"/>
            </w:tcBorders>
            <w:shd w:val="clear" w:color="auto" w:fill="auto"/>
            <w:noWrap/>
            <w:vAlign w:val="bottom"/>
            <w:hideMark/>
          </w:tcPr>
          <w:p w14:paraId="78D81F70" w14:textId="77777777" w:rsidR="00B70EDE" w:rsidRPr="00B70EDE" w:rsidRDefault="00B70EDE" w:rsidP="00B70EDE">
            <w:pPr>
              <w:jc w:val="center"/>
              <w:rPr>
                <w:rFonts w:ascii="Calibri" w:hAnsi="Calibri"/>
                <w:color w:val="000000"/>
              </w:rPr>
            </w:pPr>
            <w:r w:rsidRPr="00B70EDE">
              <w:rPr>
                <w:rFonts w:ascii="Calibri" w:hAnsi="Calibri"/>
                <w:color w:val="000000"/>
              </w:rPr>
              <w:t>88.9%</w:t>
            </w:r>
          </w:p>
        </w:tc>
      </w:tr>
      <w:tr w:rsidR="00B70EDE" w:rsidRPr="00B70EDE" w14:paraId="4D30F8C5" w14:textId="77777777" w:rsidTr="00FD24B4">
        <w:trPr>
          <w:gridBefore w:val="1"/>
          <w:gridAfter w:val="2"/>
          <w:wBefore w:w="521" w:type="dxa"/>
          <w:wAfter w:w="1030" w:type="dxa"/>
          <w:trHeight w:val="300"/>
        </w:trPr>
        <w:tc>
          <w:tcPr>
            <w:tcW w:w="622" w:type="dxa"/>
            <w:gridSpan w:val="2"/>
            <w:tcBorders>
              <w:top w:val="nil"/>
              <w:left w:val="single" w:sz="4" w:space="0" w:color="auto"/>
              <w:bottom w:val="single" w:sz="4" w:space="0" w:color="auto"/>
              <w:right w:val="single" w:sz="4" w:space="0" w:color="auto"/>
            </w:tcBorders>
            <w:shd w:val="clear" w:color="auto" w:fill="auto"/>
            <w:noWrap/>
            <w:vAlign w:val="bottom"/>
            <w:hideMark/>
          </w:tcPr>
          <w:p w14:paraId="728EB836" w14:textId="77777777" w:rsidR="00B70EDE" w:rsidRPr="00B70EDE" w:rsidRDefault="00B70EDE" w:rsidP="00B70EDE">
            <w:pPr>
              <w:jc w:val="center"/>
              <w:rPr>
                <w:rFonts w:ascii="Calibri" w:hAnsi="Calibri"/>
                <w:color w:val="000000"/>
              </w:rPr>
            </w:pPr>
            <w:r w:rsidRPr="00B70EDE">
              <w:rPr>
                <w:rFonts w:ascii="Calibri" w:hAnsi="Calibri"/>
                <w:color w:val="000000"/>
              </w:rPr>
              <w:t>1999</w:t>
            </w:r>
          </w:p>
        </w:tc>
        <w:tc>
          <w:tcPr>
            <w:tcW w:w="1025" w:type="dxa"/>
            <w:gridSpan w:val="2"/>
            <w:tcBorders>
              <w:top w:val="nil"/>
              <w:left w:val="nil"/>
              <w:bottom w:val="single" w:sz="4" w:space="0" w:color="auto"/>
              <w:right w:val="single" w:sz="4" w:space="0" w:color="auto"/>
            </w:tcBorders>
            <w:shd w:val="clear" w:color="auto" w:fill="auto"/>
            <w:noWrap/>
            <w:vAlign w:val="bottom"/>
            <w:hideMark/>
          </w:tcPr>
          <w:p w14:paraId="683DD7EA"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338" w:type="dxa"/>
            <w:tcBorders>
              <w:top w:val="nil"/>
              <w:left w:val="nil"/>
              <w:bottom w:val="single" w:sz="4" w:space="0" w:color="auto"/>
              <w:right w:val="single" w:sz="4" w:space="0" w:color="auto"/>
            </w:tcBorders>
            <w:shd w:val="clear" w:color="auto" w:fill="auto"/>
            <w:noWrap/>
            <w:vAlign w:val="bottom"/>
            <w:hideMark/>
          </w:tcPr>
          <w:p w14:paraId="27912638"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44" w:type="dxa"/>
            <w:gridSpan w:val="2"/>
            <w:tcBorders>
              <w:top w:val="nil"/>
              <w:left w:val="nil"/>
              <w:bottom w:val="single" w:sz="4" w:space="0" w:color="auto"/>
              <w:right w:val="single" w:sz="4" w:space="0" w:color="auto"/>
            </w:tcBorders>
            <w:shd w:val="clear" w:color="auto" w:fill="auto"/>
            <w:noWrap/>
            <w:vAlign w:val="bottom"/>
            <w:hideMark/>
          </w:tcPr>
          <w:p w14:paraId="0673EFA4"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 </w:t>
            </w:r>
          </w:p>
        </w:tc>
        <w:tc>
          <w:tcPr>
            <w:tcW w:w="326" w:type="dxa"/>
            <w:tcBorders>
              <w:top w:val="nil"/>
              <w:left w:val="nil"/>
              <w:bottom w:val="single" w:sz="4" w:space="0" w:color="auto"/>
              <w:right w:val="single" w:sz="4" w:space="0" w:color="auto"/>
            </w:tcBorders>
            <w:shd w:val="clear" w:color="auto" w:fill="auto"/>
            <w:noWrap/>
            <w:vAlign w:val="bottom"/>
            <w:hideMark/>
          </w:tcPr>
          <w:p w14:paraId="28BD0A05"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930" w:type="dxa"/>
            <w:gridSpan w:val="2"/>
            <w:tcBorders>
              <w:top w:val="nil"/>
              <w:left w:val="nil"/>
              <w:bottom w:val="single" w:sz="4" w:space="0" w:color="auto"/>
              <w:right w:val="single" w:sz="4" w:space="0" w:color="auto"/>
            </w:tcBorders>
            <w:shd w:val="clear" w:color="auto" w:fill="auto"/>
            <w:noWrap/>
            <w:vAlign w:val="bottom"/>
            <w:hideMark/>
          </w:tcPr>
          <w:p w14:paraId="7736386E"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   </w:t>
            </w:r>
          </w:p>
        </w:tc>
        <w:tc>
          <w:tcPr>
            <w:tcW w:w="338" w:type="dxa"/>
            <w:gridSpan w:val="2"/>
            <w:tcBorders>
              <w:top w:val="nil"/>
              <w:left w:val="nil"/>
              <w:bottom w:val="single" w:sz="4" w:space="0" w:color="auto"/>
              <w:right w:val="single" w:sz="4" w:space="0" w:color="auto"/>
            </w:tcBorders>
            <w:shd w:val="clear" w:color="auto" w:fill="auto"/>
            <w:noWrap/>
            <w:vAlign w:val="bottom"/>
            <w:hideMark/>
          </w:tcPr>
          <w:p w14:paraId="761FD343"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56" w:type="dxa"/>
            <w:gridSpan w:val="2"/>
            <w:tcBorders>
              <w:top w:val="nil"/>
              <w:left w:val="nil"/>
              <w:bottom w:val="single" w:sz="4" w:space="0" w:color="auto"/>
              <w:right w:val="single" w:sz="4" w:space="0" w:color="auto"/>
            </w:tcBorders>
            <w:shd w:val="clear" w:color="auto" w:fill="auto"/>
            <w:noWrap/>
            <w:vAlign w:val="bottom"/>
            <w:hideMark/>
          </w:tcPr>
          <w:p w14:paraId="3DF8A28F"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0.50 </w:t>
            </w:r>
          </w:p>
        </w:tc>
        <w:tc>
          <w:tcPr>
            <w:tcW w:w="350" w:type="dxa"/>
            <w:tcBorders>
              <w:top w:val="nil"/>
              <w:left w:val="nil"/>
              <w:bottom w:val="single" w:sz="4" w:space="0" w:color="auto"/>
              <w:right w:val="single" w:sz="4" w:space="0" w:color="auto"/>
            </w:tcBorders>
            <w:shd w:val="clear" w:color="auto" w:fill="auto"/>
            <w:noWrap/>
            <w:vAlign w:val="bottom"/>
            <w:hideMark/>
          </w:tcPr>
          <w:p w14:paraId="06810D1D"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 </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1FE0B7C0"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1233" w:type="dxa"/>
            <w:gridSpan w:val="2"/>
            <w:tcBorders>
              <w:top w:val="nil"/>
              <w:left w:val="nil"/>
              <w:bottom w:val="single" w:sz="4" w:space="0" w:color="auto"/>
              <w:right w:val="single" w:sz="4" w:space="0" w:color="auto"/>
            </w:tcBorders>
            <w:shd w:val="clear" w:color="auto" w:fill="auto"/>
            <w:noWrap/>
            <w:vAlign w:val="bottom"/>
            <w:hideMark/>
          </w:tcPr>
          <w:p w14:paraId="0AF60CA8" w14:textId="77777777" w:rsidR="00B70EDE" w:rsidRPr="00B70EDE" w:rsidRDefault="00B70EDE" w:rsidP="00B70EDE">
            <w:pPr>
              <w:jc w:val="center"/>
              <w:rPr>
                <w:rFonts w:ascii="Calibri" w:hAnsi="Calibri"/>
                <w:color w:val="000000"/>
              </w:rPr>
            </w:pPr>
            <w:r w:rsidRPr="00B70EDE">
              <w:rPr>
                <w:rFonts w:ascii="Calibri" w:hAnsi="Calibri"/>
                <w:color w:val="000000"/>
              </w:rPr>
              <w:t>80.00</w:t>
            </w:r>
          </w:p>
        </w:tc>
        <w:tc>
          <w:tcPr>
            <w:tcW w:w="815" w:type="dxa"/>
            <w:gridSpan w:val="3"/>
            <w:tcBorders>
              <w:top w:val="nil"/>
              <w:left w:val="nil"/>
              <w:bottom w:val="single" w:sz="4" w:space="0" w:color="auto"/>
              <w:right w:val="single" w:sz="4" w:space="0" w:color="auto"/>
            </w:tcBorders>
            <w:shd w:val="clear" w:color="auto" w:fill="auto"/>
            <w:noWrap/>
            <w:vAlign w:val="bottom"/>
            <w:hideMark/>
          </w:tcPr>
          <w:p w14:paraId="1C503C96" w14:textId="77777777" w:rsidR="00B70EDE" w:rsidRPr="00B70EDE" w:rsidRDefault="00B70EDE" w:rsidP="00B70EDE">
            <w:pPr>
              <w:jc w:val="center"/>
              <w:rPr>
                <w:rFonts w:ascii="Calibri" w:hAnsi="Calibri"/>
                <w:color w:val="000000"/>
              </w:rPr>
            </w:pPr>
            <w:r w:rsidRPr="00B70EDE">
              <w:rPr>
                <w:rFonts w:ascii="Calibri" w:hAnsi="Calibri"/>
                <w:color w:val="000000"/>
              </w:rPr>
              <w:t>100.0%</w:t>
            </w:r>
          </w:p>
        </w:tc>
      </w:tr>
      <w:tr w:rsidR="00B70EDE" w:rsidRPr="00B70EDE" w14:paraId="3C9FD14D" w14:textId="77777777" w:rsidTr="00FD24B4">
        <w:trPr>
          <w:gridAfter w:val="1"/>
          <w:wAfter w:w="200" w:type="dxa"/>
          <w:trHeight w:val="300"/>
        </w:trPr>
        <w:tc>
          <w:tcPr>
            <w:tcW w:w="663" w:type="dxa"/>
            <w:gridSpan w:val="2"/>
            <w:tcBorders>
              <w:top w:val="nil"/>
              <w:left w:val="nil"/>
              <w:bottom w:val="nil"/>
              <w:right w:val="nil"/>
            </w:tcBorders>
            <w:shd w:val="clear" w:color="auto" w:fill="auto"/>
            <w:noWrap/>
            <w:vAlign w:val="bottom"/>
            <w:hideMark/>
          </w:tcPr>
          <w:p w14:paraId="6AC472D5" w14:textId="77777777" w:rsidR="00B70EDE" w:rsidRPr="00B70EDE" w:rsidRDefault="00B70EDE" w:rsidP="00B70EDE">
            <w:pPr>
              <w:jc w:val="right"/>
              <w:rPr>
                <w:rFonts w:ascii="Calibri" w:hAnsi="Calibri"/>
                <w:color w:val="000000"/>
              </w:rPr>
            </w:pPr>
          </w:p>
        </w:tc>
        <w:tc>
          <w:tcPr>
            <w:tcW w:w="1167" w:type="dxa"/>
            <w:gridSpan w:val="2"/>
            <w:tcBorders>
              <w:top w:val="nil"/>
              <w:left w:val="nil"/>
              <w:bottom w:val="nil"/>
              <w:right w:val="nil"/>
            </w:tcBorders>
            <w:shd w:val="clear" w:color="auto" w:fill="auto"/>
            <w:noWrap/>
            <w:vAlign w:val="bottom"/>
            <w:hideMark/>
          </w:tcPr>
          <w:p w14:paraId="0D764A58" w14:textId="77777777" w:rsidR="00B70EDE" w:rsidRPr="00B70EDE" w:rsidRDefault="00B70EDE" w:rsidP="00B70EDE"/>
        </w:tc>
        <w:tc>
          <w:tcPr>
            <w:tcW w:w="338" w:type="dxa"/>
            <w:tcBorders>
              <w:top w:val="nil"/>
              <w:left w:val="nil"/>
              <w:bottom w:val="nil"/>
              <w:right w:val="nil"/>
            </w:tcBorders>
            <w:shd w:val="clear" w:color="auto" w:fill="auto"/>
            <w:noWrap/>
            <w:vAlign w:val="bottom"/>
            <w:hideMark/>
          </w:tcPr>
          <w:p w14:paraId="0E0EDA47" w14:textId="77777777" w:rsidR="00B70EDE" w:rsidRPr="00B70EDE" w:rsidRDefault="00B70EDE" w:rsidP="00B70EDE">
            <w:pPr>
              <w:jc w:val="center"/>
            </w:pPr>
          </w:p>
        </w:tc>
        <w:tc>
          <w:tcPr>
            <w:tcW w:w="1156" w:type="dxa"/>
            <w:gridSpan w:val="2"/>
            <w:tcBorders>
              <w:top w:val="nil"/>
              <w:left w:val="nil"/>
              <w:bottom w:val="nil"/>
              <w:right w:val="nil"/>
            </w:tcBorders>
            <w:shd w:val="clear" w:color="auto" w:fill="auto"/>
            <w:noWrap/>
            <w:vAlign w:val="bottom"/>
            <w:hideMark/>
          </w:tcPr>
          <w:p w14:paraId="6AD89422" w14:textId="77777777" w:rsidR="00B70EDE" w:rsidRPr="00B70EDE" w:rsidRDefault="00B70EDE" w:rsidP="00B70EDE"/>
        </w:tc>
        <w:tc>
          <w:tcPr>
            <w:tcW w:w="326" w:type="dxa"/>
            <w:tcBorders>
              <w:top w:val="nil"/>
              <w:left w:val="nil"/>
              <w:bottom w:val="nil"/>
              <w:right w:val="nil"/>
            </w:tcBorders>
            <w:shd w:val="clear" w:color="auto" w:fill="auto"/>
            <w:noWrap/>
            <w:vAlign w:val="bottom"/>
            <w:hideMark/>
          </w:tcPr>
          <w:p w14:paraId="11B7BAFD" w14:textId="77777777" w:rsidR="00B70EDE" w:rsidRPr="00B70EDE" w:rsidRDefault="00B70EDE" w:rsidP="00B70EDE"/>
        </w:tc>
        <w:tc>
          <w:tcPr>
            <w:tcW w:w="930" w:type="dxa"/>
            <w:gridSpan w:val="2"/>
            <w:tcBorders>
              <w:top w:val="nil"/>
              <w:left w:val="nil"/>
              <w:bottom w:val="nil"/>
              <w:right w:val="nil"/>
            </w:tcBorders>
            <w:shd w:val="clear" w:color="auto" w:fill="auto"/>
            <w:noWrap/>
            <w:vAlign w:val="bottom"/>
            <w:hideMark/>
          </w:tcPr>
          <w:p w14:paraId="508D3F45" w14:textId="77777777" w:rsidR="00B70EDE" w:rsidRPr="00B70EDE" w:rsidRDefault="00B70EDE" w:rsidP="00B70EDE"/>
        </w:tc>
        <w:tc>
          <w:tcPr>
            <w:tcW w:w="338" w:type="dxa"/>
            <w:gridSpan w:val="2"/>
            <w:tcBorders>
              <w:top w:val="nil"/>
              <w:left w:val="nil"/>
              <w:bottom w:val="nil"/>
              <w:right w:val="nil"/>
            </w:tcBorders>
            <w:shd w:val="clear" w:color="auto" w:fill="auto"/>
            <w:noWrap/>
            <w:vAlign w:val="bottom"/>
            <w:hideMark/>
          </w:tcPr>
          <w:p w14:paraId="55C11F38" w14:textId="77777777" w:rsidR="00B70EDE" w:rsidRPr="00B70EDE" w:rsidRDefault="00B70EDE" w:rsidP="00B70EDE"/>
        </w:tc>
        <w:tc>
          <w:tcPr>
            <w:tcW w:w="1156" w:type="dxa"/>
            <w:gridSpan w:val="2"/>
            <w:tcBorders>
              <w:top w:val="nil"/>
              <w:left w:val="nil"/>
              <w:bottom w:val="nil"/>
              <w:right w:val="nil"/>
            </w:tcBorders>
            <w:shd w:val="clear" w:color="auto" w:fill="auto"/>
            <w:noWrap/>
            <w:vAlign w:val="bottom"/>
            <w:hideMark/>
          </w:tcPr>
          <w:p w14:paraId="6CD7896C" w14:textId="77777777" w:rsidR="00B70EDE" w:rsidRPr="00B70EDE" w:rsidRDefault="00B70EDE" w:rsidP="00B70EDE"/>
        </w:tc>
        <w:tc>
          <w:tcPr>
            <w:tcW w:w="746" w:type="dxa"/>
            <w:gridSpan w:val="3"/>
            <w:tcBorders>
              <w:top w:val="nil"/>
              <w:left w:val="nil"/>
              <w:bottom w:val="nil"/>
              <w:right w:val="nil"/>
            </w:tcBorders>
            <w:shd w:val="clear" w:color="auto" w:fill="auto"/>
            <w:noWrap/>
            <w:vAlign w:val="bottom"/>
            <w:hideMark/>
          </w:tcPr>
          <w:p w14:paraId="23BFEB86"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Total </w:t>
            </w:r>
          </w:p>
        </w:tc>
        <w:tc>
          <w:tcPr>
            <w:tcW w:w="1419" w:type="dxa"/>
            <w:gridSpan w:val="2"/>
            <w:tcBorders>
              <w:top w:val="nil"/>
              <w:left w:val="nil"/>
              <w:bottom w:val="nil"/>
              <w:right w:val="nil"/>
            </w:tcBorders>
            <w:shd w:val="clear" w:color="auto" w:fill="auto"/>
            <w:noWrap/>
            <w:vAlign w:val="bottom"/>
            <w:hideMark/>
          </w:tcPr>
          <w:p w14:paraId="14BB2DC1" w14:textId="77777777" w:rsidR="00B70EDE" w:rsidRPr="00B70EDE" w:rsidRDefault="00B70EDE" w:rsidP="00B70EDE">
            <w:pPr>
              <w:ind w:right="380"/>
              <w:rPr>
                <w:rFonts w:ascii="Calibri" w:hAnsi="Calibri"/>
                <w:color w:val="000000"/>
              </w:rPr>
            </w:pPr>
            <w:r w:rsidRPr="00B70EDE">
              <w:rPr>
                <w:rFonts w:ascii="Calibri" w:hAnsi="Calibri"/>
                <w:color w:val="000000"/>
              </w:rPr>
              <w:t xml:space="preserve">       255.00 </w:t>
            </w:r>
          </w:p>
        </w:tc>
        <w:tc>
          <w:tcPr>
            <w:tcW w:w="1423" w:type="dxa"/>
            <w:gridSpan w:val="3"/>
            <w:tcBorders>
              <w:top w:val="nil"/>
              <w:left w:val="nil"/>
              <w:bottom w:val="nil"/>
              <w:right w:val="nil"/>
            </w:tcBorders>
            <w:shd w:val="clear" w:color="auto" w:fill="auto"/>
            <w:noWrap/>
            <w:vAlign w:val="bottom"/>
            <w:hideMark/>
          </w:tcPr>
          <w:p w14:paraId="6BD6EFD2" w14:textId="77777777" w:rsidR="00B70EDE" w:rsidRPr="00B70EDE" w:rsidRDefault="00B70EDE" w:rsidP="00B70EDE">
            <w:pPr>
              <w:jc w:val="center"/>
              <w:rPr>
                <w:rFonts w:ascii="Calibri" w:hAnsi="Calibri"/>
                <w:color w:val="000000"/>
              </w:rPr>
            </w:pPr>
          </w:p>
        </w:tc>
        <w:tc>
          <w:tcPr>
            <w:tcW w:w="993" w:type="dxa"/>
            <w:gridSpan w:val="2"/>
            <w:tcBorders>
              <w:top w:val="nil"/>
              <w:left w:val="nil"/>
              <w:bottom w:val="nil"/>
              <w:right w:val="nil"/>
            </w:tcBorders>
            <w:shd w:val="clear" w:color="auto" w:fill="auto"/>
            <w:noWrap/>
            <w:vAlign w:val="bottom"/>
            <w:hideMark/>
          </w:tcPr>
          <w:p w14:paraId="2FBB39A9" w14:textId="77777777" w:rsidR="00B70EDE" w:rsidRPr="00B70EDE" w:rsidRDefault="00B70EDE" w:rsidP="00B70EDE">
            <w:pPr>
              <w:jc w:val="center"/>
            </w:pPr>
          </w:p>
        </w:tc>
      </w:tr>
      <w:tr w:rsidR="00B70EDE" w:rsidRPr="00B70EDE" w14:paraId="5F88A04C" w14:textId="77777777" w:rsidTr="00FD24B4">
        <w:trPr>
          <w:gridAfter w:val="1"/>
          <w:wAfter w:w="200" w:type="dxa"/>
          <w:trHeight w:val="300"/>
        </w:trPr>
        <w:tc>
          <w:tcPr>
            <w:tcW w:w="663" w:type="dxa"/>
            <w:gridSpan w:val="2"/>
            <w:tcBorders>
              <w:top w:val="nil"/>
              <w:left w:val="nil"/>
              <w:bottom w:val="nil"/>
              <w:right w:val="nil"/>
            </w:tcBorders>
            <w:shd w:val="clear" w:color="auto" w:fill="auto"/>
            <w:noWrap/>
            <w:vAlign w:val="bottom"/>
            <w:hideMark/>
          </w:tcPr>
          <w:p w14:paraId="5A2D46B2" w14:textId="77777777" w:rsidR="00B70EDE" w:rsidRPr="00B70EDE" w:rsidRDefault="00B70EDE" w:rsidP="00B70EDE"/>
        </w:tc>
        <w:tc>
          <w:tcPr>
            <w:tcW w:w="1167" w:type="dxa"/>
            <w:gridSpan w:val="2"/>
            <w:tcBorders>
              <w:top w:val="nil"/>
              <w:left w:val="nil"/>
              <w:bottom w:val="nil"/>
              <w:right w:val="nil"/>
            </w:tcBorders>
            <w:shd w:val="clear" w:color="auto" w:fill="auto"/>
            <w:noWrap/>
            <w:vAlign w:val="bottom"/>
            <w:hideMark/>
          </w:tcPr>
          <w:p w14:paraId="15FDFEB2" w14:textId="77777777" w:rsidR="00B70EDE" w:rsidRPr="00B70EDE" w:rsidRDefault="00B70EDE" w:rsidP="00B70EDE"/>
        </w:tc>
        <w:tc>
          <w:tcPr>
            <w:tcW w:w="338" w:type="dxa"/>
            <w:tcBorders>
              <w:top w:val="nil"/>
              <w:left w:val="nil"/>
              <w:bottom w:val="nil"/>
              <w:right w:val="nil"/>
            </w:tcBorders>
            <w:shd w:val="clear" w:color="auto" w:fill="auto"/>
            <w:noWrap/>
            <w:vAlign w:val="bottom"/>
            <w:hideMark/>
          </w:tcPr>
          <w:p w14:paraId="4C20B8F2" w14:textId="77777777" w:rsidR="00B70EDE" w:rsidRPr="00B70EDE" w:rsidRDefault="00B70EDE" w:rsidP="00B70EDE"/>
        </w:tc>
        <w:tc>
          <w:tcPr>
            <w:tcW w:w="1156" w:type="dxa"/>
            <w:gridSpan w:val="2"/>
            <w:tcBorders>
              <w:top w:val="nil"/>
              <w:left w:val="nil"/>
              <w:bottom w:val="nil"/>
              <w:right w:val="nil"/>
            </w:tcBorders>
            <w:shd w:val="clear" w:color="auto" w:fill="auto"/>
            <w:noWrap/>
            <w:vAlign w:val="bottom"/>
            <w:hideMark/>
          </w:tcPr>
          <w:p w14:paraId="1E64044B" w14:textId="77777777" w:rsidR="00B70EDE" w:rsidRPr="00B70EDE" w:rsidRDefault="00B70EDE" w:rsidP="00B70EDE"/>
        </w:tc>
        <w:tc>
          <w:tcPr>
            <w:tcW w:w="326" w:type="dxa"/>
            <w:tcBorders>
              <w:top w:val="nil"/>
              <w:left w:val="nil"/>
              <w:bottom w:val="nil"/>
              <w:right w:val="nil"/>
            </w:tcBorders>
            <w:shd w:val="clear" w:color="auto" w:fill="auto"/>
            <w:noWrap/>
            <w:vAlign w:val="bottom"/>
            <w:hideMark/>
          </w:tcPr>
          <w:p w14:paraId="7E0565B1" w14:textId="77777777" w:rsidR="00B70EDE" w:rsidRPr="00B70EDE" w:rsidRDefault="00B70EDE" w:rsidP="00B70EDE"/>
        </w:tc>
        <w:tc>
          <w:tcPr>
            <w:tcW w:w="930" w:type="dxa"/>
            <w:gridSpan w:val="2"/>
            <w:tcBorders>
              <w:top w:val="nil"/>
              <w:left w:val="nil"/>
              <w:bottom w:val="nil"/>
              <w:right w:val="nil"/>
            </w:tcBorders>
            <w:shd w:val="clear" w:color="auto" w:fill="auto"/>
            <w:noWrap/>
            <w:vAlign w:val="bottom"/>
            <w:hideMark/>
          </w:tcPr>
          <w:p w14:paraId="301B3D33" w14:textId="77777777" w:rsidR="00B70EDE" w:rsidRPr="00B70EDE" w:rsidRDefault="00B70EDE" w:rsidP="00B70EDE"/>
        </w:tc>
        <w:tc>
          <w:tcPr>
            <w:tcW w:w="338" w:type="dxa"/>
            <w:gridSpan w:val="2"/>
            <w:tcBorders>
              <w:top w:val="nil"/>
              <w:left w:val="nil"/>
              <w:bottom w:val="nil"/>
              <w:right w:val="nil"/>
            </w:tcBorders>
            <w:shd w:val="clear" w:color="auto" w:fill="auto"/>
            <w:noWrap/>
            <w:vAlign w:val="bottom"/>
            <w:hideMark/>
          </w:tcPr>
          <w:p w14:paraId="200797C9" w14:textId="77777777" w:rsidR="00B70EDE" w:rsidRPr="00B70EDE" w:rsidRDefault="00B70EDE" w:rsidP="00B70EDE"/>
        </w:tc>
        <w:tc>
          <w:tcPr>
            <w:tcW w:w="1156" w:type="dxa"/>
            <w:gridSpan w:val="2"/>
            <w:tcBorders>
              <w:top w:val="nil"/>
              <w:left w:val="nil"/>
              <w:bottom w:val="nil"/>
              <w:right w:val="nil"/>
            </w:tcBorders>
            <w:shd w:val="clear" w:color="auto" w:fill="auto"/>
            <w:noWrap/>
            <w:vAlign w:val="bottom"/>
            <w:hideMark/>
          </w:tcPr>
          <w:p w14:paraId="5E56ADB8" w14:textId="77777777" w:rsidR="00B70EDE" w:rsidRPr="00B70EDE" w:rsidRDefault="00B70EDE" w:rsidP="00B70EDE"/>
        </w:tc>
        <w:tc>
          <w:tcPr>
            <w:tcW w:w="746" w:type="dxa"/>
            <w:gridSpan w:val="3"/>
            <w:tcBorders>
              <w:top w:val="nil"/>
              <w:left w:val="nil"/>
              <w:bottom w:val="nil"/>
              <w:right w:val="nil"/>
            </w:tcBorders>
            <w:shd w:val="clear" w:color="auto" w:fill="auto"/>
            <w:noWrap/>
            <w:vAlign w:val="bottom"/>
            <w:hideMark/>
          </w:tcPr>
          <w:p w14:paraId="3E53526C" w14:textId="77777777" w:rsidR="00B70EDE" w:rsidRPr="00B70EDE" w:rsidRDefault="00B70EDE" w:rsidP="00B70EDE">
            <w:pPr>
              <w:jc w:val="right"/>
              <w:rPr>
                <w:rFonts w:ascii="Calibri" w:hAnsi="Calibri"/>
                <w:b/>
                <w:bCs/>
                <w:color w:val="000000"/>
              </w:rPr>
            </w:pPr>
            <w:r w:rsidRPr="00B70EDE">
              <w:rPr>
                <w:rFonts w:ascii="Calibri" w:hAnsi="Calibri"/>
                <w:b/>
                <w:bCs/>
                <w:color w:val="000000"/>
              </w:rPr>
              <w:t xml:space="preserve"> 3 </w:t>
            </w:r>
            <w:proofErr w:type="spellStart"/>
            <w:r w:rsidRPr="00B70EDE">
              <w:rPr>
                <w:rFonts w:ascii="Calibri" w:hAnsi="Calibri"/>
                <w:b/>
                <w:bCs/>
                <w:color w:val="000000"/>
              </w:rPr>
              <w:t>Yrs</w:t>
            </w:r>
            <w:proofErr w:type="spellEnd"/>
            <w:r w:rsidRPr="00B70EDE">
              <w:rPr>
                <w:rFonts w:ascii="Calibri" w:hAnsi="Calibri"/>
                <w:b/>
                <w:bCs/>
                <w:color w:val="000000"/>
              </w:rPr>
              <w:t xml:space="preserve"> </w:t>
            </w:r>
          </w:p>
        </w:tc>
        <w:tc>
          <w:tcPr>
            <w:tcW w:w="1419" w:type="dxa"/>
            <w:gridSpan w:val="2"/>
            <w:tcBorders>
              <w:top w:val="nil"/>
              <w:left w:val="nil"/>
              <w:bottom w:val="nil"/>
              <w:right w:val="nil"/>
            </w:tcBorders>
            <w:shd w:val="clear" w:color="auto" w:fill="auto"/>
            <w:noWrap/>
            <w:vAlign w:val="bottom"/>
            <w:hideMark/>
          </w:tcPr>
          <w:p w14:paraId="1D8DC643" w14:textId="77777777" w:rsidR="00B70EDE" w:rsidRPr="00B70EDE" w:rsidRDefault="00B70EDE" w:rsidP="00B70EDE">
            <w:pPr>
              <w:rPr>
                <w:rFonts w:ascii="Calibri" w:hAnsi="Calibri"/>
                <w:color w:val="000000"/>
              </w:rPr>
            </w:pPr>
            <w:r w:rsidRPr="00B70EDE">
              <w:rPr>
                <w:rFonts w:ascii="Calibri" w:hAnsi="Calibri"/>
                <w:color w:val="000000"/>
              </w:rPr>
              <w:t xml:space="preserve">     3.00 </w:t>
            </w:r>
          </w:p>
        </w:tc>
        <w:tc>
          <w:tcPr>
            <w:tcW w:w="1423" w:type="dxa"/>
            <w:gridSpan w:val="3"/>
            <w:tcBorders>
              <w:top w:val="nil"/>
              <w:left w:val="nil"/>
              <w:bottom w:val="nil"/>
              <w:right w:val="nil"/>
            </w:tcBorders>
            <w:shd w:val="clear" w:color="auto" w:fill="auto"/>
            <w:noWrap/>
            <w:vAlign w:val="bottom"/>
            <w:hideMark/>
          </w:tcPr>
          <w:p w14:paraId="62FBC7B0" w14:textId="77777777" w:rsidR="00B70EDE" w:rsidRPr="00B70EDE" w:rsidRDefault="00B70EDE" w:rsidP="00B70EDE">
            <w:pPr>
              <w:rPr>
                <w:rFonts w:ascii="Calibri" w:hAnsi="Calibri"/>
                <w:color w:val="000000"/>
              </w:rPr>
            </w:pPr>
          </w:p>
        </w:tc>
        <w:tc>
          <w:tcPr>
            <w:tcW w:w="993" w:type="dxa"/>
            <w:gridSpan w:val="2"/>
            <w:tcBorders>
              <w:top w:val="nil"/>
              <w:left w:val="nil"/>
              <w:bottom w:val="nil"/>
              <w:right w:val="nil"/>
            </w:tcBorders>
            <w:shd w:val="clear" w:color="auto" w:fill="auto"/>
            <w:noWrap/>
            <w:vAlign w:val="bottom"/>
            <w:hideMark/>
          </w:tcPr>
          <w:p w14:paraId="7028927C" w14:textId="77777777" w:rsidR="00B70EDE" w:rsidRPr="00B70EDE" w:rsidRDefault="00B70EDE" w:rsidP="00B70EDE"/>
        </w:tc>
      </w:tr>
      <w:tr w:rsidR="00B70EDE" w:rsidRPr="00B70EDE" w14:paraId="78A54FAF" w14:textId="77777777" w:rsidTr="00FD24B4">
        <w:trPr>
          <w:trHeight w:val="315"/>
        </w:trPr>
        <w:tc>
          <w:tcPr>
            <w:tcW w:w="663" w:type="dxa"/>
            <w:gridSpan w:val="2"/>
            <w:tcBorders>
              <w:top w:val="nil"/>
              <w:left w:val="nil"/>
              <w:bottom w:val="nil"/>
              <w:right w:val="nil"/>
            </w:tcBorders>
            <w:shd w:val="clear" w:color="auto" w:fill="auto"/>
            <w:noWrap/>
            <w:vAlign w:val="bottom"/>
            <w:hideMark/>
          </w:tcPr>
          <w:p w14:paraId="177A6A30" w14:textId="77777777" w:rsidR="00B70EDE" w:rsidRPr="00B70EDE" w:rsidRDefault="00B70EDE" w:rsidP="00B70EDE"/>
        </w:tc>
        <w:tc>
          <w:tcPr>
            <w:tcW w:w="1167" w:type="dxa"/>
            <w:gridSpan w:val="2"/>
            <w:tcBorders>
              <w:top w:val="nil"/>
              <w:left w:val="nil"/>
              <w:bottom w:val="nil"/>
              <w:right w:val="nil"/>
            </w:tcBorders>
            <w:shd w:val="clear" w:color="auto" w:fill="auto"/>
            <w:noWrap/>
            <w:vAlign w:val="bottom"/>
            <w:hideMark/>
          </w:tcPr>
          <w:p w14:paraId="4E488077" w14:textId="77777777" w:rsidR="00B70EDE" w:rsidRPr="00B70EDE" w:rsidRDefault="00B70EDE" w:rsidP="00B70EDE"/>
        </w:tc>
        <w:tc>
          <w:tcPr>
            <w:tcW w:w="338" w:type="dxa"/>
            <w:tcBorders>
              <w:top w:val="nil"/>
              <w:left w:val="nil"/>
              <w:bottom w:val="nil"/>
              <w:right w:val="nil"/>
            </w:tcBorders>
            <w:shd w:val="clear" w:color="auto" w:fill="auto"/>
            <w:noWrap/>
            <w:vAlign w:val="bottom"/>
            <w:hideMark/>
          </w:tcPr>
          <w:p w14:paraId="4E752494" w14:textId="77777777" w:rsidR="00B70EDE" w:rsidRPr="00B70EDE" w:rsidRDefault="00B70EDE" w:rsidP="00B70EDE"/>
        </w:tc>
        <w:tc>
          <w:tcPr>
            <w:tcW w:w="1156" w:type="dxa"/>
            <w:gridSpan w:val="2"/>
            <w:tcBorders>
              <w:top w:val="nil"/>
              <w:left w:val="nil"/>
              <w:bottom w:val="nil"/>
              <w:right w:val="nil"/>
            </w:tcBorders>
            <w:shd w:val="clear" w:color="auto" w:fill="auto"/>
            <w:noWrap/>
            <w:vAlign w:val="bottom"/>
            <w:hideMark/>
          </w:tcPr>
          <w:p w14:paraId="7F092950" w14:textId="77777777" w:rsidR="00B70EDE" w:rsidRPr="00B70EDE" w:rsidRDefault="00B70EDE" w:rsidP="00B70EDE"/>
        </w:tc>
        <w:tc>
          <w:tcPr>
            <w:tcW w:w="326" w:type="dxa"/>
            <w:tcBorders>
              <w:top w:val="nil"/>
              <w:left w:val="nil"/>
              <w:bottom w:val="nil"/>
              <w:right w:val="nil"/>
            </w:tcBorders>
            <w:shd w:val="clear" w:color="auto" w:fill="auto"/>
            <w:noWrap/>
            <w:vAlign w:val="bottom"/>
            <w:hideMark/>
          </w:tcPr>
          <w:p w14:paraId="1D82E351" w14:textId="77777777" w:rsidR="00B70EDE" w:rsidRPr="00B70EDE" w:rsidRDefault="00B70EDE" w:rsidP="00B70EDE"/>
        </w:tc>
        <w:tc>
          <w:tcPr>
            <w:tcW w:w="930" w:type="dxa"/>
            <w:gridSpan w:val="2"/>
            <w:tcBorders>
              <w:top w:val="nil"/>
              <w:left w:val="nil"/>
              <w:bottom w:val="nil"/>
              <w:right w:val="nil"/>
            </w:tcBorders>
            <w:shd w:val="clear" w:color="auto" w:fill="auto"/>
            <w:noWrap/>
            <w:vAlign w:val="bottom"/>
            <w:hideMark/>
          </w:tcPr>
          <w:p w14:paraId="41575AA4" w14:textId="77777777" w:rsidR="00B70EDE" w:rsidRPr="00B70EDE" w:rsidRDefault="00B70EDE" w:rsidP="00B70EDE"/>
        </w:tc>
        <w:tc>
          <w:tcPr>
            <w:tcW w:w="338" w:type="dxa"/>
            <w:gridSpan w:val="2"/>
            <w:tcBorders>
              <w:top w:val="nil"/>
              <w:left w:val="nil"/>
              <w:bottom w:val="nil"/>
              <w:right w:val="nil"/>
            </w:tcBorders>
            <w:shd w:val="clear" w:color="auto" w:fill="auto"/>
            <w:noWrap/>
            <w:vAlign w:val="bottom"/>
            <w:hideMark/>
          </w:tcPr>
          <w:p w14:paraId="4F3D129B" w14:textId="77777777" w:rsidR="00B70EDE" w:rsidRPr="00B70EDE" w:rsidRDefault="00B70EDE" w:rsidP="00B70EDE"/>
        </w:tc>
        <w:tc>
          <w:tcPr>
            <w:tcW w:w="1156" w:type="dxa"/>
            <w:gridSpan w:val="2"/>
            <w:tcBorders>
              <w:top w:val="nil"/>
              <w:left w:val="nil"/>
              <w:bottom w:val="nil"/>
              <w:right w:val="nil"/>
            </w:tcBorders>
            <w:shd w:val="clear" w:color="auto" w:fill="auto"/>
            <w:noWrap/>
            <w:vAlign w:val="bottom"/>
            <w:hideMark/>
          </w:tcPr>
          <w:p w14:paraId="74FF93A8" w14:textId="77777777" w:rsidR="00B70EDE" w:rsidRPr="00B70EDE" w:rsidRDefault="00B70EDE" w:rsidP="00B70EDE"/>
        </w:tc>
        <w:tc>
          <w:tcPr>
            <w:tcW w:w="746" w:type="dxa"/>
            <w:gridSpan w:val="3"/>
            <w:tcBorders>
              <w:top w:val="nil"/>
              <w:left w:val="nil"/>
              <w:bottom w:val="nil"/>
              <w:right w:val="nil"/>
            </w:tcBorders>
            <w:shd w:val="clear" w:color="auto" w:fill="auto"/>
            <w:noWrap/>
            <w:vAlign w:val="bottom"/>
            <w:hideMark/>
          </w:tcPr>
          <w:p w14:paraId="0BD07B96" w14:textId="77777777" w:rsidR="00B70EDE" w:rsidRPr="00B70EDE" w:rsidRDefault="00B70EDE" w:rsidP="00B70EDE"/>
        </w:tc>
        <w:tc>
          <w:tcPr>
            <w:tcW w:w="957" w:type="dxa"/>
            <w:tcBorders>
              <w:top w:val="single" w:sz="4" w:space="0" w:color="auto"/>
              <w:left w:val="nil"/>
              <w:bottom w:val="double" w:sz="6" w:space="0" w:color="auto"/>
              <w:right w:val="nil"/>
            </w:tcBorders>
            <w:shd w:val="clear" w:color="auto" w:fill="auto"/>
            <w:noWrap/>
            <w:vAlign w:val="bottom"/>
            <w:hideMark/>
          </w:tcPr>
          <w:p w14:paraId="5821DE2A" w14:textId="77777777" w:rsidR="00B70EDE" w:rsidRPr="00B70EDE" w:rsidRDefault="00B70EDE" w:rsidP="00B70EDE">
            <w:pPr>
              <w:rPr>
                <w:rFonts w:ascii="Calibri" w:hAnsi="Calibri"/>
                <w:color w:val="000000"/>
              </w:rPr>
            </w:pPr>
            <w:r w:rsidRPr="00B70EDE">
              <w:rPr>
                <w:rFonts w:ascii="Calibri" w:hAnsi="Calibri"/>
                <w:color w:val="000000"/>
              </w:rPr>
              <w:t xml:space="preserve">   85.00 </w:t>
            </w:r>
          </w:p>
        </w:tc>
        <w:tc>
          <w:tcPr>
            <w:tcW w:w="1423" w:type="dxa"/>
            <w:gridSpan w:val="3"/>
            <w:tcBorders>
              <w:top w:val="nil"/>
              <w:left w:val="nil"/>
              <w:bottom w:val="nil"/>
              <w:right w:val="nil"/>
            </w:tcBorders>
            <w:shd w:val="clear" w:color="auto" w:fill="auto"/>
            <w:noWrap/>
            <w:vAlign w:val="bottom"/>
            <w:hideMark/>
          </w:tcPr>
          <w:p w14:paraId="2654E5B3" w14:textId="77777777" w:rsidR="00B70EDE" w:rsidRPr="00B70EDE" w:rsidRDefault="00B70EDE" w:rsidP="00B70EDE">
            <w:pPr>
              <w:rPr>
                <w:rFonts w:ascii="Calibri" w:hAnsi="Calibri"/>
                <w:color w:val="000000"/>
              </w:rPr>
            </w:pPr>
          </w:p>
        </w:tc>
        <w:tc>
          <w:tcPr>
            <w:tcW w:w="1655" w:type="dxa"/>
            <w:gridSpan w:val="4"/>
            <w:tcBorders>
              <w:top w:val="nil"/>
              <w:left w:val="nil"/>
              <w:bottom w:val="nil"/>
              <w:right w:val="nil"/>
            </w:tcBorders>
            <w:shd w:val="clear" w:color="auto" w:fill="auto"/>
            <w:noWrap/>
            <w:vAlign w:val="bottom"/>
            <w:hideMark/>
          </w:tcPr>
          <w:p w14:paraId="21FCC1D8" w14:textId="77777777" w:rsidR="00B70EDE" w:rsidRPr="00B70EDE" w:rsidRDefault="00B70EDE" w:rsidP="00B70EDE"/>
        </w:tc>
      </w:tr>
    </w:tbl>
    <w:p w14:paraId="22D4B1B0" w14:textId="77777777" w:rsidR="0024160D" w:rsidRPr="0024160D" w:rsidRDefault="0024160D" w:rsidP="0024160D">
      <w:pPr>
        <w:spacing w:line="480" w:lineRule="auto"/>
        <w:ind w:right="144"/>
        <w:jc w:val="both"/>
        <w:rPr>
          <w:rFonts w:ascii="Arial" w:eastAsia="Calibri" w:hAnsi="Arial" w:cs="Arial"/>
          <w:b/>
          <w:sz w:val="24"/>
          <w:szCs w:val="24"/>
        </w:rPr>
      </w:pPr>
    </w:p>
    <w:p w14:paraId="54B17C10"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The preamble follows with steps two, three, and four in the DGME payment process.  These steps are not part of the dispute.  The issue hasn’t surfaced yet as none of the 3 years had an unweighted FTE count that exceeded the base year unweighted count.  The problem comes next in the preamble.</w:t>
      </w:r>
    </w:p>
    <w:p w14:paraId="37F14476" w14:textId="77777777" w:rsidR="0024160D" w:rsidRPr="0024160D" w:rsidRDefault="0024160D" w:rsidP="00B70EDE">
      <w:pPr>
        <w:ind w:left="720" w:right="144"/>
        <w:jc w:val="both"/>
        <w:rPr>
          <w:rFonts w:ascii="Arial" w:eastAsia="Calibri" w:hAnsi="Arial" w:cs="Arial"/>
          <w:sz w:val="24"/>
          <w:szCs w:val="24"/>
        </w:rPr>
      </w:pPr>
    </w:p>
    <w:p w14:paraId="3DDC23C1"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lastRenderedPageBreak/>
        <w:t>To address situations in which a hospital increases the number of FTE residents over the Cap, notwithstanding the limit established under section 1886(h)(4), we are establishing the following policy for determining the hospital’s weighted direct GME FTE count for cost reporting periods beginning on or after October 1, 1997.</w:t>
      </w:r>
    </w:p>
    <w:p w14:paraId="4154887E" w14:textId="77777777" w:rsidR="0024160D" w:rsidRPr="0024160D" w:rsidRDefault="0024160D" w:rsidP="00B70EDE">
      <w:pPr>
        <w:ind w:left="720" w:right="144"/>
        <w:jc w:val="both"/>
        <w:rPr>
          <w:rFonts w:ascii="Arial" w:eastAsia="Calibri" w:hAnsi="Arial" w:cs="Arial"/>
          <w:b/>
          <w:sz w:val="24"/>
          <w:szCs w:val="24"/>
        </w:rPr>
      </w:pPr>
    </w:p>
    <w:p w14:paraId="63051A65"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 xml:space="preserve">Determine the ratio of the hospital’s unweighted FTE count for residents in those specialties for the most recent cost reporting period ending on or before December 31, 1996, to the hospital’s number of FTE residents without application of the Cap for the cost reporting period at issue. </w:t>
      </w:r>
    </w:p>
    <w:p w14:paraId="55D27F9D" w14:textId="77777777" w:rsidR="0024160D" w:rsidRPr="0024160D" w:rsidRDefault="0024160D" w:rsidP="00B70EDE">
      <w:pPr>
        <w:ind w:left="720" w:right="144"/>
        <w:jc w:val="both"/>
        <w:rPr>
          <w:rFonts w:ascii="Arial" w:eastAsia="Calibri" w:hAnsi="Arial" w:cs="Arial"/>
          <w:b/>
          <w:sz w:val="24"/>
          <w:szCs w:val="24"/>
        </w:rPr>
      </w:pPr>
    </w:p>
    <w:p w14:paraId="07768B98"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 xml:space="preserve">Multiply the ratio determined above by the weighted FTE count for those residents for the cost reporting period.  Add the weighted count of residents in dentistry and podiatry to determine the weighted FTEs for the cost reporting period. </w:t>
      </w:r>
      <w:r w:rsidRPr="0024160D">
        <w:rPr>
          <w:rFonts w:ascii="Arial" w:eastAsia="Calibri" w:hAnsi="Arial" w:cs="Arial"/>
          <w:sz w:val="24"/>
          <w:szCs w:val="24"/>
        </w:rPr>
        <w:t>[dentistry/podiatry residents are not part of the Cap].</w:t>
      </w:r>
      <w:r w:rsidRPr="0024160D">
        <w:rPr>
          <w:rFonts w:ascii="Arial" w:eastAsia="Calibri" w:hAnsi="Arial" w:cs="Arial"/>
          <w:b/>
          <w:sz w:val="24"/>
          <w:szCs w:val="24"/>
        </w:rPr>
        <w:t xml:space="preserve">  This methodology should be used for purposes of determining payment for cost reporting periods beginning on or after October 1,1997.  The hospital’s unweighted count of interns and residents beginning on or before October 1, 1997 will not be subject to the FTE limit.</w:t>
      </w:r>
    </w:p>
    <w:p w14:paraId="69D60CB9" w14:textId="77777777" w:rsidR="0024160D" w:rsidRPr="0024160D" w:rsidRDefault="0024160D" w:rsidP="00B70EDE">
      <w:pPr>
        <w:ind w:left="720" w:right="144"/>
        <w:jc w:val="both"/>
        <w:rPr>
          <w:rFonts w:ascii="Arial" w:eastAsia="Calibri" w:hAnsi="Arial" w:cs="Arial"/>
          <w:b/>
          <w:sz w:val="24"/>
          <w:szCs w:val="24"/>
        </w:rPr>
      </w:pPr>
    </w:p>
    <w:p w14:paraId="53B3127C"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 xml:space="preserve">For example, if the hospital’s FTE count of residents in its cost reporting period ending December 31, 1996 is 100 residents before application of the initial residency weighting factors and the hospital’s number of residents for its December 31, 1990 </w:t>
      </w:r>
      <w:r w:rsidRPr="0024160D">
        <w:rPr>
          <w:rFonts w:ascii="Arial" w:eastAsia="Calibri" w:hAnsi="Arial" w:cs="Arial"/>
          <w:sz w:val="24"/>
          <w:szCs w:val="24"/>
        </w:rPr>
        <w:t xml:space="preserve">[s/b 1998] </w:t>
      </w:r>
      <w:r w:rsidRPr="0024160D">
        <w:rPr>
          <w:rFonts w:ascii="Arial" w:eastAsia="Calibri" w:hAnsi="Arial" w:cs="Arial"/>
          <w:b/>
          <w:sz w:val="24"/>
          <w:szCs w:val="24"/>
        </w:rPr>
        <w:t>cost reporting</w:t>
      </w:r>
      <w:r w:rsidRPr="0024160D">
        <w:rPr>
          <w:rFonts w:ascii="Arial" w:eastAsia="Calibri" w:hAnsi="Arial" w:cs="Arial"/>
          <w:sz w:val="24"/>
          <w:szCs w:val="24"/>
        </w:rPr>
        <w:t xml:space="preserve"> </w:t>
      </w:r>
      <w:r w:rsidRPr="0024160D">
        <w:rPr>
          <w:rFonts w:ascii="Arial" w:eastAsia="Calibri" w:hAnsi="Arial" w:cs="Arial"/>
          <w:b/>
          <w:sz w:val="24"/>
          <w:szCs w:val="24"/>
        </w:rPr>
        <w:t>period is 110 FTE residents, the ratio of residents in the two cost reporting periods equals 100/110.  If the hospital weighted FTE count is 100 FTE residents in the December 31, 1998 cost reporting period (that is, of the 110 unweighted residents, 20 are beyond the initial residency period and are weighted at 0.5), the hospital’s weighted FTE count for determining direct GME payment is equal to (100/110) *100, or 90.9 residents.</w:t>
      </w:r>
    </w:p>
    <w:p w14:paraId="17D913DD"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 xml:space="preserve"> </w:t>
      </w:r>
    </w:p>
    <w:p w14:paraId="7DDBBF93" w14:textId="77777777" w:rsidR="0024160D" w:rsidRPr="0024160D" w:rsidRDefault="0024160D" w:rsidP="00B70EDE">
      <w:pPr>
        <w:ind w:left="720" w:right="144"/>
        <w:jc w:val="both"/>
        <w:rPr>
          <w:rFonts w:ascii="Arial" w:eastAsia="Calibri" w:hAnsi="Arial" w:cs="Arial"/>
          <w:sz w:val="24"/>
          <w:szCs w:val="24"/>
        </w:rPr>
      </w:pPr>
      <w:r w:rsidRPr="0024160D">
        <w:rPr>
          <w:rFonts w:ascii="Arial" w:eastAsia="Calibri" w:hAnsi="Arial" w:cs="Arial"/>
          <w:b/>
          <w:sz w:val="24"/>
          <w:szCs w:val="24"/>
        </w:rPr>
        <w:t>If a hospital’s unweighted count of residents in specialties other than dentistry and podiatry does not exceed the limit, the weighted FTE count equals the actual weighted FTE count for the cost reporting period.  The weighted FTE count in either instance will be used to determine a hospital’s payment under the 3-year rolling average payment rules.  We believe this proportional reduction in the hospital’s unweighted FTE count is an equitable mechanism for implementing the statutory provision.</w:t>
      </w:r>
      <w:r w:rsidRPr="0024160D" w:rsidDel="00135C46">
        <w:rPr>
          <w:rFonts w:ascii="Arial" w:eastAsia="Calibri" w:hAnsi="Arial" w:cs="Arial"/>
          <w:b/>
          <w:sz w:val="24"/>
          <w:szCs w:val="24"/>
        </w:rPr>
        <w:t xml:space="preserve"> </w:t>
      </w:r>
    </w:p>
    <w:p w14:paraId="725176BE" w14:textId="77777777" w:rsidR="0024160D" w:rsidRPr="0024160D" w:rsidRDefault="0024160D" w:rsidP="0024160D">
      <w:pPr>
        <w:spacing w:line="480" w:lineRule="auto"/>
        <w:ind w:right="144"/>
        <w:jc w:val="both"/>
        <w:rPr>
          <w:rFonts w:ascii="Arial" w:eastAsia="Calibri" w:hAnsi="Arial" w:cs="Arial"/>
          <w:b/>
          <w:sz w:val="24"/>
          <w:szCs w:val="24"/>
        </w:rPr>
      </w:pPr>
    </w:p>
    <w:tbl>
      <w:tblPr>
        <w:tblW w:w="9900" w:type="dxa"/>
        <w:tblLayout w:type="fixed"/>
        <w:tblLook w:val="04A0" w:firstRow="1" w:lastRow="0" w:firstColumn="1" w:lastColumn="0" w:noHBand="0" w:noVBand="1"/>
      </w:tblPr>
      <w:tblGrid>
        <w:gridCol w:w="538"/>
        <w:gridCol w:w="122"/>
        <w:gridCol w:w="506"/>
        <w:gridCol w:w="612"/>
        <w:gridCol w:w="378"/>
        <w:gridCol w:w="361"/>
        <w:gridCol w:w="795"/>
        <w:gridCol w:w="361"/>
        <w:gridCol w:w="287"/>
        <w:gridCol w:w="673"/>
        <w:gridCol w:w="287"/>
        <w:gridCol w:w="90"/>
        <w:gridCol w:w="210"/>
        <w:gridCol w:w="954"/>
        <w:gridCol w:w="216"/>
        <w:gridCol w:w="360"/>
        <w:gridCol w:w="87"/>
        <w:gridCol w:w="993"/>
        <w:gridCol w:w="188"/>
        <w:gridCol w:w="990"/>
        <w:gridCol w:w="82"/>
        <w:gridCol w:w="783"/>
        <w:gridCol w:w="27"/>
      </w:tblGrid>
      <w:tr w:rsidR="00DA62CE" w:rsidRPr="00DA62CE" w14:paraId="4A91C69C" w14:textId="77777777" w:rsidTr="00FD24B4">
        <w:trPr>
          <w:gridBefore w:val="1"/>
          <w:wBefore w:w="538" w:type="dxa"/>
          <w:trHeight w:val="900"/>
        </w:trPr>
        <w:tc>
          <w:tcPr>
            <w:tcW w:w="628" w:type="dxa"/>
            <w:gridSpan w:val="2"/>
            <w:tcBorders>
              <w:top w:val="nil"/>
              <w:left w:val="nil"/>
              <w:bottom w:val="nil"/>
              <w:right w:val="nil"/>
            </w:tcBorders>
            <w:shd w:val="clear" w:color="auto" w:fill="auto"/>
            <w:noWrap/>
            <w:vAlign w:val="bottom"/>
            <w:hideMark/>
          </w:tcPr>
          <w:p w14:paraId="397A8549" w14:textId="77777777" w:rsidR="00DA62CE" w:rsidRPr="00DA62CE" w:rsidRDefault="00DA62CE" w:rsidP="00DA62CE">
            <w:pPr>
              <w:ind w:left="900"/>
              <w:rPr>
                <w:rFonts w:ascii="Calibri" w:hAnsi="Calibri"/>
                <w:b/>
                <w:bCs/>
                <w:color w:val="000000"/>
              </w:rPr>
            </w:pPr>
          </w:p>
          <w:p w14:paraId="2C58215B" w14:textId="77777777" w:rsidR="00DA62CE" w:rsidRPr="00DA62CE" w:rsidRDefault="00DA62CE" w:rsidP="00DA62CE">
            <w:pPr>
              <w:ind w:left="900"/>
              <w:rPr>
                <w:rFonts w:ascii="Calibri" w:hAnsi="Calibri"/>
                <w:b/>
                <w:bCs/>
                <w:color w:val="000000"/>
              </w:rPr>
            </w:pPr>
          </w:p>
          <w:p w14:paraId="4C045FBF" w14:textId="77777777" w:rsidR="00DA62CE" w:rsidRPr="00DA62CE" w:rsidRDefault="00DA62CE" w:rsidP="00DA62CE">
            <w:pPr>
              <w:jc w:val="center"/>
              <w:rPr>
                <w:rFonts w:ascii="Calibri" w:hAnsi="Calibri"/>
                <w:b/>
                <w:bCs/>
                <w:color w:val="000000"/>
              </w:rPr>
            </w:pPr>
          </w:p>
          <w:p w14:paraId="5EDA0B5C" w14:textId="77777777" w:rsidR="00DA62CE" w:rsidRPr="00DA62CE" w:rsidRDefault="00DA62CE" w:rsidP="00DA62CE">
            <w:pPr>
              <w:jc w:val="center"/>
              <w:rPr>
                <w:rFonts w:ascii="Calibri" w:hAnsi="Calibri"/>
                <w:b/>
                <w:bCs/>
                <w:color w:val="000000"/>
              </w:rPr>
            </w:pPr>
            <w:r w:rsidRPr="00DA62CE">
              <w:rPr>
                <w:rFonts w:ascii="Calibri" w:hAnsi="Calibri"/>
                <w:b/>
                <w:bCs/>
                <w:color w:val="000000"/>
              </w:rPr>
              <w:t>FY</w:t>
            </w:r>
          </w:p>
        </w:tc>
        <w:tc>
          <w:tcPr>
            <w:tcW w:w="990" w:type="dxa"/>
            <w:gridSpan w:val="2"/>
            <w:tcBorders>
              <w:top w:val="nil"/>
              <w:left w:val="nil"/>
              <w:bottom w:val="nil"/>
              <w:right w:val="nil"/>
            </w:tcBorders>
            <w:shd w:val="clear" w:color="auto" w:fill="auto"/>
            <w:vAlign w:val="bottom"/>
            <w:hideMark/>
          </w:tcPr>
          <w:p w14:paraId="6DF2B49E" w14:textId="486C9525"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Resident</w:t>
            </w:r>
            <w:r>
              <w:rPr>
                <w:rFonts w:ascii="Calibri" w:hAnsi="Calibri"/>
                <w:b/>
                <w:bCs/>
                <w:color w:val="000000"/>
              </w:rPr>
              <w:t>#</w:t>
            </w:r>
            <w:r w:rsidRPr="00DA62CE">
              <w:rPr>
                <w:rFonts w:ascii="Calibri" w:hAnsi="Calibri"/>
                <w:b/>
                <w:bCs/>
                <w:color w:val="000000"/>
              </w:rPr>
              <w:t xml:space="preserve"> in IRP </w:t>
            </w:r>
          </w:p>
        </w:tc>
        <w:tc>
          <w:tcPr>
            <w:tcW w:w="361" w:type="dxa"/>
            <w:tcBorders>
              <w:top w:val="nil"/>
              <w:left w:val="nil"/>
              <w:bottom w:val="nil"/>
              <w:right w:val="nil"/>
            </w:tcBorders>
            <w:shd w:val="clear" w:color="auto" w:fill="auto"/>
            <w:vAlign w:val="bottom"/>
            <w:hideMark/>
          </w:tcPr>
          <w:p w14:paraId="1307F654" w14:textId="77777777" w:rsidR="00DA62CE" w:rsidRPr="00DA62CE" w:rsidRDefault="00DA62CE" w:rsidP="00DA62CE">
            <w:pPr>
              <w:jc w:val="center"/>
              <w:rPr>
                <w:rFonts w:ascii="Calibri" w:hAnsi="Calibri"/>
                <w:b/>
                <w:bCs/>
                <w:color w:val="000000"/>
              </w:rPr>
            </w:pPr>
          </w:p>
        </w:tc>
        <w:tc>
          <w:tcPr>
            <w:tcW w:w="1156" w:type="dxa"/>
            <w:gridSpan w:val="2"/>
            <w:tcBorders>
              <w:top w:val="nil"/>
              <w:left w:val="nil"/>
              <w:bottom w:val="nil"/>
              <w:right w:val="nil"/>
            </w:tcBorders>
            <w:shd w:val="clear" w:color="auto" w:fill="auto"/>
            <w:vAlign w:val="bottom"/>
            <w:hideMark/>
          </w:tcPr>
          <w:p w14:paraId="3381C1C5"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IRP Weighting </w:t>
            </w:r>
          </w:p>
        </w:tc>
        <w:tc>
          <w:tcPr>
            <w:tcW w:w="287" w:type="dxa"/>
            <w:tcBorders>
              <w:top w:val="nil"/>
              <w:left w:val="nil"/>
              <w:bottom w:val="nil"/>
              <w:right w:val="nil"/>
            </w:tcBorders>
            <w:shd w:val="clear" w:color="auto" w:fill="auto"/>
            <w:vAlign w:val="bottom"/>
            <w:hideMark/>
          </w:tcPr>
          <w:p w14:paraId="13F36076" w14:textId="77777777" w:rsidR="00DA62CE" w:rsidRPr="00DA62CE" w:rsidRDefault="00DA62CE" w:rsidP="00DA62CE">
            <w:pPr>
              <w:jc w:val="center"/>
              <w:rPr>
                <w:rFonts w:ascii="Calibri" w:hAnsi="Calibri"/>
                <w:b/>
                <w:bCs/>
                <w:color w:val="000000"/>
              </w:rPr>
            </w:pPr>
          </w:p>
        </w:tc>
        <w:tc>
          <w:tcPr>
            <w:tcW w:w="960" w:type="dxa"/>
            <w:gridSpan w:val="2"/>
            <w:tcBorders>
              <w:top w:val="nil"/>
              <w:left w:val="nil"/>
              <w:bottom w:val="nil"/>
              <w:right w:val="nil"/>
            </w:tcBorders>
            <w:shd w:val="clear" w:color="auto" w:fill="auto"/>
            <w:vAlign w:val="bottom"/>
            <w:hideMark/>
          </w:tcPr>
          <w:p w14:paraId="7AC843B0"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t>
            </w:r>
          </w:p>
        </w:tc>
        <w:tc>
          <w:tcPr>
            <w:tcW w:w="300" w:type="dxa"/>
            <w:gridSpan w:val="2"/>
            <w:tcBorders>
              <w:top w:val="nil"/>
              <w:left w:val="nil"/>
              <w:bottom w:val="nil"/>
              <w:right w:val="nil"/>
            </w:tcBorders>
            <w:shd w:val="clear" w:color="auto" w:fill="auto"/>
            <w:vAlign w:val="bottom"/>
            <w:hideMark/>
          </w:tcPr>
          <w:p w14:paraId="6FD9B94F" w14:textId="77777777" w:rsidR="00DA62CE" w:rsidRPr="00DA62CE" w:rsidRDefault="00DA62CE" w:rsidP="00DA62CE">
            <w:pPr>
              <w:jc w:val="center"/>
              <w:rPr>
                <w:rFonts w:ascii="Calibri" w:hAnsi="Calibri"/>
                <w:b/>
                <w:bCs/>
                <w:color w:val="000000"/>
              </w:rPr>
            </w:pPr>
          </w:p>
        </w:tc>
        <w:tc>
          <w:tcPr>
            <w:tcW w:w="1170" w:type="dxa"/>
            <w:gridSpan w:val="2"/>
            <w:tcBorders>
              <w:top w:val="nil"/>
              <w:left w:val="nil"/>
              <w:bottom w:val="nil"/>
              <w:right w:val="nil"/>
            </w:tcBorders>
            <w:shd w:val="clear" w:color="auto" w:fill="auto"/>
            <w:vAlign w:val="bottom"/>
            <w:hideMark/>
          </w:tcPr>
          <w:p w14:paraId="0EA70E01"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Weighting </w:t>
            </w:r>
          </w:p>
        </w:tc>
        <w:tc>
          <w:tcPr>
            <w:tcW w:w="360" w:type="dxa"/>
            <w:tcBorders>
              <w:top w:val="nil"/>
              <w:left w:val="nil"/>
              <w:bottom w:val="nil"/>
              <w:right w:val="nil"/>
            </w:tcBorders>
            <w:shd w:val="clear" w:color="auto" w:fill="auto"/>
            <w:vAlign w:val="bottom"/>
            <w:hideMark/>
          </w:tcPr>
          <w:p w14:paraId="39D0EB0B" w14:textId="77777777" w:rsidR="00DA62CE" w:rsidRPr="00DA62CE" w:rsidRDefault="00DA62CE" w:rsidP="00DA62CE">
            <w:pPr>
              <w:jc w:val="center"/>
              <w:rPr>
                <w:rFonts w:ascii="Calibri" w:hAnsi="Calibri"/>
                <w:b/>
                <w:bCs/>
                <w:color w:val="000000"/>
              </w:rPr>
            </w:pPr>
          </w:p>
        </w:tc>
        <w:tc>
          <w:tcPr>
            <w:tcW w:w="1080" w:type="dxa"/>
            <w:gridSpan w:val="2"/>
            <w:tcBorders>
              <w:top w:val="nil"/>
              <w:left w:val="nil"/>
              <w:bottom w:val="nil"/>
              <w:right w:val="nil"/>
            </w:tcBorders>
            <w:shd w:val="clear" w:color="auto" w:fill="auto"/>
            <w:vAlign w:val="bottom"/>
            <w:hideMark/>
          </w:tcPr>
          <w:p w14:paraId="1ED5E50E"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Weighted FTE Count </w:t>
            </w:r>
          </w:p>
        </w:tc>
        <w:tc>
          <w:tcPr>
            <w:tcW w:w="1260" w:type="dxa"/>
            <w:gridSpan w:val="3"/>
            <w:tcBorders>
              <w:top w:val="nil"/>
              <w:left w:val="nil"/>
              <w:bottom w:val="nil"/>
              <w:right w:val="nil"/>
            </w:tcBorders>
            <w:shd w:val="clear" w:color="auto" w:fill="auto"/>
            <w:vAlign w:val="bottom"/>
            <w:hideMark/>
          </w:tcPr>
          <w:p w14:paraId="0EC11EAF"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Unweighted FTE Count </w:t>
            </w:r>
          </w:p>
        </w:tc>
        <w:tc>
          <w:tcPr>
            <w:tcW w:w="810" w:type="dxa"/>
            <w:gridSpan w:val="2"/>
            <w:tcBorders>
              <w:top w:val="nil"/>
              <w:left w:val="nil"/>
              <w:bottom w:val="nil"/>
              <w:right w:val="nil"/>
            </w:tcBorders>
            <w:shd w:val="clear" w:color="auto" w:fill="auto"/>
            <w:vAlign w:val="bottom"/>
            <w:hideMark/>
          </w:tcPr>
          <w:p w14:paraId="21C2D5D3"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of IRPs to Total</w:t>
            </w:r>
          </w:p>
        </w:tc>
      </w:tr>
      <w:tr w:rsidR="00DA62CE" w:rsidRPr="00DA62CE" w14:paraId="08C1C1EC" w14:textId="77777777" w:rsidTr="00FD24B4">
        <w:trPr>
          <w:gridBefore w:val="1"/>
          <w:wBefore w:w="538" w:type="dxa"/>
          <w:trHeight w:val="300"/>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2909" w14:textId="77777777" w:rsidR="00DA62CE" w:rsidRPr="00DA62CE" w:rsidRDefault="00DA62CE" w:rsidP="00DA62CE">
            <w:pPr>
              <w:jc w:val="center"/>
              <w:rPr>
                <w:rFonts w:ascii="Calibri" w:hAnsi="Calibri"/>
                <w:bCs/>
                <w:color w:val="000000"/>
              </w:rPr>
            </w:pPr>
            <w:r w:rsidRPr="00DA62CE">
              <w:rPr>
                <w:rFonts w:ascii="Calibri" w:hAnsi="Calibri"/>
                <w:bCs/>
                <w:color w:val="000000"/>
              </w:rPr>
              <w:t>1996</w:t>
            </w:r>
          </w:p>
        </w:tc>
        <w:tc>
          <w:tcPr>
            <w:tcW w:w="9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9C1A5B"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80.00 </w:t>
            </w:r>
          </w:p>
        </w:tc>
        <w:tc>
          <w:tcPr>
            <w:tcW w:w="361" w:type="dxa"/>
            <w:tcBorders>
              <w:top w:val="single" w:sz="4" w:space="0" w:color="auto"/>
              <w:left w:val="nil"/>
              <w:bottom w:val="single" w:sz="4" w:space="0" w:color="auto"/>
              <w:right w:val="single" w:sz="4" w:space="0" w:color="auto"/>
            </w:tcBorders>
            <w:shd w:val="clear" w:color="auto" w:fill="auto"/>
            <w:noWrap/>
            <w:vAlign w:val="bottom"/>
            <w:hideMark/>
          </w:tcPr>
          <w:p w14:paraId="28ABF7F7"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8548F93"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1.00 </w:t>
            </w:r>
          </w:p>
        </w:tc>
        <w:tc>
          <w:tcPr>
            <w:tcW w:w="287" w:type="dxa"/>
            <w:tcBorders>
              <w:top w:val="single" w:sz="4" w:space="0" w:color="auto"/>
              <w:left w:val="nil"/>
              <w:bottom w:val="single" w:sz="4" w:space="0" w:color="auto"/>
              <w:right w:val="single" w:sz="4" w:space="0" w:color="auto"/>
            </w:tcBorders>
            <w:shd w:val="clear" w:color="auto" w:fill="auto"/>
            <w:noWrap/>
            <w:vAlign w:val="bottom"/>
            <w:hideMark/>
          </w:tcPr>
          <w:p w14:paraId="0F14FA3C"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2D07EA1"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20.00 </w:t>
            </w:r>
          </w:p>
        </w:tc>
        <w:tc>
          <w:tcPr>
            <w:tcW w:w="3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396AE20"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A2A79D"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0.50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69050F65"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10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22C7BF9" w14:textId="77777777" w:rsidR="00DA62CE" w:rsidRPr="00DA62CE" w:rsidRDefault="00DA62CE" w:rsidP="00DA62CE">
            <w:pPr>
              <w:jc w:val="center"/>
              <w:rPr>
                <w:rFonts w:ascii="Calibri" w:hAnsi="Calibri"/>
                <w:bCs/>
                <w:color w:val="000000"/>
              </w:rPr>
            </w:pPr>
            <w:r w:rsidRPr="00DA62CE">
              <w:rPr>
                <w:rFonts w:ascii="Calibri" w:hAnsi="Calibri"/>
                <w:bCs/>
                <w:color w:val="000000"/>
              </w:rPr>
              <w:t>90.00</w:t>
            </w:r>
          </w:p>
        </w:tc>
        <w:tc>
          <w:tcPr>
            <w:tcW w:w="12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F9CB09B" w14:textId="77777777" w:rsidR="00DA62CE" w:rsidRPr="00DA62CE" w:rsidRDefault="00DA62CE" w:rsidP="00DA62CE">
            <w:pPr>
              <w:jc w:val="center"/>
              <w:rPr>
                <w:rFonts w:ascii="Calibri" w:hAnsi="Calibri"/>
                <w:bCs/>
                <w:color w:val="000000"/>
              </w:rPr>
            </w:pPr>
            <w:r w:rsidRPr="00DA62CE">
              <w:rPr>
                <w:rFonts w:ascii="Calibri" w:hAnsi="Calibri"/>
                <w:bCs/>
                <w:color w:val="000000"/>
              </w:rPr>
              <w:t>100.00</w:t>
            </w:r>
          </w:p>
        </w:tc>
        <w:tc>
          <w:tcPr>
            <w:tcW w:w="8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303082" w14:textId="77777777" w:rsidR="00DA62CE" w:rsidRPr="00DA62CE" w:rsidRDefault="00DA62CE" w:rsidP="00DA62CE">
            <w:pPr>
              <w:jc w:val="center"/>
              <w:rPr>
                <w:rFonts w:ascii="Calibri" w:hAnsi="Calibri"/>
                <w:bCs/>
                <w:color w:val="000000"/>
              </w:rPr>
            </w:pPr>
            <w:r w:rsidRPr="00DA62CE">
              <w:rPr>
                <w:rFonts w:ascii="Calibri" w:hAnsi="Calibri"/>
                <w:bCs/>
                <w:color w:val="000000"/>
              </w:rPr>
              <w:t>80.0%</w:t>
            </w:r>
          </w:p>
        </w:tc>
      </w:tr>
      <w:tr w:rsidR="00DA62CE" w:rsidRPr="00DA62CE" w14:paraId="13EEA535" w14:textId="77777777" w:rsidTr="00FD24B4">
        <w:trPr>
          <w:gridBefore w:val="1"/>
          <w:wBefore w:w="538" w:type="dxa"/>
          <w:trHeight w:val="300"/>
        </w:trPr>
        <w:tc>
          <w:tcPr>
            <w:tcW w:w="628" w:type="dxa"/>
            <w:gridSpan w:val="2"/>
            <w:tcBorders>
              <w:top w:val="nil"/>
              <w:left w:val="single" w:sz="4" w:space="0" w:color="auto"/>
              <w:bottom w:val="single" w:sz="4" w:space="0" w:color="auto"/>
              <w:right w:val="single" w:sz="4" w:space="0" w:color="auto"/>
            </w:tcBorders>
            <w:shd w:val="clear" w:color="auto" w:fill="auto"/>
            <w:noWrap/>
            <w:vAlign w:val="bottom"/>
            <w:hideMark/>
          </w:tcPr>
          <w:p w14:paraId="0C393448" w14:textId="77777777" w:rsidR="00DA62CE" w:rsidRPr="00DA62CE" w:rsidRDefault="00DA62CE" w:rsidP="00DA62CE">
            <w:pPr>
              <w:jc w:val="center"/>
              <w:rPr>
                <w:rFonts w:ascii="Calibri" w:hAnsi="Calibri"/>
                <w:bCs/>
                <w:color w:val="000000"/>
              </w:rPr>
            </w:pPr>
            <w:r w:rsidRPr="00DA62CE">
              <w:rPr>
                <w:rFonts w:ascii="Calibri" w:hAnsi="Calibri"/>
                <w:bCs/>
                <w:color w:val="000000"/>
              </w:rPr>
              <w:t>1998</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099774D1"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90.00 </w:t>
            </w:r>
          </w:p>
        </w:tc>
        <w:tc>
          <w:tcPr>
            <w:tcW w:w="361" w:type="dxa"/>
            <w:tcBorders>
              <w:top w:val="nil"/>
              <w:left w:val="nil"/>
              <w:bottom w:val="single" w:sz="4" w:space="0" w:color="auto"/>
              <w:right w:val="single" w:sz="4" w:space="0" w:color="auto"/>
            </w:tcBorders>
            <w:shd w:val="clear" w:color="auto" w:fill="auto"/>
            <w:noWrap/>
            <w:vAlign w:val="bottom"/>
            <w:hideMark/>
          </w:tcPr>
          <w:p w14:paraId="1269346B"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gridSpan w:val="2"/>
            <w:tcBorders>
              <w:top w:val="nil"/>
              <w:left w:val="nil"/>
              <w:bottom w:val="single" w:sz="4" w:space="0" w:color="auto"/>
              <w:right w:val="single" w:sz="4" w:space="0" w:color="auto"/>
            </w:tcBorders>
            <w:shd w:val="clear" w:color="auto" w:fill="auto"/>
            <w:noWrap/>
            <w:vAlign w:val="bottom"/>
            <w:hideMark/>
          </w:tcPr>
          <w:p w14:paraId="690CB314"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1.00 </w:t>
            </w:r>
          </w:p>
        </w:tc>
        <w:tc>
          <w:tcPr>
            <w:tcW w:w="287" w:type="dxa"/>
            <w:tcBorders>
              <w:top w:val="nil"/>
              <w:left w:val="nil"/>
              <w:bottom w:val="single" w:sz="4" w:space="0" w:color="auto"/>
              <w:right w:val="single" w:sz="4" w:space="0" w:color="auto"/>
            </w:tcBorders>
            <w:shd w:val="clear" w:color="auto" w:fill="auto"/>
            <w:noWrap/>
            <w:vAlign w:val="bottom"/>
            <w:hideMark/>
          </w:tcPr>
          <w:p w14:paraId="273EE7AD"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A906B"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20.00 </w:t>
            </w:r>
          </w:p>
        </w:tc>
        <w:tc>
          <w:tcPr>
            <w:tcW w:w="300" w:type="dxa"/>
            <w:gridSpan w:val="2"/>
            <w:tcBorders>
              <w:top w:val="nil"/>
              <w:left w:val="nil"/>
              <w:bottom w:val="single" w:sz="4" w:space="0" w:color="auto"/>
              <w:right w:val="single" w:sz="4" w:space="0" w:color="auto"/>
            </w:tcBorders>
            <w:shd w:val="clear" w:color="auto" w:fill="auto"/>
            <w:noWrap/>
            <w:vAlign w:val="bottom"/>
            <w:hideMark/>
          </w:tcPr>
          <w:p w14:paraId="4E933808"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00D9589C"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0.50 </w:t>
            </w:r>
          </w:p>
        </w:tc>
        <w:tc>
          <w:tcPr>
            <w:tcW w:w="360" w:type="dxa"/>
            <w:tcBorders>
              <w:top w:val="nil"/>
              <w:left w:val="nil"/>
              <w:bottom w:val="single" w:sz="4" w:space="0" w:color="auto"/>
              <w:right w:val="single" w:sz="4" w:space="0" w:color="auto"/>
            </w:tcBorders>
            <w:shd w:val="clear" w:color="auto" w:fill="auto"/>
            <w:noWrap/>
            <w:vAlign w:val="bottom"/>
            <w:hideMark/>
          </w:tcPr>
          <w:p w14:paraId="2D291A03"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1CD7A78E" w14:textId="77777777" w:rsidR="00DA62CE" w:rsidRPr="00DA62CE" w:rsidRDefault="00DA62CE" w:rsidP="00DA62CE">
            <w:pPr>
              <w:jc w:val="center"/>
              <w:rPr>
                <w:rFonts w:ascii="Calibri" w:hAnsi="Calibri"/>
                <w:bCs/>
                <w:color w:val="000000"/>
              </w:rPr>
            </w:pPr>
            <w:r w:rsidRPr="00DA62CE">
              <w:rPr>
                <w:rFonts w:ascii="Calibri" w:hAnsi="Calibri"/>
                <w:bCs/>
                <w:color w:val="000000"/>
              </w:rPr>
              <w:t>100.00</w:t>
            </w:r>
          </w:p>
        </w:tc>
        <w:tc>
          <w:tcPr>
            <w:tcW w:w="1260" w:type="dxa"/>
            <w:gridSpan w:val="3"/>
            <w:tcBorders>
              <w:top w:val="nil"/>
              <w:left w:val="nil"/>
              <w:bottom w:val="single" w:sz="4" w:space="0" w:color="auto"/>
              <w:right w:val="single" w:sz="4" w:space="0" w:color="auto"/>
            </w:tcBorders>
            <w:shd w:val="clear" w:color="auto" w:fill="auto"/>
            <w:noWrap/>
            <w:vAlign w:val="bottom"/>
            <w:hideMark/>
          </w:tcPr>
          <w:p w14:paraId="1843B5FD" w14:textId="77777777" w:rsidR="00DA62CE" w:rsidRPr="00DA62CE" w:rsidRDefault="00DA62CE" w:rsidP="00DA62CE">
            <w:pPr>
              <w:jc w:val="center"/>
              <w:rPr>
                <w:rFonts w:ascii="Calibri" w:hAnsi="Calibri"/>
                <w:bCs/>
                <w:color w:val="000000"/>
              </w:rPr>
            </w:pPr>
            <w:r w:rsidRPr="00DA62CE">
              <w:rPr>
                <w:rFonts w:ascii="Calibri" w:hAnsi="Calibri"/>
                <w:bCs/>
                <w:color w:val="000000"/>
              </w:rPr>
              <w:t>110.00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78A95A00" w14:textId="77777777" w:rsidR="00DA62CE" w:rsidRPr="00DA62CE" w:rsidRDefault="00DA62CE" w:rsidP="00DA62CE">
            <w:pPr>
              <w:jc w:val="center"/>
              <w:rPr>
                <w:rFonts w:ascii="Calibri" w:hAnsi="Calibri"/>
                <w:bCs/>
                <w:color w:val="000000"/>
              </w:rPr>
            </w:pPr>
            <w:r w:rsidRPr="00DA62CE">
              <w:rPr>
                <w:rFonts w:ascii="Calibri" w:hAnsi="Calibri"/>
                <w:bCs/>
                <w:color w:val="000000"/>
              </w:rPr>
              <w:t>81.8%</w:t>
            </w:r>
          </w:p>
        </w:tc>
      </w:tr>
      <w:tr w:rsidR="00DA62CE" w:rsidRPr="00DA62CE" w14:paraId="3894E763" w14:textId="77777777" w:rsidTr="00FD24B4">
        <w:trPr>
          <w:gridAfter w:val="1"/>
          <w:wAfter w:w="27" w:type="dxa"/>
          <w:trHeight w:val="300"/>
        </w:trPr>
        <w:tc>
          <w:tcPr>
            <w:tcW w:w="660" w:type="dxa"/>
            <w:gridSpan w:val="2"/>
            <w:tcBorders>
              <w:top w:val="nil"/>
              <w:left w:val="nil"/>
              <w:bottom w:val="nil"/>
              <w:right w:val="nil"/>
            </w:tcBorders>
            <w:shd w:val="clear" w:color="auto" w:fill="auto"/>
            <w:noWrap/>
            <w:vAlign w:val="bottom"/>
            <w:hideMark/>
          </w:tcPr>
          <w:p w14:paraId="45448D0A" w14:textId="77777777" w:rsidR="00DA62CE" w:rsidRPr="00DA62CE" w:rsidRDefault="00DA62CE" w:rsidP="00DA62CE">
            <w:pPr>
              <w:jc w:val="center"/>
              <w:rPr>
                <w:rFonts w:ascii="Calibri" w:hAnsi="Calibri"/>
                <w:b/>
                <w:bCs/>
                <w:color w:val="000000"/>
              </w:rPr>
            </w:pPr>
          </w:p>
        </w:tc>
        <w:tc>
          <w:tcPr>
            <w:tcW w:w="1118" w:type="dxa"/>
            <w:gridSpan w:val="2"/>
            <w:tcBorders>
              <w:top w:val="nil"/>
              <w:left w:val="nil"/>
              <w:bottom w:val="nil"/>
              <w:right w:val="nil"/>
            </w:tcBorders>
            <w:shd w:val="clear" w:color="auto" w:fill="auto"/>
            <w:noWrap/>
            <w:vAlign w:val="bottom"/>
            <w:hideMark/>
          </w:tcPr>
          <w:p w14:paraId="71E3879B" w14:textId="77777777" w:rsidR="00DA62CE" w:rsidRPr="00DA62CE" w:rsidRDefault="00DA62CE" w:rsidP="00DA62CE">
            <w:pPr>
              <w:jc w:val="center"/>
              <w:rPr>
                <w:rFonts w:ascii="Calibri" w:hAnsi="Calibri"/>
                <w:b/>
                <w:bCs/>
                <w:color w:val="000000"/>
              </w:rPr>
            </w:pPr>
          </w:p>
        </w:tc>
        <w:tc>
          <w:tcPr>
            <w:tcW w:w="378" w:type="dxa"/>
            <w:tcBorders>
              <w:top w:val="nil"/>
              <w:left w:val="nil"/>
              <w:bottom w:val="nil"/>
              <w:right w:val="nil"/>
            </w:tcBorders>
            <w:shd w:val="clear" w:color="auto" w:fill="auto"/>
            <w:noWrap/>
            <w:vAlign w:val="bottom"/>
            <w:hideMark/>
          </w:tcPr>
          <w:p w14:paraId="40D63062" w14:textId="77777777" w:rsidR="00DA62CE" w:rsidRPr="00DA62CE" w:rsidRDefault="00DA62CE" w:rsidP="00DA62CE">
            <w:pPr>
              <w:jc w:val="center"/>
              <w:rPr>
                <w:rFonts w:ascii="Calibri" w:hAnsi="Calibri"/>
                <w:b/>
                <w:bCs/>
                <w:color w:val="000000"/>
              </w:rPr>
            </w:pPr>
          </w:p>
        </w:tc>
        <w:tc>
          <w:tcPr>
            <w:tcW w:w="1156" w:type="dxa"/>
            <w:gridSpan w:val="2"/>
            <w:tcBorders>
              <w:top w:val="nil"/>
              <w:left w:val="nil"/>
              <w:bottom w:val="nil"/>
              <w:right w:val="nil"/>
            </w:tcBorders>
            <w:shd w:val="clear" w:color="auto" w:fill="auto"/>
            <w:noWrap/>
            <w:vAlign w:val="bottom"/>
            <w:hideMark/>
          </w:tcPr>
          <w:p w14:paraId="740AE8CE" w14:textId="77777777" w:rsidR="00DA62CE" w:rsidRPr="00DA62CE" w:rsidRDefault="00DA62CE" w:rsidP="00DA62CE">
            <w:pPr>
              <w:jc w:val="center"/>
              <w:rPr>
                <w:rFonts w:ascii="Calibri" w:hAnsi="Calibri"/>
                <w:b/>
                <w:bCs/>
                <w:color w:val="000000"/>
              </w:rPr>
            </w:pPr>
          </w:p>
        </w:tc>
        <w:tc>
          <w:tcPr>
            <w:tcW w:w="361" w:type="dxa"/>
            <w:tcBorders>
              <w:top w:val="nil"/>
              <w:left w:val="nil"/>
              <w:bottom w:val="nil"/>
              <w:right w:val="nil"/>
            </w:tcBorders>
            <w:shd w:val="clear" w:color="auto" w:fill="auto"/>
            <w:noWrap/>
            <w:vAlign w:val="bottom"/>
            <w:hideMark/>
          </w:tcPr>
          <w:p w14:paraId="6192126E" w14:textId="77777777" w:rsidR="00DA62CE" w:rsidRPr="00DA62CE" w:rsidRDefault="00DA62CE" w:rsidP="00DA62CE">
            <w:pPr>
              <w:jc w:val="center"/>
              <w:rPr>
                <w:rFonts w:ascii="Calibri" w:hAnsi="Calibri"/>
                <w:b/>
                <w:bCs/>
                <w:color w:val="000000"/>
              </w:rPr>
            </w:pPr>
          </w:p>
        </w:tc>
        <w:tc>
          <w:tcPr>
            <w:tcW w:w="960" w:type="dxa"/>
            <w:gridSpan w:val="2"/>
            <w:tcBorders>
              <w:top w:val="nil"/>
              <w:left w:val="nil"/>
              <w:bottom w:val="nil"/>
              <w:right w:val="nil"/>
            </w:tcBorders>
            <w:shd w:val="clear" w:color="auto" w:fill="auto"/>
            <w:noWrap/>
            <w:vAlign w:val="bottom"/>
            <w:hideMark/>
          </w:tcPr>
          <w:p w14:paraId="3BD9FFDF" w14:textId="77777777" w:rsidR="00DA62CE" w:rsidRPr="00DA62CE" w:rsidRDefault="00DA62CE" w:rsidP="00DA62CE">
            <w:pPr>
              <w:jc w:val="center"/>
              <w:rPr>
                <w:rFonts w:ascii="Calibri" w:hAnsi="Calibri"/>
                <w:b/>
                <w:bCs/>
                <w:color w:val="000000"/>
              </w:rPr>
            </w:pPr>
          </w:p>
        </w:tc>
        <w:tc>
          <w:tcPr>
            <w:tcW w:w="377" w:type="dxa"/>
            <w:gridSpan w:val="2"/>
            <w:tcBorders>
              <w:top w:val="nil"/>
              <w:left w:val="nil"/>
              <w:bottom w:val="nil"/>
              <w:right w:val="nil"/>
            </w:tcBorders>
            <w:shd w:val="clear" w:color="auto" w:fill="auto"/>
            <w:noWrap/>
            <w:vAlign w:val="bottom"/>
            <w:hideMark/>
          </w:tcPr>
          <w:p w14:paraId="3539D5CB" w14:textId="77777777" w:rsidR="00DA62CE" w:rsidRPr="00DA62CE" w:rsidRDefault="00DA62CE" w:rsidP="00DA62CE">
            <w:pPr>
              <w:jc w:val="center"/>
              <w:rPr>
                <w:rFonts w:ascii="Calibri" w:hAnsi="Calibri"/>
                <w:b/>
                <w:bCs/>
                <w:color w:val="000000"/>
              </w:rPr>
            </w:pPr>
          </w:p>
        </w:tc>
        <w:tc>
          <w:tcPr>
            <w:tcW w:w="1164" w:type="dxa"/>
            <w:gridSpan w:val="2"/>
            <w:tcBorders>
              <w:top w:val="nil"/>
              <w:left w:val="nil"/>
              <w:bottom w:val="nil"/>
              <w:right w:val="nil"/>
            </w:tcBorders>
            <w:shd w:val="clear" w:color="auto" w:fill="auto"/>
            <w:noWrap/>
            <w:vAlign w:val="bottom"/>
            <w:hideMark/>
          </w:tcPr>
          <w:p w14:paraId="06CBA70A" w14:textId="77777777" w:rsidR="00DA62CE" w:rsidRPr="00DA62CE" w:rsidRDefault="00DA62CE" w:rsidP="00DA62CE">
            <w:pPr>
              <w:jc w:val="center"/>
              <w:rPr>
                <w:rFonts w:ascii="Calibri" w:hAnsi="Calibri"/>
                <w:b/>
                <w:bCs/>
                <w:color w:val="000000"/>
              </w:rPr>
            </w:pPr>
          </w:p>
        </w:tc>
        <w:tc>
          <w:tcPr>
            <w:tcW w:w="663" w:type="dxa"/>
            <w:gridSpan w:val="3"/>
            <w:tcBorders>
              <w:top w:val="nil"/>
              <w:left w:val="nil"/>
              <w:bottom w:val="nil"/>
              <w:right w:val="nil"/>
            </w:tcBorders>
            <w:shd w:val="clear" w:color="auto" w:fill="auto"/>
            <w:noWrap/>
            <w:vAlign w:val="bottom"/>
            <w:hideMark/>
          </w:tcPr>
          <w:p w14:paraId="4DD3D963" w14:textId="77777777" w:rsidR="00DA62CE" w:rsidRPr="00DA62CE" w:rsidRDefault="00DA62CE" w:rsidP="00DA62CE">
            <w:pPr>
              <w:jc w:val="center"/>
              <w:rPr>
                <w:rFonts w:ascii="Calibri" w:hAnsi="Calibri"/>
                <w:b/>
                <w:bCs/>
                <w:color w:val="000000"/>
              </w:rPr>
            </w:pPr>
          </w:p>
        </w:tc>
        <w:tc>
          <w:tcPr>
            <w:tcW w:w="1181" w:type="dxa"/>
            <w:gridSpan w:val="2"/>
            <w:tcBorders>
              <w:top w:val="nil"/>
              <w:left w:val="nil"/>
              <w:bottom w:val="nil"/>
              <w:right w:val="nil"/>
            </w:tcBorders>
            <w:shd w:val="clear" w:color="auto" w:fill="auto"/>
            <w:noWrap/>
            <w:vAlign w:val="bottom"/>
            <w:hideMark/>
          </w:tcPr>
          <w:p w14:paraId="534791FE" w14:textId="77777777" w:rsidR="00DA62CE" w:rsidRPr="00DA62CE" w:rsidRDefault="00DA62CE" w:rsidP="00DA62CE">
            <w:pPr>
              <w:jc w:val="center"/>
              <w:rPr>
                <w:rFonts w:ascii="Calibri" w:hAnsi="Calibri"/>
                <w:b/>
                <w:bCs/>
                <w:color w:val="000000"/>
              </w:rPr>
            </w:pPr>
            <w:r w:rsidRPr="00DA62CE">
              <w:rPr>
                <w:rFonts w:ascii="Calibri" w:hAnsi="Calibri"/>
                <w:b/>
                <w:bCs/>
                <w:color w:val="000000"/>
              </w:rPr>
              <w:t>Ratio</w:t>
            </w:r>
          </w:p>
        </w:tc>
        <w:tc>
          <w:tcPr>
            <w:tcW w:w="990" w:type="dxa"/>
            <w:tcBorders>
              <w:top w:val="nil"/>
              <w:left w:val="nil"/>
              <w:bottom w:val="nil"/>
              <w:right w:val="nil"/>
            </w:tcBorders>
            <w:shd w:val="clear" w:color="auto" w:fill="auto"/>
            <w:noWrap/>
            <w:vAlign w:val="bottom"/>
            <w:hideMark/>
          </w:tcPr>
          <w:p w14:paraId="7BB88DBE" w14:textId="77777777" w:rsidR="00DA62CE" w:rsidRPr="00DA62CE" w:rsidRDefault="00DA62CE" w:rsidP="00DA62CE">
            <w:pPr>
              <w:jc w:val="center"/>
              <w:rPr>
                <w:rFonts w:ascii="Calibri" w:hAnsi="Calibri"/>
                <w:bCs/>
                <w:color w:val="000000"/>
              </w:rPr>
            </w:pPr>
            <w:r w:rsidRPr="00DA62CE">
              <w:rPr>
                <w:rFonts w:ascii="Calibri" w:hAnsi="Calibri"/>
                <w:bCs/>
                <w:color w:val="000000"/>
              </w:rPr>
              <w:t>90.9%</w:t>
            </w:r>
          </w:p>
        </w:tc>
        <w:tc>
          <w:tcPr>
            <w:tcW w:w="865" w:type="dxa"/>
            <w:gridSpan w:val="2"/>
            <w:tcBorders>
              <w:top w:val="nil"/>
              <w:left w:val="nil"/>
              <w:bottom w:val="nil"/>
              <w:right w:val="nil"/>
            </w:tcBorders>
            <w:shd w:val="clear" w:color="auto" w:fill="auto"/>
            <w:noWrap/>
            <w:vAlign w:val="bottom"/>
            <w:hideMark/>
          </w:tcPr>
          <w:p w14:paraId="7222B55F" w14:textId="77777777" w:rsidR="00DA62CE" w:rsidRPr="00DA62CE" w:rsidRDefault="00DA62CE" w:rsidP="00DA62CE">
            <w:pPr>
              <w:jc w:val="center"/>
              <w:rPr>
                <w:rFonts w:ascii="Calibri" w:hAnsi="Calibri"/>
                <w:bCs/>
                <w:color w:val="000000"/>
              </w:rPr>
            </w:pPr>
          </w:p>
        </w:tc>
      </w:tr>
      <w:tr w:rsidR="00DA62CE" w:rsidRPr="00DA62CE" w14:paraId="2B0C1A52" w14:textId="77777777" w:rsidTr="00FD24B4">
        <w:trPr>
          <w:gridAfter w:val="1"/>
          <w:wAfter w:w="27" w:type="dxa"/>
          <w:trHeight w:val="300"/>
        </w:trPr>
        <w:tc>
          <w:tcPr>
            <w:tcW w:w="660" w:type="dxa"/>
            <w:gridSpan w:val="2"/>
            <w:tcBorders>
              <w:top w:val="nil"/>
              <w:left w:val="nil"/>
              <w:bottom w:val="nil"/>
              <w:right w:val="nil"/>
            </w:tcBorders>
            <w:shd w:val="clear" w:color="auto" w:fill="auto"/>
            <w:noWrap/>
            <w:vAlign w:val="bottom"/>
            <w:hideMark/>
          </w:tcPr>
          <w:p w14:paraId="437D8DC4" w14:textId="77777777" w:rsidR="00DA62CE" w:rsidRPr="00DA62CE" w:rsidRDefault="00DA62CE" w:rsidP="00DA62CE">
            <w:pPr>
              <w:jc w:val="center"/>
              <w:rPr>
                <w:rFonts w:ascii="Calibri" w:hAnsi="Calibri"/>
                <w:b/>
                <w:bCs/>
                <w:color w:val="000000"/>
              </w:rPr>
            </w:pPr>
          </w:p>
        </w:tc>
        <w:tc>
          <w:tcPr>
            <w:tcW w:w="1118" w:type="dxa"/>
            <w:gridSpan w:val="2"/>
            <w:tcBorders>
              <w:top w:val="nil"/>
              <w:left w:val="nil"/>
              <w:bottom w:val="nil"/>
              <w:right w:val="nil"/>
            </w:tcBorders>
            <w:shd w:val="clear" w:color="auto" w:fill="auto"/>
            <w:noWrap/>
            <w:vAlign w:val="bottom"/>
            <w:hideMark/>
          </w:tcPr>
          <w:p w14:paraId="42B47903" w14:textId="77777777" w:rsidR="00DA62CE" w:rsidRPr="00DA62CE" w:rsidRDefault="00DA62CE" w:rsidP="00DA62CE">
            <w:pPr>
              <w:jc w:val="center"/>
              <w:rPr>
                <w:rFonts w:ascii="Calibri" w:hAnsi="Calibri"/>
                <w:b/>
                <w:bCs/>
                <w:color w:val="000000"/>
              </w:rPr>
            </w:pPr>
          </w:p>
        </w:tc>
        <w:tc>
          <w:tcPr>
            <w:tcW w:w="378" w:type="dxa"/>
            <w:tcBorders>
              <w:top w:val="nil"/>
              <w:left w:val="nil"/>
              <w:bottom w:val="nil"/>
              <w:right w:val="nil"/>
            </w:tcBorders>
            <w:shd w:val="clear" w:color="auto" w:fill="auto"/>
            <w:noWrap/>
            <w:vAlign w:val="bottom"/>
            <w:hideMark/>
          </w:tcPr>
          <w:p w14:paraId="209335A5" w14:textId="77777777" w:rsidR="00DA62CE" w:rsidRPr="00DA62CE" w:rsidRDefault="00DA62CE" w:rsidP="00DA62CE">
            <w:pPr>
              <w:jc w:val="center"/>
              <w:rPr>
                <w:rFonts w:ascii="Calibri" w:hAnsi="Calibri"/>
                <w:b/>
                <w:bCs/>
                <w:color w:val="000000"/>
              </w:rPr>
            </w:pPr>
          </w:p>
        </w:tc>
        <w:tc>
          <w:tcPr>
            <w:tcW w:w="1156" w:type="dxa"/>
            <w:gridSpan w:val="2"/>
            <w:tcBorders>
              <w:top w:val="nil"/>
              <w:left w:val="nil"/>
              <w:bottom w:val="nil"/>
              <w:right w:val="nil"/>
            </w:tcBorders>
            <w:shd w:val="clear" w:color="auto" w:fill="auto"/>
            <w:noWrap/>
            <w:vAlign w:val="bottom"/>
            <w:hideMark/>
          </w:tcPr>
          <w:p w14:paraId="4A7DAE58" w14:textId="77777777" w:rsidR="00DA62CE" w:rsidRPr="00DA62CE" w:rsidRDefault="00DA62CE" w:rsidP="00DA62CE">
            <w:pPr>
              <w:jc w:val="center"/>
              <w:rPr>
                <w:rFonts w:ascii="Calibri" w:hAnsi="Calibri"/>
                <w:b/>
                <w:bCs/>
                <w:color w:val="000000"/>
              </w:rPr>
            </w:pPr>
          </w:p>
        </w:tc>
        <w:tc>
          <w:tcPr>
            <w:tcW w:w="361" w:type="dxa"/>
            <w:tcBorders>
              <w:top w:val="nil"/>
              <w:left w:val="nil"/>
              <w:bottom w:val="nil"/>
              <w:right w:val="nil"/>
            </w:tcBorders>
            <w:shd w:val="clear" w:color="auto" w:fill="auto"/>
            <w:noWrap/>
            <w:vAlign w:val="bottom"/>
            <w:hideMark/>
          </w:tcPr>
          <w:p w14:paraId="529630AC" w14:textId="77777777" w:rsidR="00DA62CE" w:rsidRPr="00DA62CE" w:rsidRDefault="00DA62CE" w:rsidP="00DA62CE">
            <w:pPr>
              <w:jc w:val="center"/>
              <w:rPr>
                <w:rFonts w:ascii="Calibri" w:hAnsi="Calibri"/>
                <w:b/>
                <w:bCs/>
                <w:color w:val="000000"/>
              </w:rPr>
            </w:pPr>
          </w:p>
        </w:tc>
        <w:tc>
          <w:tcPr>
            <w:tcW w:w="960" w:type="dxa"/>
            <w:gridSpan w:val="2"/>
            <w:tcBorders>
              <w:top w:val="nil"/>
              <w:left w:val="nil"/>
              <w:bottom w:val="nil"/>
              <w:right w:val="nil"/>
            </w:tcBorders>
            <w:shd w:val="clear" w:color="auto" w:fill="auto"/>
            <w:noWrap/>
            <w:vAlign w:val="bottom"/>
            <w:hideMark/>
          </w:tcPr>
          <w:p w14:paraId="66D613FE" w14:textId="77777777" w:rsidR="00DA62CE" w:rsidRPr="00DA62CE" w:rsidRDefault="00DA62CE" w:rsidP="00DA62CE">
            <w:pPr>
              <w:jc w:val="center"/>
              <w:rPr>
                <w:rFonts w:ascii="Calibri" w:hAnsi="Calibri"/>
                <w:b/>
                <w:bCs/>
                <w:color w:val="000000"/>
              </w:rPr>
            </w:pPr>
          </w:p>
        </w:tc>
        <w:tc>
          <w:tcPr>
            <w:tcW w:w="377" w:type="dxa"/>
            <w:gridSpan w:val="2"/>
            <w:tcBorders>
              <w:top w:val="nil"/>
              <w:left w:val="nil"/>
              <w:bottom w:val="nil"/>
              <w:right w:val="nil"/>
            </w:tcBorders>
            <w:shd w:val="clear" w:color="auto" w:fill="auto"/>
            <w:noWrap/>
            <w:vAlign w:val="bottom"/>
            <w:hideMark/>
          </w:tcPr>
          <w:p w14:paraId="3DC9EB7D" w14:textId="77777777" w:rsidR="00DA62CE" w:rsidRPr="00DA62CE" w:rsidRDefault="00DA62CE" w:rsidP="00DA62CE">
            <w:pPr>
              <w:jc w:val="center"/>
              <w:rPr>
                <w:rFonts w:ascii="Calibri" w:hAnsi="Calibri"/>
                <w:b/>
                <w:bCs/>
                <w:color w:val="000000"/>
              </w:rPr>
            </w:pPr>
          </w:p>
        </w:tc>
        <w:tc>
          <w:tcPr>
            <w:tcW w:w="1164" w:type="dxa"/>
            <w:gridSpan w:val="2"/>
            <w:tcBorders>
              <w:top w:val="nil"/>
              <w:left w:val="nil"/>
              <w:bottom w:val="nil"/>
              <w:right w:val="nil"/>
            </w:tcBorders>
            <w:shd w:val="clear" w:color="auto" w:fill="auto"/>
            <w:noWrap/>
            <w:vAlign w:val="bottom"/>
            <w:hideMark/>
          </w:tcPr>
          <w:p w14:paraId="065BE9B0" w14:textId="77777777" w:rsidR="00DA62CE" w:rsidRPr="00DA62CE" w:rsidRDefault="00DA62CE" w:rsidP="00DA62CE">
            <w:pPr>
              <w:jc w:val="center"/>
              <w:rPr>
                <w:rFonts w:ascii="Calibri" w:hAnsi="Calibri"/>
                <w:b/>
                <w:bCs/>
                <w:color w:val="000000"/>
              </w:rPr>
            </w:pPr>
            <w:r w:rsidRPr="00DA62CE">
              <w:rPr>
                <w:rFonts w:ascii="Calibri" w:hAnsi="Calibri"/>
                <w:b/>
                <w:bCs/>
                <w:color w:val="000000"/>
              </w:rPr>
              <w:t>Weighted</w:t>
            </w:r>
          </w:p>
        </w:tc>
        <w:tc>
          <w:tcPr>
            <w:tcW w:w="663" w:type="dxa"/>
            <w:gridSpan w:val="3"/>
            <w:tcBorders>
              <w:top w:val="nil"/>
              <w:left w:val="nil"/>
              <w:bottom w:val="nil"/>
              <w:right w:val="nil"/>
            </w:tcBorders>
            <w:shd w:val="clear" w:color="auto" w:fill="auto"/>
            <w:noWrap/>
            <w:vAlign w:val="bottom"/>
            <w:hideMark/>
          </w:tcPr>
          <w:p w14:paraId="0F20BF29" w14:textId="77777777" w:rsidR="00DA62CE" w:rsidRPr="00DA62CE" w:rsidRDefault="00DA62CE" w:rsidP="00DA62CE">
            <w:pPr>
              <w:jc w:val="center"/>
              <w:rPr>
                <w:rFonts w:ascii="Calibri" w:hAnsi="Calibri"/>
                <w:b/>
                <w:bCs/>
                <w:color w:val="000000"/>
              </w:rPr>
            </w:pPr>
            <w:r w:rsidRPr="00DA62CE">
              <w:rPr>
                <w:rFonts w:ascii="Calibri" w:hAnsi="Calibri"/>
                <w:b/>
                <w:bCs/>
                <w:color w:val="000000"/>
              </w:rPr>
              <w:t>1998</w:t>
            </w:r>
          </w:p>
        </w:tc>
        <w:tc>
          <w:tcPr>
            <w:tcW w:w="1181" w:type="dxa"/>
            <w:gridSpan w:val="2"/>
            <w:tcBorders>
              <w:top w:val="nil"/>
              <w:left w:val="nil"/>
              <w:bottom w:val="nil"/>
              <w:right w:val="nil"/>
            </w:tcBorders>
            <w:shd w:val="clear" w:color="auto" w:fill="auto"/>
            <w:noWrap/>
            <w:vAlign w:val="bottom"/>
            <w:hideMark/>
          </w:tcPr>
          <w:p w14:paraId="7652408A" w14:textId="77777777" w:rsidR="00DA62CE" w:rsidRPr="00DA62CE" w:rsidRDefault="00DA62CE" w:rsidP="00DA62CE">
            <w:pPr>
              <w:jc w:val="center"/>
              <w:rPr>
                <w:rFonts w:ascii="Calibri" w:hAnsi="Calibri"/>
                <w:b/>
                <w:bCs/>
                <w:color w:val="000000"/>
              </w:rPr>
            </w:pPr>
            <w:r w:rsidRPr="00DA62CE">
              <w:rPr>
                <w:rFonts w:ascii="Calibri" w:hAnsi="Calibri"/>
                <w:b/>
                <w:bCs/>
                <w:color w:val="000000"/>
              </w:rPr>
              <w:t>FTE Count</w:t>
            </w:r>
          </w:p>
        </w:tc>
        <w:tc>
          <w:tcPr>
            <w:tcW w:w="990" w:type="dxa"/>
            <w:tcBorders>
              <w:top w:val="nil"/>
              <w:left w:val="nil"/>
              <w:bottom w:val="nil"/>
              <w:right w:val="nil"/>
            </w:tcBorders>
            <w:shd w:val="clear" w:color="auto" w:fill="auto"/>
            <w:noWrap/>
            <w:vAlign w:val="bottom"/>
            <w:hideMark/>
          </w:tcPr>
          <w:p w14:paraId="4C82D442" w14:textId="77777777" w:rsidR="00DA62CE" w:rsidRPr="00DA62CE" w:rsidRDefault="00DA62CE" w:rsidP="00DA62CE">
            <w:pPr>
              <w:jc w:val="center"/>
              <w:rPr>
                <w:rFonts w:ascii="Calibri" w:hAnsi="Calibri"/>
                <w:bCs/>
                <w:color w:val="000000"/>
              </w:rPr>
            </w:pPr>
            <w:r w:rsidRPr="00DA62CE">
              <w:rPr>
                <w:rFonts w:ascii="Calibri" w:hAnsi="Calibri"/>
                <w:bCs/>
                <w:color w:val="000000"/>
              </w:rPr>
              <w:t>100.00</w:t>
            </w:r>
          </w:p>
        </w:tc>
        <w:tc>
          <w:tcPr>
            <w:tcW w:w="865" w:type="dxa"/>
            <w:gridSpan w:val="2"/>
            <w:tcBorders>
              <w:top w:val="nil"/>
              <w:left w:val="nil"/>
              <w:bottom w:val="nil"/>
              <w:right w:val="nil"/>
            </w:tcBorders>
            <w:shd w:val="clear" w:color="auto" w:fill="auto"/>
            <w:noWrap/>
            <w:vAlign w:val="bottom"/>
            <w:hideMark/>
          </w:tcPr>
          <w:p w14:paraId="5215D7FE" w14:textId="77777777" w:rsidR="00DA62CE" w:rsidRPr="00DA62CE" w:rsidRDefault="00DA62CE" w:rsidP="00DA62CE">
            <w:pPr>
              <w:jc w:val="center"/>
              <w:rPr>
                <w:rFonts w:ascii="Calibri" w:hAnsi="Calibri"/>
                <w:bCs/>
                <w:color w:val="000000"/>
              </w:rPr>
            </w:pPr>
          </w:p>
        </w:tc>
      </w:tr>
      <w:tr w:rsidR="00DA62CE" w:rsidRPr="00DA62CE" w14:paraId="6227AE02" w14:textId="77777777" w:rsidTr="00FD24B4">
        <w:trPr>
          <w:gridAfter w:val="1"/>
          <w:wAfter w:w="27" w:type="dxa"/>
          <w:trHeight w:val="315"/>
        </w:trPr>
        <w:tc>
          <w:tcPr>
            <w:tcW w:w="660" w:type="dxa"/>
            <w:gridSpan w:val="2"/>
            <w:tcBorders>
              <w:top w:val="nil"/>
              <w:left w:val="nil"/>
              <w:bottom w:val="nil"/>
              <w:right w:val="nil"/>
            </w:tcBorders>
            <w:shd w:val="clear" w:color="auto" w:fill="auto"/>
            <w:noWrap/>
            <w:vAlign w:val="bottom"/>
            <w:hideMark/>
          </w:tcPr>
          <w:p w14:paraId="0A5A769D" w14:textId="77777777" w:rsidR="00DA62CE" w:rsidRPr="00DA62CE" w:rsidRDefault="00DA62CE" w:rsidP="00DA62CE">
            <w:pPr>
              <w:jc w:val="center"/>
              <w:rPr>
                <w:rFonts w:ascii="Calibri" w:hAnsi="Calibri"/>
                <w:b/>
                <w:bCs/>
                <w:color w:val="000000"/>
              </w:rPr>
            </w:pPr>
          </w:p>
        </w:tc>
        <w:tc>
          <w:tcPr>
            <w:tcW w:w="1118" w:type="dxa"/>
            <w:gridSpan w:val="2"/>
            <w:tcBorders>
              <w:top w:val="nil"/>
              <w:left w:val="nil"/>
              <w:bottom w:val="nil"/>
              <w:right w:val="nil"/>
            </w:tcBorders>
            <w:shd w:val="clear" w:color="auto" w:fill="auto"/>
            <w:noWrap/>
            <w:vAlign w:val="bottom"/>
            <w:hideMark/>
          </w:tcPr>
          <w:p w14:paraId="4B8508B3" w14:textId="77777777" w:rsidR="00DA62CE" w:rsidRPr="00DA62CE" w:rsidRDefault="00DA62CE" w:rsidP="00DA62CE">
            <w:pPr>
              <w:jc w:val="center"/>
              <w:rPr>
                <w:rFonts w:ascii="Calibri" w:hAnsi="Calibri"/>
                <w:b/>
                <w:bCs/>
                <w:color w:val="000000"/>
              </w:rPr>
            </w:pPr>
          </w:p>
        </w:tc>
        <w:tc>
          <w:tcPr>
            <w:tcW w:w="378" w:type="dxa"/>
            <w:tcBorders>
              <w:top w:val="nil"/>
              <w:left w:val="nil"/>
              <w:bottom w:val="nil"/>
              <w:right w:val="nil"/>
            </w:tcBorders>
            <w:shd w:val="clear" w:color="auto" w:fill="auto"/>
            <w:noWrap/>
            <w:vAlign w:val="bottom"/>
            <w:hideMark/>
          </w:tcPr>
          <w:p w14:paraId="49ABA68D" w14:textId="77777777" w:rsidR="00DA62CE" w:rsidRPr="00DA62CE" w:rsidRDefault="00DA62CE" w:rsidP="00DA62CE">
            <w:pPr>
              <w:jc w:val="center"/>
              <w:rPr>
                <w:rFonts w:ascii="Calibri" w:hAnsi="Calibri"/>
                <w:b/>
                <w:bCs/>
                <w:color w:val="000000"/>
              </w:rPr>
            </w:pPr>
          </w:p>
        </w:tc>
        <w:tc>
          <w:tcPr>
            <w:tcW w:w="1156" w:type="dxa"/>
            <w:gridSpan w:val="2"/>
            <w:tcBorders>
              <w:top w:val="nil"/>
              <w:left w:val="nil"/>
              <w:bottom w:val="nil"/>
              <w:right w:val="nil"/>
            </w:tcBorders>
            <w:shd w:val="clear" w:color="auto" w:fill="auto"/>
            <w:noWrap/>
            <w:vAlign w:val="bottom"/>
            <w:hideMark/>
          </w:tcPr>
          <w:p w14:paraId="59213BCC" w14:textId="77777777" w:rsidR="00DA62CE" w:rsidRPr="00DA62CE" w:rsidRDefault="00DA62CE" w:rsidP="00DA62CE">
            <w:pPr>
              <w:jc w:val="center"/>
              <w:rPr>
                <w:rFonts w:ascii="Calibri" w:hAnsi="Calibri"/>
                <w:b/>
                <w:bCs/>
                <w:color w:val="000000"/>
              </w:rPr>
            </w:pPr>
          </w:p>
        </w:tc>
        <w:tc>
          <w:tcPr>
            <w:tcW w:w="361" w:type="dxa"/>
            <w:tcBorders>
              <w:top w:val="nil"/>
              <w:left w:val="nil"/>
              <w:bottom w:val="nil"/>
              <w:right w:val="nil"/>
            </w:tcBorders>
            <w:shd w:val="clear" w:color="auto" w:fill="auto"/>
            <w:noWrap/>
            <w:vAlign w:val="bottom"/>
            <w:hideMark/>
          </w:tcPr>
          <w:p w14:paraId="6AFFF35F" w14:textId="77777777" w:rsidR="00DA62CE" w:rsidRPr="00DA62CE" w:rsidRDefault="00DA62CE" w:rsidP="00DA62CE">
            <w:pPr>
              <w:jc w:val="center"/>
              <w:rPr>
                <w:rFonts w:ascii="Calibri" w:hAnsi="Calibri"/>
                <w:b/>
                <w:bCs/>
                <w:color w:val="000000"/>
              </w:rPr>
            </w:pPr>
          </w:p>
        </w:tc>
        <w:tc>
          <w:tcPr>
            <w:tcW w:w="960" w:type="dxa"/>
            <w:gridSpan w:val="2"/>
            <w:tcBorders>
              <w:top w:val="nil"/>
              <w:left w:val="nil"/>
              <w:bottom w:val="nil"/>
              <w:right w:val="nil"/>
            </w:tcBorders>
            <w:shd w:val="clear" w:color="auto" w:fill="auto"/>
            <w:noWrap/>
            <w:vAlign w:val="bottom"/>
            <w:hideMark/>
          </w:tcPr>
          <w:p w14:paraId="782883C9" w14:textId="77777777" w:rsidR="00DA62CE" w:rsidRPr="00DA62CE" w:rsidRDefault="00DA62CE" w:rsidP="00DA62CE">
            <w:pPr>
              <w:jc w:val="center"/>
              <w:rPr>
                <w:rFonts w:ascii="Calibri" w:hAnsi="Calibri"/>
                <w:b/>
                <w:bCs/>
                <w:color w:val="000000"/>
              </w:rPr>
            </w:pPr>
          </w:p>
        </w:tc>
        <w:tc>
          <w:tcPr>
            <w:tcW w:w="377" w:type="dxa"/>
            <w:gridSpan w:val="2"/>
            <w:tcBorders>
              <w:top w:val="nil"/>
              <w:left w:val="nil"/>
              <w:bottom w:val="nil"/>
              <w:right w:val="nil"/>
            </w:tcBorders>
            <w:shd w:val="clear" w:color="auto" w:fill="auto"/>
            <w:noWrap/>
            <w:vAlign w:val="bottom"/>
            <w:hideMark/>
          </w:tcPr>
          <w:p w14:paraId="4554B506" w14:textId="77777777" w:rsidR="00DA62CE" w:rsidRPr="00DA62CE" w:rsidRDefault="00DA62CE" w:rsidP="00DA62CE">
            <w:pPr>
              <w:jc w:val="center"/>
              <w:rPr>
                <w:rFonts w:ascii="Calibri" w:hAnsi="Calibri"/>
                <w:b/>
                <w:bCs/>
                <w:color w:val="000000"/>
              </w:rPr>
            </w:pPr>
          </w:p>
        </w:tc>
        <w:tc>
          <w:tcPr>
            <w:tcW w:w="1164" w:type="dxa"/>
            <w:gridSpan w:val="2"/>
            <w:tcBorders>
              <w:top w:val="nil"/>
              <w:left w:val="nil"/>
              <w:bottom w:val="nil"/>
              <w:right w:val="nil"/>
            </w:tcBorders>
            <w:shd w:val="clear" w:color="auto" w:fill="auto"/>
            <w:noWrap/>
            <w:vAlign w:val="bottom"/>
            <w:hideMark/>
          </w:tcPr>
          <w:p w14:paraId="5DB17C86" w14:textId="77777777" w:rsidR="00DA62CE" w:rsidRPr="00DA62CE" w:rsidRDefault="00DA62CE" w:rsidP="00DA62CE">
            <w:pPr>
              <w:jc w:val="center"/>
              <w:rPr>
                <w:rFonts w:ascii="Calibri" w:hAnsi="Calibri"/>
                <w:b/>
                <w:bCs/>
                <w:color w:val="000000"/>
              </w:rPr>
            </w:pPr>
          </w:p>
        </w:tc>
        <w:tc>
          <w:tcPr>
            <w:tcW w:w="663" w:type="dxa"/>
            <w:gridSpan w:val="3"/>
            <w:tcBorders>
              <w:top w:val="nil"/>
              <w:left w:val="nil"/>
              <w:bottom w:val="nil"/>
              <w:right w:val="nil"/>
            </w:tcBorders>
            <w:shd w:val="clear" w:color="auto" w:fill="auto"/>
            <w:noWrap/>
            <w:vAlign w:val="bottom"/>
            <w:hideMark/>
          </w:tcPr>
          <w:p w14:paraId="7D02F63F" w14:textId="77777777" w:rsidR="00DA62CE" w:rsidRPr="00DA62CE" w:rsidRDefault="00DA62CE" w:rsidP="00DA62CE">
            <w:pPr>
              <w:jc w:val="center"/>
              <w:rPr>
                <w:rFonts w:ascii="Calibri" w:hAnsi="Calibri"/>
                <w:b/>
                <w:bCs/>
                <w:color w:val="000000"/>
              </w:rPr>
            </w:pPr>
          </w:p>
        </w:tc>
        <w:tc>
          <w:tcPr>
            <w:tcW w:w="1181" w:type="dxa"/>
            <w:gridSpan w:val="2"/>
            <w:tcBorders>
              <w:top w:val="nil"/>
              <w:left w:val="nil"/>
              <w:bottom w:val="nil"/>
              <w:right w:val="nil"/>
            </w:tcBorders>
            <w:shd w:val="clear" w:color="auto" w:fill="auto"/>
            <w:noWrap/>
            <w:vAlign w:val="bottom"/>
            <w:hideMark/>
          </w:tcPr>
          <w:p w14:paraId="75ADB95B" w14:textId="77777777" w:rsidR="00DA62CE" w:rsidRPr="00DA62CE" w:rsidRDefault="00DA62CE" w:rsidP="00DA62CE">
            <w:pPr>
              <w:jc w:val="center"/>
              <w:rPr>
                <w:rFonts w:ascii="Calibri" w:hAnsi="Calibri"/>
                <w:b/>
                <w:bCs/>
                <w:color w:val="000000"/>
              </w:rPr>
            </w:pPr>
            <w:r w:rsidRPr="00DA62CE">
              <w:rPr>
                <w:rFonts w:ascii="Calibri" w:hAnsi="Calibri"/>
                <w:b/>
                <w:bCs/>
                <w:color w:val="000000"/>
              </w:rPr>
              <w:t>Allowed</w:t>
            </w:r>
          </w:p>
        </w:tc>
        <w:tc>
          <w:tcPr>
            <w:tcW w:w="990" w:type="dxa"/>
            <w:tcBorders>
              <w:top w:val="single" w:sz="4" w:space="0" w:color="auto"/>
              <w:left w:val="nil"/>
              <w:bottom w:val="double" w:sz="6" w:space="0" w:color="auto"/>
              <w:right w:val="nil"/>
            </w:tcBorders>
            <w:shd w:val="clear" w:color="auto" w:fill="auto"/>
            <w:noWrap/>
            <w:vAlign w:val="bottom"/>
            <w:hideMark/>
          </w:tcPr>
          <w:p w14:paraId="24ACDC9C" w14:textId="77777777" w:rsidR="00DA62CE" w:rsidRPr="00DA62CE" w:rsidRDefault="00DA62CE" w:rsidP="00DA62CE">
            <w:pPr>
              <w:jc w:val="center"/>
              <w:rPr>
                <w:rFonts w:ascii="Calibri" w:hAnsi="Calibri"/>
                <w:bCs/>
                <w:color w:val="000000"/>
              </w:rPr>
            </w:pPr>
            <w:r w:rsidRPr="00DA62CE">
              <w:rPr>
                <w:rFonts w:ascii="Calibri" w:hAnsi="Calibri"/>
                <w:bCs/>
                <w:color w:val="000000"/>
              </w:rPr>
              <w:t>90.9</w:t>
            </w:r>
          </w:p>
        </w:tc>
        <w:tc>
          <w:tcPr>
            <w:tcW w:w="865" w:type="dxa"/>
            <w:gridSpan w:val="2"/>
            <w:tcBorders>
              <w:top w:val="nil"/>
              <w:left w:val="nil"/>
              <w:bottom w:val="nil"/>
              <w:right w:val="nil"/>
            </w:tcBorders>
            <w:shd w:val="clear" w:color="auto" w:fill="auto"/>
            <w:noWrap/>
            <w:vAlign w:val="bottom"/>
            <w:hideMark/>
          </w:tcPr>
          <w:p w14:paraId="16980C97" w14:textId="77777777" w:rsidR="00DA62CE" w:rsidRPr="00DA62CE" w:rsidRDefault="00DA62CE" w:rsidP="00DA62CE">
            <w:pPr>
              <w:jc w:val="center"/>
              <w:rPr>
                <w:rFonts w:ascii="Calibri" w:hAnsi="Calibri"/>
                <w:bCs/>
                <w:color w:val="000000"/>
              </w:rPr>
            </w:pPr>
          </w:p>
        </w:tc>
      </w:tr>
    </w:tbl>
    <w:p w14:paraId="3A45391B" w14:textId="77777777" w:rsidR="0024160D" w:rsidRPr="0024160D" w:rsidRDefault="0024160D" w:rsidP="0024160D">
      <w:pPr>
        <w:spacing w:line="480" w:lineRule="auto"/>
        <w:ind w:right="144"/>
        <w:jc w:val="both"/>
        <w:rPr>
          <w:rFonts w:ascii="Arial" w:eastAsia="Calibri" w:hAnsi="Arial" w:cs="Arial"/>
          <w:b/>
          <w:sz w:val="24"/>
          <w:szCs w:val="24"/>
        </w:rPr>
      </w:pPr>
    </w:p>
    <w:p w14:paraId="64278BA0"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Comparing the example for 1998 to the base year, the IRPs went up by 10 and the fellows held steady at 20.  In the base year, the ratio of IRPs to the total was 80% (80 IRPs and 20 fellows=100 Total).  In the example year, the ratio became 81.8% (90 IRPs and 20 fellows=110 Total).  The relative mix of IRPs and fellows will influence the final weighted count even if the unweighted count does not change. (In the preamble at the top right second paragraph at 46005, the comparison year is mistakenly shown as 1990. The fact that the proper comparison year should be 1998 is clear from the text.)</w:t>
      </w:r>
    </w:p>
    <w:p w14:paraId="5C246086" w14:textId="77777777" w:rsidR="0024160D" w:rsidRPr="0024160D" w:rsidRDefault="0024160D" w:rsidP="0024160D">
      <w:pPr>
        <w:spacing w:line="480" w:lineRule="auto"/>
        <w:ind w:right="144"/>
        <w:jc w:val="both"/>
        <w:rPr>
          <w:rFonts w:ascii="Arial" w:eastAsia="Calibri" w:hAnsi="Arial" w:cs="Arial"/>
          <w:sz w:val="24"/>
          <w:szCs w:val="24"/>
        </w:rPr>
      </w:pPr>
    </w:p>
    <w:p w14:paraId="7A97E7FE"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First it is clear from the example that the unweighted count in the current year (CY) exceeded the unweighted count in the base year (BY) by 10. Yet the increase in allowable FTEs is 0.9 or less than 1.0 FTE.  Objectively, that disparity if perceived by commenters as wrong (which it is not) would have set off the same complaint that the Provider is making now.  To paraphrase the current argument again, the base year unweighted FTE count is the “limit” when the current year unweighted count exceeds the base year unweighted count no matter what the </w:t>
      </w:r>
      <w:r w:rsidRPr="0024160D">
        <w:rPr>
          <w:rFonts w:ascii="Arial" w:eastAsia="Calibri" w:hAnsi="Arial" w:cs="Arial"/>
          <w:sz w:val="24"/>
          <w:szCs w:val="24"/>
        </w:rPr>
        <w:lastRenderedPageBreak/>
        <w:t>IRP/fellow mix.  As will be seen when the final rule and preamble is brought into play, no reader raised that complaint.</w:t>
      </w:r>
    </w:p>
    <w:p w14:paraId="30ABEA05" w14:textId="77777777" w:rsidR="0024160D" w:rsidRPr="0024160D" w:rsidRDefault="0024160D" w:rsidP="0024160D">
      <w:pPr>
        <w:spacing w:line="480" w:lineRule="auto"/>
        <w:ind w:right="144"/>
        <w:jc w:val="both"/>
        <w:rPr>
          <w:rFonts w:ascii="Arial" w:eastAsia="Calibri" w:hAnsi="Arial" w:cs="Arial"/>
          <w:sz w:val="24"/>
          <w:szCs w:val="24"/>
        </w:rPr>
      </w:pPr>
    </w:p>
    <w:p w14:paraId="4E3D8746"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There are three more examples using 1998 compared to 1996 to be raised to illustrate other variables as applied to the formula.  First, in 1998 the IRPs held at 80 but the fellows increased by 5 up to 25.  Now the unweighted count exceeds the unweighted count in the base year by 5.  (105 over 100).  The weighted count is 92.5.  The ratio of IRPs to total here is 76.2%. Applying the formula, the FTE count is (100/105) * 92.5 =88.1.  Here, reducing the ratio of IRPs to total did have a negative effect when measured against the allowable (i.e. weighted base year) final count.</w:t>
      </w:r>
    </w:p>
    <w:tbl>
      <w:tblPr>
        <w:tblW w:w="9540" w:type="dxa"/>
        <w:tblInd w:w="540" w:type="dxa"/>
        <w:tblLayout w:type="fixed"/>
        <w:tblLook w:val="04A0" w:firstRow="1" w:lastRow="0" w:firstColumn="1" w:lastColumn="0" w:noHBand="0" w:noVBand="1"/>
      </w:tblPr>
      <w:tblGrid>
        <w:gridCol w:w="630"/>
        <w:gridCol w:w="990"/>
        <w:gridCol w:w="377"/>
        <w:gridCol w:w="1156"/>
        <w:gridCol w:w="357"/>
        <w:gridCol w:w="900"/>
        <w:gridCol w:w="270"/>
        <w:gridCol w:w="90"/>
        <w:gridCol w:w="990"/>
        <w:gridCol w:w="76"/>
        <w:gridCol w:w="90"/>
        <w:gridCol w:w="284"/>
        <w:gridCol w:w="90"/>
        <w:gridCol w:w="90"/>
        <w:gridCol w:w="900"/>
        <w:gridCol w:w="90"/>
        <w:gridCol w:w="90"/>
        <w:gridCol w:w="1080"/>
        <w:gridCol w:w="90"/>
        <w:gridCol w:w="90"/>
        <w:gridCol w:w="630"/>
        <w:gridCol w:w="90"/>
        <w:gridCol w:w="90"/>
      </w:tblGrid>
      <w:tr w:rsidR="00DA62CE" w:rsidRPr="00DA62CE" w14:paraId="4CE754D3" w14:textId="77777777" w:rsidTr="00FD24B4">
        <w:trPr>
          <w:gridAfter w:val="2"/>
          <w:wAfter w:w="180" w:type="dxa"/>
          <w:trHeight w:val="900"/>
        </w:trPr>
        <w:tc>
          <w:tcPr>
            <w:tcW w:w="630" w:type="dxa"/>
            <w:tcBorders>
              <w:top w:val="nil"/>
              <w:left w:val="nil"/>
              <w:bottom w:val="nil"/>
              <w:right w:val="nil"/>
            </w:tcBorders>
            <w:shd w:val="clear" w:color="auto" w:fill="auto"/>
            <w:noWrap/>
            <w:vAlign w:val="bottom"/>
            <w:hideMark/>
          </w:tcPr>
          <w:p w14:paraId="43FC2AA2" w14:textId="77777777" w:rsidR="00DA62CE" w:rsidRPr="00DA62CE" w:rsidRDefault="00DA62CE" w:rsidP="00DA62CE">
            <w:pPr>
              <w:jc w:val="center"/>
              <w:rPr>
                <w:rFonts w:ascii="Calibri" w:hAnsi="Calibri"/>
                <w:b/>
                <w:bCs/>
                <w:color w:val="000000"/>
              </w:rPr>
            </w:pPr>
            <w:r w:rsidRPr="00DA62CE">
              <w:rPr>
                <w:rFonts w:ascii="Calibri" w:hAnsi="Calibri"/>
                <w:b/>
                <w:bCs/>
                <w:color w:val="000000"/>
              </w:rPr>
              <w:t>FY</w:t>
            </w:r>
          </w:p>
        </w:tc>
        <w:tc>
          <w:tcPr>
            <w:tcW w:w="990" w:type="dxa"/>
            <w:tcBorders>
              <w:top w:val="nil"/>
              <w:left w:val="nil"/>
              <w:bottom w:val="nil"/>
              <w:right w:val="nil"/>
            </w:tcBorders>
            <w:shd w:val="clear" w:color="auto" w:fill="auto"/>
            <w:vAlign w:val="bottom"/>
            <w:hideMark/>
          </w:tcPr>
          <w:p w14:paraId="3BFC67DC"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Residents in IRP </w:t>
            </w:r>
          </w:p>
        </w:tc>
        <w:tc>
          <w:tcPr>
            <w:tcW w:w="377" w:type="dxa"/>
            <w:tcBorders>
              <w:top w:val="nil"/>
              <w:left w:val="nil"/>
              <w:bottom w:val="nil"/>
              <w:right w:val="nil"/>
            </w:tcBorders>
            <w:shd w:val="clear" w:color="auto" w:fill="auto"/>
            <w:vAlign w:val="bottom"/>
            <w:hideMark/>
          </w:tcPr>
          <w:p w14:paraId="5D29490C" w14:textId="77777777" w:rsidR="00DA62CE" w:rsidRPr="00DA62CE" w:rsidRDefault="00DA62CE" w:rsidP="00DA62CE">
            <w:pPr>
              <w:jc w:val="center"/>
              <w:rPr>
                <w:rFonts w:ascii="Calibri" w:hAnsi="Calibri"/>
                <w:b/>
                <w:bCs/>
                <w:color w:val="000000"/>
              </w:rPr>
            </w:pPr>
          </w:p>
        </w:tc>
        <w:tc>
          <w:tcPr>
            <w:tcW w:w="1156" w:type="dxa"/>
            <w:tcBorders>
              <w:top w:val="nil"/>
              <w:left w:val="nil"/>
              <w:bottom w:val="nil"/>
              <w:right w:val="nil"/>
            </w:tcBorders>
            <w:shd w:val="clear" w:color="auto" w:fill="auto"/>
            <w:vAlign w:val="bottom"/>
            <w:hideMark/>
          </w:tcPr>
          <w:p w14:paraId="13E4414E"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IRP Weighting </w:t>
            </w:r>
          </w:p>
        </w:tc>
        <w:tc>
          <w:tcPr>
            <w:tcW w:w="357" w:type="dxa"/>
            <w:tcBorders>
              <w:top w:val="nil"/>
              <w:left w:val="nil"/>
              <w:bottom w:val="nil"/>
              <w:right w:val="nil"/>
            </w:tcBorders>
            <w:shd w:val="clear" w:color="auto" w:fill="auto"/>
            <w:vAlign w:val="bottom"/>
            <w:hideMark/>
          </w:tcPr>
          <w:p w14:paraId="36AA0F0D" w14:textId="77777777" w:rsidR="00DA62CE" w:rsidRPr="00DA62CE" w:rsidRDefault="00DA62CE" w:rsidP="00DA62CE">
            <w:pPr>
              <w:jc w:val="center"/>
              <w:rPr>
                <w:rFonts w:ascii="Calibri" w:hAnsi="Calibri"/>
                <w:b/>
                <w:bCs/>
                <w:color w:val="000000"/>
              </w:rPr>
            </w:pPr>
          </w:p>
        </w:tc>
        <w:tc>
          <w:tcPr>
            <w:tcW w:w="900" w:type="dxa"/>
            <w:tcBorders>
              <w:top w:val="nil"/>
              <w:left w:val="nil"/>
              <w:bottom w:val="nil"/>
              <w:right w:val="nil"/>
            </w:tcBorders>
            <w:shd w:val="clear" w:color="auto" w:fill="auto"/>
            <w:vAlign w:val="bottom"/>
            <w:hideMark/>
          </w:tcPr>
          <w:p w14:paraId="351024AA"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t>
            </w:r>
          </w:p>
        </w:tc>
        <w:tc>
          <w:tcPr>
            <w:tcW w:w="270" w:type="dxa"/>
            <w:tcBorders>
              <w:top w:val="nil"/>
              <w:left w:val="nil"/>
              <w:bottom w:val="nil"/>
              <w:right w:val="nil"/>
            </w:tcBorders>
            <w:shd w:val="clear" w:color="auto" w:fill="auto"/>
            <w:vAlign w:val="bottom"/>
            <w:hideMark/>
          </w:tcPr>
          <w:p w14:paraId="475B576A" w14:textId="77777777" w:rsidR="00DA62CE" w:rsidRPr="00DA62CE" w:rsidRDefault="00DA62CE" w:rsidP="00DA62CE">
            <w:pPr>
              <w:jc w:val="center"/>
              <w:rPr>
                <w:rFonts w:ascii="Calibri" w:hAnsi="Calibri"/>
                <w:b/>
                <w:bCs/>
                <w:color w:val="000000"/>
              </w:rPr>
            </w:pPr>
          </w:p>
        </w:tc>
        <w:tc>
          <w:tcPr>
            <w:tcW w:w="1156" w:type="dxa"/>
            <w:gridSpan w:val="3"/>
            <w:tcBorders>
              <w:top w:val="nil"/>
              <w:left w:val="nil"/>
              <w:bottom w:val="nil"/>
              <w:right w:val="nil"/>
            </w:tcBorders>
            <w:shd w:val="clear" w:color="auto" w:fill="auto"/>
            <w:vAlign w:val="bottom"/>
            <w:hideMark/>
          </w:tcPr>
          <w:p w14:paraId="16354631"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Weighting </w:t>
            </w:r>
          </w:p>
        </w:tc>
        <w:tc>
          <w:tcPr>
            <w:tcW w:w="374" w:type="dxa"/>
            <w:gridSpan w:val="2"/>
            <w:tcBorders>
              <w:top w:val="nil"/>
              <w:left w:val="nil"/>
              <w:bottom w:val="nil"/>
              <w:right w:val="nil"/>
            </w:tcBorders>
            <w:shd w:val="clear" w:color="auto" w:fill="auto"/>
            <w:vAlign w:val="bottom"/>
            <w:hideMark/>
          </w:tcPr>
          <w:p w14:paraId="14D2809F" w14:textId="77777777" w:rsidR="00DA62CE" w:rsidRPr="00DA62CE" w:rsidRDefault="00DA62CE" w:rsidP="00DA62CE">
            <w:pPr>
              <w:jc w:val="center"/>
              <w:rPr>
                <w:rFonts w:ascii="Calibri" w:hAnsi="Calibri"/>
                <w:b/>
                <w:bCs/>
                <w:color w:val="000000"/>
              </w:rPr>
            </w:pPr>
          </w:p>
        </w:tc>
        <w:tc>
          <w:tcPr>
            <w:tcW w:w="1080" w:type="dxa"/>
            <w:gridSpan w:val="3"/>
            <w:tcBorders>
              <w:top w:val="nil"/>
              <w:left w:val="nil"/>
              <w:bottom w:val="nil"/>
              <w:right w:val="nil"/>
            </w:tcBorders>
            <w:shd w:val="clear" w:color="auto" w:fill="auto"/>
            <w:vAlign w:val="bottom"/>
            <w:hideMark/>
          </w:tcPr>
          <w:p w14:paraId="6A9D1DCA"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Weighted FTE Count </w:t>
            </w:r>
          </w:p>
        </w:tc>
        <w:tc>
          <w:tcPr>
            <w:tcW w:w="1260" w:type="dxa"/>
            <w:gridSpan w:val="3"/>
            <w:tcBorders>
              <w:top w:val="nil"/>
              <w:left w:val="nil"/>
              <w:bottom w:val="nil"/>
              <w:right w:val="nil"/>
            </w:tcBorders>
            <w:shd w:val="clear" w:color="auto" w:fill="auto"/>
            <w:vAlign w:val="bottom"/>
            <w:hideMark/>
          </w:tcPr>
          <w:p w14:paraId="288CB9E8"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Unweighted FTE Count </w:t>
            </w:r>
          </w:p>
        </w:tc>
        <w:tc>
          <w:tcPr>
            <w:tcW w:w="810" w:type="dxa"/>
            <w:gridSpan w:val="3"/>
            <w:tcBorders>
              <w:top w:val="nil"/>
              <w:left w:val="nil"/>
              <w:bottom w:val="nil"/>
              <w:right w:val="nil"/>
            </w:tcBorders>
            <w:shd w:val="clear" w:color="auto" w:fill="auto"/>
            <w:vAlign w:val="bottom"/>
            <w:hideMark/>
          </w:tcPr>
          <w:p w14:paraId="39C4C5DC"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of IRPs to Total</w:t>
            </w:r>
          </w:p>
        </w:tc>
      </w:tr>
      <w:tr w:rsidR="00DA62CE" w:rsidRPr="00DA62CE" w14:paraId="2137832B" w14:textId="77777777" w:rsidTr="00FD24B4">
        <w:trPr>
          <w:gridAfter w:val="1"/>
          <w:wAfter w:w="90" w:type="dxa"/>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FC91" w14:textId="77777777" w:rsidR="00DA62CE" w:rsidRPr="00DA62CE" w:rsidRDefault="00DA62CE" w:rsidP="00DA62CE">
            <w:pPr>
              <w:jc w:val="center"/>
              <w:rPr>
                <w:rFonts w:ascii="Calibri" w:hAnsi="Calibri"/>
                <w:color w:val="000000"/>
              </w:rPr>
            </w:pPr>
            <w:r w:rsidRPr="00DA62CE">
              <w:rPr>
                <w:rFonts w:ascii="Calibri" w:hAnsi="Calibri"/>
                <w:color w:val="000000"/>
              </w:rPr>
              <w:t>1996</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ABF1F50"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80.00 </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14:paraId="41213BB2"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14:paraId="32FBEA44"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57" w:type="dxa"/>
            <w:tcBorders>
              <w:top w:val="single" w:sz="4" w:space="0" w:color="auto"/>
              <w:left w:val="nil"/>
              <w:bottom w:val="single" w:sz="4" w:space="0" w:color="auto"/>
              <w:right w:val="single" w:sz="4" w:space="0" w:color="auto"/>
            </w:tcBorders>
            <w:shd w:val="clear" w:color="auto" w:fill="auto"/>
            <w:noWrap/>
            <w:vAlign w:val="bottom"/>
            <w:hideMark/>
          </w:tcPr>
          <w:p w14:paraId="0556FAF0"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4E5808E"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20.00 </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381D0B5"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63072D1"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374" w:type="dxa"/>
            <w:gridSpan w:val="2"/>
            <w:tcBorders>
              <w:top w:val="single" w:sz="4" w:space="0" w:color="auto"/>
              <w:left w:val="nil"/>
              <w:bottom w:val="single" w:sz="4" w:space="0" w:color="auto"/>
              <w:right w:val="single" w:sz="4" w:space="0" w:color="auto"/>
            </w:tcBorders>
            <w:shd w:val="clear" w:color="auto" w:fill="auto"/>
            <w:noWrap/>
            <w:vAlign w:val="bottom"/>
            <w:hideMark/>
          </w:tcPr>
          <w:p w14:paraId="4BB18535"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4500E74"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90.00 </w:t>
            </w:r>
          </w:p>
        </w:tc>
        <w:tc>
          <w:tcPr>
            <w:tcW w:w="12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E476DEE" w14:textId="77777777" w:rsidR="00DA62CE" w:rsidRPr="00DA62CE" w:rsidRDefault="00DA62CE" w:rsidP="00DA62CE">
            <w:pPr>
              <w:jc w:val="center"/>
              <w:rPr>
                <w:rFonts w:ascii="Calibri" w:hAnsi="Calibri"/>
                <w:color w:val="000000"/>
              </w:rPr>
            </w:pPr>
            <w:r w:rsidRPr="00DA62CE">
              <w:rPr>
                <w:rFonts w:ascii="Calibri" w:hAnsi="Calibri"/>
                <w:color w:val="000000"/>
              </w:rPr>
              <w:t>100.00</w:t>
            </w:r>
          </w:p>
        </w:tc>
        <w:tc>
          <w:tcPr>
            <w:tcW w:w="81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5510B9E" w14:textId="77777777" w:rsidR="00DA62CE" w:rsidRPr="00DA62CE" w:rsidRDefault="00DA62CE" w:rsidP="00DA62CE">
            <w:pPr>
              <w:jc w:val="center"/>
              <w:rPr>
                <w:rFonts w:ascii="Calibri" w:hAnsi="Calibri"/>
                <w:color w:val="000000"/>
              </w:rPr>
            </w:pPr>
            <w:r w:rsidRPr="00DA62CE">
              <w:rPr>
                <w:rFonts w:ascii="Calibri" w:hAnsi="Calibri"/>
                <w:color w:val="000000"/>
              </w:rPr>
              <w:t>80.0%</w:t>
            </w:r>
          </w:p>
        </w:tc>
      </w:tr>
      <w:tr w:rsidR="00DA62CE" w:rsidRPr="00DA62CE" w14:paraId="0ABC3935" w14:textId="77777777" w:rsidTr="00FD24B4">
        <w:trPr>
          <w:gridAfter w:val="1"/>
          <w:wAfter w:w="90" w:type="dxa"/>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69AFC922" w14:textId="77777777" w:rsidR="00DA62CE" w:rsidRPr="00DA62CE" w:rsidRDefault="00DA62CE" w:rsidP="00DA62CE">
            <w:pPr>
              <w:jc w:val="center"/>
              <w:rPr>
                <w:rFonts w:ascii="Calibri" w:hAnsi="Calibri"/>
                <w:color w:val="000000"/>
              </w:rPr>
            </w:pPr>
            <w:r w:rsidRPr="00DA62CE">
              <w:rPr>
                <w:rFonts w:ascii="Calibri" w:hAnsi="Calibri"/>
                <w:color w:val="000000"/>
              </w:rPr>
              <w:t>1998</w:t>
            </w:r>
          </w:p>
        </w:tc>
        <w:tc>
          <w:tcPr>
            <w:tcW w:w="990" w:type="dxa"/>
            <w:tcBorders>
              <w:top w:val="nil"/>
              <w:left w:val="nil"/>
              <w:bottom w:val="single" w:sz="4" w:space="0" w:color="auto"/>
              <w:right w:val="single" w:sz="4" w:space="0" w:color="auto"/>
            </w:tcBorders>
            <w:shd w:val="clear" w:color="auto" w:fill="auto"/>
            <w:noWrap/>
            <w:vAlign w:val="bottom"/>
            <w:hideMark/>
          </w:tcPr>
          <w:p w14:paraId="17C40641"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80.00 </w:t>
            </w:r>
          </w:p>
        </w:tc>
        <w:tc>
          <w:tcPr>
            <w:tcW w:w="377" w:type="dxa"/>
            <w:tcBorders>
              <w:top w:val="nil"/>
              <w:left w:val="nil"/>
              <w:bottom w:val="single" w:sz="4" w:space="0" w:color="auto"/>
              <w:right w:val="single" w:sz="4" w:space="0" w:color="auto"/>
            </w:tcBorders>
            <w:shd w:val="clear" w:color="auto" w:fill="auto"/>
            <w:noWrap/>
            <w:vAlign w:val="bottom"/>
            <w:hideMark/>
          </w:tcPr>
          <w:p w14:paraId="5630AA7A"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tcBorders>
              <w:top w:val="nil"/>
              <w:left w:val="nil"/>
              <w:bottom w:val="single" w:sz="4" w:space="0" w:color="auto"/>
              <w:right w:val="single" w:sz="4" w:space="0" w:color="auto"/>
            </w:tcBorders>
            <w:shd w:val="clear" w:color="auto" w:fill="auto"/>
            <w:noWrap/>
            <w:vAlign w:val="bottom"/>
            <w:hideMark/>
          </w:tcPr>
          <w:p w14:paraId="2408F35F"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57" w:type="dxa"/>
            <w:tcBorders>
              <w:top w:val="nil"/>
              <w:left w:val="nil"/>
              <w:bottom w:val="single" w:sz="4" w:space="0" w:color="auto"/>
              <w:right w:val="single" w:sz="4" w:space="0" w:color="auto"/>
            </w:tcBorders>
            <w:shd w:val="clear" w:color="auto" w:fill="auto"/>
            <w:noWrap/>
            <w:vAlign w:val="bottom"/>
            <w:hideMark/>
          </w:tcPr>
          <w:p w14:paraId="066D5051"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0" w:type="dxa"/>
            <w:tcBorders>
              <w:top w:val="nil"/>
              <w:left w:val="nil"/>
              <w:bottom w:val="single" w:sz="4" w:space="0" w:color="auto"/>
              <w:right w:val="single" w:sz="4" w:space="0" w:color="auto"/>
            </w:tcBorders>
            <w:shd w:val="clear" w:color="auto" w:fill="auto"/>
            <w:noWrap/>
            <w:vAlign w:val="bottom"/>
            <w:hideMark/>
          </w:tcPr>
          <w:p w14:paraId="2AAEEDDF"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25.00 </w:t>
            </w:r>
          </w:p>
        </w:tc>
        <w:tc>
          <w:tcPr>
            <w:tcW w:w="360" w:type="dxa"/>
            <w:gridSpan w:val="2"/>
            <w:tcBorders>
              <w:top w:val="nil"/>
              <w:left w:val="nil"/>
              <w:bottom w:val="single" w:sz="4" w:space="0" w:color="auto"/>
              <w:right w:val="single" w:sz="4" w:space="0" w:color="auto"/>
            </w:tcBorders>
            <w:shd w:val="clear" w:color="auto" w:fill="auto"/>
            <w:noWrap/>
            <w:vAlign w:val="bottom"/>
            <w:hideMark/>
          </w:tcPr>
          <w:p w14:paraId="13E85191"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gridSpan w:val="3"/>
            <w:tcBorders>
              <w:top w:val="nil"/>
              <w:left w:val="nil"/>
              <w:bottom w:val="single" w:sz="4" w:space="0" w:color="auto"/>
              <w:right w:val="single" w:sz="4" w:space="0" w:color="auto"/>
            </w:tcBorders>
            <w:shd w:val="clear" w:color="auto" w:fill="auto"/>
            <w:noWrap/>
            <w:vAlign w:val="bottom"/>
            <w:hideMark/>
          </w:tcPr>
          <w:p w14:paraId="528DDB13"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374" w:type="dxa"/>
            <w:gridSpan w:val="2"/>
            <w:tcBorders>
              <w:top w:val="nil"/>
              <w:left w:val="nil"/>
              <w:bottom w:val="single" w:sz="4" w:space="0" w:color="auto"/>
              <w:right w:val="single" w:sz="4" w:space="0" w:color="auto"/>
            </w:tcBorders>
            <w:shd w:val="clear" w:color="auto" w:fill="auto"/>
            <w:noWrap/>
            <w:vAlign w:val="bottom"/>
            <w:hideMark/>
          </w:tcPr>
          <w:p w14:paraId="271A58F9"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gridSpan w:val="3"/>
            <w:tcBorders>
              <w:top w:val="nil"/>
              <w:left w:val="nil"/>
              <w:bottom w:val="single" w:sz="4" w:space="0" w:color="auto"/>
              <w:right w:val="single" w:sz="4" w:space="0" w:color="auto"/>
            </w:tcBorders>
            <w:shd w:val="clear" w:color="auto" w:fill="auto"/>
            <w:noWrap/>
            <w:vAlign w:val="bottom"/>
            <w:hideMark/>
          </w:tcPr>
          <w:p w14:paraId="38D3FF9B"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92.50 </w:t>
            </w:r>
          </w:p>
        </w:tc>
        <w:tc>
          <w:tcPr>
            <w:tcW w:w="1260" w:type="dxa"/>
            <w:gridSpan w:val="3"/>
            <w:tcBorders>
              <w:top w:val="nil"/>
              <w:left w:val="nil"/>
              <w:bottom w:val="single" w:sz="4" w:space="0" w:color="auto"/>
              <w:right w:val="single" w:sz="4" w:space="0" w:color="auto"/>
            </w:tcBorders>
            <w:shd w:val="clear" w:color="auto" w:fill="auto"/>
            <w:noWrap/>
            <w:vAlign w:val="bottom"/>
            <w:hideMark/>
          </w:tcPr>
          <w:p w14:paraId="3801AB29" w14:textId="77777777" w:rsidR="00DA62CE" w:rsidRPr="00DA62CE" w:rsidRDefault="00DA62CE" w:rsidP="00DA62CE">
            <w:pPr>
              <w:jc w:val="center"/>
              <w:rPr>
                <w:rFonts w:ascii="Calibri" w:hAnsi="Calibri"/>
                <w:color w:val="000000"/>
              </w:rPr>
            </w:pPr>
            <w:r w:rsidRPr="00DA62CE">
              <w:rPr>
                <w:rFonts w:ascii="Calibri" w:hAnsi="Calibri"/>
                <w:color w:val="000000"/>
              </w:rPr>
              <w:t>105.00</w:t>
            </w:r>
          </w:p>
        </w:tc>
        <w:tc>
          <w:tcPr>
            <w:tcW w:w="810" w:type="dxa"/>
            <w:gridSpan w:val="3"/>
            <w:tcBorders>
              <w:top w:val="nil"/>
              <w:left w:val="nil"/>
              <w:bottom w:val="single" w:sz="4" w:space="0" w:color="auto"/>
              <w:right w:val="single" w:sz="4" w:space="0" w:color="auto"/>
            </w:tcBorders>
            <w:shd w:val="clear" w:color="auto" w:fill="auto"/>
            <w:noWrap/>
            <w:vAlign w:val="bottom"/>
            <w:hideMark/>
          </w:tcPr>
          <w:p w14:paraId="3310132B" w14:textId="77777777" w:rsidR="00DA62CE" w:rsidRPr="00DA62CE" w:rsidRDefault="00DA62CE" w:rsidP="00DA62CE">
            <w:pPr>
              <w:jc w:val="center"/>
              <w:rPr>
                <w:rFonts w:ascii="Calibri" w:hAnsi="Calibri"/>
                <w:color w:val="000000"/>
              </w:rPr>
            </w:pPr>
            <w:r w:rsidRPr="00DA62CE">
              <w:rPr>
                <w:rFonts w:ascii="Calibri" w:hAnsi="Calibri"/>
                <w:color w:val="000000"/>
              </w:rPr>
              <w:t>76.2%</w:t>
            </w:r>
          </w:p>
        </w:tc>
      </w:tr>
      <w:tr w:rsidR="00DA62CE" w:rsidRPr="00DA62CE" w14:paraId="50E08176" w14:textId="77777777" w:rsidTr="00FD24B4">
        <w:trPr>
          <w:gridAfter w:val="2"/>
          <w:wAfter w:w="180" w:type="dxa"/>
          <w:trHeight w:val="300"/>
        </w:trPr>
        <w:tc>
          <w:tcPr>
            <w:tcW w:w="630" w:type="dxa"/>
            <w:tcBorders>
              <w:top w:val="nil"/>
              <w:left w:val="nil"/>
              <w:bottom w:val="nil"/>
              <w:right w:val="nil"/>
            </w:tcBorders>
            <w:shd w:val="clear" w:color="auto" w:fill="auto"/>
            <w:noWrap/>
            <w:vAlign w:val="bottom"/>
            <w:hideMark/>
          </w:tcPr>
          <w:p w14:paraId="71EB5EE6" w14:textId="77777777" w:rsidR="00DA62CE" w:rsidRPr="00DA62CE" w:rsidRDefault="00DA62CE" w:rsidP="00DA62CE">
            <w:pPr>
              <w:jc w:val="right"/>
              <w:rPr>
                <w:rFonts w:ascii="Calibri" w:hAnsi="Calibri"/>
                <w:color w:val="000000"/>
              </w:rPr>
            </w:pPr>
          </w:p>
        </w:tc>
        <w:tc>
          <w:tcPr>
            <w:tcW w:w="990" w:type="dxa"/>
            <w:tcBorders>
              <w:top w:val="nil"/>
              <w:left w:val="nil"/>
              <w:bottom w:val="nil"/>
              <w:right w:val="nil"/>
            </w:tcBorders>
            <w:shd w:val="clear" w:color="auto" w:fill="auto"/>
            <w:noWrap/>
            <w:vAlign w:val="bottom"/>
            <w:hideMark/>
          </w:tcPr>
          <w:p w14:paraId="6DA483AE"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5B5C9A3A" w14:textId="77777777" w:rsidR="00DA62CE" w:rsidRPr="00DA62CE" w:rsidRDefault="00DA62CE" w:rsidP="00DA62CE"/>
        </w:tc>
        <w:tc>
          <w:tcPr>
            <w:tcW w:w="1156" w:type="dxa"/>
            <w:tcBorders>
              <w:top w:val="nil"/>
              <w:left w:val="nil"/>
              <w:bottom w:val="nil"/>
              <w:right w:val="nil"/>
            </w:tcBorders>
            <w:shd w:val="clear" w:color="auto" w:fill="auto"/>
            <w:noWrap/>
            <w:vAlign w:val="bottom"/>
            <w:hideMark/>
          </w:tcPr>
          <w:p w14:paraId="0A959231" w14:textId="77777777" w:rsidR="00DA62CE" w:rsidRPr="00DA62CE" w:rsidRDefault="00DA62CE" w:rsidP="00DA62CE"/>
        </w:tc>
        <w:tc>
          <w:tcPr>
            <w:tcW w:w="357" w:type="dxa"/>
            <w:tcBorders>
              <w:top w:val="nil"/>
              <w:left w:val="nil"/>
              <w:bottom w:val="nil"/>
              <w:right w:val="nil"/>
            </w:tcBorders>
            <w:shd w:val="clear" w:color="auto" w:fill="auto"/>
            <w:noWrap/>
            <w:vAlign w:val="bottom"/>
            <w:hideMark/>
          </w:tcPr>
          <w:p w14:paraId="27162397" w14:textId="77777777" w:rsidR="00DA62CE" w:rsidRPr="00DA62CE" w:rsidRDefault="00DA62CE" w:rsidP="00DA62CE"/>
        </w:tc>
        <w:tc>
          <w:tcPr>
            <w:tcW w:w="900" w:type="dxa"/>
            <w:tcBorders>
              <w:top w:val="nil"/>
              <w:left w:val="nil"/>
              <w:bottom w:val="nil"/>
              <w:right w:val="nil"/>
            </w:tcBorders>
            <w:shd w:val="clear" w:color="auto" w:fill="auto"/>
            <w:noWrap/>
            <w:vAlign w:val="bottom"/>
            <w:hideMark/>
          </w:tcPr>
          <w:p w14:paraId="17601DC4" w14:textId="77777777" w:rsidR="00DA62CE" w:rsidRPr="00DA62CE" w:rsidRDefault="00DA62CE" w:rsidP="00DA62CE"/>
        </w:tc>
        <w:tc>
          <w:tcPr>
            <w:tcW w:w="270" w:type="dxa"/>
            <w:tcBorders>
              <w:top w:val="nil"/>
              <w:left w:val="nil"/>
              <w:bottom w:val="nil"/>
              <w:right w:val="nil"/>
            </w:tcBorders>
            <w:shd w:val="clear" w:color="auto" w:fill="auto"/>
            <w:noWrap/>
            <w:vAlign w:val="bottom"/>
            <w:hideMark/>
          </w:tcPr>
          <w:p w14:paraId="5D62ADBC" w14:textId="77777777" w:rsidR="00DA62CE" w:rsidRPr="00DA62CE" w:rsidRDefault="00DA62CE" w:rsidP="00DA62CE"/>
        </w:tc>
        <w:tc>
          <w:tcPr>
            <w:tcW w:w="1156" w:type="dxa"/>
            <w:gridSpan w:val="3"/>
            <w:tcBorders>
              <w:top w:val="nil"/>
              <w:left w:val="nil"/>
              <w:bottom w:val="nil"/>
              <w:right w:val="nil"/>
            </w:tcBorders>
            <w:shd w:val="clear" w:color="auto" w:fill="auto"/>
            <w:noWrap/>
            <w:vAlign w:val="bottom"/>
            <w:hideMark/>
          </w:tcPr>
          <w:p w14:paraId="2DAFF4B7" w14:textId="77777777" w:rsidR="00DA62CE" w:rsidRPr="00DA62CE" w:rsidRDefault="00DA62CE" w:rsidP="00DA62CE"/>
        </w:tc>
        <w:tc>
          <w:tcPr>
            <w:tcW w:w="374" w:type="dxa"/>
            <w:gridSpan w:val="2"/>
            <w:tcBorders>
              <w:top w:val="nil"/>
              <w:left w:val="nil"/>
              <w:bottom w:val="nil"/>
              <w:right w:val="nil"/>
            </w:tcBorders>
            <w:shd w:val="clear" w:color="auto" w:fill="auto"/>
            <w:noWrap/>
            <w:vAlign w:val="bottom"/>
            <w:hideMark/>
          </w:tcPr>
          <w:p w14:paraId="524BEE24" w14:textId="77777777" w:rsidR="00DA62CE" w:rsidRPr="00DA62CE" w:rsidRDefault="00DA62CE" w:rsidP="00DA62CE"/>
        </w:tc>
        <w:tc>
          <w:tcPr>
            <w:tcW w:w="1080" w:type="dxa"/>
            <w:gridSpan w:val="3"/>
            <w:tcBorders>
              <w:top w:val="nil"/>
              <w:left w:val="nil"/>
              <w:bottom w:val="nil"/>
              <w:right w:val="nil"/>
            </w:tcBorders>
            <w:shd w:val="clear" w:color="auto" w:fill="auto"/>
            <w:noWrap/>
            <w:vAlign w:val="bottom"/>
            <w:hideMark/>
          </w:tcPr>
          <w:p w14:paraId="45FBB6DE"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Ratio </w:t>
            </w:r>
          </w:p>
        </w:tc>
        <w:tc>
          <w:tcPr>
            <w:tcW w:w="1260" w:type="dxa"/>
            <w:gridSpan w:val="3"/>
            <w:tcBorders>
              <w:top w:val="nil"/>
              <w:left w:val="nil"/>
              <w:bottom w:val="nil"/>
              <w:right w:val="nil"/>
            </w:tcBorders>
            <w:shd w:val="clear" w:color="auto" w:fill="auto"/>
            <w:noWrap/>
            <w:vAlign w:val="bottom"/>
            <w:hideMark/>
          </w:tcPr>
          <w:p w14:paraId="64A329AE" w14:textId="77777777" w:rsidR="00DA62CE" w:rsidRPr="00DA62CE" w:rsidRDefault="00DA62CE" w:rsidP="00DA62CE">
            <w:pPr>
              <w:rPr>
                <w:rFonts w:ascii="Calibri" w:hAnsi="Calibri"/>
                <w:color w:val="000000"/>
              </w:rPr>
            </w:pPr>
            <w:r w:rsidRPr="00DA62CE">
              <w:rPr>
                <w:rFonts w:ascii="Calibri" w:hAnsi="Calibri"/>
                <w:color w:val="000000"/>
              </w:rPr>
              <w:t xml:space="preserve">    95.2%</w:t>
            </w:r>
          </w:p>
        </w:tc>
        <w:tc>
          <w:tcPr>
            <w:tcW w:w="810" w:type="dxa"/>
            <w:gridSpan w:val="3"/>
            <w:tcBorders>
              <w:top w:val="nil"/>
              <w:left w:val="nil"/>
              <w:bottom w:val="nil"/>
              <w:right w:val="nil"/>
            </w:tcBorders>
            <w:shd w:val="clear" w:color="auto" w:fill="auto"/>
            <w:noWrap/>
            <w:vAlign w:val="bottom"/>
            <w:hideMark/>
          </w:tcPr>
          <w:p w14:paraId="6282D98A" w14:textId="77777777" w:rsidR="00DA62CE" w:rsidRPr="00DA62CE" w:rsidRDefault="00DA62CE" w:rsidP="00DA62CE">
            <w:pPr>
              <w:jc w:val="center"/>
              <w:rPr>
                <w:rFonts w:ascii="Calibri" w:hAnsi="Calibri"/>
                <w:color w:val="000000"/>
              </w:rPr>
            </w:pPr>
          </w:p>
        </w:tc>
      </w:tr>
      <w:tr w:rsidR="00DA62CE" w:rsidRPr="00DA62CE" w14:paraId="63894A89" w14:textId="77777777" w:rsidTr="00FD24B4">
        <w:trPr>
          <w:trHeight w:val="300"/>
        </w:trPr>
        <w:tc>
          <w:tcPr>
            <w:tcW w:w="630" w:type="dxa"/>
            <w:tcBorders>
              <w:top w:val="nil"/>
              <w:left w:val="nil"/>
              <w:bottom w:val="nil"/>
              <w:right w:val="nil"/>
            </w:tcBorders>
            <w:shd w:val="clear" w:color="auto" w:fill="auto"/>
            <w:noWrap/>
            <w:vAlign w:val="bottom"/>
            <w:hideMark/>
          </w:tcPr>
          <w:p w14:paraId="4FD36F26" w14:textId="77777777" w:rsidR="00DA62CE" w:rsidRPr="00DA62CE" w:rsidRDefault="00DA62CE" w:rsidP="00DA62CE"/>
        </w:tc>
        <w:tc>
          <w:tcPr>
            <w:tcW w:w="990" w:type="dxa"/>
            <w:tcBorders>
              <w:top w:val="nil"/>
              <w:left w:val="nil"/>
              <w:bottom w:val="nil"/>
              <w:right w:val="nil"/>
            </w:tcBorders>
            <w:shd w:val="clear" w:color="auto" w:fill="auto"/>
            <w:noWrap/>
            <w:vAlign w:val="bottom"/>
            <w:hideMark/>
          </w:tcPr>
          <w:p w14:paraId="7D5BD221"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46992736" w14:textId="77777777" w:rsidR="00DA62CE" w:rsidRPr="00DA62CE" w:rsidRDefault="00DA62CE" w:rsidP="00DA62CE"/>
        </w:tc>
        <w:tc>
          <w:tcPr>
            <w:tcW w:w="1156" w:type="dxa"/>
            <w:tcBorders>
              <w:top w:val="nil"/>
              <w:left w:val="nil"/>
              <w:bottom w:val="nil"/>
              <w:right w:val="nil"/>
            </w:tcBorders>
            <w:shd w:val="clear" w:color="auto" w:fill="auto"/>
            <w:noWrap/>
            <w:vAlign w:val="bottom"/>
            <w:hideMark/>
          </w:tcPr>
          <w:p w14:paraId="7C8219C1" w14:textId="77777777" w:rsidR="00DA62CE" w:rsidRPr="00DA62CE" w:rsidRDefault="00DA62CE" w:rsidP="00DA62CE"/>
        </w:tc>
        <w:tc>
          <w:tcPr>
            <w:tcW w:w="357" w:type="dxa"/>
            <w:tcBorders>
              <w:top w:val="nil"/>
              <w:left w:val="nil"/>
              <w:bottom w:val="nil"/>
              <w:right w:val="nil"/>
            </w:tcBorders>
            <w:shd w:val="clear" w:color="auto" w:fill="auto"/>
            <w:noWrap/>
            <w:vAlign w:val="bottom"/>
            <w:hideMark/>
          </w:tcPr>
          <w:p w14:paraId="26230AD5" w14:textId="77777777" w:rsidR="00DA62CE" w:rsidRPr="00DA62CE" w:rsidRDefault="00DA62CE" w:rsidP="00DA62CE"/>
        </w:tc>
        <w:tc>
          <w:tcPr>
            <w:tcW w:w="900" w:type="dxa"/>
            <w:tcBorders>
              <w:top w:val="nil"/>
              <w:left w:val="nil"/>
              <w:bottom w:val="nil"/>
              <w:right w:val="nil"/>
            </w:tcBorders>
            <w:shd w:val="clear" w:color="auto" w:fill="auto"/>
            <w:noWrap/>
            <w:vAlign w:val="bottom"/>
            <w:hideMark/>
          </w:tcPr>
          <w:p w14:paraId="296361D3" w14:textId="77777777" w:rsidR="00DA62CE" w:rsidRPr="00DA62CE" w:rsidRDefault="00DA62CE" w:rsidP="00DA62CE"/>
        </w:tc>
        <w:tc>
          <w:tcPr>
            <w:tcW w:w="270" w:type="dxa"/>
            <w:tcBorders>
              <w:top w:val="nil"/>
              <w:left w:val="nil"/>
              <w:bottom w:val="nil"/>
              <w:right w:val="nil"/>
            </w:tcBorders>
            <w:shd w:val="clear" w:color="auto" w:fill="auto"/>
            <w:noWrap/>
            <w:vAlign w:val="bottom"/>
            <w:hideMark/>
          </w:tcPr>
          <w:p w14:paraId="64ACAA53" w14:textId="77777777" w:rsidR="00DA62CE" w:rsidRPr="00DA62CE" w:rsidRDefault="00DA62CE" w:rsidP="00DA62CE"/>
        </w:tc>
        <w:tc>
          <w:tcPr>
            <w:tcW w:w="1080" w:type="dxa"/>
            <w:gridSpan w:val="2"/>
            <w:tcBorders>
              <w:top w:val="nil"/>
              <w:left w:val="nil"/>
              <w:bottom w:val="nil"/>
              <w:right w:val="nil"/>
            </w:tcBorders>
            <w:shd w:val="clear" w:color="auto" w:fill="auto"/>
            <w:noWrap/>
            <w:vAlign w:val="bottom"/>
            <w:hideMark/>
          </w:tcPr>
          <w:p w14:paraId="4F0F27B7" w14:textId="77777777" w:rsidR="00DA62CE" w:rsidRPr="00DA62CE" w:rsidRDefault="00DA62CE" w:rsidP="00DA62CE">
            <w:pPr>
              <w:rPr>
                <w:rFonts w:ascii="Calibri" w:hAnsi="Calibri"/>
                <w:b/>
                <w:bCs/>
                <w:color w:val="000000"/>
              </w:rPr>
            </w:pPr>
            <w:r w:rsidRPr="00DA62CE">
              <w:rPr>
                <w:rFonts w:ascii="Calibri" w:hAnsi="Calibri"/>
                <w:b/>
                <w:bCs/>
                <w:color w:val="000000"/>
              </w:rPr>
              <w:t>Weighted</w:t>
            </w:r>
          </w:p>
        </w:tc>
        <w:tc>
          <w:tcPr>
            <w:tcW w:w="630" w:type="dxa"/>
            <w:gridSpan w:val="5"/>
            <w:tcBorders>
              <w:top w:val="nil"/>
              <w:left w:val="nil"/>
              <w:bottom w:val="nil"/>
              <w:right w:val="nil"/>
            </w:tcBorders>
            <w:shd w:val="clear" w:color="auto" w:fill="auto"/>
            <w:noWrap/>
            <w:vAlign w:val="bottom"/>
            <w:hideMark/>
          </w:tcPr>
          <w:p w14:paraId="13737119" w14:textId="77777777" w:rsidR="00DA62CE" w:rsidRPr="00DA62CE" w:rsidRDefault="00DA62CE" w:rsidP="00DA62CE">
            <w:pPr>
              <w:ind w:right="-285"/>
              <w:rPr>
                <w:rFonts w:ascii="Calibri" w:hAnsi="Calibri"/>
                <w:b/>
                <w:bCs/>
                <w:color w:val="000000"/>
              </w:rPr>
            </w:pPr>
            <w:r w:rsidRPr="00DA62CE">
              <w:rPr>
                <w:rFonts w:ascii="Calibri" w:hAnsi="Calibri"/>
                <w:b/>
                <w:bCs/>
                <w:color w:val="000000"/>
              </w:rPr>
              <w:t>1998</w:t>
            </w:r>
          </w:p>
        </w:tc>
        <w:tc>
          <w:tcPr>
            <w:tcW w:w="1080" w:type="dxa"/>
            <w:gridSpan w:val="3"/>
            <w:tcBorders>
              <w:top w:val="nil"/>
              <w:left w:val="nil"/>
              <w:bottom w:val="nil"/>
              <w:right w:val="nil"/>
            </w:tcBorders>
            <w:shd w:val="clear" w:color="auto" w:fill="auto"/>
            <w:noWrap/>
            <w:vAlign w:val="bottom"/>
            <w:hideMark/>
          </w:tcPr>
          <w:p w14:paraId="4EC688D9" w14:textId="77777777" w:rsidR="00DA62CE" w:rsidRPr="00DA62CE" w:rsidRDefault="00DA62CE" w:rsidP="00DA62CE">
            <w:pPr>
              <w:rPr>
                <w:rFonts w:ascii="Calibri" w:hAnsi="Calibri"/>
                <w:b/>
                <w:bCs/>
                <w:color w:val="000000"/>
              </w:rPr>
            </w:pPr>
            <w:r w:rsidRPr="00DA62CE">
              <w:rPr>
                <w:rFonts w:ascii="Calibri" w:hAnsi="Calibri"/>
                <w:b/>
                <w:bCs/>
                <w:color w:val="000000"/>
              </w:rPr>
              <w:t>FTE Count</w:t>
            </w:r>
          </w:p>
        </w:tc>
        <w:tc>
          <w:tcPr>
            <w:tcW w:w="1260" w:type="dxa"/>
            <w:gridSpan w:val="3"/>
            <w:tcBorders>
              <w:top w:val="nil"/>
              <w:left w:val="nil"/>
              <w:bottom w:val="nil"/>
              <w:right w:val="nil"/>
            </w:tcBorders>
            <w:shd w:val="clear" w:color="auto" w:fill="auto"/>
            <w:noWrap/>
            <w:vAlign w:val="bottom"/>
            <w:hideMark/>
          </w:tcPr>
          <w:p w14:paraId="317CD296" w14:textId="77777777" w:rsidR="00DA62CE" w:rsidRPr="00DA62CE" w:rsidRDefault="00DA62CE" w:rsidP="00DA62CE">
            <w:pPr>
              <w:rPr>
                <w:rFonts w:ascii="Calibri" w:hAnsi="Calibri"/>
                <w:color w:val="000000"/>
              </w:rPr>
            </w:pPr>
            <w:r w:rsidRPr="00DA62CE">
              <w:rPr>
                <w:rFonts w:ascii="Calibri" w:hAnsi="Calibri"/>
                <w:color w:val="000000"/>
              </w:rPr>
              <w:t>92.50</w:t>
            </w:r>
          </w:p>
        </w:tc>
        <w:tc>
          <w:tcPr>
            <w:tcW w:w="810" w:type="dxa"/>
            <w:gridSpan w:val="3"/>
            <w:tcBorders>
              <w:top w:val="nil"/>
              <w:left w:val="nil"/>
              <w:bottom w:val="nil"/>
              <w:right w:val="nil"/>
            </w:tcBorders>
            <w:shd w:val="clear" w:color="auto" w:fill="auto"/>
            <w:noWrap/>
            <w:vAlign w:val="bottom"/>
            <w:hideMark/>
          </w:tcPr>
          <w:p w14:paraId="1CA79199" w14:textId="77777777" w:rsidR="00DA62CE" w:rsidRPr="00DA62CE" w:rsidRDefault="00DA62CE" w:rsidP="00DA62CE">
            <w:pPr>
              <w:jc w:val="center"/>
              <w:rPr>
                <w:rFonts w:ascii="Calibri" w:hAnsi="Calibri"/>
                <w:color w:val="000000"/>
              </w:rPr>
            </w:pPr>
          </w:p>
        </w:tc>
      </w:tr>
      <w:tr w:rsidR="00DA62CE" w:rsidRPr="00DA62CE" w14:paraId="2B6F5725" w14:textId="77777777" w:rsidTr="00FD24B4">
        <w:trPr>
          <w:gridAfter w:val="2"/>
          <w:wAfter w:w="180" w:type="dxa"/>
          <w:trHeight w:val="315"/>
        </w:trPr>
        <w:tc>
          <w:tcPr>
            <w:tcW w:w="630" w:type="dxa"/>
            <w:tcBorders>
              <w:top w:val="nil"/>
              <w:left w:val="nil"/>
              <w:bottom w:val="nil"/>
              <w:right w:val="nil"/>
            </w:tcBorders>
            <w:shd w:val="clear" w:color="auto" w:fill="auto"/>
            <w:noWrap/>
            <w:vAlign w:val="bottom"/>
            <w:hideMark/>
          </w:tcPr>
          <w:p w14:paraId="24FD4D34" w14:textId="77777777" w:rsidR="00DA62CE" w:rsidRPr="00DA62CE" w:rsidRDefault="00DA62CE" w:rsidP="00DA62CE"/>
        </w:tc>
        <w:tc>
          <w:tcPr>
            <w:tcW w:w="990" w:type="dxa"/>
            <w:tcBorders>
              <w:top w:val="nil"/>
              <w:left w:val="nil"/>
              <w:bottom w:val="nil"/>
              <w:right w:val="nil"/>
            </w:tcBorders>
            <w:shd w:val="clear" w:color="auto" w:fill="auto"/>
            <w:noWrap/>
            <w:vAlign w:val="bottom"/>
            <w:hideMark/>
          </w:tcPr>
          <w:p w14:paraId="248778CB"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7C31C05C" w14:textId="77777777" w:rsidR="00DA62CE" w:rsidRPr="00DA62CE" w:rsidRDefault="00DA62CE" w:rsidP="00DA62CE"/>
        </w:tc>
        <w:tc>
          <w:tcPr>
            <w:tcW w:w="1156" w:type="dxa"/>
            <w:tcBorders>
              <w:top w:val="nil"/>
              <w:left w:val="nil"/>
              <w:bottom w:val="nil"/>
              <w:right w:val="nil"/>
            </w:tcBorders>
            <w:shd w:val="clear" w:color="auto" w:fill="auto"/>
            <w:noWrap/>
            <w:vAlign w:val="bottom"/>
            <w:hideMark/>
          </w:tcPr>
          <w:p w14:paraId="1BAD879B" w14:textId="77777777" w:rsidR="00DA62CE" w:rsidRPr="00DA62CE" w:rsidRDefault="00DA62CE" w:rsidP="00DA62CE"/>
        </w:tc>
        <w:tc>
          <w:tcPr>
            <w:tcW w:w="357" w:type="dxa"/>
            <w:tcBorders>
              <w:top w:val="nil"/>
              <w:left w:val="nil"/>
              <w:bottom w:val="nil"/>
              <w:right w:val="nil"/>
            </w:tcBorders>
            <w:shd w:val="clear" w:color="auto" w:fill="auto"/>
            <w:noWrap/>
            <w:vAlign w:val="bottom"/>
            <w:hideMark/>
          </w:tcPr>
          <w:p w14:paraId="6B37F449" w14:textId="77777777" w:rsidR="00DA62CE" w:rsidRPr="00DA62CE" w:rsidRDefault="00DA62CE" w:rsidP="00DA62CE"/>
        </w:tc>
        <w:tc>
          <w:tcPr>
            <w:tcW w:w="900" w:type="dxa"/>
            <w:tcBorders>
              <w:top w:val="nil"/>
              <w:left w:val="nil"/>
              <w:bottom w:val="nil"/>
              <w:right w:val="nil"/>
            </w:tcBorders>
            <w:shd w:val="clear" w:color="auto" w:fill="auto"/>
            <w:noWrap/>
            <w:vAlign w:val="bottom"/>
            <w:hideMark/>
          </w:tcPr>
          <w:p w14:paraId="5CA39073" w14:textId="77777777" w:rsidR="00DA62CE" w:rsidRPr="00DA62CE" w:rsidRDefault="00DA62CE" w:rsidP="00DA62CE"/>
        </w:tc>
        <w:tc>
          <w:tcPr>
            <w:tcW w:w="270" w:type="dxa"/>
            <w:tcBorders>
              <w:top w:val="nil"/>
              <w:left w:val="nil"/>
              <w:bottom w:val="nil"/>
              <w:right w:val="nil"/>
            </w:tcBorders>
            <w:shd w:val="clear" w:color="auto" w:fill="auto"/>
            <w:noWrap/>
            <w:vAlign w:val="bottom"/>
            <w:hideMark/>
          </w:tcPr>
          <w:p w14:paraId="09E97667" w14:textId="77777777" w:rsidR="00DA62CE" w:rsidRPr="00DA62CE" w:rsidRDefault="00DA62CE" w:rsidP="00DA62CE"/>
        </w:tc>
        <w:tc>
          <w:tcPr>
            <w:tcW w:w="1156" w:type="dxa"/>
            <w:gridSpan w:val="3"/>
            <w:tcBorders>
              <w:top w:val="nil"/>
              <w:left w:val="nil"/>
              <w:bottom w:val="nil"/>
              <w:right w:val="nil"/>
            </w:tcBorders>
            <w:shd w:val="clear" w:color="auto" w:fill="auto"/>
            <w:noWrap/>
            <w:vAlign w:val="bottom"/>
            <w:hideMark/>
          </w:tcPr>
          <w:p w14:paraId="5C70131A" w14:textId="77777777" w:rsidR="00DA62CE" w:rsidRPr="00DA62CE" w:rsidRDefault="00DA62CE" w:rsidP="00DA62CE"/>
        </w:tc>
        <w:tc>
          <w:tcPr>
            <w:tcW w:w="374" w:type="dxa"/>
            <w:gridSpan w:val="2"/>
            <w:tcBorders>
              <w:top w:val="nil"/>
              <w:left w:val="nil"/>
              <w:bottom w:val="nil"/>
              <w:right w:val="nil"/>
            </w:tcBorders>
            <w:shd w:val="clear" w:color="auto" w:fill="auto"/>
            <w:noWrap/>
            <w:vAlign w:val="bottom"/>
            <w:hideMark/>
          </w:tcPr>
          <w:p w14:paraId="5299A370" w14:textId="77777777" w:rsidR="00DA62CE" w:rsidRPr="00DA62CE" w:rsidRDefault="00DA62CE" w:rsidP="00DA62CE"/>
        </w:tc>
        <w:tc>
          <w:tcPr>
            <w:tcW w:w="1080" w:type="dxa"/>
            <w:gridSpan w:val="3"/>
            <w:tcBorders>
              <w:top w:val="nil"/>
              <w:left w:val="nil"/>
              <w:bottom w:val="nil"/>
              <w:right w:val="nil"/>
            </w:tcBorders>
            <w:shd w:val="clear" w:color="auto" w:fill="auto"/>
            <w:noWrap/>
            <w:vAlign w:val="bottom"/>
            <w:hideMark/>
          </w:tcPr>
          <w:p w14:paraId="6B1FD51A" w14:textId="77777777" w:rsidR="00DA62CE" w:rsidRPr="00DA62CE" w:rsidRDefault="00DA62CE" w:rsidP="00DA62CE">
            <w:pPr>
              <w:jc w:val="right"/>
              <w:rPr>
                <w:rFonts w:ascii="Calibri" w:hAnsi="Calibri"/>
                <w:b/>
                <w:bCs/>
                <w:color w:val="000000"/>
              </w:rPr>
            </w:pPr>
            <w:r w:rsidRPr="00DA62CE">
              <w:rPr>
                <w:rFonts w:ascii="Calibri" w:hAnsi="Calibri"/>
                <w:b/>
                <w:bCs/>
                <w:color w:val="000000"/>
              </w:rPr>
              <w:t xml:space="preserve"> Allowed </w:t>
            </w:r>
          </w:p>
        </w:tc>
        <w:tc>
          <w:tcPr>
            <w:tcW w:w="1260" w:type="dxa"/>
            <w:gridSpan w:val="3"/>
            <w:tcBorders>
              <w:top w:val="single" w:sz="4" w:space="0" w:color="auto"/>
              <w:left w:val="nil"/>
              <w:bottom w:val="double" w:sz="6" w:space="0" w:color="auto"/>
              <w:right w:val="nil"/>
            </w:tcBorders>
            <w:shd w:val="clear" w:color="auto" w:fill="auto"/>
            <w:noWrap/>
            <w:vAlign w:val="bottom"/>
            <w:hideMark/>
          </w:tcPr>
          <w:p w14:paraId="3F3F4958" w14:textId="77777777" w:rsidR="00DA62CE" w:rsidRPr="00DA62CE" w:rsidRDefault="00DA62CE" w:rsidP="00DA62CE">
            <w:pPr>
              <w:rPr>
                <w:rFonts w:ascii="Calibri" w:hAnsi="Calibri"/>
                <w:color w:val="000000"/>
              </w:rPr>
            </w:pPr>
            <w:r w:rsidRPr="00DA62CE">
              <w:rPr>
                <w:rFonts w:ascii="Calibri" w:hAnsi="Calibri"/>
                <w:color w:val="000000"/>
              </w:rPr>
              <w:t xml:space="preserve">    88.1</w:t>
            </w:r>
          </w:p>
        </w:tc>
        <w:tc>
          <w:tcPr>
            <w:tcW w:w="810" w:type="dxa"/>
            <w:gridSpan w:val="3"/>
            <w:tcBorders>
              <w:top w:val="nil"/>
              <w:left w:val="nil"/>
              <w:bottom w:val="nil"/>
              <w:right w:val="nil"/>
            </w:tcBorders>
            <w:shd w:val="clear" w:color="auto" w:fill="auto"/>
            <w:noWrap/>
            <w:vAlign w:val="bottom"/>
            <w:hideMark/>
          </w:tcPr>
          <w:p w14:paraId="79ED9B64" w14:textId="77777777" w:rsidR="00DA62CE" w:rsidRPr="00DA62CE" w:rsidRDefault="00DA62CE" w:rsidP="00DA62CE">
            <w:pPr>
              <w:jc w:val="center"/>
              <w:rPr>
                <w:rFonts w:ascii="Calibri" w:hAnsi="Calibri"/>
                <w:color w:val="000000"/>
              </w:rPr>
            </w:pPr>
          </w:p>
        </w:tc>
      </w:tr>
    </w:tbl>
    <w:p w14:paraId="297B70E2" w14:textId="77777777" w:rsidR="0024160D" w:rsidRPr="0024160D" w:rsidRDefault="0024160D" w:rsidP="0024160D">
      <w:pPr>
        <w:spacing w:line="480" w:lineRule="auto"/>
        <w:ind w:right="144"/>
        <w:jc w:val="both"/>
        <w:rPr>
          <w:rFonts w:ascii="Arial" w:eastAsia="Calibri" w:hAnsi="Arial" w:cs="Arial"/>
          <w:sz w:val="24"/>
          <w:szCs w:val="24"/>
        </w:rPr>
      </w:pPr>
    </w:p>
    <w:p w14:paraId="14A5DE5D"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Next, consider an increase in the number of IRPs from the base year example of 20 and an elimination of the fellows. The weighted and unweighted count is now 100. The allowable FTE count is then 100.  Eliminating the fellows does eliminate the adverse effect of the 1.0 versus 0.5 weighting factor difference between IRPs and fellows.</w:t>
      </w:r>
    </w:p>
    <w:tbl>
      <w:tblPr>
        <w:tblW w:w="10080" w:type="dxa"/>
        <w:tblLayout w:type="fixed"/>
        <w:tblLook w:val="04A0" w:firstRow="1" w:lastRow="0" w:firstColumn="1" w:lastColumn="0" w:noHBand="0" w:noVBand="1"/>
      </w:tblPr>
      <w:tblGrid>
        <w:gridCol w:w="539"/>
        <w:gridCol w:w="122"/>
        <w:gridCol w:w="539"/>
        <w:gridCol w:w="580"/>
        <w:gridCol w:w="380"/>
        <w:gridCol w:w="87"/>
        <w:gridCol w:w="363"/>
        <w:gridCol w:w="706"/>
        <w:gridCol w:w="360"/>
        <w:gridCol w:w="14"/>
        <w:gridCol w:w="360"/>
        <w:gridCol w:w="586"/>
        <w:gridCol w:w="314"/>
        <w:gridCol w:w="66"/>
        <w:gridCol w:w="314"/>
        <w:gridCol w:w="842"/>
        <w:gridCol w:w="218"/>
        <w:gridCol w:w="450"/>
        <w:gridCol w:w="1080"/>
        <w:gridCol w:w="182"/>
        <w:gridCol w:w="988"/>
        <w:gridCol w:w="90"/>
        <w:gridCol w:w="870"/>
        <w:gridCol w:w="30"/>
      </w:tblGrid>
      <w:tr w:rsidR="00DA62CE" w:rsidRPr="00DA62CE" w14:paraId="2D83421D" w14:textId="77777777" w:rsidTr="00FD24B4">
        <w:trPr>
          <w:gridBefore w:val="1"/>
          <w:wBefore w:w="539" w:type="dxa"/>
          <w:trHeight w:val="900"/>
        </w:trPr>
        <w:tc>
          <w:tcPr>
            <w:tcW w:w="661" w:type="dxa"/>
            <w:gridSpan w:val="2"/>
            <w:tcBorders>
              <w:top w:val="nil"/>
              <w:left w:val="nil"/>
              <w:bottom w:val="nil"/>
              <w:right w:val="nil"/>
            </w:tcBorders>
            <w:shd w:val="clear" w:color="auto" w:fill="auto"/>
            <w:noWrap/>
            <w:vAlign w:val="bottom"/>
            <w:hideMark/>
          </w:tcPr>
          <w:p w14:paraId="3EDF8594" w14:textId="77777777" w:rsidR="00DA62CE" w:rsidRPr="00DA62CE" w:rsidRDefault="00DA62CE" w:rsidP="00DA62CE">
            <w:pPr>
              <w:jc w:val="center"/>
              <w:rPr>
                <w:rFonts w:ascii="Calibri" w:hAnsi="Calibri"/>
                <w:b/>
                <w:bCs/>
                <w:color w:val="000000"/>
              </w:rPr>
            </w:pPr>
            <w:r w:rsidRPr="00DA62CE">
              <w:rPr>
                <w:rFonts w:ascii="Calibri" w:hAnsi="Calibri"/>
                <w:b/>
                <w:bCs/>
                <w:color w:val="000000"/>
              </w:rPr>
              <w:lastRenderedPageBreak/>
              <w:t>FY</w:t>
            </w:r>
          </w:p>
        </w:tc>
        <w:tc>
          <w:tcPr>
            <w:tcW w:w="1047" w:type="dxa"/>
            <w:gridSpan w:val="3"/>
            <w:tcBorders>
              <w:top w:val="nil"/>
              <w:left w:val="nil"/>
              <w:bottom w:val="nil"/>
              <w:right w:val="nil"/>
            </w:tcBorders>
            <w:shd w:val="clear" w:color="auto" w:fill="auto"/>
            <w:vAlign w:val="bottom"/>
            <w:hideMark/>
          </w:tcPr>
          <w:p w14:paraId="201446A0"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Residents in IRP </w:t>
            </w:r>
          </w:p>
        </w:tc>
        <w:tc>
          <w:tcPr>
            <w:tcW w:w="363" w:type="dxa"/>
            <w:tcBorders>
              <w:top w:val="nil"/>
              <w:left w:val="nil"/>
              <w:bottom w:val="nil"/>
              <w:right w:val="nil"/>
            </w:tcBorders>
            <w:shd w:val="clear" w:color="auto" w:fill="auto"/>
            <w:vAlign w:val="bottom"/>
            <w:hideMark/>
          </w:tcPr>
          <w:p w14:paraId="44E62305" w14:textId="77777777" w:rsidR="00DA62CE" w:rsidRPr="00DA62CE" w:rsidRDefault="00DA62CE" w:rsidP="00DA62CE">
            <w:pPr>
              <w:jc w:val="center"/>
              <w:rPr>
                <w:rFonts w:ascii="Calibri" w:hAnsi="Calibri"/>
                <w:b/>
                <w:bCs/>
                <w:color w:val="000000"/>
              </w:rPr>
            </w:pPr>
          </w:p>
        </w:tc>
        <w:tc>
          <w:tcPr>
            <w:tcW w:w="1080" w:type="dxa"/>
            <w:gridSpan w:val="3"/>
            <w:tcBorders>
              <w:top w:val="nil"/>
              <w:left w:val="nil"/>
              <w:bottom w:val="nil"/>
              <w:right w:val="nil"/>
            </w:tcBorders>
            <w:shd w:val="clear" w:color="auto" w:fill="auto"/>
            <w:vAlign w:val="bottom"/>
            <w:hideMark/>
          </w:tcPr>
          <w:p w14:paraId="4BDA47D0"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IRP Weighting </w:t>
            </w:r>
          </w:p>
        </w:tc>
        <w:tc>
          <w:tcPr>
            <w:tcW w:w="360" w:type="dxa"/>
            <w:tcBorders>
              <w:top w:val="nil"/>
              <w:left w:val="nil"/>
              <w:bottom w:val="nil"/>
              <w:right w:val="nil"/>
            </w:tcBorders>
            <w:shd w:val="clear" w:color="auto" w:fill="auto"/>
            <w:vAlign w:val="bottom"/>
            <w:hideMark/>
          </w:tcPr>
          <w:p w14:paraId="1001DDF7" w14:textId="77777777" w:rsidR="00DA62CE" w:rsidRPr="00DA62CE" w:rsidRDefault="00DA62CE" w:rsidP="00DA62CE">
            <w:pPr>
              <w:jc w:val="center"/>
              <w:rPr>
                <w:rFonts w:ascii="Calibri" w:hAnsi="Calibri"/>
                <w:b/>
                <w:bCs/>
                <w:color w:val="000000"/>
              </w:rPr>
            </w:pPr>
          </w:p>
        </w:tc>
        <w:tc>
          <w:tcPr>
            <w:tcW w:w="900" w:type="dxa"/>
            <w:gridSpan w:val="2"/>
            <w:tcBorders>
              <w:top w:val="nil"/>
              <w:left w:val="nil"/>
              <w:bottom w:val="nil"/>
              <w:right w:val="nil"/>
            </w:tcBorders>
            <w:shd w:val="clear" w:color="auto" w:fill="auto"/>
            <w:vAlign w:val="bottom"/>
            <w:hideMark/>
          </w:tcPr>
          <w:p w14:paraId="32AD19AF"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t>
            </w:r>
          </w:p>
        </w:tc>
        <w:tc>
          <w:tcPr>
            <w:tcW w:w="380" w:type="dxa"/>
            <w:gridSpan w:val="2"/>
            <w:tcBorders>
              <w:top w:val="nil"/>
              <w:left w:val="nil"/>
              <w:bottom w:val="nil"/>
              <w:right w:val="nil"/>
            </w:tcBorders>
            <w:shd w:val="clear" w:color="auto" w:fill="auto"/>
            <w:vAlign w:val="bottom"/>
            <w:hideMark/>
          </w:tcPr>
          <w:p w14:paraId="35BF16F5" w14:textId="77777777" w:rsidR="00DA62CE" w:rsidRPr="00DA62CE" w:rsidRDefault="00DA62CE" w:rsidP="00DA62CE">
            <w:pPr>
              <w:jc w:val="center"/>
              <w:rPr>
                <w:rFonts w:ascii="Calibri" w:hAnsi="Calibri"/>
                <w:b/>
                <w:bCs/>
                <w:color w:val="000000"/>
              </w:rPr>
            </w:pPr>
          </w:p>
        </w:tc>
        <w:tc>
          <w:tcPr>
            <w:tcW w:w="1060" w:type="dxa"/>
            <w:gridSpan w:val="2"/>
            <w:tcBorders>
              <w:top w:val="nil"/>
              <w:left w:val="nil"/>
              <w:bottom w:val="nil"/>
              <w:right w:val="nil"/>
            </w:tcBorders>
            <w:shd w:val="clear" w:color="auto" w:fill="auto"/>
            <w:vAlign w:val="bottom"/>
            <w:hideMark/>
          </w:tcPr>
          <w:p w14:paraId="7EE07A4F"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Weighting </w:t>
            </w:r>
          </w:p>
        </w:tc>
        <w:tc>
          <w:tcPr>
            <w:tcW w:w="450" w:type="dxa"/>
            <w:tcBorders>
              <w:top w:val="nil"/>
              <w:left w:val="nil"/>
              <w:bottom w:val="nil"/>
              <w:right w:val="nil"/>
            </w:tcBorders>
            <w:shd w:val="clear" w:color="auto" w:fill="auto"/>
            <w:vAlign w:val="bottom"/>
            <w:hideMark/>
          </w:tcPr>
          <w:p w14:paraId="04C12994" w14:textId="77777777" w:rsidR="00DA62CE" w:rsidRPr="00DA62CE" w:rsidRDefault="00DA62CE" w:rsidP="00DA62CE">
            <w:pPr>
              <w:jc w:val="center"/>
              <w:rPr>
                <w:rFonts w:ascii="Calibri" w:hAnsi="Calibri"/>
                <w:b/>
                <w:bCs/>
                <w:color w:val="000000"/>
              </w:rPr>
            </w:pPr>
          </w:p>
        </w:tc>
        <w:tc>
          <w:tcPr>
            <w:tcW w:w="1080" w:type="dxa"/>
            <w:tcBorders>
              <w:top w:val="nil"/>
              <w:left w:val="nil"/>
              <w:bottom w:val="nil"/>
              <w:right w:val="nil"/>
            </w:tcBorders>
            <w:shd w:val="clear" w:color="auto" w:fill="auto"/>
            <w:vAlign w:val="bottom"/>
            <w:hideMark/>
          </w:tcPr>
          <w:p w14:paraId="0164D66E"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Weighted FTE Count </w:t>
            </w:r>
          </w:p>
        </w:tc>
        <w:tc>
          <w:tcPr>
            <w:tcW w:w="1260" w:type="dxa"/>
            <w:gridSpan w:val="3"/>
            <w:tcBorders>
              <w:top w:val="nil"/>
              <w:left w:val="nil"/>
              <w:bottom w:val="nil"/>
              <w:right w:val="nil"/>
            </w:tcBorders>
            <w:shd w:val="clear" w:color="auto" w:fill="auto"/>
            <w:vAlign w:val="bottom"/>
            <w:hideMark/>
          </w:tcPr>
          <w:p w14:paraId="1482EE44"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Unweighted FTE Count </w:t>
            </w:r>
          </w:p>
        </w:tc>
        <w:tc>
          <w:tcPr>
            <w:tcW w:w="900" w:type="dxa"/>
            <w:gridSpan w:val="2"/>
            <w:tcBorders>
              <w:top w:val="nil"/>
              <w:left w:val="nil"/>
              <w:bottom w:val="nil"/>
              <w:right w:val="nil"/>
            </w:tcBorders>
            <w:shd w:val="clear" w:color="auto" w:fill="auto"/>
            <w:vAlign w:val="bottom"/>
            <w:hideMark/>
          </w:tcPr>
          <w:p w14:paraId="7DFB51EF"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of IRPs to Total</w:t>
            </w:r>
          </w:p>
        </w:tc>
      </w:tr>
      <w:tr w:rsidR="00DA62CE" w:rsidRPr="00DA62CE" w14:paraId="33B81403" w14:textId="77777777" w:rsidTr="00FD24B4">
        <w:trPr>
          <w:gridBefore w:val="1"/>
          <w:wBefore w:w="539" w:type="dxa"/>
          <w:trHeight w:val="300"/>
        </w:trPr>
        <w:tc>
          <w:tcPr>
            <w:tcW w:w="6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C0D35" w14:textId="77777777" w:rsidR="00DA62CE" w:rsidRPr="00DA62CE" w:rsidRDefault="00DA62CE" w:rsidP="00DA62CE">
            <w:pPr>
              <w:jc w:val="center"/>
              <w:rPr>
                <w:rFonts w:ascii="Calibri" w:hAnsi="Calibri"/>
                <w:color w:val="000000"/>
              </w:rPr>
            </w:pPr>
            <w:r w:rsidRPr="00DA62CE">
              <w:rPr>
                <w:rFonts w:ascii="Calibri" w:hAnsi="Calibri"/>
                <w:color w:val="000000"/>
              </w:rPr>
              <w:t>1996</w:t>
            </w:r>
          </w:p>
        </w:tc>
        <w:tc>
          <w:tcPr>
            <w:tcW w:w="1047" w:type="dxa"/>
            <w:gridSpan w:val="3"/>
            <w:tcBorders>
              <w:top w:val="single" w:sz="4" w:space="0" w:color="auto"/>
              <w:left w:val="nil"/>
              <w:bottom w:val="single" w:sz="4" w:space="0" w:color="auto"/>
              <w:right w:val="single" w:sz="4" w:space="0" w:color="auto"/>
            </w:tcBorders>
            <w:shd w:val="clear" w:color="auto" w:fill="auto"/>
            <w:noWrap/>
            <w:vAlign w:val="bottom"/>
            <w:hideMark/>
          </w:tcPr>
          <w:p w14:paraId="5AE36658"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80.00 </w:t>
            </w:r>
          </w:p>
        </w:tc>
        <w:tc>
          <w:tcPr>
            <w:tcW w:w="363" w:type="dxa"/>
            <w:tcBorders>
              <w:top w:val="single" w:sz="4" w:space="0" w:color="auto"/>
              <w:left w:val="nil"/>
              <w:bottom w:val="single" w:sz="4" w:space="0" w:color="auto"/>
              <w:right w:val="single" w:sz="4" w:space="0" w:color="auto"/>
            </w:tcBorders>
            <w:shd w:val="clear" w:color="auto" w:fill="auto"/>
            <w:noWrap/>
            <w:vAlign w:val="bottom"/>
            <w:hideMark/>
          </w:tcPr>
          <w:p w14:paraId="60DA31BB"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DB2C520"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3E412F92"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CAD0CC"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20.00 </w:t>
            </w:r>
          </w:p>
        </w:tc>
        <w:tc>
          <w:tcPr>
            <w:tcW w:w="3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0B91D5E"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A87145"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450" w:type="dxa"/>
            <w:tcBorders>
              <w:top w:val="single" w:sz="4" w:space="0" w:color="auto"/>
              <w:left w:val="nil"/>
              <w:bottom w:val="single" w:sz="4" w:space="0" w:color="auto"/>
              <w:right w:val="single" w:sz="4" w:space="0" w:color="auto"/>
            </w:tcBorders>
            <w:shd w:val="clear" w:color="auto" w:fill="auto"/>
            <w:noWrap/>
            <w:vAlign w:val="bottom"/>
            <w:hideMark/>
          </w:tcPr>
          <w:p w14:paraId="010E40E8"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ADCB9C8"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90.00 </w:t>
            </w:r>
          </w:p>
        </w:tc>
        <w:tc>
          <w:tcPr>
            <w:tcW w:w="12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0CFFBA9" w14:textId="77777777" w:rsidR="00DA62CE" w:rsidRPr="00DA62CE" w:rsidRDefault="00DA62CE" w:rsidP="00DA62CE">
            <w:pPr>
              <w:jc w:val="center"/>
              <w:rPr>
                <w:rFonts w:ascii="Calibri" w:hAnsi="Calibri"/>
                <w:color w:val="000000"/>
              </w:rPr>
            </w:pPr>
            <w:r w:rsidRPr="00DA62CE">
              <w:rPr>
                <w:rFonts w:ascii="Calibri" w:hAnsi="Calibri"/>
                <w:color w:val="000000"/>
              </w:rPr>
              <w:t>100.00</w:t>
            </w:r>
          </w:p>
        </w:tc>
        <w:tc>
          <w:tcPr>
            <w:tcW w:w="9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F644BE" w14:textId="77777777" w:rsidR="00DA62CE" w:rsidRPr="00DA62CE" w:rsidRDefault="00DA62CE" w:rsidP="00DA62CE">
            <w:pPr>
              <w:jc w:val="center"/>
              <w:rPr>
                <w:rFonts w:ascii="Calibri" w:hAnsi="Calibri"/>
                <w:color w:val="000000"/>
              </w:rPr>
            </w:pPr>
            <w:r w:rsidRPr="00DA62CE">
              <w:rPr>
                <w:rFonts w:ascii="Calibri" w:hAnsi="Calibri"/>
                <w:color w:val="000000"/>
              </w:rPr>
              <w:t>80.0%</w:t>
            </w:r>
          </w:p>
        </w:tc>
      </w:tr>
      <w:tr w:rsidR="00DA62CE" w:rsidRPr="00DA62CE" w14:paraId="4BE9B411" w14:textId="77777777" w:rsidTr="00FD24B4">
        <w:trPr>
          <w:gridBefore w:val="1"/>
          <w:wBefore w:w="539" w:type="dxa"/>
          <w:trHeight w:val="300"/>
        </w:trPr>
        <w:tc>
          <w:tcPr>
            <w:tcW w:w="6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7E4974C" w14:textId="77777777" w:rsidR="00DA62CE" w:rsidRPr="00DA62CE" w:rsidRDefault="00DA62CE" w:rsidP="00DA62CE">
            <w:pPr>
              <w:jc w:val="center"/>
              <w:rPr>
                <w:rFonts w:ascii="Calibri" w:hAnsi="Calibri"/>
                <w:color w:val="000000"/>
              </w:rPr>
            </w:pPr>
            <w:r w:rsidRPr="00DA62CE">
              <w:rPr>
                <w:rFonts w:ascii="Calibri" w:hAnsi="Calibri"/>
                <w:color w:val="000000"/>
              </w:rPr>
              <w:t>1998</w:t>
            </w:r>
          </w:p>
        </w:tc>
        <w:tc>
          <w:tcPr>
            <w:tcW w:w="1047" w:type="dxa"/>
            <w:gridSpan w:val="3"/>
            <w:tcBorders>
              <w:top w:val="nil"/>
              <w:left w:val="nil"/>
              <w:bottom w:val="single" w:sz="4" w:space="0" w:color="auto"/>
              <w:right w:val="single" w:sz="4" w:space="0" w:color="auto"/>
            </w:tcBorders>
            <w:shd w:val="clear" w:color="auto" w:fill="auto"/>
            <w:noWrap/>
            <w:vAlign w:val="bottom"/>
            <w:hideMark/>
          </w:tcPr>
          <w:p w14:paraId="578D2124"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100.00 </w:t>
            </w:r>
          </w:p>
        </w:tc>
        <w:tc>
          <w:tcPr>
            <w:tcW w:w="363" w:type="dxa"/>
            <w:tcBorders>
              <w:top w:val="nil"/>
              <w:left w:val="nil"/>
              <w:bottom w:val="single" w:sz="4" w:space="0" w:color="auto"/>
              <w:right w:val="single" w:sz="4" w:space="0" w:color="auto"/>
            </w:tcBorders>
            <w:shd w:val="clear" w:color="auto" w:fill="auto"/>
            <w:noWrap/>
            <w:vAlign w:val="bottom"/>
            <w:hideMark/>
          </w:tcPr>
          <w:p w14:paraId="5C3D3672"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80" w:type="dxa"/>
            <w:gridSpan w:val="3"/>
            <w:tcBorders>
              <w:top w:val="nil"/>
              <w:left w:val="nil"/>
              <w:bottom w:val="single" w:sz="4" w:space="0" w:color="auto"/>
              <w:right w:val="single" w:sz="4" w:space="0" w:color="auto"/>
            </w:tcBorders>
            <w:shd w:val="clear" w:color="auto" w:fill="auto"/>
            <w:noWrap/>
            <w:vAlign w:val="bottom"/>
            <w:hideMark/>
          </w:tcPr>
          <w:p w14:paraId="335EA17C"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60" w:type="dxa"/>
            <w:tcBorders>
              <w:top w:val="nil"/>
              <w:left w:val="nil"/>
              <w:bottom w:val="single" w:sz="4" w:space="0" w:color="auto"/>
              <w:right w:val="single" w:sz="4" w:space="0" w:color="auto"/>
            </w:tcBorders>
            <w:shd w:val="clear" w:color="auto" w:fill="auto"/>
            <w:noWrap/>
            <w:vAlign w:val="bottom"/>
            <w:hideMark/>
          </w:tcPr>
          <w:p w14:paraId="5065E55E"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0" w:type="dxa"/>
            <w:gridSpan w:val="2"/>
            <w:tcBorders>
              <w:top w:val="nil"/>
              <w:left w:val="nil"/>
              <w:bottom w:val="single" w:sz="4" w:space="0" w:color="auto"/>
              <w:right w:val="single" w:sz="4" w:space="0" w:color="auto"/>
            </w:tcBorders>
            <w:shd w:val="clear" w:color="auto" w:fill="auto"/>
            <w:noWrap/>
            <w:vAlign w:val="bottom"/>
            <w:hideMark/>
          </w:tcPr>
          <w:p w14:paraId="701D2063"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   </w:t>
            </w:r>
          </w:p>
        </w:tc>
        <w:tc>
          <w:tcPr>
            <w:tcW w:w="380" w:type="dxa"/>
            <w:gridSpan w:val="2"/>
            <w:tcBorders>
              <w:top w:val="nil"/>
              <w:left w:val="nil"/>
              <w:bottom w:val="single" w:sz="4" w:space="0" w:color="auto"/>
              <w:right w:val="single" w:sz="4" w:space="0" w:color="auto"/>
            </w:tcBorders>
            <w:shd w:val="clear" w:color="auto" w:fill="auto"/>
            <w:noWrap/>
            <w:vAlign w:val="bottom"/>
            <w:hideMark/>
          </w:tcPr>
          <w:p w14:paraId="28705C9E"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0" w:type="dxa"/>
            <w:gridSpan w:val="2"/>
            <w:tcBorders>
              <w:top w:val="nil"/>
              <w:left w:val="nil"/>
              <w:bottom w:val="single" w:sz="4" w:space="0" w:color="auto"/>
              <w:right w:val="single" w:sz="4" w:space="0" w:color="auto"/>
            </w:tcBorders>
            <w:shd w:val="clear" w:color="auto" w:fill="auto"/>
            <w:noWrap/>
            <w:vAlign w:val="bottom"/>
            <w:hideMark/>
          </w:tcPr>
          <w:p w14:paraId="799DED8A"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450" w:type="dxa"/>
            <w:tcBorders>
              <w:top w:val="nil"/>
              <w:left w:val="nil"/>
              <w:bottom w:val="single" w:sz="4" w:space="0" w:color="auto"/>
              <w:right w:val="single" w:sz="4" w:space="0" w:color="auto"/>
            </w:tcBorders>
            <w:shd w:val="clear" w:color="auto" w:fill="auto"/>
            <w:noWrap/>
            <w:vAlign w:val="bottom"/>
            <w:hideMark/>
          </w:tcPr>
          <w:p w14:paraId="3AAEC6A9"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tcBorders>
              <w:top w:val="nil"/>
              <w:left w:val="nil"/>
              <w:bottom w:val="single" w:sz="4" w:space="0" w:color="auto"/>
              <w:right w:val="single" w:sz="4" w:space="0" w:color="auto"/>
            </w:tcBorders>
            <w:shd w:val="clear" w:color="auto" w:fill="auto"/>
            <w:noWrap/>
            <w:vAlign w:val="bottom"/>
            <w:hideMark/>
          </w:tcPr>
          <w:p w14:paraId="5E08213A"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100.00 </w:t>
            </w:r>
          </w:p>
        </w:tc>
        <w:tc>
          <w:tcPr>
            <w:tcW w:w="1260" w:type="dxa"/>
            <w:gridSpan w:val="3"/>
            <w:tcBorders>
              <w:top w:val="nil"/>
              <w:left w:val="nil"/>
              <w:bottom w:val="single" w:sz="4" w:space="0" w:color="auto"/>
              <w:right w:val="single" w:sz="4" w:space="0" w:color="auto"/>
            </w:tcBorders>
            <w:shd w:val="clear" w:color="auto" w:fill="auto"/>
            <w:noWrap/>
            <w:vAlign w:val="bottom"/>
            <w:hideMark/>
          </w:tcPr>
          <w:p w14:paraId="78EF941F" w14:textId="77777777" w:rsidR="00DA62CE" w:rsidRPr="00DA62CE" w:rsidRDefault="00DA62CE" w:rsidP="00DA62CE">
            <w:pPr>
              <w:jc w:val="center"/>
              <w:rPr>
                <w:rFonts w:ascii="Calibri" w:hAnsi="Calibri"/>
                <w:color w:val="000000"/>
              </w:rPr>
            </w:pPr>
            <w:r w:rsidRPr="00DA62CE">
              <w:rPr>
                <w:rFonts w:ascii="Calibri" w:hAnsi="Calibri"/>
                <w:color w:val="000000"/>
              </w:rPr>
              <w:t>100.00</w:t>
            </w:r>
          </w:p>
        </w:tc>
        <w:tc>
          <w:tcPr>
            <w:tcW w:w="900" w:type="dxa"/>
            <w:gridSpan w:val="2"/>
            <w:tcBorders>
              <w:top w:val="nil"/>
              <w:left w:val="nil"/>
              <w:bottom w:val="single" w:sz="4" w:space="0" w:color="auto"/>
              <w:right w:val="single" w:sz="4" w:space="0" w:color="auto"/>
            </w:tcBorders>
            <w:shd w:val="clear" w:color="auto" w:fill="auto"/>
            <w:noWrap/>
            <w:vAlign w:val="bottom"/>
            <w:hideMark/>
          </w:tcPr>
          <w:p w14:paraId="1A12523D" w14:textId="77777777" w:rsidR="00DA62CE" w:rsidRPr="00DA62CE" w:rsidRDefault="00DA62CE" w:rsidP="00DA62CE">
            <w:pPr>
              <w:jc w:val="center"/>
              <w:rPr>
                <w:rFonts w:ascii="Calibri" w:hAnsi="Calibri"/>
                <w:color w:val="000000"/>
              </w:rPr>
            </w:pPr>
            <w:r w:rsidRPr="00DA62CE">
              <w:rPr>
                <w:rFonts w:ascii="Calibri" w:hAnsi="Calibri"/>
                <w:color w:val="000000"/>
              </w:rPr>
              <w:t>100.0%</w:t>
            </w:r>
          </w:p>
        </w:tc>
      </w:tr>
      <w:tr w:rsidR="00DA62CE" w:rsidRPr="00DA62CE" w14:paraId="4B10977C" w14:textId="77777777" w:rsidTr="00FD24B4">
        <w:trPr>
          <w:gridAfter w:val="1"/>
          <w:wAfter w:w="30" w:type="dxa"/>
          <w:trHeight w:val="300"/>
        </w:trPr>
        <w:tc>
          <w:tcPr>
            <w:tcW w:w="661" w:type="dxa"/>
            <w:gridSpan w:val="2"/>
            <w:tcBorders>
              <w:top w:val="nil"/>
              <w:left w:val="nil"/>
              <w:bottom w:val="nil"/>
              <w:right w:val="nil"/>
            </w:tcBorders>
            <w:shd w:val="clear" w:color="auto" w:fill="auto"/>
            <w:noWrap/>
            <w:vAlign w:val="bottom"/>
            <w:hideMark/>
          </w:tcPr>
          <w:p w14:paraId="5FADDC12" w14:textId="77777777" w:rsidR="00DA62CE" w:rsidRPr="00DA62CE" w:rsidRDefault="00DA62CE" w:rsidP="00DA62CE">
            <w:pPr>
              <w:jc w:val="right"/>
              <w:rPr>
                <w:rFonts w:ascii="Calibri" w:hAnsi="Calibri"/>
                <w:color w:val="000000"/>
              </w:rPr>
            </w:pPr>
          </w:p>
        </w:tc>
        <w:tc>
          <w:tcPr>
            <w:tcW w:w="1119" w:type="dxa"/>
            <w:gridSpan w:val="2"/>
            <w:tcBorders>
              <w:top w:val="nil"/>
              <w:left w:val="nil"/>
              <w:bottom w:val="nil"/>
              <w:right w:val="nil"/>
            </w:tcBorders>
            <w:shd w:val="clear" w:color="auto" w:fill="auto"/>
            <w:noWrap/>
            <w:vAlign w:val="bottom"/>
            <w:hideMark/>
          </w:tcPr>
          <w:p w14:paraId="2BE08DF5" w14:textId="77777777" w:rsidR="00DA62CE" w:rsidRPr="00DA62CE" w:rsidRDefault="00DA62CE" w:rsidP="00DA62CE"/>
        </w:tc>
        <w:tc>
          <w:tcPr>
            <w:tcW w:w="380" w:type="dxa"/>
            <w:tcBorders>
              <w:top w:val="nil"/>
              <w:left w:val="nil"/>
              <w:bottom w:val="nil"/>
              <w:right w:val="nil"/>
            </w:tcBorders>
            <w:shd w:val="clear" w:color="auto" w:fill="auto"/>
            <w:noWrap/>
            <w:vAlign w:val="bottom"/>
            <w:hideMark/>
          </w:tcPr>
          <w:p w14:paraId="60B2CDAA" w14:textId="77777777" w:rsidR="00DA62CE" w:rsidRPr="00DA62CE" w:rsidRDefault="00DA62CE" w:rsidP="00DA62CE"/>
        </w:tc>
        <w:tc>
          <w:tcPr>
            <w:tcW w:w="1156" w:type="dxa"/>
            <w:gridSpan w:val="3"/>
            <w:tcBorders>
              <w:top w:val="nil"/>
              <w:left w:val="nil"/>
              <w:bottom w:val="nil"/>
              <w:right w:val="nil"/>
            </w:tcBorders>
            <w:shd w:val="clear" w:color="auto" w:fill="auto"/>
            <w:noWrap/>
            <w:vAlign w:val="bottom"/>
            <w:hideMark/>
          </w:tcPr>
          <w:p w14:paraId="4688CE8B" w14:textId="77777777" w:rsidR="00DA62CE" w:rsidRPr="00DA62CE" w:rsidRDefault="00DA62CE" w:rsidP="00DA62CE"/>
        </w:tc>
        <w:tc>
          <w:tcPr>
            <w:tcW w:w="360" w:type="dxa"/>
            <w:tcBorders>
              <w:top w:val="nil"/>
              <w:left w:val="nil"/>
              <w:bottom w:val="nil"/>
              <w:right w:val="nil"/>
            </w:tcBorders>
            <w:shd w:val="clear" w:color="auto" w:fill="auto"/>
            <w:noWrap/>
            <w:vAlign w:val="bottom"/>
            <w:hideMark/>
          </w:tcPr>
          <w:p w14:paraId="096897E5" w14:textId="77777777" w:rsidR="00DA62CE" w:rsidRPr="00DA62CE" w:rsidRDefault="00DA62CE" w:rsidP="00DA62CE"/>
        </w:tc>
        <w:tc>
          <w:tcPr>
            <w:tcW w:w="960" w:type="dxa"/>
            <w:gridSpan w:val="3"/>
            <w:tcBorders>
              <w:top w:val="nil"/>
              <w:left w:val="nil"/>
              <w:bottom w:val="nil"/>
              <w:right w:val="nil"/>
            </w:tcBorders>
            <w:shd w:val="clear" w:color="auto" w:fill="auto"/>
            <w:noWrap/>
            <w:vAlign w:val="bottom"/>
            <w:hideMark/>
          </w:tcPr>
          <w:p w14:paraId="0C97E72A" w14:textId="77777777" w:rsidR="00DA62CE" w:rsidRPr="00DA62CE" w:rsidRDefault="00DA62CE" w:rsidP="00DA62CE"/>
        </w:tc>
        <w:tc>
          <w:tcPr>
            <w:tcW w:w="380" w:type="dxa"/>
            <w:gridSpan w:val="2"/>
            <w:tcBorders>
              <w:top w:val="nil"/>
              <w:left w:val="nil"/>
              <w:bottom w:val="nil"/>
              <w:right w:val="nil"/>
            </w:tcBorders>
            <w:shd w:val="clear" w:color="auto" w:fill="auto"/>
            <w:noWrap/>
            <w:vAlign w:val="bottom"/>
            <w:hideMark/>
          </w:tcPr>
          <w:p w14:paraId="3A8BE7DC" w14:textId="77777777" w:rsidR="00DA62CE" w:rsidRPr="00DA62CE" w:rsidRDefault="00DA62CE" w:rsidP="00DA62CE"/>
        </w:tc>
        <w:tc>
          <w:tcPr>
            <w:tcW w:w="1156" w:type="dxa"/>
            <w:gridSpan w:val="2"/>
            <w:tcBorders>
              <w:top w:val="nil"/>
              <w:left w:val="nil"/>
              <w:bottom w:val="nil"/>
              <w:right w:val="nil"/>
            </w:tcBorders>
            <w:shd w:val="clear" w:color="auto" w:fill="auto"/>
            <w:noWrap/>
            <w:vAlign w:val="bottom"/>
            <w:hideMark/>
          </w:tcPr>
          <w:p w14:paraId="244AC634" w14:textId="77777777" w:rsidR="00DA62CE" w:rsidRPr="00DA62CE" w:rsidRDefault="00DA62CE" w:rsidP="00DA62CE"/>
        </w:tc>
        <w:tc>
          <w:tcPr>
            <w:tcW w:w="668" w:type="dxa"/>
            <w:gridSpan w:val="2"/>
            <w:tcBorders>
              <w:top w:val="nil"/>
              <w:left w:val="nil"/>
              <w:bottom w:val="nil"/>
              <w:right w:val="nil"/>
            </w:tcBorders>
            <w:shd w:val="clear" w:color="auto" w:fill="auto"/>
            <w:noWrap/>
            <w:vAlign w:val="bottom"/>
            <w:hideMark/>
          </w:tcPr>
          <w:p w14:paraId="63A28637" w14:textId="77777777" w:rsidR="00DA62CE" w:rsidRPr="00DA62CE" w:rsidRDefault="00DA62CE" w:rsidP="00DA62CE"/>
        </w:tc>
        <w:tc>
          <w:tcPr>
            <w:tcW w:w="1262" w:type="dxa"/>
            <w:gridSpan w:val="2"/>
            <w:tcBorders>
              <w:top w:val="nil"/>
              <w:left w:val="nil"/>
              <w:bottom w:val="nil"/>
              <w:right w:val="nil"/>
            </w:tcBorders>
            <w:shd w:val="clear" w:color="auto" w:fill="auto"/>
            <w:noWrap/>
            <w:vAlign w:val="bottom"/>
            <w:hideMark/>
          </w:tcPr>
          <w:p w14:paraId="6D03D733"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Ratio </w:t>
            </w:r>
          </w:p>
        </w:tc>
        <w:tc>
          <w:tcPr>
            <w:tcW w:w="988" w:type="dxa"/>
            <w:tcBorders>
              <w:top w:val="nil"/>
              <w:left w:val="nil"/>
              <w:bottom w:val="nil"/>
              <w:right w:val="nil"/>
            </w:tcBorders>
            <w:shd w:val="clear" w:color="auto" w:fill="auto"/>
            <w:noWrap/>
            <w:vAlign w:val="bottom"/>
            <w:hideMark/>
          </w:tcPr>
          <w:p w14:paraId="4763BCF5" w14:textId="77777777" w:rsidR="00DA62CE" w:rsidRPr="00DA62CE" w:rsidRDefault="00DA62CE" w:rsidP="00DA62CE">
            <w:pPr>
              <w:jc w:val="center"/>
              <w:rPr>
                <w:rFonts w:ascii="Calibri" w:hAnsi="Calibri"/>
                <w:color w:val="000000"/>
              </w:rPr>
            </w:pPr>
            <w:r w:rsidRPr="00DA62CE">
              <w:rPr>
                <w:rFonts w:ascii="Calibri" w:hAnsi="Calibri"/>
                <w:color w:val="000000"/>
              </w:rPr>
              <w:t>100.0%</w:t>
            </w:r>
          </w:p>
        </w:tc>
        <w:tc>
          <w:tcPr>
            <w:tcW w:w="960" w:type="dxa"/>
            <w:gridSpan w:val="2"/>
            <w:tcBorders>
              <w:top w:val="nil"/>
              <w:left w:val="nil"/>
              <w:bottom w:val="nil"/>
              <w:right w:val="nil"/>
            </w:tcBorders>
            <w:shd w:val="clear" w:color="auto" w:fill="auto"/>
            <w:noWrap/>
            <w:vAlign w:val="bottom"/>
            <w:hideMark/>
          </w:tcPr>
          <w:p w14:paraId="5854DF8A" w14:textId="77777777" w:rsidR="00DA62CE" w:rsidRPr="00DA62CE" w:rsidRDefault="00DA62CE" w:rsidP="00DA62CE">
            <w:pPr>
              <w:jc w:val="center"/>
              <w:rPr>
                <w:rFonts w:ascii="Calibri" w:hAnsi="Calibri"/>
                <w:color w:val="000000"/>
              </w:rPr>
            </w:pPr>
          </w:p>
        </w:tc>
      </w:tr>
      <w:tr w:rsidR="00DA62CE" w:rsidRPr="00DA62CE" w14:paraId="2B8BFD33" w14:textId="77777777" w:rsidTr="00FD24B4">
        <w:trPr>
          <w:gridAfter w:val="1"/>
          <w:wAfter w:w="30" w:type="dxa"/>
          <w:trHeight w:val="300"/>
        </w:trPr>
        <w:tc>
          <w:tcPr>
            <w:tcW w:w="661" w:type="dxa"/>
            <w:gridSpan w:val="2"/>
            <w:tcBorders>
              <w:top w:val="nil"/>
              <w:left w:val="nil"/>
              <w:bottom w:val="nil"/>
              <w:right w:val="nil"/>
            </w:tcBorders>
            <w:shd w:val="clear" w:color="auto" w:fill="auto"/>
            <w:noWrap/>
            <w:vAlign w:val="bottom"/>
            <w:hideMark/>
          </w:tcPr>
          <w:p w14:paraId="56904E88" w14:textId="77777777" w:rsidR="00DA62CE" w:rsidRPr="00DA62CE" w:rsidRDefault="00DA62CE" w:rsidP="00DA62CE"/>
        </w:tc>
        <w:tc>
          <w:tcPr>
            <w:tcW w:w="1119" w:type="dxa"/>
            <w:gridSpan w:val="2"/>
            <w:tcBorders>
              <w:top w:val="nil"/>
              <w:left w:val="nil"/>
              <w:bottom w:val="nil"/>
              <w:right w:val="nil"/>
            </w:tcBorders>
            <w:shd w:val="clear" w:color="auto" w:fill="auto"/>
            <w:noWrap/>
            <w:vAlign w:val="bottom"/>
            <w:hideMark/>
          </w:tcPr>
          <w:p w14:paraId="7921931E" w14:textId="77777777" w:rsidR="00DA62CE" w:rsidRPr="00DA62CE" w:rsidRDefault="00DA62CE" w:rsidP="00DA62CE"/>
        </w:tc>
        <w:tc>
          <w:tcPr>
            <w:tcW w:w="380" w:type="dxa"/>
            <w:tcBorders>
              <w:top w:val="nil"/>
              <w:left w:val="nil"/>
              <w:bottom w:val="nil"/>
              <w:right w:val="nil"/>
            </w:tcBorders>
            <w:shd w:val="clear" w:color="auto" w:fill="auto"/>
            <w:noWrap/>
            <w:vAlign w:val="bottom"/>
            <w:hideMark/>
          </w:tcPr>
          <w:p w14:paraId="1815CC54" w14:textId="77777777" w:rsidR="00DA62CE" w:rsidRPr="00DA62CE" w:rsidRDefault="00DA62CE" w:rsidP="00DA62CE"/>
        </w:tc>
        <w:tc>
          <w:tcPr>
            <w:tcW w:w="1156" w:type="dxa"/>
            <w:gridSpan w:val="3"/>
            <w:tcBorders>
              <w:top w:val="nil"/>
              <w:left w:val="nil"/>
              <w:bottom w:val="nil"/>
              <w:right w:val="nil"/>
            </w:tcBorders>
            <w:shd w:val="clear" w:color="auto" w:fill="auto"/>
            <w:noWrap/>
            <w:vAlign w:val="bottom"/>
            <w:hideMark/>
          </w:tcPr>
          <w:p w14:paraId="174C71AF" w14:textId="77777777" w:rsidR="00DA62CE" w:rsidRPr="00DA62CE" w:rsidRDefault="00DA62CE" w:rsidP="00DA62CE"/>
        </w:tc>
        <w:tc>
          <w:tcPr>
            <w:tcW w:w="360" w:type="dxa"/>
            <w:tcBorders>
              <w:top w:val="nil"/>
              <w:left w:val="nil"/>
              <w:bottom w:val="nil"/>
              <w:right w:val="nil"/>
            </w:tcBorders>
            <w:shd w:val="clear" w:color="auto" w:fill="auto"/>
            <w:noWrap/>
            <w:vAlign w:val="bottom"/>
            <w:hideMark/>
          </w:tcPr>
          <w:p w14:paraId="6AB1FEC5" w14:textId="77777777" w:rsidR="00DA62CE" w:rsidRPr="00DA62CE" w:rsidRDefault="00DA62CE" w:rsidP="00DA62CE"/>
        </w:tc>
        <w:tc>
          <w:tcPr>
            <w:tcW w:w="960" w:type="dxa"/>
            <w:gridSpan w:val="3"/>
            <w:tcBorders>
              <w:top w:val="nil"/>
              <w:left w:val="nil"/>
              <w:bottom w:val="nil"/>
              <w:right w:val="nil"/>
            </w:tcBorders>
            <w:shd w:val="clear" w:color="auto" w:fill="auto"/>
            <w:noWrap/>
            <w:vAlign w:val="bottom"/>
            <w:hideMark/>
          </w:tcPr>
          <w:p w14:paraId="4987AE3F" w14:textId="77777777" w:rsidR="00DA62CE" w:rsidRPr="00DA62CE" w:rsidRDefault="00DA62CE" w:rsidP="00DA62CE"/>
        </w:tc>
        <w:tc>
          <w:tcPr>
            <w:tcW w:w="380" w:type="dxa"/>
            <w:gridSpan w:val="2"/>
            <w:tcBorders>
              <w:top w:val="nil"/>
              <w:left w:val="nil"/>
              <w:bottom w:val="nil"/>
              <w:right w:val="nil"/>
            </w:tcBorders>
            <w:shd w:val="clear" w:color="auto" w:fill="auto"/>
            <w:noWrap/>
            <w:vAlign w:val="bottom"/>
            <w:hideMark/>
          </w:tcPr>
          <w:p w14:paraId="75348931" w14:textId="77777777" w:rsidR="00DA62CE" w:rsidRPr="00DA62CE" w:rsidRDefault="00DA62CE" w:rsidP="00DA62CE"/>
        </w:tc>
        <w:tc>
          <w:tcPr>
            <w:tcW w:w="1156" w:type="dxa"/>
            <w:gridSpan w:val="2"/>
            <w:tcBorders>
              <w:top w:val="nil"/>
              <w:left w:val="nil"/>
              <w:bottom w:val="nil"/>
              <w:right w:val="nil"/>
            </w:tcBorders>
            <w:shd w:val="clear" w:color="auto" w:fill="auto"/>
            <w:noWrap/>
            <w:vAlign w:val="bottom"/>
            <w:hideMark/>
          </w:tcPr>
          <w:p w14:paraId="7B8002A0" w14:textId="77777777" w:rsidR="00DA62CE" w:rsidRPr="00DA62CE" w:rsidRDefault="00DA62CE" w:rsidP="00DA62CE">
            <w:pPr>
              <w:rPr>
                <w:rFonts w:ascii="Calibri" w:hAnsi="Calibri"/>
                <w:b/>
                <w:bCs/>
                <w:color w:val="000000"/>
              </w:rPr>
            </w:pPr>
            <w:r w:rsidRPr="00DA62CE">
              <w:rPr>
                <w:rFonts w:ascii="Calibri" w:hAnsi="Calibri"/>
                <w:b/>
                <w:bCs/>
                <w:color w:val="000000"/>
              </w:rPr>
              <w:t>Weighted</w:t>
            </w:r>
          </w:p>
        </w:tc>
        <w:tc>
          <w:tcPr>
            <w:tcW w:w="668" w:type="dxa"/>
            <w:gridSpan w:val="2"/>
            <w:tcBorders>
              <w:top w:val="nil"/>
              <w:left w:val="nil"/>
              <w:bottom w:val="nil"/>
              <w:right w:val="nil"/>
            </w:tcBorders>
            <w:shd w:val="clear" w:color="auto" w:fill="auto"/>
            <w:noWrap/>
            <w:vAlign w:val="bottom"/>
            <w:hideMark/>
          </w:tcPr>
          <w:p w14:paraId="78F1AEA1" w14:textId="77777777" w:rsidR="00DA62CE" w:rsidRPr="00DA62CE" w:rsidRDefault="00DA62CE" w:rsidP="00DA62CE">
            <w:pPr>
              <w:rPr>
                <w:rFonts w:ascii="Calibri" w:hAnsi="Calibri"/>
                <w:b/>
                <w:bCs/>
                <w:color w:val="000000"/>
              </w:rPr>
            </w:pPr>
            <w:r w:rsidRPr="00DA62CE">
              <w:rPr>
                <w:rFonts w:ascii="Calibri" w:hAnsi="Calibri"/>
                <w:b/>
                <w:bCs/>
                <w:color w:val="000000"/>
              </w:rPr>
              <w:t>1998</w:t>
            </w:r>
          </w:p>
        </w:tc>
        <w:tc>
          <w:tcPr>
            <w:tcW w:w="1262" w:type="dxa"/>
            <w:gridSpan w:val="2"/>
            <w:tcBorders>
              <w:top w:val="nil"/>
              <w:left w:val="nil"/>
              <w:bottom w:val="nil"/>
              <w:right w:val="nil"/>
            </w:tcBorders>
            <w:shd w:val="clear" w:color="auto" w:fill="auto"/>
            <w:noWrap/>
            <w:vAlign w:val="bottom"/>
            <w:hideMark/>
          </w:tcPr>
          <w:p w14:paraId="6AC55617" w14:textId="77777777" w:rsidR="00DA62CE" w:rsidRPr="00DA62CE" w:rsidRDefault="00DA62CE" w:rsidP="00DA62CE">
            <w:pPr>
              <w:rPr>
                <w:rFonts w:ascii="Calibri" w:hAnsi="Calibri"/>
                <w:b/>
                <w:bCs/>
                <w:color w:val="000000"/>
              </w:rPr>
            </w:pPr>
            <w:r w:rsidRPr="00DA62CE">
              <w:rPr>
                <w:rFonts w:ascii="Calibri" w:hAnsi="Calibri"/>
                <w:b/>
                <w:bCs/>
                <w:color w:val="000000"/>
              </w:rPr>
              <w:t>FTE Count</w:t>
            </w:r>
          </w:p>
        </w:tc>
        <w:tc>
          <w:tcPr>
            <w:tcW w:w="988" w:type="dxa"/>
            <w:tcBorders>
              <w:top w:val="nil"/>
              <w:left w:val="nil"/>
              <w:bottom w:val="nil"/>
              <w:right w:val="nil"/>
            </w:tcBorders>
            <w:shd w:val="clear" w:color="auto" w:fill="auto"/>
            <w:noWrap/>
            <w:vAlign w:val="bottom"/>
            <w:hideMark/>
          </w:tcPr>
          <w:p w14:paraId="2F849715" w14:textId="77777777" w:rsidR="00DA62CE" w:rsidRPr="00DA62CE" w:rsidRDefault="00DA62CE" w:rsidP="00DA62CE">
            <w:pPr>
              <w:jc w:val="center"/>
              <w:rPr>
                <w:rFonts w:ascii="Calibri" w:hAnsi="Calibri"/>
                <w:color w:val="000000"/>
              </w:rPr>
            </w:pPr>
            <w:r w:rsidRPr="00DA62CE">
              <w:rPr>
                <w:rFonts w:ascii="Calibri" w:hAnsi="Calibri"/>
                <w:color w:val="000000"/>
              </w:rPr>
              <w:t>100.00</w:t>
            </w:r>
          </w:p>
        </w:tc>
        <w:tc>
          <w:tcPr>
            <w:tcW w:w="960" w:type="dxa"/>
            <w:gridSpan w:val="2"/>
            <w:tcBorders>
              <w:top w:val="nil"/>
              <w:left w:val="nil"/>
              <w:bottom w:val="nil"/>
              <w:right w:val="nil"/>
            </w:tcBorders>
            <w:shd w:val="clear" w:color="auto" w:fill="auto"/>
            <w:noWrap/>
            <w:vAlign w:val="bottom"/>
            <w:hideMark/>
          </w:tcPr>
          <w:p w14:paraId="0CA4DBAC" w14:textId="77777777" w:rsidR="00DA62CE" w:rsidRPr="00DA62CE" w:rsidRDefault="00DA62CE" w:rsidP="00DA62CE">
            <w:pPr>
              <w:jc w:val="center"/>
              <w:rPr>
                <w:rFonts w:ascii="Calibri" w:hAnsi="Calibri"/>
                <w:color w:val="000000"/>
              </w:rPr>
            </w:pPr>
          </w:p>
        </w:tc>
      </w:tr>
      <w:tr w:rsidR="00DA62CE" w:rsidRPr="00DA62CE" w14:paraId="6E2A4F45" w14:textId="77777777" w:rsidTr="00FD24B4">
        <w:trPr>
          <w:gridAfter w:val="1"/>
          <w:wAfter w:w="30" w:type="dxa"/>
          <w:trHeight w:val="315"/>
        </w:trPr>
        <w:tc>
          <w:tcPr>
            <w:tcW w:w="661" w:type="dxa"/>
            <w:gridSpan w:val="2"/>
            <w:tcBorders>
              <w:top w:val="nil"/>
              <w:left w:val="nil"/>
              <w:bottom w:val="nil"/>
              <w:right w:val="nil"/>
            </w:tcBorders>
            <w:shd w:val="clear" w:color="auto" w:fill="auto"/>
            <w:noWrap/>
            <w:vAlign w:val="bottom"/>
            <w:hideMark/>
          </w:tcPr>
          <w:p w14:paraId="347D4B58" w14:textId="77777777" w:rsidR="00DA62CE" w:rsidRPr="00DA62CE" w:rsidRDefault="00DA62CE" w:rsidP="00DA62CE"/>
        </w:tc>
        <w:tc>
          <w:tcPr>
            <w:tcW w:w="1119" w:type="dxa"/>
            <w:gridSpan w:val="2"/>
            <w:tcBorders>
              <w:top w:val="nil"/>
              <w:left w:val="nil"/>
              <w:bottom w:val="nil"/>
              <w:right w:val="nil"/>
            </w:tcBorders>
            <w:shd w:val="clear" w:color="auto" w:fill="auto"/>
            <w:noWrap/>
            <w:vAlign w:val="bottom"/>
            <w:hideMark/>
          </w:tcPr>
          <w:p w14:paraId="45C04330" w14:textId="77777777" w:rsidR="00DA62CE" w:rsidRPr="00DA62CE" w:rsidRDefault="00DA62CE" w:rsidP="00DA62CE"/>
        </w:tc>
        <w:tc>
          <w:tcPr>
            <w:tcW w:w="380" w:type="dxa"/>
            <w:tcBorders>
              <w:top w:val="nil"/>
              <w:left w:val="nil"/>
              <w:bottom w:val="nil"/>
              <w:right w:val="nil"/>
            </w:tcBorders>
            <w:shd w:val="clear" w:color="auto" w:fill="auto"/>
            <w:noWrap/>
            <w:vAlign w:val="bottom"/>
            <w:hideMark/>
          </w:tcPr>
          <w:p w14:paraId="7BDE6891" w14:textId="77777777" w:rsidR="00DA62CE" w:rsidRPr="00DA62CE" w:rsidRDefault="00DA62CE" w:rsidP="00DA62CE"/>
        </w:tc>
        <w:tc>
          <w:tcPr>
            <w:tcW w:w="1156" w:type="dxa"/>
            <w:gridSpan w:val="3"/>
            <w:tcBorders>
              <w:top w:val="nil"/>
              <w:left w:val="nil"/>
              <w:bottom w:val="nil"/>
              <w:right w:val="nil"/>
            </w:tcBorders>
            <w:shd w:val="clear" w:color="auto" w:fill="auto"/>
            <w:noWrap/>
            <w:vAlign w:val="bottom"/>
            <w:hideMark/>
          </w:tcPr>
          <w:p w14:paraId="1E5E849B" w14:textId="77777777" w:rsidR="00DA62CE" w:rsidRPr="00DA62CE" w:rsidRDefault="00DA62CE" w:rsidP="00DA62CE"/>
        </w:tc>
        <w:tc>
          <w:tcPr>
            <w:tcW w:w="360" w:type="dxa"/>
            <w:tcBorders>
              <w:top w:val="nil"/>
              <w:left w:val="nil"/>
              <w:bottom w:val="nil"/>
              <w:right w:val="nil"/>
            </w:tcBorders>
            <w:shd w:val="clear" w:color="auto" w:fill="auto"/>
            <w:noWrap/>
            <w:vAlign w:val="bottom"/>
            <w:hideMark/>
          </w:tcPr>
          <w:p w14:paraId="2B11E096" w14:textId="77777777" w:rsidR="00DA62CE" w:rsidRPr="00DA62CE" w:rsidRDefault="00DA62CE" w:rsidP="00DA62CE"/>
        </w:tc>
        <w:tc>
          <w:tcPr>
            <w:tcW w:w="960" w:type="dxa"/>
            <w:gridSpan w:val="3"/>
            <w:tcBorders>
              <w:top w:val="nil"/>
              <w:left w:val="nil"/>
              <w:bottom w:val="nil"/>
              <w:right w:val="nil"/>
            </w:tcBorders>
            <w:shd w:val="clear" w:color="auto" w:fill="auto"/>
            <w:noWrap/>
            <w:vAlign w:val="bottom"/>
            <w:hideMark/>
          </w:tcPr>
          <w:p w14:paraId="67E1AFC2" w14:textId="77777777" w:rsidR="00DA62CE" w:rsidRPr="00DA62CE" w:rsidRDefault="00DA62CE" w:rsidP="00DA62CE"/>
        </w:tc>
        <w:tc>
          <w:tcPr>
            <w:tcW w:w="380" w:type="dxa"/>
            <w:gridSpan w:val="2"/>
            <w:tcBorders>
              <w:top w:val="nil"/>
              <w:left w:val="nil"/>
              <w:bottom w:val="nil"/>
              <w:right w:val="nil"/>
            </w:tcBorders>
            <w:shd w:val="clear" w:color="auto" w:fill="auto"/>
            <w:noWrap/>
            <w:vAlign w:val="bottom"/>
            <w:hideMark/>
          </w:tcPr>
          <w:p w14:paraId="58209A70" w14:textId="77777777" w:rsidR="00DA62CE" w:rsidRPr="00DA62CE" w:rsidRDefault="00DA62CE" w:rsidP="00DA62CE"/>
        </w:tc>
        <w:tc>
          <w:tcPr>
            <w:tcW w:w="1156" w:type="dxa"/>
            <w:gridSpan w:val="2"/>
            <w:tcBorders>
              <w:top w:val="nil"/>
              <w:left w:val="nil"/>
              <w:bottom w:val="nil"/>
              <w:right w:val="nil"/>
            </w:tcBorders>
            <w:shd w:val="clear" w:color="auto" w:fill="auto"/>
            <w:noWrap/>
            <w:vAlign w:val="bottom"/>
            <w:hideMark/>
          </w:tcPr>
          <w:p w14:paraId="75D1A947" w14:textId="77777777" w:rsidR="00DA62CE" w:rsidRPr="00DA62CE" w:rsidRDefault="00DA62CE" w:rsidP="00DA62CE"/>
        </w:tc>
        <w:tc>
          <w:tcPr>
            <w:tcW w:w="668" w:type="dxa"/>
            <w:gridSpan w:val="2"/>
            <w:tcBorders>
              <w:top w:val="nil"/>
              <w:left w:val="nil"/>
              <w:bottom w:val="nil"/>
              <w:right w:val="nil"/>
            </w:tcBorders>
            <w:shd w:val="clear" w:color="auto" w:fill="auto"/>
            <w:noWrap/>
            <w:vAlign w:val="bottom"/>
            <w:hideMark/>
          </w:tcPr>
          <w:p w14:paraId="07580CE5" w14:textId="77777777" w:rsidR="00DA62CE" w:rsidRPr="00DA62CE" w:rsidRDefault="00DA62CE" w:rsidP="00DA62CE"/>
        </w:tc>
        <w:tc>
          <w:tcPr>
            <w:tcW w:w="1262" w:type="dxa"/>
            <w:gridSpan w:val="2"/>
            <w:tcBorders>
              <w:top w:val="nil"/>
              <w:left w:val="nil"/>
              <w:bottom w:val="nil"/>
              <w:right w:val="nil"/>
            </w:tcBorders>
            <w:shd w:val="clear" w:color="auto" w:fill="auto"/>
            <w:noWrap/>
            <w:vAlign w:val="bottom"/>
            <w:hideMark/>
          </w:tcPr>
          <w:p w14:paraId="57F369A8" w14:textId="77777777" w:rsidR="00DA62CE" w:rsidRPr="00DA62CE" w:rsidRDefault="00DA62CE" w:rsidP="00DA62CE">
            <w:pPr>
              <w:rPr>
                <w:rFonts w:ascii="Calibri" w:hAnsi="Calibri"/>
                <w:b/>
                <w:bCs/>
                <w:color w:val="000000"/>
              </w:rPr>
            </w:pPr>
            <w:r w:rsidRPr="00DA62CE">
              <w:rPr>
                <w:rFonts w:ascii="Calibri" w:hAnsi="Calibri"/>
                <w:b/>
                <w:bCs/>
                <w:color w:val="000000"/>
              </w:rPr>
              <w:t xml:space="preserve">   Allowed </w:t>
            </w:r>
          </w:p>
        </w:tc>
        <w:tc>
          <w:tcPr>
            <w:tcW w:w="988" w:type="dxa"/>
            <w:tcBorders>
              <w:top w:val="single" w:sz="4" w:space="0" w:color="auto"/>
              <w:left w:val="nil"/>
              <w:bottom w:val="double" w:sz="6" w:space="0" w:color="auto"/>
              <w:right w:val="nil"/>
            </w:tcBorders>
            <w:shd w:val="clear" w:color="auto" w:fill="auto"/>
            <w:noWrap/>
            <w:vAlign w:val="bottom"/>
            <w:hideMark/>
          </w:tcPr>
          <w:p w14:paraId="30294246" w14:textId="77777777" w:rsidR="00DA62CE" w:rsidRPr="00DA62CE" w:rsidRDefault="00DA62CE" w:rsidP="00DA62CE">
            <w:pPr>
              <w:jc w:val="center"/>
              <w:rPr>
                <w:rFonts w:ascii="Calibri" w:hAnsi="Calibri"/>
                <w:color w:val="000000"/>
              </w:rPr>
            </w:pPr>
            <w:r w:rsidRPr="00DA62CE">
              <w:rPr>
                <w:rFonts w:ascii="Calibri" w:hAnsi="Calibri"/>
                <w:color w:val="000000"/>
              </w:rPr>
              <w:t>100.0</w:t>
            </w:r>
          </w:p>
        </w:tc>
        <w:tc>
          <w:tcPr>
            <w:tcW w:w="960" w:type="dxa"/>
            <w:gridSpan w:val="2"/>
            <w:tcBorders>
              <w:top w:val="nil"/>
              <w:left w:val="nil"/>
              <w:bottom w:val="nil"/>
              <w:right w:val="nil"/>
            </w:tcBorders>
            <w:shd w:val="clear" w:color="auto" w:fill="auto"/>
            <w:noWrap/>
            <w:vAlign w:val="bottom"/>
            <w:hideMark/>
          </w:tcPr>
          <w:p w14:paraId="39E05504" w14:textId="77777777" w:rsidR="00DA62CE" w:rsidRPr="00DA62CE" w:rsidRDefault="00DA62CE" w:rsidP="00DA62CE">
            <w:pPr>
              <w:jc w:val="center"/>
              <w:rPr>
                <w:rFonts w:ascii="Calibri" w:hAnsi="Calibri"/>
                <w:color w:val="000000"/>
              </w:rPr>
            </w:pPr>
          </w:p>
        </w:tc>
      </w:tr>
    </w:tbl>
    <w:p w14:paraId="3A50558D"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 </w:t>
      </w:r>
    </w:p>
    <w:p w14:paraId="542C6516"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The last illustration has the IRPs dropping by 20 and the fellows increasing by 30 (this is a common complaint of large teaching hospitals). Now the unweighted count is 110 but the weighted count is 85. (60 x 1.0 + 50 x 0.5).  Applying the formula (100/110) * 85 = 77.3 which represents this year’s final FTE count. </w:t>
      </w:r>
    </w:p>
    <w:tbl>
      <w:tblPr>
        <w:tblW w:w="9630" w:type="dxa"/>
        <w:tblInd w:w="540" w:type="dxa"/>
        <w:tblLayout w:type="fixed"/>
        <w:tblLook w:val="04A0" w:firstRow="1" w:lastRow="0" w:firstColumn="1" w:lastColumn="0" w:noHBand="0" w:noVBand="1"/>
      </w:tblPr>
      <w:tblGrid>
        <w:gridCol w:w="630"/>
        <w:gridCol w:w="1080"/>
        <w:gridCol w:w="377"/>
        <w:gridCol w:w="1063"/>
        <w:gridCol w:w="358"/>
        <w:gridCol w:w="902"/>
        <w:gridCol w:w="377"/>
        <w:gridCol w:w="1063"/>
        <w:gridCol w:w="450"/>
        <w:gridCol w:w="180"/>
        <w:gridCol w:w="900"/>
        <w:gridCol w:w="180"/>
        <w:gridCol w:w="1080"/>
        <w:gridCol w:w="180"/>
        <w:gridCol w:w="630"/>
        <w:gridCol w:w="180"/>
      </w:tblGrid>
      <w:tr w:rsidR="00DA62CE" w:rsidRPr="00DA62CE" w14:paraId="48881C0E" w14:textId="77777777" w:rsidTr="00FD24B4">
        <w:trPr>
          <w:gridAfter w:val="1"/>
          <w:wAfter w:w="180" w:type="dxa"/>
          <w:trHeight w:val="900"/>
        </w:trPr>
        <w:tc>
          <w:tcPr>
            <w:tcW w:w="630" w:type="dxa"/>
            <w:tcBorders>
              <w:top w:val="nil"/>
              <w:left w:val="nil"/>
              <w:bottom w:val="nil"/>
              <w:right w:val="nil"/>
            </w:tcBorders>
            <w:shd w:val="clear" w:color="auto" w:fill="auto"/>
            <w:noWrap/>
            <w:vAlign w:val="bottom"/>
            <w:hideMark/>
          </w:tcPr>
          <w:p w14:paraId="599A6B12" w14:textId="77777777" w:rsidR="00DA62CE" w:rsidRPr="00DA62CE" w:rsidRDefault="00DA62CE" w:rsidP="00DA62CE">
            <w:pPr>
              <w:jc w:val="center"/>
              <w:rPr>
                <w:rFonts w:ascii="Calibri" w:hAnsi="Calibri"/>
                <w:b/>
                <w:bCs/>
                <w:color w:val="000000"/>
              </w:rPr>
            </w:pPr>
          </w:p>
        </w:tc>
        <w:tc>
          <w:tcPr>
            <w:tcW w:w="1080" w:type="dxa"/>
            <w:tcBorders>
              <w:top w:val="nil"/>
              <w:left w:val="nil"/>
              <w:bottom w:val="nil"/>
              <w:right w:val="nil"/>
            </w:tcBorders>
            <w:shd w:val="clear" w:color="auto" w:fill="auto"/>
            <w:vAlign w:val="bottom"/>
            <w:hideMark/>
          </w:tcPr>
          <w:p w14:paraId="140A7BCA"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Residents in IRP </w:t>
            </w:r>
          </w:p>
        </w:tc>
        <w:tc>
          <w:tcPr>
            <w:tcW w:w="377" w:type="dxa"/>
            <w:tcBorders>
              <w:top w:val="nil"/>
              <w:left w:val="nil"/>
              <w:bottom w:val="nil"/>
              <w:right w:val="nil"/>
            </w:tcBorders>
            <w:shd w:val="clear" w:color="auto" w:fill="auto"/>
            <w:vAlign w:val="bottom"/>
            <w:hideMark/>
          </w:tcPr>
          <w:p w14:paraId="713BBD96" w14:textId="77777777" w:rsidR="00DA62CE" w:rsidRPr="00DA62CE" w:rsidRDefault="00DA62CE" w:rsidP="00DA62CE">
            <w:pPr>
              <w:jc w:val="center"/>
              <w:rPr>
                <w:rFonts w:ascii="Calibri" w:hAnsi="Calibri"/>
                <w:b/>
                <w:bCs/>
                <w:color w:val="000000"/>
              </w:rPr>
            </w:pPr>
          </w:p>
        </w:tc>
        <w:tc>
          <w:tcPr>
            <w:tcW w:w="1063" w:type="dxa"/>
            <w:tcBorders>
              <w:top w:val="nil"/>
              <w:left w:val="nil"/>
              <w:bottom w:val="nil"/>
              <w:right w:val="nil"/>
            </w:tcBorders>
            <w:shd w:val="clear" w:color="auto" w:fill="auto"/>
            <w:vAlign w:val="bottom"/>
            <w:hideMark/>
          </w:tcPr>
          <w:p w14:paraId="1BE50F17"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IRP Weighting </w:t>
            </w:r>
          </w:p>
        </w:tc>
        <w:tc>
          <w:tcPr>
            <w:tcW w:w="358" w:type="dxa"/>
            <w:tcBorders>
              <w:top w:val="nil"/>
              <w:left w:val="nil"/>
              <w:bottom w:val="nil"/>
              <w:right w:val="nil"/>
            </w:tcBorders>
            <w:shd w:val="clear" w:color="auto" w:fill="auto"/>
            <w:vAlign w:val="bottom"/>
            <w:hideMark/>
          </w:tcPr>
          <w:p w14:paraId="3D80B8E7" w14:textId="77777777" w:rsidR="00DA62CE" w:rsidRPr="00DA62CE" w:rsidRDefault="00DA62CE" w:rsidP="00DA62CE">
            <w:pPr>
              <w:jc w:val="center"/>
              <w:rPr>
                <w:rFonts w:ascii="Calibri" w:hAnsi="Calibri"/>
                <w:b/>
                <w:bCs/>
                <w:color w:val="000000"/>
              </w:rPr>
            </w:pPr>
          </w:p>
        </w:tc>
        <w:tc>
          <w:tcPr>
            <w:tcW w:w="902" w:type="dxa"/>
            <w:tcBorders>
              <w:top w:val="nil"/>
              <w:left w:val="nil"/>
              <w:bottom w:val="nil"/>
              <w:right w:val="nil"/>
            </w:tcBorders>
            <w:shd w:val="clear" w:color="auto" w:fill="auto"/>
            <w:vAlign w:val="bottom"/>
            <w:hideMark/>
          </w:tcPr>
          <w:p w14:paraId="0E423DB4"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t>
            </w:r>
          </w:p>
        </w:tc>
        <w:tc>
          <w:tcPr>
            <w:tcW w:w="377" w:type="dxa"/>
            <w:tcBorders>
              <w:top w:val="nil"/>
              <w:left w:val="nil"/>
              <w:bottom w:val="nil"/>
              <w:right w:val="nil"/>
            </w:tcBorders>
            <w:shd w:val="clear" w:color="auto" w:fill="auto"/>
            <w:vAlign w:val="bottom"/>
            <w:hideMark/>
          </w:tcPr>
          <w:p w14:paraId="1E45D651" w14:textId="77777777" w:rsidR="00DA62CE" w:rsidRPr="00DA62CE" w:rsidRDefault="00DA62CE" w:rsidP="00DA62CE">
            <w:pPr>
              <w:jc w:val="center"/>
              <w:rPr>
                <w:rFonts w:ascii="Calibri" w:hAnsi="Calibri"/>
                <w:b/>
                <w:bCs/>
                <w:color w:val="000000"/>
              </w:rPr>
            </w:pPr>
          </w:p>
        </w:tc>
        <w:tc>
          <w:tcPr>
            <w:tcW w:w="1063" w:type="dxa"/>
            <w:tcBorders>
              <w:top w:val="nil"/>
              <w:left w:val="nil"/>
              <w:bottom w:val="nil"/>
              <w:right w:val="nil"/>
            </w:tcBorders>
            <w:shd w:val="clear" w:color="auto" w:fill="auto"/>
            <w:vAlign w:val="bottom"/>
            <w:hideMark/>
          </w:tcPr>
          <w:p w14:paraId="783BB68B"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Weighting </w:t>
            </w:r>
          </w:p>
        </w:tc>
        <w:tc>
          <w:tcPr>
            <w:tcW w:w="450" w:type="dxa"/>
            <w:tcBorders>
              <w:top w:val="nil"/>
              <w:left w:val="nil"/>
              <w:bottom w:val="nil"/>
              <w:right w:val="nil"/>
            </w:tcBorders>
            <w:shd w:val="clear" w:color="auto" w:fill="auto"/>
            <w:vAlign w:val="bottom"/>
            <w:hideMark/>
          </w:tcPr>
          <w:p w14:paraId="25D6D986" w14:textId="77777777" w:rsidR="00DA62CE" w:rsidRPr="00DA62CE" w:rsidRDefault="00DA62CE" w:rsidP="00DA62CE">
            <w:pPr>
              <w:jc w:val="center"/>
              <w:rPr>
                <w:rFonts w:ascii="Calibri" w:hAnsi="Calibri"/>
                <w:b/>
                <w:bCs/>
                <w:color w:val="000000"/>
              </w:rPr>
            </w:pPr>
          </w:p>
        </w:tc>
        <w:tc>
          <w:tcPr>
            <w:tcW w:w="1080" w:type="dxa"/>
            <w:gridSpan w:val="2"/>
            <w:tcBorders>
              <w:top w:val="nil"/>
              <w:left w:val="nil"/>
              <w:bottom w:val="nil"/>
              <w:right w:val="nil"/>
            </w:tcBorders>
            <w:shd w:val="clear" w:color="auto" w:fill="auto"/>
            <w:vAlign w:val="bottom"/>
            <w:hideMark/>
          </w:tcPr>
          <w:p w14:paraId="3E63BA3A"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Weighted FTE Count </w:t>
            </w:r>
          </w:p>
        </w:tc>
        <w:tc>
          <w:tcPr>
            <w:tcW w:w="1260" w:type="dxa"/>
            <w:gridSpan w:val="2"/>
            <w:tcBorders>
              <w:top w:val="nil"/>
              <w:left w:val="nil"/>
              <w:bottom w:val="nil"/>
              <w:right w:val="nil"/>
            </w:tcBorders>
            <w:shd w:val="clear" w:color="auto" w:fill="auto"/>
            <w:vAlign w:val="bottom"/>
            <w:hideMark/>
          </w:tcPr>
          <w:p w14:paraId="12EC2707"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Unweighted FTE Count </w:t>
            </w:r>
          </w:p>
        </w:tc>
        <w:tc>
          <w:tcPr>
            <w:tcW w:w="810" w:type="dxa"/>
            <w:gridSpan w:val="2"/>
            <w:tcBorders>
              <w:top w:val="nil"/>
              <w:left w:val="nil"/>
              <w:bottom w:val="nil"/>
              <w:right w:val="nil"/>
            </w:tcBorders>
            <w:shd w:val="clear" w:color="auto" w:fill="auto"/>
            <w:vAlign w:val="bottom"/>
            <w:hideMark/>
          </w:tcPr>
          <w:p w14:paraId="08A1F6DC"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of IRPs to Total</w:t>
            </w:r>
          </w:p>
        </w:tc>
      </w:tr>
      <w:tr w:rsidR="00DA62CE" w:rsidRPr="00DA62CE" w14:paraId="7D182912" w14:textId="77777777" w:rsidTr="00FD24B4">
        <w:trPr>
          <w:gridAfter w:val="1"/>
          <w:wAfter w:w="180" w:type="dxa"/>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91F87" w14:textId="77777777" w:rsidR="00DA62CE" w:rsidRPr="00DA62CE" w:rsidRDefault="00DA62CE" w:rsidP="00DA62CE">
            <w:pPr>
              <w:jc w:val="center"/>
              <w:rPr>
                <w:rFonts w:ascii="Calibri" w:hAnsi="Calibri"/>
                <w:color w:val="000000"/>
              </w:rPr>
            </w:pPr>
            <w:r w:rsidRPr="00DA62CE">
              <w:rPr>
                <w:rFonts w:ascii="Calibri" w:hAnsi="Calibri"/>
                <w:color w:val="000000"/>
              </w:rPr>
              <w:t>1996</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B2B3ABB"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80.00 </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14:paraId="44791D15"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14:paraId="755D7FEC"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58" w:type="dxa"/>
            <w:tcBorders>
              <w:top w:val="single" w:sz="4" w:space="0" w:color="auto"/>
              <w:left w:val="nil"/>
              <w:bottom w:val="single" w:sz="4" w:space="0" w:color="auto"/>
              <w:right w:val="single" w:sz="4" w:space="0" w:color="auto"/>
            </w:tcBorders>
            <w:shd w:val="clear" w:color="auto" w:fill="auto"/>
            <w:noWrap/>
            <w:vAlign w:val="bottom"/>
            <w:hideMark/>
          </w:tcPr>
          <w:p w14:paraId="1F018403"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14:paraId="1832238F"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20.00 </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14:paraId="568AEED4"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14:paraId="2AF9189A"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450" w:type="dxa"/>
            <w:tcBorders>
              <w:top w:val="single" w:sz="4" w:space="0" w:color="auto"/>
              <w:left w:val="nil"/>
              <w:bottom w:val="single" w:sz="4" w:space="0" w:color="auto"/>
              <w:right w:val="single" w:sz="4" w:space="0" w:color="auto"/>
            </w:tcBorders>
            <w:shd w:val="clear" w:color="auto" w:fill="auto"/>
            <w:noWrap/>
            <w:vAlign w:val="bottom"/>
            <w:hideMark/>
          </w:tcPr>
          <w:p w14:paraId="3131A0C4"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F14A5B"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90.00 </w:t>
            </w:r>
          </w:p>
        </w:tc>
        <w:tc>
          <w:tcPr>
            <w:tcW w:w="12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BE6604" w14:textId="77777777" w:rsidR="00DA62CE" w:rsidRPr="00DA62CE" w:rsidRDefault="00DA62CE" w:rsidP="00DA62CE">
            <w:pPr>
              <w:jc w:val="center"/>
              <w:rPr>
                <w:rFonts w:ascii="Calibri" w:hAnsi="Calibri"/>
                <w:color w:val="000000"/>
              </w:rPr>
            </w:pPr>
            <w:r w:rsidRPr="00DA62CE">
              <w:rPr>
                <w:rFonts w:ascii="Calibri" w:hAnsi="Calibri"/>
                <w:color w:val="000000"/>
              </w:rPr>
              <w:t>100.00</w:t>
            </w:r>
          </w:p>
        </w:tc>
        <w:tc>
          <w:tcPr>
            <w:tcW w:w="8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5C82F1" w14:textId="77777777" w:rsidR="00DA62CE" w:rsidRPr="00DA62CE" w:rsidRDefault="00DA62CE" w:rsidP="00DA62CE">
            <w:pPr>
              <w:jc w:val="center"/>
              <w:rPr>
                <w:rFonts w:ascii="Calibri" w:hAnsi="Calibri"/>
                <w:color w:val="000000"/>
              </w:rPr>
            </w:pPr>
            <w:r w:rsidRPr="00DA62CE">
              <w:rPr>
                <w:rFonts w:ascii="Calibri" w:hAnsi="Calibri"/>
                <w:color w:val="000000"/>
              </w:rPr>
              <w:t>80.0%</w:t>
            </w:r>
          </w:p>
        </w:tc>
      </w:tr>
      <w:tr w:rsidR="00DA62CE" w:rsidRPr="00DA62CE" w14:paraId="0AB711B6" w14:textId="77777777" w:rsidTr="00FD24B4">
        <w:trPr>
          <w:gridAfter w:val="1"/>
          <w:wAfter w:w="180" w:type="dxa"/>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22EC895B" w14:textId="77777777" w:rsidR="00DA62CE" w:rsidRPr="00DA62CE" w:rsidRDefault="00DA62CE" w:rsidP="00DA62CE">
            <w:pPr>
              <w:jc w:val="center"/>
              <w:rPr>
                <w:rFonts w:ascii="Calibri" w:hAnsi="Calibri"/>
                <w:color w:val="000000"/>
              </w:rPr>
            </w:pPr>
            <w:r w:rsidRPr="00DA62CE">
              <w:rPr>
                <w:rFonts w:ascii="Calibri" w:hAnsi="Calibri"/>
                <w:color w:val="000000"/>
              </w:rPr>
              <w:t>1998</w:t>
            </w:r>
          </w:p>
        </w:tc>
        <w:tc>
          <w:tcPr>
            <w:tcW w:w="1080" w:type="dxa"/>
            <w:tcBorders>
              <w:top w:val="nil"/>
              <w:left w:val="nil"/>
              <w:bottom w:val="single" w:sz="4" w:space="0" w:color="auto"/>
              <w:right w:val="single" w:sz="4" w:space="0" w:color="auto"/>
            </w:tcBorders>
            <w:shd w:val="clear" w:color="auto" w:fill="auto"/>
            <w:noWrap/>
            <w:vAlign w:val="bottom"/>
            <w:hideMark/>
          </w:tcPr>
          <w:p w14:paraId="675E3E99"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60.00 </w:t>
            </w:r>
          </w:p>
        </w:tc>
        <w:tc>
          <w:tcPr>
            <w:tcW w:w="377" w:type="dxa"/>
            <w:tcBorders>
              <w:top w:val="nil"/>
              <w:left w:val="nil"/>
              <w:bottom w:val="single" w:sz="4" w:space="0" w:color="auto"/>
              <w:right w:val="single" w:sz="4" w:space="0" w:color="auto"/>
            </w:tcBorders>
            <w:shd w:val="clear" w:color="auto" w:fill="auto"/>
            <w:noWrap/>
            <w:vAlign w:val="bottom"/>
            <w:hideMark/>
          </w:tcPr>
          <w:p w14:paraId="25946BEB"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3" w:type="dxa"/>
            <w:tcBorders>
              <w:top w:val="nil"/>
              <w:left w:val="nil"/>
              <w:bottom w:val="single" w:sz="4" w:space="0" w:color="auto"/>
              <w:right w:val="single" w:sz="4" w:space="0" w:color="auto"/>
            </w:tcBorders>
            <w:shd w:val="clear" w:color="auto" w:fill="auto"/>
            <w:noWrap/>
            <w:vAlign w:val="bottom"/>
            <w:hideMark/>
          </w:tcPr>
          <w:p w14:paraId="49FCE545"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58" w:type="dxa"/>
            <w:tcBorders>
              <w:top w:val="nil"/>
              <w:left w:val="nil"/>
              <w:bottom w:val="single" w:sz="4" w:space="0" w:color="auto"/>
              <w:right w:val="single" w:sz="4" w:space="0" w:color="auto"/>
            </w:tcBorders>
            <w:shd w:val="clear" w:color="auto" w:fill="auto"/>
            <w:noWrap/>
            <w:vAlign w:val="bottom"/>
            <w:hideMark/>
          </w:tcPr>
          <w:p w14:paraId="05F46C2D"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2" w:type="dxa"/>
            <w:tcBorders>
              <w:top w:val="nil"/>
              <w:left w:val="nil"/>
              <w:bottom w:val="single" w:sz="4" w:space="0" w:color="auto"/>
              <w:right w:val="single" w:sz="4" w:space="0" w:color="auto"/>
            </w:tcBorders>
            <w:shd w:val="clear" w:color="auto" w:fill="auto"/>
            <w:noWrap/>
            <w:vAlign w:val="bottom"/>
            <w:hideMark/>
          </w:tcPr>
          <w:p w14:paraId="0CE6A13D"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50.00 </w:t>
            </w:r>
          </w:p>
        </w:tc>
        <w:tc>
          <w:tcPr>
            <w:tcW w:w="377" w:type="dxa"/>
            <w:tcBorders>
              <w:top w:val="nil"/>
              <w:left w:val="nil"/>
              <w:bottom w:val="single" w:sz="4" w:space="0" w:color="auto"/>
              <w:right w:val="single" w:sz="4" w:space="0" w:color="auto"/>
            </w:tcBorders>
            <w:shd w:val="clear" w:color="auto" w:fill="auto"/>
            <w:noWrap/>
            <w:vAlign w:val="bottom"/>
            <w:hideMark/>
          </w:tcPr>
          <w:p w14:paraId="06C45F0E"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3" w:type="dxa"/>
            <w:tcBorders>
              <w:top w:val="nil"/>
              <w:left w:val="nil"/>
              <w:bottom w:val="single" w:sz="4" w:space="0" w:color="auto"/>
              <w:right w:val="single" w:sz="4" w:space="0" w:color="auto"/>
            </w:tcBorders>
            <w:shd w:val="clear" w:color="auto" w:fill="auto"/>
            <w:noWrap/>
            <w:vAlign w:val="bottom"/>
            <w:hideMark/>
          </w:tcPr>
          <w:p w14:paraId="367F50E9"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450" w:type="dxa"/>
            <w:tcBorders>
              <w:top w:val="nil"/>
              <w:left w:val="nil"/>
              <w:bottom w:val="single" w:sz="4" w:space="0" w:color="auto"/>
              <w:right w:val="single" w:sz="4" w:space="0" w:color="auto"/>
            </w:tcBorders>
            <w:shd w:val="clear" w:color="auto" w:fill="auto"/>
            <w:noWrap/>
            <w:vAlign w:val="bottom"/>
            <w:hideMark/>
          </w:tcPr>
          <w:p w14:paraId="4D4FD6A8"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0AEAC6F9"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85.00 </w:t>
            </w:r>
          </w:p>
        </w:tc>
        <w:tc>
          <w:tcPr>
            <w:tcW w:w="1260" w:type="dxa"/>
            <w:gridSpan w:val="2"/>
            <w:tcBorders>
              <w:top w:val="nil"/>
              <w:left w:val="nil"/>
              <w:bottom w:val="single" w:sz="4" w:space="0" w:color="auto"/>
              <w:right w:val="single" w:sz="4" w:space="0" w:color="auto"/>
            </w:tcBorders>
            <w:shd w:val="clear" w:color="auto" w:fill="auto"/>
            <w:noWrap/>
            <w:vAlign w:val="bottom"/>
            <w:hideMark/>
          </w:tcPr>
          <w:p w14:paraId="6BDFED0F" w14:textId="77777777" w:rsidR="00DA62CE" w:rsidRPr="00DA62CE" w:rsidRDefault="00DA62CE" w:rsidP="00DA62CE">
            <w:pPr>
              <w:jc w:val="center"/>
              <w:rPr>
                <w:rFonts w:ascii="Calibri" w:hAnsi="Calibri"/>
                <w:color w:val="000000"/>
              </w:rPr>
            </w:pPr>
            <w:r w:rsidRPr="00DA62CE">
              <w:rPr>
                <w:rFonts w:ascii="Calibri" w:hAnsi="Calibri"/>
                <w:color w:val="000000"/>
              </w:rPr>
              <w:t>110.00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089657E8" w14:textId="77777777" w:rsidR="00DA62CE" w:rsidRPr="00DA62CE" w:rsidRDefault="00DA62CE" w:rsidP="00DA62CE">
            <w:pPr>
              <w:jc w:val="center"/>
              <w:rPr>
                <w:rFonts w:ascii="Calibri" w:hAnsi="Calibri"/>
                <w:color w:val="000000"/>
              </w:rPr>
            </w:pPr>
            <w:r w:rsidRPr="00DA62CE">
              <w:rPr>
                <w:rFonts w:ascii="Calibri" w:hAnsi="Calibri"/>
                <w:color w:val="000000"/>
              </w:rPr>
              <w:t>54.5%</w:t>
            </w:r>
          </w:p>
        </w:tc>
      </w:tr>
      <w:tr w:rsidR="00DA62CE" w:rsidRPr="00DA62CE" w14:paraId="5ED00232" w14:textId="77777777" w:rsidTr="00FD24B4">
        <w:trPr>
          <w:gridAfter w:val="1"/>
          <w:wAfter w:w="180" w:type="dxa"/>
          <w:trHeight w:val="300"/>
        </w:trPr>
        <w:tc>
          <w:tcPr>
            <w:tcW w:w="630" w:type="dxa"/>
            <w:tcBorders>
              <w:top w:val="nil"/>
              <w:left w:val="nil"/>
              <w:bottom w:val="nil"/>
              <w:right w:val="nil"/>
            </w:tcBorders>
            <w:shd w:val="clear" w:color="auto" w:fill="auto"/>
            <w:noWrap/>
            <w:vAlign w:val="bottom"/>
            <w:hideMark/>
          </w:tcPr>
          <w:p w14:paraId="2C2F2FF6" w14:textId="77777777" w:rsidR="00DA62CE" w:rsidRPr="00DA62CE" w:rsidRDefault="00DA62CE" w:rsidP="00DA62CE">
            <w:pPr>
              <w:jc w:val="right"/>
              <w:rPr>
                <w:rFonts w:ascii="Calibri" w:hAnsi="Calibri"/>
                <w:color w:val="000000"/>
              </w:rPr>
            </w:pPr>
          </w:p>
        </w:tc>
        <w:tc>
          <w:tcPr>
            <w:tcW w:w="1080" w:type="dxa"/>
            <w:tcBorders>
              <w:top w:val="nil"/>
              <w:left w:val="nil"/>
              <w:bottom w:val="nil"/>
              <w:right w:val="nil"/>
            </w:tcBorders>
            <w:shd w:val="clear" w:color="auto" w:fill="auto"/>
            <w:noWrap/>
            <w:vAlign w:val="bottom"/>
            <w:hideMark/>
          </w:tcPr>
          <w:p w14:paraId="294FB6BA"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7221C68C"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14CAE5EB" w14:textId="77777777" w:rsidR="00DA62CE" w:rsidRPr="00DA62CE" w:rsidRDefault="00DA62CE" w:rsidP="00DA62CE"/>
        </w:tc>
        <w:tc>
          <w:tcPr>
            <w:tcW w:w="358" w:type="dxa"/>
            <w:tcBorders>
              <w:top w:val="nil"/>
              <w:left w:val="nil"/>
              <w:bottom w:val="nil"/>
              <w:right w:val="nil"/>
            </w:tcBorders>
            <w:shd w:val="clear" w:color="auto" w:fill="auto"/>
            <w:noWrap/>
            <w:vAlign w:val="bottom"/>
            <w:hideMark/>
          </w:tcPr>
          <w:p w14:paraId="46E321FE" w14:textId="77777777" w:rsidR="00DA62CE" w:rsidRPr="00DA62CE" w:rsidRDefault="00DA62CE" w:rsidP="00DA62CE"/>
        </w:tc>
        <w:tc>
          <w:tcPr>
            <w:tcW w:w="902" w:type="dxa"/>
            <w:tcBorders>
              <w:top w:val="nil"/>
              <w:left w:val="nil"/>
              <w:bottom w:val="nil"/>
              <w:right w:val="nil"/>
            </w:tcBorders>
            <w:shd w:val="clear" w:color="auto" w:fill="auto"/>
            <w:noWrap/>
            <w:vAlign w:val="bottom"/>
            <w:hideMark/>
          </w:tcPr>
          <w:p w14:paraId="129BDAE7"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00298A4B"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54AAFF77" w14:textId="77777777" w:rsidR="00DA62CE" w:rsidRPr="00DA62CE" w:rsidRDefault="00DA62CE" w:rsidP="00DA62CE"/>
        </w:tc>
        <w:tc>
          <w:tcPr>
            <w:tcW w:w="450" w:type="dxa"/>
            <w:tcBorders>
              <w:top w:val="nil"/>
              <w:left w:val="nil"/>
              <w:bottom w:val="nil"/>
              <w:right w:val="nil"/>
            </w:tcBorders>
            <w:shd w:val="clear" w:color="auto" w:fill="auto"/>
            <w:noWrap/>
            <w:vAlign w:val="bottom"/>
            <w:hideMark/>
          </w:tcPr>
          <w:p w14:paraId="3F17561E" w14:textId="77777777" w:rsidR="00DA62CE" w:rsidRPr="00DA62CE" w:rsidRDefault="00DA62CE" w:rsidP="00DA62CE"/>
        </w:tc>
        <w:tc>
          <w:tcPr>
            <w:tcW w:w="1080" w:type="dxa"/>
            <w:gridSpan w:val="2"/>
            <w:tcBorders>
              <w:top w:val="nil"/>
              <w:left w:val="nil"/>
              <w:bottom w:val="nil"/>
              <w:right w:val="nil"/>
            </w:tcBorders>
            <w:shd w:val="clear" w:color="auto" w:fill="auto"/>
            <w:noWrap/>
            <w:vAlign w:val="bottom"/>
            <w:hideMark/>
          </w:tcPr>
          <w:p w14:paraId="7D4F959C"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Ratio </w:t>
            </w:r>
          </w:p>
        </w:tc>
        <w:tc>
          <w:tcPr>
            <w:tcW w:w="1260" w:type="dxa"/>
            <w:gridSpan w:val="2"/>
            <w:tcBorders>
              <w:top w:val="nil"/>
              <w:left w:val="nil"/>
              <w:bottom w:val="nil"/>
              <w:right w:val="nil"/>
            </w:tcBorders>
            <w:shd w:val="clear" w:color="auto" w:fill="auto"/>
            <w:noWrap/>
            <w:vAlign w:val="bottom"/>
            <w:hideMark/>
          </w:tcPr>
          <w:p w14:paraId="712B8445" w14:textId="77777777" w:rsidR="00DA62CE" w:rsidRPr="00DA62CE" w:rsidRDefault="00DA62CE" w:rsidP="00DA62CE">
            <w:pPr>
              <w:jc w:val="center"/>
              <w:rPr>
                <w:rFonts w:ascii="Calibri" w:hAnsi="Calibri"/>
                <w:color w:val="000000"/>
              </w:rPr>
            </w:pPr>
            <w:r w:rsidRPr="00DA62CE">
              <w:rPr>
                <w:rFonts w:ascii="Calibri" w:hAnsi="Calibri"/>
                <w:color w:val="000000"/>
              </w:rPr>
              <w:t>90.9%</w:t>
            </w:r>
          </w:p>
        </w:tc>
        <w:tc>
          <w:tcPr>
            <w:tcW w:w="810" w:type="dxa"/>
            <w:gridSpan w:val="2"/>
            <w:tcBorders>
              <w:top w:val="nil"/>
              <w:left w:val="nil"/>
              <w:bottom w:val="nil"/>
              <w:right w:val="nil"/>
            </w:tcBorders>
            <w:shd w:val="clear" w:color="auto" w:fill="auto"/>
            <w:noWrap/>
            <w:vAlign w:val="bottom"/>
            <w:hideMark/>
          </w:tcPr>
          <w:p w14:paraId="2D7E3BFC" w14:textId="77777777" w:rsidR="00DA62CE" w:rsidRPr="00DA62CE" w:rsidRDefault="00DA62CE" w:rsidP="00DA62CE">
            <w:pPr>
              <w:jc w:val="center"/>
              <w:rPr>
                <w:rFonts w:ascii="Calibri" w:hAnsi="Calibri"/>
                <w:color w:val="000000"/>
              </w:rPr>
            </w:pPr>
          </w:p>
        </w:tc>
      </w:tr>
      <w:tr w:rsidR="00DA62CE" w:rsidRPr="00DA62CE" w14:paraId="11C7DD4F" w14:textId="77777777" w:rsidTr="00FD24B4">
        <w:trPr>
          <w:trHeight w:val="300"/>
        </w:trPr>
        <w:tc>
          <w:tcPr>
            <w:tcW w:w="630" w:type="dxa"/>
            <w:tcBorders>
              <w:top w:val="nil"/>
              <w:left w:val="nil"/>
              <w:bottom w:val="nil"/>
              <w:right w:val="nil"/>
            </w:tcBorders>
            <w:shd w:val="clear" w:color="auto" w:fill="auto"/>
            <w:noWrap/>
            <w:vAlign w:val="bottom"/>
            <w:hideMark/>
          </w:tcPr>
          <w:p w14:paraId="6CF11539" w14:textId="77777777" w:rsidR="00DA62CE" w:rsidRPr="00DA62CE" w:rsidRDefault="00DA62CE" w:rsidP="00DA62CE"/>
        </w:tc>
        <w:tc>
          <w:tcPr>
            <w:tcW w:w="1080" w:type="dxa"/>
            <w:tcBorders>
              <w:top w:val="nil"/>
              <w:left w:val="nil"/>
              <w:bottom w:val="nil"/>
              <w:right w:val="nil"/>
            </w:tcBorders>
            <w:shd w:val="clear" w:color="auto" w:fill="auto"/>
            <w:noWrap/>
            <w:vAlign w:val="bottom"/>
            <w:hideMark/>
          </w:tcPr>
          <w:p w14:paraId="77C81C79"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52F93608"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3D9AB649" w14:textId="77777777" w:rsidR="00DA62CE" w:rsidRPr="00DA62CE" w:rsidRDefault="00DA62CE" w:rsidP="00DA62CE"/>
        </w:tc>
        <w:tc>
          <w:tcPr>
            <w:tcW w:w="358" w:type="dxa"/>
            <w:tcBorders>
              <w:top w:val="nil"/>
              <w:left w:val="nil"/>
              <w:bottom w:val="nil"/>
              <w:right w:val="nil"/>
            </w:tcBorders>
            <w:shd w:val="clear" w:color="auto" w:fill="auto"/>
            <w:noWrap/>
            <w:vAlign w:val="bottom"/>
            <w:hideMark/>
          </w:tcPr>
          <w:p w14:paraId="734FDF24" w14:textId="77777777" w:rsidR="00DA62CE" w:rsidRPr="00DA62CE" w:rsidRDefault="00DA62CE" w:rsidP="00DA62CE"/>
        </w:tc>
        <w:tc>
          <w:tcPr>
            <w:tcW w:w="902" w:type="dxa"/>
            <w:tcBorders>
              <w:top w:val="nil"/>
              <w:left w:val="nil"/>
              <w:bottom w:val="nil"/>
              <w:right w:val="nil"/>
            </w:tcBorders>
            <w:shd w:val="clear" w:color="auto" w:fill="auto"/>
            <w:noWrap/>
            <w:vAlign w:val="bottom"/>
            <w:hideMark/>
          </w:tcPr>
          <w:p w14:paraId="5A305300"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0AED08A3"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4270FC54" w14:textId="77777777" w:rsidR="00DA62CE" w:rsidRPr="00DA62CE" w:rsidRDefault="00DA62CE" w:rsidP="00DA62CE">
            <w:pPr>
              <w:rPr>
                <w:rFonts w:ascii="Calibri" w:hAnsi="Calibri"/>
                <w:b/>
                <w:bCs/>
                <w:color w:val="000000"/>
              </w:rPr>
            </w:pPr>
            <w:r w:rsidRPr="00DA62CE">
              <w:rPr>
                <w:rFonts w:ascii="Calibri" w:hAnsi="Calibri"/>
                <w:b/>
                <w:bCs/>
                <w:color w:val="000000"/>
              </w:rPr>
              <w:t>Weighted</w:t>
            </w:r>
          </w:p>
        </w:tc>
        <w:tc>
          <w:tcPr>
            <w:tcW w:w="630" w:type="dxa"/>
            <w:gridSpan w:val="2"/>
            <w:tcBorders>
              <w:top w:val="nil"/>
              <w:left w:val="nil"/>
              <w:bottom w:val="nil"/>
              <w:right w:val="nil"/>
            </w:tcBorders>
            <w:shd w:val="clear" w:color="auto" w:fill="auto"/>
            <w:noWrap/>
            <w:vAlign w:val="bottom"/>
            <w:hideMark/>
          </w:tcPr>
          <w:p w14:paraId="038CF551" w14:textId="77777777" w:rsidR="00DA62CE" w:rsidRPr="00DA62CE" w:rsidRDefault="00DA62CE" w:rsidP="00DA62CE">
            <w:pPr>
              <w:rPr>
                <w:rFonts w:ascii="Calibri" w:hAnsi="Calibri"/>
                <w:b/>
                <w:bCs/>
                <w:color w:val="000000"/>
              </w:rPr>
            </w:pPr>
            <w:r w:rsidRPr="00DA62CE">
              <w:rPr>
                <w:rFonts w:ascii="Calibri" w:hAnsi="Calibri"/>
                <w:b/>
                <w:bCs/>
                <w:color w:val="000000"/>
              </w:rPr>
              <w:t>1998</w:t>
            </w:r>
          </w:p>
        </w:tc>
        <w:tc>
          <w:tcPr>
            <w:tcW w:w="1080" w:type="dxa"/>
            <w:gridSpan w:val="2"/>
            <w:tcBorders>
              <w:top w:val="nil"/>
              <w:left w:val="nil"/>
              <w:bottom w:val="nil"/>
              <w:right w:val="nil"/>
            </w:tcBorders>
            <w:shd w:val="clear" w:color="auto" w:fill="auto"/>
            <w:noWrap/>
            <w:vAlign w:val="bottom"/>
            <w:hideMark/>
          </w:tcPr>
          <w:p w14:paraId="51ABCCE3" w14:textId="77777777" w:rsidR="00DA62CE" w:rsidRPr="00DA62CE" w:rsidRDefault="00DA62CE" w:rsidP="00DA62CE">
            <w:pPr>
              <w:rPr>
                <w:rFonts w:ascii="Calibri" w:hAnsi="Calibri"/>
                <w:b/>
                <w:bCs/>
                <w:color w:val="000000"/>
              </w:rPr>
            </w:pPr>
            <w:r w:rsidRPr="00DA62CE">
              <w:rPr>
                <w:rFonts w:ascii="Calibri" w:hAnsi="Calibri"/>
                <w:b/>
                <w:bCs/>
                <w:color w:val="000000"/>
              </w:rPr>
              <w:t>FTE Count</w:t>
            </w:r>
          </w:p>
        </w:tc>
        <w:tc>
          <w:tcPr>
            <w:tcW w:w="1260" w:type="dxa"/>
            <w:gridSpan w:val="2"/>
            <w:tcBorders>
              <w:top w:val="nil"/>
              <w:left w:val="nil"/>
              <w:bottom w:val="nil"/>
              <w:right w:val="nil"/>
            </w:tcBorders>
            <w:shd w:val="clear" w:color="auto" w:fill="auto"/>
            <w:noWrap/>
            <w:vAlign w:val="bottom"/>
            <w:hideMark/>
          </w:tcPr>
          <w:p w14:paraId="46DFFD9A" w14:textId="77777777" w:rsidR="00DA62CE" w:rsidRPr="00DA62CE" w:rsidRDefault="00DA62CE" w:rsidP="00DA62CE">
            <w:pPr>
              <w:rPr>
                <w:rFonts w:ascii="Calibri" w:hAnsi="Calibri"/>
                <w:color w:val="000000"/>
              </w:rPr>
            </w:pPr>
            <w:r w:rsidRPr="00DA62CE">
              <w:rPr>
                <w:rFonts w:ascii="Calibri" w:hAnsi="Calibri"/>
                <w:color w:val="000000"/>
              </w:rPr>
              <w:t xml:space="preserve">  85.00</w:t>
            </w:r>
          </w:p>
        </w:tc>
        <w:tc>
          <w:tcPr>
            <w:tcW w:w="810" w:type="dxa"/>
            <w:gridSpan w:val="2"/>
            <w:tcBorders>
              <w:top w:val="nil"/>
              <w:left w:val="nil"/>
              <w:bottom w:val="nil"/>
              <w:right w:val="nil"/>
            </w:tcBorders>
            <w:shd w:val="clear" w:color="auto" w:fill="auto"/>
            <w:noWrap/>
            <w:vAlign w:val="bottom"/>
            <w:hideMark/>
          </w:tcPr>
          <w:p w14:paraId="1A10CE52" w14:textId="77777777" w:rsidR="00DA62CE" w:rsidRPr="00DA62CE" w:rsidRDefault="00DA62CE" w:rsidP="00DA62CE">
            <w:pPr>
              <w:jc w:val="center"/>
              <w:rPr>
                <w:rFonts w:ascii="Calibri" w:hAnsi="Calibri"/>
                <w:color w:val="000000"/>
              </w:rPr>
            </w:pPr>
          </w:p>
        </w:tc>
      </w:tr>
      <w:tr w:rsidR="00DA62CE" w:rsidRPr="00DA62CE" w14:paraId="0F9F3058" w14:textId="77777777" w:rsidTr="00FD24B4">
        <w:trPr>
          <w:gridAfter w:val="1"/>
          <w:wAfter w:w="180" w:type="dxa"/>
          <w:trHeight w:val="315"/>
        </w:trPr>
        <w:tc>
          <w:tcPr>
            <w:tcW w:w="630" w:type="dxa"/>
            <w:tcBorders>
              <w:top w:val="nil"/>
              <w:left w:val="nil"/>
              <w:bottom w:val="nil"/>
              <w:right w:val="nil"/>
            </w:tcBorders>
            <w:shd w:val="clear" w:color="auto" w:fill="auto"/>
            <w:noWrap/>
            <w:vAlign w:val="bottom"/>
            <w:hideMark/>
          </w:tcPr>
          <w:p w14:paraId="3B81D80C" w14:textId="77777777" w:rsidR="00DA62CE" w:rsidRPr="00DA62CE" w:rsidRDefault="00DA62CE" w:rsidP="00DA62CE"/>
        </w:tc>
        <w:tc>
          <w:tcPr>
            <w:tcW w:w="1080" w:type="dxa"/>
            <w:tcBorders>
              <w:top w:val="nil"/>
              <w:left w:val="nil"/>
              <w:bottom w:val="nil"/>
              <w:right w:val="nil"/>
            </w:tcBorders>
            <w:shd w:val="clear" w:color="auto" w:fill="auto"/>
            <w:noWrap/>
            <w:vAlign w:val="bottom"/>
            <w:hideMark/>
          </w:tcPr>
          <w:p w14:paraId="7F4A0E9C"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571F7719"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6D28E0CE" w14:textId="77777777" w:rsidR="00DA62CE" w:rsidRPr="00DA62CE" w:rsidRDefault="00DA62CE" w:rsidP="00DA62CE"/>
        </w:tc>
        <w:tc>
          <w:tcPr>
            <w:tcW w:w="358" w:type="dxa"/>
            <w:tcBorders>
              <w:top w:val="nil"/>
              <w:left w:val="nil"/>
              <w:bottom w:val="nil"/>
              <w:right w:val="nil"/>
            </w:tcBorders>
            <w:shd w:val="clear" w:color="auto" w:fill="auto"/>
            <w:noWrap/>
            <w:vAlign w:val="bottom"/>
            <w:hideMark/>
          </w:tcPr>
          <w:p w14:paraId="54454029" w14:textId="77777777" w:rsidR="00DA62CE" w:rsidRPr="00DA62CE" w:rsidRDefault="00DA62CE" w:rsidP="00DA62CE"/>
        </w:tc>
        <w:tc>
          <w:tcPr>
            <w:tcW w:w="902" w:type="dxa"/>
            <w:tcBorders>
              <w:top w:val="nil"/>
              <w:left w:val="nil"/>
              <w:bottom w:val="nil"/>
              <w:right w:val="nil"/>
            </w:tcBorders>
            <w:shd w:val="clear" w:color="auto" w:fill="auto"/>
            <w:noWrap/>
            <w:vAlign w:val="bottom"/>
            <w:hideMark/>
          </w:tcPr>
          <w:p w14:paraId="7FBB5283"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505961D3"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100ACDC5" w14:textId="77777777" w:rsidR="00DA62CE" w:rsidRPr="00DA62CE" w:rsidRDefault="00DA62CE" w:rsidP="00DA62CE"/>
        </w:tc>
        <w:tc>
          <w:tcPr>
            <w:tcW w:w="450" w:type="dxa"/>
            <w:tcBorders>
              <w:top w:val="nil"/>
              <w:left w:val="nil"/>
              <w:bottom w:val="nil"/>
              <w:right w:val="nil"/>
            </w:tcBorders>
            <w:shd w:val="clear" w:color="auto" w:fill="auto"/>
            <w:noWrap/>
            <w:vAlign w:val="bottom"/>
            <w:hideMark/>
          </w:tcPr>
          <w:p w14:paraId="0984CA8C" w14:textId="77777777" w:rsidR="00DA62CE" w:rsidRPr="00DA62CE" w:rsidRDefault="00DA62CE" w:rsidP="00DA62CE"/>
        </w:tc>
        <w:tc>
          <w:tcPr>
            <w:tcW w:w="1080" w:type="dxa"/>
            <w:gridSpan w:val="2"/>
            <w:tcBorders>
              <w:top w:val="nil"/>
              <w:left w:val="nil"/>
              <w:bottom w:val="nil"/>
              <w:right w:val="nil"/>
            </w:tcBorders>
            <w:shd w:val="clear" w:color="auto" w:fill="auto"/>
            <w:noWrap/>
            <w:vAlign w:val="bottom"/>
            <w:hideMark/>
          </w:tcPr>
          <w:p w14:paraId="465B1761" w14:textId="77777777" w:rsidR="00DA62CE" w:rsidRPr="00DA62CE" w:rsidRDefault="00DA62CE" w:rsidP="00DA62CE">
            <w:pPr>
              <w:jc w:val="right"/>
              <w:rPr>
                <w:rFonts w:ascii="Calibri" w:hAnsi="Calibri"/>
                <w:b/>
                <w:bCs/>
                <w:color w:val="000000"/>
              </w:rPr>
            </w:pPr>
            <w:r w:rsidRPr="00DA62CE">
              <w:rPr>
                <w:rFonts w:ascii="Calibri" w:hAnsi="Calibri"/>
                <w:b/>
                <w:bCs/>
                <w:color w:val="000000"/>
              </w:rPr>
              <w:t xml:space="preserve"> Allowed </w:t>
            </w:r>
          </w:p>
        </w:tc>
        <w:tc>
          <w:tcPr>
            <w:tcW w:w="1260" w:type="dxa"/>
            <w:gridSpan w:val="2"/>
            <w:tcBorders>
              <w:top w:val="single" w:sz="4" w:space="0" w:color="auto"/>
              <w:left w:val="nil"/>
              <w:bottom w:val="double" w:sz="6" w:space="0" w:color="auto"/>
              <w:right w:val="nil"/>
            </w:tcBorders>
            <w:shd w:val="clear" w:color="auto" w:fill="auto"/>
            <w:noWrap/>
            <w:vAlign w:val="bottom"/>
            <w:hideMark/>
          </w:tcPr>
          <w:p w14:paraId="2F9CB8C2" w14:textId="77777777" w:rsidR="00DA62CE" w:rsidRPr="00DA62CE" w:rsidRDefault="00DA62CE" w:rsidP="00DA62CE">
            <w:pPr>
              <w:rPr>
                <w:rFonts w:ascii="Calibri" w:hAnsi="Calibri"/>
                <w:color w:val="000000"/>
              </w:rPr>
            </w:pPr>
            <w:r w:rsidRPr="00DA62CE">
              <w:rPr>
                <w:rFonts w:ascii="Calibri" w:hAnsi="Calibri"/>
                <w:color w:val="000000"/>
              </w:rPr>
              <w:t xml:space="preserve">      77.3</w:t>
            </w:r>
          </w:p>
        </w:tc>
        <w:tc>
          <w:tcPr>
            <w:tcW w:w="810" w:type="dxa"/>
            <w:gridSpan w:val="2"/>
            <w:tcBorders>
              <w:top w:val="nil"/>
              <w:left w:val="nil"/>
              <w:bottom w:val="nil"/>
              <w:right w:val="nil"/>
            </w:tcBorders>
            <w:shd w:val="clear" w:color="auto" w:fill="auto"/>
            <w:noWrap/>
            <w:vAlign w:val="bottom"/>
            <w:hideMark/>
          </w:tcPr>
          <w:p w14:paraId="2A68C01F" w14:textId="77777777" w:rsidR="00DA62CE" w:rsidRPr="00DA62CE" w:rsidRDefault="00DA62CE" w:rsidP="00DA62CE">
            <w:pPr>
              <w:jc w:val="center"/>
              <w:rPr>
                <w:rFonts w:ascii="Calibri" w:hAnsi="Calibri"/>
                <w:color w:val="000000"/>
              </w:rPr>
            </w:pPr>
          </w:p>
        </w:tc>
      </w:tr>
    </w:tbl>
    <w:p w14:paraId="41C8C10A" w14:textId="77777777" w:rsidR="0024160D" w:rsidRPr="0024160D" w:rsidRDefault="0024160D" w:rsidP="0024160D">
      <w:pPr>
        <w:spacing w:line="480" w:lineRule="auto"/>
        <w:ind w:right="144"/>
        <w:jc w:val="both"/>
        <w:rPr>
          <w:rFonts w:ascii="Arial" w:eastAsia="Calibri" w:hAnsi="Arial" w:cs="Arial"/>
          <w:sz w:val="24"/>
          <w:szCs w:val="24"/>
        </w:rPr>
      </w:pPr>
    </w:p>
    <w:p w14:paraId="4DA27738"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In the examples in the FR and those described above, the variables that could have been visualized in reading the preamble and the interim final rule are covered (no change in the base year, a drop in just the fellows, a drop in the IRPs and elimination of fellows, an increase in IRPs and no change in fellows, no change in IRPs and increase in fellows, an increase in IRPs and elimination of fellows and finally a reduction in IRPs with a larger increase in fellows.  What was the provider community reaction?</w:t>
      </w:r>
    </w:p>
    <w:p w14:paraId="6CC49055" w14:textId="77777777" w:rsidR="0024160D" w:rsidRPr="0024160D" w:rsidRDefault="0024160D" w:rsidP="0024160D">
      <w:pPr>
        <w:spacing w:line="480" w:lineRule="auto"/>
        <w:ind w:right="144"/>
        <w:jc w:val="both"/>
        <w:rPr>
          <w:rFonts w:ascii="Arial" w:eastAsia="Calibri" w:hAnsi="Arial" w:cs="Arial"/>
          <w:sz w:val="24"/>
          <w:szCs w:val="24"/>
        </w:rPr>
      </w:pPr>
    </w:p>
    <w:p w14:paraId="4BE209C9" w14:textId="4AB15A5B"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At 63 FR 26318 (May 12, 1998), the final rule responding to comments from the August 19, 1997 interim final rule was published. (See Exhibit C-</w:t>
      </w:r>
      <w:r w:rsidR="00A34163">
        <w:rPr>
          <w:rFonts w:ascii="Arial" w:eastAsia="Calibri" w:hAnsi="Arial" w:cs="Arial"/>
          <w:sz w:val="24"/>
          <w:szCs w:val="24"/>
        </w:rPr>
        <w:t>5</w:t>
      </w:r>
      <w:r w:rsidRPr="0024160D">
        <w:rPr>
          <w:rFonts w:ascii="Arial" w:eastAsia="Calibri" w:hAnsi="Arial" w:cs="Arial"/>
          <w:sz w:val="24"/>
          <w:szCs w:val="24"/>
        </w:rPr>
        <w:t>).  The exhibit includes comments on many aspects of changes in counting residents.  The comments on the 3-year rolling average where the issue here lies, start at 63 FR 26330 in the middle column.  The discussion of what to do when a hospital increased its unweighted resident FTEs over its base unweighted count is repeated virtually verbatim and concludes as before,</w:t>
      </w:r>
    </w:p>
    <w:p w14:paraId="399E3611" w14:textId="77777777" w:rsidR="0024160D" w:rsidRPr="0024160D" w:rsidRDefault="0024160D" w:rsidP="00A34163">
      <w:pPr>
        <w:ind w:left="720" w:right="144"/>
        <w:jc w:val="both"/>
        <w:rPr>
          <w:rFonts w:ascii="Arial" w:eastAsia="Calibri" w:hAnsi="Arial" w:cs="Arial"/>
          <w:sz w:val="24"/>
          <w:szCs w:val="24"/>
        </w:rPr>
      </w:pPr>
    </w:p>
    <w:p w14:paraId="058D000C" w14:textId="77777777" w:rsidR="0024160D" w:rsidRPr="0024160D" w:rsidRDefault="0024160D" w:rsidP="00A34163">
      <w:pPr>
        <w:ind w:left="720" w:right="144"/>
        <w:jc w:val="both"/>
        <w:rPr>
          <w:rFonts w:ascii="Arial" w:eastAsia="Calibri" w:hAnsi="Arial" w:cs="Arial"/>
          <w:b/>
          <w:sz w:val="24"/>
          <w:szCs w:val="24"/>
        </w:rPr>
      </w:pPr>
      <w:r w:rsidRPr="0024160D">
        <w:rPr>
          <w:rFonts w:ascii="Arial" w:eastAsia="Calibri" w:hAnsi="Arial" w:cs="Arial"/>
          <w:b/>
          <w:sz w:val="24"/>
          <w:szCs w:val="24"/>
        </w:rPr>
        <w:t>We believe this proportional reduction in the hospital’s unweighted FTE count is an equitable mechanism for implementing the statutory provision.</w:t>
      </w:r>
    </w:p>
    <w:p w14:paraId="0D4785FC" w14:textId="77777777" w:rsidR="0024160D" w:rsidRPr="0024160D" w:rsidRDefault="0024160D" w:rsidP="0024160D">
      <w:pPr>
        <w:spacing w:line="480" w:lineRule="auto"/>
        <w:ind w:right="144"/>
        <w:jc w:val="both"/>
        <w:rPr>
          <w:rFonts w:ascii="Arial" w:eastAsia="Calibri" w:hAnsi="Arial" w:cs="Arial"/>
          <w:sz w:val="24"/>
          <w:szCs w:val="24"/>
        </w:rPr>
      </w:pPr>
    </w:p>
    <w:p w14:paraId="0BEBBBD0"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While there were many other complaints and criticisms on the implementation of the Cap and the 3-year rolling average, none were lodged against the “formula” as is being done in this Appeal.  Anyone considering the example used where an increase of 10 IRPs resulted in a 0.9 increase in allowable FTEs would have understood the implementation mechanism and that the unweighted base year FTE count was not an absolute measure of allowable FTEs in a payment year without considering anything else.  While the unweighted count was a factor in establishing each hospital’s going forward limit, so was that years mix of IRPs and fellows.  That was clear after August 12, 1997 and is equally clear now. </w:t>
      </w:r>
    </w:p>
    <w:p w14:paraId="6D90D4EE" w14:textId="77777777" w:rsidR="0024160D" w:rsidRPr="0024160D" w:rsidRDefault="0024160D" w:rsidP="0024160D">
      <w:pPr>
        <w:spacing w:line="480" w:lineRule="auto"/>
        <w:ind w:right="144"/>
        <w:jc w:val="both"/>
        <w:rPr>
          <w:rFonts w:ascii="Arial" w:eastAsia="Calibri" w:hAnsi="Arial" w:cs="Arial"/>
          <w:sz w:val="24"/>
          <w:szCs w:val="24"/>
        </w:rPr>
      </w:pPr>
    </w:p>
    <w:p w14:paraId="68459B68"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Using mostly farfetched and unrealistic examples, The Provider assume their basic position that the formula is illegal is correct and then cites a number of </w:t>
      </w:r>
      <w:r w:rsidRPr="0024160D">
        <w:rPr>
          <w:rFonts w:ascii="Arial" w:eastAsia="Calibri" w:hAnsi="Arial" w:cs="Arial"/>
          <w:sz w:val="24"/>
          <w:szCs w:val="24"/>
        </w:rPr>
        <w:lastRenderedPageBreak/>
        <w:t xml:space="preserve">federal cases in which the Court struck down positions taken by a number of government agencies as being in conflict with the underlying statutes as support. The real question is whether the challenged formula is illegal. </w:t>
      </w:r>
    </w:p>
    <w:p w14:paraId="5167C2D1" w14:textId="77777777" w:rsidR="0024160D" w:rsidRPr="0024160D" w:rsidRDefault="0024160D" w:rsidP="0024160D">
      <w:pPr>
        <w:spacing w:line="480" w:lineRule="auto"/>
        <w:ind w:right="144"/>
        <w:jc w:val="both"/>
        <w:rPr>
          <w:rFonts w:ascii="Arial" w:eastAsia="Calibri" w:hAnsi="Arial" w:cs="Arial"/>
          <w:sz w:val="24"/>
          <w:szCs w:val="24"/>
        </w:rPr>
      </w:pPr>
    </w:p>
    <w:p w14:paraId="14A9A432" w14:textId="77777777" w:rsid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The Providers here are attempting to adjust not only the appeal year FTE count but also the prior and penultimate years that flow into the appeal year FTE rolling average. The MAC will not oppose that effort on any jurisdictional basis.  However, the question of the Board’s authority to entertain the argument as well as the analysis above also apply in full to those years.</w:t>
      </w:r>
    </w:p>
    <w:p w14:paraId="50092370" w14:textId="77777777" w:rsidR="004B62C3" w:rsidRDefault="004B62C3" w:rsidP="0024160D">
      <w:pPr>
        <w:spacing w:line="480" w:lineRule="auto"/>
        <w:ind w:right="144"/>
        <w:jc w:val="both"/>
        <w:rPr>
          <w:rFonts w:ascii="Arial" w:eastAsia="Calibri" w:hAnsi="Arial" w:cs="Arial"/>
          <w:sz w:val="24"/>
          <w:szCs w:val="24"/>
        </w:rPr>
      </w:pPr>
    </w:p>
    <w:p w14:paraId="28275CDD" w14:textId="39819D4F" w:rsidR="00DD61D9" w:rsidRPr="006407D3" w:rsidRDefault="00DD61D9" w:rsidP="00DD61D9">
      <w:pPr>
        <w:pStyle w:val="ListParagraph"/>
        <w:numPr>
          <w:ilvl w:val="0"/>
          <w:numId w:val="31"/>
        </w:numPr>
        <w:spacing w:line="480" w:lineRule="auto"/>
        <w:ind w:right="144"/>
        <w:jc w:val="both"/>
        <w:rPr>
          <w:rFonts w:ascii="Arial" w:eastAsia="Calibri" w:hAnsi="Arial" w:cs="Arial"/>
          <w:b/>
          <w:bCs/>
          <w:sz w:val="24"/>
          <w:szCs w:val="24"/>
        </w:rPr>
      </w:pPr>
      <w:r w:rsidRPr="006407D3">
        <w:rPr>
          <w:rFonts w:ascii="Arial" w:eastAsia="Calibri" w:hAnsi="Arial" w:cs="Arial"/>
          <w:b/>
          <w:bCs/>
          <w:sz w:val="24"/>
          <w:szCs w:val="24"/>
        </w:rPr>
        <w:t xml:space="preserve">Regulation </w:t>
      </w:r>
      <w:r>
        <w:rPr>
          <w:rFonts w:ascii="Arial" w:eastAsia="Calibri" w:hAnsi="Arial" w:cs="Arial"/>
          <w:b/>
          <w:bCs/>
          <w:sz w:val="24"/>
          <w:szCs w:val="24"/>
        </w:rPr>
        <w:t xml:space="preserve">As Amended Subsequent </w:t>
      </w:r>
      <w:r w:rsidRPr="006407D3">
        <w:rPr>
          <w:rFonts w:ascii="Arial" w:eastAsia="Calibri" w:hAnsi="Arial" w:cs="Arial"/>
          <w:b/>
          <w:bCs/>
          <w:sz w:val="24"/>
          <w:szCs w:val="24"/>
        </w:rPr>
        <w:t>to FFY 2023 Final Rule</w:t>
      </w:r>
    </w:p>
    <w:p w14:paraId="0FFFD6DB" w14:textId="77777777" w:rsidR="001F3583" w:rsidRDefault="00EB1BB4" w:rsidP="006F12E1">
      <w:pPr>
        <w:spacing w:line="480" w:lineRule="auto"/>
        <w:rPr>
          <w:rFonts w:ascii="Arial" w:hAnsi="Arial" w:cs="Arial"/>
          <w:bCs/>
          <w:sz w:val="24"/>
          <w:szCs w:val="24"/>
        </w:rPr>
      </w:pPr>
      <w:r>
        <w:rPr>
          <w:rFonts w:ascii="Arial" w:hAnsi="Arial" w:cs="Arial"/>
          <w:bCs/>
          <w:sz w:val="24"/>
          <w:szCs w:val="24"/>
        </w:rPr>
        <w:t xml:space="preserve">The FFY 2023 Final Rule </w:t>
      </w:r>
      <w:r w:rsidR="001F3583">
        <w:rPr>
          <w:rFonts w:ascii="Arial" w:hAnsi="Arial" w:cs="Arial"/>
          <w:bCs/>
          <w:sz w:val="24"/>
          <w:szCs w:val="24"/>
        </w:rPr>
        <w:t>retroactively modified the</w:t>
      </w:r>
      <w:r w:rsidR="001F3583">
        <w:rPr>
          <w:rFonts w:ascii="Arial" w:hAnsi="Arial" w:cs="Arial"/>
          <w:sz w:val="24"/>
          <w:szCs w:val="24"/>
        </w:rPr>
        <w:t xml:space="preserve"> </w:t>
      </w:r>
      <w:r w:rsidR="001F3583" w:rsidRPr="001F3583">
        <w:rPr>
          <w:rFonts w:ascii="Arial" w:hAnsi="Arial" w:cs="Arial"/>
          <w:bCs/>
          <w:sz w:val="24"/>
          <w:szCs w:val="24"/>
        </w:rPr>
        <w:t>regulations at 42 C.F.R. § 413.79(c)(2)(iii) and 42 C.F.R. § 413.79(d)(3)</w:t>
      </w:r>
      <w:r w:rsidR="001F3583">
        <w:rPr>
          <w:rFonts w:ascii="Arial" w:hAnsi="Arial" w:cs="Arial"/>
          <w:bCs/>
          <w:sz w:val="24"/>
          <w:szCs w:val="24"/>
        </w:rPr>
        <w:t xml:space="preserve"> as follows:</w:t>
      </w:r>
    </w:p>
    <w:p w14:paraId="2C135F79" w14:textId="77777777" w:rsidR="004B62C3" w:rsidRDefault="001F3583" w:rsidP="001F3583">
      <w:pPr>
        <w:ind w:left="720"/>
        <w:rPr>
          <w:rFonts w:ascii="Arial" w:hAnsi="Arial" w:cs="Arial"/>
          <w:bCs/>
          <w:sz w:val="24"/>
          <w:szCs w:val="24"/>
        </w:rPr>
      </w:pPr>
      <w:r w:rsidRPr="001F3583">
        <w:rPr>
          <w:rFonts w:ascii="Arial" w:hAnsi="Arial" w:cs="Arial"/>
          <w:bCs/>
          <w:sz w:val="24"/>
          <w:szCs w:val="24"/>
        </w:rPr>
        <w:t xml:space="preserve">413.79(c)(2)(iii) </w:t>
      </w:r>
      <w:r>
        <w:rPr>
          <w:rFonts w:ascii="Arial" w:hAnsi="Arial" w:cs="Arial"/>
          <w:bCs/>
          <w:sz w:val="24"/>
          <w:szCs w:val="24"/>
        </w:rPr>
        <w:t xml:space="preserve">- </w:t>
      </w:r>
      <w:r w:rsidRPr="001F3583">
        <w:rPr>
          <w:rFonts w:ascii="Arial" w:hAnsi="Arial" w:cs="Arial"/>
          <w:bCs/>
          <w:sz w:val="24"/>
          <w:szCs w:val="24"/>
        </w:rPr>
        <w:t xml:space="preserve"> Effective for cost reporting periods beginning on or after October 1, 2001, if the hospital's</w:t>
      </w:r>
      <w:r>
        <w:rPr>
          <w:rFonts w:ascii="Arial" w:hAnsi="Arial" w:cs="Arial"/>
          <w:bCs/>
          <w:sz w:val="24"/>
          <w:szCs w:val="24"/>
        </w:rPr>
        <w:t xml:space="preserve"> </w:t>
      </w:r>
      <w:r w:rsidRPr="001F3583">
        <w:rPr>
          <w:rFonts w:ascii="Arial" w:hAnsi="Arial" w:cs="Arial"/>
          <w:bCs/>
          <w:sz w:val="24"/>
          <w:szCs w:val="24"/>
        </w:rPr>
        <w:t>unweighted number of FTE residents exceeds the limit described in this section, and the</w:t>
      </w:r>
      <w:r>
        <w:rPr>
          <w:rFonts w:ascii="Arial" w:hAnsi="Arial" w:cs="Arial"/>
          <w:bCs/>
          <w:sz w:val="24"/>
          <w:szCs w:val="24"/>
        </w:rPr>
        <w:t xml:space="preserve"> </w:t>
      </w:r>
      <w:r w:rsidRPr="001F3583">
        <w:rPr>
          <w:rFonts w:ascii="Arial" w:hAnsi="Arial" w:cs="Arial"/>
          <w:bCs/>
          <w:sz w:val="24"/>
          <w:szCs w:val="24"/>
        </w:rPr>
        <w:t>number of weighted FTE residents in accordance with paragraph (b) of this section also</w:t>
      </w:r>
      <w:r>
        <w:rPr>
          <w:rFonts w:ascii="Arial" w:hAnsi="Arial" w:cs="Arial"/>
          <w:bCs/>
          <w:sz w:val="24"/>
          <w:szCs w:val="24"/>
        </w:rPr>
        <w:t xml:space="preserve"> </w:t>
      </w:r>
      <w:r w:rsidRPr="001F3583">
        <w:rPr>
          <w:rFonts w:ascii="Arial" w:hAnsi="Arial" w:cs="Arial"/>
          <w:bCs/>
          <w:sz w:val="24"/>
          <w:szCs w:val="24"/>
        </w:rPr>
        <w:t>exceeds that limit, the respective primary care and obstetrics and gynecology weighted FTE</w:t>
      </w:r>
      <w:r>
        <w:rPr>
          <w:rFonts w:ascii="Arial" w:hAnsi="Arial" w:cs="Arial"/>
          <w:bCs/>
          <w:sz w:val="24"/>
          <w:szCs w:val="24"/>
        </w:rPr>
        <w:t xml:space="preserve"> </w:t>
      </w:r>
      <w:r w:rsidRPr="001F3583">
        <w:rPr>
          <w:rFonts w:ascii="Arial" w:hAnsi="Arial" w:cs="Arial"/>
          <w:bCs/>
          <w:sz w:val="24"/>
          <w:szCs w:val="24"/>
        </w:rPr>
        <w:t>counts and other weighted FTE counts are adjusted to make the total weighted FTE count equal</w:t>
      </w:r>
      <w:r>
        <w:rPr>
          <w:rFonts w:ascii="Arial" w:hAnsi="Arial" w:cs="Arial"/>
          <w:bCs/>
          <w:sz w:val="24"/>
          <w:szCs w:val="24"/>
        </w:rPr>
        <w:t xml:space="preserve"> </w:t>
      </w:r>
      <w:r w:rsidRPr="001F3583">
        <w:rPr>
          <w:rFonts w:ascii="Arial" w:hAnsi="Arial" w:cs="Arial"/>
          <w:bCs/>
          <w:sz w:val="24"/>
          <w:szCs w:val="24"/>
        </w:rPr>
        <w:t>the limit. If the number of FTE residents weighted in accordance with paragraph (b) of this</w:t>
      </w:r>
      <w:r>
        <w:rPr>
          <w:rFonts w:ascii="Arial" w:hAnsi="Arial" w:cs="Arial"/>
          <w:bCs/>
          <w:sz w:val="24"/>
          <w:szCs w:val="24"/>
        </w:rPr>
        <w:t xml:space="preserve"> </w:t>
      </w:r>
      <w:r w:rsidRPr="001F3583">
        <w:rPr>
          <w:rFonts w:ascii="Arial" w:hAnsi="Arial" w:cs="Arial"/>
          <w:bCs/>
          <w:sz w:val="24"/>
          <w:szCs w:val="24"/>
        </w:rPr>
        <w:t>section does not exceed that limit, then the allowable weighted FTE count is the actual</w:t>
      </w:r>
      <w:r>
        <w:rPr>
          <w:rFonts w:ascii="Arial" w:hAnsi="Arial" w:cs="Arial"/>
          <w:bCs/>
          <w:sz w:val="24"/>
          <w:szCs w:val="24"/>
        </w:rPr>
        <w:t xml:space="preserve"> </w:t>
      </w:r>
      <w:r w:rsidRPr="001F3583">
        <w:rPr>
          <w:rFonts w:ascii="Arial" w:hAnsi="Arial" w:cs="Arial"/>
          <w:bCs/>
          <w:sz w:val="24"/>
          <w:szCs w:val="24"/>
        </w:rPr>
        <w:t xml:space="preserve">weighted FTE count. </w:t>
      </w:r>
    </w:p>
    <w:p w14:paraId="5782EFBB" w14:textId="77777777" w:rsidR="004B62C3" w:rsidRDefault="004B62C3" w:rsidP="001F3583">
      <w:pPr>
        <w:ind w:left="720"/>
        <w:rPr>
          <w:rFonts w:ascii="Arial" w:hAnsi="Arial" w:cs="Arial"/>
          <w:bCs/>
          <w:sz w:val="24"/>
          <w:szCs w:val="24"/>
        </w:rPr>
      </w:pPr>
    </w:p>
    <w:p w14:paraId="783E4ABB" w14:textId="327157A9" w:rsidR="006F12E1" w:rsidRDefault="004B62C3" w:rsidP="004B62C3">
      <w:pPr>
        <w:ind w:left="720"/>
        <w:rPr>
          <w:rFonts w:ascii="Arial" w:hAnsi="Arial" w:cs="Arial"/>
          <w:bCs/>
          <w:sz w:val="24"/>
          <w:szCs w:val="24"/>
        </w:rPr>
      </w:pPr>
      <w:r w:rsidRPr="004B62C3">
        <w:rPr>
          <w:rFonts w:ascii="Arial" w:hAnsi="Arial" w:cs="Arial"/>
          <w:bCs/>
          <w:sz w:val="24"/>
          <w:szCs w:val="24"/>
        </w:rPr>
        <w:t xml:space="preserve">413.79(d)(3) </w:t>
      </w:r>
      <w:r>
        <w:rPr>
          <w:rFonts w:ascii="Arial" w:hAnsi="Arial" w:cs="Arial"/>
          <w:bCs/>
          <w:sz w:val="24"/>
          <w:szCs w:val="24"/>
        </w:rPr>
        <w:t xml:space="preserve">- </w:t>
      </w:r>
      <w:r w:rsidRPr="004B62C3">
        <w:rPr>
          <w:rFonts w:ascii="Arial" w:hAnsi="Arial" w:cs="Arial"/>
          <w:bCs/>
          <w:sz w:val="24"/>
          <w:szCs w:val="24"/>
        </w:rPr>
        <w:t>For cost reporting periods beginning on or after October 1, 2001, the hospital's weighted FTE count</w:t>
      </w:r>
      <w:r>
        <w:rPr>
          <w:rFonts w:ascii="Arial" w:hAnsi="Arial" w:cs="Arial"/>
          <w:bCs/>
          <w:sz w:val="24"/>
          <w:szCs w:val="24"/>
        </w:rPr>
        <w:t xml:space="preserve"> </w:t>
      </w:r>
      <w:r w:rsidRPr="004B62C3">
        <w:rPr>
          <w:rFonts w:ascii="Arial" w:hAnsi="Arial" w:cs="Arial"/>
          <w:bCs/>
          <w:sz w:val="24"/>
          <w:szCs w:val="24"/>
        </w:rPr>
        <w:t>for primary care and obstetrics and gynecology residents is equal to the average of the weighted</w:t>
      </w:r>
      <w:r>
        <w:rPr>
          <w:rFonts w:ascii="Arial" w:hAnsi="Arial" w:cs="Arial"/>
          <w:bCs/>
          <w:sz w:val="24"/>
          <w:szCs w:val="24"/>
        </w:rPr>
        <w:t xml:space="preserve"> </w:t>
      </w:r>
      <w:r w:rsidRPr="004B62C3">
        <w:rPr>
          <w:rFonts w:ascii="Arial" w:hAnsi="Arial" w:cs="Arial"/>
          <w:bCs/>
          <w:sz w:val="24"/>
          <w:szCs w:val="24"/>
        </w:rPr>
        <w:t>primary care and obstetrics and gynecology counts for the payment year cost reporting period and</w:t>
      </w:r>
      <w:r>
        <w:rPr>
          <w:rFonts w:ascii="Arial" w:hAnsi="Arial" w:cs="Arial"/>
          <w:bCs/>
          <w:sz w:val="24"/>
          <w:szCs w:val="24"/>
        </w:rPr>
        <w:t xml:space="preserve"> </w:t>
      </w:r>
      <w:r w:rsidRPr="004B62C3">
        <w:rPr>
          <w:rFonts w:ascii="Arial" w:hAnsi="Arial" w:cs="Arial"/>
          <w:bCs/>
          <w:sz w:val="24"/>
          <w:szCs w:val="24"/>
        </w:rPr>
        <w:t>the preceding two cost reporting periods, and the hospital's weighted FTE count for nonprimary care</w:t>
      </w:r>
      <w:r>
        <w:rPr>
          <w:rFonts w:ascii="Arial" w:hAnsi="Arial" w:cs="Arial"/>
          <w:bCs/>
          <w:sz w:val="24"/>
          <w:szCs w:val="24"/>
        </w:rPr>
        <w:t xml:space="preserve"> </w:t>
      </w:r>
      <w:r w:rsidRPr="004B62C3">
        <w:rPr>
          <w:rFonts w:ascii="Arial" w:hAnsi="Arial" w:cs="Arial"/>
          <w:bCs/>
          <w:sz w:val="24"/>
          <w:szCs w:val="24"/>
        </w:rPr>
        <w:t>residents is equal to the average of the weighted nonprimary care FTE counts for the payment year</w:t>
      </w:r>
      <w:r>
        <w:rPr>
          <w:rFonts w:ascii="Arial" w:hAnsi="Arial" w:cs="Arial"/>
          <w:bCs/>
          <w:sz w:val="24"/>
          <w:szCs w:val="24"/>
        </w:rPr>
        <w:t xml:space="preserve"> </w:t>
      </w:r>
      <w:r w:rsidRPr="004B62C3">
        <w:rPr>
          <w:rFonts w:ascii="Arial" w:hAnsi="Arial" w:cs="Arial"/>
          <w:bCs/>
          <w:sz w:val="24"/>
          <w:szCs w:val="24"/>
        </w:rPr>
        <w:t>cost reporting period and the preceding two cost reporting periods. For cost reporting periods</w:t>
      </w:r>
      <w:r>
        <w:rPr>
          <w:rFonts w:ascii="Arial" w:hAnsi="Arial" w:cs="Arial"/>
          <w:bCs/>
          <w:sz w:val="24"/>
          <w:szCs w:val="24"/>
        </w:rPr>
        <w:t xml:space="preserve"> </w:t>
      </w:r>
      <w:r w:rsidRPr="004B62C3">
        <w:rPr>
          <w:rFonts w:ascii="Arial" w:hAnsi="Arial" w:cs="Arial"/>
          <w:bCs/>
          <w:sz w:val="24"/>
          <w:szCs w:val="24"/>
        </w:rPr>
        <w:t xml:space="preserve">beginning on or after October 1, 2001, the </w:t>
      </w:r>
      <w:r w:rsidRPr="004B62C3">
        <w:rPr>
          <w:rFonts w:ascii="Arial" w:hAnsi="Arial" w:cs="Arial"/>
          <w:bCs/>
          <w:sz w:val="24"/>
          <w:szCs w:val="24"/>
        </w:rPr>
        <w:lastRenderedPageBreak/>
        <w:t>hospital's weighted FTE counts for the preceding two cost</w:t>
      </w:r>
      <w:r>
        <w:rPr>
          <w:rFonts w:ascii="Arial" w:hAnsi="Arial" w:cs="Arial"/>
          <w:bCs/>
          <w:sz w:val="24"/>
          <w:szCs w:val="24"/>
        </w:rPr>
        <w:t xml:space="preserve"> </w:t>
      </w:r>
      <w:r w:rsidRPr="004B62C3">
        <w:rPr>
          <w:rFonts w:ascii="Arial" w:hAnsi="Arial" w:cs="Arial"/>
          <w:bCs/>
          <w:sz w:val="24"/>
          <w:szCs w:val="24"/>
        </w:rPr>
        <w:t>reporting periods are calculated in accordance with the payment formula in paragraph (c)(2)(iii) of</w:t>
      </w:r>
      <w:r>
        <w:rPr>
          <w:rFonts w:ascii="Arial" w:hAnsi="Arial" w:cs="Arial"/>
          <w:bCs/>
          <w:sz w:val="24"/>
          <w:szCs w:val="24"/>
        </w:rPr>
        <w:t xml:space="preserve"> </w:t>
      </w:r>
      <w:r w:rsidRPr="004B62C3">
        <w:rPr>
          <w:rFonts w:ascii="Arial" w:hAnsi="Arial" w:cs="Arial"/>
          <w:bCs/>
          <w:sz w:val="24"/>
          <w:szCs w:val="24"/>
        </w:rPr>
        <w:t>this section.</w:t>
      </w:r>
      <w:r w:rsidR="001F3583">
        <w:rPr>
          <w:rFonts w:ascii="Arial" w:hAnsi="Arial" w:cs="Arial"/>
          <w:bCs/>
          <w:sz w:val="24"/>
          <w:szCs w:val="24"/>
        </w:rPr>
        <w:t xml:space="preserve"> </w:t>
      </w:r>
    </w:p>
    <w:p w14:paraId="0740B47C" w14:textId="77777777" w:rsidR="001F3583" w:rsidRDefault="001F3583" w:rsidP="006F12E1">
      <w:pPr>
        <w:spacing w:line="480" w:lineRule="auto"/>
        <w:rPr>
          <w:rFonts w:ascii="Arial" w:hAnsi="Arial" w:cs="Arial"/>
          <w:bCs/>
          <w:sz w:val="24"/>
          <w:szCs w:val="24"/>
        </w:rPr>
      </w:pPr>
    </w:p>
    <w:p w14:paraId="10E57FD6" w14:textId="138AC5B6" w:rsidR="004B62C3" w:rsidRDefault="004B62C3" w:rsidP="006F12E1">
      <w:pPr>
        <w:spacing w:line="480" w:lineRule="auto"/>
        <w:rPr>
          <w:rFonts w:ascii="Arial" w:hAnsi="Arial" w:cs="Arial"/>
          <w:bCs/>
          <w:sz w:val="24"/>
          <w:szCs w:val="24"/>
        </w:rPr>
      </w:pPr>
      <w:r>
        <w:rPr>
          <w:rFonts w:ascii="Arial" w:hAnsi="Arial" w:cs="Arial"/>
          <w:bCs/>
          <w:sz w:val="24"/>
          <w:szCs w:val="24"/>
        </w:rPr>
        <w:t xml:space="preserve">The reasons for the amended regulations were included in the August 10, </w:t>
      </w:r>
      <w:r w:rsidR="00D56C00">
        <w:rPr>
          <w:rFonts w:ascii="Arial" w:hAnsi="Arial" w:cs="Arial"/>
          <w:bCs/>
          <w:sz w:val="24"/>
          <w:szCs w:val="24"/>
        </w:rPr>
        <w:t>2022,</w:t>
      </w:r>
      <w:r>
        <w:rPr>
          <w:rFonts w:ascii="Arial" w:hAnsi="Arial" w:cs="Arial"/>
          <w:bCs/>
          <w:sz w:val="24"/>
          <w:szCs w:val="24"/>
        </w:rPr>
        <w:t xml:space="preserve"> Federal Register (87 FR 49065-49072)</w:t>
      </w:r>
      <w:r w:rsidR="00F800E3">
        <w:rPr>
          <w:rFonts w:ascii="Arial" w:hAnsi="Arial" w:cs="Arial"/>
          <w:bCs/>
          <w:sz w:val="24"/>
          <w:szCs w:val="24"/>
        </w:rPr>
        <w:t xml:space="preserve"> (Exhibit C-6)</w:t>
      </w:r>
      <w:r>
        <w:rPr>
          <w:rFonts w:ascii="Arial" w:hAnsi="Arial" w:cs="Arial"/>
          <w:bCs/>
          <w:sz w:val="24"/>
          <w:szCs w:val="24"/>
        </w:rPr>
        <w:t>.</w:t>
      </w:r>
      <w:r w:rsidR="00AA5725">
        <w:rPr>
          <w:rFonts w:ascii="Arial" w:hAnsi="Arial" w:cs="Arial"/>
          <w:bCs/>
          <w:sz w:val="24"/>
          <w:szCs w:val="24"/>
        </w:rPr>
        <w:t xml:space="preserve">  It was determined that the existing regulations did not comply with the statute.  The amended regulations would apply retroactively to open cost reports.  It included a summary as follows:</w:t>
      </w:r>
    </w:p>
    <w:p w14:paraId="12D4B1C8" w14:textId="18D48688" w:rsidR="00AA5725" w:rsidRDefault="00AA5725" w:rsidP="00925DD0">
      <w:pPr>
        <w:ind w:left="720"/>
        <w:rPr>
          <w:rFonts w:ascii="Arial" w:hAnsi="Arial" w:cs="Arial"/>
          <w:bCs/>
          <w:sz w:val="24"/>
          <w:szCs w:val="24"/>
        </w:rPr>
      </w:pPr>
      <w:r w:rsidRPr="00AA5725">
        <w:rPr>
          <w:rFonts w:ascii="Arial" w:hAnsi="Arial" w:cs="Arial"/>
          <w:bCs/>
          <w:sz w:val="24"/>
          <w:szCs w:val="24"/>
        </w:rPr>
        <w:t>After consideration of comments</w:t>
      </w:r>
      <w:r>
        <w:rPr>
          <w:rFonts w:ascii="Arial" w:hAnsi="Arial" w:cs="Arial"/>
          <w:bCs/>
          <w:sz w:val="24"/>
          <w:szCs w:val="24"/>
        </w:rPr>
        <w:t xml:space="preserve"> </w:t>
      </w:r>
      <w:r w:rsidRPr="00AA5725">
        <w:rPr>
          <w:rFonts w:ascii="Arial" w:hAnsi="Arial" w:cs="Arial"/>
          <w:bCs/>
          <w:sz w:val="24"/>
          <w:szCs w:val="24"/>
        </w:rPr>
        <w:t>received, we are finalizing our proposed</w:t>
      </w:r>
      <w:r>
        <w:rPr>
          <w:rFonts w:ascii="Arial" w:hAnsi="Arial" w:cs="Arial"/>
          <w:bCs/>
          <w:sz w:val="24"/>
          <w:szCs w:val="24"/>
        </w:rPr>
        <w:t xml:space="preserve"> </w:t>
      </w:r>
      <w:r w:rsidRPr="00AA5725">
        <w:rPr>
          <w:rFonts w:ascii="Arial" w:hAnsi="Arial" w:cs="Arial"/>
          <w:bCs/>
          <w:sz w:val="24"/>
          <w:szCs w:val="24"/>
        </w:rPr>
        <w:t>policy and regulations text at 42 CFR</w:t>
      </w:r>
      <w:r>
        <w:rPr>
          <w:rFonts w:ascii="Arial" w:hAnsi="Arial" w:cs="Arial"/>
          <w:bCs/>
          <w:sz w:val="24"/>
          <w:szCs w:val="24"/>
        </w:rPr>
        <w:t xml:space="preserve"> </w:t>
      </w:r>
      <w:r w:rsidRPr="00AA5725">
        <w:rPr>
          <w:rFonts w:ascii="Arial" w:hAnsi="Arial" w:cs="Arial"/>
          <w:bCs/>
          <w:sz w:val="24"/>
          <w:szCs w:val="24"/>
        </w:rPr>
        <w:t>413.79(c)(2)(iii) to state that, effective</w:t>
      </w:r>
      <w:r>
        <w:rPr>
          <w:rFonts w:ascii="Arial" w:hAnsi="Arial" w:cs="Arial"/>
          <w:bCs/>
          <w:sz w:val="24"/>
          <w:szCs w:val="24"/>
        </w:rPr>
        <w:t xml:space="preserve"> </w:t>
      </w:r>
      <w:r w:rsidRPr="00AA5725">
        <w:rPr>
          <w:rFonts w:ascii="Arial" w:hAnsi="Arial" w:cs="Arial"/>
          <w:bCs/>
          <w:sz w:val="24"/>
          <w:szCs w:val="24"/>
        </w:rPr>
        <w:t>for cost reporting periods beginning on</w:t>
      </w:r>
      <w:r>
        <w:rPr>
          <w:rFonts w:ascii="Arial" w:hAnsi="Arial" w:cs="Arial"/>
          <w:bCs/>
          <w:sz w:val="24"/>
          <w:szCs w:val="24"/>
        </w:rPr>
        <w:t xml:space="preserve"> </w:t>
      </w:r>
      <w:r w:rsidRPr="00AA5725">
        <w:rPr>
          <w:rFonts w:ascii="Arial" w:hAnsi="Arial" w:cs="Arial"/>
          <w:bCs/>
          <w:sz w:val="24"/>
          <w:szCs w:val="24"/>
        </w:rPr>
        <w:t>or after October 1, 2001, if the hospital’s</w:t>
      </w:r>
      <w:r>
        <w:rPr>
          <w:rFonts w:ascii="Arial" w:hAnsi="Arial" w:cs="Arial"/>
          <w:bCs/>
          <w:sz w:val="24"/>
          <w:szCs w:val="24"/>
        </w:rPr>
        <w:t xml:space="preserve"> </w:t>
      </w:r>
      <w:r w:rsidRPr="00AA5725">
        <w:rPr>
          <w:rFonts w:ascii="Arial" w:hAnsi="Arial" w:cs="Arial"/>
          <w:bCs/>
          <w:sz w:val="24"/>
          <w:szCs w:val="24"/>
        </w:rPr>
        <w:t>unweighted number of FTE residents</w:t>
      </w:r>
      <w:r>
        <w:rPr>
          <w:rFonts w:ascii="Arial" w:hAnsi="Arial" w:cs="Arial"/>
          <w:bCs/>
          <w:sz w:val="24"/>
          <w:szCs w:val="24"/>
        </w:rPr>
        <w:t xml:space="preserve"> </w:t>
      </w:r>
      <w:r w:rsidRPr="00AA5725">
        <w:rPr>
          <w:rFonts w:ascii="Arial" w:hAnsi="Arial" w:cs="Arial"/>
          <w:bCs/>
          <w:sz w:val="24"/>
          <w:szCs w:val="24"/>
        </w:rPr>
        <w:t>exceeds the limit described in this</w:t>
      </w:r>
      <w:r>
        <w:rPr>
          <w:rFonts w:ascii="Arial" w:hAnsi="Arial" w:cs="Arial"/>
          <w:bCs/>
          <w:sz w:val="24"/>
          <w:szCs w:val="24"/>
        </w:rPr>
        <w:t xml:space="preserve"> </w:t>
      </w:r>
      <w:r w:rsidRPr="00AA5725">
        <w:rPr>
          <w:rFonts w:ascii="Arial" w:hAnsi="Arial" w:cs="Arial"/>
          <w:bCs/>
          <w:sz w:val="24"/>
          <w:szCs w:val="24"/>
        </w:rPr>
        <w:t>section of the final rule, and the number</w:t>
      </w:r>
      <w:r>
        <w:rPr>
          <w:rFonts w:ascii="Arial" w:hAnsi="Arial" w:cs="Arial"/>
          <w:bCs/>
          <w:sz w:val="24"/>
          <w:szCs w:val="24"/>
        </w:rPr>
        <w:t xml:space="preserve"> </w:t>
      </w:r>
      <w:r w:rsidRPr="00AA5725">
        <w:rPr>
          <w:rFonts w:ascii="Arial" w:hAnsi="Arial" w:cs="Arial"/>
          <w:bCs/>
          <w:sz w:val="24"/>
          <w:szCs w:val="24"/>
        </w:rPr>
        <w:t>of weighted FTE residents in accordance</w:t>
      </w:r>
      <w:r>
        <w:rPr>
          <w:rFonts w:ascii="Arial" w:hAnsi="Arial" w:cs="Arial"/>
          <w:bCs/>
          <w:sz w:val="24"/>
          <w:szCs w:val="24"/>
        </w:rPr>
        <w:t xml:space="preserve"> </w:t>
      </w:r>
      <w:r w:rsidRPr="00AA5725">
        <w:rPr>
          <w:rFonts w:ascii="Arial" w:hAnsi="Arial" w:cs="Arial"/>
          <w:bCs/>
          <w:sz w:val="24"/>
          <w:szCs w:val="24"/>
        </w:rPr>
        <w:t>with § 413.79(b) also exceeds that limit,</w:t>
      </w:r>
      <w:r>
        <w:rPr>
          <w:rFonts w:ascii="Arial" w:hAnsi="Arial" w:cs="Arial"/>
          <w:bCs/>
          <w:sz w:val="24"/>
          <w:szCs w:val="24"/>
        </w:rPr>
        <w:t xml:space="preserve"> </w:t>
      </w:r>
      <w:r w:rsidRPr="00AA5725">
        <w:rPr>
          <w:rFonts w:ascii="Arial" w:hAnsi="Arial" w:cs="Arial"/>
          <w:bCs/>
          <w:sz w:val="24"/>
          <w:szCs w:val="24"/>
        </w:rPr>
        <w:t>the respective primary care and</w:t>
      </w:r>
      <w:r>
        <w:rPr>
          <w:rFonts w:ascii="Arial" w:hAnsi="Arial" w:cs="Arial"/>
          <w:bCs/>
          <w:sz w:val="24"/>
          <w:szCs w:val="24"/>
        </w:rPr>
        <w:t xml:space="preserve"> </w:t>
      </w:r>
      <w:r w:rsidRPr="00AA5725">
        <w:rPr>
          <w:rFonts w:ascii="Arial" w:hAnsi="Arial" w:cs="Arial"/>
          <w:bCs/>
          <w:sz w:val="24"/>
          <w:szCs w:val="24"/>
        </w:rPr>
        <w:t>obstetrics and gynecology weighted FTE</w:t>
      </w:r>
      <w:r>
        <w:rPr>
          <w:rFonts w:ascii="Arial" w:hAnsi="Arial" w:cs="Arial"/>
          <w:bCs/>
          <w:sz w:val="24"/>
          <w:szCs w:val="24"/>
        </w:rPr>
        <w:t xml:space="preserve"> </w:t>
      </w:r>
      <w:r w:rsidRPr="00AA5725">
        <w:rPr>
          <w:rFonts w:ascii="Arial" w:hAnsi="Arial" w:cs="Arial"/>
          <w:bCs/>
          <w:sz w:val="24"/>
          <w:szCs w:val="24"/>
        </w:rPr>
        <w:t>counts and other weighted FTE counts</w:t>
      </w:r>
      <w:r>
        <w:rPr>
          <w:rFonts w:ascii="Arial" w:hAnsi="Arial" w:cs="Arial"/>
          <w:bCs/>
          <w:sz w:val="24"/>
          <w:szCs w:val="24"/>
        </w:rPr>
        <w:t xml:space="preserve"> </w:t>
      </w:r>
      <w:r w:rsidRPr="00AA5725">
        <w:rPr>
          <w:rFonts w:ascii="Arial" w:hAnsi="Arial" w:cs="Arial"/>
          <w:bCs/>
          <w:sz w:val="24"/>
          <w:szCs w:val="24"/>
        </w:rPr>
        <w:t>are adjusted to make the total weighted</w:t>
      </w:r>
      <w:r>
        <w:rPr>
          <w:rFonts w:ascii="Arial" w:hAnsi="Arial" w:cs="Arial"/>
          <w:bCs/>
          <w:sz w:val="24"/>
          <w:szCs w:val="24"/>
        </w:rPr>
        <w:t xml:space="preserve"> </w:t>
      </w:r>
      <w:r w:rsidRPr="00AA5725">
        <w:rPr>
          <w:rFonts w:ascii="Arial" w:hAnsi="Arial" w:cs="Arial"/>
          <w:bCs/>
          <w:sz w:val="24"/>
          <w:szCs w:val="24"/>
        </w:rPr>
        <w:t>FTE count equal the limit. If the number</w:t>
      </w:r>
      <w:r>
        <w:rPr>
          <w:rFonts w:ascii="Arial" w:hAnsi="Arial" w:cs="Arial"/>
          <w:bCs/>
          <w:sz w:val="24"/>
          <w:szCs w:val="24"/>
        </w:rPr>
        <w:t xml:space="preserve"> </w:t>
      </w:r>
      <w:r w:rsidRPr="00AA5725">
        <w:rPr>
          <w:rFonts w:ascii="Arial" w:hAnsi="Arial" w:cs="Arial"/>
          <w:bCs/>
          <w:sz w:val="24"/>
          <w:szCs w:val="24"/>
        </w:rPr>
        <w:t>of FTE residents weighted in accordance</w:t>
      </w:r>
      <w:r>
        <w:rPr>
          <w:rFonts w:ascii="Arial" w:hAnsi="Arial" w:cs="Arial"/>
          <w:bCs/>
          <w:sz w:val="24"/>
          <w:szCs w:val="24"/>
        </w:rPr>
        <w:t xml:space="preserve"> </w:t>
      </w:r>
      <w:r w:rsidRPr="00AA5725">
        <w:rPr>
          <w:rFonts w:ascii="Arial" w:hAnsi="Arial" w:cs="Arial"/>
          <w:bCs/>
          <w:sz w:val="24"/>
          <w:szCs w:val="24"/>
        </w:rPr>
        <w:t>with § 413.79(b) does not exceed that</w:t>
      </w:r>
      <w:r>
        <w:rPr>
          <w:rFonts w:ascii="Arial" w:hAnsi="Arial" w:cs="Arial"/>
          <w:bCs/>
          <w:sz w:val="24"/>
          <w:szCs w:val="24"/>
        </w:rPr>
        <w:t xml:space="preserve"> </w:t>
      </w:r>
      <w:r w:rsidRPr="00AA5725">
        <w:rPr>
          <w:rFonts w:ascii="Arial" w:hAnsi="Arial" w:cs="Arial"/>
          <w:bCs/>
          <w:sz w:val="24"/>
          <w:szCs w:val="24"/>
        </w:rPr>
        <w:t>limit, then the allowable weighted FTE</w:t>
      </w:r>
      <w:r w:rsidR="00925DD0">
        <w:rPr>
          <w:rFonts w:ascii="Arial" w:hAnsi="Arial" w:cs="Arial"/>
          <w:bCs/>
          <w:sz w:val="24"/>
          <w:szCs w:val="24"/>
        </w:rPr>
        <w:t xml:space="preserve"> </w:t>
      </w:r>
      <w:r w:rsidRPr="00AA5725">
        <w:rPr>
          <w:rFonts w:ascii="Arial" w:hAnsi="Arial" w:cs="Arial"/>
          <w:bCs/>
          <w:sz w:val="24"/>
          <w:szCs w:val="24"/>
        </w:rPr>
        <w:t>count is the actual weighted FTE count.</w:t>
      </w:r>
      <w:r w:rsidR="00925DD0">
        <w:rPr>
          <w:rFonts w:ascii="Arial" w:hAnsi="Arial" w:cs="Arial"/>
          <w:bCs/>
          <w:sz w:val="24"/>
          <w:szCs w:val="24"/>
        </w:rPr>
        <w:t xml:space="preserve"> </w:t>
      </w:r>
      <w:r w:rsidRPr="00AA5725">
        <w:rPr>
          <w:rFonts w:ascii="Arial" w:hAnsi="Arial" w:cs="Arial"/>
          <w:bCs/>
          <w:sz w:val="24"/>
          <w:szCs w:val="24"/>
        </w:rPr>
        <w:t>In response to comments, we are also</w:t>
      </w:r>
      <w:r w:rsidR="00925DD0">
        <w:rPr>
          <w:rFonts w:ascii="Arial" w:hAnsi="Arial" w:cs="Arial"/>
          <w:bCs/>
          <w:sz w:val="24"/>
          <w:szCs w:val="24"/>
        </w:rPr>
        <w:t xml:space="preserve"> </w:t>
      </w:r>
      <w:r w:rsidRPr="00AA5725">
        <w:rPr>
          <w:rFonts w:ascii="Arial" w:hAnsi="Arial" w:cs="Arial"/>
          <w:bCs/>
          <w:sz w:val="24"/>
          <w:szCs w:val="24"/>
        </w:rPr>
        <w:t>making a conforming change to the</w:t>
      </w:r>
      <w:r w:rsidR="00925DD0">
        <w:rPr>
          <w:rFonts w:ascii="Arial" w:hAnsi="Arial" w:cs="Arial"/>
          <w:bCs/>
          <w:sz w:val="24"/>
          <w:szCs w:val="24"/>
        </w:rPr>
        <w:t xml:space="preserve"> </w:t>
      </w:r>
      <w:r w:rsidRPr="00AA5725">
        <w:rPr>
          <w:rFonts w:ascii="Arial" w:hAnsi="Arial" w:cs="Arial"/>
          <w:bCs/>
          <w:sz w:val="24"/>
          <w:szCs w:val="24"/>
        </w:rPr>
        <w:t>regulations text at 42 CFR 413.79(d)(3)</w:t>
      </w:r>
      <w:r w:rsidR="00925DD0">
        <w:rPr>
          <w:rFonts w:ascii="Arial" w:hAnsi="Arial" w:cs="Arial"/>
          <w:bCs/>
          <w:sz w:val="24"/>
          <w:szCs w:val="24"/>
        </w:rPr>
        <w:t xml:space="preserve"> </w:t>
      </w:r>
      <w:r w:rsidRPr="00AA5725">
        <w:rPr>
          <w:rFonts w:ascii="Arial" w:hAnsi="Arial" w:cs="Arial"/>
          <w:bCs/>
          <w:sz w:val="24"/>
          <w:szCs w:val="24"/>
        </w:rPr>
        <w:t>regarding application to the 3-year</w:t>
      </w:r>
      <w:r w:rsidR="00925DD0">
        <w:rPr>
          <w:rFonts w:ascii="Arial" w:hAnsi="Arial" w:cs="Arial"/>
          <w:bCs/>
          <w:sz w:val="24"/>
          <w:szCs w:val="24"/>
        </w:rPr>
        <w:t xml:space="preserve"> </w:t>
      </w:r>
      <w:r w:rsidRPr="00AA5725">
        <w:rPr>
          <w:rFonts w:ascii="Arial" w:hAnsi="Arial" w:cs="Arial"/>
          <w:bCs/>
          <w:sz w:val="24"/>
          <w:szCs w:val="24"/>
        </w:rPr>
        <w:t>rolling average to state that for cost</w:t>
      </w:r>
      <w:r w:rsidR="00925DD0">
        <w:rPr>
          <w:rFonts w:ascii="Arial" w:hAnsi="Arial" w:cs="Arial"/>
          <w:bCs/>
          <w:sz w:val="24"/>
          <w:szCs w:val="24"/>
        </w:rPr>
        <w:t xml:space="preserve"> </w:t>
      </w:r>
      <w:r w:rsidRPr="00AA5725">
        <w:rPr>
          <w:rFonts w:ascii="Arial" w:hAnsi="Arial" w:cs="Arial"/>
          <w:bCs/>
          <w:sz w:val="24"/>
          <w:szCs w:val="24"/>
        </w:rPr>
        <w:t>reporting periods beginning on or after</w:t>
      </w:r>
      <w:r w:rsidR="00925DD0">
        <w:rPr>
          <w:rFonts w:ascii="Arial" w:hAnsi="Arial" w:cs="Arial"/>
          <w:bCs/>
          <w:sz w:val="24"/>
          <w:szCs w:val="24"/>
        </w:rPr>
        <w:t xml:space="preserve"> </w:t>
      </w:r>
      <w:r w:rsidRPr="00AA5725">
        <w:rPr>
          <w:rFonts w:ascii="Arial" w:hAnsi="Arial" w:cs="Arial"/>
          <w:bCs/>
          <w:sz w:val="24"/>
          <w:szCs w:val="24"/>
        </w:rPr>
        <w:t>October 1, 2001, the hospital’s weighted</w:t>
      </w:r>
      <w:r w:rsidR="00925DD0">
        <w:rPr>
          <w:rFonts w:ascii="Arial" w:hAnsi="Arial" w:cs="Arial"/>
          <w:bCs/>
          <w:sz w:val="24"/>
          <w:szCs w:val="24"/>
        </w:rPr>
        <w:t xml:space="preserve"> </w:t>
      </w:r>
      <w:r w:rsidRPr="00AA5725">
        <w:rPr>
          <w:rFonts w:ascii="Arial" w:hAnsi="Arial" w:cs="Arial"/>
          <w:bCs/>
          <w:sz w:val="24"/>
          <w:szCs w:val="24"/>
        </w:rPr>
        <w:t>FTE counts for the preceding two cost</w:t>
      </w:r>
      <w:r w:rsidR="00925DD0">
        <w:rPr>
          <w:rFonts w:ascii="Arial" w:hAnsi="Arial" w:cs="Arial"/>
          <w:bCs/>
          <w:sz w:val="24"/>
          <w:szCs w:val="24"/>
        </w:rPr>
        <w:t xml:space="preserve"> </w:t>
      </w:r>
      <w:r w:rsidRPr="00AA5725">
        <w:rPr>
          <w:rFonts w:ascii="Arial" w:hAnsi="Arial" w:cs="Arial"/>
          <w:bCs/>
          <w:sz w:val="24"/>
          <w:szCs w:val="24"/>
        </w:rPr>
        <w:t>reporting periods are calculated in</w:t>
      </w:r>
      <w:r w:rsidR="00925DD0">
        <w:rPr>
          <w:rFonts w:ascii="Arial" w:hAnsi="Arial" w:cs="Arial"/>
          <w:bCs/>
          <w:sz w:val="24"/>
          <w:szCs w:val="24"/>
        </w:rPr>
        <w:t xml:space="preserve"> </w:t>
      </w:r>
      <w:r w:rsidRPr="00AA5725">
        <w:rPr>
          <w:rFonts w:ascii="Arial" w:hAnsi="Arial" w:cs="Arial"/>
          <w:bCs/>
          <w:sz w:val="24"/>
          <w:szCs w:val="24"/>
        </w:rPr>
        <w:t>accordance with the payment formula at</w:t>
      </w:r>
      <w:r w:rsidR="00925DD0">
        <w:rPr>
          <w:rFonts w:ascii="Arial" w:hAnsi="Arial" w:cs="Arial"/>
          <w:bCs/>
          <w:sz w:val="24"/>
          <w:szCs w:val="24"/>
        </w:rPr>
        <w:t xml:space="preserve"> </w:t>
      </w:r>
      <w:r w:rsidRPr="00AA5725">
        <w:rPr>
          <w:rFonts w:ascii="Arial" w:hAnsi="Arial" w:cs="Arial"/>
          <w:bCs/>
          <w:sz w:val="24"/>
          <w:szCs w:val="24"/>
        </w:rPr>
        <w:t>§ 413.79(c)(2)(iii). In addition, in</w:t>
      </w:r>
      <w:r w:rsidR="00925DD0">
        <w:rPr>
          <w:rFonts w:ascii="Arial" w:hAnsi="Arial" w:cs="Arial"/>
          <w:bCs/>
          <w:sz w:val="24"/>
          <w:szCs w:val="24"/>
        </w:rPr>
        <w:t xml:space="preserve"> </w:t>
      </w:r>
      <w:r w:rsidRPr="00AA5725">
        <w:rPr>
          <w:rFonts w:ascii="Arial" w:hAnsi="Arial" w:cs="Arial"/>
          <w:bCs/>
          <w:sz w:val="24"/>
          <w:szCs w:val="24"/>
        </w:rPr>
        <w:t>response to comments, we are applying</w:t>
      </w:r>
      <w:r w:rsidR="00925DD0">
        <w:rPr>
          <w:rFonts w:ascii="Arial" w:hAnsi="Arial" w:cs="Arial"/>
          <w:bCs/>
          <w:sz w:val="24"/>
          <w:szCs w:val="24"/>
        </w:rPr>
        <w:t xml:space="preserve"> </w:t>
      </w:r>
      <w:r w:rsidRPr="00AA5725">
        <w:rPr>
          <w:rFonts w:ascii="Arial" w:hAnsi="Arial" w:cs="Arial"/>
          <w:bCs/>
          <w:sz w:val="24"/>
          <w:szCs w:val="24"/>
        </w:rPr>
        <w:t>the new payment methodology to the</w:t>
      </w:r>
      <w:r w:rsidR="00925DD0">
        <w:rPr>
          <w:rFonts w:ascii="Arial" w:hAnsi="Arial" w:cs="Arial"/>
          <w:bCs/>
          <w:sz w:val="24"/>
          <w:szCs w:val="24"/>
        </w:rPr>
        <w:t xml:space="preserve"> </w:t>
      </w:r>
      <w:r w:rsidRPr="00AA5725">
        <w:rPr>
          <w:rFonts w:ascii="Arial" w:hAnsi="Arial" w:cs="Arial"/>
          <w:bCs/>
          <w:sz w:val="24"/>
          <w:szCs w:val="24"/>
        </w:rPr>
        <w:t>MMA section 422 FTE cap.</w:t>
      </w:r>
    </w:p>
    <w:p w14:paraId="42FEDBC9" w14:textId="77777777" w:rsidR="00925DD0" w:rsidRDefault="00925DD0" w:rsidP="00925DD0">
      <w:pPr>
        <w:spacing w:line="480" w:lineRule="auto"/>
        <w:rPr>
          <w:rFonts w:ascii="Arial" w:hAnsi="Arial" w:cs="Arial"/>
          <w:bCs/>
          <w:sz w:val="24"/>
          <w:szCs w:val="24"/>
        </w:rPr>
      </w:pPr>
    </w:p>
    <w:p w14:paraId="3F7A5710" w14:textId="5241B75C" w:rsidR="00925DD0" w:rsidRDefault="00925DD0" w:rsidP="00925DD0">
      <w:pPr>
        <w:spacing w:line="480" w:lineRule="auto"/>
        <w:rPr>
          <w:rFonts w:ascii="Arial" w:hAnsi="Arial" w:cs="Arial"/>
          <w:bCs/>
          <w:sz w:val="24"/>
          <w:szCs w:val="24"/>
        </w:rPr>
      </w:pPr>
      <w:r>
        <w:rPr>
          <w:rFonts w:ascii="Arial" w:hAnsi="Arial" w:cs="Arial"/>
          <w:bCs/>
          <w:sz w:val="24"/>
          <w:szCs w:val="24"/>
        </w:rPr>
        <w:t xml:space="preserve">The MAC is currently analyzing the impact of updating the cost reports in accordance with the modified regulatory text.  It is anticipated, based on communications with the Provider representative, that these appeals will be resolved </w:t>
      </w:r>
      <w:r w:rsidR="00D56C00">
        <w:rPr>
          <w:rFonts w:ascii="Arial" w:hAnsi="Arial" w:cs="Arial"/>
          <w:bCs/>
          <w:sz w:val="24"/>
          <w:szCs w:val="24"/>
        </w:rPr>
        <w:t xml:space="preserve">through </w:t>
      </w:r>
      <w:r>
        <w:rPr>
          <w:rFonts w:ascii="Arial" w:hAnsi="Arial" w:cs="Arial"/>
          <w:bCs/>
          <w:sz w:val="24"/>
          <w:szCs w:val="24"/>
        </w:rPr>
        <w:t>an administrative resolution.</w:t>
      </w:r>
    </w:p>
    <w:p w14:paraId="0B113D5C" w14:textId="77777777" w:rsidR="00D56C00" w:rsidRDefault="00D56C00" w:rsidP="00925DD0">
      <w:pPr>
        <w:spacing w:line="480" w:lineRule="auto"/>
        <w:rPr>
          <w:rFonts w:ascii="Arial" w:hAnsi="Arial" w:cs="Arial"/>
          <w:bCs/>
          <w:sz w:val="24"/>
          <w:szCs w:val="24"/>
        </w:rPr>
      </w:pPr>
    </w:p>
    <w:p w14:paraId="507A7235" w14:textId="77777777" w:rsidR="00D56C00" w:rsidRDefault="00D56C00" w:rsidP="00925DD0">
      <w:pPr>
        <w:spacing w:line="480" w:lineRule="auto"/>
        <w:rPr>
          <w:rFonts w:ascii="Arial" w:hAnsi="Arial" w:cs="Arial"/>
          <w:bCs/>
          <w:sz w:val="24"/>
          <w:szCs w:val="24"/>
        </w:rPr>
      </w:pPr>
    </w:p>
    <w:p w14:paraId="02E12366" w14:textId="77777777" w:rsidR="00925DD0" w:rsidRPr="00EB1BB4" w:rsidRDefault="00925DD0" w:rsidP="00925DD0">
      <w:pPr>
        <w:ind w:left="720"/>
        <w:rPr>
          <w:rFonts w:ascii="Arial" w:hAnsi="Arial" w:cs="Arial"/>
          <w:bCs/>
          <w:sz w:val="24"/>
          <w:szCs w:val="24"/>
        </w:rPr>
      </w:pPr>
    </w:p>
    <w:p w14:paraId="08C5CDFD" w14:textId="77777777" w:rsidR="004B28E9" w:rsidRPr="00207747" w:rsidRDefault="004B28E9" w:rsidP="004B28E9">
      <w:pPr>
        <w:numPr>
          <w:ilvl w:val="0"/>
          <w:numId w:val="21"/>
        </w:numPr>
        <w:rPr>
          <w:rFonts w:ascii="Arial" w:hAnsi="Arial" w:cs="Arial"/>
          <w:b/>
          <w:sz w:val="24"/>
          <w:szCs w:val="24"/>
        </w:rPr>
      </w:pPr>
      <w:r w:rsidRPr="00207747">
        <w:rPr>
          <w:rFonts w:ascii="Arial" w:hAnsi="Arial" w:cs="Arial"/>
          <w:b/>
          <w:sz w:val="24"/>
          <w:szCs w:val="24"/>
        </w:rPr>
        <w:lastRenderedPageBreak/>
        <w:t>Conclusion</w:t>
      </w:r>
    </w:p>
    <w:p w14:paraId="277C25AC" w14:textId="77777777" w:rsidR="004B28E9" w:rsidRPr="00207747" w:rsidRDefault="004B28E9" w:rsidP="004B28E9">
      <w:pPr>
        <w:rPr>
          <w:rFonts w:ascii="Arial" w:hAnsi="Arial" w:cs="Arial"/>
          <w:sz w:val="24"/>
          <w:szCs w:val="24"/>
        </w:rPr>
      </w:pPr>
    </w:p>
    <w:p w14:paraId="7828B5C8" w14:textId="0F28222D" w:rsidR="00DD61D9" w:rsidRPr="00DD61D9" w:rsidRDefault="00DD61D9" w:rsidP="00DD61D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hAnsi="Arial" w:cs="Arial"/>
          <w:sz w:val="24"/>
          <w:szCs w:val="24"/>
        </w:rPr>
      </w:pPr>
      <w:r w:rsidRPr="00DD61D9">
        <w:rPr>
          <w:rFonts w:ascii="Arial" w:hAnsi="Arial" w:cs="Arial"/>
          <w:sz w:val="24"/>
          <w:szCs w:val="24"/>
        </w:rPr>
        <w:t>There is no dispute that the MAC’s determination of allowable DGME FTEs was correct under the regulations</w:t>
      </w:r>
      <w:r w:rsidR="005E6820">
        <w:rPr>
          <w:rFonts w:ascii="Arial" w:hAnsi="Arial" w:cs="Arial"/>
          <w:sz w:val="24"/>
          <w:szCs w:val="24"/>
        </w:rPr>
        <w:t xml:space="preserve"> </w:t>
      </w:r>
      <w:r w:rsidR="00D56C00">
        <w:rPr>
          <w:rFonts w:ascii="Arial" w:hAnsi="Arial" w:cs="Arial"/>
          <w:sz w:val="24"/>
          <w:szCs w:val="24"/>
        </w:rPr>
        <w:t xml:space="preserve">published </w:t>
      </w:r>
      <w:r w:rsidR="005E6820">
        <w:rPr>
          <w:rFonts w:ascii="Arial" w:hAnsi="Arial" w:cs="Arial"/>
          <w:sz w:val="24"/>
          <w:szCs w:val="24"/>
        </w:rPr>
        <w:t>at the time of the NPR</w:t>
      </w:r>
      <w:r w:rsidRPr="00DD61D9">
        <w:rPr>
          <w:rFonts w:ascii="Arial" w:hAnsi="Arial" w:cs="Arial"/>
          <w:sz w:val="24"/>
          <w:szCs w:val="24"/>
        </w:rPr>
        <w:t xml:space="preserve">.  </w:t>
      </w:r>
    </w:p>
    <w:p w14:paraId="4CD2AB19" w14:textId="77777777" w:rsidR="00DD61D9" w:rsidRPr="00DD61D9" w:rsidRDefault="00DD61D9" w:rsidP="00DD61D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hAnsi="Arial" w:cs="Arial"/>
          <w:sz w:val="24"/>
          <w:szCs w:val="24"/>
        </w:rPr>
      </w:pPr>
    </w:p>
    <w:p w14:paraId="48FAB838" w14:textId="7575D5FD" w:rsidR="00DD61D9" w:rsidRDefault="00DD61D9" w:rsidP="00DD61D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hAnsi="Arial" w:cs="Arial"/>
          <w:sz w:val="24"/>
          <w:szCs w:val="24"/>
        </w:rPr>
      </w:pPr>
      <w:r w:rsidRPr="00DD61D9">
        <w:rPr>
          <w:rFonts w:ascii="Arial" w:hAnsi="Arial" w:cs="Arial"/>
          <w:sz w:val="24"/>
          <w:szCs w:val="24"/>
        </w:rPr>
        <w:t xml:space="preserve">The Provider is arguing </w:t>
      </w:r>
      <w:r w:rsidR="00D56C00">
        <w:rPr>
          <w:rFonts w:ascii="Arial" w:hAnsi="Arial" w:cs="Arial"/>
          <w:sz w:val="24"/>
          <w:szCs w:val="24"/>
        </w:rPr>
        <w:t>(based on the prior regulator</w:t>
      </w:r>
      <w:r w:rsidR="00816868">
        <w:rPr>
          <w:rFonts w:ascii="Arial" w:hAnsi="Arial" w:cs="Arial"/>
          <w:sz w:val="24"/>
          <w:szCs w:val="24"/>
        </w:rPr>
        <w:t>y</w:t>
      </w:r>
      <w:r w:rsidR="00D56C00">
        <w:rPr>
          <w:rFonts w:ascii="Arial" w:hAnsi="Arial" w:cs="Arial"/>
          <w:sz w:val="24"/>
          <w:szCs w:val="24"/>
        </w:rPr>
        <w:t xml:space="preserve"> text) </w:t>
      </w:r>
      <w:r w:rsidRPr="00DD61D9">
        <w:rPr>
          <w:rFonts w:ascii="Arial" w:hAnsi="Arial" w:cs="Arial"/>
          <w:sz w:val="24"/>
          <w:szCs w:val="24"/>
        </w:rPr>
        <w:t xml:space="preserve">that in applying the Cap in a payment year, the relationship between IRPS and fellows which determined the allowable FTEs in the base year is irrelevant to future years where the Cap is to be applied.  All that matters is the base year raw or unweighted FTE count. The MAC’s position </w:t>
      </w:r>
      <w:r w:rsidR="00816868">
        <w:rPr>
          <w:rFonts w:ascii="Arial" w:hAnsi="Arial" w:cs="Arial"/>
          <w:sz w:val="24"/>
          <w:szCs w:val="24"/>
        </w:rPr>
        <w:t>was</w:t>
      </w:r>
      <w:r w:rsidRPr="00DD61D9">
        <w:rPr>
          <w:rFonts w:ascii="Arial" w:hAnsi="Arial" w:cs="Arial"/>
          <w:sz w:val="24"/>
          <w:szCs w:val="24"/>
        </w:rPr>
        <w:t xml:space="preserve"> that the Medicare Agency (then HCFA/now CMS) analyzed the relevant laws when it developed the regulations applying the Cap and the three-year rolling average to cost reporting years beginning on and after October 1, 1997. </w:t>
      </w:r>
    </w:p>
    <w:p w14:paraId="2DF095AA" w14:textId="77777777" w:rsidR="00D56C00" w:rsidRDefault="00D56C00" w:rsidP="00DD61D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hAnsi="Arial" w:cs="Arial"/>
          <w:sz w:val="24"/>
          <w:szCs w:val="24"/>
        </w:rPr>
      </w:pPr>
    </w:p>
    <w:p w14:paraId="57B009CC" w14:textId="3E9D2E55" w:rsidR="008429D2" w:rsidRDefault="00816868" w:rsidP="00D56C0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hAnsi="Arial" w:cs="Arial"/>
          <w:sz w:val="24"/>
          <w:szCs w:val="24"/>
        </w:rPr>
      </w:pPr>
      <w:r>
        <w:rPr>
          <w:rFonts w:ascii="Arial" w:hAnsi="Arial" w:cs="Arial"/>
          <w:sz w:val="24"/>
          <w:szCs w:val="24"/>
        </w:rPr>
        <w:t xml:space="preserve">The amended regulatory text is now a central point to consider. </w:t>
      </w:r>
      <w:r w:rsidR="00D56C00">
        <w:rPr>
          <w:rFonts w:ascii="Arial" w:hAnsi="Arial" w:cs="Arial"/>
          <w:sz w:val="24"/>
          <w:szCs w:val="24"/>
        </w:rPr>
        <w:t xml:space="preserve">It is anticipated that this issue will be resolved administratively by applying </w:t>
      </w:r>
      <w:r w:rsidR="00A13DDC">
        <w:rPr>
          <w:rFonts w:ascii="Arial" w:hAnsi="Arial" w:cs="Arial"/>
          <w:sz w:val="24"/>
          <w:szCs w:val="24"/>
        </w:rPr>
        <w:t>the amended</w:t>
      </w:r>
      <w:r w:rsidR="00D56C00">
        <w:rPr>
          <w:rFonts w:ascii="Arial" w:hAnsi="Arial" w:cs="Arial"/>
          <w:sz w:val="24"/>
          <w:szCs w:val="24"/>
        </w:rPr>
        <w:t xml:space="preserve"> regulations to the appealed cost reports.</w:t>
      </w:r>
    </w:p>
    <w:p w14:paraId="1774B393" w14:textId="77777777" w:rsidR="008429D2" w:rsidRDefault="008429D2" w:rsidP="0033738B">
      <w:pPr>
        <w:ind w:left="720" w:hanging="720"/>
        <w:rPr>
          <w:rFonts w:ascii="Arial" w:hAnsi="Arial" w:cs="Arial"/>
          <w:sz w:val="24"/>
          <w:szCs w:val="24"/>
        </w:rPr>
      </w:pPr>
    </w:p>
    <w:p w14:paraId="7319C76C" w14:textId="77777777" w:rsidR="008429D2" w:rsidRDefault="008429D2" w:rsidP="0033738B">
      <w:pPr>
        <w:ind w:left="720" w:hanging="720"/>
        <w:rPr>
          <w:rFonts w:ascii="Arial" w:hAnsi="Arial" w:cs="Arial"/>
          <w:sz w:val="24"/>
          <w:szCs w:val="24"/>
        </w:rPr>
      </w:pPr>
    </w:p>
    <w:p w14:paraId="3F045CD7" w14:textId="77777777" w:rsidR="008429D2" w:rsidRDefault="008429D2" w:rsidP="0033738B">
      <w:pPr>
        <w:ind w:left="720" w:hanging="720"/>
        <w:rPr>
          <w:rFonts w:ascii="Arial" w:hAnsi="Arial" w:cs="Arial"/>
          <w:sz w:val="24"/>
          <w:szCs w:val="24"/>
        </w:rPr>
      </w:pPr>
    </w:p>
    <w:p w14:paraId="256A7F72" w14:textId="77777777" w:rsidR="008429D2" w:rsidRDefault="008429D2" w:rsidP="0033738B">
      <w:pPr>
        <w:ind w:left="720" w:hanging="720"/>
        <w:rPr>
          <w:rFonts w:ascii="Arial" w:hAnsi="Arial" w:cs="Arial"/>
          <w:sz w:val="24"/>
          <w:szCs w:val="24"/>
        </w:rPr>
      </w:pPr>
    </w:p>
    <w:p w14:paraId="01A7FC01" w14:textId="77777777" w:rsidR="008429D2" w:rsidRDefault="008429D2" w:rsidP="0033738B">
      <w:pPr>
        <w:ind w:left="720" w:hanging="720"/>
        <w:rPr>
          <w:rFonts w:ascii="Arial" w:hAnsi="Arial" w:cs="Arial"/>
          <w:sz w:val="24"/>
          <w:szCs w:val="24"/>
        </w:rPr>
      </w:pPr>
    </w:p>
    <w:p w14:paraId="247B5FB2" w14:textId="77777777" w:rsidR="008429D2" w:rsidRDefault="008429D2" w:rsidP="0033738B">
      <w:pPr>
        <w:ind w:left="720" w:hanging="720"/>
        <w:rPr>
          <w:rFonts w:ascii="Arial" w:hAnsi="Arial" w:cs="Arial"/>
          <w:sz w:val="24"/>
          <w:szCs w:val="24"/>
        </w:rPr>
      </w:pPr>
    </w:p>
    <w:p w14:paraId="2C130562" w14:textId="77777777" w:rsidR="008429D2" w:rsidRDefault="008429D2" w:rsidP="0033738B">
      <w:pPr>
        <w:ind w:left="720" w:hanging="720"/>
        <w:rPr>
          <w:rFonts w:ascii="Arial" w:hAnsi="Arial" w:cs="Arial"/>
          <w:sz w:val="24"/>
          <w:szCs w:val="24"/>
        </w:rPr>
      </w:pPr>
    </w:p>
    <w:p w14:paraId="70C25E26" w14:textId="77777777" w:rsidR="008429D2" w:rsidRDefault="008429D2" w:rsidP="0033738B">
      <w:pPr>
        <w:ind w:left="720" w:hanging="720"/>
        <w:rPr>
          <w:rFonts w:ascii="Arial" w:hAnsi="Arial" w:cs="Arial"/>
          <w:sz w:val="24"/>
          <w:szCs w:val="24"/>
        </w:rPr>
      </w:pPr>
    </w:p>
    <w:p w14:paraId="6BA2BC52" w14:textId="77777777" w:rsidR="008429D2" w:rsidRDefault="008429D2" w:rsidP="0033738B">
      <w:pPr>
        <w:ind w:left="720" w:hanging="720"/>
        <w:rPr>
          <w:rFonts w:ascii="Arial" w:hAnsi="Arial" w:cs="Arial"/>
          <w:sz w:val="24"/>
          <w:szCs w:val="24"/>
        </w:rPr>
      </w:pPr>
    </w:p>
    <w:p w14:paraId="5D1F7638" w14:textId="77777777" w:rsidR="008429D2" w:rsidRDefault="008429D2" w:rsidP="0033738B">
      <w:pPr>
        <w:ind w:left="720" w:hanging="720"/>
        <w:rPr>
          <w:rFonts w:ascii="Arial" w:hAnsi="Arial" w:cs="Arial"/>
          <w:sz w:val="24"/>
          <w:szCs w:val="24"/>
        </w:rPr>
      </w:pPr>
    </w:p>
    <w:p w14:paraId="1B0739DB" w14:textId="77777777" w:rsidR="008429D2" w:rsidRDefault="008429D2" w:rsidP="0033738B">
      <w:pPr>
        <w:ind w:left="720" w:hanging="720"/>
        <w:rPr>
          <w:rFonts w:ascii="Arial" w:hAnsi="Arial" w:cs="Arial"/>
          <w:sz w:val="24"/>
          <w:szCs w:val="24"/>
        </w:rPr>
      </w:pPr>
    </w:p>
    <w:p w14:paraId="7F435588" w14:textId="77777777" w:rsidR="008429D2" w:rsidRDefault="008429D2" w:rsidP="0033738B">
      <w:pPr>
        <w:ind w:left="720" w:hanging="720"/>
        <w:rPr>
          <w:rFonts w:ascii="Arial" w:hAnsi="Arial" w:cs="Arial"/>
          <w:sz w:val="24"/>
          <w:szCs w:val="24"/>
        </w:rPr>
      </w:pPr>
    </w:p>
    <w:p w14:paraId="55352D7A" w14:textId="77777777" w:rsidR="008429D2" w:rsidRDefault="008429D2" w:rsidP="0033738B">
      <w:pPr>
        <w:ind w:left="720" w:hanging="720"/>
        <w:rPr>
          <w:rFonts w:ascii="Arial" w:hAnsi="Arial" w:cs="Arial"/>
          <w:sz w:val="24"/>
          <w:szCs w:val="24"/>
        </w:rPr>
      </w:pPr>
    </w:p>
    <w:p w14:paraId="741E90E3" w14:textId="77777777" w:rsidR="00F402F7" w:rsidRDefault="00F402F7">
      <w:pPr>
        <w:rPr>
          <w:rFonts w:ascii="Arial" w:hAnsi="Arial" w:cs="Arial"/>
          <w:sz w:val="24"/>
          <w:szCs w:val="24"/>
        </w:rPr>
      </w:pPr>
      <w:r>
        <w:rPr>
          <w:rFonts w:ascii="Arial" w:hAnsi="Arial" w:cs="Arial"/>
          <w:sz w:val="24"/>
          <w:szCs w:val="24"/>
        </w:rPr>
        <w:br w:type="page"/>
      </w:r>
    </w:p>
    <w:p w14:paraId="53A94010" w14:textId="77777777" w:rsidR="0033738B" w:rsidRPr="0033738B" w:rsidRDefault="0033738B" w:rsidP="0033738B">
      <w:pPr>
        <w:ind w:left="720" w:hanging="720"/>
        <w:rPr>
          <w:rFonts w:ascii="Arial" w:hAnsi="Arial" w:cs="Arial"/>
          <w:sz w:val="24"/>
          <w:szCs w:val="24"/>
        </w:rPr>
      </w:pPr>
      <w:r w:rsidRPr="0033738B">
        <w:rPr>
          <w:rFonts w:ascii="Arial" w:hAnsi="Arial" w:cs="Arial"/>
          <w:sz w:val="24"/>
          <w:szCs w:val="24"/>
        </w:rPr>
        <w:lastRenderedPageBreak/>
        <w:t>IV.</w:t>
      </w:r>
      <w:r w:rsidRPr="0033738B">
        <w:rPr>
          <w:rFonts w:ascii="Arial" w:hAnsi="Arial" w:cs="Arial"/>
          <w:sz w:val="24"/>
          <w:szCs w:val="24"/>
        </w:rPr>
        <w:tab/>
        <w:t>LAW, REGULATIONS AND PROGRAM INSTRUCTIONS</w:t>
      </w:r>
    </w:p>
    <w:p w14:paraId="1F0B795C" w14:textId="77777777" w:rsidR="0033738B" w:rsidRPr="0033738B" w:rsidRDefault="0033738B" w:rsidP="0033738B">
      <w:pPr>
        <w:ind w:left="720" w:hanging="720"/>
        <w:rPr>
          <w:rFonts w:ascii="Arial" w:hAnsi="Arial" w:cs="Arial"/>
          <w:sz w:val="24"/>
          <w:szCs w:val="24"/>
        </w:rPr>
      </w:pPr>
    </w:p>
    <w:p w14:paraId="163B8635" w14:textId="77777777" w:rsidR="00EE532B" w:rsidRDefault="00EE532B" w:rsidP="00EE532B">
      <w:pPr>
        <w:rPr>
          <w:rFonts w:ascii="Arial" w:hAnsi="Arial" w:cs="Arial"/>
          <w:sz w:val="24"/>
          <w:szCs w:val="24"/>
          <w:u w:val="single"/>
        </w:rPr>
      </w:pPr>
    </w:p>
    <w:p w14:paraId="3CD0315C" w14:textId="0B19F377" w:rsidR="004B72A4" w:rsidRPr="004B72A4" w:rsidRDefault="004B72A4" w:rsidP="004B72A4">
      <w:pPr>
        <w:spacing w:line="360" w:lineRule="auto"/>
        <w:rPr>
          <w:rFonts w:ascii="Arial" w:hAnsi="Arial" w:cs="Arial"/>
          <w:sz w:val="24"/>
        </w:rPr>
      </w:pPr>
      <w:r w:rsidRPr="004B72A4">
        <w:rPr>
          <w:rFonts w:ascii="Arial" w:hAnsi="Arial" w:cs="Arial"/>
          <w:sz w:val="24"/>
          <w:szCs w:val="24"/>
          <w:u w:val="single"/>
        </w:rPr>
        <w:t>Laws</w:t>
      </w:r>
      <w:r w:rsidRPr="004B72A4">
        <w:rPr>
          <w:rFonts w:ascii="Arial" w:hAnsi="Arial" w:cs="Arial"/>
          <w:sz w:val="24"/>
          <w:szCs w:val="24"/>
        </w:rPr>
        <w:t>:</w:t>
      </w:r>
      <w:r w:rsidRPr="004B72A4">
        <w:rPr>
          <w:rFonts w:ascii="Arial" w:hAnsi="Arial" w:cs="Arial"/>
          <w:sz w:val="24"/>
          <w:szCs w:val="24"/>
        </w:rPr>
        <w:tab/>
      </w:r>
      <w:r w:rsidRPr="004B72A4">
        <w:rPr>
          <w:rFonts w:ascii="Arial" w:hAnsi="Arial" w:cs="Arial"/>
          <w:sz w:val="24"/>
          <w:szCs w:val="24"/>
        </w:rPr>
        <w:tab/>
      </w:r>
      <w:r w:rsidRPr="004B72A4">
        <w:rPr>
          <w:rFonts w:ascii="Arial" w:hAnsi="Arial" w:cs="Arial"/>
          <w:sz w:val="24"/>
          <w:szCs w:val="24"/>
        </w:rPr>
        <w:tab/>
      </w:r>
      <w:r w:rsidRPr="004B72A4">
        <w:rPr>
          <w:rFonts w:ascii="Arial" w:hAnsi="Arial" w:cs="Arial"/>
          <w:sz w:val="24"/>
        </w:rPr>
        <w:t>42 U.S.C. 1395ww(h)(4)(F)(i)</w:t>
      </w:r>
    </w:p>
    <w:p w14:paraId="1A026087" w14:textId="77777777" w:rsidR="004B72A4" w:rsidRPr="004B72A4" w:rsidRDefault="004B72A4" w:rsidP="004B72A4">
      <w:pPr>
        <w:spacing w:line="360" w:lineRule="auto"/>
        <w:ind w:left="1440" w:firstLine="720"/>
        <w:rPr>
          <w:rFonts w:ascii="Arial" w:hAnsi="Arial" w:cs="Arial"/>
          <w:sz w:val="24"/>
        </w:rPr>
      </w:pPr>
      <w:r w:rsidRPr="004B72A4">
        <w:rPr>
          <w:rFonts w:ascii="Arial" w:hAnsi="Arial" w:cs="Arial"/>
          <w:sz w:val="24"/>
        </w:rPr>
        <w:t>42 U.S.C. 1395ww(h)(4)(C)</w:t>
      </w:r>
    </w:p>
    <w:p w14:paraId="683DE72B" w14:textId="77777777" w:rsidR="004B72A4" w:rsidRPr="004B72A4" w:rsidRDefault="004B72A4" w:rsidP="004B72A4">
      <w:pPr>
        <w:spacing w:line="360" w:lineRule="auto"/>
        <w:ind w:left="1440" w:firstLine="720"/>
        <w:rPr>
          <w:rFonts w:ascii="Arial" w:hAnsi="Arial" w:cs="Arial"/>
          <w:sz w:val="24"/>
        </w:rPr>
      </w:pPr>
      <w:r w:rsidRPr="004B72A4">
        <w:rPr>
          <w:rFonts w:ascii="Arial" w:hAnsi="Arial" w:cs="Arial"/>
          <w:sz w:val="24"/>
        </w:rPr>
        <w:t>42 U.S.C. 1395ww(h)(4)(G)(i)</w:t>
      </w:r>
    </w:p>
    <w:p w14:paraId="29DA4B71" w14:textId="77777777" w:rsidR="004B72A4" w:rsidRPr="004B72A4" w:rsidRDefault="004B72A4" w:rsidP="004B72A4">
      <w:pPr>
        <w:spacing w:line="280" w:lineRule="exact"/>
        <w:rPr>
          <w:rFonts w:ascii="Arial" w:hAnsi="Arial" w:cs="Arial"/>
          <w:color w:val="000000"/>
          <w:sz w:val="24"/>
        </w:rPr>
      </w:pPr>
      <w:r w:rsidRPr="004B72A4">
        <w:rPr>
          <w:rFonts w:ascii="Arial" w:hAnsi="Arial" w:cs="Arial"/>
          <w:sz w:val="24"/>
          <w:szCs w:val="24"/>
        </w:rPr>
        <w:tab/>
      </w:r>
    </w:p>
    <w:p w14:paraId="368CFA54" w14:textId="77777777" w:rsidR="004B72A4" w:rsidRPr="004B72A4" w:rsidRDefault="004B72A4" w:rsidP="004B72A4">
      <w:pPr>
        <w:spacing w:line="360" w:lineRule="auto"/>
        <w:rPr>
          <w:rFonts w:ascii="Arial" w:hAnsi="Arial" w:cs="Arial"/>
          <w:sz w:val="24"/>
        </w:rPr>
      </w:pPr>
      <w:r w:rsidRPr="004B72A4">
        <w:rPr>
          <w:rFonts w:ascii="Arial" w:hAnsi="Arial" w:cs="Arial"/>
          <w:sz w:val="24"/>
          <w:szCs w:val="24"/>
          <w:u w:val="single"/>
        </w:rPr>
        <w:t>Regulations</w:t>
      </w:r>
      <w:r w:rsidRPr="004B72A4">
        <w:rPr>
          <w:rFonts w:ascii="Arial" w:hAnsi="Arial" w:cs="Arial"/>
          <w:sz w:val="24"/>
          <w:szCs w:val="24"/>
        </w:rPr>
        <w:t xml:space="preserve">:            </w:t>
      </w:r>
      <w:r w:rsidRPr="004B72A4">
        <w:rPr>
          <w:rFonts w:ascii="Arial" w:hAnsi="Arial" w:cs="Arial"/>
          <w:sz w:val="24"/>
        </w:rPr>
        <w:t>42 CFR 413.79(c)(2)(iii)</w:t>
      </w:r>
    </w:p>
    <w:p w14:paraId="3C1E11BB" w14:textId="4BFC768F" w:rsidR="004B72A4" w:rsidRPr="004B72A4" w:rsidRDefault="004B72A4" w:rsidP="004B72A4">
      <w:pPr>
        <w:spacing w:line="360" w:lineRule="auto"/>
        <w:rPr>
          <w:rFonts w:ascii="Arial" w:hAnsi="Arial" w:cs="Arial"/>
          <w:sz w:val="24"/>
        </w:rPr>
      </w:pPr>
      <w:r w:rsidRPr="004B72A4">
        <w:rPr>
          <w:rFonts w:ascii="Arial" w:hAnsi="Arial" w:cs="Arial"/>
          <w:sz w:val="24"/>
          <w:szCs w:val="24"/>
        </w:rPr>
        <w:tab/>
      </w:r>
      <w:r w:rsidRPr="004B72A4">
        <w:rPr>
          <w:rFonts w:ascii="Arial" w:hAnsi="Arial" w:cs="Arial"/>
          <w:sz w:val="24"/>
          <w:szCs w:val="24"/>
        </w:rPr>
        <w:tab/>
      </w:r>
      <w:r w:rsidRPr="004B72A4">
        <w:rPr>
          <w:rFonts w:ascii="Arial" w:hAnsi="Arial" w:cs="Arial"/>
          <w:sz w:val="24"/>
          <w:szCs w:val="24"/>
        </w:rPr>
        <w:tab/>
      </w:r>
      <w:r w:rsidRPr="004B72A4">
        <w:rPr>
          <w:rFonts w:ascii="Arial" w:hAnsi="Arial" w:cs="Arial"/>
          <w:sz w:val="24"/>
        </w:rPr>
        <w:t>42 CFR 413.79(d)(3)</w:t>
      </w:r>
    </w:p>
    <w:p w14:paraId="596C3EE8" w14:textId="7D9DCF8E" w:rsidR="004B72A4" w:rsidRPr="004B72A4" w:rsidRDefault="004B72A4" w:rsidP="004B72A4">
      <w:pPr>
        <w:spacing w:line="360" w:lineRule="auto"/>
        <w:ind w:left="1440" w:firstLine="720"/>
        <w:rPr>
          <w:rFonts w:ascii="Arial" w:hAnsi="Arial" w:cs="Arial"/>
          <w:sz w:val="24"/>
        </w:rPr>
      </w:pPr>
      <w:r w:rsidRPr="004B72A4">
        <w:rPr>
          <w:rFonts w:ascii="Arial" w:hAnsi="Arial" w:cs="Arial"/>
          <w:sz w:val="24"/>
        </w:rPr>
        <w:t>42 CFR 405.1867</w:t>
      </w:r>
    </w:p>
    <w:p w14:paraId="28B634AE" w14:textId="77777777" w:rsidR="004B72A4" w:rsidRPr="004B72A4" w:rsidRDefault="004B72A4" w:rsidP="004B72A4">
      <w:pPr>
        <w:spacing w:line="360" w:lineRule="auto"/>
        <w:ind w:left="1440" w:firstLine="720"/>
        <w:rPr>
          <w:rFonts w:ascii="Arial" w:hAnsi="Arial" w:cs="Arial"/>
          <w:sz w:val="24"/>
        </w:rPr>
      </w:pPr>
      <w:r w:rsidRPr="004B72A4">
        <w:rPr>
          <w:rFonts w:ascii="Arial" w:hAnsi="Arial" w:cs="Arial"/>
          <w:sz w:val="24"/>
        </w:rPr>
        <w:t>42 CFR 405.1842</w:t>
      </w:r>
    </w:p>
    <w:p w14:paraId="710FCE5A" w14:textId="77777777" w:rsidR="004B72A4" w:rsidRPr="004B72A4" w:rsidRDefault="004B72A4" w:rsidP="004B72A4">
      <w:pPr>
        <w:spacing w:line="360" w:lineRule="auto"/>
        <w:ind w:left="1440" w:firstLine="720"/>
        <w:rPr>
          <w:rFonts w:ascii="Arial" w:hAnsi="Arial" w:cs="Arial"/>
          <w:sz w:val="24"/>
        </w:rPr>
      </w:pPr>
      <w:r w:rsidRPr="004B72A4">
        <w:rPr>
          <w:rFonts w:ascii="Arial" w:hAnsi="Arial" w:cs="Arial"/>
          <w:sz w:val="24"/>
        </w:rPr>
        <w:t>42 CFR 413.86</w:t>
      </w:r>
    </w:p>
    <w:p w14:paraId="066C360E" w14:textId="77777777" w:rsidR="004B72A4" w:rsidRPr="004B72A4" w:rsidRDefault="004B72A4" w:rsidP="004B72A4">
      <w:pPr>
        <w:spacing w:line="360" w:lineRule="auto"/>
        <w:rPr>
          <w:rFonts w:ascii="Arial" w:hAnsi="Arial" w:cs="Arial"/>
          <w:sz w:val="24"/>
        </w:rPr>
      </w:pPr>
      <w:r w:rsidRPr="004B72A4">
        <w:rPr>
          <w:rFonts w:ascii="Arial" w:hAnsi="Arial" w:cs="Arial"/>
          <w:sz w:val="24"/>
          <w:szCs w:val="24"/>
        </w:rPr>
        <w:t xml:space="preserve">      </w:t>
      </w:r>
      <w:r w:rsidRPr="004B72A4">
        <w:rPr>
          <w:rFonts w:ascii="Arial" w:hAnsi="Arial" w:cs="Arial"/>
          <w:sz w:val="24"/>
          <w:szCs w:val="24"/>
        </w:rPr>
        <w:tab/>
      </w:r>
      <w:r w:rsidRPr="004B72A4">
        <w:rPr>
          <w:rFonts w:ascii="Arial" w:hAnsi="Arial" w:cs="Arial"/>
          <w:sz w:val="24"/>
          <w:szCs w:val="24"/>
        </w:rPr>
        <w:tab/>
      </w:r>
      <w:r w:rsidRPr="004B72A4">
        <w:rPr>
          <w:rFonts w:ascii="Arial" w:hAnsi="Arial" w:cs="Arial"/>
          <w:sz w:val="24"/>
          <w:szCs w:val="24"/>
        </w:rPr>
        <w:tab/>
      </w:r>
      <w:r w:rsidRPr="004B72A4">
        <w:rPr>
          <w:rFonts w:ascii="Arial" w:hAnsi="Arial" w:cs="Arial"/>
          <w:sz w:val="24"/>
        </w:rPr>
        <w:t>CMS Pub 15-2, Section 4034</w:t>
      </w:r>
    </w:p>
    <w:p w14:paraId="0062652C" w14:textId="77777777" w:rsidR="004B72A4" w:rsidRPr="004B72A4" w:rsidRDefault="004B72A4" w:rsidP="004B72A4">
      <w:pPr>
        <w:spacing w:line="280" w:lineRule="exact"/>
        <w:rPr>
          <w:rFonts w:ascii="Arial" w:hAnsi="Arial" w:cs="Arial"/>
          <w:sz w:val="32"/>
          <w:szCs w:val="24"/>
        </w:rPr>
      </w:pPr>
      <w:r w:rsidRPr="004B72A4">
        <w:rPr>
          <w:rFonts w:ascii="Arial" w:hAnsi="Arial" w:cs="Arial"/>
          <w:sz w:val="24"/>
          <w:szCs w:val="24"/>
        </w:rPr>
        <w:tab/>
      </w:r>
    </w:p>
    <w:p w14:paraId="59CFF14B" w14:textId="77777777" w:rsidR="004B72A4" w:rsidRPr="004B72A4" w:rsidRDefault="004B72A4" w:rsidP="004B72A4">
      <w:pPr>
        <w:rPr>
          <w:rFonts w:ascii="Arial" w:hAnsi="Arial" w:cs="Arial"/>
          <w:sz w:val="24"/>
          <w:szCs w:val="24"/>
        </w:rPr>
      </w:pPr>
      <w:r w:rsidRPr="004B72A4">
        <w:rPr>
          <w:rFonts w:ascii="Arial" w:hAnsi="Arial" w:cs="Arial"/>
          <w:sz w:val="24"/>
          <w:szCs w:val="24"/>
        </w:rPr>
        <w:t xml:space="preserve">                                                                                        </w:t>
      </w:r>
    </w:p>
    <w:p w14:paraId="1968BFD0" w14:textId="28098802" w:rsidR="004B72A4" w:rsidRPr="004B72A4" w:rsidRDefault="004B72A4" w:rsidP="004B72A4">
      <w:pPr>
        <w:spacing w:line="360" w:lineRule="auto"/>
        <w:rPr>
          <w:rFonts w:ascii="Arial" w:hAnsi="Arial" w:cs="Arial"/>
          <w:sz w:val="24"/>
        </w:rPr>
      </w:pPr>
      <w:r w:rsidRPr="004B72A4">
        <w:rPr>
          <w:rFonts w:ascii="Arial" w:hAnsi="Arial" w:cs="Arial"/>
          <w:sz w:val="24"/>
          <w:szCs w:val="24"/>
          <w:u w:val="single"/>
        </w:rPr>
        <w:t>Federal Register</w:t>
      </w:r>
      <w:r w:rsidRPr="004B72A4">
        <w:rPr>
          <w:rFonts w:ascii="Arial" w:hAnsi="Arial" w:cs="Arial"/>
          <w:sz w:val="24"/>
          <w:szCs w:val="24"/>
        </w:rPr>
        <w:t>:</w:t>
      </w:r>
      <w:r w:rsidRPr="004B72A4">
        <w:rPr>
          <w:rFonts w:ascii="Arial" w:hAnsi="Arial" w:cs="Arial"/>
          <w:sz w:val="24"/>
          <w:szCs w:val="24"/>
        </w:rPr>
        <w:tab/>
      </w:r>
      <w:r w:rsidRPr="004B72A4">
        <w:rPr>
          <w:rFonts w:ascii="Arial" w:hAnsi="Arial" w:cs="Arial"/>
          <w:sz w:val="24"/>
        </w:rPr>
        <w:t>62 FR 45966</w:t>
      </w:r>
      <w:r w:rsidR="00F51B9D">
        <w:rPr>
          <w:rFonts w:ascii="Arial" w:hAnsi="Arial" w:cs="Arial"/>
          <w:sz w:val="24"/>
        </w:rPr>
        <w:t>, 46004-46005</w:t>
      </w:r>
    </w:p>
    <w:p w14:paraId="54A6F60F" w14:textId="77777777" w:rsidR="004B72A4" w:rsidRPr="004B72A4" w:rsidRDefault="004B72A4" w:rsidP="004B72A4">
      <w:pPr>
        <w:spacing w:line="360" w:lineRule="auto"/>
        <w:ind w:left="1440" w:firstLine="720"/>
        <w:rPr>
          <w:rFonts w:ascii="Arial" w:hAnsi="Arial" w:cs="Arial"/>
          <w:sz w:val="24"/>
        </w:rPr>
      </w:pPr>
      <w:r w:rsidRPr="004B72A4">
        <w:rPr>
          <w:rFonts w:ascii="Arial" w:hAnsi="Arial" w:cs="Arial"/>
          <w:sz w:val="24"/>
        </w:rPr>
        <w:t>63 FR 26318</w:t>
      </w:r>
    </w:p>
    <w:p w14:paraId="3EDBDBC7" w14:textId="1D323D07" w:rsidR="004B72A4" w:rsidRPr="004B72A4" w:rsidRDefault="004B72A4" w:rsidP="004B72A4">
      <w:pPr>
        <w:spacing w:line="360" w:lineRule="auto"/>
        <w:ind w:left="1440" w:firstLine="720"/>
        <w:rPr>
          <w:rFonts w:ascii="Arial" w:hAnsi="Arial" w:cs="Arial"/>
          <w:sz w:val="24"/>
        </w:rPr>
      </w:pPr>
      <w:r w:rsidRPr="004B72A4">
        <w:rPr>
          <w:rFonts w:ascii="Arial" w:hAnsi="Arial" w:cs="Arial"/>
          <w:sz w:val="24"/>
        </w:rPr>
        <w:t>87 FR 49065-49072</w:t>
      </w:r>
    </w:p>
    <w:p w14:paraId="26361C9D" w14:textId="77777777" w:rsidR="008552FD" w:rsidRDefault="008552FD" w:rsidP="00974D74">
      <w:pPr>
        <w:rPr>
          <w:rFonts w:ascii="Arial" w:hAnsi="Arial" w:cs="Arial"/>
          <w:sz w:val="24"/>
          <w:szCs w:val="24"/>
        </w:rPr>
      </w:pPr>
    </w:p>
    <w:p w14:paraId="5C9946EC" w14:textId="77777777" w:rsidR="004B72A4" w:rsidRDefault="004B72A4">
      <w:pPr>
        <w:rPr>
          <w:rFonts w:ascii="Arial" w:hAnsi="Arial" w:cs="Arial"/>
          <w:sz w:val="24"/>
          <w:szCs w:val="24"/>
        </w:rPr>
      </w:pPr>
      <w:r>
        <w:rPr>
          <w:rFonts w:ascii="Arial" w:hAnsi="Arial" w:cs="Arial"/>
          <w:sz w:val="24"/>
          <w:szCs w:val="24"/>
        </w:rPr>
        <w:br w:type="page"/>
      </w:r>
    </w:p>
    <w:p w14:paraId="04F48024" w14:textId="49870A0C" w:rsidR="00974D74" w:rsidRPr="00974D74" w:rsidRDefault="00974D74" w:rsidP="00974D74">
      <w:pPr>
        <w:rPr>
          <w:rFonts w:ascii="Arial" w:hAnsi="Arial" w:cs="Arial"/>
          <w:sz w:val="24"/>
          <w:szCs w:val="24"/>
        </w:rPr>
      </w:pPr>
      <w:r w:rsidRPr="00974D74">
        <w:rPr>
          <w:rFonts w:ascii="Arial" w:hAnsi="Arial" w:cs="Arial"/>
          <w:sz w:val="24"/>
          <w:szCs w:val="24"/>
        </w:rPr>
        <w:lastRenderedPageBreak/>
        <w:t>V.</w:t>
      </w:r>
      <w:r w:rsidRPr="00974D74">
        <w:rPr>
          <w:rFonts w:ascii="Arial" w:hAnsi="Arial" w:cs="Arial"/>
          <w:sz w:val="24"/>
          <w:szCs w:val="24"/>
        </w:rPr>
        <w:tab/>
        <w:t>EXHIBITS</w:t>
      </w:r>
    </w:p>
    <w:p w14:paraId="32E49509" w14:textId="77777777" w:rsidR="00974D74" w:rsidRPr="00974D74" w:rsidRDefault="00974D74" w:rsidP="00974D74">
      <w:pPr>
        <w:rPr>
          <w:rFonts w:ascii="Arial" w:hAnsi="Arial" w:cs="Arial"/>
          <w:b/>
          <w:sz w:val="24"/>
          <w:szCs w:val="24"/>
          <w:u w:val="single"/>
        </w:rPr>
      </w:pPr>
    </w:p>
    <w:p w14:paraId="06363757" w14:textId="77777777" w:rsidR="00974D74" w:rsidRPr="00974D74" w:rsidRDefault="00974D74" w:rsidP="00374665">
      <w:pPr>
        <w:tabs>
          <w:tab w:val="left" w:pos="540"/>
          <w:tab w:val="left" w:pos="720"/>
        </w:tabs>
        <w:rPr>
          <w:rFonts w:ascii="Arial" w:hAnsi="Arial" w:cs="Arial"/>
          <w:b/>
          <w:sz w:val="24"/>
          <w:szCs w:val="24"/>
          <w:u w:val="single"/>
        </w:rPr>
      </w:pPr>
    </w:p>
    <w:p w14:paraId="68F5B981" w14:textId="6C888BE2" w:rsidR="00767237" w:rsidRDefault="008429D2" w:rsidP="00E50778">
      <w:pPr>
        <w:pStyle w:val="Heading5"/>
      </w:pPr>
      <w:r>
        <w:t>C</w:t>
      </w:r>
      <w:r w:rsidR="00767237">
        <w:t>-1</w:t>
      </w:r>
      <w:r w:rsidR="004F27D7">
        <w:t>.</w:t>
      </w:r>
      <w:r w:rsidR="00F51B9D">
        <w:tab/>
      </w:r>
      <w:r w:rsidR="00F51B9D">
        <w:tab/>
      </w:r>
      <w:r w:rsidR="00767237">
        <w:t>Schedule of Providers</w:t>
      </w:r>
      <w:r w:rsidR="004B72A4">
        <w:t xml:space="preserve"> from the PRRB Portal – Case </w:t>
      </w:r>
      <w:r w:rsidR="00F51B9D">
        <w:t xml:space="preserve">No. </w:t>
      </w:r>
      <w:r w:rsidR="004B72A4">
        <w:t>22-0877GC</w:t>
      </w:r>
    </w:p>
    <w:p w14:paraId="35DA6CD8" w14:textId="77777777" w:rsidR="000D0499" w:rsidRDefault="000D0499" w:rsidP="000D0499"/>
    <w:p w14:paraId="178E724A" w14:textId="4D6B5FA0" w:rsidR="00FC0E8A" w:rsidRPr="004B72A4" w:rsidRDefault="004929EB" w:rsidP="00FC0E8A">
      <w:pPr>
        <w:pStyle w:val="Heading5"/>
        <w:rPr>
          <w:rFonts w:cs="Arial"/>
        </w:rPr>
      </w:pPr>
      <w:r w:rsidRPr="004B72A4">
        <w:rPr>
          <w:rFonts w:cs="Arial"/>
        </w:rPr>
        <w:t>C-2</w:t>
      </w:r>
      <w:r w:rsidR="004F27D7">
        <w:rPr>
          <w:rFonts w:cs="Arial"/>
        </w:rPr>
        <w:t>.</w:t>
      </w:r>
      <w:r w:rsidR="00F51B9D">
        <w:rPr>
          <w:rFonts w:cs="Arial"/>
        </w:rPr>
        <w:tab/>
      </w:r>
      <w:r w:rsidR="00F51B9D">
        <w:rPr>
          <w:rFonts w:cs="Arial"/>
        </w:rPr>
        <w:tab/>
        <w:t>S</w:t>
      </w:r>
      <w:r w:rsidR="004B72A4" w:rsidRPr="004B72A4">
        <w:rPr>
          <w:rFonts w:cs="Arial"/>
        </w:rPr>
        <w:t>chedule of Providers from the PRRB Portal – Case</w:t>
      </w:r>
      <w:r w:rsidR="00F51B9D">
        <w:rPr>
          <w:rFonts w:cs="Arial"/>
        </w:rPr>
        <w:t xml:space="preserve"> No.</w:t>
      </w:r>
      <w:r w:rsidR="004B72A4" w:rsidRPr="004B72A4">
        <w:rPr>
          <w:rFonts w:cs="Arial"/>
        </w:rPr>
        <w:t xml:space="preserve"> 22-0878GC</w:t>
      </w:r>
    </w:p>
    <w:p w14:paraId="0B24A395" w14:textId="77777777" w:rsidR="004B72A4" w:rsidRDefault="004B72A4" w:rsidP="004B72A4">
      <w:pPr>
        <w:rPr>
          <w:rFonts w:ascii="Arial" w:hAnsi="Arial" w:cs="Arial"/>
        </w:rPr>
      </w:pPr>
    </w:p>
    <w:p w14:paraId="16299B16" w14:textId="306702D4" w:rsidR="00F51B9D" w:rsidRDefault="004B72A4" w:rsidP="004B72A4">
      <w:pPr>
        <w:rPr>
          <w:rFonts w:ascii="Arial" w:hAnsi="Arial" w:cs="Arial"/>
          <w:sz w:val="24"/>
          <w:szCs w:val="24"/>
        </w:rPr>
      </w:pPr>
      <w:r w:rsidRPr="00F51B9D">
        <w:rPr>
          <w:rFonts w:ascii="Arial" w:hAnsi="Arial" w:cs="Arial"/>
          <w:sz w:val="24"/>
          <w:szCs w:val="24"/>
        </w:rPr>
        <w:t>C-</w:t>
      </w:r>
      <w:r w:rsidR="00F51B9D" w:rsidRPr="00F51B9D">
        <w:rPr>
          <w:rFonts w:ascii="Arial" w:hAnsi="Arial" w:cs="Arial"/>
          <w:sz w:val="24"/>
          <w:szCs w:val="24"/>
        </w:rPr>
        <w:t>3</w:t>
      </w:r>
      <w:r w:rsidR="0021724C">
        <w:rPr>
          <w:rFonts w:ascii="Arial" w:hAnsi="Arial" w:cs="Arial"/>
          <w:sz w:val="24"/>
          <w:szCs w:val="24"/>
        </w:rPr>
        <w:t>.</w:t>
      </w:r>
      <w:r w:rsidR="00F51B9D">
        <w:rPr>
          <w:rFonts w:ascii="Arial" w:hAnsi="Arial" w:cs="Arial"/>
          <w:sz w:val="24"/>
          <w:szCs w:val="24"/>
        </w:rPr>
        <w:tab/>
        <w:t>CMS Pub 15-2, Section 4034</w:t>
      </w:r>
    </w:p>
    <w:p w14:paraId="11EAEE64" w14:textId="77777777" w:rsidR="00F51B9D" w:rsidRDefault="00F51B9D" w:rsidP="004B72A4">
      <w:pPr>
        <w:rPr>
          <w:rFonts w:ascii="Arial" w:hAnsi="Arial" w:cs="Arial"/>
          <w:sz w:val="24"/>
          <w:szCs w:val="24"/>
        </w:rPr>
      </w:pPr>
    </w:p>
    <w:p w14:paraId="21FE608C" w14:textId="24E11EDB" w:rsidR="00F51B9D" w:rsidRDefault="00F51B9D" w:rsidP="004B72A4">
      <w:pPr>
        <w:rPr>
          <w:rFonts w:ascii="Arial" w:hAnsi="Arial" w:cs="Arial"/>
          <w:sz w:val="24"/>
          <w:szCs w:val="24"/>
        </w:rPr>
      </w:pPr>
      <w:r>
        <w:rPr>
          <w:rFonts w:ascii="Arial" w:hAnsi="Arial" w:cs="Arial"/>
          <w:sz w:val="24"/>
          <w:szCs w:val="24"/>
        </w:rPr>
        <w:t>C-</w:t>
      </w:r>
      <w:r w:rsidR="00BE3CAA">
        <w:rPr>
          <w:rFonts w:ascii="Arial" w:hAnsi="Arial" w:cs="Arial"/>
          <w:sz w:val="24"/>
          <w:szCs w:val="24"/>
        </w:rPr>
        <w:t>4</w:t>
      </w:r>
      <w:r w:rsidR="0021724C">
        <w:rPr>
          <w:rFonts w:ascii="Arial" w:hAnsi="Arial" w:cs="Arial"/>
          <w:sz w:val="24"/>
          <w:szCs w:val="24"/>
        </w:rPr>
        <w:t>.</w:t>
      </w:r>
      <w:r w:rsidR="00BE3CAA">
        <w:rPr>
          <w:rFonts w:ascii="Arial" w:hAnsi="Arial" w:cs="Arial"/>
          <w:sz w:val="24"/>
          <w:szCs w:val="24"/>
        </w:rPr>
        <w:tab/>
      </w:r>
      <w:r>
        <w:rPr>
          <w:rFonts w:ascii="Arial" w:hAnsi="Arial" w:cs="Arial"/>
          <w:sz w:val="24"/>
          <w:szCs w:val="24"/>
        </w:rPr>
        <w:t>62 FR 46004</w:t>
      </w:r>
    </w:p>
    <w:p w14:paraId="15FC714F" w14:textId="77777777" w:rsidR="00F51B9D" w:rsidRDefault="00F51B9D" w:rsidP="004B72A4">
      <w:pPr>
        <w:rPr>
          <w:rFonts w:ascii="Arial" w:hAnsi="Arial" w:cs="Arial"/>
          <w:sz w:val="24"/>
          <w:szCs w:val="24"/>
        </w:rPr>
      </w:pPr>
    </w:p>
    <w:p w14:paraId="166039CE" w14:textId="6B696B08" w:rsidR="00F51B9D" w:rsidRDefault="00F51B9D" w:rsidP="004B72A4">
      <w:pPr>
        <w:rPr>
          <w:rFonts w:ascii="Arial" w:hAnsi="Arial" w:cs="Arial"/>
          <w:sz w:val="24"/>
          <w:szCs w:val="24"/>
        </w:rPr>
      </w:pPr>
      <w:r>
        <w:rPr>
          <w:rFonts w:ascii="Arial" w:hAnsi="Arial" w:cs="Arial"/>
          <w:sz w:val="24"/>
          <w:szCs w:val="24"/>
        </w:rPr>
        <w:t>C-</w:t>
      </w:r>
      <w:r w:rsidR="00BE3CAA">
        <w:rPr>
          <w:rFonts w:ascii="Arial" w:hAnsi="Arial" w:cs="Arial"/>
          <w:sz w:val="24"/>
          <w:szCs w:val="24"/>
        </w:rPr>
        <w:t>5</w:t>
      </w:r>
      <w:r w:rsidR="0021724C">
        <w:rPr>
          <w:rFonts w:ascii="Arial" w:hAnsi="Arial" w:cs="Arial"/>
          <w:sz w:val="24"/>
          <w:szCs w:val="24"/>
        </w:rPr>
        <w:t>.</w:t>
      </w:r>
      <w:r w:rsidR="00BE3CAA">
        <w:rPr>
          <w:rFonts w:ascii="Arial" w:hAnsi="Arial" w:cs="Arial"/>
          <w:sz w:val="24"/>
          <w:szCs w:val="24"/>
        </w:rPr>
        <w:t xml:space="preserve"> </w:t>
      </w:r>
      <w:r w:rsidR="00BE3CAA">
        <w:rPr>
          <w:rFonts w:ascii="Arial" w:hAnsi="Arial" w:cs="Arial"/>
          <w:sz w:val="24"/>
          <w:szCs w:val="24"/>
        </w:rPr>
        <w:tab/>
      </w:r>
      <w:r>
        <w:rPr>
          <w:rFonts w:ascii="Arial" w:hAnsi="Arial" w:cs="Arial"/>
          <w:sz w:val="24"/>
          <w:szCs w:val="24"/>
        </w:rPr>
        <w:t>63 FR 26330</w:t>
      </w:r>
    </w:p>
    <w:p w14:paraId="17653544" w14:textId="77777777" w:rsidR="00F51B9D" w:rsidRDefault="00F51B9D" w:rsidP="004B72A4">
      <w:pPr>
        <w:rPr>
          <w:rFonts w:ascii="Arial" w:hAnsi="Arial" w:cs="Arial"/>
          <w:sz w:val="24"/>
          <w:szCs w:val="24"/>
        </w:rPr>
      </w:pPr>
    </w:p>
    <w:p w14:paraId="712AA7ED" w14:textId="08563C18" w:rsidR="00F51B9D" w:rsidRPr="004B72A4" w:rsidRDefault="00F51B9D" w:rsidP="00F51B9D">
      <w:pPr>
        <w:rPr>
          <w:rFonts w:ascii="Arial" w:hAnsi="Arial" w:cs="Arial"/>
          <w:sz w:val="24"/>
          <w:szCs w:val="24"/>
        </w:rPr>
      </w:pPr>
      <w:r>
        <w:rPr>
          <w:rFonts w:ascii="Arial" w:hAnsi="Arial" w:cs="Arial"/>
          <w:sz w:val="24"/>
          <w:szCs w:val="24"/>
        </w:rPr>
        <w:t>C-</w:t>
      </w:r>
      <w:r w:rsidR="00BE3CAA">
        <w:rPr>
          <w:rFonts w:ascii="Arial" w:hAnsi="Arial" w:cs="Arial"/>
          <w:sz w:val="24"/>
          <w:szCs w:val="24"/>
        </w:rPr>
        <w:t>6</w:t>
      </w:r>
      <w:r w:rsidR="0021724C">
        <w:rPr>
          <w:rFonts w:ascii="Arial" w:hAnsi="Arial" w:cs="Arial"/>
          <w:sz w:val="24"/>
          <w:szCs w:val="24"/>
        </w:rPr>
        <w:t>.</w:t>
      </w:r>
      <w:r w:rsidR="00BE3CAA">
        <w:rPr>
          <w:rFonts w:ascii="Arial" w:hAnsi="Arial" w:cs="Arial"/>
          <w:sz w:val="24"/>
          <w:szCs w:val="24"/>
        </w:rPr>
        <w:tab/>
      </w:r>
      <w:r w:rsidRPr="00F51B9D">
        <w:rPr>
          <w:rFonts w:ascii="Arial" w:hAnsi="Arial" w:cs="Arial"/>
          <w:sz w:val="24"/>
          <w:szCs w:val="24"/>
        </w:rPr>
        <w:t>87 FR 49065-49072</w:t>
      </w:r>
    </w:p>
    <w:p w14:paraId="21DBB86D" w14:textId="0C793479" w:rsidR="004B72A4" w:rsidRPr="00F51B9D" w:rsidRDefault="00F51B9D" w:rsidP="004B72A4">
      <w:pPr>
        <w:rPr>
          <w:rFonts w:ascii="Arial" w:hAnsi="Arial" w:cs="Arial"/>
          <w:sz w:val="24"/>
          <w:szCs w:val="24"/>
        </w:rPr>
      </w:pPr>
      <w:r>
        <w:rPr>
          <w:rFonts w:ascii="Arial" w:hAnsi="Arial" w:cs="Arial"/>
          <w:sz w:val="24"/>
          <w:szCs w:val="24"/>
        </w:rPr>
        <w:tab/>
      </w:r>
    </w:p>
    <w:p w14:paraId="11FCFDC1" w14:textId="6BA8AD1E" w:rsidR="004B72A4" w:rsidRPr="004B72A4" w:rsidRDefault="004B72A4" w:rsidP="004B72A4">
      <w:pPr>
        <w:rPr>
          <w:rFonts w:ascii="Arial" w:hAnsi="Arial" w:cs="Arial"/>
        </w:rPr>
      </w:pPr>
    </w:p>
    <w:p w14:paraId="4EC32FDD" w14:textId="77777777" w:rsidR="00FC0E8A" w:rsidRPr="004B72A4" w:rsidRDefault="00FC0E8A" w:rsidP="00FC0E8A">
      <w:pPr>
        <w:rPr>
          <w:rFonts w:ascii="Arial" w:hAnsi="Arial" w:cs="Arial"/>
        </w:rPr>
      </w:pPr>
    </w:p>
    <w:p w14:paraId="311006DB" w14:textId="77777777" w:rsidR="00275FE0" w:rsidRPr="004B72A4" w:rsidRDefault="00275FE0" w:rsidP="00275FE0">
      <w:pPr>
        <w:rPr>
          <w:rFonts w:ascii="Arial" w:hAnsi="Arial" w:cs="Arial"/>
        </w:rPr>
      </w:pPr>
    </w:p>
    <w:p w14:paraId="4EE3C3AB" w14:textId="77777777" w:rsidR="00521FA9" w:rsidRPr="004B72A4" w:rsidRDefault="00521FA9" w:rsidP="00E77F05">
      <w:pPr>
        <w:pStyle w:val="Title"/>
        <w:pBdr>
          <w:bottom w:val="none" w:sz="0" w:space="0" w:color="auto"/>
        </w:pBdr>
        <w:spacing w:line="280" w:lineRule="exact"/>
        <w:rPr>
          <w:rFonts w:ascii="Arial" w:hAnsi="Arial" w:cs="Arial"/>
          <w:szCs w:val="24"/>
        </w:rPr>
      </w:pPr>
    </w:p>
    <w:p w14:paraId="12D6553C" w14:textId="77777777" w:rsidR="00974D74" w:rsidRPr="004B72A4" w:rsidRDefault="00974D74" w:rsidP="00E77F05">
      <w:pPr>
        <w:pStyle w:val="Title"/>
        <w:pBdr>
          <w:bottom w:val="none" w:sz="0" w:space="0" w:color="auto"/>
        </w:pBdr>
        <w:spacing w:line="280" w:lineRule="exact"/>
        <w:rPr>
          <w:rFonts w:ascii="Arial" w:hAnsi="Arial" w:cs="Arial"/>
          <w:szCs w:val="24"/>
        </w:rPr>
      </w:pPr>
    </w:p>
    <w:p w14:paraId="439097AB" w14:textId="77777777" w:rsidR="00974D74" w:rsidRPr="004B72A4" w:rsidRDefault="00974D74" w:rsidP="00E77F05">
      <w:pPr>
        <w:pStyle w:val="Title"/>
        <w:pBdr>
          <w:bottom w:val="none" w:sz="0" w:space="0" w:color="auto"/>
        </w:pBdr>
        <w:spacing w:line="280" w:lineRule="exact"/>
        <w:rPr>
          <w:rFonts w:ascii="Arial" w:hAnsi="Arial" w:cs="Arial"/>
          <w:szCs w:val="24"/>
        </w:rPr>
      </w:pPr>
    </w:p>
    <w:p w14:paraId="1D174FCB" w14:textId="77777777" w:rsidR="00974D74" w:rsidRPr="004B72A4" w:rsidRDefault="00974D74" w:rsidP="00E77F05">
      <w:pPr>
        <w:pStyle w:val="Title"/>
        <w:pBdr>
          <w:bottom w:val="none" w:sz="0" w:space="0" w:color="auto"/>
        </w:pBdr>
        <w:spacing w:line="280" w:lineRule="exact"/>
        <w:rPr>
          <w:rFonts w:ascii="Arial" w:hAnsi="Arial" w:cs="Arial"/>
          <w:szCs w:val="24"/>
        </w:rPr>
      </w:pPr>
    </w:p>
    <w:sectPr w:rsidR="00974D74" w:rsidRPr="004B72A4" w:rsidSect="00AC2E82">
      <w:headerReference w:type="default" r:id="rId8"/>
      <w:footerReference w:type="even" r:id="rId9"/>
      <w:footerReference w:type="default" r:id="rId10"/>
      <w:footerReference w:type="first" r:id="rId11"/>
      <w:pgSz w:w="12240" w:h="15840" w:code="1"/>
      <w:pgMar w:top="1440" w:right="1440" w:bottom="1440" w:left="1440" w:header="720" w:footer="720" w:gutter="72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4C45F" w14:textId="77777777" w:rsidR="00C61CBA" w:rsidRDefault="00C61CBA">
      <w:r>
        <w:separator/>
      </w:r>
    </w:p>
  </w:endnote>
  <w:endnote w:type="continuationSeparator" w:id="0">
    <w:p w14:paraId="1DAA7DF7" w14:textId="77777777" w:rsidR="00C61CBA" w:rsidRDefault="00C61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5C989" w14:textId="77777777" w:rsidR="003332EE" w:rsidRDefault="003332EE"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61518D" w14:textId="77777777" w:rsidR="003332EE" w:rsidRDefault="003332EE"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9143853"/>
      <w:docPartObj>
        <w:docPartGallery w:val="Page Numbers (Bottom of Page)"/>
        <w:docPartUnique/>
      </w:docPartObj>
    </w:sdtPr>
    <w:sdtContent>
      <w:sdt>
        <w:sdtPr>
          <w:id w:val="1738291050"/>
          <w:docPartObj>
            <w:docPartGallery w:val="Page Numbers (Top of Page)"/>
            <w:docPartUnique/>
          </w:docPartObj>
        </w:sdtPr>
        <w:sdtContent>
          <w:p w14:paraId="1BBB9F5A" w14:textId="78672527" w:rsidR="00F94BB9" w:rsidRDefault="00F94BB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683DFD">
              <w:rPr>
                <w:b/>
                <w:bCs/>
                <w:sz w:val="24"/>
                <w:szCs w:val="24"/>
              </w:rPr>
              <w:t>2</w:t>
            </w:r>
            <w:r w:rsidR="00004BF0">
              <w:rPr>
                <w:b/>
                <w:bCs/>
                <w:sz w:val="24"/>
                <w:szCs w:val="24"/>
              </w:rPr>
              <w:t>3</w:t>
            </w:r>
          </w:p>
        </w:sdtContent>
      </w:sdt>
    </w:sdtContent>
  </w:sdt>
  <w:p w14:paraId="65290E28" w14:textId="77777777" w:rsidR="003332EE" w:rsidRPr="00F75108" w:rsidRDefault="003332EE" w:rsidP="00AC2E82">
    <w:pPr>
      <w:pStyle w:val="Footer"/>
      <w:jc w:val="righ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3160867"/>
      <w:docPartObj>
        <w:docPartGallery w:val="Page Numbers (Bottom of Page)"/>
        <w:docPartUnique/>
      </w:docPartObj>
    </w:sdtPr>
    <w:sdtContent>
      <w:sdt>
        <w:sdtPr>
          <w:id w:val="1728636285"/>
          <w:docPartObj>
            <w:docPartGallery w:val="Page Numbers (Top of Page)"/>
            <w:docPartUnique/>
          </w:docPartObj>
        </w:sdtPr>
        <w:sdtContent>
          <w:p w14:paraId="1E265C6F" w14:textId="04200938" w:rsidR="00F94BB9" w:rsidRDefault="00F94BB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683DFD">
              <w:rPr>
                <w:b/>
                <w:bCs/>
                <w:sz w:val="24"/>
                <w:szCs w:val="24"/>
              </w:rPr>
              <w:t>2</w:t>
            </w:r>
            <w:r w:rsidR="00004BF0">
              <w:rPr>
                <w:b/>
                <w:bCs/>
                <w:sz w:val="24"/>
                <w:szCs w:val="24"/>
              </w:rPr>
              <w:t>3</w:t>
            </w:r>
          </w:p>
        </w:sdtContent>
      </w:sdt>
    </w:sdtContent>
  </w:sdt>
  <w:p w14:paraId="6C5EBB21" w14:textId="77777777" w:rsidR="003332EE" w:rsidRDefault="003332EE" w:rsidP="00AC2E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B17D0" w14:textId="77777777" w:rsidR="00C61CBA" w:rsidRDefault="00C61CBA">
      <w:r>
        <w:separator/>
      </w:r>
    </w:p>
  </w:footnote>
  <w:footnote w:type="continuationSeparator" w:id="0">
    <w:p w14:paraId="6617B543" w14:textId="77777777" w:rsidR="00C61CBA" w:rsidRDefault="00C61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D584C" w14:textId="12DC6147" w:rsidR="00A576EB" w:rsidRDefault="003332EE" w:rsidP="00A576EB">
    <w:pPr>
      <w:pStyle w:val="Header"/>
      <w:tabs>
        <w:tab w:val="clear" w:pos="8640"/>
        <w:tab w:val="center" w:pos="8280"/>
      </w:tabs>
      <w:rPr>
        <w:rFonts w:ascii="Arial" w:hAnsi="Arial" w:cs="Arial"/>
      </w:rPr>
    </w:pPr>
    <w:r w:rsidRPr="00F35D3C">
      <w:rPr>
        <w:rFonts w:ascii="Arial" w:hAnsi="Arial" w:cs="Arial"/>
      </w:rPr>
      <w:t>PRRB Case No</w:t>
    </w:r>
    <w:r w:rsidR="00797942">
      <w:rPr>
        <w:rFonts w:ascii="Arial" w:hAnsi="Arial" w:cs="Arial"/>
      </w:rPr>
      <w:t>s</w:t>
    </w:r>
    <w:r w:rsidRPr="00F35D3C">
      <w:rPr>
        <w:rFonts w:ascii="Arial" w:hAnsi="Arial" w:cs="Arial"/>
      </w:rPr>
      <w:t xml:space="preserve">. </w:t>
    </w:r>
    <w:r w:rsidR="00797942">
      <w:rPr>
        <w:rFonts w:ascii="Arial" w:hAnsi="Arial" w:cs="Arial"/>
      </w:rPr>
      <w:t>22-0877</w:t>
    </w:r>
    <w:r>
      <w:rPr>
        <w:rFonts w:ascii="Arial" w:hAnsi="Arial" w:cs="Arial"/>
      </w:rPr>
      <w:t>G</w:t>
    </w:r>
    <w:r w:rsidR="00A576EB">
      <w:rPr>
        <w:rFonts w:ascii="Arial" w:hAnsi="Arial" w:cs="Arial"/>
      </w:rPr>
      <w:t>C</w:t>
    </w:r>
    <w:r w:rsidR="00797942">
      <w:rPr>
        <w:rFonts w:ascii="Arial" w:hAnsi="Arial" w:cs="Arial"/>
      </w:rPr>
      <w:t xml:space="preserve"> and 22-0878GC</w:t>
    </w:r>
  </w:p>
  <w:p w14:paraId="7B0433BD" w14:textId="77777777" w:rsidR="003332EE" w:rsidRPr="00F35D3C" w:rsidRDefault="003332EE" w:rsidP="00AC2E82">
    <w:pPr>
      <w:pStyle w:val="Header"/>
      <w:rPr>
        <w:rFonts w:ascii="Arial" w:hAnsi="Arial" w:cs="Arial"/>
      </w:rPr>
    </w:pPr>
  </w:p>
  <w:p w14:paraId="6B41E6BF" w14:textId="77777777" w:rsidR="003332EE" w:rsidRPr="009F31E0" w:rsidRDefault="003332EE" w:rsidP="00AC2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08DE"/>
    <w:multiLevelType w:val="hybridMultilevel"/>
    <w:tmpl w:val="A6DE3FA2"/>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F6499"/>
    <w:multiLevelType w:val="hybridMultilevel"/>
    <w:tmpl w:val="3EEA1824"/>
    <w:lvl w:ilvl="0" w:tplc="7864F63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D1EBB"/>
    <w:multiLevelType w:val="hybridMultilevel"/>
    <w:tmpl w:val="25DCE9CE"/>
    <w:lvl w:ilvl="0" w:tplc="04090015">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1D701F"/>
    <w:multiLevelType w:val="hybridMultilevel"/>
    <w:tmpl w:val="2A16D3C6"/>
    <w:lvl w:ilvl="0" w:tplc="9D8446E4">
      <w:start w:val="1"/>
      <w:numFmt w:val="upperRoman"/>
      <w:lvlText w:val="(%1)"/>
      <w:lvlJc w:val="left"/>
      <w:pPr>
        <w:tabs>
          <w:tab w:val="num" w:pos="1530"/>
        </w:tabs>
        <w:ind w:left="1530" w:hanging="72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4" w15:restartNumberingAfterBreak="0">
    <w:nsid w:val="1AAC6E86"/>
    <w:multiLevelType w:val="hybridMultilevel"/>
    <w:tmpl w:val="A1688C72"/>
    <w:lvl w:ilvl="0" w:tplc="A2A4E9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C094D1F"/>
    <w:multiLevelType w:val="hybridMultilevel"/>
    <w:tmpl w:val="B12ED3C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7" w15:restartNumberingAfterBreak="0">
    <w:nsid w:val="208840BC"/>
    <w:multiLevelType w:val="hybridMultilevel"/>
    <w:tmpl w:val="08782AEA"/>
    <w:lvl w:ilvl="0" w:tplc="0FBA90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105789"/>
    <w:multiLevelType w:val="hybridMultilevel"/>
    <w:tmpl w:val="33F2435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11" w15:restartNumberingAfterBreak="0">
    <w:nsid w:val="300B4588"/>
    <w:multiLevelType w:val="hybridMultilevel"/>
    <w:tmpl w:val="548CF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8401C1"/>
    <w:multiLevelType w:val="hybridMultilevel"/>
    <w:tmpl w:val="05D03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E318A3"/>
    <w:multiLevelType w:val="hybridMultilevel"/>
    <w:tmpl w:val="3AF2E4FE"/>
    <w:lvl w:ilvl="0" w:tplc="DCA06932">
      <w:start w:val="214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DEA776E"/>
    <w:multiLevelType w:val="hybridMultilevel"/>
    <w:tmpl w:val="6B4CE218"/>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BF1E00"/>
    <w:multiLevelType w:val="hybridMultilevel"/>
    <w:tmpl w:val="98E2BEC0"/>
    <w:lvl w:ilvl="0" w:tplc="56AECCF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377EEC"/>
    <w:multiLevelType w:val="hybridMultilevel"/>
    <w:tmpl w:val="D09A625C"/>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CA4743"/>
    <w:multiLevelType w:val="hybridMultilevel"/>
    <w:tmpl w:val="03BCAD5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B135F77"/>
    <w:multiLevelType w:val="hybridMultilevel"/>
    <w:tmpl w:val="19FACA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2E4FA1"/>
    <w:multiLevelType w:val="hybridMultilevel"/>
    <w:tmpl w:val="4288DE6E"/>
    <w:lvl w:ilvl="0" w:tplc="730E7B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BC60FD3"/>
    <w:multiLevelType w:val="hybridMultilevel"/>
    <w:tmpl w:val="A09AC7D6"/>
    <w:lvl w:ilvl="0" w:tplc="5AD29F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23"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23A1D2C"/>
    <w:multiLevelType w:val="hybridMultilevel"/>
    <w:tmpl w:val="E94A3D1A"/>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C31EC1"/>
    <w:multiLevelType w:val="hybridMultilevel"/>
    <w:tmpl w:val="83EC5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B5864BB"/>
    <w:multiLevelType w:val="hybridMultilevel"/>
    <w:tmpl w:val="A6CC7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72342"/>
    <w:multiLevelType w:val="hybridMultilevel"/>
    <w:tmpl w:val="84427BEE"/>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EC4AD4"/>
    <w:multiLevelType w:val="hybridMultilevel"/>
    <w:tmpl w:val="F7042064"/>
    <w:lvl w:ilvl="0" w:tplc="9110BC0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F2F216C"/>
    <w:multiLevelType w:val="hybridMultilevel"/>
    <w:tmpl w:val="16368794"/>
    <w:lvl w:ilvl="0" w:tplc="49CED4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0856681"/>
    <w:multiLevelType w:val="hybridMultilevel"/>
    <w:tmpl w:val="3EEA1824"/>
    <w:lvl w:ilvl="0" w:tplc="7864F63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2C2873"/>
    <w:multiLevelType w:val="hybridMultilevel"/>
    <w:tmpl w:val="84427BEE"/>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5412078">
    <w:abstractNumId w:val="10"/>
  </w:num>
  <w:num w:numId="2" w16cid:durableId="338629086">
    <w:abstractNumId w:val="6"/>
  </w:num>
  <w:num w:numId="3" w16cid:durableId="1171679029">
    <w:abstractNumId w:val="22"/>
  </w:num>
  <w:num w:numId="4" w16cid:durableId="1120340603">
    <w:abstractNumId w:val="9"/>
  </w:num>
  <w:num w:numId="5" w16cid:durableId="774902452">
    <w:abstractNumId w:val="23"/>
  </w:num>
  <w:num w:numId="6" w16cid:durableId="439302862">
    <w:abstractNumId w:val="15"/>
  </w:num>
  <w:num w:numId="7" w16cid:durableId="48696095">
    <w:abstractNumId w:val="7"/>
  </w:num>
  <w:num w:numId="8" w16cid:durableId="838035882">
    <w:abstractNumId w:val="28"/>
  </w:num>
  <w:num w:numId="9" w16cid:durableId="136269128">
    <w:abstractNumId w:val="4"/>
  </w:num>
  <w:num w:numId="10" w16cid:durableId="1022901710">
    <w:abstractNumId w:val="29"/>
  </w:num>
  <w:num w:numId="11" w16cid:durableId="675231011">
    <w:abstractNumId w:val="2"/>
  </w:num>
  <w:num w:numId="12" w16cid:durableId="84037275">
    <w:abstractNumId w:val="12"/>
  </w:num>
  <w:num w:numId="13" w16cid:durableId="1459952756">
    <w:abstractNumId w:val="13"/>
  </w:num>
  <w:num w:numId="14" w16cid:durableId="1953123691">
    <w:abstractNumId w:val="5"/>
  </w:num>
  <w:num w:numId="15" w16cid:durableId="1598710838">
    <w:abstractNumId w:val="16"/>
  </w:num>
  <w:num w:numId="16" w16cid:durableId="1854033744">
    <w:abstractNumId w:val="18"/>
  </w:num>
  <w:num w:numId="17" w16cid:durableId="1875650187">
    <w:abstractNumId w:val="3"/>
  </w:num>
  <w:num w:numId="18" w16cid:durableId="194660067">
    <w:abstractNumId w:val="25"/>
  </w:num>
  <w:num w:numId="19" w16cid:durableId="2080401791">
    <w:abstractNumId w:val="20"/>
  </w:num>
  <w:num w:numId="20" w16cid:durableId="899513623">
    <w:abstractNumId w:val="11"/>
  </w:num>
  <w:num w:numId="21" w16cid:durableId="1741907072">
    <w:abstractNumId w:val="30"/>
  </w:num>
  <w:num w:numId="22" w16cid:durableId="2120831156">
    <w:abstractNumId w:val="1"/>
  </w:num>
  <w:num w:numId="23" w16cid:durableId="195965717">
    <w:abstractNumId w:val="0"/>
  </w:num>
  <w:num w:numId="24" w16cid:durableId="2065832616">
    <w:abstractNumId w:val="31"/>
  </w:num>
  <w:num w:numId="25" w16cid:durableId="1936353418">
    <w:abstractNumId w:val="27"/>
  </w:num>
  <w:num w:numId="26" w16cid:durableId="1898658726">
    <w:abstractNumId w:val="24"/>
  </w:num>
  <w:num w:numId="27" w16cid:durableId="312371800">
    <w:abstractNumId w:val="21"/>
  </w:num>
  <w:num w:numId="28" w16cid:durableId="684020229">
    <w:abstractNumId w:val="19"/>
  </w:num>
  <w:num w:numId="29" w16cid:durableId="152189695">
    <w:abstractNumId w:val="14"/>
  </w:num>
  <w:num w:numId="30" w16cid:durableId="640579347">
    <w:abstractNumId w:val="17"/>
  </w:num>
  <w:num w:numId="31" w16cid:durableId="1947226216">
    <w:abstractNumId w:val="26"/>
  </w:num>
  <w:num w:numId="32" w16cid:durableId="16267370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04BF0"/>
    <w:rsid w:val="00004FD3"/>
    <w:rsid w:val="00005911"/>
    <w:rsid w:val="0001613D"/>
    <w:rsid w:val="0002304D"/>
    <w:rsid w:val="00027405"/>
    <w:rsid w:val="00027A82"/>
    <w:rsid w:val="00032802"/>
    <w:rsid w:val="00034292"/>
    <w:rsid w:val="0003559C"/>
    <w:rsid w:val="00037A64"/>
    <w:rsid w:val="00040757"/>
    <w:rsid w:val="0004506B"/>
    <w:rsid w:val="000456E5"/>
    <w:rsid w:val="0004787F"/>
    <w:rsid w:val="0005365B"/>
    <w:rsid w:val="0005443F"/>
    <w:rsid w:val="00056025"/>
    <w:rsid w:val="00060DA5"/>
    <w:rsid w:val="00066BA4"/>
    <w:rsid w:val="00066F12"/>
    <w:rsid w:val="00066F8F"/>
    <w:rsid w:val="00070375"/>
    <w:rsid w:val="00082657"/>
    <w:rsid w:val="00082DD0"/>
    <w:rsid w:val="0008548B"/>
    <w:rsid w:val="0009322E"/>
    <w:rsid w:val="000A38F6"/>
    <w:rsid w:val="000A3A81"/>
    <w:rsid w:val="000A5C9F"/>
    <w:rsid w:val="000B0E8A"/>
    <w:rsid w:val="000B1513"/>
    <w:rsid w:val="000B4519"/>
    <w:rsid w:val="000C07A2"/>
    <w:rsid w:val="000C2544"/>
    <w:rsid w:val="000C52B6"/>
    <w:rsid w:val="000D0499"/>
    <w:rsid w:val="000D095F"/>
    <w:rsid w:val="000D1725"/>
    <w:rsid w:val="000D24BC"/>
    <w:rsid w:val="000D2A63"/>
    <w:rsid w:val="000D348B"/>
    <w:rsid w:val="000D38C0"/>
    <w:rsid w:val="000D495C"/>
    <w:rsid w:val="000E1344"/>
    <w:rsid w:val="000F0CAA"/>
    <w:rsid w:val="000F4D8D"/>
    <w:rsid w:val="001017A6"/>
    <w:rsid w:val="00102092"/>
    <w:rsid w:val="00105438"/>
    <w:rsid w:val="00112FD9"/>
    <w:rsid w:val="0012216A"/>
    <w:rsid w:val="00124C84"/>
    <w:rsid w:val="001454F7"/>
    <w:rsid w:val="0014669B"/>
    <w:rsid w:val="00166C00"/>
    <w:rsid w:val="0017353B"/>
    <w:rsid w:val="00174DF6"/>
    <w:rsid w:val="0017764C"/>
    <w:rsid w:val="00181C9A"/>
    <w:rsid w:val="00182A91"/>
    <w:rsid w:val="00183488"/>
    <w:rsid w:val="001838CA"/>
    <w:rsid w:val="00190FC7"/>
    <w:rsid w:val="00197057"/>
    <w:rsid w:val="001A020F"/>
    <w:rsid w:val="001A1068"/>
    <w:rsid w:val="001A34E7"/>
    <w:rsid w:val="001A39B9"/>
    <w:rsid w:val="001A3F83"/>
    <w:rsid w:val="001A6295"/>
    <w:rsid w:val="001A72A9"/>
    <w:rsid w:val="001C40BE"/>
    <w:rsid w:val="001C639A"/>
    <w:rsid w:val="001C6C83"/>
    <w:rsid w:val="001C7545"/>
    <w:rsid w:val="001D1223"/>
    <w:rsid w:val="001D4B6F"/>
    <w:rsid w:val="001D6540"/>
    <w:rsid w:val="001E2A77"/>
    <w:rsid w:val="001E60A2"/>
    <w:rsid w:val="001F2E14"/>
    <w:rsid w:val="001F3583"/>
    <w:rsid w:val="00203169"/>
    <w:rsid w:val="002033B6"/>
    <w:rsid w:val="00211252"/>
    <w:rsid w:val="002117BD"/>
    <w:rsid w:val="00212BA9"/>
    <w:rsid w:val="00215B30"/>
    <w:rsid w:val="00216437"/>
    <w:rsid w:val="0021724C"/>
    <w:rsid w:val="0021747D"/>
    <w:rsid w:val="00222A1F"/>
    <w:rsid w:val="002231FA"/>
    <w:rsid w:val="0022652C"/>
    <w:rsid w:val="002265AB"/>
    <w:rsid w:val="002266B8"/>
    <w:rsid w:val="00237125"/>
    <w:rsid w:val="0024089B"/>
    <w:rsid w:val="0024160D"/>
    <w:rsid w:val="00253F0D"/>
    <w:rsid w:val="00260FC1"/>
    <w:rsid w:val="00262865"/>
    <w:rsid w:val="00264957"/>
    <w:rsid w:val="00272B00"/>
    <w:rsid w:val="00275FE0"/>
    <w:rsid w:val="002A342F"/>
    <w:rsid w:val="002A40C8"/>
    <w:rsid w:val="002A41A9"/>
    <w:rsid w:val="002A7224"/>
    <w:rsid w:val="002B3A3F"/>
    <w:rsid w:val="002B43F7"/>
    <w:rsid w:val="002B4CF2"/>
    <w:rsid w:val="002B58A8"/>
    <w:rsid w:val="002E0C08"/>
    <w:rsid w:val="002E4061"/>
    <w:rsid w:val="002F428E"/>
    <w:rsid w:val="002F5D81"/>
    <w:rsid w:val="00303B89"/>
    <w:rsid w:val="00306DF2"/>
    <w:rsid w:val="003075EA"/>
    <w:rsid w:val="00307BFE"/>
    <w:rsid w:val="00310FE0"/>
    <w:rsid w:val="00317618"/>
    <w:rsid w:val="0032362F"/>
    <w:rsid w:val="00324479"/>
    <w:rsid w:val="00331E2E"/>
    <w:rsid w:val="003332EE"/>
    <w:rsid w:val="003342C0"/>
    <w:rsid w:val="00335B1D"/>
    <w:rsid w:val="0033738B"/>
    <w:rsid w:val="00347C05"/>
    <w:rsid w:val="003511E4"/>
    <w:rsid w:val="00357BE4"/>
    <w:rsid w:val="00361DA0"/>
    <w:rsid w:val="003672FD"/>
    <w:rsid w:val="00367556"/>
    <w:rsid w:val="00367685"/>
    <w:rsid w:val="003703E9"/>
    <w:rsid w:val="003704AD"/>
    <w:rsid w:val="003722EA"/>
    <w:rsid w:val="00374665"/>
    <w:rsid w:val="003818DF"/>
    <w:rsid w:val="003A6923"/>
    <w:rsid w:val="003B2A35"/>
    <w:rsid w:val="003B3753"/>
    <w:rsid w:val="003B38E9"/>
    <w:rsid w:val="003B583B"/>
    <w:rsid w:val="003C74B0"/>
    <w:rsid w:val="003D1101"/>
    <w:rsid w:val="003D16B7"/>
    <w:rsid w:val="003E0792"/>
    <w:rsid w:val="003E0962"/>
    <w:rsid w:val="003E4A63"/>
    <w:rsid w:val="003E6F4A"/>
    <w:rsid w:val="003F6045"/>
    <w:rsid w:val="003F6564"/>
    <w:rsid w:val="004037EA"/>
    <w:rsid w:val="00411FF5"/>
    <w:rsid w:val="004211B0"/>
    <w:rsid w:val="004225FD"/>
    <w:rsid w:val="00425A5C"/>
    <w:rsid w:val="00426580"/>
    <w:rsid w:val="0042734E"/>
    <w:rsid w:val="00430AAA"/>
    <w:rsid w:val="00435A6A"/>
    <w:rsid w:val="00437420"/>
    <w:rsid w:val="00444A34"/>
    <w:rsid w:val="0044705D"/>
    <w:rsid w:val="00447974"/>
    <w:rsid w:val="00455B4F"/>
    <w:rsid w:val="004561D5"/>
    <w:rsid w:val="004621AE"/>
    <w:rsid w:val="004633DA"/>
    <w:rsid w:val="00465929"/>
    <w:rsid w:val="00476088"/>
    <w:rsid w:val="00482D6D"/>
    <w:rsid w:val="00483E2D"/>
    <w:rsid w:val="004929EB"/>
    <w:rsid w:val="004942AE"/>
    <w:rsid w:val="004A2753"/>
    <w:rsid w:val="004B28E9"/>
    <w:rsid w:val="004B3AF1"/>
    <w:rsid w:val="004B62C3"/>
    <w:rsid w:val="004B72A4"/>
    <w:rsid w:val="004C563E"/>
    <w:rsid w:val="004C6AAD"/>
    <w:rsid w:val="004D1BF5"/>
    <w:rsid w:val="004D20A1"/>
    <w:rsid w:val="004D356F"/>
    <w:rsid w:val="004D390B"/>
    <w:rsid w:val="004E0647"/>
    <w:rsid w:val="004E1E7C"/>
    <w:rsid w:val="004E4EF6"/>
    <w:rsid w:val="004E6D6A"/>
    <w:rsid w:val="004F1C5D"/>
    <w:rsid w:val="004F27D7"/>
    <w:rsid w:val="004F3BCB"/>
    <w:rsid w:val="004F7E27"/>
    <w:rsid w:val="0050173C"/>
    <w:rsid w:val="00502852"/>
    <w:rsid w:val="00515756"/>
    <w:rsid w:val="0051732C"/>
    <w:rsid w:val="0052117D"/>
    <w:rsid w:val="00521FA9"/>
    <w:rsid w:val="00523EC0"/>
    <w:rsid w:val="005252DA"/>
    <w:rsid w:val="00525F10"/>
    <w:rsid w:val="0052627A"/>
    <w:rsid w:val="00532E02"/>
    <w:rsid w:val="005364FA"/>
    <w:rsid w:val="005406A8"/>
    <w:rsid w:val="00554E26"/>
    <w:rsid w:val="00557598"/>
    <w:rsid w:val="00561C8F"/>
    <w:rsid w:val="00561E68"/>
    <w:rsid w:val="00563625"/>
    <w:rsid w:val="0057296D"/>
    <w:rsid w:val="005740A4"/>
    <w:rsid w:val="00576736"/>
    <w:rsid w:val="00580AE1"/>
    <w:rsid w:val="00580B1D"/>
    <w:rsid w:val="00584211"/>
    <w:rsid w:val="005871BD"/>
    <w:rsid w:val="005873EF"/>
    <w:rsid w:val="005968D4"/>
    <w:rsid w:val="005B2E68"/>
    <w:rsid w:val="005B6649"/>
    <w:rsid w:val="005C17AE"/>
    <w:rsid w:val="005C28D4"/>
    <w:rsid w:val="005C48C0"/>
    <w:rsid w:val="005D2047"/>
    <w:rsid w:val="005D4FED"/>
    <w:rsid w:val="005D5D4F"/>
    <w:rsid w:val="005E35F5"/>
    <w:rsid w:val="005E564F"/>
    <w:rsid w:val="005E648E"/>
    <w:rsid w:val="005E6820"/>
    <w:rsid w:val="005F3379"/>
    <w:rsid w:val="005F5FA6"/>
    <w:rsid w:val="005F6877"/>
    <w:rsid w:val="00607C78"/>
    <w:rsid w:val="00610719"/>
    <w:rsid w:val="0062224A"/>
    <w:rsid w:val="00631F04"/>
    <w:rsid w:val="006407D3"/>
    <w:rsid w:val="00641019"/>
    <w:rsid w:val="0064384D"/>
    <w:rsid w:val="00643F46"/>
    <w:rsid w:val="00646746"/>
    <w:rsid w:val="00653570"/>
    <w:rsid w:val="0065721C"/>
    <w:rsid w:val="00670487"/>
    <w:rsid w:val="00670E26"/>
    <w:rsid w:val="00671043"/>
    <w:rsid w:val="006739A3"/>
    <w:rsid w:val="006763D8"/>
    <w:rsid w:val="00682556"/>
    <w:rsid w:val="00683DFD"/>
    <w:rsid w:val="006A20F2"/>
    <w:rsid w:val="006B3DB3"/>
    <w:rsid w:val="006B57BC"/>
    <w:rsid w:val="006C3D8D"/>
    <w:rsid w:val="006C7806"/>
    <w:rsid w:val="006E2FD7"/>
    <w:rsid w:val="006F12E1"/>
    <w:rsid w:val="006F5C54"/>
    <w:rsid w:val="0070064B"/>
    <w:rsid w:val="007148D1"/>
    <w:rsid w:val="007168A7"/>
    <w:rsid w:val="007277AE"/>
    <w:rsid w:val="0073491D"/>
    <w:rsid w:val="007363B3"/>
    <w:rsid w:val="00742381"/>
    <w:rsid w:val="007456FA"/>
    <w:rsid w:val="0075053F"/>
    <w:rsid w:val="00751693"/>
    <w:rsid w:val="00752BD1"/>
    <w:rsid w:val="00757203"/>
    <w:rsid w:val="00764536"/>
    <w:rsid w:val="00767237"/>
    <w:rsid w:val="00772B0A"/>
    <w:rsid w:val="007730CA"/>
    <w:rsid w:val="00790886"/>
    <w:rsid w:val="00790EAD"/>
    <w:rsid w:val="00794AA6"/>
    <w:rsid w:val="00797942"/>
    <w:rsid w:val="007A0AE0"/>
    <w:rsid w:val="007A0EB4"/>
    <w:rsid w:val="007A1EAF"/>
    <w:rsid w:val="007A64B5"/>
    <w:rsid w:val="007A6D42"/>
    <w:rsid w:val="007A6F65"/>
    <w:rsid w:val="007B016C"/>
    <w:rsid w:val="007B53D1"/>
    <w:rsid w:val="007B595E"/>
    <w:rsid w:val="007C3E9B"/>
    <w:rsid w:val="007D124D"/>
    <w:rsid w:val="007D23DC"/>
    <w:rsid w:val="007D2FF7"/>
    <w:rsid w:val="007D40B3"/>
    <w:rsid w:val="007D49EB"/>
    <w:rsid w:val="007E1254"/>
    <w:rsid w:val="007E70CA"/>
    <w:rsid w:val="007E7A32"/>
    <w:rsid w:val="007F3ACC"/>
    <w:rsid w:val="00800019"/>
    <w:rsid w:val="0081123E"/>
    <w:rsid w:val="00813023"/>
    <w:rsid w:val="00813EB9"/>
    <w:rsid w:val="00816868"/>
    <w:rsid w:val="00821AE9"/>
    <w:rsid w:val="008232F5"/>
    <w:rsid w:val="00825A13"/>
    <w:rsid w:val="00836950"/>
    <w:rsid w:val="008429D2"/>
    <w:rsid w:val="00843CAB"/>
    <w:rsid w:val="008552FD"/>
    <w:rsid w:val="00857EF3"/>
    <w:rsid w:val="00861CAE"/>
    <w:rsid w:val="0086373F"/>
    <w:rsid w:val="008645DC"/>
    <w:rsid w:val="008712FE"/>
    <w:rsid w:val="0087133E"/>
    <w:rsid w:val="00874C39"/>
    <w:rsid w:val="008758CD"/>
    <w:rsid w:val="008765FD"/>
    <w:rsid w:val="00884FEE"/>
    <w:rsid w:val="00886DA9"/>
    <w:rsid w:val="00890C9F"/>
    <w:rsid w:val="00891A79"/>
    <w:rsid w:val="00891ABA"/>
    <w:rsid w:val="00891BAB"/>
    <w:rsid w:val="00892522"/>
    <w:rsid w:val="008955BA"/>
    <w:rsid w:val="00895FED"/>
    <w:rsid w:val="00896816"/>
    <w:rsid w:val="00896A1C"/>
    <w:rsid w:val="008A044A"/>
    <w:rsid w:val="008B4D26"/>
    <w:rsid w:val="008B535B"/>
    <w:rsid w:val="008C3111"/>
    <w:rsid w:val="008C33BF"/>
    <w:rsid w:val="008C7383"/>
    <w:rsid w:val="008C7AA7"/>
    <w:rsid w:val="008D46F6"/>
    <w:rsid w:val="008D6064"/>
    <w:rsid w:val="008E0B57"/>
    <w:rsid w:val="008E15AF"/>
    <w:rsid w:val="008E3A06"/>
    <w:rsid w:val="008E4205"/>
    <w:rsid w:val="008E4CB4"/>
    <w:rsid w:val="008E60B9"/>
    <w:rsid w:val="008F13B8"/>
    <w:rsid w:val="008F2875"/>
    <w:rsid w:val="008F4466"/>
    <w:rsid w:val="008F7536"/>
    <w:rsid w:val="00925DD0"/>
    <w:rsid w:val="00925E97"/>
    <w:rsid w:val="0092602D"/>
    <w:rsid w:val="00927ABB"/>
    <w:rsid w:val="00927D38"/>
    <w:rsid w:val="00936EAA"/>
    <w:rsid w:val="009400A0"/>
    <w:rsid w:val="00940576"/>
    <w:rsid w:val="00947975"/>
    <w:rsid w:val="00964FB9"/>
    <w:rsid w:val="00967A07"/>
    <w:rsid w:val="00970F29"/>
    <w:rsid w:val="00974819"/>
    <w:rsid w:val="00974D74"/>
    <w:rsid w:val="00975F53"/>
    <w:rsid w:val="00977E90"/>
    <w:rsid w:val="00982E30"/>
    <w:rsid w:val="00985E07"/>
    <w:rsid w:val="009912EA"/>
    <w:rsid w:val="009A259E"/>
    <w:rsid w:val="009B4BA2"/>
    <w:rsid w:val="009C3011"/>
    <w:rsid w:val="009D3703"/>
    <w:rsid w:val="009D7DD5"/>
    <w:rsid w:val="009F39D6"/>
    <w:rsid w:val="009F75C6"/>
    <w:rsid w:val="00A00132"/>
    <w:rsid w:val="00A1176F"/>
    <w:rsid w:val="00A13DDC"/>
    <w:rsid w:val="00A16FE1"/>
    <w:rsid w:val="00A208A2"/>
    <w:rsid w:val="00A260CE"/>
    <w:rsid w:val="00A31E33"/>
    <w:rsid w:val="00A33CB1"/>
    <w:rsid w:val="00A34163"/>
    <w:rsid w:val="00A341E7"/>
    <w:rsid w:val="00A373DE"/>
    <w:rsid w:val="00A41632"/>
    <w:rsid w:val="00A43B22"/>
    <w:rsid w:val="00A445F2"/>
    <w:rsid w:val="00A4634B"/>
    <w:rsid w:val="00A51302"/>
    <w:rsid w:val="00A53C9F"/>
    <w:rsid w:val="00A5509E"/>
    <w:rsid w:val="00A576EB"/>
    <w:rsid w:val="00A7251D"/>
    <w:rsid w:val="00A76AA0"/>
    <w:rsid w:val="00A80DEF"/>
    <w:rsid w:val="00A83B70"/>
    <w:rsid w:val="00A8689B"/>
    <w:rsid w:val="00A92346"/>
    <w:rsid w:val="00A9286B"/>
    <w:rsid w:val="00A93657"/>
    <w:rsid w:val="00A94CEC"/>
    <w:rsid w:val="00A979FA"/>
    <w:rsid w:val="00AA5725"/>
    <w:rsid w:val="00AA7E05"/>
    <w:rsid w:val="00AB0053"/>
    <w:rsid w:val="00AB1AA7"/>
    <w:rsid w:val="00AB3960"/>
    <w:rsid w:val="00AB3DD4"/>
    <w:rsid w:val="00AC2E82"/>
    <w:rsid w:val="00AD189A"/>
    <w:rsid w:val="00AE41C3"/>
    <w:rsid w:val="00AE4EA8"/>
    <w:rsid w:val="00AF312D"/>
    <w:rsid w:val="00AF3562"/>
    <w:rsid w:val="00AF608C"/>
    <w:rsid w:val="00AF6E66"/>
    <w:rsid w:val="00B00BDB"/>
    <w:rsid w:val="00B01828"/>
    <w:rsid w:val="00B01D1B"/>
    <w:rsid w:val="00B02DB8"/>
    <w:rsid w:val="00B04B81"/>
    <w:rsid w:val="00B065B7"/>
    <w:rsid w:val="00B07D60"/>
    <w:rsid w:val="00B1154A"/>
    <w:rsid w:val="00B13A42"/>
    <w:rsid w:val="00B218CE"/>
    <w:rsid w:val="00B25A00"/>
    <w:rsid w:val="00B26308"/>
    <w:rsid w:val="00B345BD"/>
    <w:rsid w:val="00B35D07"/>
    <w:rsid w:val="00B46839"/>
    <w:rsid w:val="00B60096"/>
    <w:rsid w:val="00B60AD1"/>
    <w:rsid w:val="00B62D60"/>
    <w:rsid w:val="00B64808"/>
    <w:rsid w:val="00B66210"/>
    <w:rsid w:val="00B70EDE"/>
    <w:rsid w:val="00B735CB"/>
    <w:rsid w:val="00B75A3C"/>
    <w:rsid w:val="00B8232F"/>
    <w:rsid w:val="00B90895"/>
    <w:rsid w:val="00B91FDA"/>
    <w:rsid w:val="00B92FCD"/>
    <w:rsid w:val="00B93662"/>
    <w:rsid w:val="00B97185"/>
    <w:rsid w:val="00B974FC"/>
    <w:rsid w:val="00BA1477"/>
    <w:rsid w:val="00BA1BE5"/>
    <w:rsid w:val="00BA3ACD"/>
    <w:rsid w:val="00BA5FA4"/>
    <w:rsid w:val="00BA7580"/>
    <w:rsid w:val="00BA7F1E"/>
    <w:rsid w:val="00BC5836"/>
    <w:rsid w:val="00BC7DAC"/>
    <w:rsid w:val="00BD0E8E"/>
    <w:rsid w:val="00BE0C5C"/>
    <w:rsid w:val="00BE3CAA"/>
    <w:rsid w:val="00BE6E37"/>
    <w:rsid w:val="00BE79B0"/>
    <w:rsid w:val="00BF0567"/>
    <w:rsid w:val="00BF2741"/>
    <w:rsid w:val="00C00206"/>
    <w:rsid w:val="00C10533"/>
    <w:rsid w:val="00C13802"/>
    <w:rsid w:val="00C22C43"/>
    <w:rsid w:val="00C23F3E"/>
    <w:rsid w:val="00C25F45"/>
    <w:rsid w:val="00C313F8"/>
    <w:rsid w:val="00C35D2D"/>
    <w:rsid w:val="00C35D7D"/>
    <w:rsid w:val="00C3690E"/>
    <w:rsid w:val="00C42B47"/>
    <w:rsid w:val="00C45B31"/>
    <w:rsid w:val="00C515ED"/>
    <w:rsid w:val="00C52BA1"/>
    <w:rsid w:val="00C53244"/>
    <w:rsid w:val="00C60105"/>
    <w:rsid w:val="00C61CBA"/>
    <w:rsid w:val="00C64C51"/>
    <w:rsid w:val="00C64E23"/>
    <w:rsid w:val="00C665B3"/>
    <w:rsid w:val="00C73695"/>
    <w:rsid w:val="00C758C4"/>
    <w:rsid w:val="00C95985"/>
    <w:rsid w:val="00C960BF"/>
    <w:rsid w:val="00C96D3A"/>
    <w:rsid w:val="00CA0071"/>
    <w:rsid w:val="00CA23F9"/>
    <w:rsid w:val="00CA52A3"/>
    <w:rsid w:val="00CA6688"/>
    <w:rsid w:val="00CB0CC2"/>
    <w:rsid w:val="00CB6557"/>
    <w:rsid w:val="00CB76D4"/>
    <w:rsid w:val="00CD264E"/>
    <w:rsid w:val="00CD2943"/>
    <w:rsid w:val="00CF6B30"/>
    <w:rsid w:val="00CF742B"/>
    <w:rsid w:val="00D018C4"/>
    <w:rsid w:val="00D03DAF"/>
    <w:rsid w:val="00D04055"/>
    <w:rsid w:val="00D072BA"/>
    <w:rsid w:val="00D10CD5"/>
    <w:rsid w:val="00D1150A"/>
    <w:rsid w:val="00D11E29"/>
    <w:rsid w:val="00D11F56"/>
    <w:rsid w:val="00D16B5B"/>
    <w:rsid w:val="00D172BE"/>
    <w:rsid w:val="00D33689"/>
    <w:rsid w:val="00D35119"/>
    <w:rsid w:val="00D434A2"/>
    <w:rsid w:val="00D44DBA"/>
    <w:rsid w:val="00D51BB3"/>
    <w:rsid w:val="00D56C00"/>
    <w:rsid w:val="00D775F0"/>
    <w:rsid w:val="00D80EB8"/>
    <w:rsid w:val="00D84733"/>
    <w:rsid w:val="00D939E2"/>
    <w:rsid w:val="00D945E5"/>
    <w:rsid w:val="00D954E5"/>
    <w:rsid w:val="00DA10CB"/>
    <w:rsid w:val="00DA62CE"/>
    <w:rsid w:val="00DA675F"/>
    <w:rsid w:val="00DA7751"/>
    <w:rsid w:val="00DA7E18"/>
    <w:rsid w:val="00DB1004"/>
    <w:rsid w:val="00DB695F"/>
    <w:rsid w:val="00DB7F9C"/>
    <w:rsid w:val="00DC0D7F"/>
    <w:rsid w:val="00DD51A8"/>
    <w:rsid w:val="00DD61D9"/>
    <w:rsid w:val="00DE6169"/>
    <w:rsid w:val="00DF6CF7"/>
    <w:rsid w:val="00E017BD"/>
    <w:rsid w:val="00E042D7"/>
    <w:rsid w:val="00E06438"/>
    <w:rsid w:val="00E0699D"/>
    <w:rsid w:val="00E2072B"/>
    <w:rsid w:val="00E243AA"/>
    <w:rsid w:val="00E25787"/>
    <w:rsid w:val="00E34ED3"/>
    <w:rsid w:val="00E40C55"/>
    <w:rsid w:val="00E50778"/>
    <w:rsid w:val="00E56CD5"/>
    <w:rsid w:val="00E57ABE"/>
    <w:rsid w:val="00E631E3"/>
    <w:rsid w:val="00E73978"/>
    <w:rsid w:val="00E74363"/>
    <w:rsid w:val="00E75BE6"/>
    <w:rsid w:val="00E77F05"/>
    <w:rsid w:val="00E80ADF"/>
    <w:rsid w:val="00E84508"/>
    <w:rsid w:val="00E86143"/>
    <w:rsid w:val="00E92601"/>
    <w:rsid w:val="00E94280"/>
    <w:rsid w:val="00EA092C"/>
    <w:rsid w:val="00EA0A34"/>
    <w:rsid w:val="00EA57E2"/>
    <w:rsid w:val="00EB1BB4"/>
    <w:rsid w:val="00EB5913"/>
    <w:rsid w:val="00EC5D8A"/>
    <w:rsid w:val="00EC5ED0"/>
    <w:rsid w:val="00EE3188"/>
    <w:rsid w:val="00EE38B9"/>
    <w:rsid w:val="00EE4398"/>
    <w:rsid w:val="00EE4F34"/>
    <w:rsid w:val="00EE532B"/>
    <w:rsid w:val="00EE549F"/>
    <w:rsid w:val="00EE7CAD"/>
    <w:rsid w:val="00EF322F"/>
    <w:rsid w:val="00EF538A"/>
    <w:rsid w:val="00EF5FFF"/>
    <w:rsid w:val="00EF61F7"/>
    <w:rsid w:val="00F04456"/>
    <w:rsid w:val="00F06ABF"/>
    <w:rsid w:val="00F1156D"/>
    <w:rsid w:val="00F121AF"/>
    <w:rsid w:val="00F1399B"/>
    <w:rsid w:val="00F20D48"/>
    <w:rsid w:val="00F26120"/>
    <w:rsid w:val="00F26EA2"/>
    <w:rsid w:val="00F329E1"/>
    <w:rsid w:val="00F3611D"/>
    <w:rsid w:val="00F402F7"/>
    <w:rsid w:val="00F43BF2"/>
    <w:rsid w:val="00F45470"/>
    <w:rsid w:val="00F455E3"/>
    <w:rsid w:val="00F47782"/>
    <w:rsid w:val="00F51B9D"/>
    <w:rsid w:val="00F60C4E"/>
    <w:rsid w:val="00F63E8D"/>
    <w:rsid w:val="00F643B3"/>
    <w:rsid w:val="00F649FC"/>
    <w:rsid w:val="00F7280D"/>
    <w:rsid w:val="00F75BE2"/>
    <w:rsid w:val="00F75E3B"/>
    <w:rsid w:val="00F800E3"/>
    <w:rsid w:val="00F81F87"/>
    <w:rsid w:val="00F86209"/>
    <w:rsid w:val="00F90260"/>
    <w:rsid w:val="00F9165B"/>
    <w:rsid w:val="00F92EBD"/>
    <w:rsid w:val="00F93912"/>
    <w:rsid w:val="00F94BB9"/>
    <w:rsid w:val="00F94DA4"/>
    <w:rsid w:val="00F956EC"/>
    <w:rsid w:val="00FA0834"/>
    <w:rsid w:val="00FA7501"/>
    <w:rsid w:val="00FA76D5"/>
    <w:rsid w:val="00FB21EA"/>
    <w:rsid w:val="00FB6FC0"/>
    <w:rsid w:val="00FB7092"/>
    <w:rsid w:val="00FC0E8A"/>
    <w:rsid w:val="00FD10E3"/>
    <w:rsid w:val="00FD291D"/>
    <w:rsid w:val="00FD5075"/>
    <w:rsid w:val="00FD5FCA"/>
    <w:rsid w:val="00FE0A1D"/>
    <w:rsid w:val="00FE1E8E"/>
    <w:rsid w:val="00FE2ADE"/>
    <w:rsid w:val="00FE48F6"/>
    <w:rsid w:val="00FE55D4"/>
    <w:rsid w:val="00FE6F63"/>
    <w:rsid w:val="00FF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E51C4C"/>
  <w15:docId w15:val="{1FB232CA-76FD-4525-87B3-CB87965E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AA7"/>
  </w:style>
  <w:style w:type="paragraph" w:styleId="Heading1">
    <w:name w:val="heading 1"/>
    <w:basedOn w:val="Normal"/>
    <w:next w:val="Normal"/>
    <w:link w:val="Heading1Char"/>
    <w:qFormat/>
    <w:pPr>
      <w:keepNext/>
      <w:outlineLvl w:val="0"/>
    </w:pPr>
    <w:rPr>
      <w:rFonts w:ascii="Arial" w:hAnsi="Arial"/>
      <w:i/>
      <w:sz w:val="24"/>
      <w:u w:val="single"/>
      <w:lang w:val="x-none" w:eastAsia="x-none"/>
    </w:rPr>
  </w:style>
  <w:style w:type="paragraph" w:styleId="Heading2">
    <w:name w:val="heading 2"/>
    <w:basedOn w:val="Normal"/>
    <w:next w:val="Normal"/>
    <w:link w:val="Heading2Char"/>
    <w:qFormat/>
    <w:pPr>
      <w:keepNext/>
      <w:outlineLvl w:val="1"/>
    </w:pPr>
    <w:rPr>
      <w:rFonts w:ascii="Arial" w:hAnsi="Arial"/>
      <w:sz w:val="24"/>
      <w:lang w:val="x-none" w:eastAsia="x-none"/>
    </w:rPr>
  </w:style>
  <w:style w:type="paragraph" w:styleId="Heading3">
    <w:name w:val="heading 3"/>
    <w:basedOn w:val="Normal"/>
    <w:next w:val="Normal"/>
    <w:qFormat/>
    <w:pPr>
      <w:keepNext/>
      <w:jc w:val="center"/>
      <w:outlineLvl w:val="2"/>
    </w:pPr>
    <w:rPr>
      <w:rFonts w:ascii="Arial" w:hAnsi="Arial"/>
      <w:sz w:val="24"/>
    </w:rPr>
  </w:style>
  <w:style w:type="paragraph" w:styleId="Heading4">
    <w:name w:val="heading 4"/>
    <w:basedOn w:val="Normal"/>
    <w:next w:val="Normal"/>
    <w:qFormat/>
    <w:pPr>
      <w:keepNext/>
      <w:jc w:val="right"/>
      <w:outlineLvl w:val="3"/>
    </w:pPr>
    <w:rPr>
      <w:rFonts w:ascii="Arial" w:hAnsi="Arial"/>
      <w:sz w:val="24"/>
    </w:rPr>
  </w:style>
  <w:style w:type="paragraph" w:styleId="Heading5">
    <w:name w:val="heading 5"/>
    <w:basedOn w:val="Normal"/>
    <w:next w:val="Normal"/>
    <w:qFormat/>
    <w:pPr>
      <w:keepNext/>
      <w:ind w:left="540" w:hanging="540"/>
      <w:outlineLvl w:val="4"/>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rFonts w:ascii="Arial" w:hAnsi="Arial"/>
      <w:sz w:val="24"/>
    </w:rPr>
  </w:style>
  <w:style w:type="character" w:styleId="PageNumber">
    <w:name w:val="page number"/>
    <w:basedOn w:val="DefaultParagraphFont"/>
  </w:style>
  <w:style w:type="paragraph" w:styleId="BodyTextIndent2">
    <w:name w:val="Body Text Indent 2"/>
    <w:basedOn w:val="Normal"/>
    <w:pPr>
      <w:ind w:left="720" w:hanging="720"/>
    </w:pPr>
    <w:rPr>
      <w:rFonts w:ascii="Arial" w:hAnsi="Arial"/>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paragraph" w:styleId="Title">
    <w:name w:val="Title"/>
    <w:basedOn w:val="Normal"/>
    <w:link w:val="TitleChar"/>
    <w:qFormat/>
    <w:rsid w:val="001C7545"/>
    <w:pPr>
      <w:pBdr>
        <w:bottom w:val="single" w:sz="4" w:space="1" w:color="auto"/>
      </w:pBdr>
      <w:jc w:val="center"/>
    </w:pPr>
    <w:rPr>
      <w:b/>
    </w:rPr>
  </w:style>
  <w:style w:type="character" w:customStyle="1" w:styleId="TitleChar">
    <w:name w:val="Title Char"/>
    <w:link w:val="Title"/>
    <w:rsid w:val="001C7545"/>
    <w:rPr>
      <w:b/>
    </w:rPr>
  </w:style>
  <w:style w:type="paragraph" w:styleId="CommentText">
    <w:name w:val="annotation text"/>
    <w:basedOn w:val="Normal"/>
    <w:link w:val="CommentTextChar"/>
    <w:rsid w:val="001C7545"/>
    <w:pPr>
      <w:widowControl w:val="0"/>
      <w:adjustRightInd w:val="0"/>
      <w:spacing w:line="360" w:lineRule="atLeast"/>
      <w:jc w:val="both"/>
      <w:textAlignment w:val="baseline"/>
    </w:pPr>
    <w:rPr>
      <w:rFonts w:ascii="Courier New" w:hAnsi="Courier New"/>
    </w:rPr>
  </w:style>
  <w:style w:type="character" w:customStyle="1" w:styleId="CommentTextChar">
    <w:name w:val="Comment Text Char"/>
    <w:link w:val="CommentText"/>
    <w:rsid w:val="001C7545"/>
    <w:rPr>
      <w:rFonts w:ascii="Courier New" w:hAnsi="Courier New"/>
    </w:rPr>
  </w:style>
  <w:style w:type="character" w:styleId="CommentReference">
    <w:name w:val="annotation reference"/>
    <w:semiHidden/>
    <w:rsid w:val="001C7545"/>
    <w:rPr>
      <w:sz w:val="16"/>
    </w:rPr>
  </w:style>
  <w:style w:type="paragraph" w:customStyle="1" w:styleId="Address">
    <w:name w:val="Address"/>
    <w:basedOn w:val="Normal"/>
    <w:rsid w:val="001C7545"/>
    <w:pPr>
      <w:spacing w:line="210" w:lineRule="exact"/>
    </w:pPr>
    <w:rPr>
      <w:sz w:val="17"/>
      <w:szCs w:val="17"/>
    </w:rPr>
  </w:style>
  <w:style w:type="character" w:customStyle="1" w:styleId="HeaderChar">
    <w:name w:val="Header Char"/>
    <w:basedOn w:val="DefaultParagraphFont"/>
    <w:link w:val="Header"/>
    <w:uiPriority w:val="99"/>
    <w:locked/>
    <w:rsid w:val="001C7545"/>
  </w:style>
  <w:style w:type="character" w:customStyle="1" w:styleId="FooterChar">
    <w:name w:val="Footer Char"/>
    <w:basedOn w:val="DefaultParagraphFont"/>
    <w:link w:val="Footer"/>
    <w:uiPriority w:val="99"/>
    <w:rsid w:val="001C7545"/>
  </w:style>
  <w:style w:type="character" w:customStyle="1" w:styleId="Heading1Char">
    <w:name w:val="Heading 1 Char"/>
    <w:link w:val="Heading1"/>
    <w:rsid w:val="00E2072B"/>
    <w:rPr>
      <w:rFonts w:ascii="Arial" w:hAnsi="Arial"/>
      <w:i/>
      <w:sz w:val="24"/>
      <w:u w:val="single"/>
    </w:rPr>
  </w:style>
  <w:style w:type="paragraph" w:styleId="NormalWeb">
    <w:name w:val="Normal (Web)"/>
    <w:basedOn w:val="Normal"/>
    <w:rsid w:val="005F6877"/>
    <w:pPr>
      <w:spacing w:before="100" w:beforeAutospacing="1" w:after="100" w:afterAutospacing="1"/>
    </w:pPr>
    <w:rPr>
      <w:color w:val="000000"/>
      <w:sz w:val="24"/>
      <w:szCs w:val="24"/>
    </w:rPr>
  </w:style>
  <w:style w:type="character" w:customStyle="1" w:styleId="Heading2Char">
    <w:name w:val="Heading 2 Char"/>
    <w:link w:val="Heading2"/>
    <w:rsid w:val="0032362F"/>
    <w:rPr>
      <w:rFonts w:ascii="Arial" w:hAnsi="Arial"/>
      <w:sz w:val="24"/>
    </w:rPr>
  </w:style>
  <w:style w:type="character" w:styleId="Emphasis">
    <w:name w:val="Emphasis"/>
    <w:qFormat/>
    <w:rsid w:val="0032362F"/>
    <w:rPr>
      <w:i/>
      <w:iCs/>
    </w:rPr>
  </w:style>
  <w:style w:type="paragraph" w:styleId="ListParagraph">
    <w:name w:val="List Paragraph"/>
    <w:basedOn w:val="Normal"/>
    <w:uiPriority w:val="34"/>
    <w:qFormat/>
    <w:rsid w:val="0012216A"/>
    <w:pPr>
      <w:ind w:left="720"/>
    </w:pPr>
  </w:style>
  <w:style w:type="paragraph" w:styleId="BodyText">
    <w:name w:val="Body Text"/>
    <w:basedOn w:val="Normal"/>
    <w:link w:val="BodyTextChar"/>
    <w:uiPriority w:val="99"/>
    <w:semiHidden/>
    <w:unhideWhenUsed/>
    <w:rsid w:val="007A0EB4"/>
    <w:pPr>
      <w:spacing w:after="120"/>
    </w:pPr>
  </w:style>
  <w:style w:type="character" w:customStyle="1" w:styleId="BodyTextChar">
    <w:name w:val="Body Text Char"/>
    <w:basedOn w:val="DefaultParagraphFont"/>
    <w:link w:val="BodyText"/>
    <w:uiPriority w:val="99"/>
    <w:semiHidden/>
    <w:rsid w:val="007A0EB4"/>
  </w:style>
  <w:style w:type="paragraph" w:styleId="FootnoteText">
    <w:name w:val="footnote text"/>
    <w:basedOn w:val="Normal"/>
    <w:link w:val="FootnoteTextChar"/>
    <w:uiPriority w:val="99"/>
    <w:semiHidden/>
    <w:unhideWhenUsed/>
    <w:rsid w:val="00E243AA"/>
  </w:style>
  <w:style w:type="character" w:customStyle="1" w:styleId="FootnoteTextChar">
    <w:name w:val="Footnote Text Char"/>
    <w:basedOn w:val="DefaultParagraphFont"/>
    <w:link w:val="FootnoteText"/>
    <w:uiPriority w:val="99"/>
    <w:semiHidden/>
    <w:rsid w:val="00E243AA"/>
  </w:style>
  <w:style w:type="character" w:styleId="FootnoteReference">
    <w:name w:val="footnote reference"/>
    <w:semiHidden/>
    <w:unhideWhenUsed/>
    <w:rsid w:val="00E243AA"/>
    <w:rPr>
      <w:vertAlign w:val="superscript"/>
    </w:rPr>
  </w:style>
  <w:style w:type="paragraph" w:customStyle="1" w:styleId="WP9BodyTex">
    <w:name w:val="WP9_Body Tex"/>
    <w:basedOn w:val="Normal"/>
    <w:rsid w:val="005C28D4"/>
    <w:pPr>
      <w:widowControl w:val="0"/>
      <w:spacing w:line="480" w:lineRule="auto"/>
    </w:pPr>
    <w:rPr>
      <w:sz w:val="24"/>
    </w:rPr>
  </w:style>
  <w:style w:type="character" w:styleId="Hyperlink">
    <w:name w:val="Hyperlink"/>
    <w:basedOn w:val="DefaultParagraphFont"/>
    <w:uiPriority w:val="99"/>
    <w:unhideWhenUsed/>
    <w:rsid w:val="00E861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24E67-8259-46DA-8F29-9D3CF65ED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4485</Words>
  <Characters>25568</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29994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Stacey Hayes</dc:creator>
  <cp:lastModifiedBy>Jonah Smith</cp:lastModifiedBy>
  <cp:revision>3</cp:revision>
  <cp:lastPrinted>2018-10-26T18:48:00Z</cp:lastPrinted>
  <dcterms:created xsi:type="dcterms:W3CDTF">2024-06-18T15:20:00Z</dcterms:created>
  <dcterms:modified xsi:type="dcterms:W3CDTF">2024-06-18T15:21:00Z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