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76C7E2" w14:textId="7066856A" w:rsidR="00BB1099" w:rsidRDefault="005644CB" w:rsidP="00150045">
      <w:pPr>
        <w:spacing w:line="480" w:lineRule="auto"/>
        <w:ind w:left="1440" w:hanging="1440"/>
        <w:rPr>
          <w:rFonts w:ascii="Arial" w:hAnsi="Arial" w:cs="Arial"/>
          <w:sz w:val="24"/>
          <w:szCs w:val="24"/>
        </w:rPr>
      </w:pPr>
      <w:r>
        <w:rPr>
          <w:rFonts w:ascii="Arial" w:hAnsi="Arial" w:cs="Arial"/>
          <w:sz w:val="24"/>
          <w:szCs w:val="24"/>
        </w:rPr>
        <w:t>Whether the p</w:t>
      </w:r>
      <w:r w:rsidRPr="00061843">
        <w:rPr>
          <w:rFonts w:ascii="Arial" w:hAnsi="Arial" w:cs="Arial"/>
          <w:sz w:val="24"/>
          <w:szCs w:val="24"/>
        </w:rPr>
        <w:t xml:space="preserve">rovider is entitled to </w:t>
      </w:r>
      <w:r w:rsidR="00781E24">
        <w:rPr>
          <w:rFonts w:ascii="Arial" w:hAnsi="Arial" w:cs="Arial"/>
          <w:sz w:val="24"/>
          <w:szCs w:val="24"/>
        </w:rPr>
        <w:t>higher GME/IME FTE resident caps for new training programs</w:t>
      </w:r>
      <w:r>
        <w:rPr>
          <w:rFonts w:ascii="Arial" w:hAnsi="Arial" w:cs="Arial"/>
          <w:sz w:val="24"/>
          <w:szCs w:val="24"/>
        </w:rPr>
        <w:t>.</w:t>
      </w:r>
    </w:p>
    <w:p w14:paraId="15DEE19A" w14:textId="77777777" w:rsidR="00260FC1" w:rsidRPr="00207747" w:rsidRDefault="00260FC1" w:rsidP="00260FC1">
      <w:pPr>
        <w:ind w:left="1080" w:hanging="1080"/>
        <w:rPr>
          <w:rFonts w:ascii="Arial" w:hAnsi="Arial" w:cs="Arial"/>
          <w:sz w:val="24"/>
          <w:szCs w:val="24"/>
        </w:rPr>
      </w:pPr>
    </w:p>
    <w:p w14:paraId="228182C6" w14:textId="77777777" w:rsidR="00260FC1" w:rsidRPr="00207747" w:rsidRDefault="00260FC1" w:rsidP="00260FC1">
      <w:pPr>
        <w:numPr>
          <w:ilvl w:val="0"/>
          <w:numId w:val="16"/>
        </w:numPr>
        <w:rPr>
          <w:rFonts w:ascii="Arial" w:hAnsi="Arial" w:cs="Arial"/>
          <w:b/>
          <w:sz w:val="24"/>
          <w:szCs w:val="24"/>
        </w:rPr>
      </w:pPr>
      <w:r w:rsidRPr="00207747">
        <w:rPr>
          <w:rFonts w:ascii="Arial" w:hAnsi="Arial" w:cs="Arial"/>
          <w:b/>
          <w:sz w:val="24"/>
          <w:szCs w:val="24"/>
        </w:rPr>
        <w:t>Facts</w:t>
      </w:r>
    </w:p>
    <w:p w14:paraId="5D82B7C0" w14:textId="77777777" w:rsidR="00260FC1" w:rsidRPr="00207747" w:rsidRDefault="00260FC1" w:rsidP="00260FC1">
      <w:pPr>
        <w:rPr>
          <w:rFonts w:ascii="Arial" w:hAnsi="Arial" w:cs="Arial"/>
          <w:sz w:val="24"/>
          <w:szCs w:val="24"/>
        </w:rPr>
      </w:pPr>
    </w:p>
    <w:p w14:paraId="7AD02813" w14:textId="77777777" w:rsidR="00260FC1" w:rsidRPr="00207747" w:rsidRDefault="00260FC1" w:rsidP="00260FC1">
      <w:pPr>
        <w:rPr>
          <w:rFonts w:ascii="Arial" w:hAnsi="Arial" w:cs="Arial"/>
          <w:sz w:val="24"/>
          <w:szCs w:val="24"/>
        </w:rPr>
      </w:pPr>
    </w:p>
    <w:p w14:paraId="1E9E4D40" w14:textId="77777777" w:rsidR="00AE7958" w:rsidRDefault="0047672E" w:rsidP="0047672E">
      <w:pPr>
        <w:rPr>
          <w:rFonts w:ascii="Arial" w:hAnsi="Arial" w:cs="Arial"/>
          <w:sz w:val="24"/>
          <w:szCs w:val="24"/>
        </w:rPr>
      </w:pPr>
      <w:r w:rsidRPr="0047672E">
        <w:rPr>
          <w:rFonts w:ascii="Arial" w:hAnsi="Arial" w:cs="Arial"/>
          <w:sz w:val="24"/>
          <w:szCs w:val="24"/>
        </w:rPr>
        <w:t>The GME FTE regulations for new programs are</w:t>
      </w:r>
      <w:r w:rsidR="00AE7958">
        <w:rPr>
          <w:rFonts w:ascii="Arial" w:hAnsi="Arial" w:cs="Arial"/>
          <w:sz w:val="24"/>
          <w:szCs w:val="24"/>
        </w:rPr>
        <w:t xml:space="preserve"> at 42 CFR § 413.79(e) </w:t>
      </w:r>
    </w:p>
    <w:p w14:paraId="3A065CE7" w14:textId="77777777" w:rsidR="0047672E" w:rsidRDefault="00AE7958" w:rsidP="0047672E">
      <w:pPr>
        <w:rPr>
          <w:rFonts w:ascii="Arial" w:hAnsi="Arial" w:cs="Arial"/>
          <w:sz w:val="24"/>
          <w:szCs w:val="24"/>
        </w:rPr>
      </w:pPr>
      <w:r>
        <w:rPr>
          <w:rFonts w:ascii="Arial" w:hAnsi="Arial" w:cs="Arial"/>
          <w:sz w:val="24"/>
          <w:szCs w:val="24"/>
        </w:rPr>
        <w:t>and</w:t>
      </w:r>
      <w:r w:rsidRPr="00AE7958">
        <w:rPr>
          <w:rFonts w:ascii="Arial" w:hAnsi="Arial" w:cs="Arial"/>
          <w:sz w:val="24"/>
          <w:szCs w:val="24"/>
        </w:rPr>
        <w:t xml:space="preserve"> </w:t>
      </w:r>
      <w:r>
        <w:rPr>
          <w:rFonts w:ascii="Arial" w:hAnsi="Arial" w:cs="Arial"/>
          <w:sz w:val="24"/>
          <w:szCs w:val="24"/>
        </w:rPr>
        <w:t xml:space="preserve">the IME FTE regulations for new programs are at </w:t>
      </w:r>
      <w:r w:rsidRPr="0047672E">
        <w:rPr>
          <w:rFonts w:ascii="Arial" w:hAnsi="Arial" w:cs="Arial"/>
          <w:sz w:val="24"/>
          <w:szCs w:val="24"/>
        </w:rPr>
        <w:t>42 CFR § 412.105(v)</w:t>
      </w:r>
      <w:r>
        <w:rPr>
          <w:rFonts w:ascii="Arial" w:hAnsi="Arial" w:cs="Arial"/>
          <w:sz w:val="24"/>
          <w:szCs w:val="24"/>
        </w:rPr>
        <w:t>.</w:t>
      </w:r>
    </w:p>
    <w:p w14:paraId="2126DCCA" w14:textId="77777777" w:rsidR="00AE7958" w:rsidRDefault="00AE7958" w:rsidP="0047672E">
      <w:pPr>
        <w:rPr>
          <w:rFonts w:ascii="Arial" w:hAnsi="Arial" w:cs="Arial"/>
          <w:sz w:val="24"/>
          <w:szCs w:val="24"/>
        </w:rPr>
      </w:pPr>
    </w:p>
    <w:p w14:paraId="6AF1072C" w14:textId="77777777" w:rsidR="0047672E" w:rsidRPr="0047672E" w:rsidRDefault="00AE7958" w:rsidP="00AE7958">
      <w:pPr>
        <w:rPr>
          <w:rFonts w:ascii="Arial" w:hAnsi="Arial" w:cs="Arial"/>
          <w:sz w:val="24"/>
          <w:szCs w:val="24"/>
        </w:rPr>
      </w:pPr>
      <w:r>
        <w:rPr>
          <w:rFonts w:ascii="Arial" w:hAnsi="Arial" w:cs="Arial"/>
          <w:sz w:val="24"/>
          <w:szCs w:val="24"/>
        </w:rPr>
        <w:t>Below are excerpts of the regulations applicable to the subject case:</w:t>
      </w:r>
    </w:p>
    <w:p w14:paraId="3BAD225D" w14:textId="77777777" w:rsidR="0047672E" w:rsidRPr="0047672E" w:rsidRDefault="0047672E" w:rsidP="0047672E">
      <w:pPr>
        <w:ind w:left="360" w:firstLine="360"/>
        <w:rPr>
          <w:rFonts w:ascii="Arial" w:hAnsi="Arial" w:cs="Arial"/>
          <w:sz w:val="24"/>
          <w:szCs w:val="24"/>
        </w:rPr>
      </w:pPr>
    </w:p>
    <w:p w14:paraId="7C0C1B87" w14:textId="77777777" w:rsidR="0047672E" w:rsidRPr="0047672E" w:rsidRDefault="00AE7958" w:rsidP="0047672E">
      <w:pPr>
        <w:ind w:left="360" w:firstLine="360"/>
        <w:rPr>
          <w:rFonts w:ascii="Arial" w:hAnsi="Arial" w:cs="Arial"/>
          <w:sz w:val="24"/>
          <w:szCs w:val="24"/>
        </w:rPr>
      </w:pPr>
      <w:r>
        <w:rPr>
          <w:rFonts w:ascii="Arial" w:hAnsi="Arial" w:cs="Arial"/>
          <w:sz w:val="24"/>
          <w:szCs w:val="24"/>
        </w:rPr>
        <w:t>42 CFR § 413.79(e)</w:t>
      </w:r>
    </w:p>
    <w:p w14:paraId="778910C3" w14:textId="77777777" w:rsidR="0047672E" w:rsidRPr="0047672E" w:rsidRDefault="0047672E" w:rsidP="0047672E">
      <w:pPr>
        <w:spacing w:before="100" w:beforeAutospacing="1" w:after="100" w:afterAutospacing="1"/>
        <w:ind w:left="720"/>
        <w:rPr>
          <w:rFonts w:ascii="Arial" w:hAnsi="Arial" w:cs="Arial"/>
          <w:color w:val="000000"/>
          <w:sz w:val="24"/>
          <w:szCs w:val="24"/>
        </w:rPr>
      </w:pPr>
      <w:r w:rsidRPr="0047672E">
        <w:rPr>
          <w:rFonts w:ascii="Arial" w:hAnsi="Arial" w:cs="Arial"/>
          <w:i/>
          <w:iCs/>
          <w:color w:val="000000"/>
          <w:sz w:val="24"/>
          <w:szCs w:val="24"/>
        </w:rPr>
        <w:t>New medical residency training programs.</w:t>
      </w:r>
      <w:r w:rsidRPr="0047672E">
        <w:rPr>
          <w:rFonts w:ascii="Arial" w:hAnsi="Arial" w:cs="Arial"/>
          <w:color w:val="000000"/>
          <w:sz w:val="24"/>
          <w:szCs w:val="24"/>
        </w:rPr>
        <w:t xml:space="preserve"> If a hospital establishes a new medical residency training program as defined in paragraph (l) of this section on or after January 1, 1995, the hospital's FTE cap described under paragraph (c) of this section may be adjusted as follows:</w:t>
      </w:r>
    </w:p>
    <w:p w14:paraId="6054F975" w14:textId="77777777" w:rsidR="0047672E" w:rsidRPr="0047672E" w:rsidRDefault="0047672E" w:rsidP="0047672E">
      <w:pPr>
        <w:spacing w:before="100" w:beforeAutospacing="1" w:after="100" w:afterAutospacing="1"/>
        <w:ind w:left="720"/>
        <w:rPr>
          <w:rFonts w:ascii="Arial" w:hAnsi="Arial" w:cs="Arial"/>
          <w:color w:val="000000"/>
          <w:sz w:val="24"/>
          <w:szCs w:val="24"/>
        </w:rPr>
      </w:pPr>
      <w:bookmarkStart w:id="0" w:name="42cfr413x79ze-1"/>
      <w:bookmarkEnd w:id="0"/>
      <w:r w:rsidRPr="0047672E">
        <w:rPr>
          <w:rFonts w:ascii="Arial" w:hAnsi="Arial" w:cs="Arial"/>
          <w:color w:val="000000"/>
          <w:sz w:val="24"/>
          <w:szCs w:val="24"/>
        </w:rPr>
        <w:t>(1) If a hospital had no allopathic or osteopathic residents in its most recent cost reporting period ending on or before December 31, 1996, and it begins training residents in a new medical residency training program(s) for the first time on or after January 1, 1995, but before October 1, 2012, the hospital's unweighted FTE resident cap under paragraph (c) of this section may be adjusted for new residency training programs based on the sum of the products of the highest number of FTE residents in any program year during the third year of the first new program's existence and the number of years in which residents are expected to complete the program based on the minimum accredited length for each type of program. The adjustment to the cap may not exceed the number of accredited slots available to the hospital for the new program. If a hospital had no allopathic or osteopathic residents in its most recent cost reporting period ending on or before December 31, 1996, and it begins training residents in a new medical residency training program(s) for the first time on or after October 1, 2012, the hospital's unweighted FTE resident cap under paragraph (c) of this section may be adjusted for new residency training programs based on the sum of the products of the highest number of FTE residents in any program year during the fifth year of the first new program's existence and the number of years in which residents are expected to complete the program based on the minimum accredited length for each type of program. The adjustment to the cap may not exceed the number of accredited slots available to the hospital for the new program.</w:t>
      </w:r>
    </w:p>
    <w:p w14:paraId="36F2D7A5" w14:textId="77777777" w:rsidR="0047672E" w:rsidRPr="0047672E" w:rsidRDefault="0047672E" w:rsidP="0047672E">
      <w:pPr>
        <w:spacing w:before="100" w:beforeAutospacing="1" w:after="100" w:afterAutospacing="1"/>
        <w:ind w:left="720"/>
        <w:rPr>
          <w:rFonts w:ascii="Arial" w:hAnsi="Arial" w:cs="Arial"/>
          <w:color w:val="000000"/>
          <w:sz w:val="24"/>
          <w:szCs w:val="24"/>
        </w:rPr>
      </w:pPr>
      <w:bookmarkStart w:id="1" w:name="42cfr413x79ze-1-i"/>
      <w:bookmarkEnd w:id="1"/>
      <w:r w:rsidRPr="0047672E">
        <w:rPr>
          <w:rFonts w:ascii="Arial" w:hAnsi="Arial" w:cs="Arial"/>
          <w:color w:val="000000"/>
          <w:sz w:val="24"/>
          <w:szCs w:val="24"/>
        </w:rPr>
        <w:lastRenderedPageBreak/>
        <w:t>(</w:t>
      </w:r>
      <w:proofErr w:type="spellStart"/>
      <w:r w:rsidRPr="0047672E">
        <w:rPr>
          <w:rFonts w:ascii="Arial" w:hAnsi="Arial" w:cs="Arial"/>
          <w:color w:val="000000"/>
          <w:sz w:val="24"/>
          <w:szCs w:val="24"/>
        </w:rPr>
        <w:t>i</w:t>
      </w:r>
      <w:proofErr w:type="spellEnd"/>
      <w:r w:rsidRPr="0047672E">
        <w:rPr>
          <w:rFonts w:ascii="Arial" w:hAnsi="Arial" w:cs="Arial"/>
          <w:color w:val="000000"/>
          <w:sz w:val="24"/>
          <w:szCs w:val="24"/>
        </w:rPr>
        <w:t>) If a hospital begins training residents in a new medical residency training program(s) for the first time on or after January 1, 1995, but before October 1, 2012, and if the residents are spending portions of a program year (or years) at one hospital and the remainder of the program at another hospital(s), the adjustment to each qualifying hospital's cap for a new medical residency training program(s) is equal to the sum of the products of the highest number of FTE residents in any program year during the third year of the first new program's existence and the number of years in which residents are expected to complete the program based on the minimum accredited length for each type of program and the number of years the residents are training at each respective hospital. If a hospital begins training residents in a new medical residency training program(s) for the first time on or after October 1, 2012, and if the residents are spending portions of a program (or years) at one hospital and the remainder of the program at another hospital(s), the adjustment to each qualifying hospital's cap for new residency training program (s) is equal to the sum of the products of three factors (limited to the number of accredited slots for each program):</w:t>
      </w:r>
    </w:p>
    <w:p w14:paraId="1D479C20" w14:textId="77777777" w:rsidR="0047672E" w:rsidRPr="0047672E" w:rsidRDefault="0047672E" w:rsidP="0047672E">
      <w:pPr>
        <w:spacing w:before="100" w:beforeAutospacing="1" w:after="100" w:afterAutospacing="1"/>
        <w:ind w:left="720"/>
        <w:rPr>
          <w:rFonts w:ascii="Arial" w:hAnsi="Arial" w:cs="Arial"/>
          <w:color w:val="000000"/>
          <w:sz w:val="24"/>
          <w:szCs w:val="24"/>
        </w:rPr>
      </w:pPr>
      <w:bookmarkStart w:id="2" w:name="42cfr413x79ze-1-i-a"/>
      <w:bookmarkEnd w:id="2"/>
      <w:r w:rsidRPr="0047672E">
        <w:rPr>
          <w:rFonts w:ascii="Arial" w:hAnsi="Arial" w:cs="Arial"/>
          <w:color w:val="000000"/>
          <w:sz w:val="24"/>
          <w:szCs w:val="24"/>
        </w:rPr>
        <w:t>(A) The highest total number of FTE residents trained in any program year during the fifth year of the first new program's existence at all of the hospitals to which the residents in the program rotate;</w:t>
      </w:r>
    </w:p>
    <w:p w14:paraId="5F3D4087" w14:textId="77777777" w:rsidR="0047672E" w:rsidRPr="0047672E" w:rsidRDefault="0047672E" w:rsidP="0047672E">
      <w:pPr>
        <w:spacing w:before="100" w:beforeAutospacing="1" w:after="100" w:afterAutospacing="1"/>
        <w:ind w:left="720"/>
        <w:rPr>
          <w:rFonts w:ascii="Arial" w:hAnsi="Arial" w:cs="Arial"/>
          <w:color w:val="000000"/>
          <w:sz w:val="24"/>
          <w:szCs w:val="24"/>
        </w:rPr>
      </w:pPr>
      <w:bookmarkStart w:id="3" w:name="42cfr413x79ze-1-i-b"/>
      <w:bookmarkEnd w:id="3"/>
      <w:r w:rsidRPr="0047672E">
        <w:rPr>
          <w:rFonts w:ascii="Arial" w:hAnsi="Arial" w:cs="Arial"/>
          <w:color w:val="000000"/>
          <w:sz w:val="24"/>
          <w:szCs w:val="24"/>
        </w:rPr>
        <w:t>(B) The number of years in which residents are expected to complete the program, based on the minimum accredited length for each type of program.</w:t>
      </w:r>
    </w:p>
    <w:p w14:paraId="4BE17121" w14:textId="77777777" w:rsidR="0047672E" w:rsidRPr="0047672E" w:rsidRDefault="0047672E" w:rsidP="0047672E">
      <w:pPr>
        <w:spacing w:before="100" w:beforeAutospacing="1" w:after="100" w:afterAutospacing="1"/>
        <w:ind w:left="720"/>
        <w:rPr>
          <w:rFonts w:ascii="Arial" w:hAnsi="Arial" w:cs="Arial"/>
          <w:color w:val="000000"/>
          <w:sz w:val="24"/>
          <w:szCs w:val="24"/>
        </w:rPr>
      </w:pPr>
      <w:bookmarkStart w:id="4" w:name="42cfr413x79ze-1-i-c"/>
      <w:bookmarkEnd w:id="4"/>
      <w:r w:rsidRPr="0047672E">
        <w:rPr>
          <w:rFonts w:ascii="Arial" w:hAnsi="Arial" w:cs="Arial"/>
          <w:color w:val="000000"/>
          <w:sz w:val="24"/>
          <w:szCs w:val="24"/>
        </w:rPr>
        <w:t>(C) The ratio of the number of FTE residents in the new program that trained at the hospital over the entire 5-year period to the total number of FTE residents that trained at all hospitals over the entire 5-year period.</w:t>
      </w:r>
    </w:p>
    <w:p w14:paraId="22BDE305" w14:textId="77777777" w:rsidR="0047672E" w:rsidRPr="0047672E" w:rsidRDefault="0047672E" w:rsidP="0047672E">
      <w:pPr>
        <w:spacing w:before="100" w:beforeAutospacing="1" w:after="100" w:afterAutospacing="1"/>
        <w:ind w:left="720"/>
        <w:rPr>
          <w:rFonts w:ascii="Arial" w:hAnsi="Arial" w:cs="Arial"/>
          <w:color w:val="000000"/>
          <w:sz w:val="24"/>
          <w:szCs w:val="24"/>
        </w:rPr>
      </w:pPr>
      <w:bookmarkStart w:id="5" w:name="42cfr413x79ze-1-ii"/>
      <w:bookmarkEnd w:id="5"/>
      <w:r w:rsidRPr="0047672E">
        <w:rPr>
          <w:rFonts w:ascii="Arial" w:hAnsi="Arial" w:cs="Arial"/>
          <w:color w:val="000000"/>
          <w:sz w:val="24"/>
          <w:szCs w:val="24"/>
        </w:rPr>
        <w:t xml:space="preserve">(ii) If a hospital begins training residents in a new medical residency training program(s) for the first time on or after January 1, 1995, but before October 1, 2012, prior to the implementation of the hospital's adjustment to its FTE cap beginning with the fourth year of the hospital's first new residency program(s), the hospital's cap may be temporarily adjusted during each of the first 3 years of the hospital's first new residency program using the actual number of residents participating in the new program. The adjustment may not exceed the number of accredited slots available to the hospital for each program year. If a hospital begins training residents in a new medical residency training program(s) for the first time on or after October 1, 2012, prior to the implementation of the hospital's adjustment to its FTE cap beginning with the sixth year of the hospital's first new residency program(s), the hospital's cap may be adjusted temporarily during each of the first 5 years of the hospital's first new residency program using the actual number of FTE residents </w:t>
      </w:r>
      <w:r w:rsidRPr="0047672E">
        <w:rPr>
          <w:rFonts w:ascii="Arial" w:hAnsi="Arial" w:cs="Arial"/>
          <w:color w:val="000000"/>
          <w:sz w:val="24"/>
          <w:szCs w:val="24"/>
        </w:rPr>
        <w:lastRenderedPageBreak/>
        <w:t>participating in the new program. The adjustment may not exceed the number of accredited slots available to the hospital for each program year.</w:t>
      </w:r>
    </w:p>
    <w:p w14:paraId="69BAFD19" w14:textId="77777777" w:rsidR="0047672E" w:rsidRPr="0047672E" w:rsidRDefault="0047672E" w:rsidP="0047672E">
      <w:pPr>
        <w:spacing w:before="100" w:beforeAutospacing="1" w:after="100" w:afterAutospacing="1"/>
        <w:ind w:left="720"/>
        <w:rPr>
          <w:rFonts w:ascii="Arial" w:hAnsi="Arial" w:cs="Arial"/>
          <w:color w:val="000000"/>
          <w:sz w:val="24"/>
          <w:szCs w:val="24"/>
        </w:rPr>
      </w:pPr>
      <w:bookmarkStart w:id="6" w:name="42cfr413x79ze-1-iii"/>
      <w:bookmarkEnd w:id="6"/>
      <w:r w:rsidRPr="0047672E">
        <w:rPr>
          <w:rFonts w:ascii="Arial" w:hAnsi="Arial" w:cs="Arial"/>
          <w:color w:val="000000"/>
          <w:sz w:val="24"/>
          <w:szCs w:val="24"/>
        </w:rPr>
        <w:t>(iii) If a hospital begins training residents in a new medical residency training program for the first time on or after January 1, 1995, but before October 1, 2012, the cap will not be adjusted for new programs established more than 3 years after residents begin training in the first new program, or if a hospital begins training residents in a new medical residency training program for the first time on or after October 1, 2012, the cap will not be adjusted for new programs established more than 5 years after residents begin training in the first new program.</w:t>
      </w:r>
    </w:p>
    <w:p w14:paraId="458C9075" w14:textId="77777777" w:rsidR="003321E0" w:rsidRPr="00AE7958" w:rsidRDefault="003321E0" w:rsidP="0047672E">
      <w:pPr>
        <w:spacing w:before="100" w:beforeAutospacing="1" w:after="100" w:afterAutospacing="1"/>
        <w:ind w:left="720"/>
        <w:rPr>
          <w:rFonts w:ascii="Arial" w:hAnsi="Arial" w:cs="Arial"/>
          <w:b/>
          <w:color w:val="000000"/>
          <w:sz w:val="24"/>
          <w:szCs w:val="24"/>
        </w:rPr>
      </w:pPr>
      <w:bookmarkStart w:id="7" w:name="42cfr413x79ze-1-iv"/>
      <w:bookmarkStart w:id="8" w:name="42cfr413x79ze-4"/>
      <w:bookmarkEnd w:id="7"/>
      <w:bookmarkEnd w:id="8"/>
      <w:r w:rsidRPr="00AE7958">
        <w:rPr>
          <w:rFonts w:ascii="Arial" w:hAnsi="Arial" w:cs="Arial"/>
          <w:b/>
          <w:color w:val="000000"/>
          <w:sz w:val="24"/>
          <w:szCs w:val="24"/>
        </w:rPr>
        <w:t>…</w:t>
      </w:r>
    </w:p>
    <w:p w14:paraId="3C8EB351" w14:textId="77777777" w:rsidR="0047672E" w:rsidRPr="0047672E" w:rsidRDefault="0047672E" w:rsidP="0047672E">
      <w:pPr>
        <w:spacing w:before="100" w:beforeAutospacing="1" w:after="100" w:afterAutospacing="1"/>
        <w:ind w:left="720"/>
        <w:rPr>
          <w:rFonts w:ascii="Arial" w:hAnsi="Arial" w:cs="Arial"/>
          <w:color w:val="000000"/>
          <w:sz w:val="24"/>
          <w:szCs w:val="24"/>
        </w:rPr>
      </w:pPr>
      <w:r w:rsidRPr="0047672E">
        <w:rPr>
          <w:rFonts w:ascii="Arial" w:hAnsi="Arial" w:cs="Arial"/>
          <w:color w:val="000000"/>
          <w:sz w:val="24"/>
          <w:szCs w:val="24"/>
        </w:rPr>
        <w:t>(4) A hospital seeking an adjustment to its FTE cap must provide documentation to its fiscal contractor justifying the adjustment.</w:t>
      </w:r>
    </w:p>
    <w:p w14:paraId="498209F6" w14:textId="77777777" w:rsidR="0047672E" w:rsidRPr="0047672E" w:rsidRDefault="0047672E" w:rsidP="0047672E">
      <w:pPr>
        <w:spacing w:before="100" w:beforeAutospacing="1" w:after="100" w:afterAutospacing="1"/>
        <w:ind w:left="720"/>
        <w:rPr>
          <w:rFonts w:ascii="Arial" w:hAnsi="Arial" w:cs="Arial"/>
          <w:color w:val="000000"/>
          <w:sz w:val="24"/>
          <w:szCs w:val="24"/>
        </w:rPr>
      </w:pPr>
      <w:bookmarkStart w:id="9" w:name="42cfr413x79ze-5"/>
      <w:bookmarkEnd w:id="9"/>
      <w:r w:rsidRPr="0047672E">
        <w:rPr>
          <w:rFonts w:ascii="Arial" w:hAnsi="Arial" w:cs="Arial"/>
          <w:color w:val="000000"/>
          <w:sz w:val="24"/>
          <w:szCs w:val="24"/>
        </w:rPr>
        <w:t>(5) The cap will not be adjusted for expansion of existing or previously existing programs.</w:t>
      </w:r>
    </w:p>
    <w:p w14:paraId="1CC4EC8C" w14:textId="77777777" w:rsidR="0047672E" w:rsidRPr="0047672E" w:rsidRDefault="0047672E" w:rsidP="0047672E">
      <w:pPr>
        <w:ind w:left="720"/>
        <w:rPr>
          <w:rFonts w:ascii="Arial" w:hAnsi="Arial" w:cs="Arial"/>
          <w:sz w:val="24"/>
          <w:szCs w:val="24"/>
        </w:rPr>
      </w:pPr>
    </w:p>
    <w:p w14:paraId="49B389F4" w14:textId="77777777" w:rsidR="0047672E" w:rsidRPr="0047672E" w:rsidRDefault="0047672E" w:rsidP="0047672E">
      <w:pPr>
        <w:ind w:left="720"/>
        <w:rPr>
          <w:rFonts w:ascii="Arial" w:hAnsi="Arial" w:cs="Arial"/>
          <w:sz w:val="24"/>
          <w:szCs w:val="24"/>
        </w:rPr>
      </w:pPr>
      <w:r w:rsidRPr="0047672E">
        <w:rPr>
          <w:rFonts w:ascii="Arial" w:hAnsi="Arial" w:cs="Arial"/>
          <w:sz w:val="24"/>
          <w:szCs w:val="24"/>
        </w:rPr>
        <w:t>42 CFR § 412.105(v)</w:t>
      </w:r>
      <w:r w:rsidR="00AE7958">
        <w:rPr>
          <w:rFonts w:ascii="Arial" w:hAnsi="Arial" w:cs="Arial"/>
          <w:sz w:val="24"/>
          <w:szCs w:val="24"/>
        </w:rPr>
        <w:t>:</w:t>
      </w:r>
    </w:p>
    <w:p w14:paraId="07C04058" w14:textId="77777777" w:rsidR="0047672E" w:rsidRPr="0047672E" w:rsidRDefault="0047672E" w:rsidP="0047672E">
      <w:pPr>
        <w:ind w:left="720"/>
        <w:rPr>
          <w:rFonts w:ascii="Arial" w:hAnsi="Arial" w:cs="Arial"/>
          <w:sz w:val="24"/>
          <w:szCs w:val="24"/>
        </w:rPr>
      </w:pPr>
    </w:p>
    <w:p w14:paraId="75711641" w14:textId="77777777" w:rsidR="0047672E" w:rsidRPr="0047672E" w:rsidRDefault="0047672E" w:rsidP="0047672E">
      <w:pPr>
        <w:ind w:left="720"/>
        <w:rPr>
          <w:rFonts w:ascii="Arial" w:hAnsi="Arial" w:cs="Arial"/>
          <w:sz w:val="24"/>
          <w:szCs w:val="24"/>
        </w:rPr>
      </w:pPr>
      <w:r w:rsidRPr="0047672E">
        <w:rPr>
          <w:rFonts w:ascii="Arial" w:hAnsi="Arial" w:cs="Arial"/>
          <w:sz w:val="24"/>
          <w:szCs w:val="24"/>
        </w:rPr>
        <w:t>(C) For new programs started prior to October 1, 2012, if a hospital qualified for an adjustment to the limit established under paragraph (f)(1)(iv) of this section for new medical residency programs created under paragraph (f)(1)(vii) of this section, the count of residents participating in new medical residency training programs above the number included in the hospital's full-time equivalent count for the cost reporting period ending during calendar year 1996 is added after applying the averaging rules in paragraph (f)(1)(v)(B) of this section for a period of years. Residents participating in new medical residency training programs are included in the hospital's full-time equivalent count before applying the averaging rules after the period of years has expired. For purposes of this paragraph, for each new program started, the period of years equals the minimum accredited length for each new program. The period of years for each new program begins when the first resident begins training in each new program.</w:t>
      </w:r>
    </w:p>
    <w:p w14:paraId="0E6FB4DA" w14:textId="77777777" w:rsidR="0047672E" w:rsidRPr="0047672E" w:rsidRDefault="0047672E" w:rsidP="0047672E">
      <w:pPr>
        <w:ind w:left="720"/>
        <w:rPr>
          <w:rFonts w:ascii="Arial" w:hAnsi="Arial" w:cs="Arial"/>
          <w:sz w:val="24"/>
          <w:szCs w:val="24"/>
        </w:rPr>
      </w:pPr>
    </w:p>
    <w:p w14:paraId="6E79BEC6" w14:textId="77777777" w:rsidR="0047672E" w:rsidRPr="0047672E" w:rsidRDefault="0047672E" w:rsidP="0047672E">
      <w:pPr>
        <w:ind w:left="720"/>
        <w:rPr>
          <w:rFonts w:ascii="Arial" w:hAnsi="Arial" w:cs="Arial"/>
          <w:b/>
          <w:sz w:val="24"/>
          <w:szCs w:val="24"/>
        </w:rPr>
      </w:pPr>
      <w:bookmarkStart w:id="10" w:name="42cfr412x105zf-1-v-d"/>
      <w:bookmarkEnd w:id="10"/>
    </w:p>
    <w:p w14:paraId="4F9898E1" w14:textId="0333EDD4" w:rsidR="003C4C63" w:rsidRDefault="0047672E" w:rsidP="001F72DB">
      <w:pPr>
        <w:spacing w:line="480" w:lineRule="auto"/>
        <w:rPr>
          <w:rFonts w:ascii="Arial" w:hAnsi="Arial" w:cs="Arial"/>
          <w:sz w:val="24"/>
          <w:szCs w:val="24"/>
        </w:rPr>
      </w:pPr>
      <w:r w:rsidRPr="0047672E">
        <w:rPr>
          <w:rFonts w:ascii="Arial" w:hAnsi="Arial" w:cs="Arial"/>
          <w:sz w:val="24"/>
          <w:szCs w:val="24"/>
        </w:rPr>
        <w:t xml:space="preserve">The MAC determined that </w:t>
      </w:r>
      <w:r>
        <w:rPr>
          <w:rFonts w:ascii="Arial" w:hAnsi="Arial" w:cs="Arial"/>
          <w:sz w:val="24"/>
          <w:szCs w:val="24"/>
        </w:rPr>
        <w:t xml:space="preserve">the provider was approved for twelve </w:t>
      </w:r>
      <w:r w:rsidRPr="0047672E">
        <w:rPr>
          <w:rFonts w:ascii="Arial" w:hAnsi="Arial" w:cs="Arial"/>
          <w:sz w:val="24"/>
          <w:szCs w:val="24"/>
        </w:rPr>
        <w:t>new resident training program</w:t>
      </w:r>
      <w:r>
        <w:rPr>
          <w:rFonts w:ascii="Arial" w:hAnsi="Arial" w:cs="Arial"/>
          <w:sz w:val="24"/>
          <w:szCs w:val="24"/>
        </w:rPr>
        <w:t>s</w:t>
      </w:r>
      <w:r w:rsidR="003C4C63">
        <w:rPr>
          <w:rFonts w:ascii="Arial" w:hAnsi="Arial" w:cs="Arial"/>
          <w:sz w:val="24"/>
          <w:szCs w:val="24"/>
        </w:rPr>
        <w:t xml:space="preserve">.  Nine of the twelve programs </w:t>
      </w:r>
      <w:r w:rsidR="003C4C63" w:rsidRPr="0047672E">
        <w:rPr>
          <w:rFonts w:ascii="Arial" w:hAnsi="Arial" w:cs="Arial"/>
          <w:sz w:val="24"/>
          <w:szCs w:val="24"/>
        </w:rPr>
        <w:t xml:space="preserve">first began training residents </w:t>
      </w:r>
      <w:r w:rsidR="003C4C63">
        <w:rPr>
          <w:rFonts w:ascii="Arial" w:hAnsi="Arial" w:cs="Arial"/>
          <w:sz w:val="24"/>
          <w:szCs w:val="24"/>
        </w:rPr>
        <w:t>March</w:t>
      </w:r>
      <w:r w:rsidR="003C4C63" w:rsidRPr="0047672E">
        <w:rPr>
          <w:rFonts w:ascii="Arial" w:hAnsi="Arial" w:cs="Arial"/>
          <w:sz w:val="24"/>
          <w:szCs w:val="24"/>
        </w:rPr>
        <w:t xml:space="preserve"> 1, 2008, which is also the begin date for the provider’s cost </w:t>
      </w:r>
      <w:r w:rsidR="003C4C63">
        <w:rPr>
          <w:rFonts w:ascii="Arial" w:hAnsi="Arial" w:cs="Arial"/>
          <w:sz w:val="24"/>
          <w:szCs w:val="24"/>
        </w:rPr>
        <w:t xml:space="preserve">reporting </w:t>
      </w:r>
      <w:r w:rsidR="003C4C63">
        <w:rPr>
          <w:rFonts w:ascii="Arial" w:hAnsi="Arial" w:cs="Arial"/>
          <w:sz w:val="24"/>
          <w:szCs w:val="24"/>
        </w:rPr>
        <w:lastRenderedPageBreak/>
        <w:t>period that ended February 28</w:t>
      </w:r>
      <w:r w:rsidR="003C4C63" w:rsidRPr="0047672E">
        <w:rPr>
          <w:rFonts w:ascii="Arial" w:hAnsi="Arial" w:cs="Arial"/>
          <w:sz w:val="24"/>
          <w:szCs w:val="24"/>
        </w:rPr>
        <w:t>, 2009. The provider’s cost reporting per</w:t>
      </w:r>
      <w:r w:rsidR="003C4C63">
        <w:rPr>
          <w:rFonts w:ascii="Arial" w:hAnsi="Arial" w:cs="Arial"/>
          <w:sz w:val="24"/>
          <w:szCs w:val="24"/>
        </w:rPr>
        <w:t>iod ended February 28</w:t>
      </w:r>
      <w:r w:rsidR="003C4C63" w:rsidRPr="0047672E">
        <w:rPr>
          <w:rFonts w:ascii="Arial" w:hAnsi="Arial" w:cs="Arial"/>
          <w:sz w:val="24"/>
          <w:szCs w:val="24"/>
        </w:rPr>
        <w:t xml:space="preserve">, </w:t>
      </w:r>
      <w:r w:rsidR="00E55FF3" w:rsidRPr="0047672E">
        <w:rPr>
          <w:rFonts w:ascii="Arial" w:hAnsi="Arial" w:cs="Arial"/>
          <w:sz w:val="24"/>
          <w:szCs w:val="24"/>
        </w:rPr>
        <w:t>2011,</w:t>
      </w:r>
      <w:r w:rsidR="003C4C63" w:rsidRPr="0047672E">
        <w:rPr>
          <w:rFonts w:ascii="Arial" w:hAnsi="Arial" w:cs="Arial"/>
          <w:sz w:val="24"/>
          <w:szCs w:val="24"/>
        </w:rPr>
        <w:t xml:space="preserve"> was the third year of the </w:t>
      </w:r>
      <w:r w:rsidR="003C4C63">
        <w:rPr>
          <w:rFonts w:ascii="Arial" w:hAnsi="Arial" w:cs="Arial"/>
          <w:sz w:val="24"/>
          <w:szCs w:val="24"/>
        </w:rPr>
        <w:t xml:space="preserve">new </w:t>
      </w:r>
      <w:r w:rsidR="003C4C63" w:rsidRPr="0047672E">
        <w:rPr>
          <w:rFonts w:ascii="Arial" w:hAnsi="Arial" w:cs="Arial"/>
          <w:sz w:val="24"/>
          <w:szCs w:val="24"/>
        </w:rPr>
        <w:t>program</w:t>
      </w:r>
      <w:r w:rsidR="003C4C63">
        <w:rPr>
          <w:rFonts w:ascii="Arial" w:hAnsi="Arial" w:cs="Arial"/>
          <w:sz w:val="24"/>
          <w:szCs w:val="24"/>
        </w:rPr>
        <w:t>s</w:t>
      </w:r>
      <w:r w:rsidR="003C4C63" w:rsidRPr="0047672E">
        <w:rPr>
          <w:rFonts w:ascii="Arial" w:hAnsi="Arial" w:cs="Arial"/>
          <w:sz w:val="24"/>
          <w:szCs w:val="24"/>
        </w:rPr>
        <w:t xml:space="preserve">. The GME/IME FTE resident caps became effective beginning with the provider’s </w:t>
      </w:r>
      <w:r w:rsidR="003C4C63">
        <w:rPr>
          <w:rFonts w:ascii="Arial" w:hAnsi="Arial" w:cs="Arial"/>
          <w:sz w:val="24"/>
          <w:szCs w:val="24"/>
        </w:rPr>
        <w:t>cost reporting period ended February 29</w:t>
      </w:r>
      <w:r w:rsidR="003C4C63" w:rsidRPr="0047672E">
        <w:rPr>
          <w:rFonts w:ascii="Arial" w:hAnsi="Arial" w:cs="Arial"/>
          <w:sz w:val="24"/>
          <w:szCs w:val="24"/>
        </w:rPr>
        <w:t>, 2012</w:t>
      </w:r>
      <w:r w:rsidR="007F5F92">
        <w:rPr>
          <w:rFonts w:ascii="Arial" w:hAnsi="Arial" w:cs="Arial"/>
          <w:sz w:val="24"/>
          <w:szCs w:val="24"/>
        </w:rPr>
        <w:t xml:space="preserve"> (PRRB Appeal Case No. 17-0417)</w:t>
      </w:r>
      <w:r w:rsidR="003C4C63" w:rsidRPr="0047672E">
        <w:rPr>
          <w:rFonts w:ascii="Arial" w:hAnsi="Arial" w:cs="Arial"/>
          <w:sz w:val="24"/>
          <w:szCs w:val="24"/>
        </w:rPr>
        <w:t>.</w:t>
      </w:r>
      <w:r w:rsidR="003C4C63">
        <w:rPr>
          <w:rFonts w:ascii="Arial" w:hAnsi="Arial" w:cs="Arial"/>
          <w:sz w:val="24"/>
          <w:szCs w:val="24"/>
        </w:rPr>
        <w:t xml:space="preserve">  Table 1 is presented below to summarize the twelve programs.</w:t>
      </w:r>
    </w:p>
    <w:tbl>
      <w:tblPr>
        <w:tblW w:w="9398" w:type="dxa"/>
        <w:tblLook w:val="04A0" w:firstRow="1" w:lastRow="0" w:firstColumn="1" w:lastColumn="0" w:noHBand="0" w:noVBand="1"/>
      </w:tblPr>
      <w:tblGrid>
        <w:gridCol w:w="2560"/>
        <w:gridCol w:w="1278"/>
        <w:gridCol w:w="1200"/>
        <w:gridCol w:w="1240"/>
        <w:gridCol w:w="1200"/>
        <w:gridCol w:w="960"/>
        <w:gridCol w:w="960"/>
      </w:tblGrid>
      <w:tr w:rsidR="003C4C63" w:rsidRPr="003C4C63" w14:paraId="4D2F6191" w14:textId="77777777" w:rsidTr="003C4C63">
        <w:trPr>
          <w:trHeight w:val="300"/>
        </w:trPr>
        <w:tc>
          <w:tcPr>
            <w:tcW w:w="2560" w:type="dxa"/>
            <w:tcBorders>
              <w:top w:val="nil"/>
              <w:left w:val="nil"/>
              <w:bottom w:val="nil"/>
              <w:right w:val="nil"/>
            </w:tcBorders>
            <w:shd w:val="clear" w:color="auto" w:fill="auto"/>
            <w:noWrap/>
            <w:vAlign w:val="bottom"/>
            <w:hideMark/>
          </w:tcPr>
          <w:p w14:paraId="2C2DDFC2" w14:textId="77777777" w:rsidR="003C4C63" w:rsidRDefault="003C4C63" w:rsidP="003C4C63">
            <w:pPr>
              <w:rPr>
                <w:rFonts w:ascii="Calibri" w:hAnsi="Calibri"/>
                <w:color w:val="000000"/>
                <w:sz w:val="22"/>
                <w:szCs w:val="22"/>
              </w:rPr>
            </w:pPr>
          </w:p>
          <w:p w14:paraId="76EDDE27" w14:textId="77777777" w:rsidR="003C4C63" w:rsidRPr="003C4C63" w:rsidRDefault="003C4C63" w:rsidP="003C4C63">
            <w:pPr>
              <w:rPr>
                <w:rFonts w:ascii="Calibri" w:hAnsi="Calibri"/>
                <w:color w:val="000000"/>
                <w:sz w:val="22"/>
                <w:szCs w:val="22"/>
              </w:rPr>
            </w:pPr>
            <w:r w:rsidRPr="003C4C63">
              <w:rPr>
                <w:rFonts w:ascii="Calibri" w:hAnsi="Calibri"/>
                <w:color w:val="000000"/>
                <w:sz w:val="22"/>
                <w:szCs w:val="22"/>
              </w:rPr>
              <w:t>Table 1</w:t>
            </w:r>
          </w:p>
        </w:tc>
        <w:tc>
          <w:tcPr>
            <w:tcW w:w="1278" w:type="dxa"/>
            <w:tcBorders>
              <w:top w:val="nil"/>
              <w:left w:val="nil"/>
              <w:bottom w:val="nil"/>
              <w:right w:val="nil"/>
            </w:tcBorders>
            <w:shd w:val="clear" w:color="auto" w:fill="auto"/>
            <w:noWrap/>
            <w:vAlign w:val="bottom"/>
            <w:hideMark/>
          </w:tcPr>
          <w:p w14:paraId="1E7085B7" w14:textId="77777777" w:rsidR="003C4C63" w:rsidRPr="003C4C63" w:rsidRDefault="003C4C63" w:rsidP="003C4C63">
            <w:pPr>
              <w:rPr>
                <w:rFonts w:ascii="Calibri" w:hAnsi="Calibri"/>
                <w:color w:val="000000"/>
                <w:sz w:val="22"/>
                <w:szCs w:val="22"/>
              </w:rPr>
            </w:pPr>
          </w:p>
        </w:tc>
        <w:tc>
          <w:tcPr>
            <w:tcW w:w="1200" w:type="dxa"/>
            <w:tcBorders>
              <w:top w:val="nil"/>
              <w:left w:val="nil"/>
              <w:bottom w:val="nil"/>
              <w:right w:val="nil"/>
            </w:tcBorders>
            <w:shd w:val="clear" w:color="auto" w:fill="auto"/>
            <w:noWrap/>
            <w:vAlign w:val="bottom"/>
            <w:hideMark/>
          </w:tcPr>
          <w:p w14:paraId="5DC68795" w14:textId="77777777" w:rsidR="003C4C63" w:rsidRPr="003C4C63" w:rsidRDefault="003C4C63" w:rsidP="003C4C63"/>
        </w:tc>
        <w:tc>
          <w:tcPr>
            <w:tcW w:w="1240" w:type="dxa"/>
            <w:tcBorders>
              <w:top w:val="nil"/>
              <w:left w:val="nil"/>
              <w:bottom w:val="nil"/>
              <w:right w:val="nil"/>
            </w:tcBorders>
            <w:shd w:val="clear" w:color="auto" w:fill="auto"/>
            <w:noWrap/>
            <w:vAlign w:val="bottom"/>
            <w:hideMark/>
          </w:tcPr>
          <w:p w14:paraId="244C519F" w14:textId="77777777" w:rsidR="003C4C63" w:rsidRPr="003C4C63" w:rsidRDefault="003C4C63" w:rsidP="003C4C63"/>
        </w:tc>
        <w:tc>
          <w:tcPr>
            <w:tcW w:w="1200" w:type="dxa"/>
            <w:tcBorders>
              <w:top w:val="nil"/>
              <w:left w:val="nil"/>
              <w:bottom w:val="nil"/>
              <w:right w:val="nil"/>
            </w:tcBorders>
            <w:shd w:val="clear" w:color="auto" w:fill="auto"/>
            <w:noWrap/>
            <w:vAlign w:val="bottom"/>
            <w:hideMark/>
          </w:tcPr>
          <w:p w14:paraId="1EE40938" w14:textId="77777777" w:rsidR="003C4C63" w:rsidRPr="003C4C63" w:rsidRDefault="003C4C63" w:rsidP="003C4C63"/>
        </w:tc>
        <w:tc>
          <w:tcPr>
            <w:tcW w:w="960" w:type="dxa"/>
            <w:tcBorders>
              <w:top w:val="nil"/>
              <w:left w:val="nil"/>
              <w:bottom w:val="nil"/>
              <w:right w:val="nil"/>
            </w:tcBorders>
            <w:shd w:val="clear" w:color="auto" w:fill="auto"/>
            <w:noWrap/>
            <w:vAlign w:val="bottom"/>
            <w:hideMark/>
          </w:tcPr>
          <w:p w14:paraId="2D42759F" w14:textId="77777777" w:rsidR="003C4C63" w:rsidRPr="003C4C63" w:rsidRDefault="003C4C63" w:rsidP="003C4C63"/>
        </w:tc>
        <w:tc>
          <w:tcPr>
            <w:tcW w:w="960" w:type="dxa"/>
            <w:tcBorders>
              <w:top w:val="nil"/>
              <w:left w:val="nil"/>
              <w:bottom w:val="nil"/>
              <w:right w:val="nil"/>
            </w:tcBorders>
            <w:shd w:val="clear" w:color="auto" w:fill="auto"/>
            <w:noWrap/>
            <w:vAlign w:val="bottom"/>
            <w:hideMark/>
          </w:tcPr>
          <w:p w14:paraId="69A72B27" w14:textId="77777777" w:rsidR="003C4C63" w:rsidRPr="003C4C63" w:rsidRDefault="003C4C63" w:rsidP="003C4C63"/>
        </w:tc>
      </w:tr>
      <w:tr w:rsidR="003C4C63" w:rsidRPr="003C4C63" w14:paraId="550AC800" w14:textId="77777777" w:rsidTr="003C4C63">
        <w:trPr>
          <w:trHeight w:val="1800"/>
        </w:trPr>
        <w:tc>
          <w:tcPr>
            <w:tcW w:w="25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DBECED2" w14:textId="77777777" w:rsidR="003C4C63" w:rsidRPr="003C4C63" w:rsidRDefault="003C4C63" w:rsidP="003C4C63">
            <w:pPr>
              <w:rPr>
                <w:rFonts w:ascii="Calibri" w:hAnsi="Calibri"/>
                <w:b/>
                <w:bCs/>
                <w:color w:val="000000"/>
                <w:sz w:val="22"/>
                <w:szCs w:val="22"/>
              </w:rPr>
            </w:pPr>
            <w:r w:rsidRPr="003C4C63">
              <w:rPr>
                <w:rFonts w:ascii="Calibri" w:hAnsi="Calibri"/>
                <w:b/>
                <w:bCs/>
                <w:color w:val="000000"/>
                <w:sz w:val="22"/>
                <w:szCs w:val="22"/>
              </w:rPr>
              <w:t>Program Name</w:t>
            </w:r>
          </w:p>
        </w:tc>
        <w:tc>
          <w:tcPr>
            <w:tcW w:w="1278" w:type="dxa"/>
            <w:tcBorders>
              <w:top w:val="single" w:sz="4" w:space="0" w:color="auto"/>
              <w:left w:val="nil"/>
              <w:bottom w:val="single" w:sz="4" w:space="0" w:color="auto"/>
              <w:right w:val="single" w:sz="4" w:space="0" w:color="auto"/>
            </w:tcBorders>
            <w:shd w:val="clear" w:color="auto" w:fill="auto"/>
            <w:vAlign w:val="bottom"/>
            <w:hideMark/>
          </w:tcPr>
          <w:p w14:paraId="0C110B49" w14:textId="77777777" w:rsidR="003C4C63" w:rsidRPr="003C4C63" w:rsidRDefault="003C4C63" w:rsidP="003C4C63">
            <w:pPr>
              <w:rPr>
                <w:rFonts w:ascii="Calibri" w:hAnsi="Calibri"/>
                <w:b/>
                <w:bCs/>
                <w:color w:val="000000"/>
                <w:sz w:val="22"/>
                <w:szCs w:val="22"/>
              </w:rPr>
            </w:pPr>
            <w:r w:rsidRPr="003C4C63">
              <w:rPr>
                <w:rFonts w:ascii="Calibri" w:hAnsi="Calibri"/>
                <w:b/>
                <w:bCs/>
                <w:color w:val="000000"/>
                <w:sz w:val="22"/>
                <w:szCs w:val="22"/>
              </w:rPr>
              <w:t>First Began Training</w:t>
            </w:r>
          </w:p>
        </w:tc>
        <w:tc>
          <w:tcPr>
            <w:tcW w:w="1200" w:type="dxa"/>
            <w:tcBorders>
              <w:top w:val="single" w:sz="4" w:space="0" w:color="auto"/>
              <w:left w:val="nil"/>
              <w:bottom w:val="single" w:sz="4" w:space="0" w:color="auto"/>
              <w:right w:val="single" w:sz="4" w:space="0" w:color="auto"/>
            </w:tcBorders>
            <w:shd w:val="clear" w:color="auto" w:fill="auto"/>
            <w:vAlign w:val="bottom"/>
            <w:hideMark/>
          </w:tcPr>
          <w:p w14:paraId="04EA9D74" w14:textId="77777777" w:rsidR="003C4C63" w:rsidRPr="003C4C63" w:rsidRDefault="003C4C63" w:rsidP="003C4C63">
            <w:pPr>
              <w:rPr>
                <w:rFonts w:ascii="Calibri" w:hAnsi="Calibri"/>
                <w:b/>
                <w:bCs/>
                <w:color w:val="000000"/>
                <w:sz w:val="22"/>
                <w:szCs w:val="22"/>
              </w:rPr>
            </w:pPr>
            <w:r w:rsidRPr="003C4C63">
              <w:rPr>
                <w:rFonts w:ascii="Calibri" w:hAnsi="Calibri"/>
                <w:b/>
                <w:bCs/>
                <w:color w:val="000000"/>
                <w:sz w:val="22"/>
                <w:szCs w:val="22"/>
              </w:rPr>
              <w:t>Accredited Length in Years</w:t>
            </w:r>
          </w:p>
        </w:tc>
        <w:tc>
          <w:tcPr>
            <w:tcW w:w="1240" w:type="dxa"/>
            <w:tcBorders>
              <w:top w:val="single" w:sz="4" w:space="0" w:color="auto"/>
              <w:left w:val="nil"/>
              <w:bottom w:val="single" w:sz="4" w:space="0" w:color="auto"/>
              <w:right w:val="single" w:sz="4" w:space="0" w:color="auto"/>
            </w:tcBorders>
            <w:shd w:val="clear" w:color="auto" w:fill="auto"/>
            <w:vAlign w:val="bottom"/>
            <w:hideMark/>
          </w:tcPr>
          <w:p w14:paraId="37A72BE1" w14:textId="77777777" w:rsidR="003C4C63" w:rsidRPr="003C4C63" w:rsidRDefault="003C4C63" w:rsidP="003C4C63">
            <w:pPr>
              <w:rPr>
                <w:rFonts w:ascii="Calibri" w:hAnsi="Calibri"/>
                <w:b/>
                <w:bCs/>
                <w:color w:val="000000"/>
                <w:sz w:val="22"/>
                <w:szCs w:val="22"/>
              </w:rPr>
            </w:pPr>
            <w:r w:rsidRPr="003C4C63">
              <w:rPr>
                <w:rFonts w:ascii="Calibri" w:hAnsi="Calibri"/>
                <w:b/>
                <w:bCs/>
                <w:color w:val="000000"/>
                <w:sz w:val="22"/>
                <w:szCs w:val="22"/>
              </w:rPr>
              <w:t>Highest Class During 3rd Year of Program</w:t>
            </w:r>
          </w:p>
        </w:tc>
        <w:tc>
          <w:tcPr>
            <w:tcW w:w="1200" w:type="dxa"/>
            <w:tcBorders>
              <w:top w:val="single" w:sz="4" w:space="0" w:color="auto"/>
              <w:left w:val="nil"/>
              <w:bottom w:val="single" w:sz="4" w:space="0" w:color="auto"/>
              <w:right w:val="single" w:sz="4" w:space="0" w:color="auto"/>
            </w:tcBorders>
            <w:shd w:val="clear" w:color="auto" w:fill="auto"/>
            <w:vAlign w:val="bottom"/>
            <w:hideMark/>
          </w:tcPr>
          <w:p w14:paraId="234B2E2F" w14:textId="77777777" w:rsidR="003C4C63" w:rsidRPr="003C4C63" w:rsidRDefault="003C4C63" w:rsidP="003C4C63">
            <w:pPr>
              <w:rPr>
                <w:rFonts w:ascii="Calibri" w:hAnsi="Calibri"/>
                <w:b/>
                <w:bCs/>
                <w:color w:val="000000"/>
                <w:sz w:val="22"/>
                <w:szCs w:val="22"/>
              </w:rPr>
            </w:pPr>
            <w:r w:rsidRPr="003C4C63">
              <w:rPr>
                <w:rFonts w:ascii="Calibri" w:hAnsi="Calibri"/>
                <w:b/>
                <w:bCs/>
                <w:color w:val="000000"/>
                <w:sz w:val="22"/>
                <w:szCs w:val="22"/>
              </w:rPr>
              <w:t>Accredited Slots</w:t>
            </w:r>
          </w:p>
        </w:tc>
        <w:tc>
          <w:tcPr>
            <w:tcW w:w="960" w:type="dxa"/>
            <w:tcBorders>
              <w:top w:val="single" w:sz="4" w:space="0" w:color="auto"/>
              <w:left w:val="nil"/>
              <w:bottom w:val="single" w:sz="4" w:space="0" w:color="auto"/>
              <w:right w:val="single" w:sz="4" w:space="0" w:color="auto"/>
            </w:tcBorders>
            <w:shd w:val="clear" w:color="auto" w:fill="auto"/>
            <w:vAlign w:val="bottom"/>
            <w:hideMark/>
          </w:tcPr>
          <w:p w14:paraId="16377394" w14:textId="77777777" w:rsidR="003C4C63" w:rsidRPr="003C4C63" w:rsidRDefault="003C4C63" w:rsidP="003C4C63">
            <w:pPr>
              <w:rPr>
                <w:rFonts w:ascii="Calibri" w:hAnsi="Calibri"/>
                <w:b/>
                <w:bCs/>
                <w:color w:val="000000"/>
                <w:sz w:val="22"/>
                <w:szCs w:val="22"/>
              </w:rPr>
            </w:pPr>
            <w:r w:rsidRPr="003C4C63">
              <w:rPr>
                <w:rFonts w:ascii="Calibri" w:hAnsi="Calibri"/>
                <w:b/>
                <w:bCs/>
                <w:color w:val="000000"/>
                <w:sz w:val="22"/>
                <w:szCs w:val="22"/>
              </w:rPr>
              <w:t>Largo GME FTE Cap</w:t>
            </w:r>
          </w:p>
        </w:tc>
        <w:tc>
          <w:tcPr>
            <w:tcW w:w="960" w:type="dxa"/>
            <w:tcBorders>
              <w:top w:val="single" w:sz="4" w:space="0" w:color="auto"/>
              <w:left w:val="nil"/>
              <w:bottom w:val="single" w:sz="4" w:space="0" w:color="auto"/>
              <w:right w:val="single" w:sz="4" w:space="0" w:color="auto"/>
            </w:tcBorders>
            <w:shd w:val="clear" w:color="auto" w:fill="auto"/>
            <w:vAlign w:val="bottom"/>
            <w:hideMark/>
          </w:tcPr>
          <w:p w14:paraId="6859B893" w14:textId="77777777" w:rsidR="003C4C63" w:rsidRPr="003C4C63" w:rsidRDefault="003C4C63" w:rsidP="003C4C63">
            <w:pPr>
              <w:rPr>
                <w:rFonts w:ascii="Calibri" w:hAnsi="Calibri"/>
                <w:b/>
                <w:bCs/>
                <w:color w:val="000000"/>
                <w:sz w:val="22"/>
                <w:szCs w:val="22"/>
              </w:rPr>
            </w:pPr>
            <w:r w:rsidRPr="003C4C63">
              <w:rPr>
                <w:rFonts w:ascii="Calibri" w:hAnsi="Calibri"/>
                <w:b/>
                <w:bCs/>
                <w:color w:val="000000"/>
                <w:sz w:val="22"/>
                <w:szCs w:val="22"/>
              </w:rPr>
              <w:t>Largo IME FTE Cap</w:t>
            </w:r>
          </w:p>
        </w:tc>
      </w:tr>
      <w:tr w:rsidR="003C4C63" w:rsidRPr="003C4C63" w14:paraId="1E206A97" w14:textId="77777777" w:rsidTr="003C4C63">
        <w:trPr>
          <w:trHeight w:val="300"/>
        </w:trPr>
        <w:tc>
          <w:tcPr>
            <w:tcW w:w="2560" w:type="dxa"/>
            <w:tcBorders>
              <w:top w:val="nil"/>
              <w:left w:val="single" w:sz="4" w:space="0" w:color="auto"/>
              <w:bottom w:val="single" w:sz="4" w:space="0" w:color="auto"/>
              <w:right w:val="single" w:sz="4" w:space="0" w:color="auto"/>
            </w:tcBorders>
            <w:shd w:val="clear" w:color="auto" w:fill="auto"/>
            <w:noWrap/>
            <w:vAlign w:val="bottom"/>
            <w:hideMark/>
          </w:tcPr>
          <w:p w14:paraId="19A797B9" w14:textId="77777777" w:rsidR="003C4C63" w:rsidRPr="003C4C63" w:rsidRDefault="003C4C63" w:rsidP="003C4C63">
            <w:pPr>
              <w:rPr>
                <w:rFonts w:ascii="Calibri" w:hAnsi="Calibri"/>
                <w:color w:val="000000"/>
                <w:sz w:val="22"/>
                <w:szCs w:val="22"/>
              </w:rPr>
            </w:pPr>
            <w:r w:rsidRPr="003C4C63">
              <w:rPr>
                <w:rFonts w:ascii="Calibri" w:hAnsi="Calibri"/>
                <w:color w:val="000000"/>
                <w:sz w:val="22"/>
                <w:szCs w:val="22"/>
              </w:rPr>
              <w:t>Anesthesiology</w:t>
            </w:r>
          </w:p>
        </w:tc>
        <w:tc>
          <w:tcPr>
            <w:tcW w:w="1278" w:type="dxa"/>
            <w:tcBorders>
              <w:top w:val="nil"/>
              <w:left w:val="nil"/>
              <w:bottom w:val="single" w:sz="4" w:space="0" w:color="auto"/>
              <w:right w:val="single" w:sz="4" w:space="0" w:color="auto"/>
            </w:tcBorders>
            <w:shd w:val="clear" w:color="auto" w:fill="auto"/>
            <w:noWrap/>
            <w:vAlign w:val="bottom"/>
            <w:hideMark/>
          </w:tcPr>
          <w:p w14:paraId="4D744103" w14:textId="77777777" w:rsidR="003C4C63" w:rsidRPr="003C4C63" w:rsidRDefault="003C4C63" w:rsidP="003C4C63">
            <w:pPr>
              <w:jc w:val="right"/>
              <w:rPr>
                <w:rFonts w:ascii="Calibri" w:hAnsi="Calibri"/>
                <w:color w:val="000000"/>
                <w:sz w:val="22"/>
                <w:szCs w:val="22"/>
              </w:rPr>
            </w:pPr>
            <w:r w:rsidRPr="003C4C63">
              <w:rPr>
                <w:rFonts w:ascii="Calibri" w:hAnsi="Calibri"/>
                <w:color w:val="000000"/>
                <w:sz w:val="22"/>
                <w:szCs w:val="22"/>
              </w:rPr>
              <w:t>03/01/2008</w:t>
            </w:r>
          </w:p>
        </w:tc>
        <w:tc>
          <w:tcPr>
            <w:tcW w:w="1200" w:type="dxa"/>
            <w:tcBorders>
              <w:top w:val="nil"/>
              <w:left w:val="nil"/>
              <w:bottom w:val="single" w:sz="4" w:space="0" w:color="auto"/>
              <w:right w:val="single" w:sz="4" w:space="0" w:color="auto"/>
            </w:tcBorders>
            <w:shd w:val="clear" w:color="auto" w:fill="auto"/>
            <w:noWrap/>
            <w:vAlign w:val="bottom"/>
            <w:hideMark/>
          </w:tcPr>
          <w:p w14:paraId="7FEF01C1" w14:textId="77777777" w:rsidR="003C4C63" w:rsidRPr="003C4C63" w:rsidRDefault="003C4C63" w:rsidP="003C4C63">
            <w:pPr>
              <w:jc w:val="center"/>
              <w:rPr>
                <w:rFonts w:ascii="Calibri" w:hAnsi="Calibri"/>
                <w:color w:val="000000"/>
                <w:sz w:val="22"/>
                <w:szCs w:val="22"/>
              </w:rPr>
            </w:pPr>
            <w:r w:rsidRPr="003C4C63">
              <w:rPr>
                <w:rFonts w:ascii="Calibri" w:hAnsi="Calibri"/>
                <w:color w:val="000000"/>
                <w:sz w:val="22"/>
                <w:szCs w:val="22"/>
              </w:rPr>
              <w:t>4</w:t>
            </w:r>
          </w:p>
        </w:tc>
        <w:tc>
          <w:tcPr>
            <w:tcW w:w="1240" w:type="dxa"/>
            <w:tcBorders>
              <w:top w:val="nil"/>
              <w:left w:val="nil"/>
              <w:bottom w:val="single" w:sz="4" w:space="0" w:color="auto"/>
              <w:right w:val="single" w:sz="4" w:space="0" w:color="auto"/>
            </w:tcBorders>
            <w:shd w:val="clear" w:color="auto" w:fill="auto"/>
            <w:noWrap/>
            <w:vAlign w:val="bottom"/>
            <w:hideMark/>
          </w:tcPr>
          <w:p w14:paraId="0F233803" w14:textId="77777777" w:rsidR="003C4C63" w:rsidRPr="003C4C63" w:rsidRDefault="003C4C63" w:rsidP="003C4C63">
            <w:pPr>
              <w:jc w:val="center"/>
              <w:rPr>
                <w:rFonts w:ascii="Calibri" w:hAnsi="Calibri"/>
                <w:color w:val="000000"/>
                <w:sz w:val="22"/>
                <w:szCs w:val="22"/>
              </w:rPr>
            </w:pPr>
            <w:r w:rsidRPr="003C4C63">
              <w:rPr>
                <w:rFonts w:ascii="Calibri" w:hAnsi="Calibri"/>
                <w:color w:val="000000"/>
                <w:sz w:val="22"/>
                <w:szCs w:val="22"/>
              </w:rPr>
              <w:t>PGY 1</w:t>
            </w:r>
          </w:p>
        </w:tc>
        <w:tc>
          <w:tcPr>
            <w:tcW w:w="1200" w:type="dxa"/>
            <w:tcBorders>
              <w:top w:val="nil"/>
              <w:left w:val="nil"/>
              <w:bottom w:val="single" w:sz="4" w:space="0" w:color="auto"/>
              <w:right w:val="single" w:sz="4" w:space="0" w:color="auto"/>
            </w:tcBorders>
            <w:shd w:val="clear" w:color="auto" w:fill="auto"/>
            <w:noWrap/>
            <w:vAlign w:val="bottom"/>
            <w:hideMark/>
          </w:tcPr>
          <w:p w14:paraId="552877F9" w14:textId="77777777" w:rsidR="003C4C63" w:rsidRPr="003C4C63" w:rsidRDefault="003C4C63" w:rsidP="003C4C63">
            <w:pPr>
              <w:jc w:val="center"/>
              <w:rPr>
                <w:rFonts w:ascii="Calibri" w:hAnsi="Calibri"/>
                <w:color w:val="000000"/>
                <w:sz w:val="22"/>
                <w:szCs w:val="22"/>
              </w:rPr>
            </w:pPr>
            <w:r w:rsidRPr="003C4C63">
              <w:rPr>
                <w:rFonts w:ascii="Calibri" w:hAnsi="Calibri"/>
                <w:color w:val="000000"/>
                <w:sz w:val="22"/>
                <w:szCs w:val="22"/>
              </w:rPr>
              <w:t>8</w:t>
            </w:r>
          </w:p>
        </w:tc>
        <w:tc>
          <w:tcPr>
            <w:tcW w:w="960" w:type="dxa"/>
            <w:tcBorders>
              <w:top w:val="nil"/>
              <w:left w:val="nil"/>
              <w:bottom w:val="single" w:sz="4" w:space="0" w:color="auto"/>
              <w:right w:val="single" w:sz="4" w:space="0" w:color="auto"/>
            </w:tcBorders>
            <w:shd w:val="clear" w:color="auto" w:fill="auto"/>
            <w:noWrap/>
            <w:vAlign w:val="bottom"/>
            <w:hideMark/>
          </w:tcPr>
          <w:p w14:paraId="0C8F5DBB" w14:textId="77777777" w:rsidR="003C4C63" w:rsidRPr="003C4C63" w:rsidRDefault="003C4C63" w:rsidP="003C4C63">
            <w:pPr>
              <w:jc w:val="right"/>
              <w:rPr>
                <w:rFonts w:ascii="Calibri" w:hAnsi="Calibri"/>
                <w:color w:val="000000"/>
                <w:sz w:val="22"/>
                <w:szCs w:val="22"/>
              </w:rPr>
            </w:pPr>
            <w:r w:rsidRPr="003C4C63">
              <w:rPr>
                <w:rFonts w:ascii="Calibri" w:hAnsi="Calibri"/>
                <w:color w:val="000000"/>
                <w:sz w:val="22"/>
                <w:szCs w:val="22"/>
              </w:rPr>
              <w:t>5.50</w:t>
            </w:r>
          </w:p>
        </w:tc>
        <w:tc>
          <w:tcPr>
            <w:tcW w:w="960" w:type="dxa"/>
            <w:tcBorders>
              <w:top w:val="nil"/>
              <w:left w:val="nil"/>
              <w:bottom w:val="single" w:sz="4" w:space="0" w:color="auto"/>
              <w:right w:val="single" w:sz="4" w:space="0" w:color="auto"/>
            </w:tcBorders>
            <w:shd w:val="clear" w:color="auto" w:fill="auto"/>
            <w:noWrap/>
            <w:vAlign w:val="bottom"/>
            <w:hideMark/>
          </w:tcPr>
          <w:p w14:paraId="730B9357" w14:textId="77777777" w:rsidR="003C4C63" w:rsidRPr="003C4C63" w:rsidRDefault="003C4C63" w:rsidP="003C4C63">
            <w:pPr>
              <w:jc w:val="right"/>
              <w:rPr>
                <w:rFonts w:ascii="Calibri" w:hAnsi="Calibri"/>
                <w:color w:val="000000"/>
                <w:sz w:val="22"/>
                <w:szCs w:val="22"/>
              </w:rPr>
            </w:pPr>
            <w:r w:rsidRPr="003C4C63">
              <w:rPr>
                <w:rFonts w:ascii="Calibri" w:hAnsi="Calibri"/>
                <w:color w:val="000000"/>
                <w:sz w:val="22"/>
                <w:szCs w:val="22"/>
              </w:rPr>
              <w:t>5.50</w:t>
            </w:r>
          </w:p>
        </w:tc>
      </w:tr>
      <w:tr w:rsidR="003C4C63" w:rsidRPr="003C4C63" w14:paraId="2278DD64" w14:textId="77777777" w:rsidTr="003C4C63">
        <w:trPr>
          <w:trHeight w:val="300"/>
        </w:trPr>
        <w:tc>
          <w:tcPr>
            <w:tcW w:w="2560" w:type="dxa"/>
            <w:tcBorders>
              <w:top w:val="nil"/>
              <w:left w:val="single" w:sz="4" w:space="0" w:color="auto"/>
              <w:bottom w:val="single" w:sz="4" w:space="0" w:color="auto"/>
              <w:right w:val="single" w:sz="4" w:space="0" w:color="auto"/>
            </w:tcBorders>
            <w:shd w:val="clear" w:color="auto" w:fill="auto"/>
            <w:noWrap/>
            <w:vAlign w:val="bottom"/>
            <w:hideMark/>
          </w:tcPr>
          <w:p w14:paraId="5CA5F19B" w14:textId="77777777" w:rsidR="003C4C63" w:rsidRPr="003C4C63" w:rsidRDefault="003C4C63" w:rsidP="003C4C63">
            <w:pPr>
              <w:rPr>
                <w:rFonts w:ascii="Calibri" w:hAnsi="Calibri"/>
                <w:color w:val="000000"/>
                <w:sz w:val="22"/>
                <w:szCs w:val="22"/>
              </w:rPr>
            </w:pPr>
            <w:r w:rsidRPr="003C4C63">
              <w:rPr>
                <w:rFonts w:ascii="Calibri" w:hAnsi="Calibri"/>
                <w:color w:val="000000"/>
                <w:sz w:val="22"/>
                <w:szCs w:val="22"/>
              </w:rPr>
              <w:t>Dermatology</w:t>
            </w:r>
          </w:p>
        </w:tc>
        <w:tc>
          <w:tcPr>
            <w:tcW w:w="1278" w:type="dxa"/>
            <w:tcBorders>
              <w:top w:val="nil"/>
              <w:left w:val="nil"/>
              <w:bottom w:val="single" w:sz="4" w:space="0" w:color="auto"/>
              <w:right w:val="single" w:sz="4" w:space="0" w:color="auto"/>
            </w:tcBorders>
            <w:shd w:val="clear" w:color="auto" w:fill="auto"/>
            <w:noWrap/>
            <w:vAlign w:val="bottom"/>
            <w:hideMark/>
          </w:tcPr>
          <w:p w14:paraId="65329D79" w14:textId="77777777" w:rsidR="003C4C63" w:rsidRPr="003C4C63" w:rsidRDefault="003C4C63" w:rsidP="003C4C63">
            <w:pPr>
              <w:jc w:val="right"/>
              <w:rPr>
                <w:rFonts w:ascii="Calibri" w:hAnsi="Calibri"/>
                <w:color w:val="000000"/>
                <w:sz w:val="22"/>
                <w:szCs w:val="22"/>
              </w:rPr>
            </w:pPr>
            <w:r w:rsidRPr="003C4C63">
              <w:rPr>
                <w:rFonts w:ascii="Calibri" w:hAnsi="Calibri"/>
                <w:color w:val="000000"/>
                <w:sz w:val="22"/>
                <w:szCs w:val="22"/>
              </w:rPr>
              <w:t>03/01/2008</w:t>
            </w:r>
          </w:p>
        </w:tc>
        <w:tc>
          <w:tcPr>
            <w:tcW w:w="1200" w:type="dxa"/>
            <w:tcBorders>
              <w:top w:val="nil"/>
              <w:left w:val="nil"/>
              <w:bottom w:val="single" w:sz="4" w:space="0" w:color="auto"/>
              <w:right w:val="single" w:sz="4" w:space="0" w:color="auto"/>
            </w:tcBorders>
            <w:shd w:val="clear" w:color="auto" w:fill="auto"/>
            <w:noWrap/>
            <w:vAlign w:val="bottom"/>
            <w:hideMark/>
          </w:tcPr>
          <w:p w14:paraId="61D026D0" w14:textId="77777777" w:rsidR="003C4C63" w:rsidRPr="003C4C63" w:rsidRDefault="003C4C63" w:rsidP="003C4C63">
            <w:pPr>
              <w:jc w:val="center"/>
              <w:rPr>
                <w:rFonts w:ascii="Calibri" w:hAnsi="Calibri"/>
                <w:color w:val="000000"/>
                <w:sz w:val="22"/>
                <w:szCs w:val="22"/>
              </w:rPr>
            </w:pPr>
            <w:r w:rsidRPr="003C4C63">
              <w:rPr>
                <w:rFonts w:ascii="Calibri" w:hAnsi="Calibri"/>
                <w:color w:val="000000"/>
                <w:sz w:val="22"/>
                <w:szCs w:val="22"/>
              </w:rPr>
              <w:t>3</w:t>
            </w:r>
          </w:p>
        </w:tc>
        <w:tc>
          <w:tcPr>
            <w:tcW w:w="1240" w:type="dxa"/>
            <w:tcBorders>
              <w:top w:val="nil"/>
              <w:left w:val="nil"/>
              <w:bottom w:val="single" w:sz="4" w:space="0" w:color="auto"/>
              <w:right w:val="single" w:sz="4" w:space="0" w:color="auto"/>
            </w:tcBorders>
            <w:shd w:val="clear" w:color="auto" w:fill="auto"/>
            <w:noWrap/>
            <w:vAlign w:val="bottom"/>
            <w:hideMark/>
          </w:tcPr>
          <w:p w14:paraId="096DDD12" w14:textId="77777777" w:rsidR="003C4C63" w:rsidRPr="003C4C63" w:rsidRDefault="003C4C63" w:rsidP="003C4C63">
            <w:pPr>
              <w:jc w:val="center"/>
              <w:rPr>
                <w:rFonts w:ascii="Calibri" w:hAnsi="Calibri"/>
                <w:color w:val="000000"/>
                <w:sz w:val="22"/>
                <w:szCs w:val="22"/>
              </w:rPr>
            </w:pPr>
            <w:r w:rsidRPr="003C4C63">
              <w:rPr>
                <w:rFonts w:ascii="Calibri" w:hAnsi="Calibri"/>
                <w:color w:val="000000"/>
                <w:sz w:val="22"/>
                <w:szCs w:val="22"/>
              </w:rPr>
              <w:t>PGY 3</w:t>
            </w:r>
          </w:p>
        </w:tc>
        <w:tc>
          <w:tcPr>
            <w:tcW w:w="1200" w:type="dxa"/>
            <w:tcBorders>
              <w:top w:val="nil"/>
              <w:left w:val="nil"/>
              <w:bottom w:val="single" w:sz="4" w:space="0" w:color="auto"/>
              <w:right w:val="single" w:sz="4" w:space="0" w:color="auto"/>
            </w:tcBorders>
            <w:shd w:val="clear" w:color="auto" w:fill="auto"/>
            <w:noWrap/>
            <w:vAlign w:val="bottom"/>
            <w:hideMark/>
          </w:tcPr>
          <w:p w14:paraId="56C6B768" w14:textId="77777777" w:rsidR="003C4C63" w:rsidRPr="003C4C63" w:rsidRDefault="003C4C63" w:rsidP="003C4C63">
            <w:pPr>
              <w:jc w:val="center"/>
              <w:rPr>
                <w:rFonts w:ascii="Calibri" w:hAnsi="Calibri"/>
                <w:color w:val="000000"/>
                <w:sz w:val="22"/>
                <w:szCs w:val="22"/>
              </w:rPr>
            </w:pPr>
            <w:r w:rsidRPr="003C4C63">
              <w:rPr>
                <w:rFonts w:ascii="Calibri" w:hAnsi="Calibri"/>
                <w:color w:val="000000"/>
                <w:sz w:val="22"/>
                <w:szCs w:val="22"/>
              </w:rPr>
              <w:t>9</w:t>
            </w:r>
          </w:p>
        </w:tc>
        <w:tc>
          <w:tcPr>
            <w:tcW w:w="960" w:type="dxa"/>
            <w:tcBorders>
              <w:top w:val="nil"/>
              <w:left w:val="nil"/>
              <w:bottom w:val="single" w:sz="4" w:space="0" w:color="auto"/>
              <w:right w:val="single" w:sz="4" w:space="0" w:color="auto"/>
            </w:tcBorders>
            <w:shd w:val="clear" w:color="auto" w:fill="auto"/>
            <w:noWrap/>
            <w:vAlign w:val="bottom"/>
            <w:hideMark/>
          </w:tcPr>
          <w:p w14:paraId="2076EFA5" w14:textId="77777777" w:rsidR="003C4C63" w:rsidRPr="003C4C63" w:rsidRDefault="003C4C63" w:rsidP="003C4C63">
            <w:pPr>
              <w:jc w:val="right"/>
              <w:rPr>
                <w:rFonts w:ascii="Calibri" w:hAnsi="Calibri"/>
                <w:color w:val="000000"/>
                <w:sz w:val="22"/>
                <w:szCs w:val="22"/>
              </w:rPr>
            </w:pPr>
            <w:r w:rsidRPr="003C4C63">
              <w:rPr>
                <w:rFonts w:ascii="Calibri" w:hAnsi="Calibri"/>
                <w:color w:val="000000"/>
                <w:sz w:val="22"/>
                <w:szCs w:val="22"/>
              </w:rPr>
              <w:t>6.99</w:t>
            </w:r>
          </w:p>
        </w:tc>
        <w:tc>
          <w:tcPr>
            <w:tcW w:w="960" w:type="dxa"/>
            <w:tcBorders>
              <w:top w:val="nil"/>
              <w:left w:val="nil"/>
              <w:bottom w:val="single" w:sz="4" w:space="0" w:color="auto"/>
              <w:right w:val="single" w:sz="4" w:space="0" w:color="auto"/>
            </w:tcBorders>
            <w:shd w:val="clear" w:color="auto" w:fill="auto"/>
            <w:noWrap/>
            <w:vAlign w:val="bottom"/>
            <w:hideMark/>
          </w:tcPr>
          <w:p w14:paraId="0DD43EC6" w14:textId="77777777" w:rsidR="003C4C63" w:rsidRPr="003C4C63" w:rsidRDefault="003C4C63" w:rsidP="003C4C63">
            <w:pPr>
              <w:jc w:val="right"/>
              <w:rPr>
                <w:rFonts w:ascii="Calibri" w:hAnsi="Calibri"/>
                <w:color w:val="000000"/>
                <w:sz w:val="22"/>
                <w:szCs w:val="22"/>
              </w:rPr>
            </w:pPr>
            <w:r w:rsidRPr="003C4C63">
              <w:rPr>
                <w:rFonts w:ascii="Calibri" w:hAnsi="Calibri"/>
                <w:color w:val="000000"/>
                <w:sz w:val="22"/>
                <w:szCs w:val="22"/>
              </w:rPr>
              <w:t>6.93</w:t>
            </w:r>
          </w:p>
        </w:tc>
      </w:tr>
      <w:tr w:rsidR="003C4C63" w:rsidRPr="003C4C63" w14:paraId="47F6BE76" w14:textId="77777777" w:rsidTr="003C4C63">
        <w:trPr>
          <w:trHeight w:val="300"/>
        </w:trPr>
        <w:tc>
          <w:tcPr>
            <w:tcW w:w="2560" w:type="dxa"/>
            <w:tcBorders>
              <w:top w:val="nil"/>
              <w:left w:val="single" w:sz="4" w:space="0" w:color="auto"/>
              <w:bottom w:val="single" w:sz="4" w:space="0" w:color="auto"/>
              <w:right w:val="single" w:sz="4" w:space="0" w:color="auto"/>
            </w:tcBorders>
            <w:shd w:val="clear" w:color="auto" w:fill="auto"/>
            <w:noWrap/>
            <w:vAlign w:val="bottom"/>
            <w:hideMark/>
          </w:tcPr>
          <w:p w14:paraId="11D2064B" w14:textId="77777777" w:rsidR="003C4C63" w:rsidRPr="003C4C63" w:rsidRDefault="003C4C63" w:rsidP="003C4C63">
            <w:pPr>
              <w:rPr>
                <w:rFonts w:ascii="Calibri" w:hAnsi="Calibri"/>
                <w:color w:val="000000"/>
                <w:sz w:val="22"/>
                <w:szCs w:val="22"/>
              </w:rPr>
            </w:pPr>
            <w:r w:rsidRPr="003C4C63">
              <w:rPr>
                <w:rFonts w:ascii="Calibri" w:hAnsi="Calibri"/>
                <w:color w:val="000000"/>
                <w:sz w:val="22"/>
                <w:szCs w:val="22"/>
              </w:rPr>
              <w:t>Family Practice</w:t>
            </w:r>
          </w:p>
        </w:tc>
        <w:tc>
          <w:tcPr>
            <w:tcW w:w="1278" w:type="dxa"/>
            <w:tcBorders>
              <w:top w:val="nil"/>
              <w:left w:val="nil"/>
              <w:bottom w:val="single" w:sz="4" w:space="0" w:color="auto"/>
              <w:right w:val="single" w:sz="4" w:space="0" w:color="auto"/>
            </w:tcBorders>
            <w:shd w:val="clear" w:color="auto" w:fill="auto"/>
            <w:noWrap/>
            <w:vAlign w:val="bottom"/>
            <w:hideMark/>
          </w:tcPr>
          <w:p w14:paraId="4148313B" w14:textId="77777777" w:rsidR="003C4C63" w:rsidRPr="003C4C63" w:rsidRDefault="003C4C63" w:rsidP="003C4C63">
            <w:pPr>
              <w:jc w:val="right"/>
              <w:rPr>
                <w:rFonts w:ascii="Calibri" w:hAnsi="Calibri"/>
                <w:color w:val="000000"/>
                <w:sz w:val="22"/>
                <w:szCs w:val="22"/>
              </w:rPr>
            </w:pPr>
            <w:r w:rsidRPr="003C4C63">
              <w:rPr>
                <w:rFonts w:ascii="Calibri" w:hAnsi="Calibri"/>
                <w:color w:val="000000"/>
                <w:sz w:val="22"/>
                <w:szCs w:val="22"/>
              </w:rPr>
              <w:t>03/01/2008</w:t>
            </w:r>
          </w:p>
        </w:tc>
        <w:tc>
          <w:tcPr>
            <w:tcW w:w="1200" w:type="dxa"/>
            <w:tcBorders>
              <w:top w:val="nil"/>
              <w:left w:val="nil"/>
              <w:bottom w:val="single" w:sz="4" w:space="0" w:color="auto"/>
              <w:right w:val="single" w:sz="4" w:space="0" w:color="auto"/>
            </w:tcBorders>
            <w:shd w:val="clear" w:color="auto" w:fill="auto"/>
            <w:noWrap/>
            <w:vAlign w:val="bottom"/>
            <w:hideMark/>
          </w:tcPr>
          <w:p w14:paraId="099570F0" w14:textId="77777777" w:rsidR="003C4C63" w:rsidRPr="003C4C63" w:rsidRDefault="003C4C63" w:rsidP="003C4C63">
            <w:pPr>
              <w:jc w:val="center"/>
              <w:rPr>
                <w:rFonts w:ascii="Calibri" w:hAnsi="Calibri"/>
                <w:color w:val="000000"/>
                <w:sz w:val="22"/>
                <w:szCs w:val="22"/>
              </w:rPr>
            </w:pPr>
            <w:r w:rsidRPr="003C4C63">
              <w:rPr>
                <w:rFonts w:ascii="Calibri" w:hAnsi="Calibri"/>
                <w:color w:val="000000"/>
                <w:sz w:val="22"/>
                <w:szCs w:val="22"/>
              </w:rPr>
              <w:t>3</w:t>
            </w:r>
          </w:p>
        </w:tc>
        <w:tc>
          <w:tcPr>
            <w:tcW w:w="1240" w:type="dxa"/>
            <w:tcBorders>
              <w:top w:val="nil"/>
              <w:left w:val="nil"/>
              <w:bottom w:val="single" w:sz="4" w:space="0" w:color="auto"/>
              <w:right w:val="single" w:sz="4" w:space="0" w:color="auto"/>
            </w:tcBorders>
            <w:shd w:val="clear" w:color="auto" w:fill="auto"/>
            <w:noWrap/>
            <w:vAlign w:val="bottom"/>
            <w:hideMark/>
          </w:tcPr>
          <w:p w14:paraId="451A6C1F" w14:textId="77777777" w:rsidR="003C4C63" w:rsidRPr="003C4C63" w:rsidRDefault="003C4C63" w:rsidP="003C4C63">
            <w:pPr>
              <w:jc w:val="center"/>
              <w:rPr>
                <w:rFonts w:ascii="Calibri" w:hAnsi="Calibri"/>
                <w:color w:val="000000"/>
                <w:sz w:val="22"/>
                <w:szCs w:val="22"/>
              </w:rPr>
            </w:pPr>
            <w:r w:rsidRPr="003C4C63">
              <w:rPr>
                <w:rFonts w:ascii="Calibri" w:hAnsi="Calibri"/>
                <w:color w:val="000000"/>
                <w:sz w:val="22"/>
                <w:szCs w:val="22"/>
              </w:rPr>
              <w:t>PGY 1</w:t>
            </w:r>
          </w:p>
        </w:tc>
        <w:tc>
          <w:tcPr>
            <w:tcW w:w="1200" w:type="dxa"/>
            <w:tcBorders>
              <w:top w:val="nil"/>
              <w:left w:val="nil"/>
              <w:bottom w:val="single" w:sz="4" w:space="0" w:color="auto"/>
              <w:right w:val="single" w:sz="4" w:space="0" w:color="auto"/>
            </w:tcBorders>
            <w:shd w:val="clear" w:color="auto" w:fill="auto"/>
            <w:noWrap/>
            <w:vAlign w:val="bottom"/>
            <w:hideMark/>
          </w:tcPr>
          <w:p w14:paraId="21B2BF4D" w14:textId="77777777" w:rsidR="003C4C63" w:rsidRPr="003C4C63" w:rsidRDefault="003C4C63" w:rsidP="003C4C63">
            <w:pPr>
              <w:jc w:val="center"/>
              <w:rPr>
                <w:rFonts w:ascii="Calibri" w:hAnsi="Calibri"/>
                <w:color w:val="000000"/>
                <w:sz w:val="22"/>
                <w:szCs w:val="22"/>
              </w:rPr>
            </w:pPr>
            <w:r w:rsidRPr="003C4C63">
              <w:rPr>
                <w:rFonts w:ascii="Calibri" w:hAnsi="Calibri"/>
                <w:color w:val="000000"/>
                <w:sz w:val="22"/>
                <w:szCs w:val="22"/>
              </w:rPr>
              <w:t>21</w:t>
            </w:r>
          </w:p>
        </w:tc>
        <w:tc>
          <w:tcPr>
            <w:tcW w:w="960" w:type="dxa"/>
            <w:tcBorders>
              <w:top w:val="nil"/>
              <w:left w:val="nil"/>
              <w:bottom w:val="single" w:sz="4" w:space="0" w:color="auto"/>
              <w:right w:val="single" w:sz="4" w:space="0" w:color="auto"/>
            </w:tcBorders>
            <w:shd w:val="clear" w:color="auto" w:fill="auto"/>
            <w:noWrap/>
            <w:vAlign w:val="bottom"/>
            <w:hideMark/>
          </w:tcPr>
          <w:p w14:paraId="61619EE0" w14:textId="77777777" w:rsidR="003C4C63" w:rsidRPr="003C4C63" w:rsidRDefault="003C4C63" w:rsidP="003C4C63">
            <w:pPr>
              <w:jc w:val="right"/>
              <w:rPr>
                <w:rFonts w:ascii="Calibri" w:hAnsi="Calibri"/>
                <w:color w:val="000000"/>
                <w:sz w:val="22"/>
                <w:szCs w:val="22"/>
              </w:rPr>
            </w:pPr>
            <w:r w:rsidRPr="003C4C63">
              <w:rPr>
                <w:rFonts w:ascii="Calibri" w:hAnsi="Calibri"/>
                <w:color w:val="000000"/>
                <w:sz w:val="22"/>
                <w:szCs w:val="22"/>
              </w:rPr>
              <w:t>20.18</w:t>
            </w:r>
          </w:p>
        </w:tc>
        <w:tc>
          <w:tcPr>
            <w:tcW w:w="960" w:type="dxa"/>
            <w:tcBorders>
              <w:top w:val="nil"/>
              <w:left w:val="nil"/>
              <w:bottom w:val="single" w:sz="4" w:space="0" w:color="auto"/>
              <w:right w:val="single" w:sz="4" w:space="0" w:color="auto"/>
            </w:tcBorders>
            <w:shd w:val="clear" w:color="auto" w:fill="auto"/>
            <w:noWrap/>
            <w:vAlign w:val="bottom"/>
            <w:hideMark/>
          </w:tcPr>
          <w:p w14:paraId="7918D029" w14:textId="77777777" w:rsidR="003C4C63" w:rsidRPr="003C4C63" w:rsidRDefault="003C4C63" w:rsidP="003C4C63">
            <w:pPr>
              <w:jc w:val="right"/>
              <w:rPr>
                <w:rFonts w:ascii="Calibri" w:hAnsi="Calibri"/>
                <w:color w:val="000000"/>
                <w:sz w:val="22"/>
                <w:szCs w:val="22"/>
              </w:rPr>
            </w:pPr>
            <w:r w:rsidRPr="003C4C63">
              <w:rPr>
                <w:rFonts w:ascii="Calibri" w:hAnsi="Calibri"/>
                <w:color w:val="000000"/>
                <w:sz w:val="22"/>
                <w:szCs w:val="22"/>
              </w:rPr>
              <w:t>20.10</w:t>
            </w:r>
          </w:p>
        </w:tc>
      </w:tr>
      <w:tr w:rsidR="003C4C63" w:rsidRPr="003C4C63" w14:paraId="41B0AD1E" w14:textId="77777777" w:rsidTr="003C4C63">
        <w:trPr>
          <w:trHeight w:val="300"/>
        </w:trPr>
        <w:tc>
          <w:tcPr>
            <w:tcW w:w="2560" w:type="dxa"/>
            <w:tcBorders>
              <w:top w:val="nil"/>
              <w:left w:val="single" w:sz="4" w:space="0" w:color="auto"/>
              <w:bottom w:val="single" w:sz="4" w:space="0" w:color="auto"/>
              <w:right w:val="single" w:sz="4" w:space="0" w:color="auto"/>
            </w:tcBorders>
            <w:shd w:val="clear" w:color="auto" w:fill="auto"/>
            <w:noWrap/>
            <w:vAlign w:val="bottom"/>
            <w:hideMark/>
          </w:tcPr>
          <w:p w14:paraId="5FF5A196" w14:textId="77777777" w:rsidR="003C4C63" w:rsidRPr="003C4C63" w:rsidRDefault="003C4C63" w:rsidP="003C4C63">
            <w:pPr>
              <w:rPr>
                <w:rFonts w:ascii="Calibri" w:hAnsi="Calibri"/>
                <w:color w:val="000000"/>
                <w:sz w:val="22"/>
                <w:szCs w:val="22"/>
              </w:rPr>
            </w:pPr>
            <w:r w:rsidRPr="003C4C63">
              <w:rPr>
                <w:rFonts w:ascii="Calibri" w:hAnsi="Calibri"/>
                <w:color w:val="000000"/>
                <w:sz w:val="22"/>
                <w:szCs w:val="22"/>
              </w:rPr>
              <w:t>General Su</w:t>
            </w:r>
            <w:r w:rsidR="00F41902">
              <w:rPr>
                <w:rFonts w:ascii="Calibri" w:hAnsi="Calibri"/>
                <w:color w:val="000000"/>
                <w:sz w:val="22"/>
                <w:szCs w:val="22"/>
              </w:rPr>
              <w:t>r</w:t>
            </w:r>
            <w:r w:rsidRPr="003C4C63">
              <w:rPr>
                <w:rFonts w:ascii="Calibri" w:hAnsi="Calibri"/>
                <w:color w:val="000000"/>
                <w:sz w:val="22"/>
                <w:szCs w:val="22"/>
              </w:rPr>
              <w:t>gery</w:t>
            </w:r>
          </w:p>
        </w:tc>
        <w:tc>
          <w:tcPr>
            <w:tcW w:w="1278" w:type="dxa"/>
            <w:tcBorders>
              <w:top w:val="nil"/>
              <w:left w:val="nil"/>
              <w:bottom w:val="single" w:sz="4" w:space="0" w:color="auto"/>
              <w:right w:val="single" w:sz="4" w:space="0" w:color="auto"/>
            </w:tcBorders>
            <w:shd w:val="clear" w:color="auto" w:fill="auto"/>
            <w:noWrap/>
            <w:vAlign w:val="bottom"/>
            <w:hideMark/>
          </w:tcPr>
          <w:p w14:paraId="6D44E6D5" w14:textId="77777777" w:rsidR="003C4C63" w:rsidRPr="003C4C63" w:rsidRDefault="003C4C63" w:rsidP="003C4C63">
            <w:pPr>
              <w:jc w:val="right"/>
              <w:rPr>
                <w:rFonts w:ascii="Calibri" w:hAnsi="Calibri"/>
                <w:color w:val="000000"/>
                <w:sz w:val="22"/>
                <w:szCs w:val="22"/>
              </w:rPr>
            </w:pPr>
            <w:r w:rsidRPr="003C4C63">
              <w:rPr>
                <w:rFonts w:ascii="Calibri" w:hAnsi="Calibri"/>
                <w:color w:val="000000"/>
                <w:sz w:val="22"/>
                <w:szCs w:val="22"/>
              </w:rPr>
              <w:t>03/01/2008</w:t>
            </w:r>
          </w:p>
        </w:tc>
        <w:tc>
          <w:tcPr>
            <w:tcW w:w="1200" w:type="dxa"/>
            <w:tcBorders>
              <w:top w:val="nil"/>
              <w:left w:val="nil"/>
              <w:bottom w:val="single" w:sz="4" w:space="0" w:color="auto"/>
              <w:right w:val="single" w:sz="4" w:space="0" w:color="auto"/>
            </w:tcBorders>
            <w:shd w:val="clear" w:color="auto" w:fill="auto"/>
            <w:noWrap/>
            <w:vAlign w:val="bottom"/>
            <w:hideMark/>
          </w:tcPr>
          <w:p w14:paraId="07587670" w14:textId="77777777" w:rsidR="003C4C63" w:rsidRPr="003C4C63" w:rsidRDefault="003C4C63" w:rsidP="003C4C63">
            <w:pPr>
              <w:jc w:val="center"/>
              <w:rPr>
                <w:rFonts w:ascii="Calibri" w:hAnsi="Calibri"/>
                <w:color w:val="000000"/>
                <w:sz w:val="22"/>
                <w:szCs w:val="22"/>
              </w:rPr>
            </w:pPr>
            <w:r w:rsidRPr="003C4C63">
              <w:rPr>
                <w:rFonts w:ascii="Calibri" w:hAnsi="Calibri"/>
                <w:color w:val="000000"/>
                <w:sz w:val="22"/>
                <w:szCs w:val="22"/>
              </w:rPr>
              <w:t>5</w:t>
            </w:r>
          </w:p>
        </w:tc>
        <w:tc>
          <w:tcPr>
            <w:tcW w:w="1240" w:type="dxa"/>
            <w:tcBorders>
              <w:top w:val="nil"/>
              <w:left w:val="nil"/>
              <w:bottom w:val="single" w:sz="4" w:space="0" w:color="auto"/>
              <w:right w:val="single" w:sz="4" w:space="0" w:color="auto"/>
            </w:tcBorders>
            <w:shd w:val="clear" w:color="auto" w:fill="auto"/>
            <w:noWrap/>
            <w:vAlign w:val="bottom"/>
            <w:hideMark/>
          </w:tcPr>
          <w:p w14:paraId="67C4604E" w14:textId="77777777" w:rsidR="003C4C63" w:rsidRPr="003C4C63" w:rsidRDefault="003C4C63" w:rsidP="003C4C63">
            <w:pPr>
              <w:jc w:val="center"/>
              <w:rPr>
                <w:rFonts w:ascii="Calibri" w:hAnsi="Calibri"/>
                <w:color w:val="000000"/>
                <w:sz w:val="22"/>
                <w:szCs w:val="22"/>
              </w:rPr>
            </w:pPr>
            <w:r w:rsidRPr="003C4C63">
              <w:rPr>
                <w:rFonts w:ascii="Calibri" w:hAnsi="Calibri"/>
                <w:color w:val="000000"/>
                <w:sz w:val="22"/>
                <w:szCs w:val="22"/>
              </w:rPr>
              <w:t>PGY 2</w:t>
            </w:r>
          </w:p>
        </w:tc>
        <w:tc>
          <w:tcPr>
            <w:tcW w:w="1200" w:type="dxa"/>
            <w:tcBorders>
              <w:top w:val="nil"/>
              <w:left w:val="nil"/>
              <w:bottom w:val="single" w:sz="4" w:space="0" w:color="auto"/>
              <w:right w:val="single" w:sz="4" w:space="0" w:color="auto"/>
            </w:tcBorders>
            <w:shd w:val="clear" w:color="auto" w:fill="auto"/>
            <w:noWrap/>
            <w:vAlign w:val="bottom"/>
            <w:hideMark/>
          </w:tcPr>
          <w:p w14:paraId="73AF8452" w14:textId="77777777" w:rsidR="003C4C63" w:rsidRPr="003C4C63" w:rsidRDefault="003C4C63" w:rsidP="003C4C63">
            <w:pPr>
              <w:jc w:val="center"/>
              <w:rPr>
                <w:rFonts w:ascii="Calibri" w:hAnsi="Calibri"/>
                <w:color w:val="000000"/>
                <w:sz w:val="22"/>
                <w:szCs w:val="22"/>
              </w:rPr>
            </w:pPr>
            <w:r w:rsidRPr="003C4C63">
              <w:rPr>
                <w:rFonts w:ascii="Calibri" w:hAnsi="Calibri"/>
                <w:color w:val="000000"/>
                <w:sz w:val="22"/>
                <w:szCs w:val="22"/>
              </w:rPr>
              <w:t>5</w:t>
            </w:r>
          </w:p>
        </w:tc>
        <w:tc>
          <w:tcPr>
            <w:tcW w:w="960" w:type="dxa"/>
            <w:tcBorders>
              <w:top w:val="nil"/>
              <w:left w:val="nil"/>
              <w:bottom w:val="single" w:sz="4" w:space="0" w:color="auto"/>
              <w:right w:val="single" w:sz="4" w:space="0" w:color="auto"/>
            </w:tcBorders>
            <w:shd w:val="clear" w:color="auto" w:fill="auto"/>
            <w:noWrap/>
            <w:vAlign w:val="bottom"/>
            <w:hideMark/>
          </w:tcPr>
          <w:p w14:paraId="2F7444E3" w14:textId="77777777" w:rsidR="003C4C63" w:rsidRPr="003C4C63" w:rsidRDefault="003C4C63" w:rsidP="003C4C63">
            <w:pPr>
              <w:jc w:val="right"/>
              <w:rPr>
                <w:rFonts w:ascii="Calibri" w:hAnsi="Calibri"/>
                <w:color w:val="000000"/>
                <w:sz w:val="22"/>
                <w:szCs w:val="22"/>
              </w:rPr>
            </w:pPr>
            <w:r w:rsidRPr="003C4C63">
              <w:rPr>
                <w:rFonts w:ascii="Calibri" w:hAnsi="Calibri"/>
                <w:color w:val="000000"/>
                <w:sz w:val="22"/>
                <w:szCs w:val="22"/>
              </w:rPr>
              <w:t>4.39</w:t>
            </w:r>
          </w:p>
        </w:tc>
        <w:tc>
          <w:tcPr>
            <w:tcW w:w="960" w:type="dxa"/>
            <w:tcBorders>
              <w:top w:val="nil"/>
              <w:left w:val="nil"/>
              <w:bottom w:val="single" w:sz="4" w:space="0" w:color="auto"/>
              <w:right w:val="single" w:sz="4" w:space="0" w:color="auto"/>
            </w:tcBorders>
            <w:shd w:val="clear" w:color="auto" w:fill="auto"/>
            <w:noWrap/>
            <w:vAlign w:val="bottom"/>
            <w:hideMark/>
          </w:tcPr>
          <w:p w14:paraId="1A837F20" w14:textId="77777777" w:rsidR="003C4C63" w:rsidRPr="003C4C63" w:rsidRDefault="003C4C63" w:rsidP="003C4C63">
            <w:pPr>
              <w:jc w:val="right"/>
              <w:rPr>
                <w:rFonts w:ascii="Calibri" w:hAnsi="Calibri"/>
                <w:color w:val="000000"/>
                <w:sz w:val="22"/>
                <w:szCs w:val="22"/>
              </w:rPr>
            </w:pPr>
            <w:r w:rsidRPr="003C4C63">
              <w:rPr>
                <w:rFonts w:ascii="Calibri" w:hAnsi="Calibri"/>
                <w:color w:val="000000"/>
                <w:sz w:val="22"/>
                <w:szCs w:val="22"/>
              </w:rPr>
              <w:t>4.39</w:t>
            </w:r>
          </w:p>
        </w:tc>
      </w:tr>
      <w:tr w:rsidR="003C4C63" w:rsidRPr="003C4C63" w14:paraId="45489B0F" w14:textId="77777777" w:rsidTr="003C4C63">
        <w:trPr>
          <w:trHeight w:val="300"/>
        </w:trPr>
        <w:tc>
          <w:tcPr>
            <w:tcW w:w="2560" w:type="dxa"/>
            <w:tcBorders>
              <w:top w:val="nil"/>
              <w:left w:val="single" w:sz="4" w:space="0" w:color="auto"/>
              <w:bottom w:val="single" w:sz="4" w:space="0" w:color="auto"/>
              <w:right w:val="single" w:sz="4" w:space="0" w:color="auto"/>
            </w:tcBorders>
            <w:shd w:val="clear" w:color="auto" w:fill="auto"/>
            <w:noWrap/>
            <w:vAlign w:val="bottom"/>
            <w:hideMark/>
          </w:tcPr>
          <w:p w14:paraId="31EE1E1C" w14:textId="77777777" w:rsidR="003C4C63" w:rsidRPr="003C4C63" w:rsidRDefault="003C4C63" w:rsidP="003C4C63">
            <w:pPr>
              <w:rPr>
                <w:rFonts w:ascii="Calibri" w:hAnsi="Calibri"/>
                <w:color w:val="000000"/>
                <w:sz w:val="22"/>
                <w:szCs w:val="22"/>
              </w:rPr>
            </w:pPr>
            <w:r w:rsidRPr="003C4C63">
              <w:rPr>
                <w:rFonts w:ascii="Calibri" w:hAnsi="Calibri"/>
                <w:color w:val="000000"/>
                <w:sz w:val="22"/>
                <w:szCs w:val="22"/>
              </w:rPr>
              <w:t>Internal Medicine</w:t>
            </w:r>
          </w:p>
        </w:tc>
        <w:tc>
          <w:tcPr>
            <w:tcW w:w="1278" w:type="dxa"/>
            <w:tcBorders>
              <w:top w:val="nil"/>
              <w:left w:val="nil"/>
              <w:bottom w:val="single" w:sz="4" w:space="0" w:color="auto"/>
              <w:right w:val="single" w:sz="4" w:space="0" w:color="auto"/>
            </w:tcBorders>
            <w:shd w:val="clear" w:color="auto" w:fill="auto"/>
            <w:noWrap/>
            <w:vAlign w:val="bottom"/>
            <w:hideMark/>
          </w:tcPr>
          <w:p w14:paraId="1705D338" w14:textId="77777777" w:rsidR="003C4C63" w:rsidRPr="003C4C63" w:rsidRDefault="003C4C63" w:rsidP="003C4C63">
            <w:pPr>
              <w:jc w:val="right"/>
              <w:rPr>
                <w:rFonts w:ascii="Calibri" w:hAnsi="Calibri"/>
                <w:color w:val="000000"/>
                <w:sz w:val="22"/>
                <w:szCs w:val="22"/>
              </w:rPr>
            </w:pPr>
            <w:r w:rsidRPr="003C4C63">
              <w:rPr>
                <w:rFonts w:ascii="Calibri" w:hAnsi="Calibri"/>
                <w:color w:val="000000"/>
                <w:sz w:val="22"/>
                <w:szCs w:val="22"/>
              </w:rPr>
              <w:t>03/01/2008</w:t>
            </w:r>
          </w:p>
        </w:tc>
        <w:tc>
          <w:tcPr>
            <w:tcW w:w="1200" w:type="dxa"/>
            <w:tcBorders>
              <w:top w:val="nil"/>
              <w:left w:val="nil"/>
              <w:bottom w:val="single" w:sz="4" w:space="0" w:color="auto"/>
              <w:right w:val="single" w:sz="4" w:space="0" w:color="auto"/>
            </w:tcBorders>
            <w:shd w:val="clear" w:color="auto" w:fill="auto"/>
            <w:noWrap/>
            <w:vAlign w:val="bottom"/>
            <w:hideMark/>
          </w:tcPr>
          <w:p w14:paraId="5584C3EA" w14:textId="77777777" w:rsidR="003C4C63" w:rsidRPr="003C4C63" w:rsidRDefault="003C4C63" w:rsidP="003C4C63">
            <w:pPr>
              <w:jc w:val="center"/>
              <w:rPr>
                <w:rFonts w:ascii="Calibri" w:hAnsi="Calibri"/>
                <w:color w:val="000000"/>
                <w:sz w:val="22"/>
                <w:szCs w:val="22"/>
              </w:rPr>
            </w:pPr>
            <w:r w:rsidRPr="003C4C63">
              <w:rPr>
                <w:rFonts w:ascii="Calibri" w:hAnsi="Calibri"/>
                <w:color w:val="000000"/>
                <w:sz w:val="22"/>
                <w:szCs w:val="22"/>
              </w:rPr>
              <w:t>3</w:t>
            </w:r>
          </w:p>
        </w:tc>
        <w:tc>
          <w:tcPr>
            <w:tcW w:w="1240" w:type="dxa"/>
            <w:tcBorders>
              <w:top w:val="nil"/>
              <w:left w:val="nil"/>
              <w:bottom w:val="single" w:sz="4" w:space="0" w:color="auto"/>
              <w:right w:val="single" w:sz="4" w:space="0" w:color="auto"/>
            </w:tcBorders>
            <w:shd w:val="clear" w:color="auto" w:fill="auto"/>
            <w:noWrap/>
            <w:vAlign w:val="bottom"/>
            <w:hideMark/>
          </w:tcPr>
          <w:p w14:paraId="615CC72A" w14:textId="77777777" w:rsidR="003C4C63" w:rsidRPr="003C4C63" w:rsidRDefault="003C4C63" w:rsidP="003C4C63">
            <w:pPr>
              <w:jc w:val="center"/>
              <w:rPr>
                <w:rFonts w:ascii="Calibri" w:hAnsi="Calibri"/>
                <w:color w:val="000000"/>
                <w:sz w:val="22"/>
                <w:szCs w:val="22"/>
              </w:rPr>
            </w:pPr>
            <w:r w:rsidRPr="003C4C63">
              <w:rPr>
                <w:rFonts w:ascii="Calibri" w:hAnsi="Calibri"/>
                <w:color w:val="000000"/>
                <w:sz w:val="22"/>
                <w:szCs w:val="22"/>
              </w:rPr>
              <w:t>PGY 1</w:t>
            </w:r>
          </w:p>
        </w:tc>
        <w:tc>
          <w:tcPr>
            <w:tcW w:w="1200" w:type="dxa"/>
            <w:tcBorders>
              <w:top w:val="nil"/>
              <w:left w:val="nil"/>
              <w:bottom w:val="single" w:sz="4" w:space="0" w:color="auto"/>
              <w:right w:val="single" w:sz="4" w:space="0" w:color="auto"/>
            </w:tcBorders>
            <w:shd w:val="clear" w:color="auto" w:fill="auto"/>
            <w:noWrap/>
            <w:vAlign w:val="bottom"/>
            <w:hideMark/>
          </w:tcPr>
          <w:p w14:paraId="3F518A52" w14:textId="77777777" w:rsidR="003C4C63" w:rsidRPr="003C4C63" w:rsidRDefault="003C4C63" w:rsidP="003C4C63">
            <w:pPr>
              <w:jc w:val="center"/>
              <w:rPr>
                <w:rFonts w:ascii="Calibri" w:hAnsi="Calibri"/>
                <w:color w:val="000000"/>
                <w:sz w:val="22"/>
                <w:szCs w:val="22"/>
              </w:rPr>
            </w:pPr>
            <w:r w:rsidRPr="003C4C63">
              <w:rPr>
                <w:rFonts w:ascii="Calibri" w:hAnsi="Calibri"/>
                <w:color w:val="000000"/>
                <w:sz w:val="22"/>
                <w:szCs w:val="22"/>
              </w:rPr>
              <w:t>36</w:t>
            </w:r>
          </w:p>
        </w:tc>
        <w:tc>
          <w:tcPr>
            <w:tcW w:w="960" w:type="dxa"/>
            <w:tcBorders>
              <w:top w:val="nil"/>
              <w:left w:val="nil"/>
              <w:bottom w:val="single" w:sz="4" w:space="0" w:color="auto"/>
              <w:right w:val="single" w:sz="4" w:space="0" w:color="auto"/>
            </w:tcBorders>
            <w:shd w:val="clear" w:color="auto" w:fill="auto"/>
            <w:noWrap/>
            <w:vAlign w:val="bottom"/>
            <w:hideMark/>
          </w:tcPr>
          <w:p w14:paraId="3634537E" w14:textId="77777777" w:rsidR="003C4C63" w:rsidRPr="003C4C63" w:rsidRDefault="003C4C63" w:rsidP="003C4C63">
            <w:pPr>
              <w:jc w:val="right"/>
              <w:rPr>
                <w:rFonts w:ascii="Calibri" w:hAnsi="Calibri"/>
                <w:color w:val="000000"/>
                <w:sz w:val="22"/>
                <w:szCs w:val="22"/>
              </w:rPr>
            </w:pPr>
            <w:r w:rsidRPr="003C4C63">
              <w:rPr>
                <w:rFonts w:ascii="Calibri" w:hAnsi="Calibri"/>
                <w:color w:val="000000"/>
                <w:sz w:val="22"/>
                <w:szCs w:val="22"/>
              </w:rPr>
              <w:t>35.00</w:t>
            </w:r>
          </w:p>
        </w:tc>
        <w:tc>
          <w:tcPr>
            <w:tcW w:w="960" w:type="dxa"/>
            <w:tcBorders>
              <w:top w:val="nil"/>
              <w:left w:val="nil"/>
              <w:bottom w:val="single" w:sz="4" w:space="0" w:color="auto"/>
              <w:right w:val="single" w:sz="4" w:space="0" w:color="auto"/>
            </w:tcBorders>
            <w:shd w:val="clear" w:color="auto" w:fill="auto"/>
            <w:noWrap/>
            <w:vAlign w:val="bottom"/>
            <w:hideMark/>
          </w:tcPr>
          <w:p w14:paraId="1073CB3D" w14:textId="77777777" w:rsidR="003C4C63" w:rsidRPr="003C4C63" w:rsidRDefault="003C4C63" w:rsidP="003C4C63">
            <w:pPr>
              <w:jc w:val="right"/>
              <w:rPr>
                <w:rFonts w:ascii="Calibri" w:hAnsi="Calibri"/>
                <w:color w:val="000000"/>
                <w:sz w:val="22"/>
                <w:szCs w:val="22"/>
              </w:rPr>
            </w:pPr>
            <w:r w:rsidRPr="003C4C63">
              <w:rPr>
                <w:rFonts w:ascii="Calibri" w:hAnsi="Calibri"/>
                <w:color w:val="000000"/>
                <w:sz w:val="22"/>
                <w:szCs w:val="22"/>
              </w:rPr>
              <w:t>35.00</w:t>
            </w:r>
          </w:p>
        </w:tc>
      </w:tr>
      <w:tr w:rsidR="003C4C63" w:rsidRPr="003C4C63" w14:paraId="7F779F7C" w14:textId="77777777" w:rsidTr="003C4C63">
        <w:trPr>
          <w:trHeight w:val="300"/>
        </w:trPr>
        <w:tc>
          <w:tcPr>
            <w:tcW w:w="2560" w:type="dxa"/>
            <w:tcBorders>
              <w:top w:val="nil"/>
              <w:left w:val="single" w:sz="4" w:space="0" w:color="auto"/>
              <w:bottom w:val="single" w:sz="4" w:space="0" w:color="auto"/>
              <w:right w:val="single" w:sz="4" w:space="0" w:color="auto"/>
            </w:tcBorders>
            <w:shd w:val="clear" w:color="auto" w:fill="auto"/>
            <w:noWrap/>
            <w:vAlign w:val="bottom"/>
            <w:hideMark/>
          </w:tcPr>
          <w:p w14:paraId="0D715543" w14:textId="77777777" w:rsidR="003C4C63" w:rsidRPr="003C4C63" w:rsidRDefault="003C4C63" w:rsidP="003C4C63">
            <w:pPr>
              <w:rPr>
                <w:rFonts w:ascii="Calibri" w:hAnsi="Calibri"/>
                <w:color w:val="000000"/>
                <w:sz w:val="22"/>
                <w:szCs w:val="22"/>
              </w:rPr>
            </w:pPr>
            <w:r w:rsidRPr="003C4C63">
              <w:rPr>
                <w:rFonts w:ascii="Calibri" w:hAnsi="Calibri"/>
                <w:color w:val="000000"/>
                <w:sz w:val="22"/>
                <w:szCs w:val="22"/>
              </w:rPr>
              <w:t>Interventional Cardiology</w:t>
            </w:r>
          </w:p>
        </w:tc>
        <w:tc>
          <w:tcPr>
            <w:tcW w:w="1278" w:type="dxa"/>
            <w:tcBorders>
              <w:top w:val="nil"/>
              <w:left w:val="nil"/>
              <w:bottom w:val="single" w:sz="4" w:space="0" w:color="auto"/>
              <w:right w:val="single" w:sz="4" w:space="0" w:color="auto"/>
            </w:tcBorders>
            <w:shd w:val="clear" w:color="auto" w:fill="auto"/>
            <w:noWrap/>
            <w:vAlign w:val="bottom"/>
            <w:hideMark/>
          </w:tcPr>
          <w:p w14:paraId="4FE09167" w14:textId="77777777" w:rsidR="003C4C63" w:rsidRPr="003C4C63" w:rsidRDefault="003C4C63" w:rsidP="003C4C63">
            <w:pPr>
              <w:jc w:val="right"/>
              <w:rPr>
                <w:rFonts w:ascii="Calibri" w:hAnsi="Calibri"/>
                <w:color w:val="000000"/>
                <w:sz w:val="22"/>
                <w:szCs w:val="22"/>
              </w:rPr>
            </w:pPr>
            <w:r w:rsidRPr="003C4C63">
              <w:rPr>
                <w:rFonts w:ascii="Calibri" w:hAnsi="Calibri"/>
                <w:color w:val="000000"/>
                <w:sz w:val="22"/>
                <w:szCs w:val="22"/>
              </w:rPr>
              <w:t>07/01/2010</w:t>
            </w:r>
          </w:p>
        </w:tc>
        <w:tc>
          <w:tcPr>
            <w:tcW w:w="1200" w:type="dxa"/>
            <w:tcBorders>
              <w:top w:val="nil"/>
              <w:left w:val="nil"/>
              <w:bottom w:val="single" w:sz="4" w:space="0" w:color="auto"/>
              <w:right w:val="single" w:sz="4" w:space="0" w:color="auto"/>
            </w:tcBorders>
            <w:shd w:val="clear" w:color="auto" w:fill="auto"/>
            <w:noWrap/>
            <w:vAlign w:val="bottom"/>
            <w:hideMark/>
          </w:tcPr>
          <w:p w14:paraId="753700BE" w14:textId="77777777" w:rsidR="003C4C63" w:rsidRPr="003C4C63" w:rsidRDefault="003C4C63" w:rsidP="003C4C63">
            <w:pPr>
              <w:jc w:val="center"/>
              <w:rPr>
                <w:rFonts w:ascii="Calibri" w:hAnsi="Calibri"/>
                <w:color w:val="000000"/>
                <w:sz w:val="22"/>
                <w:szCs w:val="22"/>
              </w:rPr>
            </w:pPr>
            <w:r w:rsidRPr="003C4C63">
              <w:rPr>
                <w:rFonts w:ascii="Calibri" w:hAnsi="Calibri"/>
                <w:color w:val="000000"/>
                <w:sz w:val="22"/>
                <w:szCs w:val="22"/>
              </w:rPr>
              <w:t>1</w:t>
            </w:r>
          </w:p>
        </w:tc>
        <w:tc>
          <w:tcPr>
            <w:tcW w:w="1240" w:type="dxa"/>
            <w:tcBorders>
              <w:top w:val="nil"/>
              <w:left w:val="nil"/>
              <w:bottom w:val="single" w:sz="4" w:space="0" w:color="auto"/>
              <w:right w:val="single" w:sz="4" w:space="0" w:color="auto"/>
            </w:tcBorders>
            <w:shd w:val="clear" w:color="auto" w:fill="auto"/>
            <w:noWrap/>
            <w:vAlign w:val="bottom"/>
            <w:hideMark/>
          </w:tcPr>
          <w:p w14:paraId="5A24818B" w14:textId="77777777" w:rsidR="003C4C63" w:rsidRPr="003C4C63" w:rsidRDefault="003C4C63" w:rsidP="003C4C63">
            <w:pPr>
              <w:jc w:val="center"/>
              <w:rPr>
                <w:rFonts w:ascii="Calibri" w:hAnsi="Calibri"/>
                <w:color w:val="000000"/>
                <w:sz w:val="22"/>
                <w:szCs w:val="22"/>
              </w:rPr>
            </w:pPr>
            <w:r w:rsidRPr="003C4C63">
              <w:rPr>
                <w:rFonts w:ascii="Calibri" w:hAnsi="Calibri"/>
                <w:color w:val="000000"/>
                <w:sz w:val="22"/>
                <w:szCs w:val="22"/>
              </w:rPr>
              <w:t>PGY 1</w:t>
            </w:r>
          </w:p>
        </w:tc>
        <w:tc>
          <w:tcPr>
            <w:tcW w:w="1200" w:type="dxa"/>
            <w:tcBorders>
              <w:top w:val="nil"/>
              <w:left w:val="nil"/>
              <w:bottom w:val="single" w:sz="4" w:space="0" w:color="auto"/>
              <w:right w:val="single" w:sz="4" w:space="0" w:color="auto"/>
            </w:tcBorders>
            <w:shd w:val="clear" w:color="auto" w:fill="auto"/>
            <w:noWrap/>
            <w:vAlign w:val="bottom"/>
            <w:hideMark/>
          </w:tcPr>
          <w:p w14:paraId="458A8989" w14:textId="77777777" w:rsidR="003C4C63" w:rsidRPr="003C4C63" w:rsidRDefault="003C4C63" w:rsidP="003C4C63">
            <w:pPr>
              <w:jc w:val="center"/>
              <w:rPr>
                <w:rFonts w:ascii="Calibri" w:hAnsi="Calibri"/>
                <w:color w:val="000000"/>
                <w:sz w:val="22"/>
                <w:szCs w:val="22"/>
              </w:rPr>
            </w:pPr>
            <w:r w:rsidRPr="003C4C63">
              <w:rPr>
                <w:rFonts w:ascii="Calibri" w:hAnsi="Calibri"/>
                <w:color w:val="000000"/>
                <w:sz w:val="22"/>
                <w:szCs w:val="22"/>
              </w:rPr>
              <w:t>2</w:t>
            </w:r>
          </w:p>
        </w:tc>
        <w:tc>
          <w:tcPr>
            <w:tcW w:w="960" w:type="dxa"/>
            <w:tcBorders>
              <w:top w:val="nil"/>
              <w:left w:val="nil"/>
              <w:bottom w:val="single" w:sz="4" w:space="0" w:color="auto"/>
              <w:right w:val="single" w:sz="4" w:space="0" w:color="auto"/>
            </w:tcBorders>
            <w:shd w:val="clear" w:color="auto" w:fill="auto"/>
            <w:noWrap/>
            <w:vAlign w:val="bottom"/>
            <w:hideMark/>
          </w:tcPr>
          <w:p w14:paraId="6ECB3704" w14:textId="77777777" w:rsidR="003C4C63" w:rsidRPr="003C4C63" w:rsidRDefault="003C4C63" w:rsidP="003C4C63">
            <w:pPr>
              <w:jc w:val="right"/>
              <w:rPr>
                <w:rFonts w:ascii="Calibri" w:hAnsi="Calibri"/>
                <w:color w:val="000000"/>
                <w:sz w:val="22"/>
                <w:szCs w:val="22"/>
              </w:rPr>
            </w:pPr>
            <w:r w:rsidRPr="003C4C63">
              <w:rPr>
                <w:rFonts w:ascii="Calibri" w:hAnsi="Calibri"/>
                <w:color w:val="000000"/>
                <w:sz w:val="22"/>
                <w:szCs w:val="22"/>
              </w:rPr>
              <w:t>0.65</w:t>
            </w:r>
          </w:p>
        </w:tc>
        <w:tc>
          <w:tcPr>
            <w:tcW w:w="960" w:type="dxa"/>
            <w:tcBorders>
              <w:top w:val="nil"/>
              <w:left w:val="nil"/>
              <w:bottom w:val="single" w:sz="4" w:space="0" w:color="auto"/>
              <w:right w:val="single" w:sz="4" w:space="0" w:color="auto"/>
            </w:tcBorders>
            <w:shd w:val="clear" w:color="auto" w:fill="auto"/>
            <w:noWrap/>
            <w:vAlign w:val="bottom"/>
            <w:hideMark/>
          </w:tcPr>
          <w:p w14:paraId="050A8406" w14:textId="77777777" w:rsidR="003C4C63" w:rsidRPr="003C4C63" w:rsidRDefault="003C4C63" w:rsidP="003C4C63">
            <w:pPr>
              <w:jc w:val="right"/>
              <w:rPr>
                <w:rFonts w:ascii="Calibri" w:hAnsi="Calibri"/>
                <w:color w:val="000000"/>
                <w:sz w:val="22"/>
                <w:szCs w:val="22"/>
              </w:rPr>
            </w:pPr>
            <w:r w:rsidRPr="003C4C63">
              <w:rPr>
                <w:rFonts w:ascii="Calibri" w:hAnsi="Calibri"/>
                <w:color w:val="000000"/>
                <w:sz w:val="22"/>
                <w:szCs w:val="22"/>
              </w:rPr>
              <w:t>0.65</w:t>
            </w:r>
          </w:p>
        </w:tc>
      </w:tr>
      <w:tr w:rsidR="003C4C63" w:rsidRPr="003C4C63" w14:paraId="38D28F2B" w14:textId="77777777" w:rsidTr="003C4C63">
        <w:trPr>
          <w:trHeight w:val="300"/>
        </w:trPr>
        <w:tc>
          <w:tcPr>
            <w:tcW w:w="2560" w:type="dxa"/>
            <w:tcBorders>
              <w:top w:val="nil"/>
              <w:left w:val="single" w:sz="4" w:space="0" w:color="auto"/>
              <w:bottom w:val="single" w:sz="4" w:space="0" w:color="auto"/>
              <w:right w:val="single" w:sz="4" w:space="0" w:color="auto"/>
            </w:tcBorders>
            <w:shd w:val="clear" w:color="auto" w:fill="auto"/>
            <w:noWrap/>
            <w:vAlign w:val="bottom"/>
            <w:hideMark/>
          </w:tcPr>
          <w:p w14:paraId="2B2E58ED" w14:textId="77777777" w:rsidR="003C4C63" w:rsidRPr="003C4C63" w:rsidRDefault="003C4C63" w:rsidP="003C4C63">
            <w:pPr>
              <w:rPr>
                <w:rFonts w:ascii="Calibri" w:hAnsi="Calibri"/>
                <w:color w:val="000000"/>
                <w:sz w:val="22"/>
                <w:szCs w:val="22"/>
              </w:rPr>
            </w:pPr>
            <w:r w:rsidRPr="003C4C63">
              <w:rPr>
                <w:rFonts w:ascii="Calibri" w:hAnsi="Calibri"/>
                <w:color w:val="000000"/>
                <w:sz w:val="22"/>
                <w:szCs w:val="22"/>
              </w:rPr>
              <w:t>Pulmonary Critical Care</w:t>
            </w:r>
          </w:p>
        </w:tc>
        <w:tc>
          <w:tcPr>
            <w:tcW w:w="1278" w:type="dxa"/>
            <w:tcBorders>
              <w:top w:val="nil"/>
              <w:left w:val="nil"/>
              <w:bottom w:val="single" w:sz="4" w:space="0" w:color="auto"/>
              <w:right w:val="single" w:sz="4" w:space="0" w:color="auto"/>
            </w:tcBorders>
            <w:shd w:val="clear" w:color="auto" w:fill="auto"/>
            <w:noWrap/>
            <w:vAlign w:val="bottom"/>
            <w:hideMark/>
          </w:tcPr>
          <w:p w14:paraId="2C163FC2" w14:textId="77777777" w:rsidR="003C4C63" w:rsidRPr="003C4C63" w:rsidRDefault="003C4C63" w:rsidP="003C4C63">
            <w:pPr>
              <w:jc w:val="right"/>
              <w:rPr>
                <w:rFonts w:ascii="Calibri" w:hAnsi="Calibri"/>
                <w:color w:val="000000"/>
                <w:sz w:val="22"/>
                <w:szCs w:val="22"/>
              </w:rPr>
            </w:pPr>
            <w:r w:rsidRPr="003C4C63">
              <w:rPr>
                <w:rFonts w:ascii="Calibri" w:hAnsi="Calibri"/>
                <w:color w:val="000000"/>
                <w:sz w:val="22"/>
                <w:szCs w:val="22"/>
              </w:rPr>
              <w:t>07/01/2009</w:t>
            </w:r>
          </w:p>
        </w:tc>
        <w:tc>
          <w:tcPr>
            <w:tcW w:w="1200" w:type="dxa"/>
            <w:tcBorders>
              <w:top w:val="nil"/>
              <w:left w:val="nil"/>
              <w:bottom w:val="single" w:sz="4" w:space="0" w:color="auto"/>
              <w:right w:val="single" w:sz="4" w:space="0" w:color="auto"/>
            </w:tcBorders>
            <w:shd w:val="clear" w:color="auto" w:fill="auto"/>
            <w:noWrap/>
            <w:vAlign w:val="bottom"/>
            <w:hideMark/>
          </w:tcPr>
          <w:p w14:paraId="6C98D023" w14:textId="77777777" w:rsidR="003C4C63" w:rsidRPr="003C4C63" w:rsidRDefault="003C4C63" w:rsidP="003C4C63">
            <w:pPr>
              <w:jc w:val="center"/>
              <w:rPr>
                <w:rFonts w:ascii="Calibri" w:hAnsi="Calibri"/>
                <w:color w:val="000000"/>
                <w:sz w:val="22"/>
                <w:szCs w:val="22"/>
              </w:rPr>
            </w:pPr>
            <w:r w:rsidRPr="003C4C63">
              <w:rPr>
                <w:rFonts w:ascii="Calibri" w:hAnsi="Calibri"/>
                <w:color w:val="000000"/>
                <w:sz w:val="22"/>
                <w:szCs w:val="22"/>
              </w:rPr>
              <w:t>3</w:t>
            </w:r>
          </w:p>
        </w:tc>
        <w:tc>
          <w:tcPr>
            <w:tcW w:w="1240" w:type="dxa"/>
            <w:tcBorders>
              <w:top w:val="nil"/>
              <w:left w:val="nil"/>
              <w:bottom w:val="single" w:sz="4" w:space="0" w:color="auto"/>
              <w:right w:val="single" w:sz="4" w:space="0" w:color="auto"/>
            </w:tcBorders>
            <w:shd w:val="clear" w:color="auto" w:fill="auto"/>
            <w:noWrap/>
            <w:vAlign w:val="bottom"/>
            <w:hideMark/>
          </w:tcPr>
          <w:p w14:paraId="3D75C6AD" w14:textId="77777777" w:rsidR="003C4C63" w:rsidRPr="003C4C63" w:rsidRDefault="003C4C63" w:rsidP="003C4C63">
            <w:pPr>
              <w:jc w:val="center"/>
              <w:rPr>
                <w:rFonts w:ascii="Calibri" w:hAnsi="Calibri"/>
                <w:color w:val="000000"/>
                <w:sz w:val="22"/>
                <w:szCs w:val="22"/>
              </w:rPr>
            </w:pPr>
            <w:r w:rsidRPr="003C4C63">
              <w:rPr>
                <w:rFonts w:ascii="Calibri" w:hAnsi="Calibri"/>
                <w:color w:val="000000"/>
                <w:sz w:val="22"/>
                <w:szCs w:val="22"/>
              </w:rPr>
              <w:t>PGY 1</w:t>
            </w:r>
          </w:p>
        </w:tc>
        <w:tc>
          <w:tcPr>
            <w:tcW w:w="1200" w:type="dxa"/>
            <w:tcBorders>
              <w:top w:val="nil"/>
              <w:left w:val="nil"/>
              <w:bottom w:val="single" w:sz="4" w:space="0" w:color="auto"/>
              <w:right w:val="single" w:sz="4" w:space="0" w:color="auto"/>
            </w:tcBorders>
            <w:shd w:val="clear" w:color="auto" w:fill="auto"/>
            <w:noWrap/>
            <w:vAlign w:val="bottom"/>
            <w:hideMark/>
          </w:tcPr>
          <w:p w14:paraId="6A53AD57" w14:textId="77777777" w:rsidR="003C4C63" w:rsidRPr="003C4C63" w:rsidRDefault="003C4C63" w:rsidP="003C4C63">
            <w:pPr>
              <w:jc w:val="center"/>
              <w:rPr>
                <w:rFonts w:ascii="Calibri" w:hAnsi="Calibri"/>
                <w:color w:val="000000"/>
                <w:sz w:val="22"/>
                <w:szCs w:val="22"/>
              </w:rPr>
            </w:pPr>
            <w:r w:rsidRPr="003C4C63">
              <w:rPr>
                <w:rFonts w:ascii="Calibri" w:hAnsi="Calibri"/>
                <w:color w:val="000000"/>
                <w:sz w:val="22"/>
                <w:szCs w:val="22"/>
              </w:rPr>
              <w:t>3</w:t>
            </w:r>
          </w:p>
        </w:tc>
        <w:tc>
          <w:tcPr>
            <w:tcW w:w="960" w:type="dxa"/>
            <w:tcBorders>
              <w:top w:val="nil"/>
              <w:left w:val="nil"/>
              <w:bottom w:val="single" w:sz="4" w:space="0" w:color="auto"/>
              <w:right w:val="single" w:sz="4" w:space="0" w:color="auto"/>
            </w:tcBorders>
            <w:shd w:val="clear" w:color="auto" w:fill="auto"/>
            <w:noWrap/>
            <w:vAlign w:val="bottom"/>
            <w:hideMark/>
          </w:tcPr>
          <w:p w14:paraId="272DE249" w14:textId="77777777" w:rsidR="003C4C63" w:rsidRPr="003C4C63" w:rsidRDefault="003C4C63" w:rsidP="003C4C63">
            <w:pPr>
              <w:jc w:val="right"/>
              <w:rPr>
                <w:rFonts w:ascii="Calibri" w:hAnsi="Calibri"/>
                <w:color w:val="000000"/>
                <w:sz w:val="22"/>
                <w:szCs w:val="22"/>
              </w:rPr>
            </w:pPr>
            <w:r w:rsidRPr="003C4C63">
              <w:rPr>
                <w:rFonts w:ascii="Calibri" w:hAnsi="Calibri"/>
                <w:color w:val="000000"/>
                <w:sz w:val="22"/>
                <w:szCs w:val="22"/>
              </w:rPr>
              <w:t>2.42</w:t>
            </w:r>
          </w:p>
        </w:tc>
        <w:tc>
          <w:tcPr>
            <w:tcW w:w="960" w:type="dxa"/>
            <w:tcBorders>
              <w:top w:val="nil"/>
              <w:left w:val="nil"/>
              <w:bottom w:val="single" w:sz="4" w:space="0" w:color="auto"/>
              <w:right w:val="single" w:sz="4" w:space="0" w:color="auto"/>
            </w:tcBorders>
            <w:shd w:val="clear" w:color="auto" w:fill="auto"/>
            <w:noWrap/>
            <w:vAlign w:val="bottom"/>
            <w:hideMark/>
          </w:tcPr>
          <w:p w14:paraId="264ED1C7" w14:textId="77777777" w:rsidR="003C4C63" w:rsidRPr="003C4C63" w:rsidRDefault="003C4C63" w:rsidP="003C4C63">
            <w:pPr>
              <w:jc w:val="right"/>
              <w:rPr>
                <w:rFonts w:ascii="Calibri" w:hAnsi="Calibri"/>
                <w:color w:val="000000"/>
                <w:sz w:val="22"/>
                <w:szCs w:val="22"/>
              </w:rPr>
            </w:pPr>
            <w:r w:rsidRPr="003C4C63">
              <w:rPr>
                <w:rFonts w:ascii="Calibri" w:hAnsi="Calibri"/>
                <w:color w:val="000000"/>
                <w:sz w:val="22"/>
                <w:szCs w:val="22"/>
              </w:rPr>
              <w:t>2.42</w:t>
            </w:r>
          </w:p>
        </w:tc>
      </w:tr>
      <w:tr w:rsidR="003C4C63" w:rsidRPr="003C4C63" w14:paraId="07B012E8" w14:textId="77777777" w:rsidTr="003C4C63">
        <w:trPr>
          <w:trHeight w:val="300"/>
        </w:trPr>
        <w:tc>
          <w:tcPr>
            <w:tcW w:w="2560" w:type="dxa"/>
            <w:tcBorders>
              <w:top w:val="nil"/>
              <w:left w:val="single" w:sz="4" w:space="0" w:color="auto"/>
              <w:bottom w:val="single" w:sz="4" w:space="0" w:color="auto"/>
              <w:right w:val="single" w:sz="4" w:space="0" w:color="auto"/>
            </w:tcBorders>
            <w:shd w:val="clear" w:color="auto" w:fill="auto"/>
            <w:noWrap/>
            <w:vAlign w:val="bottom"/>
            <w:hideMark/>
          </w:tcPr>
          <w:p w14:paraId="00CB303A" w14:textId="77777777" w:rsidR="003C4C63" w:rsidRPr="003C4C63" w:rsidRDefault="003C4C63" w:rsidP="003C4C63">
            <w:pPr>
              <w:rPr>
                <w:rFonts w:ascii="Calibri" w:hAnsi="Calibri"/>
                <w:color w:val="000000"/>
                <w:sz w:val="22"/>
                <w:szCs w:val="22"/>
              </w:rPr>
            </w:pPr>
            <w:r w:rsidRPr="003C4C63">
              <w:rPr>
                <w:rFonts w:ascii="Calibri" w:hAnsi="Calibri"/>
                <w:color w:val="000000"/>
                <w:sz w:val="22"/>
                <w:szCs w:val="22"/>
              </w:rPr>
              <w:t>Cardiology</w:t>
            </w:r>
          </w:p>
        </w:tc>
        <w:tc>
          <w:tcPr>
            <w:tcW w:w="1278" w:type="dxa"/>
            <w:tcBorders>
              <w:top w:val="nil"/>
              <w:left w:val="nil"/>
              <w:bottom w:val="single" w:sz="4" w:space="0" w:color="auto"/>
              <w:right w:val="single" w:sz="4" w:space="0" w:color="auto"/>
            </w:tcBorders>
            <w:shd w:val="clear" w:color="auto" w:fill="auto"/>
            <w:noWrap/>
            <w:vAlign w:val="bottom"/>
            <w:hideMark/>
          </w:tcPr>
          <w:p w14:paraId="0E05DF1D" w14:textId="77777777" w:rsidR="003C4C63" w:rsidRPr="003C4C63" w:rsidRDefault="003C4C63" w:rsidP="003C4C63">
            <w:pPr>
              <w:jc w:val="right"/>
              <w:rPr>
                <w:rFonts w:ascii="Calibri" w:hAnsi="Calibri"/>
                <w:color w:val="000000"/>
                <w:sz w:val="22"/>
                <w:szCs w:val="22"/>
              </w:rPr>
            </w:pPr>
            <w:r w:rsidRPr="003C4C63">
              <w:rPr>
                <w:rFonts w:ascii="Calibri" w:hAnsi="Calibri"/>
                <w:color w:val="000000"/>
                <w:sz w:val="22"/>
                <w:szCs w:val="22"/>
              </w:rPr>
              <w:t>03/01/2008</w:t>
            </w:r>
          </w:p>
        </w:tc>
        <w:tc>
          <w:tcPr>
            <w:tcW w:w="1200" w:type="dxa"/>
            <w:tcBorders>
              <w:top w:val="nil"/>
              <w:left w:val="nil"/>
              <w:bottom w:val="single" w:sz="4" w:space="0" w:color="auto"/>
              <w:right w:val="single" w:sz="4" w:space="0" w:color="auto"/>
            </w:tcBorders>
            <w:shd w:val="clear" w:color="auto" w:fill="auto"/>
            <w:noWrap/>
            <w:vAlign w:val="bottom"/>
            <w:hideMark/>
          </w:tcPr>
          <w:p w14:paraId="124D1E4D" w14:textId="77777777" w:rsidR="003C4C63" w:rsidRPr="003C4C63" w:rsidRDefault="003C4C63" w:rsidP="003C4C63">
            <w:pPr>
              <w:jc w:val="center"/>
              <w:rPr>
                <w:rFonts w:ascii="Calibri" w:hAnsi="Calibri"/>
                <w:color w:val="000000"/>
                <w:sz w:val="22"/>
                <w:szCs w:val="22"/>
              </w:rPr>
            </w:pPr>
            <w:r w:rsidRPr="003C4C63">
              <w:rPr>
                <w:rFonts w:ascii="Calibri" w:hAnsi="Calibri"/>
                <w:color w:val="000000"/>
                <w:sz w:val="22"/>
                <w:szCs w:val="22"/>
              </w:rPr>
              <w:t>3</w:t>
            </w:r>
          </w:p>
        </w:tc>
        <w:tc>
          <w:tcPr>
            <w:tcW w:w="1240" w:type="dxa"/>
            <w:tcBorders>
              <w:top w:val="nil"/>
              <w:left w:val="nil"/>
              <w:bottom w:val="single" w:sz="4" w:space="0" w:color="auto"/>
              <w:right w:val="single" w:sz="4" w:space="0" w:color="auto"/>
            </w:tcBorders>
            <w:shd w:val="clear" w:color="auto" w:fill="auto"/>
            <w:noWrap/>
            <w:vAlign w:val="bottom"/>
            <w:hideMark/>
          </w:tcPr>
          <w:p w14:paraId="339028E2" w14:textId="77777777" w:rsidR="003C4C63" w:rsidRPr="003C4C63" w:rsidRDefault="003C4C63" w:rsidP="003C4C63">
            <w:pPr>
              <w:jc w:val="center"/>
              <w:rPr>
                <w:rFonts w:ascii="Calibri" w:hAnsi="Calibri"/>
                <w:color w:val="000000"/>
                <w:sz w:val="22"/>
                <w:szCs w:val="22"/>
              </w:rPr>
            </w:pPr>
            <w:r w:rsidRPr="003C4C63">
              <w:rPr>
                <w:rFonts w:ascii="Calibri" w:hAnsi="Calibri"/>
                <w:color w:val="000000"/>
                <w:sz w:val="22"/>
                <w:szCs w:val="22"/>
              </w:rPr>
              <w:t>PGY 1</w:t>
            </w:r>
          </w:p>
        </w:tc>
        <w:tc>
          <w:tcPr>
            <w:tcW w:w="1200" w:type="dxa"/>
            <w:tcBorders>
              <w:top w:val="nil"/>
              <w:left w:val="nil"/>
              <w:bottom w:val="single" w:sz="4" w:space="0" w:color="auto"/>
              <w:right w:val="single" w:sz="4" w:space="0" w:color="auto"/>
            </w:tcBorders>
            <w:shd w:val="clear" w:color="auto" w:fill="auto"/>
            <w:noWrap/>
            <w:vAlign w:val="bottom"/>
            <w:hideMark/>
          </w:tcPr>
          <w:p w14:paraId="3C7D2B13" w14:textId="77777777" w:rsidR="003C4C63" w:rsidRPr="003C4C63" w:rsidRDefault="003C4C63" w:rsidP="003C4C63">
            <w:pPr>
              <w:jc w:val="center"/>
              <w:rPr>
                <w:rFonts w:ascii="Calibri" w:hAnsi="Calibri"/>
                <w:color w:val="000000"/>
                <w:sz w:val="22"/>
                <w:szCs w:val="22"/>
              </w:rPr>
            </w:pPr>
            <w:r w:rsidRPr="003C4C63">
              <w:rPr>
                <w:rFonts w:ascii="Calibri" w:hAnsi="Calibri"/>
                <w:color w:val="000000"/>
                <w:sz w:val="22"/>
                <w:szCs w:val="22"/>
              </w:rPr>
              <w:t>6</w:t>
            </w:r>
          </w:p>
        </w:tc>
        <w:tc>
          <w:tcPr>
            <w:tcW w:w="960" w:type="dxa"/>
            <w:tcBorders>
              <w:top w:val="nil"/>
              <w:left w:val="nil"/>
              <w:bottom w:val="single" w:sz="4" w:space="0" w:color="auto"/>
              <w:right w:val="single" w:sz="4" w:space="0" w:color="auto"/>
            </w:tcBorders>
            <w:shd w:val="clear" w:color="auto" w:fill="auto"/>
            <w:noWrap/>
            <w:vAlign w:val="bottom"/>
            <w:hideMark/>
          </w:tcPr>
          <w:p w14:paraId="28EA463E" w14:textId="77777777" w:rsidR="003C4C63" w:rsidRPr="003C4C63" w:rsidRDefault="003C4C63" w:rsidP="003C4C63">
            <w:pPr>
              <w:jc w:val="right"/>
              <w:rPr>
                <w:rFonts w:ascii="Calibri" w:hAnsi="Calibri"/>
                <w:color w:val="000000"/>
                <w:sz w:val="22"/>
                <w:szCs w:val="22"/>
              </w:rPr>
            </w:pPr>
            <w:r w:rsidRPr="003C4C63">
              <w:rPr>
                <w:rFonts w:ascii="Calibri" w:hAnsi="Calibri"/>
                <w:color w:val="000000"/>
                <w:sz w:val="22"/>
                <w:szCs w:val="22"/>
              </w:rPr>
              <w:t>3.07</w:t>
            </w:r>
          </w:p>
        </w:tc>
        <w:tc>
          <w:tcPr>
            <w:tcW w:w="960" w:type="dxa"/>
            <w:tcBorders>
              <w:top w:val="nil"/>
              <w:left w:val="nil"/>
              <w:bottom w:val="single" w:sz="4" w:space="0" w:color="auto"/>
              <w:right w:val="single" w:sz="4" w:space="0" w:color="auto"/>
            </w:tcBorders>
            <w:shd w:val="clear" w:color="auto" w:fill="auto"/>
            <w:noWrap/>
            <w:vAlign w:val="bottom"/>
            <w:hideMark/>
          </w:tcPr>
          <w:p w14:paraId="3E957B82" w14:textId="77777777" w:rsidR="003C4C63" w:rsidRPr="003C4C63" w:rsidRDefault="003C4C63" w:rsidP="003C4C63">
            <w:pPr>
              <w:jc w:val="right"/>
              <w:rPr>
                <w:rFonts w:ascii="Calibri" w:hAnsi="Calibri"/>
                <w:color w:val="000000"/>
                <w:sz w:val="22"/>
                <w:szCs w:val="22"/>
              </w:rPr>
            </w:pPr>
            <w:r w:rsidRPr="003C4C63">
              <w:rPr>
                <w:rFonts w:ascii="Calibri" w:hAnsi="Calibri"/>
                <w:color w:val="000000"/>
                <w:sz w:val="22"/>
                <w:szCs w:val="22"/>
              </w:rPr>
              <w:t>3.07</w:t>
            </w:r>
          </w:p>
        </w:tc>
      </w:tr>
      <w:tr w:rsidR="003C4C63" w:rsidRPr="003C4C63" w14:paraId="01BCE99C" w14:textId="77777777" w:rsidTr="003C4C63">
        <w:trPr>
          <w:trHeight w:val="300"/>
        </w:trPr>
        <w:tc>
          <w:tcPr>
            <w:tcW w:w="2560" w:type="dxa"/>
            <w:tcBorders>
              <w:top w:val="nil"/>
              <w:left w:val="single" w:sz="4" w:space="0" w:color="auto"/>
              <w:bottom w:val="single" w:sz="4" w:space="0" w:color="auto"/>
              <w:right w:val="single" w:sz="4" w:space="0" w:color="auto"/>
            </w:tcBorders>
            <w:shd w:val="clear" w:color="auto" w:fill="auto"/>
            <w:noWrap/>
            <w:vAlign w:val="bottom"/>
            <w:hideMark/>
          </w:tcPr>
          <w:p w14:paraId="08D1F83F" w14:textId="77777777" w:rsidR="003C4C63" w:rsidRPr="003C4C63" w:rsidRDefault="003C4C63" w:rsidP="003C4C63">
            <w:pPr>
              <w:rPr>
                <w:rFonts w:ascii="Calibri" w:hAnsi="Calibri"/>
                <w:color w:val="000000"/>
                <w:sz w:val="22"/>
                <w:szCs w:val="22"/>
              </w:rPr>
            </w:pPr>
            <w:r w:rsidRPr="003C4C63">
              <w:rPr>
                <w:rFonts w:ascii="Calibri" w:hAnsi="Calibri"/>
                <w:color w:val="000000"/>
                <w:sz w:val="22"/>
                <w:szCs w:val="22"/>
              </w:rPr>
              <w:t>Gastroenterology</w:t>
            </w:r>
          </w:p>
        </w:tc>
        <w:tc>
          <w:tcPr>
            <w:tcW w:w="1278" w:type="dxa"/>
            <w:tcBorders>
              <w:top w:val="nil"/>
              <w:left w:val="nil"/>
              <w:bottom w:val="single" w:sz="4" w:space="0" w:color="auto"/>
              <w:right w:val="single" w:sz="4" w:space="0" w:color="auto"/>
            </w:tcBorders>
            <w:shd w:val="clear" w:color="auto" w:fill="auto"/>
            <w:noWrap/>
            <w:vAlign w:val="bottom"/>
            <w:hideMark/>
          </w:tcPr>
          <w:p w14:paraId="7A2D3192" w14:textId="77777777" w:rsidR="003C4C63" w:rsidRPr="003C4C63" w:rsidRDefault="003C4C63" w:rsidP="003C4C63">
            <w:pPr>
              <w:jc w:val="right"/>
              <w:rPr>
                <w:rFonts w:ascii="Calibri" w:hAnsi="Calibri"/>
                <w:color w:val="000000"/>
                <w:sz w:val="22"/>
                <w:szCs w:val="22"/>
              </w:rPr>
            </w:pPr>
            <w:r w:rsidRPr="003C4C63">
              <w:rPr>
                <w:rFonts w:ascii="Calibri" w:hAnsi="Calibri"/>
                <w:color w:val="000000"/>
                <w:sz w:val="22"/>
                <w:szCs w:val="22"/>
              </w:rPr>
              <w:t>03/01/2008</w:t>
            </w:r>
          </w:p>
        </w:tc>
        <w:tc>
          <w:tcPr>
            <w:tcW w:w="1200" w:type="dxa"/>
            <w:tcBorders>
              <w:top w:val="nil"/>
              <w:left w:val="nil"/>
              <w:bottom w:val="single" w:sz="4" w:space="0" w:color="auto"/>
              <w:right w:val="single" w:sz="4" w:space="0" w:color="auto"/>
            </w:tcBorders>
            <w:shd w:val="clear" w:color="auto" w:fill="auto"/>
            <w:noWrap/>
            <w:vAlign w:val="bottom"/>
            <w:hideMark/>
          </w:tcPr>
          <w:p w14:paraId="32D3A015" w14:textId="77777777" w:rsidR="003C4C63" w:rsidRPr="003C4C63" w:rsidRDefault="003C4C63" w:rsidP="003C4C63">
            <w:pPr>
              <w:jc w:val="center"/>
              <w:rPr>
                <w:rFonts w:ascii="Calibri" w:hAnsi="Calibri"/>
                <w:color w:val="000000"/>
                <w:sz w:val="22"/>
                <w:szCs w:val="22"/>
              </w:rPr>
            </w:pPr>
            <w:r w:rsidRPr="003C4C63">
              <w:rPr>
                <w:rFonts w:ascii="Calibri" w:hAnsi="Calibri"/>
                <w:color w:val="000000"/>
                <w:sz w:val="22"/>
                <w:szCs w:val="22"/>
              </w:rPr>
              <w:t>3</w:t>
            </w:r>
          </w:p>
        </w:tc>
        <w:tc>
          <w:tcPr>
            <w:tcW w:w="1240" w:type="dxa"/>
            <w:tcBorders>
              <w:top w:val="nil"/>
              <w:left w:val="nil"/>
              <w:bottom w:val="single" w:sz="4" w:space="0" w:color="auto"/>
              <w:right w:val="single" w:sz="4" w:space="0" w:color="auto"/>
            </w:tcBorders>
            <w:shd w:val="clear" w:color="auto" w:fill="auto"/>
            <w:noWrap/>
            <w:vAlign w:val="bottom"/>
            <w:hideMark/>
          </w:tcPr>
          <w:p w14:paraId="7BB10AC9" w14:textId="77777777" w:rsidR="003C4C63" w:rsidRPr="003C4C63" w:rsidRDefault="003C4C63" w:rsidP="003C4C63">
            <w:pPr>
              <w:jc w:val="center"/>
              <w:rPr>
                <w:rFonts w:ascii="Calibri" w:hAnsi="Calibri"/>
                <w:color w:val="000000"/>
                <w:sz w:val="22"/>
                <w:szCs w:val="22"/>
              </w:rPr>
            </w:pPr>
            <w:r w:rsidRPr="003C4C63">
              <w:rPr>
                <w:rFonts w:ascii="Calibri" w:hAnsi="Calibri"/>
                <w:color w:val="000000"/>
                <w:sz w:val="22"/>
                <w:szCs w:val="22"/>
              </w:rPr>
              <w:t>PGY 1</w:t>
            </w:r>
          </w:p>
        </w:tc>
        <w:tc>
          <w:tcPr>
            <w:tcW w:w="1200" w:type="dxa"/>
            <w:tcBorders>
              <w:top w:val="nil"/>
              <w:left w:val="nil"/>
              <w:bottom w:val="single" w:sz="4" w:space="0" w:color="auto"/>
              <w:right w:val="single" w:sz="4" w:space="0" w:color="auto"/>
            </w:tcBorders>
            <w:shd w:val="clear" w:color="auto" w:fill="auto"/>
            <w:noWrap/>
            <w:vAlign w:val="bottom"/>
            <w:hideMark/>
          </w:tcPr>
          <w:p w14:paraId="51F7B3F5" w14:textId="77777777" w:rsidR="003C4C63" w:rsidRPr="003C4C63" w:rsidRDefault="003C4C63" w:rsidP="003C4C63">
            <w:pPr>
              <w:jc w:val="center"/>
              <w:rPr>
                <w:rFonts w:ascii="Calibri" w:hAnsi="Calibri"/>
                <w:color w:val="000000"/>
                <w:sz w:val="22"/>
                <w:szCs w:val="22"/>
              </w:rPr>
            </w:pPr>
            <w:r w:rsidRPr="003C4C63">
              <w:rPr>
                <w:rFonts w:ascii="Calibri" w:hAnsi="Calibri"/>
                <w:color w:val="000000"/>
                <w:sz w:val="22"/>
                <w:szCs w:val="22"/>
              </w:rPr>
              <w:t>6</w:t>
            </w:r>
          </w:p>
        </w:tc>
        <w:tc>
          <w:tcPr>
            <w:tcW w:w="960" w:type="dxa"/>
            <w:tcBorders>
              <w:top w:val="nil"/>
              <w:left w:val="nil"/>
              <w:bottom w:val="single" w:sz="4" w:space="0" w:color="auto"/>
              <w:right w:val="single" w:sz="4" w:space="0" w:color="auto"/>
            </w:tcBorders>
            <w:shd w:val="clear" w:color="auto" w:fill="auto"/>
            <w:noWrap/>
            <w:vAlign w:val="bottom"/>
            <w:hideMark/>
          </w:tcPr>
          <w:p w14:paraId="26BFB06C" w14:textId="77777777" w:rsidR="003C4C63" w:rsidRPr="003C4C63" w:rsidRDefault="003C4C63" w:rsidP="003C4C63">
            <w:pPr>
              <w:jc w:val="right"/>
              <w:rPr>
                <w:rFonts w:ascii="Calibri" w:hAnsi="Calibri"/>
                <w:color w:val="000000"/>
                <w:sz w:val="22"/>
                <w:szCs w:val="22"/>
              </w:rPr>
            </w:pPr>
            <w:r w:rsidRPr="003C4C63">
              <w:rPr>
                <w:rFonts w:ascii="Calibri" w:hAnsi="Calibri"/>
                <w:color w:val="000000"/>
                <w:sz w:val="22"/>
                <w:szCs w:val="22"/>
              </w:rPr>
              <w:t>2.83</w:t>
            </w:r>
          </w:p>
        </w:tc>
        <w:tc>
          <w:tcPr>
            <w:tcW w:w="960" w:type="dxa"/>
            <w:tcBorders>
              <w:top w:val="nil"/>
              <w:left w:val="nil"/>
              <w:bottom w:val="single" w:sz="4" w:space="0" w:color="auto"/>
              <w:right w:val="single" w:sz="4" w:space="0" w:color="auto"/>
            </w:tcBorders>
            <w:shd w:val="clear" w:color="auto" w:fill="auto"/>
            <w:noWrap/>
            <w:vAlign w:val="bottom"/>
            <w:hideMark/>
          </w:tcPr>
          <w:p w14:paraId="22DFE0B9" w14:textId="77777777" w:rsidR="003C4C63" w:rsidRPr="003C4C63" w:rsidRDefault="003C4C63" w:rsidP="003C4C63">
            <w:pPr>
              <w:jc w:val="right"/>
              <w:rPr>
                <w:rFonts w:ascii="Calibri" w:hAnsi="Calibri"/>
                <w:color w:val="000000"/>
                <w:sz w:val="22"/>
                <w:szCs w:val="22"/>
              </w:rPr>
            </w:pPr>
            <w:r w:rsidRPr="003C4C63">
              <w:rPr>
                <w:rFonts w:ascii="Calibri" w:hAnsi="Calibri"/>
                <w:color w:val="000000"/>
                <w:sz w:val="22"/>
                <w:szCs w:val="22"/>
              </w:rPr>
              <w:t>2.83</w:t>
            </w:r>
          </w:p>
        </w:tc>
      </w:tr>
      <w:tr w:rsidR="003C4C63" w:rsidRPr="003C4C63" w14:paraId="41A7B818" w14:textId="77777777" w:rsidTr="003C4C63">
        <w:trPr>
          <w:trHeight w:val="300"/>
        </w:trPr>
        <w:tc>
          <w:tcPr>
            <w:tcW w:w="2560" w:type="dxa"/>
            <w:tcBorders>
              <w:top w:val="nil"/>
              <w:left w:val="single" w:sz="4" w:space="0" w:color="auto"/>
              <w:bottom w:val="single" w:sz="4" w:space="0" w:color="auto"/>
              <w:right w:val="single" w:sz="4" w:space="0" w:color="auto"/>
            </w:tcBorders>
            <w:shd w:val="clear" w:color="auto" w:fill="auto"/>
            <w:noWrap/>
            <w:vAlign w:val="bottom"/>
            <w:hideMark/>
          </w:tcPr>
          <w:p w14:paraId="475AB553" w14:textId="77777777" w:rsidR="003C4C63" w:rsidRPr="003C4C63" w:rsidRDefault="003C4C63" w:rsidP="003C4C63">
            <w:pPr>
              <w:rPr>
                <w:rFonts w:ascii="Calibri" w:hAnsi="Calibri"/>
                <w:color w:val="000000"/>
                <w:sz w:val="22"/>
                <w:szCs w:val="22"/>
              </w:rPr>
            </w:pPr>
            <w:r w:rsidRPr="003C4C63">
              <w:rPr>
                <w:rFonts w:ascii="Calibri" w:hAnsi="Calibri"/>
                <w:color w:val="000000"/>
                <w:sz w:val="22"/>
                <w:szCs w:val="22"/>
              </w:rPr>
              <w:t>Rheumatology</w:t>
            </w:r>
          </w:p>
        </w:tc>
        <w:tc>
          <w:tcPr>
            <w:tcW w:w="1278" w:type="dxa"/>
            <w:tcBorders>
              <w:top w:val="nil"/>
              <w:left w:val="nil"/>
              <w:bottom w:val="single" w:sz="4" w:space="0" w:color="auto"/>
              <w:right w:val="single" w:sz="4" w:space="0" w:color="auto"/>
            </w:tcBorders>
            <w:shd w:val="clear" w:color="auto" w:fill="auto"/>
            <w:noWrap/>
            <w:vAlign w:val="bottom"/>
            <w:hideMark/>
          </w:tcPr>
          <w:p w14:paraId="7DEB1F12" w14:textId="77777777" w:rsidR="003C4C63" w:rsidRPr="003C4C63" w:rsidRDefault="003C4C63" w:rsidP="003C4C63">
            <w:pPr>
              <w:jc w:val="right"/>
              <w:rPr>
                <w:rFonts w:ascii="Calibri" w:hAnsi="Calibri"/>
                <w:color w:val="000000"/>
                <w:sz w:val="22"/>
                <w:szCs w:val="22"/>
              </w:rPr>
            </w:pPr>
            <w:r w:rsidRPr="003C4C63">
              <w:rPr>
                <w:rFonts w:ascii="Calibri" w:hAnsi="Calibri"/>
                <w:color w:val="000000"/>
                <w:sz w:val="22"/>
                <w:szCs w:val="22"/>
              </w:rPr>
              <w:t>03/01/2008</w:t>
            </w:r>
          </w:p>
        </w:tc>
        <w:tc>
          <w:tcPr>
            <w:tcW w:w="1200" w:type="dxa"/>
            <w:tcBorders>
              <w:top w:val="nil"/>
              <w:left w:val="nil"/>
              <w:bottom w:val="single" w:sz="4" w:space="0" w:color="auto"/>
              <w:right w:val="single" w:sz="4" w:space="0" w:color="auto"/>
            </w:tcBorders>
            <w:shd w:val="clear" w:color="auto" w:fill="auto"/>
            <w:noWrap/>
            <w:vAlign w:val="bottom"/>
            <w:hideMark/>
          </w:tcPr>
          <w:p w14:paraId="4013F84A" w14:textId="77777777" w:rsidR="003C4C63" w:rsidRPr="003C4C63" w:rsidRDefault="003C4C63" w:rsidP="003C4C63">
            <w:pPr>
              <w:jc w:val="center"/>
              <w:rPr>
                <w:rFonts w:ascii="Calibri" w:hAnsi="Calibri"/>
                <w:color w:val="000000"/>
                <w:sz w:val="22"/>
                <w:szCs w:val="22"/>
              </w:rPr>
            </w:pPr>
            <w:r w:rsidRPr="003C4C63">
              <w:rPr>
                <w:rFonts w:ascii="Calibri" w:hAnsi="Calibri"/>
                <w:color w:val="000000"/>
                <w:sz w:val="22"/>
                <w:szCs w:val="22"/>
              </w:rPr>
              <w:t>2</w:t>
            </w:r>
          </w:p>
        </w:tc>
        <w:tc>
          <w:tcPr>
            <w:tcW w:w="1240" w:type="dxa"/>
            <w:tcBorders>
              <w:top w:val="nil"/>
              <w:left w:val="nil"/>
              <w:bottom w:val="single" w:sz="4" w:space="0" w:color="auto"/>
              <w:right w:val="single" w:sz="4" w:space="0" w:color="auto"/>
            </w:tcBorders>
            <w:shd w:val="clear" w:color="auto" w:fill="auto"/>
            <w:noWrap/>
            <w:vAlign w:val="bottom"/>
            <w:hideMark/>
          </w:tcPr>
          <w:p w14:paraId="5929075F" w14:textId="77777777" w:rsidR="003C4C63" w:rsidRPr="003C4C63" w:rsidRDefault="003C4C63" w:rsidP="003C4C63">
            <w:pPr>
              <w:jc w:val="center"/>
              <w:rPr>
                <w:rFonts w:ascii="Calibri" w:hAnsi="Calibri"/>
                <w:color w:val="000000"/>
                <w:sz w:val="22"/>
                <w:szCs w:val="22"/>
              </w:rPr>
            </w:pPr>
            <w:r w:rsidRPr="003C4C63">
              <w:rPr>
                <w:rFonts w:ascii="Calibri" w:hAnsi="Calibri"/>
                <w:color w:val="000000"/>
                <w:sz w:val="22"/>
                <w:szCs w:val="22"/>
              </w:rPr>
              <w:t>PGY 1</w:t>
            </w:r>
          </w:p>
        </w:tc>
        <w:tc>
          <w:tcPr>
            <w:tcW w:w="1200" w:type="dxa"/>
            <w:tcBorders>
              <w:top w:val="nil"/>
              <w:left w:val="nil"/>
              <w:bottom w:val="single" w:sz="4" w:space="0" w:color="auto"/>
              <w:right w:val="single" w:sz="4" w:space="0" w:color="auto"/>
            </w:tcBorders>
            <w:shd w:val="clear" w:color="auto" w:fill="auto"/>
            <w:noWrap/>
            <w:vAlign w:val="bottom"/>
            <w:hideMark/>
          </w:tcPr>
          <w:p w14:paraId="160CB536" w14:textId="77777777" w:rsidR="003C4C63" w:rsidRPr="003C4C63" w:rsidRDefault="003C4C63" w:rsidP="003C4C63">
            <w:pPr>
              <w:jc w:val="center"/>
              <w:rPr>
                <w:rFonts w:ascii="Calibri" w:hAnsi="Calibri"/>
                <w:color w:val="000000"/>
                <w:sz w:val="22"/>
                <w:szCs w:val="22"/>
              </w:rPr>
            </w:pPr>
            <w:r w:rsidRPr="003C4C63">
              <w:rPr>
                <w:rFonts w:ascii="Calibri" w:hAnsi="Calibri"/>
                <w:color w:val="000000"/>
                <w:sz w:val="22"/>
                <w:szCs w:val="22"/>
              </w:rPr>
              <w:t>4</w:t>
            </w:r>
          </w:p>
        </w:tc>
        <w:tc>
          <w:tcPr>
            <w:tcW w:w="960" w:type="dxa"/>
            <w:tcBorders>
              <w:top w:val="nil"/>
              <w:left w:val="nil"/>
              <w:bottom w:val="single" w:sz="4" w:space="0" w:color="auto"/>
              <w:right w:val="single" w:sz="4" w:space="0" w:color="auto"/>
            </w:tcBorders>
            <w:shd w:val="clear" w:color="auto" w:fill="auto"/>
            <w:noWrap/>
            <w:vAlign w:val="bottom"/>
            <w:hideMark/>
          </w:tcPr>
          <w:p w14:paraId="0090891A" w14:textId="77777777" w:rsidR="003C4C63" w:rsidRPr="003C4C63" w:rsidRDefault="003C4C63" w:rsidP="003C4C63">
            <w:pPr>
              <w:jc w:val="right"/>
              <w:rPr>
                <w:rFonts w:ascii="Calibri" w:hAnsi="Calibri"/>
                <w:color w:val="000000"/>
                <w:sz w:val="22"/>
                <w:szCs w:val="22"/>
              </w:rPr>
            </w:pPr>
            <w:r w:rsidRPr="003C4C63">
              <w:rPr>
                <w:rFonts w:ascii="Calibri" w:hAnsi="Calibri"/>
                <w:color w:val="000000"/>
                <w:sz w:val="22"/>
                <w:szCs w:val="22"/>
              </w:rPr>
              <w:t>1.58</w:t>
            </w:r>
          </w:p>
        </w:tc>
        <w:tc>
          <w:tcPr>
            <w:tcW w:w="960" w:type="dxa"/>
            <w:tcBorders>
              <w:top w:val="nil"/>
              <w:left w:val="nil"/>
              <w:bottom w:val="single" w:sz="4" w:space="0" w:color="auto"/>
              <w:right w:val="single" w:sz="4" w:space="0" w:color="auto"/>
            </w:tcBorders>
            <w:shd w:val="clear" w:color="auto" w:fill="auto"/>
            <w:noWrap/>
            <w:vAlign w:val="bottom"/>
            <w:hideMark/>
          </w:tcPr>
          <w:p w14:paraId="43E84B90" w14:textId="77777777" w:rsidR="003C4C63" w:rsidRPr="003C4C63" w:rsidRDefault="003C4C63" w:rsidP="003C4C63">
            <w:pPr>
              <w:jc w:val="right"/>
              <w:rPr>
                <w:rFonts w:ascii="Calibri" w:hAnsi="Calibri"/>
                <w:color w:val="000000"/>
                <w:sz w:val="22"/>
                <w:szCs w:val="22"/>
              </w:rPr>
            </w:pPr>
            <w:r w:rsidRPr="003C4C63">
              <w:rPr>
                <w:rFonts w:ascii="Calibri" w:hAnsi="Calibri"/>
                <w:color w:val="000000"/>
                <w:sz w:val="22"/>
                <w:szCs w:val="22"/>
              </w:rPr>
              <w:t>1.58</w:t>
            </w:r>
          </w:p>
        </w:tc>
      </w:tr>
      <w:tr w:rsidR="003C4C63" w:rsidRPr="003C4C63" w14:paraId="66189A13" w14:textId="77777777" w:rsidTr="003C4C63">
        <w:trPr>
          <w:trHeight w:val="300"/>
        </w:trPr>
        <w:tc>
          <w:tcPr>
            <w:tcW w:w="2560" w:type="dxa"/>
            <w:tcBorders>
              <w:top w:val="nil"/>
              <w:left w:val="single" w:sz="4" w:space="0" w:color="auto"/>
              <w:bottom w:val="single" w:sz="4" w:space="0" w:color="auto"/>
              <w:right w:val="single" w:sz="4" w:space="0" w:color="auto"/>
            </w:tcBorders>
            <w:shd w:val="clear" w:color="auto" w:fill="auto"/>
            <w:noWrap/>
            <w:vAlign w:val="bottom"/>
            <w:hideMark/>
          </w:tcPr>
          <w:p w14:paraId="5A4E3B6C" w14:textId="77777777" w:rsidR="003C4C63" w:rsidRPr="003C4C63" w:rsidRDefault="003C4C63" w:rsidP="003C4C63">
            <w:pPr>
              <w:rPr>
                <w:rFonts w:ascii="Calibri" w:hAnsi="Calibri"/>
                <w:color w:val="000000"/>
                <w:sz w:val="22"/>
                <w:szCs w:val="22"/>
              </w:rPr>
            </w:pPr>
            <w:r w:rsidRPr="003C4C63">
              <w:rPr>
                <w:rFonts w:ascii="Calibri" w:hAnsi="Calibri"/>
                <w:color w:val="000000"/>
                <w:sz w:val="22"/>
                <w:szCs w:val="22"/>
              </w:rPr>
              <w:t>Orthopedic Surgery</w:t>
            </w:r>
          </w:p>
        </w:tc>
        <w:tc>
          <w:tcPr>
            <w:tcW w:w="1278" w:type="dxa"/>
            <w:tcBorders>
              <w:top w:val="nil"/>
              <w:left w:val="nil"/>
              <w:bottom w:val="single" w:sz="4" w:space="0" w:color="auto"/>
              <w:right w:val="single" w:sz="4" w:space="0" w:color="auto"/>
            </w:tcBorders>
            <w:shd w:val="clear" w:color="auto" w:fill="auto"/>
            <w:noWrap/>
            <w:vAlign w:val="bottom"/>
            <w:hideMark/>
          </w:tcPr>
          <w:p w14:paraId="064A7BC0" w14:textId="77777777" w:rsidR="003C4C63" w:rsidRPr="003C4C63" w:rsidRDefault="003C4C63" w:rsidP="003C4C63">
            <w:pPr>
              <w:jc w:val="right"/>
              <w:rPr>
                <w:rFonts w:ascii="Calibri" w:hAnsi="Calibri"/>
                <w:color w:val="000000"/>
                <w:sz w:val="22"/>
                <w:szCs w:val="22"/>
              </w:rPr>
            </w:pPr>
            <w:r w:rsidRPr="003C4C63">
              <w:rPr>
                <w:rFonts w:ascii="Calibri" w:hAnsi="Calibri"/>
                <w:color w:val="000000"/>
                <w:sz w:val="22"/>
                <w:szCs w:val="22"/>
              </w:rPr>
              <w:t>07/01/2010</w:t>
            </w:r>
          </w:p>
        </w:tc>
        <w:tc>
          <w:tcPr>
            <w:tcW w:w="1200" w:type="dxa"/>
            <w:tcBorders>
              <w:top w:val="nil"/>
              <w:left w:val="nil"/>
              <w:bottom w:val="single" w:sz="4" w:space="0" w:color="auto"/>
              <w:right w:val="single" w:sz="4" w:space="0" w:color="auto"/>
            </w:tcBorders>
            <w:shd w:val="clear" w:color="auto" w:fill="auto"/>
            <w:noWrap/>
            <w:vAlign w:val="bottom"/>
            <w:hideMark/>
          </w:tcPr>
          <w:p w14:paraId="727A1C3C" w14:textId="77777777" w:rsidR="003C4C63" w:rsidRPr="003C4C63" w:rsidRDefault="003C4C63" w:rsidP="003C4C63">
            <w:pPr>
              <w:jc w:val="center"/>
              <w:rPr>
                <w:rFonts w:ascii="Calibri" w:hAnsi="Calibri"/>
                <w:color w:val="000000"/>
                <w:sz w:val="22"/>
                <w:szCs w:val="22"/>
              </w:rPr>
            </w:pPr>
            <w:r w:rsidRPr="003C4C63">
              <w:rPr>
                <w:rFonts w:ascii="Calibri" w:hAnsi="Calibri"/>
                <w:color w:val="000000"/>
                <w:sz w:val="22"/>
                <w:szCs w:val="22"/>
              </w:rPr>
              <w:t>5</w:t>
            </w:r>
          </w:p>
        </w:tc>
        <w:tc>
          <w:tcPr>
            <w:tcW w:w="1240" w:type="dxa"/>
            <w:tcBorders>
              <w:top w:val="nil"/>
              <w:left w:val="nil"/>
              <w:bottom w:val="single" w:sz="4" w:space="0" w:color="auto"/>
              <w:right w:val="single" w:sz="4" w:space="0" w:color="auto"/>
            </w:tcBorders>
            <w:shd w:val="clear" w:color="auto" w:fill="auto"/>
            <w:noWrap/>
            <w:vAlign w:val="bottom"/>
            <w:hideMark/>
          </w:tcPr>
          <w:p w14:paraId="519A1F6F" w14:textId="77777777" w:rsidR="003C4C63" w:rsidRPr="003C4C63" w:rsidRDefault="003C4C63" w:rsidP="003C4C63">
            <w:pPr>
              <w:jc w:val="center"/>
              <w:rPr>
                <w:rFonts w:ascii="Calibri" w:hAnsi="Calibri"/>
                <w:color w:val="000000"/>
                <w:sz w:val="22"/>
                <w:szCs w:val="22"/>
              </w:rPr>
            </w:pPr>
            <w:r w:rsidRPr="003C4C63">
              <w:rPr>
                <w:rFonts w:ascii="Calibri" w:hAnsi="Calibri"/>
                <w:color w:val="000000"/>
                <w:sz w:val="22"/>
                <w:szCs w:val="22"/>
              </w:rPr>
              <w:t>PGY 2</w:t>
            </w:r>
          </w:p>
        </w:tc>
        <w:tc>
          <w:tcPr>
            <w:tcW w:w="1200" w:type="dxa"/>
            <w:tcBorders>
              <w:top w:val="nil"/>
              <w:left w:val="nil"/>
              <w:bottom w:val="single" w:sz="4" w:space="0" w:color="auto"/>
              <w:right w:val="single" w:sz="4" w:space="0" w:color="auto"/>
            </w:tcBorders>
            <w:shd w:val="clear" w:color="auto" w:fill="auto"/>
            <w:noWrap/>
            <w:vAlign w:val="bottom"/>
            <w:hideMark/>
          </w:tcPr>
          <w:p w14:paraId="20B4C60F" w14:textId="77777777" w:rsidR="003C4C63" w:rsidRPr="003C4C63" w:rsidRDefault="003C4C63" w:rsidP="003C4C63">
            <w:pPr>
              <w:jc w:val="center"/>
              <w:rPr>
                <w:rFonts w:ascii="Calibri" w:hAnsi="Calibri"/>
                <w:color w:val="000000"/>
                <w:sz w:val="22"/>
                <w:szCs w:val="22"/>
              </w:rPr>
            </w:pPr>
            <w:r w:rsidRPr="003C4C63">
              <w:rPr>
                <w:rFonts w:ascii="Calibri" w:hAnsi="Calibri"/>
                <w:color w:val="000000"/>
                <w:sz w:val="22"/>
                <w:szCs w:val="22"/>
              </w:rPr>
              <w:t>5</w:t>
            </w:r>
          </w:p>
        </w:tc>
        <w:tc>
          <w:tcPr>
            <w:tcW w:w="960" w:type="dxa"/>
            <w:tcBorders>
              <w:top w:val="nil"/>
              <w:left w:val="nil"/>
              <w:bottom w:val="single" w:sz="4" w:space="0" w:color="auto"/>
              <w:right w:val="single" w:sz="4" w:space="0" w:color="auto"/>
            </w:tcBorders>
            <w:shd w:val="clear" w:color="auto" w:fill="auto"/>
            <w:noWrap/>
            <w:vAlign w:val="bottom"/>
            <w:hideMark/>
          </w:tcPr>
          <w:p w14:paraId="521EF408" w14:textId="77777777" w:rsidR="003C4C63" w:rsidRPr="003C4C63" w:rsidRDefault="003C4C63" w:rsidP="003C4C63">
            <w:pPr>
              <w:jc w:val="right"/>
              <w:rPr>
                <w:rFonts w:ascii="Calibri" w:hAnsi="Calibri"/>
                <w:color w:val="000000"/>
                <w:sz w:val="22"/>
                <w:szCs w:val="22"/>
              </w:rPr>
            </w:pPr>
            <w:r w:rsidRPr="003C4C63">
              <w:rPr>
                <w:rFonts w:ascii="Calibri" w:hAnsi="Calibri"/>
                <w:color w:val="000000"/>
                <w:sz w:val="22"/>
                <w:szCs w:val="22"/>
              </w:rPr>
              <w:t>4.28</w:t>
            </w:r>
          </w:p>
        </w:tc>
        <w:tc>
          <w:tcPr>
            <w:tcW w:w="960" w:type="dxa"/>
            <w:tcBorders>
              <w:top w:val="nil"/>
              <w:left w:val="nil"/>
              <w:bottom w:val="single" w:sz="4" w:space="0" w:color="auto"/>
              <w:right w:val="single" w:sz="4" w:space="0" w:color="auto"/>
            </w:tcBorders>
            <w:shd w:val="clear" w:color="auto" w:fill="auto"/>
            <w:noWrap/>
            <w:vAlign w:val="bottom"/>
            <w:hideMark/>
          </w:tcPr>
          <w:p w14:paraId="0884B4CC" w14:textId="77777777" w:rsidR="003C4C63" w:rsidRPr="003C4C63" w:rsidRDefault="003C4C63" w:rsidP="003C4C63">
            <w:pPr>
              <w:jc w:val="right"/>
              <w:rPr>
                <w:rFonts w:ascii="Calibri" w:hAnsi="Calibri"/>
                <w:color w:val="000000"/>
                <w:sz w:val="22"/>
                <w:szCs w:val="22"/>
              </w:rPr>
            </w:pPr>
            <w:r w:rsidRPr="003C4C63">
              <w:rPr>
                <w:rFonts w:ascii="Calibri" w:hAnsi="Calibri"/>
                <w:color w:val="000000"/>
                <w:sz w:val="22"/>
                <w:szCs w:val="22"/>
              </w:rPr>
              <w:t>4.28</w:t>
            </w:r>
          </w:p>
        </w:tc>
      </w:tr>
      <w:tr w:rsidR="003C4C63" w:rsidRPr="003C4C63" w14:paraId="654D02FA" w14:textId="77777777" w:rsidTr="003C4C63">
        <w:trPr>
          <w:trHeight w:val="300"/>
        </w:trPr>
        <w:tc>
          <w:tcPr>
            <w:tcW w:w="2560" w:type="dxa"/>
            <w:tcBorders>
              <w:top w:val="nil"/>
              <w:left w:val="single" w:sz="4" w:space="0" w:color="auto"/>
              <w:bottom w:val="single" w:sz="4" w:space="0" w:color="auto"/>
              <w:right w:val="single" w:sz="4" w:space="0" w:color="auto"/>
            </w:tcBorders>
            <w:shd w:val="clear" w:color="auto" w:fill="auto"/>
            <w:noWrap/>
            <w:vAlign w:val="bottom"/>
            <w:hideMark/>
          </w:tcPr>
          <w:p w14:paraId="58DBABEF" w14:textId="77777777" w:rsidR="003C4C63" w:rsidRPr="003C4C63" w:rsidRDefault="003C4C63" w:rsidP="003C4C63">
            <w:pPr>
              <w:rPr>
                <w:rFonts w:ascii="Calibri" w:hAnsi="Calibri"/>
                <w:color w:val="000000"/>
                <w:sz w:val="22"/>
                <w:szCs w:val="22"/>
              </w:rPr>
            </w:pPr>
            <w:r w:rsidRPr="003C4C63">
              <w:rPr>
                <w:rFonts w:ascii="Calibri" w:hAnsi="Calibri"/>
                <w:color w:val="000000"/>
                <w:sz w:val="22"/>
                <w:szCs w:val="22"/>
              </w:rPr>
              <w:t>Internship</w:t>
            </w:r>
          </w:p>
        </w:tc>
        <w:tc>
          <w:tcPr>
            <w:tcW w:w="1278" w:type="dxa"/>
            <w:tcBorders>
              <w:top w:val="nil"/>
              <w:left w:val="nil"/>
              <w:bottom w:val="single" w:sz="4" w:space="0" w:color="auto"/>
              <w:right w:val="single" w:sz="4" w:space="0" w:color="auto"/>
            </w:tcBorders>
            <w:shd w:val="clear" w:color="auto" w:fill="auto"/>
            <w:noWrap/>
            <w:vAlign w:val="bottom"/>
            <w:hideMark/>
          </w:tcPr>
          <w:p w14:paraId="7E5FD247" w14:textId="77777777" w:rsidR="003C4C63" w:rsidRPr="003C4C63" w:rsidRDefault="003C4C63" w:rsidP="003C4C63">
            <w:pPr>
              <w:jc w:val="right"/>
              <w:rPr>
                <w:rFonts w:ascii="Calibri" w:hAnsi="Calibri"/>
                <w:color w:val="000000"/>
                <w:sz w:val="22"/>
                <w:szCs w:val="22"/>
              </w:rPr>
            </w:pPr>
            <w:r w:rsidRPr="003C4C63">
              <w:rPr>
                <w:rFonts w:ascii="Calibri" w:hAnsi="Calibri"/>
                <w:color w:val="000000"/>
                <w:sz w:val="22"/>
                <w:szCs w:val="22"/>
              </w:rPr>
              <w:t>03/01/2008</w:t>
            </w:r>
          </w:p>
        </w:tc>
        <w:tc>
          <w:tcPr>
            <w:tcW w:w="1200" w:type="dxa"/>
            <w:tcBorders>
              <w:top w:val="nil"/>
              <w:left w:val="nil"/>
              <w:bottom w:val="single" w:sz="4" w:space="0" w:color="auto"/>
              <w:right w:val="single" w:sz="4" w:space="0" w:color="auto"/>
            </w:tcBorders>
            <w:shd w:val="clear" w:color="auto" w:fill="auto"/>
            <w:noWrap/>
            <w:vAlign w:val="bottom"/>
            <w:hideMark/>
          </w:tcPr>
          <w:p w14:paraId="3D12E18F" w14:textId="77777777" w:rsidR="003C4C63" w:rsidRPr="003C4C63" w:rsidRDefault="003C4C63" w:rsidP="003C4C63">
            <w:pPr>
              <w:jc w:val="center"/>
              <w:rPr>
                <w:rFonts w:ascii="Calibri" w:hAnsi="Calibri"/>
                <w:color w:val="000000"/>
                <w:sz w:val="22"/>
                <w:szCs w:val="22"/>
              </w:rPr>
            </w:pPr>
            <w:r w:rsidRPr="003C4C63">
              <w:rPr>
                <w:rFonts w:ascii="Calibri" w:hAnsi="Calibri"/>
                <w:color w:val="000000"/>
                <w:sz w:val="22"/>
                <w:szCs w:val="22"/>
              </w:rPr>
              <w:t>1</w:t>
            </w:r>
          </w:p>
        </w:tc>
        <w:tc>
          <w:tcPr>
            <w:tcW w:w="1240" w:type="dxa"/>
            <w:tcBorders>
              <w:top w:val="nil"/>
              <w:left w:val="nil"/>
              <w:bottom w:val="single" w:sz="4" w:space="0" w:color="auto"/>
              <w:right w:val="single" w:sz="4" w:space="0" w:color="auto"/>
            </w:tcBorders>
            <w:shd w:val="clear" w:color="auto" w:fill="auto"/>
            <w:noWrap/>
            <w:vAlign w:val="bottom"/>
            <w:hideMark/>
          </w:tcPr>
          <w:p w14:paraId="1863F6DB" w14:textId="77777777" w:rsidR="003C4C63" w:rsidRPr="003C4C63" w:rsidRDefault="003C4C63" w:rsidP="003C4C63">
            <w:pPr>
              <w:jc w:val="center"/>
              <w:rPr>
                <w:rFonts w:ascii="Calibri" w:hAnsi="Calibri"/>
                <w:color w:val="000000"/>
                <w:sz w:val="22"/>
                <w:szCs w:val="22"/>
              </w:rPr>
            </w:pPr>
            <w:r w:rsidRPr="003C4C63">
              <w:rPr>
                <w:rFonts w:ascii="Calibri" w:hAnsi="Calibri"/>
                <w:color w:val="000000"/>
                <w:sz w:val="22"/>
                <w:szCs w:val="22"/>
              </w:rPr>
              <w:t>PGY 1</w:t>
            </w:r>
          </w:p>
        </w:tc>
        <w:tc>
          <w:tcPr>
            <w:tcW w:w="1200" w:type="dxa"/>
            <w:tcBorders>
              <w:top w:val="nil"/>
              <w:left w:val="nil"/>
              <w:bottom w:val="single" w:sz="4" w:space="0" w:color="auto"/>
              <w:right w:val="single" w:sz="4" w:space="0" w:color="auto"/>
            </w:tcBorders>
            <w:shd w:val="clear" w:color="auto" w:fill="auto"/>
            <w:noWrap/>
            <w:vAlign w:val="bottom"/>
            <w:hideMark/>
          </w:tcPr>
          <w:p w14:paraId="4E01E31C" w14:textId="77777777" w:rsidR="003C4C63" w:rsidRPr="003C4C63" w:rsidRDefault="003C4C63" w:rsidP="003C4C63">
            <w:pPr>
              <w:jc w:val="center"/>
              <w:rPr>
                <w:rFonts w:ascii="Calibri" w:hAnsi="Calibri"/>
                <w:color w:val="000000"/>
                <w:sz w:val="22"/>
                <w:szCs w:val="22"/>
              </w:rPr>
            </w:pPr>
            <w:r w:rsidRPr="003C4C63">
              <w:rPr>
                <w:rFonts w:ascii="Calibri" w:hAnsi="Calibri"/>
                <w:color w:val="000000"/>
                <w:sz w:val="22"/>
                <w:szCs w:val="22"/>
              </w:rPr>
              <w:t>24</w:t>
            </w:r>
          </w:p>
        </w:tc>
        <w:tc>
          <w:tcPr>
            <w:tcW w:w="960" w:type="dxa"/>
            <w:tcBorders>
              <w:top w:val="nil"/>
              <w:left w:val="nil"/>
              <w:bottom w:val="single" w:sz="4" w:space="0" w:color="auto"/>
              <w:right w:val="single" w:sz="4" w:space="0" w:color="auto"/>
            </w:tcBorders>
            <w:shd w:val="clear" w:color="auto" w:fill="auto"/>
            <w:noWrap/>
            <w:vAlign w:val="bottom"/>
            <w:hideMark/>
          </w:tcPr>
          <w:p w14:paraId="397281D0" w14:textId="77777777" w:rsidR="003C4C63" w:rsidRPr="003C4C63" w:rsidRDefault="003C4C63" w:rsidP="003C4C63">
            <w:pPr>
              <w:jc w:val="right"/>
              <w:rPr>
                <w:rFonts w:ascii="Calibri" w:hAnsi="Calibri"/>
                <w:color w:val="000000"/>
                <w:sz w:val="22"/>
                <w:szCs w:val="22"/>
              </w:rPr>
            </w:pPr>
            <w:r w:rsidRPr="003C4C63">
              <w:rPr>
                <w:rFonts w:ascii="Calibri" w:hAnsi="Calibri"/>
                <w:color w:val="000000"/>
                <w:sz w:val="22"/>
                <w:szCs w:val="22"/>
              </w:rPr>
              <w:t>16.15</w:t>
            </w:r>
          </w:p>
        </w:tc>
        <w:tc>
          <w:tcPr>
            <w:tcW w:w="960" w:type="dxa"/>
            <w:tcBorders>
              <w:top w:val="nil"/>
              <w:left w:val="nil"/>
              <w:bottom w:val="single" w:sz="4" w:space="0" w:color="auto"/>
              <w:right w:val="single" w:sz="4" w:space="0" w:color="auto"/>
            </w:tcBorders>
            <w:shd w:val="clear" w:color="auto" w:fill="auto"/>
            <w:noWrap/>
            <w:vAlign w:val="bottom"/>
            <w:hideMark/>
          </w:tcPr>
          <w:p w14:paraId="78EADDD4" w14:textId="77777777" w:rsidR="003C4C63" w:rsidRPr="003C4C63" w:rsidRDefault="003C4C63" w:rsidP="003C4C63">
            <w:pPr>
              <w:jc w:val="right"/>
              <w:rPr>
                <w:rFonts w:ascii="Calibri" w:hAnsi="Calibri"/>
                <w:color w:val="000000"/>
                <w:sz w:val="22"/>
                <w:szCs w:val="22"/>
              </w:rPr>
            </w:pPr>
            <w:r w:rsidRPr="003C4C63">
              <w:rPr>
                <w:rFonts w:ascii="Calibri" w:hAnsi="Calibri"/>
                <w:color w:val="000000"/>
                <w:sz w:val="22"/>
                <w:szCs w:val="22"/>
              </w:rPr>
              <w:t>16.13</w:t>
            </w:r>
          </w:p>
        </w:tc>
      </w:tr>
      <w:tr w:rsidR="003C4C63" w:rsidRPr="003C4C63" w14:paraId="6598FCE4" w14:textId="77777777" w:rsidTr="003C4C63">
        <w:trPr>
          <w:trHeight w:val="300"/>
        </w:trPr>
        <w:tc>
          <w:tcPr>
            <w:tcW w:w="2560" w:type="dxa"/>
            <w:tcBorders>
              <w:top w:val="nil"/>
              <w:left w:val="single" w:sz="4" w:space="0" w:color="auto"/>
              <w:bottom w:val="single" w:sz="4" w:space="0" w:color="auto"/>
              <w:right w:val="single" w:sz="4" w:space="0" w:color="auto"/>
            </w:tcBorders>
            <w:shd w:val="clear" w:color="auto" w:fill="auto"/>
            <w:noWrap/>
            <w:vAlign w:val="bottom"/>
            <w:hideMark/>
          </w:tcPr>
          <w:p w14:paraId="56781F7D" w14:textId="77777777" w:rsidR="003C4C63" w:rsidRPr="003C4C63" w:rsidRDefault="003C4C63" w:rsidP="003C4C63">
            <w:pPr>
              <w:rPr>
                <w:rFonts w:ascii="Calibri" w:hAnsi="Calibri"/>
                <w:b/>
                <w:bCs/>
                <w:color w:val="000000"/>
                <w:sz w:val="22"/>
                <w:szCs w:val="22"/>
              </w:rPr>
            </w:pPr>
            <w:r w:rsidRPr="003C4C63">
              <w:rPr>
                <w:rFonts w:ascii="Calibri" w:hAnsi="Calibri"/>
                <w:b/>
                <w:bCs/>
                <w:color w:val="000000"/>
                <w:sz w:val="22"/>
                <w:szCs w:val="22"/>
              </w:rPr>
              <w:t>Totals</w:t>
            </w:r>
          </w:p>
        </w:tc>
        <w:tc>
          <w:tcPr>
            <w:tcW w:w="1278" w:type="dxa"/>
            <w:tcBorders>
              <w:top w:val="nil"/>
              <w:left w:val="nil"/>
              <w:bottom w:val="single" w:sz="4" w:space="0" w:color="auto"/>
              <w:right w:val="single" w:sz="4" w:space="0" w:color="auto"/>
            </w:tcBorders>
            <w:shd w:val="clear" w:color="auto" w:fill="auto"/>
            <w:noWrap/>
            <w:vAlign w:val="bottom"/>
            <w:hideMark/>
          </w:tcPr>
          <w:p w14:paraId="595CE31D" w14:textId="77777777" w:rsidR="003C4C63" w:rsidRPr="003C4C63" w:rsidRDefault="003C4C63" w:rsidP="003C4C63">
            <w:pPr>
              <w:rPr>
                <w:rFonts w:ascii="Calibri" w:hAnsi="Calibri"/>
                <w:b/>
                <w:bCs/>
                <w:color w:val="000000"/>
                <w:sz w:val="22"/>
                <w:szCs w:val="22"/>
              </w:rPr>
            </w:pPr>
            <w:r w:rsidRPr="003C4C63">
              <w:rPr>
                <w:rFonts w:ascii="Calibri" w:hAnsi="Calibri"/>
                <w:b/>
                <w:bCs/>
                <w:color w:val="000000"/>
                <w:sz w:val="22"/>
                <w:szCs w:val="22"/>
              </w:rPr>
              <w:t> </w:t>
            </w:r>
          </w:p>
        </w:tc>
        <w:tc>
          <w:tcPr>
            <w:tcW w:w="1200" w:type="dxa"/>
            <w:tcBorders>
              <w:top w:val="nil"/>
              <w:left w:val="nil"/>
              <w:bottom w:val="single" w:sz="4" w:space="0" w:color="auto"/>
              <w:right w:val="single" w:sz="4" w:space="0" w:color="auto"/>
            </w:tcBorders>
            <w:shd w:val="clear" w:color="auto" w:fill="auto"/>
            <w:noWrap/>
            <w:vAlign w:val="bottom"/>
            <w:hideMark/>
          </w:tcPr>
          <w:p w14:paraId="5B81AE2B" w14:textId="77777777" w:rsidR="003C4C63" w:rsidRPr="003C4C63" w:rsidRDefault="003C4C63" w:rsidP="003C4C63">
            <w:pPr>
              <w:rPr>
                <w:rFonts w:ascii="Calibri" w:hAnsi="Calibri"/>
                <w:b/>
                <w:bCs/>
                <w:color w:val="000000"/>
                <w:sz w:val="22"/>
                <w:szCs w:val="22"/>
              </w:rPr>
            </w:pPr>
            <w:r w:rsidRPr="003C4C63">
              <w:rPr>
                <w:rFonts w:ascii="Calibri" w:hAnsi="Calibri"/>
                <w:b/>
                <w:bCs/>
                <w:color w:val="000000"/>
                <w:sz w:val="22"/>
                <w:szCs w:val="22"/>
              </w:rPr>
              <w:t> </w:t>
            </w:r>
          </w:p>
        </w:tc>
        <w:tc>
          <w:tcPr>
            <w:tcW w:w="1240" w:type="dxa"/>
            <w:tcBorders>
              <w:top w:val="nil"/>
              <w:left w:val="nil"/>
              <w:bottom w:val="single" w:sz="4" w:space="0" w:color="auto"/>
              <w:right w:val="single" w:sz="4" w:space="0" w:color="auto"/>
            </w:tcBorders>
            <w:shd w:val="clear" w:color="auto" w:fill="auto"/>
            <w:noWrap/>
            <w:vAlign w:val="bottom"/>
            <w:hideMark/>
          </w:tcPr>
          <w:p w14:paraId="19039146" w14:textId="77777777" w:rsidR="003C4C63" w:rsidRPr="003C4C63" w:rsidRDefault="003C4C63" w:rsidP="003C4C63">
            <w:pPr>
              <w:rPr>
                <w:rFonts w:ascii="Calibri" w:hAnsi="Calibri"/>
                <w:b/>
                <w:bCs/>
                <w:color w:val="000000"/>
                <w:sz w:val="22"/>
                <w:szCs w:val="22"/>
              </w:rPr>
            </w:pPr>
            <w:r w:rsidRPr="003C4C63">
              <w:rPr>
                <w:rFonts w:ascii="Calibri" w:hAnsi="Calibri"/>
                <w:b/>
                <w:bCs/>
                <w:color w:val="000000"/>
                <w:sz w:val="22"/>
                <w:szCs w:val="22"/>
              </w:rPr>
              <w:t> </w:t>
            </w:r>
          </w:p>
        </w:tc>
        <w:tc>
          <w:tcPr>
            <w:tcW w:w="1200" w:type="dxa"/>
            <w:tcBorders>
              <w:top w:val="nil"/>
              <w:left w:val="nil"/>
              <w:bottom w:val="single" w:sz="4" w:space="0" w:color="auto"/>
              <w:right w:val="single" w:sz="4" w:space="0" w:color="auto"/>
            </w:tcBorders>
            <w:shd w:val="clear" w:color="auto" w:fill="auto"/>
            <w:noWrap/>
            <w:vAlign w:val="bottom"/>
            <w:hideMark/>
          </w:tcPr>
          <w:p w14:paraId="38E8E241" w14:textId="77777777" w:rsidR="003C4C63" w:rsidRPr="003C4C63" w:rsidRDefault="003C4C63" w:rsidP="003C4C63">
            <w:pPr>
              <w:jc w:val="center"/>
              <w:rPr>
                <w:rFonts w:ascii="Calibri" w:hAnsi="Calibri"/>
                <w:b/>
                <w:bCs/>
                <w:color w:val="000000"/>
                <w:sz w:val="22"/>
                <w:szCs w:val="22"/>
              </w:rPr>
            </w:pPr>
            <w:r w:rsidRPr="003C4C63">
              <w:rPr>
                <w:rFonts w:ascii="Calibri" w:hAnsi="Calibri"/>
                <w:b/>
                <w:bCs/>
                <w:color w:val="000000"/>
                <w:sz w:val="22"/>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14:paraId="593C9773" w14:textId="77777777" w:rsidR="003C4C63" w:rsidRPr="003C4C63" w:rsidRDefault="003C4C63" w:rsidP="003C4C63">
            <w:pPr>
              <w:jc w:val="right"/>
              <w:rPr>
                <w:rFonts w:ascii="Calibri" w:hAnsi="Calibri"/>
                <w:b/>
                <w:bCs/>
                <w:color w:val="000000"/>
                <w:sz w:val="22"/>
                <w:szCs w:val="22"/>
              </w:rPr>
            </w:pPr>
            <w:r w:rsidRPr="003C4C63">
              <w:rPr>
                <w:rFonts w:ascii="Calibri" w:hAnsi="Calibri"/>
                <w:b/>
                <w:bCs/>
                <w:color w:val="000000"/>
                <w:sz w:val="22"/>
                <w:szCs w:val="22"/>
              </w:rPr>
              <w:t>103.04</w:t>
            </w:r>
          </w:p>
        </w:tc>
        <w:tc>
          <w:tcPr>
            <w:tcW w:w="960" w:type="dxa"/>
            <w:tcBorders>
              <w:top w:val="nil"/>
              <w:left w:val="nil"/>
              <w:bottom w:val="single" w:sz="4" w:space="0" w:color="auto"/>
              <w:right w:val="single" w:sz="4" w:space="0" w:color="auto"/>
            </w:tcBorders>
            <w:shd w:val="clear" w:color="auto" w:fill="auto"/>
            <w:noWrap/>
            <w:vAlign w:val="bottom"/>
            <w:hideMark/>
          </w:tcPr>
          <w:p w14:paraId="048B0DB1" w14:textId="77777777" w:rsidR="003C4C63" w:rsidRPr="003C4C63" w:rsidRDefault="003C4C63" w:rsidP="003C4C63">
            <w:pPr>
              <w:jc w:val="right"/>
              <w:rPr>
                <w:rFonts w:ascii="Calibri" w:hAnsi="Calibri"/>
                <w:b/>
                <w:bCs/>
                <w:color w:val="000000"/>
                <w:sz w:val="22"/>
                <w:szCs w:val="22"/>
              </w:rPr>
            </w:pPr>
            <w:r w:rsidRPr="003C4C63">
              <w:rPr>
                <w:rFonts w:ascii="Calibri" w:hAnsi="Calibri"/>
                <w:b/>
                <w:bCs/>
                <w:color w:val="000000"/>
                <w:sz w:val="22"/>
                <w:szCs w:val="22"/>
              </w:rPr>
              <w:t>102.88</w:t>
            </w:r>
          </w:p>
        </w:tc>
      </w:tr>
    </w:tbl>
    <w:p w14:paraId="392A9C82" w14:textId="232DAEAC" w:rsidR="003C4C63" w:rsidRPr="003C4C63" w:rsidRDefault="003C4C63" w:rsidP="001F72DB">
      <w:pPr>
        <w:spacing w:line="480" w:lineRule="auto"/>
        <w:rPr>
          <w:rFonts w:ascii="Arial" w:hAnsi="Arial" w:cs="Arial"/>
          <w:sz w:val="24"/>
          <w:szCs w:val="24"/>
        </w:rPr>
      </w:pPr>
      <w:r>
        <w:rPr>
          <w:rFonts w:ascii="Arial" w:hAnsi="Arial" w:cs="Arial"/>
          <w:sz w:val="24"/>
          <w:szCs w:val="24"/>
        </w:rPr>
        <w:t>Sour</w:t>
      </w:r>
      <w:r w:rsidR="00A42A63">
        <w:rPr>
          <w:rFonts w:ascii="Arial" w:hAnsi="Arial" w:cs="Arial"/>
          <w:sz w:val="24"/>
          <w:szCs w:val="24"/>
        </w:rPr>
        <w:t>ce: MAC Workpapers (Exhibit C</w:t>
      </w:r>
      <w:r>
        <w:rPr>
          <w:rFonts w:ascii="Arial" w:hAnsi="Arial" w:cs="Arial"/>
          <w:sz w:val="24"/>
          <w:szCs w:val="24"/>
        </w:rPr>
        <w:t>-</w:t>
      </w:r>
      <w:r w:rsidR="00731D02">
        <w:rPr>
          <w:rFonts w:ascii="Arial" w:hAnsi="Arial" w:cs="Arial"/>
          <w:sz w:val="24"/>
          <w:szCs w:val="24"/>
        </w:rPr>
        <w:t>1</w:t>
      </w:r>
      <w:r>
        <w:rPr>
          <w:rFonts w:ascii="Arial" w:hAnsi="Arial" w:cs="Arial"/>
          <w:sz w:val="24"/>
          <w:szCs w:val="24"/>
        </w:rPr>
        <w:t>)</w:t>
      </w:r>
    </w:p>
    <w:p w14:paraId="7B18BCDB" w14:textId="59107B0E" w:rsidR="0047672E" w:rsidRPr="0047672E" w:rsidRDefault="001C1880" w:rsidP="0047672E">
      <w:pPr>
        <w:spacing w:line="480" w:lineRule="auto"/>
        <w:rPr>
          <w:rFonts w:ascii="Arial" w:hAnsi="Arial" w:cs="Arial"/>
          <w:sz w:val="24"/>
          <w:szCs w:val="24"/>
        </w:rPr>
      </w:pPr>
      <w:r>
        <w:rPr>
          <w:rFonts w:ascii="Arial" w:hAnsi="Arial" w:cs="Arial"/>
          <w:sz w:val="24"/>
          <w:szCs w:val="24"/>
        </w:rPr>
        <w:t>As an example</w:t>
      </w:r>
      <w:r w:rsidR="0047672E" w:rsidRPr="0047672E">
        <w:rPr>
          <w:rFonts w:ascii="Arial" w:hAnsi="Arial" w:cs="Arial"/>
          <w:sz w:val="24"/>
          <w:szCs w:val="24"/>
        </w:rPr>
        <w:t xml:space="preserve">, the MAC will focus on describing the computations </w:t>
      </w:r>
      <w:r w:rsidR="00D31406">
        <w:rPr>
          <w:rFonts w:ascii="Arial" w:hAnsi="Arial" w:cs="Arial"/>
          <w:sz w:val="24"/>
          <w:szCs w:val="24"/>
        </w:rPr>
        <w:t>used to revise</w:t>
      </w:r>
      <w:r w:rsidR="0047672E" w:rsidRPr="0047672E">
        <w:rPr>
          <w:rFonts w:ascii="Arial" w:hAnsi="Arial" w:cs="Arial"/>
          <w:sz w:val="24"/>
          <w:szCs w:val="24"/>
        </w:rPr>
        <w:t xml:space="preserve"> the GME FTE resident cap</w:t>
      </w:r>
      <w:r w:rsidR="003C4C63">
        <w:rPr>
          <w:rFonts w:ascii="Arial" w:hAnsi="Arial" w:cs="Arial"/>
          <w:sz w:val="24"/>
          <w:szCs w:val="24"/>
        </w:rPr>
        <w:t>, specific to the Internal Medicine P</w:t>
      </w:r>
      <w:r w:rsidR="00E16AE1">
        <w:rPr>
          <w:rFonts w:ascii="Arial" w:hAnsi="Arial" w:cs="Arial"/>
          <w:sz w:val="24"/>
          <w:szCs w:val="24"/>
        </w:rPr>
        <w:t>rogram</w:t>
      </w:r>
      <w:r w:rsidR="00A42A63">
        <w:rPr>
          <w:rFonts w:ascii="Arial" w:hAnsi="Arial" w:cs="Arial"/>
          <w:sz w:val="24"/>
          <w:szCs w:val="24"/>
        </w:rPr>
        <w:t xml:space="preserve"> (See Exhibit C</w:t>
      </w:r>
      <w:r w:rsidR="00630A02">
        <w:rPr>
          <w:rFonts w:ascii="Arial" w:hAnsi="Arial" w:cs="Arial"/>
          <w:sz w:val="24"/>
          <w:szCs w:val="24"/>
        </w:rPr>
        <w:t>-</w:t>
      </w:r>
      <w:r w:rsidR="00731D02">
        <w:rPr>
          <w:rFonts w:ascii="Arial" w:hAnsi="Arial" w:cs="Arial"/>
          <w:sz w:val="24"/>
          <w:szCs w:val="24"/>
        </w:rPr>
        <w:t>1</w:t>
      </w:r>
      <w:r w:rsidR="00630A02">
        <w:rPr>
          <w:rFonts w:ascii="Arial" w:hAnsi="Arial" w:cs="Arial"/>
          <w:sz w:val="24"/>
          <w:szCs w:val="24"/>
        </w:rPr>
        <w:t>, page 12)</w:t>
      </w:r>
      <w:r w:rsidR="0047672E" w:rsidRPr="0047672E">
        <w:rPr>
          <w:rFonts w:ascii="Arial" w:hAnsi="Arial" w:cs="Arial"/>
          <w:sz w:val="24"/>
          <w:szCs w:val="24"/>
        </w:rPr>
        <w:t>. The computations for the IME FTE resident cap are similar. The MAC first det</w:t>
      </w:r>
      <w:r w:rsidR="0045342A">
        <w:rPr>
          <w:rFonts w:ascii="Arial" w:hAnsi="Arial" w:cs="Arial"/>
          <w:sz w:val="24"/>
          <w:szCs w:val="24"/>
        </w:rPr>
        <w:t>e</w:t>
      </w:r>
      <w:r w:rsidR="00E16AE1">
        <w:rPr>
          <w:rFonts w:ascii="Arial" w:hAnsi="Arial" w:cs="Arial"/>
          <w:sz w:val="24"/>
          <w:szCs w:val="24"/>
        </w:rPr>
        <w:t xml:space="preserve">rmined there were a total of </w:t>
      </w:r>
      <w:r w:rsidR="008C50A2">
        <w:rPr>
          <w:rFonts w:ascii="Arial" w:hAnsi="Arial" w:cs="Arial"/>
          <w:sz w:val="24"/>
          <w:szCs w:val="24"/>
        </w:rPr>
        <w:t>26.5466</w:t>
      </w:r>
      <w:r w:rsidR="0047672E" w:rsidRPr="0047672E">
        <w:rPr>
          <w:rFonts w:ascii="Arial" w:hAnsi="Arial" w:cs="Arial"/>
          <w:sz w:val="24"/>
          <w:szCs w:val="24"/>
        </w:rPr>
        <w:t xml:space="preserve"> FTE residents in the third year of the pr</w:t>
      </w:r>
      <w:r w:rsidR="0045342A">
        <w:rPr>
          <w:rFonts w:ascii="Arial" w:hAnsi="Arial" w:cs="Arial"/>
          <w:sz w:val="24"/>
          <w:szCs w:val="24"/>
        </w:rPr>
        <w:t xml:space="preserve">ogram (March 1, </w:t>
      </w:r>
      <w:r w:rsidR="00E55FF3">
        <w:rPr>
          <w:rFonts w:ascii="Arial" w:hAnsi="Arial" w:cs="Arial"/>
          <w:sz w:val="24"/>
          <w:szCs w:val="24"/>
        </w:rPr>
        <w:t>2010,</w:t>
      </w:r>
      <w:r w:rsidR="0045342A">
        <w:rPr>
          <w:rFonts w:ascii="Arial" w:hAnsi="Arial" w:cs="Arial"/>
          <w:sz w:val="24"/>
          <w:szCs w:val="24"/>
        </w:rPr>
        <w:t xml:space="preserve"> through February 28, 2011) at all training locations</w:t>
      </w:r>
      <w:r w:rsidR="00E16AE1">
        <w:rPr>
          <w:rFonts w:ascii="Arial" w:hAnsi="Arial" w:cs="Arial"/>
          <w:sz w:val="24"/>
          <w:szCs w:val="24"/>
        </w:rPr>
        <w:t xml:space="preserve">. The </w:t>
      </w:r>
      <w:r w:rsidR="008C50A2">
        <w:rPr>
          <w:rFonts w:ascii="Arial" w:hAnsi="Arial" w:cs="Arial"/>
          <w:sz w:val="24"/>
          <w:szCs w:val="24"/>
        </w:rPr>
        <w:t>26.5466</w:t>
      </w:r>
      <w:r w:rsidR="0047672E" w:rsidRPr="0047672E">
        <w:rPr>
          <w:rFonts w:ascii="Arial" w:hAnsi="Arial" w:cs="Arial"/>
          <w:sz w:val="24"/>
          <w:szCs w:val="24"/>
        </w:rPr>
        <w:t xml:space="preserve"> FT</w:t>
      </w:r>
      <w:r w:rsidR="00E16AE1">
        <w:rPr>
          <w:rFonts w:ascii="Arial" w:hAnsi="Arial" w:cs="Arial"/>
          <w:sz w:val="24"/>
          <w:szCs w:val="24"/>
        </w:rPr>
        <w:t xml:space="preserve">E resident count consisted of </w:t>
      </w:r>
      <w:r w:rsidR="008C50A2">
        <w:rPr>
          <w:rFonts w:ascii="Arial" w:hAnsi="Arial" w:cs="Arial"/>
          <w:sz w:val="24"/>
          <w:szCs w:val="24"/>
        </w:rPr>
        <w:t>12.2041</w:t>
      </w:r>
      <w:r w:rsidR="0047672E" w:rsidRPr="0047672E">
        <w:rPr>
          <w:rFonts w:ascii="Arial" w:hAnsi="Arial" w:cs="Arial"/>
          <w:sz w:val="24"/>
          <w:szCs w:val="24"/>
        </w:rPr>
        <w:t xml:space="preserve"> FTE </w:t>
      </w:r>
      <w:r w:rsidR="0047672E" w:rsidRPr="0047672E">
        <w:rPr>
          <w:rFonts w:ascii="Arial" w:hAnsi="Arial" w:cs="Arial"/>
          <w:sz w:val="24"/>
          <w:szCs w:val="24"/>
        </w:rPr>
        <w:lastRenderedPageBreak/>
        <w:t>residents in their fi</w:t>
      </w:r>
      <w:r w:rsidR="0045342A">
        <w:rPr>
          <w:rFonts w:ascii="Arial" w:hAnsi="Arial" w:cs="Arial"/>
          <w:sz w:val="24"/>
          <w:szCs w:val="24"/>
        </w:rPr>
        <w:t xml:space="preserve">rst year of the </w:t>
      </w:r>
      <w:r w:rsidR="00E16AE1">
        <w:rPr>
          <w:rFonts w:ascii="Arial" w:hAnsi="Arial" w:cs="Arial"/>
          <w:sz w:val="24"/>
          <w:szCs w:val="24"/>
        </w:rPr>
        <w:t xml:space="preserve">program, </w:t>
      </w:r>
      <w:r w:rsidR="008C50A2">
        <w:rPr>
          <w:rFonts w:ascii="Arial" w:hAnsi="Arial" w:cs="Arial"/>
          <w:sz w:val="24"/>
          <w:szCs w:val="24"/>
        </w:rPr>
        <w:t>7.2795</w:t>
      </w:r>
      <w:r w:rsidR="0047672E" w:rsidRPr="0047672E">
        <w:rPr>
          <w:rFonts w:ascii="Arial" w:hAnsi="Arial" w:cs="Arial"/>
          <w:sz w:val="24"/>
          <w:szCs w:val="24"/>
        </w:rPr>
        <w:t xml:space="preserve"> FTE residents in their s</w:t>
      </w:r>
      <w:r w:rsidR="00E16AE1">
        <w:rPr>
          <w:rFonts w:ascii="Arial" w:hAnsi="Arial" w:cs="Arial"/>
          <w:sz w:val="24"/>
          <w:szCs w:val="24"/>
        </w:rPr>
        <w:t xml:space="preserve">econd year of the program and </w:t>
      </w:r>
      <w:r w:rsidR="008C50A2">
        <w:rPr>
          <w:rFonts w:ascii="Arial" w:hAnsi="Arial" w:cs="Arial"/>
          <w:sz w:val="24"/>
          <w:szCs w:val="24"/>
        </w:rPr>
        <w:t>7.063</w:t>
      </w:r>
      <w:r w:rsidR="0047672E" w:rsidRPr="0047672E">
        <w:rPr>
          <w:rFonts w:ascii="Arial" w:hAnsi="Arial" w:cs="Arial"/>
          <w:sz w:val="24"/>
          <w:szCs w:val="24"/>
        </w:rPr>
        <w:t xml:space="preserve"> FTE residents in their third year of the program. To calculate the new program FTE cap, it was necessary to multiply the highest number of FTE residents in any program year, in the third year</w:t>
      </w:r>
      <w:r w:rsidR="00E16AE1">
        <w:rPr>
          <w:rFonts w:ascii="Arial" w:hAnsi="Arial" w:cs="Arial"/>
          <w:sz w:val="24"/>
          <w:szCs w:val="24"/>
        </w:rPr>
        <w:t xml:space="preserve"> of the program, times three</w:t>
      </w:r>
      <w:r w:rsidR="003C4C63">
        <w:rPr>
          <w:rFonts w:ascii="Arial" w:hAnsi="Arial" w:cs="Arial"/>
          <w:sz w:val="24"/>
          <w:szCs w:val="24"/>
        </w:rPr>
        <w:t>, the accredited length of that program</w:t>
      </w:r>
      <w:r w:rsidR="00E16AE1">
        <w:rPr>
          <w:rFonts w:ascii="Arial" w:hAnsi="Arial" w:cs="Arial"/>
          <w:sz w:val="24"/>
          <w:szCs w:val="24"/>
        </w:rPr>
        <w:t xml:space="preserve"> (12.2041 X 3 = 36.61</w:t>
      </w:r>
      <w:r w:rsidR="0047672E" w:rsidRPr="0047672E">
        <w:rPr>
          <w:rFonts w:ascii="Arial" w:hAnsi="Arial" w:cs="Arial"/>
          <w:sz w:val="24"/>
          <w:szCs w:val="24"/>
        </w:rPr>
        <w:t xml:space="preserve">). </w:t>
      </w:r>
      <w:r w:rsidR="00E16AE1">
        <w:rPr>
          <w:rFonts w:ascii="Arial" w:hAnsi="Arial" w:cs="Arial"/>
          <w:sz w:val="24"/>
          <w:szCs w:val="24"/>
        </w:rPr>
        <w:t>This amount is limited to the number of accredited slots, which is 36.00 FTE’s. The MAC then allocated the 36.00</w:t>
      </w:r>
      <w:r w:rsidR="0047672E" w:rsidRPr="0047672E">
        <w:rPr>
          <w:rFonts w:ascii="Arial" w:hAnsi="Arial" w:cs="Arial"/>
          <w:sz w:val="24"/>
          <w:szCs w:val="24"/>
        </w:rPr>
        <w:t xml:space="preserve"> FTE resident</w:t>
      </w:r>
      <w:r w:rsidR="00E16AE1">
        <w:rPr>
          <w:rFonts w:ascii="Arial" w:hAnsi="Arial" w:cs="Arial"/>
          <w:sz w:val="24"/>
          <w:szCs w:val="24"/>
        </w:rPr>
        <w:t xml:space="preserve"> cap between the provider and other facilities</w:t>
      </w:r>
      <w:r w:rsidR="0047672E" w:rsidRPr="0047672E">
        <w:rPr>
          <w:rFonts w:ascii="Arial" w:hAnsi="Arial" w:cs="Arial"/>
          <w:sz w:val="24"/>
          <w:szCs w:val="24"/>
        </w:rPr>
        <w:t>. The allocation was based on the percentage of participating residents at each facility. The number of FTE residents participating in the</w:t>
      </w:r>
      <w:r w:rsidR="00E16AE1">
        <w:rPr>
          <w:rFonts w:ascii="Arial" w:hAnsi="Arial" w:cs="Arial"/>
          <w:sz w:val="24"/>
          <w:szCs w:val="24"/>
        </w:rPr>
        <w:t xml:space="preserve"> program at the provider was 58.6011</w:t>
      </w:r>
      <w:r w:rsidR="0047672E" w:rsidRPr="0047672E">
        <w:rPr>
          <w:rFonts w:ascii="Arial" w:hAnsi="Arial" w:cs="Arial"/>
          <w:sz w:val="24"/>
          <w:szCs w:val="24"/>
        </w:rPr>
        <w:t>, over the three-year initial period of the program. T</w:t>
      </w:r>
      <w:r w:rsidR="00E16AE1">
        <w:rPr>
          <w:rFonts w:ascii="Arial" w:hAnsi="Arial" w:cs="Arial"/>
          <w:sz w:val="24"/>
          <w:szCs w:val="24"/>
        </w:rPr>
        <w:t>he number of FTE residents at other facilit</w:t>
      </w:r>
      <w:r w:rsidR="00F41902">
        <w:rPr>
          <w:rFonts w:ascii="Arial" w:hAnsi="Arial" w:cs="Arial"/>
          <w:sz w:val="24"/>
          <w:szCs w:val="24"/>
        </w:rPr>
        <w:t>i</w:t>
      </w:r>
      <w:r w:rsidR="00E16AE1">
        <w:rPr>
          <w:rFonts w:ascii="Arial" w:hAnsi="Arial" w:cs="Arial"/>
          <w:sz w:val="24"/>
          <w:szCs w:val="24"/>
        </w:rPr>
        <w:t xml:space="preserve">es was 1.6798. There </w:t>
      </w:r>
      <w:r w:rsidR="00E55FF3">
        <w:rPr>
          <w:rFonts w:ascii="Arial" w:hAnsi="Arial" w:cs="Arial"/>
          <w:sz w:val="24"/>
          <w:szCs w:val="24"/>
        </w:rPr>
        <w:t>was</w:t>
      </w:r>
      <w:r w:rsidR="00E16AE1">
        <w:rPr>
          <w:rFonts w:ascii="Arial" w:hAnsi="Arial" w:cs="Arial"/>
          <w:sz w:val="24"/>
          <w:szCs w:val="24"/>
        </w:rPr>
        <w:t xml:space="preserve"> a total of 60.2809</w:t>
      </w:r>
      <w:r w:rsidR="0047672E" w:rsidRPr="0047672E">
        <w:rPr>
          <w:rFonts w:ascii="Arial" w:hAnsi="Arial" w:cs="Arial"/>
          <w:sz w:val="24"/>
          <w:szCs w:val="24"/>
        </w:rPr>
        <w:t xml:space="preserve"> GME FTE residents that trained in the program in the initial 3 years of the program. The provider’s percent of the total resident FTEs w</w:t>
      </w:r>
      <w:r w:rsidR="00E16AE1">
        <w:rPr>
          <w:rFonts w:ascii="Arial" w:hAnsi="Arial" w:cs="Arial"/>
          <w:sz w:val="24"/>
          <w:szCs w:val="24"/>
        </w:rPr>
        <w:t>as 97.21 percent (58.60</w:t>
      </w:r>
      <w:r w:rsidR="00695ED7">
        <w:rPr>
          <w:rFonts w:ascii="Arial" w:hAnsi="Arial" w:cs="Arial"/>
          <w:sz w:val="24"/>
          <w:szCs w:val="24"/>
        </w:rPr>
        <w:t>11 ÷ 60.2809</w:t>
      </w:r>
      <w:r w:rsidR="00E16AE1">
        <w:rPr>
          <w:rFonts w:ascii="Arial" w:hAnsi="Arial" w:cs="Arial"/>
          <w:sz w:val="24"/>
          <w:szCs w:val="24"/>
        </w:rPr>
        <w:t xml:space="preserve"> = 97.21%). The other facilities</w:t>
      </w:r>
      <w:r w:rsidR="0047672E" w:rsidRPr="0047672E">
        <w:rPr>
          <w:rFonts w:ascii="Arial" w:hAnsi="Arial" w:cs="Arial"/>
          <w:sz w:val="24"/>
          <w:szCs w:val="24"/>
        </w:rPr>
        <w:t xml:space="preserve"> percent of the total res</w:t>
      </w:r>
      <w:r w:rsidR="00154379">
        <w:rPr>
          <w:rFonts w:ascii="Arial" w:hAnsi="Arial" w:cs="Arial"/>
          <w:sz w:val="24"/>
          <w:szCs w:val="24"/>
        </w:rPr>
        <w:t>ident FTEs was 2.79</w:t>
      </w:r>
      <w:r w:rsidR="00E16AE1">
        <w:rPr>
          <w:rFonts w:ascii="Arial" w:hAnsi="Arial" w:cs="Arial"/>
          <w:sz w:val="24"/>
          <w:szCs w:val="24"/>
        </w:rPr>
        <w:t xml:space="preserve"> percent (1.6798 ÷ 60.2809 = 2.79</w:t>
      </w:r>
      <w:r w:rsidR="0047672E" w:rsidRPr="0047672E">
        <w:rPr>
          <w:rFonts w:ascii="Arial" w:hAnsi="Arial" w:cs="Arial"/>
          <w:sz w:val="24"/>
          <w:szCs w:val="24"/>
        </w:rPr>
        <w:t>%). Based on these percentages, the MAC determined that the portion of the total program cap app</w:t>
      </w:r>
      <w:r w:rsidR="00E16AE1">
        <w:rPr>
          <w:rFonts w:ascii="Arial" w:hAnsi="Arial" w:cs="Arial"/>
          <w:sz w:val="24"/>
          <w:szCs w:val="24"/>
        </w:rPr>
        <w:t>licable to the provider was a 35.00</w:t>
      </w:r>
      <w:r w:rsidR="0047672E" w:rsidRPr="0047672E">
        <w:rPr>
          <w:rFonts w:ascii="Arial" w:hAnsi="Arial" w:cs="Arial"/>
          <w:sz w:val="24"/>
          <w:szCs w:val="24"/>
        </w:rPr>
        <w:t xml:space="preserve"> FTE resident </w:t>
      </w:r>
      <w:r w:rsidR="00E16AE1">
        <w:rPr>
          <w:rFonts w:ascii="Arial" w:hAnsi="Arial" w:cs="Arial"/>
          <w:sz w:val="24"/>
          <w:szCs w:val="24"/>
        </w:rPr>
        <w:t>cap. The remaining portion, a 1.00</w:t>
      </w:r>
      <w:r w:rsidR="0047672E" w:rsidRPr="0047672E">
        <w:rPr>
          <w:rFonts w:ascii="Arial" w:hAnsi="Arial" w:cs="Arial"/>
          <w:sz w:val="24"/>
          <w:szCs w:val="24"/>
        </w:rPr>
        <w:t xml:space="preserve"> FTE r</w:t>
      </w:r>
      <w:r w:rsidR="00E16AE1">
        <w:rPr>
          <w:rFonts w:ascii="Arial" w:hAnsi="Arial" w:cs="Arial"/>
          <w:sz w:val="24"/>
          <w:szCs w:val="24"/>
        </w:rPr>
        <w:t>esident cap was applicable to other facilities</w:t>
      </w:r>
      <w:r w:rsidR="0047672E" w:rsidRPr="0047672E">
        <w:rPr>
          <w:rFonts w:ascii="Arial" w:hAnsi="Arial" w:cs="Arial"/>
          <w:sz w:val="24"/>
          <w:szCs w:val="24"/>
        </w:rPr>
        <w:t xml:space="preserve">. </w:t>
      </w:r>
    </w:p>
    <w:p w14:paraId="7A5E8258" w14:textId="77777777" w:rsidR="001F07DB" w:rsidRDefault="001F07DB" w:rsidP="00260FC1">
      <w:pPr>
        <w:rPr>
          <w:rFonts w:ascii="Arial" w:hAnsi="Arial" w:cs="Arial"/>
          <w:sz w:val="24"/>
          <w:szCs w:val="24"/>
        </w:rPr>
      </w:pPr>
    </w:p>
    <w:p w14:paraId="16BB6514" w14:textId="77777777" w:rsidR="0048683F" w:rsidRPr="00207747" w:rsidRDefault="0048683F" w:rsidP="00260FC1">
      <w:pPr>
        <w:rPr>
          <w:rFonts w:ascii="Arial" w:hAnsi="Arial" w:cs="Arial"/>
          <w:sz w:val="24"/>
          <w:szCs w:val="24"/>
        </w:rPr>
      </w:pPr>
    </w:p>
    <w:p w14:paraId="2E217487" w14:textId="77777777" w:rsidR="00260FC1" w:rsidRPr="00207747" w:rsidRDefault="00260FC1" w:rsidP="00260FC1">
      <w:pPr>
        <w:numPr>
          <w:ilvl w:val="0"/>
          <w:numId w:val="16"/>
        </w:numPr>
        <w:rPr>
          <w:rFonts w:ascii="Arial" w:hAnsi="Arial" w:cs="Arial"/>
          <w:b/>
          <w:sz w:val="24"/>
          <w:szCs w:val="24"/>
        </w:rPr>
      </w:pPr>
      <w:r w:rsidRPr="00207747">
        <w:rPr>
          <w:rFonts w:ascii="Arial" w:hAnsi="Arial" w:cs="Arial"/>
          <w:b/>
          <w:sz w:val="24"/>
          <w:szCs w:val="24"/>
        </w:rPr>
        <w:t>Argument</w:t>
      </w:r>
    </w:p>
    <w:p w14:paraId="5EBDAFCB" w14:textId="77777777" w:rsidR="000F6CDA" w:rsidRDefault="000F6CDA" w:rsidP="008742DC">
      <w:pPr>
        <w:spacing w:line="480" w:lineRule="auto"/>
        <w:rPr>
          <w:rFonts w:ascii="Arial" w:hAnsi="Arial" w:cs="Arial"/>
          <w:sz w:val="24"/>
          <w:szCs w:val="24"/>
        </w:rPr>
      </w:pPr>
    </w:p>
    <w:p w14:paraId="530DCA90" w14:textId="47C153EE" w:rsidR="00AD31F0" w:rsidRDefault="00AD31F0" w:rsidP="008742DC">
      <w:pPr>
        <w:spacing w:line="480" w:lineRule="auto"/>
        <w:rPr>
          <w:rFonts w:ascii="Arial" w:hAnsi="Arial" w:cs="Arial"/>
          <w:sz w:val="24"/>
          <w:szCs w:val="24"/>
        </w:rPr>
      </w:pPr>
      <w:r>
        <w:rPr>
          <w:rFonts w:ascii="Arial" w:hAnsi="Arial" w:cs="Arial"/>
          <w:sz w:val="24"/>
          <w:szCs w:val="24"/>
        </w:rPr>
        <w:t xml:space="preserve">The MAC contends that the caps were calculated in accordance with Medicare laws, </w:t>
      </w:r>
      <w:r w:rsidR="00F72C2A">
        <w:rPr>
          <w:rFonts w:ascii="Arial" w:hAnsi="Arial" w:cs="Arial"/>
          <w:sz w:val="24"/>
          <w:szCs w:val="24"/>
        </w:rPr>
        <w:t>regulations,</w:t>
      </w:r>
      <w:r>
        <w:rPr>
          <w:rFonts w:ascii="Arial" w:hAnsi="Arial" w:cs="Arial"/>
          <w:sz w:val="24"/>
          <w:szCs w:val="24"/>
        </w:rPr>
        <w:t xml:space="preserve"> and program instructions.</w:t>
      </w:r>
    </w:p>
    <w:p w14:paraId="5320CBBB" w14:textId="77777777" w:rsidR="0001144F" w:rsidRDefault="0001144F" w:rsidP="008742DC">
      <w:pPr>
        <w:spacing w:line="480" w:lineRule="auto"/>
        <w:rPr>
          <w:rFonts w:ascii="Arial" w:hAnsi="Arial" w:cs="Arial"/>
          <w:sz w:val="24"/>
          <w:szCs w:val="24"/>
        </w:rPr>
      </w:pPr>
    </w:p>
    <w:p w14:paraId="2C34A179" w14:textId="77777777" w:rsidR="000A4C00" w:rsidRDefault="000A4C00" w:rsidP="008742DC">
      <w:pPr>
        <w:spacing w:line="480" w:lineRule="auto"/>
        <w:rPr>
          <w:rFonts w:ascii="Arial" w:hAnsi="Arial" w:cs="Arial"/>
          <w:sz w:val="24"/>
          <w:szCs w:val="24"/>
        </w:rPr>
      </w:pPr>
      <w:r>
        <w:rPr>
          <w:rFonts w:ascii="Arial" w:hAnsi="Arial" w:cs="Arial"/>
          <w:sz w:val="24"/>
          <w:szCs w:val="24"/>
        </w:rPr>
        <w:lastRenderedPageBreak/>
        <w:t>The provider offers three main arguments about the methodology used to calculate the GME/IME Caps.  They are 1) Out-Rotation Apportionment, 2) Accredited Slot Limit, and 3) Resident Time Counting Errors.</w:t>
      </w:r>
    </w:p>
    <w:p w14:paraId="7A235EF1" w14:textId="77777777" w:rsidR="000A4C00" w:rsidRDefault="000A4C00" w:rsidP="008742DC">
      <w:pPr>
        <w:spacing w:line="480" w:lineRule="auto"/>
        <w:rPr>
          <w:rFonts w:ascii="Arial" w:hAnsi="Arial" w:cs="Arial"/>
          <w:sz w:val="24"/>
          <w:szCs w:val="24"/>
        </w:rPr>
      </w:pPr>
    </w:p>
    <w:p w14:paraId="39FE4866" w14:textId="5A50431B" w:rsidR="000A4C00" w:rsidRPr="000A4C00" w:rsidRDefault="000A4C00" w:rsidP="008742DC">
      <w:pPr>
        <w:spacing w:line="480" w:lineRule="auto"/>
        <w:rPr>
          <w:rFonts w:ascii="Arial" w:hAnsi="Arial" w:cs="Arial"/>
          <w:sz w:val="24"/>
          <w:szCs w:val="24"/>
          <w:u w:val="single"/>
        </w:rPr>
      </w:pPr>
      <w:r>
        <w:rPr>
          <w:rFonts w:ascii="Arial" w:hAnsi="Arial" w:cs="Arial"/>
          <w:sz w:val="24"/>
          <w:szCs w:val="24"/>
          <w:u w:val="single"/>
        </w:rPr>
        <w:t>Out Rotation Apportionment</w:t>
      </w:r>
    </w:p>
    <w:p w14:paraId="6B2C4CD7" w14:textId="08C1C385" w:rsidR="007F137E" w:rsidRPr="00837B55" w:rsidRDefault="008742DC" w:rsidP="007F137E">
      <w:pPr>
        <w:spacing w:line="480" w:lineRule="auto"/>
        <w:rPr>
          <w:rFonts w:ascii="Arial" w:hAnsi="Arial" w:cs="Arial"/>
          <w:sz w:val="24"/>
          <w:szCs w:val="24"/>
        </w:rPr>
      </w:pPr>
      <w:r w:rsidRPr="008742DC">
        <w:rPr>
          <w:rFonts w:ascii="Arial" w:hAnsi="Arial" w:cs="Arial"/>
          <w:sz w:val="24"/>
          <w:szCs w:val="24"/>
        </w:rPr>
        <w:t xml:space="preserve">The provider argues that the MAC should have computed the new training program GME/IME FTE resident caps based only on the provider’s number of GME/IME FTE residents trained at their facility, rather than all GME/IME FTE residents in the program that were trained at </w:t>
      </w:r>
      <w:r w:rsidR="00262C58">
        <w:rPr>
          <w:rFonts w:ascii="Arial" w:hAnsi="Arial" w:cs="Arial"/>
          <w:sz w:val="24"/>
          <w:szCs w:val="24"/>
        </w:rPr>
        <w:t>other sites</w:t>
      </w:r>
      <w:r w:rsidRPr="008742DC">
        <w:rPr>
          <w:rFonts w:ascii="Arial" w:hAnsi="Arial" w:cs="Arial"/>
          <w:sz w:val="24"/>
          <w:szCs w:val="24"/>
        </w:rPr>
        <w:t xml:space="preserve">. The provider also argues that the examples, presented by The Centers for Medicare &amp; Medicaid Services (CMS) of the means of calculating GME/IME FTE resident caps, of a new program, (which the MAC followed), do not apply. The MAC disagrees with the provider’s assertions. The provider fails to recognize that the GME/IME FTE resident cap calculations are necessary to determine the GME/IME FTE resident caps for the entire program. In addition, the provider’s method allows for a means of artificially increasing the GME/IME FTE resident caps for a provider and for all hospitals that participate in a new resident training program. </w:t>
      </w:r>
      <w:r w:rsidR="00FB4644" w:rsidRPr="008742DC">
        <w:rPr>
          <w:rFonts w:ascii="Arial" w:hAnsi="Arial" w:cs="Arial"/>
          <w:sz w:val="24"/>
          <w:szCs w:val="24"/>
        </w:rPr>
        <w:t>The MAC’s method</w:t>
      </w:r>
      <w:r w:rsidRPr="008742DC">
        <w:rPr>
          <w:rFonts w:ascii="Arial" w:hAnsi="Arial" w:cs="Arial"/>
          <w:sz w:val="24"/>
          <w:szCs w:val="24"/>
        </w:rPr>
        <w:t xml:space="preserve"> provides for an accurate means of calculating the GME/IME FTE resident caps and an equitable means of distributing of the allowable GME/IME FTE resident caps. </w:t>
      </w:r>
      <w:r w:rsidR="007F137E" w:rsidRPr="008742DC">
        <w:rPr>
          <w:rFonts w:ascii="Arial" w:hAnsi="Arial" w:cs="Arial"/>
          <w:sz w:val="24"/>
          <w:szCs w:val="24"/>
        </w:rPr>
        <w:t>The MAC’s method complies with the Medicare regulations and policy</w:t>
      </w:r>
      <w:r w:rsidR="007F137E" w:rsidRPr="00837B55">
        <w:rPr>
          <w:rFonts w:ascii="Arial" w:hAnsi="Arial" w:cs="Arial"/>
          <w:sz w:val="24"/>
          <w:szCs w:val="24"/>
        </w:rPr>
        <w:t xml:space="preserve">, that were in place prior to the issuance of August 31, </w:t>
      </w:r>
      <w:r w:rsidR="007A1FFF" w:rsidRPr="00837B55">
        <w:rPr>
          <w:rFonts w:ascii="Arial" w:hAnsi="Arial" w:cs="Arial"/>
          <w:sz w:val="24"/>
          <w:szCs w:val="24"/>
        </w:rPr>
        <w:t>2012,</w:t>
      </w:r>
      <w:r w:rsidR="007F137E" w:rsidRPr="00837B55">
        <w:rPr>
          <w:rFonts w:ascii="Arial" w:hAnsi="Arial" w:cs="Arial"/>
          <w:sz w:val="24"/>
          <w:szCs w:val="24"/>
        </w:rPr>
        <w:t xml:space="preserve"> </w:t>
      </w:r>
      <w:r w:rsidR="007F137E" w:rsidRPr="00837B55">
        <w:rPr>
          <w:rFonts w:ascii="Arial" w:hAnsi="Arial" w:cs="Arial"/>
          <w:i/>
          <w:sz w:val="24"/>
          <w:szCs w:val="24"/>
        </w:rPr>
        <w:t>Federal Register</w:t>
      </w:r>
      <w:r w:rsidR="007F137E" w:rsidRPr="00837B55">
        <w:rPr>
          <w:rFonts w:ascii="Arial" w:hAnsi="Arial" w:cs="Arial"/>
          <w:sz w:val="24"/>
          <w:szCs w:val="24"/>
        </w:rPr>
        <w:t xml:space="preserve"> (77 FR 53416), which provided clarification of existing regul</w:t>
      </w:r>
      <w:r w:rsidR="007F137E">
        <w:rPr>
          <w:rFonts w:ascii="Arial" w:hAnsi="Arial" w:cs="Arial"/>
          <w:sz w:val="24"/>
          <w:szCs w:val="24"/>
        </w:rPr>
        <w:t>ations. (Exhibit C-</w:t>
      </w:r>
      <w:r w:rsidR="00731D02">
        <w:rPr>
          <w:rFonts w:ascii="Arial" w:hAnsi="Arial" w:cs="Arial"/>
          <w:sz w:val="24"/>
          <w:szCs w:val="24"/>
        </w:rPr>
        <w:t>3</w:t>
      </w:r>
      <w:r w:rsidR="007F137E" w:rsidRPr="00837B55">
        <w:rPr>
          <w:rFonts w:ascii="Arial" w:hAnsi="Arial" w:cs="Arial"/>
          <w:sz w:val="24"/>
          <w:szCs w:val="24"/>
        </w:rPr>
        <w:t>)</w:t>
      </w:r>
    </w:p>
    <w:p w14:paraId="1D8CC181" w14:textId="77777777" w:rsidR="008742DC" w:rsidRPr="008742DC" w:rsidRDefault="008742DC" w:rsidP="008742DC">
      <w:pPr>
        <w:spacing w:line="480" w:lineRule="auto"/>
        <w:rPr>
          <w:rFonts w:ascii="Arial" w:hAnsi="Arial" w:cs="Arial"/>
          <w:sz w:val="24"/>
          <w:szCs w:val="24"/>
        </w:rPr>
      </w:pPr>
    </w:p>
    <w:p w14:paraId="3BE82CD5" w14:textId="77777777" w:rsidR="008742DC" w:rsidRPr="008742DC" w:rsidRDefault="008742DC" w:rsidP="008742DC">
      <w:pPr>
        <w:spacing w:line="480" w:lineRule="auto"/>
        <w:rPr>
          <w:rFonts w:ascii="Arial" w:hAnsi="Arial" w:cs="Arial"/>
          <w:sz w:val="24"/>
          <w:szCs w:val="24"/>
        </w:rPr>
      </w:pPr>
      <w:r w:rsidRPr="008742DC">
        <w:rPr>
          <w:rFonts w:ascii="Arial" w:hAnsi="Arial" w:cs="Arial"/>
          <w:sz w:val="24"/>
          <w:szCs w:val="24"/>
        </w:rPr>
        <w:lastRenderedPageBreak/>
        <w:t xml:space="preserve">The calculation of both GME and IME payments are affected by the number of FTE residents that a hospital can count. Generally, the greater number of FTE residents a hospital counts, the greater the amount of GME and IME payments a hospital may receive. To end the incentive for hospitals to increase the number of FTE residents, a limit was established on the number of allopathic and osteopathic FTE residents a hospital may claim for GME and IME payment purposes. The Balance Budget Act of 1997 established that a hospital’s FTE resident count for GME payments, may not exceed the hospital’s unweighted FTE resident count for the hospital’s most recent cost reporting period ending on or before December 31, 1996. </w:t>
      </w:r>
      <w:r w:rsidR="007E0801">
        <w:rPr>
          <w:rFonts w:ascii="Arial" w:hAnsi="Arial" w:cs="Arial"/>
          <w:sz w:val="24"/>
          <w:szCs w:val="24"/>
        </w:rPr>
        <w:t xml:space="preserve">A similar limit was enacted for </w:t>
      </w:r>
      <w:r w:rsidRPr="008742DC">
        <w:rPr>
          <w:rFonts w:ascii="Arial" w:hAnsi="Arial" w:cs="Arial"/>
          <w:sz w:val="24"/>
          <w:szCs w:val="24"/>
        </w:rPr>
        <w:t>FTE resident counts for a hospital’s IME payment</w:t>
      </w:r>
      <w:r w:rsidR="007E0801">
        <w:rPr>
          <w:rFonts w:ascii="Arial" w:hAnsi="Arial" w:cs="Arial"/>
          <w:sz w:val="24"/>
          <w:szCs w:val="24"/>
        </w:rPr>
        <w:t xml:space="preserve"> effective with</w:t>
      </w:r>
      <w:r w:rsidRPr="008742DC">
        <w:rPr>
          <w:rFonts w:ascii="Arial" w:hAnsi="Arial" w:cs="Arial"/>
          <w:sz w:val="24"/>
          <w:szCs w:val="24"/>
        </w:rPr>
        <w:t xml:space="preserve"> discharges occurring on or after October 1, 1997. CMS was required to establish rules for calculating GME/IME FTE resident caps for new programs established on or after January 1, 1995, which would otherwise be zero. Under the established method, a hospital’s unweighted FTE resident cap may be adjusted, based on the product of multiplying the highest number of FTE residents in any program year during the third year of the new program, for each new residency training program established during the three-year period (known as the three-year window). </w:t>
      </w:r>
    </w:p>
    <w:p w14:paraId="550CBF58" w14:textId="77777777" w:rsidR="008742DC" w:rsidRPr="008742DC" w:rsidRDefault="008742DC" w:rsidP="008742DC">
      <w:pPr>
        <w:spacing w:line="480" w:lineRule="auto"/>
        <w:rPr>
          <w:rFonts w:ascii="Arial" w:hAnsi="Arial" w:cs="Arial"/>
          <w:sz w:val="24"/>
          <w:szCs w:val="24"/>
        </w:rPr>
      </w:pPr>
    </w:p>
    <w:p w14:paraId="6515763F" w14:textId="36D9E2DE" w:rsidR="008742DC" w:rsidRPr="008742DC" w:rsidRDefault="00FD2DC5" w:rsidP="008742DC">
      <w:pPr>
        <w:spacing w:line="480" w:lineRule="auto"/>
        <w:rPr>
          <w:rFonts w:ascii="Arial" w:hAnsi="Arial" w:cs="Arial"/>
          <w:sz w:val="24"/>
          <w:szCs w:val="24"/>
        </w:rPr>
      </w:pPr>
      <w:r>
        <w:rPr>
          <w:rFonts w:ascii="Arial" w:hAnsi="Arial" w:cs="Arial"/>
          <w:sz w:val="24"/>
          <w:szCs w:val="24"/>
        </w:rPr>
        <w:t>T</w:t>
      </w:r>
      <w:r w:rsidR="008742DC" w:rsidRPr="008742DC">
        <w:rPr>
          <w:rFonts w:ascii="Arial" w:hAnsi="Arial" w:cs="Arial"/>
          <w:sz w:val="24"/>
          <w:szCs w:val="24"/>
        </w:rPr>
        <w:t xml:space="preserve">he three-year window, </w:t>
      </w:r>
      <w:r>
        <w:rPr>
          <w:rFonts w:ascii="Arial" w:hAnsi="Arial" w:cs="Arial"/>
          <w:sz w:val="24"/>
          <w:szCs w:val="24"/>
        </w:rPr>
        <w:t>in which a hospital can</w:t>
      </w:r>
      <w:r w:rsidR="008742DC" w:rsidRPr="008742DC">
        <w:rPr>
          <w:rFonts w:ascii="Arial" w:hAnsi="Arial" w:cs="Arial"/>
          <w:sz w:val="24"/>
          <w:szCs w:val="24"/>
        </w:rPr>
        <w:t xml:space="preserve"> “grow” its program for </w:t>
      </w:r>
      <w:r>
        <w:rPr>
          <w:rFonts w:ascii="Arial" w:hAnsi="Arial" w:cs="Arial"/>
          <w:sz w:val="24"/>
          <w:szCs w:val="24"/>
        </w:rPr>
        <w:t xml:space="preserve">the purpose of </w:t>
      </w:r>
      <w:r w:rsidR="008742DC" w:rsidRPr="008742DC">
        <w:rPr>
          <w:rFonts w:ascii="Arial" w:hAnsi="Arial" w:cs="Arial"/>
          <w:sz w:val="24"/>
          <w:szCs w:val="24"/>
        </w:rPr>
        <w:t>establishing its FTE resident caps, was increased to a five-year window</w:t>
      </w:r>
      <w:r>
        <w:rPr>
          <w:rFonts w:ascii="Arial" w:hAnsi="Arial" w:cs="Arial"/>
          <w:sz w:val="24"/>
          <w:szCs w:val="24"/>
        </w:rPr>
        <w:t xml:space="preserve"> through the Affordable Care Act (ACA)</w:t>
      </w:r>
      <w:r w:rsidR="008742DC" w:rsidRPr="008742DC">
        <w:rPr>
          <w:rFonts w:ascii="Arial" w:hAnsi="Arial" w:cs="Arial"/>
          <w:sz w:val="24"/>
          <w:szCs w:val="24"/>
        </w:rPr>
        <w:t xml:space="preserve">. When the proposed rules were published for implementing the ACA (Federal Register, Vol. 77, No. 92, May 11, </w:t>
      </w:r>
      <w:r w:rsidR="008742DC" w:rsidRPr="008742DC">
        <w:rPr>
          <w:rFonts w:ascii="Arial" w:hAnsi="Arial" w:cs="Arial"/>
          <w:sz w:val="24"/>
          <w:szCs w:val="24"/>
        </w:rPr>
        <w:lastRenderedPageBreak/>
        <w:t xml:space="preserve">2012), CMS also proposed to add a discussion of the methodology used to calculate qualifying teaching hospitals’ cap adjustments for a new residency training </w:t>
      </w:r>
      <w:r w:rsidR="00F72C2A" w:rsidRPr="008742DC">
        <w:rPr>
          <w:rFonts w:ascii="Arial" w:hAnsi="Arial" w:cs="Arial"/>
          <w:sz w:val="24"/>
          <w:szCs w:val="24"/>
        </w:rPr>
        <w:t>program if</w:t>
      </w:r>
      <w:r w:rsidR="008742DC" w:rsidRPr="008742DC">
        <w:rPr>
          <w:rFonts w:ascii="Arial" w:hAnsi="Arial" w:cs="Arial"/>
          <w:sz w:val="24"/>
          <w:szCs w:val="24"/>
        </w:rPr>
        <w:t xml:space="preserve"> residents training in a new program are rotating to more than one hospital. The proposed metho</w:t>
      </w:r>
      <w:r w:rsidR="000A4C00">
        <w:rPr>
          <w:rFonts w:ascii="Arial" w:hAnsi="Arial" w:cs="Arial"/>
          <w:sz w:val="24"/>
          <w:szCs w:val="24"/>
        </w:rPr>
        <w:t>d became part of the final rule</w:t>
      </w:r>
      <w:r w:rsidR="00144DAD">
        <w:rPr>
          <w:rFonts w:ascii="Arial" w:hAnsi="Arial" w:cs="Arial"/>
          <w:sz w:val="24"/>
          <w:szCs w:val="24"/>
        </w:rPr>
        <w:t xml:space="preserve">.  Refer to </w:t>
      </w:r>
      <w:r w:rsidR="000A4C00">
        <w:rPr>
          <w:rFonts w:ascii="Arial" w:hAnsi="Arial" w:cs="Arial"/>
          <w:sz w:val="24"/>
          <w:szCs w:val="24"/>
        </w:rPr>
        <w:t xml:space="preserve">77 </w:t>
      </w:r>
      <w:r w:rsidR="008742DC" w:rsidRPr="008742DC">
        <w:rPr>
          <w:rFonts w:ascii="Arial" w:hAnsi="Arial" w:cs="Arial"/>
          <w:sz w:val="24"/>
          <w:szCs w:val="24"/>
        </w:rPr>
        <w:t>FR pages 27979 and 27980</w:t>
      </w:r>
      <w:r w:rsidR="000A4C00">
        <w:rPr>
          <w:rFonts w:ascii="Arial" w:hAnsi="Arial" w:cs="Arial"/>
          <w:sz w:val="24"/>
          <w:szCs w:val="24"/>
        </w:rPr>
        <w:t xml:space="preserve"> (May 11, 2012) and 77 FR page 53418 (August 31, 2012</w:t>
      </w:r>
      <w:r w:rsidR="008742DC" w:rsidRPr="008742DC">
        <w:rPr>
          <w:rFonts w:ascii="Arial" w:hAnsi="Arial" w:cs="Arial"/>
          <w:sz w:val="24"/>
          <w:szCs w:val="24"/>
        </w:rPr>
        <w:t>)</w:t>
      </w:r>
      <w:r w:rsidR="00A42A63">
        <w:rPr>
          <w:rFonts w:ascii="Arial" w:hAnsi="Arial" w:cs="Arial"/>
          <w:sz w:val="24"/>
          <w:szCs w:val="24"/>
        </w:rPr>
        <w:t xml:space="preserve"> (Exhibit C</w:t>
      </w:r>
      <w:r w:rsidR="000A4C00">
        <w:rPr>
          <w:rFonts w:ascii="Arial" w:hAnsi="Arial" w:cs="Arial"/>
          <w:sz w:val="24"/>
          <w:szCs w:val="24"/>
        </w:rPr>
        <w:t>-</w:t>
      </w:r>
      <w:r w:rsidR="00731D02">
        <w:rPr>
          <w:rFonts w:ascii="Arial" w:hAnsi="Arial" w:cs="Arial"/>
          <w:sz w:val="24"/>
          <w:szCs w:val="24"/>
        </w:rPr>
        <w:t>3</w:t>
      </w:r>
      <w:r w:rsidR="000A4C00">
        <w:rPr>
          <w:rFonts w:ascii="Arial" w:hAnsi="Arial" w:cs="Arial"/>
          <w:sz w:val="24"/>
          <w:szCs w:val="24"/>
        </w:rPr>
        <w:t>).</w:t>
      </w:r>
      <w:r w:rsidR="008742DC" w:rsidRPr="008742DC">
        <w:rPr>
          <w:rFonts w:ascii="Arial" w:hAnsi="Arial" w:cs="Arial"/>
          <w:sz w:val="24"/>
          <w:szCs w:val="24"/>
        </w:rPr>
        <w:t xml:space="preserve"> Because the purpose is to establish a cap for a new program, rather than only one of the hospitals participating in the program, CMS looks at the highest total number of FTE residents training in any program year at all participating hospitals, to which the residents rotate and multiplies that highest FTE resident count by the number of years, residents are expected to complete the program. That product is allocated to the hospitals participating in the program, based on each hospital’s ratio of the number FTE residents in the new prog</w:t>
      </w:r>
      <w:r w:rsidR="007F137E">
        <w:rPr>
          <w:rFonts w:ascii="Arial" w:hAnsi="Arial" w:cs="Arial"/>
          <w:sz w:val="24"/>
          <w:szCs w:val="24"/>
        </w:rPr>
        <w:t>ram over the course of the grow-</w:t>
      </w:r>
      <w:r w:rsidR="008742DC" w:rsidRPr="008742DC">
        <w:rPr>
          <w:rFonts w:ascii="Arial" w:hAnsi="Arial" w:cs="Arial"/>
          <w:sz w:val="24"/>
          <w:szCs w:val="24"/>
        </w:rPr>
        <w:t xml:space="preserve">period, to the total number of FTE residents that trained under the new program. </w:t>
      </w:r>
    </w:p>
    <w:p w14:paraId="03664294" w14:textId="77777777" w:rsidR="000A4C00" w:rsidRPr="000A4C00" w:rsidRDefault="000A4C00" w:rsidP="008742DC">
      <w:pPr>
        <w:spacing w:line="480" w:lineRule="auto"/>
        <w:rPr>
          <w:rFonts w:ascii="Arial" w:hAnsi="Arial" w:cs="Arial"/>
          <w:sz w:val="24"/>
          <w:szCs w:val="24"/>
          <w:u w:val="single"/>
        </w:rPr>
      </w:pPr>
    </w:p>
    <w:p w14:paraId="0514ECA1" w14:textId="77777777" w:rsidR="007F137E" w:rsidRDefault="008742DC" w:rsidP="008742DC">
      <w:pPr>
        <w:spacing w:line="480" w:lineRule="auto"/>
        <w:rPr>
          <w:rFonts w:ascii="Arial" w:hAnsi="Arial" w:cs="Arial"/>
          <w:sz w:val="24"/>
          <w:szCs w:val="24"/>
        </w:rPr>
      </w:pPr>
      <w:r w:rsidRPr="008742DC">
        <w:rPr>
          <w:rFonts w:ascii="Arial" w:hAnsi="Arial" w:cs="Arial"/>
          <w:sz w:val="24"/>
          <w:szCs w:val="24"/>
        </w:rPr>
        <w:t xml:space="preserve">In this specific case, the provider wishes to base their FTE resident cap only on the highest number of residents, in any program year, </w:t>
      </w:r>
      <w:r w:rsidRPr="008742DC">
        <w:rPr>
          <w:rFonts w:ascii="Arial" w:hAnsi="Arial" w:cs="Arial"/>
          <w:i/>
          <w:sz w:val="24"/>
          <w:szCs w:val="24"/>
        </w:rPr>
        <w:t>they</w:t>
      </w:r>
      <w:r w:rsidRPr="008742DC">
        <w:rPr>
          <w:rFonts w:ascii="Arial" w:hAnsi="Arial" w:cs="Arial"/>
          <w:sz w:val="24"/>
          <w:szCs w:val="24"/>
        </w:rPr>
        <w:t xml:space="preserve"> trained in the last year of the three-year grow period, rather than the percentage of all residents trained, over the three-year grow period. </w:t>
      </w:r>
      <w:r w:rsidR="004846BE">
        <w:rPr>
          <w:rFonts w:ascii="Arial" w:hAnsi="Arial" w:cs="Arial"/>
          <w:sz w:val="24"/>
          <w:szCs w:val="24"/>
        </w:rPr>
        <w:t xml:space="preserve">If the other training </w:t>
      </w:r>
      <w:r w:rsidR="005A703E">
        <w:rPr>
          <w:rFonts w:ascii="Arial" w:hAnsi="Arial" w:cs="Arial"/>
          <w:sz w:val="24"/>
          <w:szCs w:val="24"/>
        </w:rPr>
        <w:t>s</w:t>
      </w:r>
      <w:r w:rsidR="004846BE">
        <w:rPr>
          <w:rFonts w:ascii="Arial" w:hAnsi="Arial" w:cs="Arial"/>
          <w:sz w:val="24"/>
          <w:szCs w:val="24"/>
        </w:rPr>
        <w:t>ites were</w:t>
      </w:r>
      <w:r w:rsidRPr="008742DC">
        <w:rPr>
          <w:rFonts w:ascii="Arial" w:hAnsi="Arial" w:cs="Arial"/>
          <w:sz w:val="24"/>
          <w:szCs w:val="24"/>
        </w:rPr>
        <w:t xml:space="preserve"> Medicare certified acute-care hospital</w:t>
      </w:r>
      <w:r w:rsidR="004846BE">
        <w:rPr>
          <w:rFonts w:ascii="Arial" w:hAnsi="Arial" w:cs="Arial"/>
          <w:sz w:val="24"/>
          <w:szCs w:val="24"/>
        </w:rPr>
        <w:t>s</w:t>
      </w:r>
      <w:r w:rsidRPr="008742DC">
        <w:rPr>
          <w:rFonts w:ascii="Arial" w:hAnsi="Arial" w:cs="Arial"/>
          <w:sz w:val="24"/>
          <w:szCs w:val="24"/>
        </w:rPr>
        <w:t xml:space="preserve">, that needed to establish FTE resident caps for the new program, they surely would be arguing that the method, outlined in the Federal Registers (proposed and final rules), is the appropriate method. Using the method outlined in the Federal Register, which the MAC relied upon, </w:t>
      </w:r>
      <w:r w:rsidRPr="008742DC">
        <w:rPr>
          <w:rFonts w:ascii="Arial" w:hAnsi="Arial" w:cs="Arial"/>
          <w:sz w:val="24"/>
          <w:szCs w:val="24"/>
        </w:rPr>
        <w:lastRenderedPageBreak/>
        <w:t xml:space="preserve">accurately calculates overall FTE resident caps for the new resident training programs and appropriately allocates the caps to all hospitals that participated in the training. </w:t>
      </w:r>
    </w:p>
    <w:p w14:paraId="0EC68D32" w14:textId="77777777" w:rsidR="007F137E" w:rsidRDefault="007F137E" w:rsidP="008742DC">
      <w:pPr>
        <w:spacing w:line="480" w:lineRule="auto"/>
        <w:rPr>
          <w:rFonts w:ascii="Arial" w:hAnsi="Arial" w:cs="Arial"/>
          <w:sz w:val="24"/>
          <w:szCs w:val="24"/>
        </w:rPr>
      </w:pPr>
    </w:p>
    <w:p w14:paraId="72236D2F" w14:textId="77777777" w:rsidR="008742DC" w:rsidRPr="008742DC" w:rsidRDefault="008742DC" w:rsidP="008742DC">
      <w:pPr>
        <w:spacing w:line="480" w:lineRule="auto"/>
        <w:rPr>
          <w:rFonts w:ascii="Arial" w:hAnsi="Arial" w:cs="Arial"/>
          <w:sz w:val="24"/>
          <w:szCs w:val="24"/>
        </w:rPr>
      </w:pPr>
      <w:r w:rsidRPr="008742DC">
        <w:rPr>
          <w:rFonts w:ascii="Arial" w:hAnsi="Arial" w:cs="Arial"/>
          <w:sz w:val="24"/>
          <w:szCs w:val="24"/>
        </w:rPr>
        <w:t xml:space="preserve">The provider’s method is clearly flawed because, if it is applied to two or more hospitals (certified for Medicare), participating in a new training program, it could establish FTE resident caps in total (combing all hospitals’ caps) greater than the total number of resident slots approved for the program. Again, the MAC asserts the method outlined in the Federal Registers and applied by the MAC, determines the FTE resident cap for the entire new program and then equitably allocates it to the participating providers.      </w:t>
      </w:r>
    </w:p>
    <w:p w14:paraId="5420A2DA" w14:textId="77777777" w:rsidR="008742DC" w:rsidRPr="008742DC" w:rsidRDefault="008742DC" w:rsidP="008742DC">
      <w:pPr>
        <w:spacing w:line="480" w:lineRule="auto"/>
        <w:rPr>
          <w:rFonts w:ascii="Arial" w:hAnsi="Arial" w:cs="Arial"/>
          <w:sz w:val="24"/>
          <w:szCs w:val="24"/>
        </w:rPr>
      </w:pPr>
    </w:p>
    <w:p w14:paraId="03146BED" w14:textId="77777777" w:rsidR="008742DC" w:rsidRDefault="008742DC" w:rsidP="008742DC">
      <w:pPr>
        <w:spacing w:line="480" w:lineRule="auto"/>
        <w:rPr>
          <w:rFonts w:ascii="Arial" w:hAnsi="Arial" w:cs="Arial"/>
          <w:sz w:val="24"/>
          <w:szCs w:val="24"/>
        </w:rPr>
      </w:pPr>
      <w:r w:rsidRPr="008742DC">
        <w:rPr>
          <w:rFonts w:ascii="Arial" w:hAnsi="Arial" w:cs="Arial"/>
          <w:sz w:val="24"/>
          <w:szCs w:val="24"/>
        </w:rPr>
        <w:t>The provider argues that MAC applied regulations that are only applicable to new programs, beginning on or after October 1, 2012. The provider also argues that CMS implement</w:t>
      </w:r>
      <w:r w:rsidR="0086116F">
        <w:rPr>
          <w:rFonts w:ascii="Arial" w:hAnsi="Arial" w:cs="Arial"/>
          <w:sz w:val="24"/>
          <w:szCs w:val="24"/>
        </w:rPr>
        <w:t>ed</w:t>
      </w:r>
      <w:r w:rsidRPr="008742DC">
        <w:rPr>
          <w:rFonts w:ascii="Arial" w:hAnsi="Arial" w:cs="Arial"/>
          <w:sz w:val="24"/>
          <w:szCs w:val="24"/>
        </w:rPr>
        <w:t xml:space="preserve"> rule changes without following proper procedures. The MAC disagrees with the provider’s contentions. The method outlined in the Federal Register (proposed and final rules) is a clarification rather than a rule change, for all applicable hospital’s participating in a new training program. The method enforces the existing regulations by limiting a new program FTE resident cap to the number of residents trained in the grow period and/or the number of training slots approved by the Accrediting Council for Graduate Medical Education. </w:t>
      </w:r>
    </w:p>
    <w:p w14:paraId="417D17B3" w14:textId="77777777" w:rsidR="007F137E" w:rsidRDefault="007F137E" w:rsidP="008742DC">
      <w:pPr>
        <w:spacing w:line="480" w:lineRule="auto"/>
        <w:rPr>
          <w:rFonts w:ascii="Arial" w:hAnsi="Arial" w:cs="Arial"/>
          <w:sz w:val="24"/>
          <w:szCs w:val="24"/>
        </w:rPr>
      </w:pPr>
    </w:p>
    <w:p w14:paraId="7702F522" w14:textId="77777777" w:rsidR="007F137E" w:rsidRPr="00837B55" w:rsidRDefault="007F137E" w:rsidP="007F137E">
      <w:pPr>
        <w:spacing w:line="480" w:lineRule="auto"/>
        <w:rPr>
          <w:rFonts w:ascii="Arial" w:hAnsi="Arial" w:cs="Arial"/>
          <w:sz w:val="24"/>
          <w:szCs w:val="24"/>
        </w:rPr>
      </w:pPr>
      <w:r w:rsidRPr="00837B55">
        <w:rPr>
          <w:rFonts w:ascii="Arial" w:hAnsi="Arial" w:cs="Arial"/>
          <w:sz w:val="24"/>
          <w:szCs w:val="24"/>
        </w:rPr>
        <w:lastRenderedPageBreak/>
        <w:t>The Provider argues that there was not a single resident that spent an entire program year at another hospital; therefore, no adjustment is required for residents that rotated to other hospitals. The Provider incorrectly interpreted the regulations that were in place when the Internal Medicine program began. The regulation at 42 C.F.R. § 413.79(e)(1)(</w:t>
      </w:r>
      <w:proofErr w:type="spellStart"/>
      <w:r w:rsidRPr="00837B55">
        <w:rPr>
          <w:rFonts w:ascii="Arial" w:hAnsi="Arial" w:cs="Arial"/>
          <w:sz w:val="24"/>
          <w:szCs w:val="24"/>
        </w:rPr>
        <w:t>i</w:t>
      </w:r>
      <w:proofErr w:type="spellEnd"/>
      <w:r w:rsidRPr="00837B55">
        <w:rPr>
          <w:rFonts w:ascii="Arial" w:hAnsi="Arial" w:cs="Arial"/>
          <w:sz w:val="24"/>
          <w:szCs w:val="24"/>
        </w:rPr>
        <w:t>) previously stated:</w:t>
      </w:r>
    </w:p>
    <w:p w14:paraId="478318A8" w14:textId="77777777" w:rsidR="007F137E" w:rsidRPr="00837B55" w:rsidRDefault="007F137E" w:rsidP="007F137E">
      <w:pPr>
        <w:spacing w:line="480" w:lineRule="auto"/>
        <w:rPr>
          <w:rFonts w:ascii="Arial" w:hAnsi="Arial" w:cs="Arial"/>
          <w:sz w:val="24"/>
          <w:szCs w:val="24"/>
        </w:rPr>
      </w:pPr>
    </w:p>
    <w:p w14:paraId="0B55AFE3" w14:textId="77777777" w:rsidR="007F137E" w:rsidRPr="00837B55" w:rsidRDefault="007F137E" w:rsidP="007F137E">
      <w:pPr>
        <w:ind w:left="720"/>
        <w:rPr>
          <w:rFonts w:ascii="Arial" w:hAnsi="Arial" w:cs="Arial"/>
          <w:sz w:val="24"/>
          <w:szCs w:val="24"/>
        </w:rPr>
      </w:pPr>
      <w:r w:rsidRPr="00837B55">
        <w:rPr>
          <w:rFonts w:ascii="Arial" w:hAnsi="Arial" w:cs="Arial"/>
          <w:sz w:val="24"/>
          <w:szCs w:val="24"/>
        </w:rPr>
        <w:t>If the residents are spending an entire program year (or years) at one hospital and the remainder of the program at another hospital the adjustment to each respective hospital’s cap is equal to the product of the highest number of residents in any program year during the third year of the first program’s existence and the number of years the residents are training at each respective hospital.</w:t>
      </w:r>
    </w:p>
    <w:p w14:paraId="71495C8C" w14:textId="77777777" w:rsidR="007F137E" w:rsidRPr="00837B55" w:rsidRDefault="007F137E" w:rsidP="007F137E">
      <w:pPr>
        <w:spacing w:line="480" w:lineRule="auto"/>
        <w:rPr>
          <w:rFonts w:ascii="Arial" w:hAnsi="Arial" w:cs="Arial"/>
          <w:sz w:val="24"/>
          <w:szCs w:val="24"/>
        </w:rPr>
      </w:pPr>
    </w:p>
    <w:p w14:paraId="267052D5" w14:textId="77777777" w:rsidR="007F137E" w:rsidRDefault="007F137E" w:rsidP="007F137E">
      <w:pPr>
        <w:spacing w:line="480" w:lineRule="auto"/>
        <w:rPr>
          <w:rFonts w:ascii="Arial" w:hAnsi="Arial" w:cs="Arial"/>
          <w:sz w:val="24"/>
          <w:szCs w:val="24"/>
        </w:rPr>
      </w:pPr>
      <w:r w:rsidRPr="00837B55">
        <w:rPr>
          <w:rFonts w:ascii="Arial" w:hAnsi="Arial" w:cs="Arial"/>
          <w:sz w:val="24"/>
          <w:szCs w:val="24"/>
        </w:rPr>
        <w:t xml:space="preserve">This regulation does not state that providers and contractors should focus on the rotation of an individual resident. If the regulation is only applicable when a single resident spent an entire program year at another hospital, the regulation would have likely stated, if </w:t>
      </w:r>
      <w:r w:rsidRPr="00837B55">
        <w:rPr>
          <w:rFonts w:ascii="Arial" w:hAnsi="Arial" w:cs="Arial"/>
          <w:i/>
          <w:sz w:val="24"/>
          <w:szCs w:val="24"/>
        </w:rPr>
        <w:t>a resident</w:t>
      </w:r>
      <w:r w:rsidRPr="00837B55">
        <w:rPr>
          <w:rFonts w:ascii="Arial" w:hAnsi="Arial" w:cs="Arial"/>
          <w:sz w:val="24"/>
          <w:szCs w:val="24"/>
        </w:rPr>
        <w:t xml:space="preserve"> spent an entire program year… However, the regulation addresses all residents. Furthermore, if the regulation only applied when a single resident rotated for an entire year to another hospital, there would be no need for the regulation. It would be a very rare incident that any single resident would spend an entire year (or years) at another hospital, when the other residents of the same program a</w:t>
      </w:r>
      <w:r>
        <w:rPr>
          <w:rFonts w:ascii="Arial" w:hAnsi="Arial" w:cs="Arial"/>
          <w:sz w:val="24"/>
          <w:szCs w:val="24"/>
        </w:rPr>
        <w:t>re training at other hospitals.</w:t>
      </w:r>
    </w:p>
    <w:p w14:paraId="3E26857A" w14:textId="77777777" w:rsidR="007F137E" w:rsidRDefault="007F137E" w:rsidP="007F137E">
      <w:pPr>
        <w:spacing w:line="480" w:lineRule="auto"/>
        <w:rPr>
          <w:rFonts w:ascii="Arial" w:hAnsi="Arial" w:cs="Arial"/>
          <w:sz w:val="24"/>
          <w:szCs w:val="24"/>
        </w:rPr>
      </w:pPr>
    </w:p>
    <w:p w14:paraId="66DB79D3" w14:textId="77777777" w:rsidR="007F137E" w:rsidRPr="0070160C" w:rsidRDefault="007F137E" w:rsidP="007F137E">
      <w:pPr>
        <w:spacing w:line="480" w:lineRule="auto"/>
        <w:rPr>
          <w:rFonts w:ascii="Arial" w:hAnsi="Arial" w:cs="Arial"/>
          <w:sz w:val="24"/>
          <w:szCs w:val="24"/>
        </w:rPr>
      </w:pPr>
      <w:r w:rsidRPr="0070160C">
        <w:rPr>
          <w:rFonts w:ascii="Arial" w:hAnsi="Arial" w:cs="Arial"/>
          <w:sz w:val="24"/>
          <w:szCs w:val="24"/>
        </w:rPr>
        <w:t xml:space="preserve">The Provider’s interpretation is flawed. One must ask, why would a Provider be entitled to a cap that is based on the number of FTE residents they did not train? The Provider relies on an unclear sentence in the regulations. It would be a </w:t>
      </w:r>
      <w:r w:rsidRPr="0070160C">
        <w:rPr>
          <w:rFonts w:ascii="Arial" w:hAnsi="Arial" w:cs="Arial"/>
          <w:sz w:val="24"/>
          <w:szCs w:val="24"/>
        </w:rPr>
        <w:lastRenderedPageBreak/>
        <w:t>rather small view of the complex Medicare regulations and policies at issue, to hold that one sentence (one that is clearly taken out of context) is controlling, in the determination of the Provider’s allowable DGME/IME FTE resident caps.</w:t>
      </w:r>
    </w:p>
    <w:p w14:paraId="0CDD920F" w14:textId="77777777" w:rsidR="007F137E" w:rsidRDefault="007F137E" w:rsidP="008742DC">
      <w:pPr>
        <w:spacing w:line="480" w:lineRule="auto"/>
        <w:rPr>
          <w:rFonts w:ascii="Arial" w:hAnsi="Arial" w:cs="Arial"/>
          <w:sz w:val="24"/>
          <w:szCs w:val="24"/>
        </w:rPr>
      </w:pPr>
    </w:p>
    <w:p w14:paraId="2B390D56" w14:textId="5F2C9A7A" w:rsidR="000A4C00" w:rsidRDefault="000A4C00" w:rsidP="00F72C2A">
      <w:pPr>
        <w:spacing w:line="480" w:lineRule="auto"/>
        <w:ind w:right="144"/>
        <w:rPr>
          <w:rFonts w:ascii="Arial" w:hAnsi="Arial" w:cs="Arial"/>
          <w:sz w:val="24"/>
          <w:szCs w:val="24"/>
        </w:rPr>
      </w:pPr>
      <w:r>
        <w:rPr>
          <w:rFonts w:ascii="Arial" w:hAnsi="Arial" w:cs="Arial"/>
          <w:sz w:val="24"/>
          <w:szCs w:val="24"/>
        </w:rPr>
        <w:t xml:space="preserve">As explained in the August 31, </w:t>
      </w:r>
      <w:r w:rsidR="00F72C2A">
        <w:rPr>
          <w:rFonts w:ascii="Arial" w:hAnsi="Arial" w:cs="Arial"/>
          <w:sz w:val="24"/>
          <w:szCs w:val="24"/>
        </w:rPr>
        <w:t>2012,</w:t>
      </w:r>
      <w:r>
        <w:rPr>
          <w:rFonts w:ascii="Arial" w:hAnsi="Arial" w:cs="Arial"/>
          <w:sz w:val="24"/>
          <w:szCs w:val="24"/>
        </w:rPr>
        <w:t xml:space="preserve"> Federal R</w:t>
      </w:r>
      <w:r w:rsidR="00A42A63">
        <w:rPr>
          <w:rFonts w:ascii="Arial" w:hAnsi="Arial" w:cs="Arial"/>
          <w:sz w:val="24"/>
          <w:szCs w:val="24"/>
        </w:rPr>
        <w:t>egister (77 FR 53418) (Exhibit C</w:t>
      </w:r>
      <w:r>
        <w:rPr>
          <w:rFonts w:ascii="Arial" w:hAnsi="Arial" w:cs="Arial"/>
          <w:sz w:val="24"/>
          <w:szCs w:val="24"/>
        </w:rPr>
        <w:t>-</w:t>
      </w:r>
      <w:r w:rsidR="00731D02">
        <w:rPr>
          <w:rFonts w:ascii="Arial" w:hAnsi="Arial" w:cs="Arial"/>
          <w:sz w:val="24"/>
          <w:szCs w:val="24"/>
        </w:rPr>
        <w:t>3</w:t>
      </w:r>
      <w:r>
        <w:rPr>
          <w:rFonts w:ascii="Arial" w:hAnsi="Arial" w:cs="Arial"/>
          <w:sz w:val="24"/>
          <w:szCs w:val="24"/>
        </w:rPr>
        <w:t>):</w:t>
      </w:r>
    </w:p>
    <w:p w14:paraId="46C16572" w14:textId="77777777" w:rsidR="000A4C00" w:rsidRPr="008742DC" w:rsidRDefault="000A4C00" w:rsidP="000A4C00">
      <w:pPr>
        <w:ind w:left="720"/>
        <w:rPr>
          <w:rFonts w:ascii="Arial" w:hAnsi="Arial" w:cs="Arial"/>
          <w:sz w:val="24"/>
          <w:szCs w:val="24"/>
        </w:rPr>
      </w:pPr>
      <w:r>
        <w:rPr>
          <w:rFonts w:ascii="Arial" w:hAnsi="Arial" w:cs="Arial"/>
          <w:sz w:val="24"/>
          <w:szCs w:val="24"/>
        </w:rPr>
        <w:t>We also noted that § 413.79(e)(1) applies in instances where the residents in the new program train only at one hospital; § 413.79(e)(1)(</w:t>
      </w:r>
      <w:proofErr w:type="spellStart"/>
      <w:r>
        <w:rPr>
          <w:rFonts w:ascii="Arial" w:hAnsi="Arial" w:cs="Arial"/>
          <w:sz w:val="24"/>
          <w:szCs w:val="24"/>
        </w:rPr>
        <w:t>i</w:t>
      </w:r>
      <w:proofErr w:type="spellEnd"/>
      <w:r>
        <w:rPr>
          <w:rFonts w:ascii="Arial" w:hAnsi="Arial" w:cs="Arial"/>
          <w:sz w:val="24"/>
          <w:szCs w:val="24"/>
        </w:rPr>
        <w:t>) applies whe</w:t>
      </w:r>
      <w:r w:rsidR="00BA37D5">
        <w:rPr>
          <w:rFonts w:ascii="Arial" w:hAnsi="Arial" w:cs="Arial"/>
          <w:sz w:val="24"/>
          <w:szCs w:val="24"/>
        </w:rPr>
        <w:t>n</w:t>
      </w:r>
      <w:r>
        <w:rPr>
          <w:rFonts w:ascii="Arial" w:hAnsi="Arial" w:cs="Arial"/>
          <w:sz w:val="24"/>
          <w:szCs w:val="24"/>
        </w:rPr>
        <w:t xml:space="preserve"> residents in the new program train at more than one hospital, regardless of whether each of those hospitals are hospitals that qualify for a permanent cap adjustment or existing teaching hospitals with previously established caps.</w:t>
      </w:r>
    </w:p>
    <w:p w14:paraId="045DB204" w14:textId="77777777" w:rsidR="008742DC" w:rsidRDefault="008742DC" w:rsidP="008742DC">
      <w:pPr>
        <w:spacing w:line="480" w:lineRule="auto"/>
        <w:rPr>
          <w:rFonts w:ascii="Arial" w:hAnsi="Arial" w:cs="Arial"/>
          <w:sz w:val="24"/>
          <w:szCs w:val="24"/>
        </w:rPr>
      </w:pPr>
    </w:p>
    <w:p w14:paraId="1982F0A3" w14:textId="77777777" w:rsidR="000A4C00" w:rsidRDefault="000A4C00" w:rsidP="008742DC">
      <w:pPr>
        <w:spacing w:line="480" w:lineRule="auto"/>
        <w:rPr>
          <w:rFonts w:ascii="Arial" w:hAnsi="Arial" w:cs="Arial"/>
          <w:sz w:val="24"/>
          <w:szCs w:val="24"/>
        </w:rPr>
      </w:pPr>
      <w:r>
        <w:rPr>
          <w:rFonts w:ascii="Arial" w:hAnsi="Arial" w:cs="Arial"/>
          <w:sz w:val="24"/>
          <w:szCs w:val="24"/>
        </w:rPr>
        <w:t>The change in the regulation was to allow for a five-year cap building window for hospitals that begin new programs on or after October 1, 2012.  The basic methodology of calculating the cap for the period during which the three-year cap building window applied was not changed.</w:t>
      </w:r>
    </w:p>
    <w:p w14:paraId="4F5664FF" w14:textId="77777777" w:rsidR="007F137E" w:rsidRDefault="007F137E" w:rsidP="008742DC">
      <w:pPr>
        <w:spacing w:line="480" w:lineRule="auto"/>
        <w:rPr>
          <w:rFonts w:ascii="Arial" w:hAnsi="Arial" w:cs="Arial"/>
          <w:sz w:val="24"/>
          <w:szCs w:val="24"/>
        </w:rPr>
      </w:pPr>
    </w:p>
    <w:p w14:paraId="1D92FE02" w14:textId="69940570" w:rsidR="007F137E" w:rsidRDefault="007F137E" w:rsidP="007F137E">
      <w:pPr>
        <w:spacing w:line="480" w:lineRule="auto"/>
        <w:rPr>
          <w:rFonts w:ascii="Arial" w:hAnsi="Arial" w:cs="Arial"/>
          <w:sz w:val="24"/>
          <w:szCs w:val="24"/>
        </w:rPr>
      </w:pPr>
      <w:r w:rsidRPr="00107F1E">
        <w:rPr>
          <w:rFonts w:ascii="Arial" w:hAnsi="Arial" w:cs="Arial"/>
          <w:sz w:val="24"/>
          <w:szCs w:val="24"/>
        </w:rPr>
        <w:t xml:space="preserve">The Board issued a decision, regarding DGME/IME FTE caps [Beaumont Hospital, Wayne (formerly known as Oakwood Annapolis Hospital) v. Wisconsin Physicians Service, (“Beaumont-Wayne v. WPS”), 2018-D33]. The MAC </w:t>
      </w:r>
      <w:r w:rsidR="002351AD">
        <w:rPr>
          <w:rFonts w:ascii="Arial" w:hAnsi="Arial" w:cs="Arial"/>
          <w:sz w:val="24"/>
          <w:szCs w:val="24"/>
        </w:rPr>
        <w:t>contends</w:t>
      </w:r>
      <w:r w:rsidRPr="00107F1E">
        <w:rPr>
          <w:rFonts w:ascii="Arial" w:hAnsi="Arial" w:cs="Arial"/>
          <w:sz w:val="24"/>
          <w:szCs w:val="24"/>
        </w:rPr>
        <w:t xml:space="preserve"> the Board rendered an incorrect decision</w:t>
      </w:r>
      <w:r w:rsidR="00723B2D">
        <w:rPr>
          <w:rFonts w:ascii="Arial" w:hAnsi="Arial" w:cs="Arial"/>
          <w:sz w:val="24"/>
          <w:szCs w:val="24"/>
        </w:rPr>
        <w:t>. Specific to that case were stipulations regarding the cap not exceeding the total accredited slots</w:t>
      </w:r>
      <w:r w:rsidRPr="00107F1E">
        <w:rPr>
          <w:rFonts w:ascii="Arial" w:hAnsi="Arial" w:cs="Arial"/>
          <w:sz w:val="24"/>
          <w:szCs w:val="24"/>
        </w:rPr>
        <w:t xml:space="preserve">. The Board concluded that no adjustment was required for out-rotations since the residents were only spending a portion of the year at other hospitals and not the entire program year at the other hospitals. The Board also concluded that the 2012 </w:t>
      </w:r>
      <w:r w:rsidRPr="00107F1E">
        <w:rPr>
          <w:rFonts w:ascii="Arial" w:hAnsi="Arial" w:cs="Arial"/>
          <w:sz w:val="24"/>
          <w:szCs w:val="24"/>
        </w:rPr>
        <w:lastRenderedPageBreak/>
        <w:t>regulation was not a modification, but rather a change to the way out-rotations were handled in the calculation of the GME/IME FTE caps for a new medical residency training program. However, the Medicare Administrator vacated th</w:t>
      </w:r>
      <w:r>
        <w:rPr>
          <w:rFonts w:ascii="Arial" w:hAnsi="Arial" w:cs="Arial"/>
          <w:sz w:val="24"/>
          <w:szCs w:val="24"/>
        </w:rPr>
        <w:t>e Board’s decision.</w:t>
      </w:r>
      <w:r w:rsidR="002351AD">
        <w:rPr>
          <w:rStyle w:val="FootnoteReference"/>
          <w:rFonts w:ascii="Arial" w:hAnsi="Arial" w:cs="Arial"/>
          <w:sz w:val="24"/>
          <w:szCs w:val="24"/>
        </w:rPr>
        <w:footnoteReference w:id="1"/>
      </w:r>
      <w:r>
        <w:rPr>
          <w:rFonts w:ascii="Arial" w:hAnsi="Arial" w:cs="Arial"/>
          <w:sz w:val="24"/>
          <w:szCs w:val="24"/>
        </w:rPr>
        <w:t xml:space="preserve"> </w:t>
      </w:r>
      <w:r w:rsidRPr="00107F1E">
        <w:rPr>
          <w:rFonts w:ascii="Arial" w:hAnsi="Arial" w:cs="Arial"/>
          <w:sz w:val="24"/>
          <w:szCs w:val="24"/>
        </w:rPr>
        <w:t xml:space="preserve">The Administrator found that CMS formally made corrections and </w:t>
      </w:r>
      <w:r w:rsidRPr="00107F1E">
        <w:rPr>
          <w:rFonts w:ascii="Arial" w:hAnsi="Arial" w:cs="Arial"/>
          <w:i/>
          <w:sz w:val="24"/>
          <w:szCs w:val="24"/>
        </w:rPr>
        <w:t>clarifications</w:t>
      </w:r>
      <w:r w:rsidRPr="00107F1E">
        <w:rPr>
          <w:rFonts w:ascii="Arial" w:hAnsi="Arial" w:cs="Arial"/>
          <w:sz w:val="24"/>
          <w:szCs w:val="24"/>
        </w:rPr>
        <w:t xml:space="preserve"> in the August 31, </w:t>
      </w:r>
      <w:r w:rsidR="00F72C2A" w:rsidRPr="00107F1E">
        <w:rPr>
          <w:rFonts w:ascii="Arial" w:hAnsi="Arial" w:cs="Arial"/>
          <w:sz w:val="24"/>
          <w:szCs w:val="24"/>
        </w:rPr>
        <w:t>2012,</w:t>
      </w:r>
      <w:r w:rsidRPr="00107F1E">
        <w:rPr>
          <w:rFonts w:ascii="Arial" w:hAnsi="Arial" w:cs="Arial"/>
          <w:sz w:val="24"/>
          <w:szCs w:val="24"/>
        </w:rPr>
        <w:t xml:space="preserve"> </w:t>
      </w:r>
      <w:r w:rsidRPr="00107F1E">
        <w:rPr>
          <w:rFonts w:ascii="Arial" w:hAnsi="Arial" w:cs="Arial"/>
          <w:i/>
          <w:sz w:val="24"/>
          <w:szCs w:val="24"/>
        </w:rPr>
        <w:t>Federal Register</w:t>
      </w:r>
      <w:r w:rsidRPr="00107F1E">
        <w:rPr>
          <w:rFonts w:ascii="Arial" w:hAnsi="Arial" w:cs="Arial"/>
          <w:sz w:val="24"/>
          <w:szCs w:val="24"/>
        </w:rPr>
        <w:t xml:space="preserve"> (77 FR 53416) to better elucidate policies developed in the 1999 rulemaking. </w:t>
      </w:r>
    </w:p>
    <w:p w14:paraId="00EAAEB1" w14:textId="463C7A0B" w:rsidR="002351AD" w:rsidRDefault="002351AD" w:rsidP="007F137E">
      <w:pPr>
        <w:spacing w:line="480" w:lineRule="auto"/>
        <w:rPr>
          <w:rFonts w:ascii="Arial" w:hAnsi="Arial" w:cs="Arial"/>
          <w:sz w:val="24"/>
          <w:szCs w:val="24"/>
        </w:rPr>
      </w:pPr>
    </w:p>
    <w:p w14:paraId="1922C540" w14:textId="19514AB9" w:rsidR="002351AD" w:rsidRPr="00107F1E" w:rsidRDefault="002351AD" w:rsidP="002351AD">
      <w:pPr>
        <w:spacing w:line="480" w:lineRule="auto"/>
        <w:rPr>
          <w:rFonts w:ascii="Arial" w:hAnsi="Arial" w:cs="Arial"/>
          <w:sz w:val="24"/>
          <w:szCs w:val="24"/>
        </w:rPr>
      </w:pPr>
      <w:r w:rsidRPr="002351AD">
        <w:rPr>
          <w:rFonts w:ascii="Arial" w:hAnsi="Arial" w:cs="Arial"/>
          <w:sz w:val="24"/>
          <w:szCs w:val="24"/>
        </w:rPr>
        <w:t xml:space="preserve">The provider in </w:t>
      </w:r>
      <w:r w:rsidRPr="002351AD">
        <w:rPr>
          <w:rFonts w:ascii="Arial" w:hAnsi="Arial" w:cs="Arial"/>
          <w:i/>
          <w:iCs/>
          <w:sz w:val="24"/>
          <w:szCs w:val="24"/>
        </w:rPr>
        <w:t xml:space="preserve">Beaumont </w:t>
      </w:r>
      <w:r w:rsidRPr="002351AD">
        <w:rPr>
          <w:rFonts w:ascii="Arial" w:hAnsi="Arial" w:cs="Arial"/>
          <w:sz w:val="24"/>
          <w:szCs w:val="24"/>
        </w:rPr>
        <w:t>appealed the Administrator’s reversal of the Board’s decision to the</w:t>
      </w:r>
      <w:r>
        <w:rPr>
          <w:rFonts w:ascii="Arial" w:hAnsi="Arial" w:cs="Arial"/>
          <w:sz w:val="24"/>
          <w:szCs w:val="24"/>
        </w:rPr>
        <w:t xml:space="preserve"> </w:t>
      </w:r>
      <w:r w:rsidRPr="002351AD">
        <w:rPr>
          <w:rFonts w:ascii="Arial" w:hAnsi="Arial" w:cs="Arial"/>
          <w:sz w:val="24"/>
          <w:szCs w:val="24"/>
        </w:rPr>
        <w:t>District Court in the Eastern District of Michigan, Southern Division in Case no. 18-12352.</w:t>
      </w:r>
      <w:r>
        <w:rPr>
          <w:rFonts w:ascii="Arial" w:hAnsi="Arial" w:cs="Arial"/>
          <w:sz w:val="24"/>
          <w:szCs w:val="24"/>
        </w:rPr>
        <w:t xml:space="preserve"> (</w:t>
      </w:r>
      <w:r w:rsidRPr="002351AD">
        <w:rPr>
          <w:rFonts w:ascii="Arial" w:hAnsi="Arial" w:cs="Arial"/>
          <w:i/>
          <w:iCs/>
          <w:sz w:val="24"/>
          <w:szCs w:val="24"/>
        </w:rPr>
        <w:t>Beaumont Hospital – Wayne f/k/a Oakwood Annapolis Hospital vs. Alex Azar II</w:t>
      </w:r>
      <w:r w:rsidRPr="002351AD">
        <w:rPr>
          <w:rFonts w:ascii="Arial" w:hAnsi="Arial" w:cs="Arial"/>
          <w:sz w:val="24"/>
          <w:szCs w:val="24"/>
        </w:rPr>
        <w:t>, Case 2:18-cv-12352-VAR-MKM.</w:t>
      </w:r>
      <w:r w:rsidR="00350590">
        <w:rPr>
          <w:rStyle w:val="FootnoteReference"/>
          <w:rFonts w:ascii="Arial" w:hAnsi="Arial" w:cs="Arial"/>
          <w:sz w:val="24"/>
          <w:szCs w:val="24"/>
        </w:rPr>
        <w:footnoteReference w:id="2"/>
      </w:r>
      <w:r w:rsidR="00350590">
        <w:rPr>
          <w:rFonts w:ascii="Arial" w:hAnsi="Arial" w:cs="Arial"/>
          <w:sz w:val="24"/>
          <w:szCs w:val="24"/>
        </w:rPr>
        <w:t xml:space="preserve">  </w:t>
      </w:r>
      <w:r w:rsidRPr="002351AD">
        <w:rPr>
          <w:rFonts w:ascii="Arial" w:hAnsi="Arial" w:cs="Arial"/>
          <w:sz w:val="24"/>
          <w:szCs w:val="24"/>
        </w:rPr>
        <w:t>The Court was asked to decide: (</w:t>
      </w:r>
      <w:proofErr w:type="spellStart"/>
      <w:r w:rsidRPr="002351AD">
        <w:rPr>
          <w:rFonts w:ascii="Arial" w:hAnsi="Arial" w:cs="Arial"/>
          <w:sz w:val="24"/>
          <w:szCs w:val="24"/>
        </w:rPr>
        <w:t>i</w:t>
      </w:r>
      <w:proofErr w:type="spellEnd"/>
      <w:r w:rsidRPr="002351AD">
        <w:rPr>
          <w:rFonts w:ascii="Arial" w:hAnsi="Arial" w:cs="Arial"/>
          <w:sz w:val="24"/>
          <w:szCs w:val="24"/>
        </w:rPr>
        <w:t>) whether the 2007 version</w:t>
      </w:r>
      <w:r>
        <w:rPr>
          <w:rFonts w:ascii="Arial" w:hAnsi="Arial" w:cs="Arial"/>
          <w:sz w:val="24"/>
          <w:szCs w:val="24"/>
        </w:rPr>
        <w:t xml:space="preserve"> </w:t>
      </w:r>
      <w:r w:rsidRPr="002351AD">
        <w:rPr>
          <w:rFonts w:ascii="Arial" w:hAnsi="Arial" w:cs="Arial"/>
          <w:sz w:val="24"/>
          <w:szCs w:val="24"/>
        </w:rPr>
        <w:t>or the 2012 version of the regulation is a clarification or new enactment, and (ii) the</w:t>
      </w:r>
      <w:r>
        <w:rPr>
          <w:rFonts w:ascii="Arial" w:hAnsi="Arial" w:cs="Arial"/>
          <w:sz w:val="24"/>
          <w:szCs w:val="24"/>
        </w:rPr>
        <w:t xml:space="preserve"> </w:t>
      </w:r>
      <w:r w:rsidRPr="002351AD">
        <w:rPr>
          <w:rFonts w:ascii="Arial" w:hAnsi="Arial" w:cs="Arial"/>
          <w:sz w:val="24"/>
          <w:szCs w:val="24"/>
        </w:rPr>
        <w:t>calculation</w:t>
      </w:r>
      <w:r>
        <w:rPr>
          <w:rFonts w:ascii="Arial" w:hAnsi="Arial" w:cs="Arial"/>
          <w:sz w:val="24"/>
          <w:szCs w:val="24"/>
        </w:rPr>
        <w:t xml:space="preserve"> </w:t>
      </w:r>
      <w:r w:rsidRPr="002351AD">
        <w:rPr>
          <w:rFonts w:ascii="Arial" w:hAnsi="Arial" w:cs="Arial"/>
          <w:sz w:val="24"/>
          <w:szCs w:val="24"/>
        </w:rPr>
        <w:t>of GME and IME costs pursuant to the 2007 regulation.</w:t>
      </w:r>
    </w:p>
    <w:p w14:paraId="2B276333" w14:textId="25EFEB36" w:rsidR="007F137E" w:rsidRDefault="007F137E" w:rsidP="007F137E">
      <w:pPr>
        <w:spacing w:line="480" w:lineRule="auto"/>
        <w:rPr>
          <w:rFonts w:ascii="Arial" w:hAnsi="Arial" w:cs="Arial"/>
          <w:sz w:val="24"/>
          <w:szCs w:val="24"/>
        </w:rPr>
      </w:pPr>
    </w:p>
    <w:p w14:paraId="001F44EC" w14:textId="2582F541" w:rsidR="002351AD" w:rsidRDefault="002351AD" w:rsidP="002351AD">
      <w:pPr>
        <w:spacing w:line="480" w:lineRule="auto"/>
        <w:rPr>
          <w:rFonts w:ascii="Arial" w:hAnsi="Arial" w:cs="Arial"/>
          <w:sz w:val="24"/>
          <w:szCs w:val="24"/>
        </w:rPr>
      </w:pPr>
      <w:r w:rsidRPr="002351AD">
        <w:rPr>
          <w:rFonts w:ascii="Arial" w:hAnsi="Arial" w:cs="Arial"/>
          <w:sz w:val="24"/>
          <w:szCs w:val="24"/>
        </w:rPr>
        <w:t xml:space="preserve">The issue in </w:t>
      </w:r>
      <w:r w:rsidRPr="002351AD">
        <w:rPr>
          <w:rFonts w:ascii="Arial" w:hAnsi="Arial" w:cs="Arial"/>
          <w:i/>
          <w:iCs/>
          <w:sz w:val="24"/>
          <w:szCs w:val="24"/>
        </w:rPr>
        <w:t xml:space="preserve">Beaumont </w:t>
      </w:r>
      <w:r w:rsidRPr="002351AD">
        <w:rPr>
          <w:rFonts w:ascii="Arial" w:hAnsi="Arial" w:cs="Arial"/>
          <w:sz w:val="24"/>
          <w:szCs w:val="24"/>
        </w:rPr>
        <w:t>was whether the provider was entitled to additional reimbursement under</w:t>
      </w:r>
      <w:r>
        <w:rPr>
          <w:rFonts w:ascii="Arial" w:hAnsi="Arial" w:cs="Arial"/>
          <w:sz w:val="24"/>
          <w:szCs w:val="24"/>
        </w:rPr>
        <w:t xml:space="preserve"> </w:t>
      </w:r>
      <w:r w:rsidRPr="002351AD">
        <w:rPr>
          <w:rFonts w:ascii="Arial" w:hAnsi="Arial" w:cs="Arial"/>
          <w:sz w:val="24"/>
          <w:szCs w:val="24"/>
        </w:rPr>
        <w:t>the Medicare Act for costs it incurred to train medical residents who spent partial years training</w:t>
      </w:r>
      <w:r>
        <w:rPr>
          <w:rFonts w:ascii="Arial" w:hAnsi="Arial" w:cs="Arial"/>
          <w:sz w:val="24"/>
          <w:szCs w:val="24"/>
        </w:rPr>
        <w:t xml:space="preserve"> </w:t>
      </w:r>
      <w:r w:rsidRPr="002351AD">
        <w:rPr>
          <w:rFonts w:ascii="Arial" w:hAnsi="Arial" w:cs="Arial"/>
          <w:sz w:val="24"/>
          <w:szCs w:val="24"/>
        </w:rPr>
        <w:t>at other teaching hospitals during fiscal years 2004 through 2007. The parties disagreed whether</w:t>
      </w:r>
      <w:r>
        <w:rPr>
          <w:rFonts w:ascii="Arial" w:hAnsi="Arial" w:cs="Arial"/>
          <w:sz w:val="24"/>
          <w:szCs w:val="24"/>
        </w:rPr>
        <w:t xml:space="preserve"> </w:t>
      </w:r>
      <w:r w:rsidRPr="002351AD">
        <w:rPr>
          <w:rFonts w:ascii="Arial" w:hAnsi="Arial" w:cs="Arial"/>
          <w:sz w:val="24"/>
          <w:szCs w:val="24"/>
        </w:rPr>
        <w:t>the 2007 regulation required CMS to apportion the GME and IME caps to each hospital that</w:t>
      </w:r>
      <w:r>
        <w:rPr>
          <w:rFonts w:ascii="Arial" w:hAnsi="Arial" w:cs="Arial"/>
          <w:sz w:val="24"/>
          <w:szCs w:val="24"/>
        </w:rPr>
        <w:t xml:space="preserve"> </w:t>
      </w:r>
      <w:r w:rsidRPr="002351AD">
        <w:rPr>
          <w:rFonts w:ascii="Arial" w:hAnsi="Arial" w:cs="Arial"/>
          <w:sz w:val="24"/>
          <w:szCs w:val="24"/>
        </w:rPr>
        <w:t>trained residents in the new program.</w:t>
      </w:r>
    </w:p>
    <w:p w14:paraId="7401B111" w14:textId="77777777" w:rsidR="009D7B8F" w:rsidRDefault="009D7B8F" w:rsidP="002351AD">
      <w:pPr>
        <w:spacing w:line="480" w:lineRule="auto"/>
        <w:rPr>
          <w:rFonts w:ascii="Arial" w:hAnsi="Arial" w:cs="Arial"/>
          <w:sz w:val="24"/>
          <w:szCs w:val="24"/>
        </w:rPr>
      </w:pPr>
    </w:p>
    <w:p w14:paraId="2C07808D" w14:textId="1D9B8BE4" w:rsidR="002351AD" w:rsidRDefault="002351AD" w:rsidP="002351AD">
      <w:pPr>
        <w:spacing w:line="480" w:lineRule="auto"/>
        <w:rPr>
          <w:rFonts w:ascii="Arial" w:hAnsi="Arial" w:cs="Arial"/>
          <w:sz w:val="24"/>
          <w:szCs w:val="24"/>
        </w:rPr>
      </w:pPr>
      <w:r w:rsidRPr="002351AD">
        <w:rPr>
          <w:rFonts w:ascii="Arial" w:hAnsi="Arial" w:cs="Arial"/>
          <w:sz w:val="24"/>
          <w:szCs w:val="24"/>
        </w:rPr>
        <w:lastRenderedPageBreak/>
        <w:t>Beaumont established a new family medicine training program. Thereafter, Beaumont applied</w:t>
      </w:r>
      <w:r>
        <w:rPr>
          <w:rFonts w:ascii="Arial" w:hAnsi="Arial" w:cs="Arial"/>
          <w:sz w:val="24"/>
          <w:szCs w:val="24"/>
        </w:rPr>
        <w:t xml:space="preserve"> </w:t>
      </w:r>
      <w:r w:rsidRPr="002351AD">
        <w:rPr>
          <w:rFonts w:ascii="Arial" w:hAnsi="Arial" w:cs="Arial"/>
          <w:sz w:val="24"/>
          <w:szCs w:val="24"/>
        </w:rPr>
        <w:t>the FTE caps on an aggregate basis. Beaumont had a three-year window for establishing its FTE</w:t>
      </w:r>
      <w:r>
        <w:rPr>
          <w:rFonts w:ascii="Arial" w:hAnsi="Arial" w:cs="Arial"/>
          <w:sz w:val="24"/>
          <w:szCs w:val="24"/>
        </w:rPr>
        <w:t xml:space="preserve"> </w:t>
      </w:r>
      <w:r w:rsidRPr="002351AD">
        <w:rPr>
          <w:rFonts w:ascii="Arial" w:hAnsi="Arial" w:cs="Arial"/>
          <w:sz w:val="24"/>
          <w:szCs w:val="24"/>
        </w:rPr>
        <w:t>resident cap. The program was accredited for 30 total positions or slots. During the first three</w:t>
      </w:r>
      <w:r>
        <w:rPr>
          <w:rFonts w:ascii="Arial" w:hAnsi="Arial" w:cs="Arial"/>
          <w:sz w:val="24"/>
          <w:szCs w:val="24"/>
        </w:rPr>
        <w:t xml:space="preserve"> </w:t>
      </w:r>
      <w:r w:rsidRPr="002351AD">
        <w:rPr>
          <w:rFonts w:ascii="Arial" w:hAnsi="Arial" w:cs="Arial"/>
          <w:sz w:val="24"/>
          <w:szCs w:val="24"/>
        </w:rPr>
        <w:t>years of the program, some residents spent time training at two other hospitals – Beaumont</w:t>
      </w:r>
      <w:r>
        <w:rPr>
          <w:rFonts w:ascii="Arial" w:hAnsi="Arial" w:cs="Arial"/>
          <w:sz w:val="24"/>
          <w:szCs w:val="24"/>
        </w:rPr>
        <w:t xml:space="preserve"> </w:t>
      </w:r>
      <w:r w:rsidRPr="002351AD">
        <w:rPr>
          <w:rFonts w:ascii="Arial" w:hAnsi="Arial" w:cs="Arial"/>
          <w:sz w:val="24"/>
          <w:szCs w:val="24"/>
        </w:rPr>
        <w:t>Hospital-Dearborn and Beaumont Hospital-Trenton</w:t>
      </w:r>
      <w:r>
        <w:rPr>
          <w:rFonts w:ascii="Arial" w:hAnsi="Arial" w:cs="Arial"/>
          <w:sz w:val="24"/>
          <w:szCs w:val="24"/>
        </w:rPr>
        <w:t>.</w:t>
      </w:r>
    </w:p>
    <w:p w14:paraId="735258CE" w14:textId="3925D2C5" w:rsidR="002351AD" w:rsidRDefault="002351AD" w:rsidP="002351AD">
      <w:pPr>
        <w:spacing w:line="480" w:lineRule="auto"/>
        <w:rPr>
          <w:rFonts w:ascii="Arial" w:hAnsi="Arial" w:cs="Arial"/>
          <w:sz w:val="24"/>
          <w:szCs w:val="24"/>
        </w:rPr>
      </w:pPr>
    </w:p>
    <w:p w14:paraId="58D575D8" w14:textId="3D4D8628" w:rsidR="002351AD" w:rsidRPr="002351AD" w:rsidRDefault="002351AD" w:rsidP="002351AD">
      <w:pPr>
        <w:spacing w:line="480" w:lineRule="auto"/>
        <w:rPr>
          <w:rFonts w:ascii="Arial" w:hAnsi="Arial" w:cs="Arial"/>
          <w:sz w:val="24"/>
          <w:szCs w:val="24"/>
        </w:rPr>
      </w:pPr>
      <w:r w:rsidRPr="002351AD">
        <w:rPr>
          <w:rFonts w:ascii="Arial" w:hAnsi="Arial" w:cs="Arial"/>
          <w:sz w:val="24"/>
          <w:szCs w:val="24"/>
        </w:rPr>
        <w:t>In calculating Beaumont’s FTE resident caps, the MAC apportioned caps based on the percentage</w:t>
      </w:r>
      <w:r>
        <w:rPr>
          <w:rFonts w:ascii="Arial" w:hAnsi="Arial" w:cs="Arial"/>
          <w:sz w:val="24"/>
          <w:szCs w:val="24"/>
        </w:rPr>
        <w:t xml:space="preserve"> </w:t>
      </w:r>
      <w:r w:rsidRPr="002351AD">
        <w:rPr>
          <w:rFonts w:ascii="Arial" w:hAnsi="Arial" w:cs="Arial"/>
          <w:sz w:val="24"/>
          <w:szCs w:val="24"/>
        </w:rPr>
        <w:t>of time spent training at the hospital. Beaumont appealed the MAC's decision to the PRRB, which</w:t>
      </w:r>
      <w:r>
        <w:rPr>
          <w:rFonts w:ascii="Arial" w:hAnsi="Arial" w:cs="Arial"/>
          <w:sz w:val="24"/>
          <w:szCs w:val="24"/>
        </w:rPr>
        <w:t xml:space="preserve"> </w:t>
      </w:r>
      <w:r w:rsidRPr="002351AD">
        <w:rPr>
          <w:rFonts w:ascii="Arial" w:hAnsi="Arial" w:cs="Arial"/>
          <w:sz w:val="24"/>
          <w:szCs w:val="24"/>
        </w:rPr>
        <w:t>determined the MAC improperly calculated the provider’s GME and IME FTE resident caps. The</w:t>
      </w:r>
      <w:r>
        <w:rPr>
          <w:rFonts w:ascii="Arial" w:hAnsi="Arial" w:cs="Arial"/>
          <w:sz w:val="24"/>
          <w:szCs w:val="24"/>
        </w:rPr>
        <w:t xml:space="preserve"> </w:t>
      </w:r>
      <w:r w:rsidRPr="002351AD">
        <w:rPr>
          <w:rFonts w:ascii="Arial" w:hAnsi="Arial" w:cs="Arial"/>
          <w:sz w:val="24"/>
          <w:szCs w:val="24"/>
        </w:rPr>
        <w:t>Board then directed the MAC to adjust Beaumont’s new family medicine training program cap to</w:t>
      </w:r>
      <w:r>
        <w:rPr>
          <w:rFonts w:ascii="Arial" w:hAnsi="Arial" w:cs="Arial"/>
          <w:sz w:val="24"/>
          <w:szCs w:val="24"/>
        </w:rPr>
        <w:t xml:space="preserve"> </w:t>
      </w:r>
      <w:r w:rsidRPr="002351AD">
        <w:rPr>
          <w:rFonts w:ascii="Arial" w:hAnsi="Arial" w:cs="Arial"/>
          <w:sz w:val="24"/>
          <w:szCs w:val="24"/>
        </w:rPr>
        <w:t xml:space="preserve">29.28 for both [D]GME and IME. The PRRB concluded that the administrative </w:t>
      </w:r>
      <w:r w:rsidR="007A1FFF" w:rsidRPr="002351AD">
        <w:rPr>
          <w:rFonts w:ascii="Arial" w:hAnsi="Arial" w:cs="Arial"/>
          <w:sz w:val="24"/>
          <w:szCs w:val="24"/>
        </w:rPr>
        <w:t>regulatio</w:t>
      </w:r>
      <w:r w:rsidR="007A1FFF">
        <w:rPr>
          <w:rFonts w:ascii="Arial" w:hAnsi="Arial" w:cs="Arial"/>
          <w:sz w:val="24"/>
          <w:szCs w:val="24"/>
        </w:rPr>
        <w:t>n,</w:t>
      </w:r>
    </w:p>
    <w:p w14:paraId="7B1393D3" w14:textId="137FBA64" w:rsidR="002351AD" w:rsidRDefault="002351AD" w:rsidP="002351AD">
      <w:pPr>
        <w:spacing w:line="480" w:lineRule="auto"/>
        <w:rPr>
          <w:rFonts w:ascii="Arial" w:hAnsi="Arial" w:cs="Arial"/>
          <w:sz w:val="24"/>
          <w:szCs w:val="24"/>
        </w:rPr>
      </w:pPr>
      <w:r w:rsidRPr="002351AD">
        <w:rPr>
          <w:rFonts w:ascii="Arial" w:hAnsi="Arial" w:cs="Arial"/>
          <w:sz w:val="24"/>
          <w:szCs w:val="24"/>
        </w:rPr>
        <w:t>governing a hospital's FTE count was unambiguous, and that this regulation did not exclude</w:t>
      </w:r>
      <w:r>
        <w:rPr>
          <w:rFonts w:ascii="Arial" w:hAnsi="Arial" w:cs="Arial"/>
          <w:sz w:val="24"/>
          <w:szCs w:val="24"/>
        </w:rPr>
        <w:t xml:space="preserve"> </w:t>
      </w:r>
      <w:r w:rsidRPr="002351AD">
        <w:rPr>
          <w:rFonts w:ascii="Arial" w:hAnsi="Arial" w:cs="Arial"/>
          <w:sz w:val="24"/>
          <w:szCs w:val="24"/>
        </w:rPr>
        <w:t>residents rotating within other hospitals from Beaumont’s FTE count for purposes of calculating</w:t>
      </w:r>
      <w:r>
        <w:rPr>
          <w:rFonts w:ascii="Arial" w:hAnsi="Arial" w:cs="Arial"/>
          <w:sz w:val="24"/>
          <w:szCs w:val="24"/>
        </w:rPr>
        <w:t xml:space="preserve"> </w:t>
      </w:r>
      <w:r w:rsidRPr="002351AD">
        <w:rPr>
          <w:rFonts w:ascii="Arial" w:hAnsi="Arial" w:cs="Arial"/>
          <w:sz w:val="24"/>
          <w:szCs w:val="24"/>
        </w:rPr>
        <w:t>the amount to be reimbursed the hospital could include residents and time spent at other</w:t>
      </w:r>
      <w:r>
        <w:rPr>
          <w:rFonts w:ascii="Arial" w:hAnsi="Arial" w:cs="Arial"/>
          <w:sz w:val="24"/>
          <w:szCs w:val="24"/>
        </w:rPr>
        <w:t xml:space="preserve"> </w:t>
      </w:r>
      <w:r w:rsidRPr="002351AD">
        <w:rPr>
          <w:rFonts w:ascii="Arial" w:hAnsi="Arial" w:cs="Arial"/>
          <w:sz w:val="24"/>
          <w:szCs w:val="24"/>
        </w:rPr>
        <w:t>hospitals.</w:t>
      </w:r>
    </w:p>
    <w:p w14:paraId="261E41CE" w14:textId="71CF4D81" w:rsidR="007129B1" w:rsidRDefault="007129B1" w:rsidP="002351AD">
      <w:pPr>
        <w:spacing w:line="480" w:lineRule="auto"/>
        <w:rPr>
          <w:rFonts w:ascii="Arial" w:hAnsi="Arial" w:cs="Arial"/>
          <w:sz w:val="24"/>
          <w:szCs w:val="24"/>
        </w:rPr>
      </w:pPr>
    </w:p>
    <w:p w14:paraId="57353FE9" w14:textId="627280A8" w:rsidR="007129B1" w:rsidRPr="007129B1" w:rsidRDefault="007129B1" w:rsidP="007129B1">
      <w:pPr>
        <w:spacing w:line="480" w:lineRule="auto"/>
        <w:rPr>
          <w:rFonts w:ascii="Arial" w:hAnsi="Arial" w:cs="Arial"/>
          <w:sz w:val="24"/>
          <w:szCs w:val="24"/>
        </w:rPr>
      </w:pPr>
      <w:r w:rsidRPr="007129B1">
        <w:rPr>
          <w:rFonts w:ascii="Arial" w:hAnsi="Arial" w:cs="Arial"/>
          <w:sz w:val="24"/>
          <w:szCs w:val="24"/>
        </w:rPr>
        <w:t>The Administrator of the Centers for Medicare and Medicaid Services reviewed and reversed the</w:t>
      </w:r>
      <w:r>
        <w:rPr>
          <w:rFonts w:ascii="Arial" w:hAnsi="Arial" w:cs="Arial"/>
          <w:sz w:val="24"/>
          <w:szCs w:val="24"/>
        </w:rPr>
        <w:t xml:space="preserve"> </w:t>
      </w:r>
      <w:r w:rsidRPr="007129B1">
        <w:rPr>
          <w:rFonts w:ascii="Arial" w:hAnsi="Arial" w:cs="Arial"/>
          <w:sz w:val="24"/>
          <w:szCs w:val="24"/>
        </w:rPr>
        <w:t>PRRB's decision. The Administrator concluded that Medicare only intended to reimburse</w:t>
      </w:r>
      <w:r>
        <w:rPr>
          <w:rFonts w:ascii="Arial" w:hAnsi="Arial" w:cs="Arial"/>
          <w:sz w:val="24"/>
          <w:szCs w:val="24"/>
        </w:rPr>
        <w:t xml:space="preserve"> </w:t>
      </w:r>
      <w:r w:rsidRPr="007129B1">
        <w:rPr>
          <w:rFonts w:ascii="Arial" w:hAnsi="Arial" w:cs="Arial"/>
          <w:sz w:val="24"/>
          <w:szCs w:val="24"/>
        </w:rPr>
        <w:t>teaching hospitals for resident time spent at the specific hospital. Accordingly, the Administrator</w:t>
      </w:r>
      <w:r>
        <w:rPr>
          <w:rFonts w:ascii="Arial" w:hAnsi="Arial" w:cs="Arial"/>
          <w:sz w:val="24"/>
          <w:szCs w:val="24"/>
        </w:rPr>
        <w:t xml:space="preserve"> </w:t>
      </w:r>
      <w:r w:rsidRPr="007129B1">
        <w:rPr>
          <w:rFonts w:ascii="Arial" w:hAnsi="Arial" w:cs="Arial"/>
          <w:sz w:val="24"/>
          <w:szCs w:val="24"/>
        </w:rPr>
        <w:t xml:space="preserve">concluded that the MAC properly </w:t>
      </w:r>
      <w:r w:rsidRPr="007129B1">
        <w:rPr>
          <w:rFonts w:ascii="Arial" w:hAnsi="Arial" w:cs="Arial"/>
          <w:sz w:val="24"/>
          <w:szCs w:val="24"/>
        </w:rPr>
        <w:lastRenderedPageBreak/>
        <w:t>reduced Beaumont’s direct GME and IME FTE resident counts</w:t>
      </w:r>
      <w:r>
        <w:rPr>
          <w:rFonts w:ascii="Arial" w:hAnsi="Arial" w:cs="Arial"/>
          <w:sz w:val="24"/>
          <w:szCs w:val="24"/>
        </w:rPr>
        <w:t xml:space="preserve"> </w:t>
      </w:r>
      <w:r w:rsidRPr="007129B1">
        <w:rPr>
          <w:rFonts w:ascii="Arial" w:hAnsi="Arial" w:cs="Arial"/>
          <w:sz w:val="24"/>
          <w:szCs w:val="24"/>
        </w:rPr>
        <w:t>to exclude FTE resident training time in another teaching hospital. Beaumont appealed the</w:t>
      </w:r>
    </w:p>
    <w:p w14:paraId="38DD4D9E" w14:textId="5DBEA0F2" w:rsidR="007129B1" w:rsidRDefault="007129B1" w:rsidP="007129B1">
      <w:pPr>
        <w:spacing w:line="480" w:lineRule="auto"/>
        <w:rPr>
          <w:rFonts w:ascii="Arial" w:hAnsi="Arial" w:cs="Arial"/>
          <w:sz w:val="24"/>
          <w:szCs w:val="24"/>
        </w:rPr>
      </w:pPr>
      <w:r w:rsidRPr="007129B1">
        <w:rPr>
          <w:rFonts w:ascii="Arial" w:hAnsi="Arial" w:cs="Arial"/>
          <w:sz w:val="24"/>
          <w:szCs w:val="24"/>
        </w:rPr>
        <w:t>Secretary's decision to the District Court.</w:t>
      </w:r>
    </w:p>
    <w:p w14:paraId="75313DAD" w14:textId="7D1806E9" w:rsidR="007129B1" w:rsidRDefault="007129B1" w:rsidP="007129B1">
      <w:pPr>
        <w:spacing w:line="480" w:lineRule="auto"/>
        <w:rPr>
          <w:rFonts w:ascii="Arial" w:hAnsi="Arial" w:cs="Arial"/>
          <w:sz w:val="24"/>
          <w:szCs w:val="24"/>
        </w:rPr>
      </w:pPr>
    </w:p>
    <w:p w14:paraId="1DCE1C98" w14:textId="7DC975E8" w:rsidR="007129B1" w:rsidRDefault="007129B1" w:rsidP="007129B1">
      <w:pPr>
        <w:spacing w:line="480" w:lineRule="auto"/>
        <w:rPr>
          <w:rFonts w:ascii="Arial" w:hAnsi="Arial" w:cs="Arial"/>
          <w:sz w:val="24"/>
          <w:szCs w:val="24"/>
        </w:rPr>
      </w:pPr>
      <w:r w:rsidRPr="007129B1">
        <w:rPr>
          <w:rFonts w:ascii="Arial" w:hAnsi="Arial" w:cs="Arial"/>
          <w:sz w:val="24"/>
          <w:szCs w:val="24"/>
        </w:rPr>
        <w:t xml:space="preserve">The Court agreed with the Administrator’s decision </w:t>
      </w:r>
      <w:r w:rsidR="00EB500D">
        <w:rPr>
          <w:rFonts w:ascii="Arial" w:hAnsi="Arial" w:cs="Arial"/>
          <w:sz w:val="24"/>
          <w:szCs w:val="24"/>
        </w:rPr>
        <w:t xml:space="preserve">by </w:t>
      </w:r>
      <w:r w:rsidRPr="007129B1">
        <w:rPr>
          <w:rFonts w:ascii="Arial" w:hAnsi="Arial" w:cs="Arial"/>
          <w:sz w:val="24"/>
          <w:szCs w:val="24"/>
        </w:rPr>
        <w:t>denying Beaumont additional</w:t>
      </w:r>
      <w:r w:rsidR="00EB500D">
        <w:rPr>
          <w:rFonts w:ascii="Arial" w:hAnsi="Arial" w:cs="Arial"/>
          <w:sz w:val="24"/>
          <w:szCs w:val="24"/>
        </w:rPr>
        <w:t xml:space="preserve"> </w:t>
      </w:r>
      <w:r w:rsidRPr="007129B1">
        <w:rPr>
          <w:rFonts w:ascii="Arial" w:hAnsi="Arial" w:cs="Arial"/>
          <w:sz w:val="24"/>
          <w:szCs w:val="24"/>
        </w:rPr>
        <w:t>reimbursement. The Administrator and Secretary reasonably read the regulation to require an</w:t>
      </w:r>
      <w:r>
        <w:rPr>
          <w:rFonts w:ascii="Arial" w:hAnsi="Arial" w:cs="Arial"/>
          <w:sz w:val="24"/>
          <w:szCs w:val="24"/>
        </w:rPr>
        <w:t xml:space="preserve"> </w:t>
      </w:r>
      <w:r w:rsidRPr="007129B1">
        <w:rPr>
          <w:rFonts w:ascii="Arial" w:hAnsi="Arial" w:cs="Arial"/>
          <w:sz w:val="24"/>
          <w:szCs w:val="24"/>
        </w:rPr>
        <w:t xml:space="preserve">adjustment to FTE caps for out-rotations at different teaching </w:t>
      </w:r>
      <w:r>
        <w:rPr>
          <w:rFonts w:ascii="Arial" w:hAnsi="Arial" w:cs="Arial"/>
          <w:sz w:val="24"/>
          <w:szCs w:val="24"/>
        </w:rPr>
        <w:t>h</w:t>
      </w:r>
      <w:r w:rsidRPr="007129B1">
        <w:rPr>
          <w:rFonts w:ascii="Arial" w:hAnsi="Arial" w:cs="Arial"/>
          <w:sz w:val="24"/>
          <w:szCs w:val="24"/>
        </w:rPr>
        <w:t>ospitals. The Administrator’s</w:t>
      </w:r>
      <w:r>
        <w:rPr>
          <w:rFonts w:ascii="Arial" w:hAnsi="Arial" w:cs="Arial"/>
          <w:sz w:val="24"/>
          <w:szCs w:val="24"/>
        </w:rPr>
        <w:t xml:space="preserve"> </w:t>
      </w:r>
      <w:r w:rsidRPr="007129B1">
        <w:rPr>
          <w:rFonts w:ascii="Arial" w:hAnsi="Arial" w:cs="Arial"/>
          <w:sz w:val="24"/>
          <w:szCs w:val="24"/>
        </w:rPr>
        <w:t xml:space="preserve">decision was reasonable and not arbitrary, </w:t>
      </w:r>
      <w:r>
        <w:rPr>
          <w:rFonts w:ascii="Arial" w:hAnsi="Arial" w:cs="Arial"/>
          <w:sz w:val="24"/>
          <w:szCs w:val="24"/>
        </w:rPr>
        <w:t>c</w:t>
      </w:r>
      <w:r w:rsidRPr="007129B1">
        <w:rPr>
          <w:rFonts w:ascii="Arial" w:hAnsi="Arial" w:cs="Arial"/>
          <w:sz w:val="24"/>
          <w:szCs w:val="24"/>
        </w:rPr>
        <w:t>apricious, or in violation of the law.</w:t>
      </w:r>
    </w:p>
    <w:p w14:paraId="15803C7C" w14:textId="739D108C" w:rsidR="007129B1" w:rsidRDefault="007129B1" w:rsidP="007129B1">
      <w:pPr>
        <w:spacing w:line="480" w:lineRule="auto"/>
        <w:rPr>
          <w:rFonts w:ascii="Arial" w:hAnsi="Arial" w:cs="Arial"/>
          <w:sz w:val="24"/>
          <w:szCs w:val="24"/>
        </w:rPr>
      </w:pPr>
    </w:p>
    <w:p w14:paraId="732093D1" w14:textId="77777777" w:rsidR="007129B1" w:rsidRDefault="007129B1" w:rsidP="007129B1">
      <w:pPr>
        <w:spacing w:line="480" w:lineRule="auto"/>
        <w:rPr>
          <w:rFonts w:ascii="Arial" w:hAnsi="Arial" w:cs="Arial"/>
          <w:sz w:val="24"/>
          <w:szCs w:val="24"/>
        </w:rPr>
      </w:pPr>
      <w:r w:rsidRPr="007129B1">
        <w:rPr>
          <w:rFonts w:ascii="Arial" w:hAnsi="Arial" w:cs="Arial"/>
          <w:sz w:val="24"/>
          <w:szCs w:val="24"/>
        </w:rPr>
        <w:t>The Court determined that while the 2007 regulation did not explicitly state that residents</w:t>
      </w:r>
      <w:r>
        <w:rPr>
          <w:rFonts w:ascii="Arial" w:hAnsi="Arial" w:cs="Arial"/>
          <w:sz w:val="24"/>
          <w:szCs w:val="24"/>
        </w:rPr>
        <w:t xml:space="preserve"> </w:t>
      </w:r>
      <w:r w:rsidRPr="007129B1">
        <w:rPr>
          <w:rFonts w:ascii="Arial" w:hAnsi="Arial" w:cs="Arial"/>
          <w:sz w:val="24"/>
          <w:szCs w:val="24"/>
        </w:rPr>
        <w:t>training for partial years at multiple hospitals were to be deducted from the FTE cap, the</w:t>
      </w:r>
      <w:r>
        <w:rPr>
          <w:rFonts w:ascii="Arial" w:hAnsi="Arial" w:cs="Arial"/>
          <w:sz w:val="24"/>
          <w:szCs w:val="24"/>
        </w:rPr>
        <w:t xml:space="preserve"> </w:t>
      </w:r>
      <w:r w:rsidRPr="007129B1">
        <w:rPr>
          <w:rFonts w:ascii="Arial" w:hAnsi="Arial" w:cs="Arial"/>
          <w:sz w:val="24"/>
          <w:szCs w:val="24"/>
        </w:rPr>
        <w:t>regulation discusses how to treat residents who out rotate for more than one year and the</w:t>
      </w:r>
      <w:r>
        <w:rPr>
          <w:rFonts w:ascii="Arial" w:hAnsi="Arial" w:cs="Arial"/>
          <w:sz w:val="24"/>
          <w:szCs w:val="24"/>
        </w:rPr>
        <w:t xml:space="preserve"> </w:t>
      </w:r>
      <w:r w:rsidRPr="007129B1">
        <w:rPr>
          <w:rFonts w:ascii="Arial" w:hAnsi="Arial" w:cs="Arial"/>
          <w:sz w:val="24"/>
          <w:szCs w:val="24"/>
        </w:rPr>
        <w:t>preamble explained how to count residents who out rotated for less than a full training year.</w:t>
      </w:r>
      <w:r>
        <w:rPr>
          <w:rFonts w:ascii="Arial" w:hAnsi="Arial" w:cs="Arial"/>
          <w:sz w:val="24"/>
          <w:szCs w:val="24"/>
        </w:rPr>
        <w:t xml:space="preserve"> </w:t>
      </w:r>
      <w:r w:rsidRPr="007129B1">
        <w:rPr>
          <w:rFonts w:ascii="Arial" w:hAnsi="Arial" w:cs="Arial"/>
          <w:sz w:val="24"/>
          <w:szCs w:val="24"/>
        </w:rPr>
        <w:t xml:space="preserve">In 2012, CMS clarified the issue regarding residents who rotate outside the teaching hospital. </w:t>
      </w:r>
      <w:r w:rsidRPr="007129B1">
        <w:rPr>
          <w:rFonts w:ascii="Arial" w:hAnsi="Arial" w:cs="Arial"/>
          <w:i/>
          <w:iCs/>
          <w:sz w:val="24"/>
          <w:szCs w:val="24"/>
        </w:rPr>
        <w:t>See</w:t>
      </w:r>
      <w:r>
        <w:rPr>
          <w:rFonts w:ascii="Arial" w:hAnsi="Arial" w:cs="Arial"/>
          <w:i/>
          <w:iCs/>
          <w:sz w:val="24"/>
          <w:szCs w:val="24"/>
        </w:rPr>
        <w:t xml:space="preserve"> </w:t>
      </w:r>
      <w:r w:rsidRPr="007129B1">
        <w:rPr>
          <w:rFonts w:ascii="Arial" w:hAnsi="Arial" w:cs="Arial"/>
          <w:sz w:val="24"/>
          <w:szCs w:val="24"/>
        </w:rPr>
        <w:t xml:space="preserve">42 C.F.R. </w:t>
      </w:r>
    </w:p>
    <w:p w14:paraId="6B90D134" w14:textId="43D3B3BC" w:rsidR="007129B1" w:rsidRDefault="007129B1" w:rsidP="007129B1">
      <w:pPr>
        <w:spacing w:line="480" w:lineRule="auto"/>
        <w:rPr>
          <w:rFonts w:ascii="Arial" w:hAnsi="Arial" w:cs="Arial"/>
          <w:sz w:val="24"/>
          <w:szCs w:val="24"/>
        </w:rPr>
      </w:pPr>
      <w:r w:rsidRPr="007129B1">
        <w:rPr>
          <w:rFonts w:ascii="Arial" w:hAnsi="Arial" w:cs="Arial"/>
          <w:sz w:val="24"/>
          <w:szCs w:val="24"/>
        </w:rPr>
        <w:t>§ 413.79(e)(1)(</w:t>
      </w:r>
      <w:proofErr w:type="spellStart"/>
      <w:r w:rsidRPr="007129B1">
        <w:rPr>
          <w:rFonts w:ascii="Arial" w:hAnsi="Arial" w:cs="Arial"/>
          <w:sz w:val="24"/>
          <w:szCs w:val="24"/>
        </w:rPr>
        <w:t>i</w:t>
      </w:r>
      <w:proofErr w:type="spellEnd"/>
      <w:r w:rsidRPr="007129B1">
        <w:rPr>
          <w:rFonts w:ascii="Arial" w:hAnsi="Arial" w:cs="Arial"/>
          <w:sz w:val="24"/>
          <w:szCs w:val="24"/>
        </w:rPr>
        <w:t>) (2012). The 2012 clarification did not constitute a substantive</w:t>
      </w:r>
      <w:r>
        <w:rPr>
          <w:rFonts w:ascii="Arial" w:hAnsi="Arial" w:cs="Arial"/>
          <w:sz w:val="24"/>
          <w:szCs w:val="24"/>
        </w:rPr>
        <w:t xml:space="preserve"> </w:t>
      </w:r>
      <w:r w:rsidRPr="007129B1">
        <w:rPr>
          <w:rFonts w:ascii="Arial" w:hAnsi="Arial" w:cs="Arial"/>
          <w:sz w:val="24"/>
          <w:szCs w:val="24"/>
        </w:rPr>
        <w:t>change</w:t>
      </w:r>
      <w:r>
        <w:rPr>
          <w:rFonts w:ascii="Arial" w:hAnsi="Arial" w:cs="Arial"/>
          <w:sz w:val="24"/>
          <w:szCs w:val="24"/>
        </w:rPr>
        <w:t xml:space="preserve"> </w:t>
      </w:r>
      <w:r w:rsidRPr="007129B1">
        <w:rPr>
          <w:rFonts w:ascii="Arial" w:hAnsi="Arial" w:cs="Arial"/>
          <w:sz w:val="24"/>
          <w:szCs w:val="24"/>
        </w:rPr>
        <w:t>in payment policy. In August 1997 – prior to any of the cost reporting years at issue – the</w:t>
      </w:r>
      <w:r>
        <w:rPr>
          <w:rFonts w:ascii="Arial" w:hAnsi="Arial" w:cs="Arial"/>
          <w:sz w:val="24"/>
          <w:szCs w:val="24"/>
        </w:rPr>
        <w:t xml:space="preserve"> </w:t>
      </w:r>
      <w:r w:rsidRPr="007129B1">
        <w:rPr>
          <w:rFonts w:ascii="Arial" w:hAnsi="Arial" w:cs="Arial"/>
          <w:sz w:val="24"/>
          <w:szCs w:val="24"/>
        </w:rPr>
        <w:t>Secretary published for comment for calculating the FTE count for hospitals that established a</w:t>
      </w:r>
      <w:r>
        <w:rPr>
          <w:rFonts w:ascii="Arial" w:hAnsi="Arial" w:cs="Arial"/>
          <w:sz w:val="24"/>
          <w:szCs w:val="24"/>
        </w:rPr>
        <w:t xml:space="preserve"> </w:t>
      </w:r>
      <w:r w:rsidRPr="007129B1">
        <w:rPr>
          <w:rFonts w:ascii="Arial" w:hAnsi="Arial" w:cs="Arial"/>
          <w:sz w:val="24"/>
          <w:szCs w:val="24"/>
        </w:rPr>
        <w:t>new medical residency program on or after January 1, 1995. The 2012 clarification addressed</w:t>
      </w:r>
      <w:r>
        <w:rPr>
          <w:rFonts w:ascii="Arial" w:hAnsi="Arial" w:cs="Arial"/>
          <w:sz w:val="24"/>
          <w:szCs w:val="24"/>
        </w:rPr>
        <w:t xml:space="preserve"> </w:t>
      </w:r>
      <w:r w:rsidRPr="007129B1">
        <w:rPr>
          <w:rFonts w:ascii="Arial" w:hAnsi="Arial" w:cs="Arial"/>
          <w:sz w:val="24"/>
          <w:szCs w:val="24"/>
        </w:rPr>
        <w:t>how to treat residents who spent an entire program year at one hospital and the remaining year</w:t>
      </w:r>
      <w:r>
        <w:rPr>
          <w:rFonts w:ascii="Arial" w:hAnsi="Arial" w:cs="Arial"/>
          <w:sz w:val="24"/>
          <w:szCs w:val="24"/>
        </w:rPr>
        <w:t xml:space="preserve"> </w:t>
      </w:r>
      <w:r w:rsidRPr="007129B1">
        <w:rPr>
          <w:rFonts w:ascii="Arial" w:hAnsi="Arial" w:cs="Arial"/>
          <w:sz w:val="24"/>
          <w:szCs w:val="24"/>
        </w:rPr>
        <w:t xml:space="preserve">at another hospital during the first three years of the residency program. The 2012 </w:t>
      </w:r>
      <w:r w:rsidRPr="007129B1">
        <w:rPr>
          <w:rFonts w:ascii="Arial" w:hAnsi="Arial" w:cs="Arial"/>
          <w:sz w:val="24"/>
          <w:szCs w:val="24"/>
        </w:rPr>
        <w:lastRenderedPageBreak/>
        <w:t>regulation</w:t>
      </w:r>
      <w:r>
        <w:rPr>
          <w:rFonts w:ascii="Arial" w:hAnsi="Arial" w:cs="Arial"/>
          <w:sz w:val="24"/>
          <w:szCs w:val="24"/>
        </w:rPr>
        <w:t xml:space="preserve"> </w:t>
      </w:r>
      <w:r w:rsidRPr="007129B1">
        <w:rPr>
          <w:rFonts w:ascii="Arial" w:hAnsi="Arial" w:cs="Arial"/>
          <w:sz w:val="24"/>
          <w:szCs w:val="24"/>
        </w:rPr>
        <w:t>explicitly excluded time that a resident spent for a portion of the year training at another teaching</w:t>
      </w:r>
      <w:r>
        <w:rPr>
          <w:rFonts w:ascii="Arial" w:hAnsi="Arial" w:cs="Arial"/>
          <w:sz w:val="24"/>
          <w:szCs w:val="24"/>
        </w:rPr>
        <w:t xml:space="preserve"> </w:t>
      </w:r>
      <w:r w:rsidRPr="007129B1">
        <w:rPr>
          <w:rFonts w:ascii="Arial" w:hAnsi="Arial" w:cs="Arial"/>
          <w:sz w:val="24"/>
          <w:szCs w:val="24"/>
        </w:rPr>
        <w:t>hospital.</w:t>
      </w:r>
    </w:p>
    <w:p w14:paraId="2BA3020C" w14:textId="27925C87" w:rsidR="007129B1" w:rsidRDefault="007129B1" w:rsidP="007129B1">
      <w:pPr>
        <w:spacing w:line="480" w:lineRule="auto"/>
        <w:rPr>
          <w:rFonts w:ascii="Arial" w:hAnsi="Arial" w:cs="Arial"/>
          <w:sz w:val="24"/>
          <w:szCs w:val="24"/>
        </w:rPr>
      </w:pPr>
    </w:p>
    <w:p w14:paraId="6B3155EF" w14:textId="0FFB4ED3" w:rsidR="007129B1" w:rsidRPr="007129B1" w:rsidRDefault="007129B1" w:rsidP="007129B1">
      <w:pPr>
        <w:spacing w:line="480" w:lineRule="auto"/>
        <w:rPr>
          <w:rFonts w:ascii="Arial" w:hAnsi="Arial" w:cs="Arial"/>
          <w:sz w:val="24"/>
          <w:szCs w:val="24"/>
        </w:rPr>
      </w:pPr>
      <w:r w:rsidRPr="007129B1">
        <w:rPr>
          <w:rFonts w:ascii="Arial" w:hAnsi="Arial" w:cs="Arial"/>
          <w:sz w:val="24"/>
          <w:szCs w:val="24"/>
        </w:rPr>
        <w:t>The Court found that the Administrator reasonably inferred that – pursuant to the 1999 preamble</w:t>
      </w:r>
      <w:r>
        <w:rPr>
          <w:rFonts w:ascii="Arial" w:hAnsi="Arial" w:cs="Arial"/>
          <w:sz w:val="24"/>
          <w:szCs w:val="24"/>
        </w:rPr>
        <w:t xml:space="preserve"> </w:t>
      </w:r>
      <w:r w:rsidRPr="007129B1">
        <w:rPr>
          <w:rFonts w:ascii="Arial" w:hAnsi="Arial" w:cs="Arial"/>
          <w:sz w:val="24"/>
          <w:szCs w:val="24"/>
        </w:rPr>
        <w:t>– Beaumont was not permitted to count residents in its FTE cap who out-rotated for less than</w:t>
      </w:r>
      <w:r>
        <w:rPr>
          <w:rFonts w:ascii="Arial" w:hAnsi="Arial" w:cs="Arial"/>
          <w:sz w:val="24"/>
          <w:szCs w:val="24"/>
        </w:rPr>
        <w:t xml:space="preserve"> </w:t>
      </w:r>
      <w:r w:rsidRPr="007129B1">
        <w:rPr>
          <w:rFonts w:ascii="Arial" w:hAnsi="Arial" w:cs="Arial"/>
          <w:sz w:val="24"/>
          <w:szCs w:val="24"/>
        </w:rPr>
        <w:t>one year. Accordingly, the Court concluded that the Administrator did not act arbitrarily or</w:t>
      </w:r>
      <w:r>
        <w:rPr>
          <w:rFonts w:ascii="Arial" w:hAnsi="Arial" w:cs="Arial"/>
          <w:sz w:val="24"/>
          <w:szCs w:val="24"/>
        </w:rPr>
        <w:t xml:space="preserve"> </w:t>
      </w:r>
      <w:r w:rsidRPr="007129B1">
        <w:rPr>
          <w:rFonts w:ascii="Arial" w:hAnsi="Arial" w:cs="Arial"/>
          <w:sz w:val="24"/>
          <w:szCs w:val="24"/>
        </w:rPr>
        <w:t>capriciously when denying Beaumont’s request for relief. The Administrator’s decision is</w:t>
      </w:r>
      <w:r>
        <w:rPr>
          <w:rFonts w:ascii="Arial" w:hAnsi="Arial" w:cs="Arial"/>
          <w:sz w:val="24"/>
          <w:szCs w:val="24"/>
        </w:rPr>
        <w:t xml:space="preserve"> </w:t>
      </w:r>
      <w:r w:rsidRPr="007129B1">
        <w:rPr>
          <w:rFonts w:ascii="Arial" w:hAnsi="Arial" w:cs="Arial"/>
          <w:sz w:val="24"/>
          <w:szCs w:val="24"/>
        </w:rPr>
        <w:t>supported by substantial evidence and was not contrary to law. The Court may not substitute its</w:t>
      </w:r>
      <w:r>
        <w:rPr>
          <w:rFonts w:ascii="Arial" w:hAnsi="Arial" w:cs="Arial"/>
          <w:sz w:val="24"/>
          <w:szCs w:val="24"/>
        </w:rPr>
        <w:t xml:space="preserve"> </w:t>
      </w:r>
      <w:r w:rsidRPr="007129B1">
        <w:rPr>
          <w:rFonts w:ascii="Arial" w:hAnsi="Arial" w:cs="Arial"/>
          <w:sz w:val="24"/>
          <w:szCs w:val="24"/>
        </w:rPr>
        <w:t>own construction of a statutory provision for a reasonable interpretation made by the</w:t>
      </w:r>
    </w:p>
    <w:p w14:paraId="34F47C8A" w14:textId="5EBAB087" w:rsidR="007129B1" w:rsidRDefault="007129B1" w:rsidP="007129B1">
      <w:pPr>
        <w:spacing w:line="480" w:lineRule="auto"/>
        <w:rPr>
          <w:rFonts w:ascii="Arial" w:hAnsi="Arial" w:cs="Arial"/>
          <w:sz w:val="24"/>
          <w:szCs w:val="24"/>
        </w:rPr>
      </w:pPr>
      <w:r w:rsidRPr="007129B1">
        <w:rPr>
          <w:rFonts w:ascii="Arial" w:hAnsi="Arial" w:cs="Arial"/>
          <w:sz w:val="24"/>
          <w:szCs w:val="24"/>
        </w:rPr>
        <w:t>Administrator of an agency.</w:t>
      </w:r>
    </w:p>
    <w:p w14:paraId="1C26F0D5" w14:textId="77777777" w:rsidR="002351AD" w:rsidRDefault="002351AD" w:rsidP="002351AD">
      <w:pPr>
        <w:spacing w:line="480" w:lineRule="auto"/>
        <w:rPr>
          <w:rFonts w:ascii="Arial" w:hAnsi="Arial" w:cs="Arial"/>
          <w:sz w:val="24"/>
          <w:szCs w:val="24"/>
        </w:rPr>
      </w:pPr>
    </w:p>
    <w:p w14:paraId="33B73661" w14:textId="304D7C26" w:rsidR="0058212E" w:rsidRDefault="007F137E" w:rsidP="007F137E">
      <w:pPr>
        <w:spacing w:line="480" w:lineRule="auto"/>
        <w:rPr>
          <w:rFonts w:ascii="Arial" w:hAnsi="Arial" w:cs="Arial"/>
          <w:sz w:val="24"/>
          <w:szCs w:val="24"/>
        </w:rPr>
      </w:pPr>
      <w:r w:rsidRPr="00107F1E">
        <w:rPr>
          <w:rFonts w:ascii="Arial" w:hAnsi="Arial" w:cs="Arial"/>
          <w:sz w:val="24"/>
          <w:szCs w:val="24"/>
        </w:rPr>
        <w:t xml:space="preserve">The regulations as written in 2007 were first implemented in the July 30, </w:t>
      </w:r>
      <w:r w:rsidR="005C3D03" w:rsidRPr="00107F1E">
        <w:rPr>
          <w:rFonts w:ascii="Arial" w:hAnsi="Arial" w:cs="Arial"/>
          <w:sz w:val="24"/>
          <w:szCs w:val="24"/>
        </w:rPr>
        <w:t>1999,</w:t>
      </w:r>
      <w:r w:rsidRPr="00107F1E">
        <w:rPr>
          <w:rFonts w:ascii="Arial" w:hAnsi="Arial" w:cs="Arial"/>
          <w:sz w:val="24"/>
          <w:szCs w:val="24"/>
        </w:rPr>
        <w:t xml:space="preserve"> IPPS final rule (64 FR 41519 – 41520).</w:t>
      </w:r>
      <w:r w:rsidR="0058212E">
        <w:rPr>
          <w:rStyle w:val="FootnoteReference"/>
          <w:rFonts w:ascii="Arial" w:hAnsi="Arial" w:cs="Arial"/>
          <w:sz w:val="24"/>
          <w:szCs w:val="24"/>
        </w:rPr>
        <w:footnoteReference w:id="3"/>
      </w:r>
      <w:r w:rsidRPr="00107F1E">
        <w:rPr>
          <w:rFonts w:ascii="Arial" w:hAnsi="Arial" w:cs="Arial"/>
          <w:sz w:val="24"/>
          <w:szCs w:val="24"/>
        </w:rPr>
        <w:t xml:space="preserve"> The preamble to the 1999 rule specifically addressed rotations to other hospitals for both whole years and partial years.</w:t>
      </w:r>
      <w:r w:rsidR="0058212E">
        <w:rPr>
          <w:rFonts w:ascii="Arial" w:hAnsi="Arial" w:cs="Arial"/>
          <w:sz w:val="24"/>
          <w:szCs w:val="24"/>
        </w:rPr>
        <w:t xml:space="preserve">  The preamble states:</w:t>
      </w:r>
    </w:p>
    <w:p w14:paraId="3C11790A" w14:textId="1D8E79BE" w:rsidR="0058212E" w:rsidRDefault="0058212E" w:rsidP="007F137E">
      <w:pPr>
        <w:spacing w:line="480" w:lineRule="auto"/>
        <w:rPr>
          <w:rFonts w:ascii="Arial" w:hAnsi="Arial" w:cs="Arial"/>
          <w:sz w:val="24"/>
          <w:szCs w:val="24"/>
        </w:rPr>
      </w:pPr>
    </w:p>
    <w:p w14:paraId="7D827A96" w14:textId="6F467FC4" w:rsidR="0058212E" w:rsidRPr="0058212E" w:rsidRDefault="0058212E" w:rsidP="0058212E">
      <w:pPr>
        <w:ind w:left="720"/>
        <w:rPr>
          <w:rFonts w:ascii="Arial" w:hAnsi="Arial" w:cs="Arial"/>
          <w:sz w:val="24"/>
          <w:szCs w:val="24"/>
        </w:rPr>
      </w:pPr>
      <w:r w:rsidRPr="0058212E">
        <w:rPr>
          <w:rFonts w:ascii="Arial" w:hAnsi="Arial" w:cs="Arial"/>
          <w:sz w:val="24"/>
          <w:szCs w:val="24"/>
        </w:rPr>
        <w:t>Response: In situations where residents spend an entire program year (or years) at one</w:t>
      </w:r>
      <w:r>
        <w:rPr>
          <w:rFonts w:ascii="Arial" w:hAnsi="Arial" w:cs="Arial"/>
          <w:sz w:val="24"/>
          <w:szCs w:val="24"/>
        </w:rPr>
        <w:t xml:space="preserve"> </w:t>
      </w:r>
      <w:r w:rsidRPr="0058212E">
        <w:rPr>
          <w:rFonts w:ascii="Arial" w:hAnsi="Arial" w:cs="Arial"/>
          <w:sz w:val="24"/>
          <w:szCs w:val="24"/>
        </w:rPr>
        <w:t>hospital and the remaining year (or years) of the program at another hospital during the</w:t>
      </w:r>
      <w:r>
        <w:rPr>
          <w:rFonts w:ascii="Arial" w:hAnsi="Arial" w:cs="Arial"/>
          <w:sz w:val="24"/>
          <w:szCs w:val="24"/>
        </w:rPr>
        <w:t xml:space="preserve"> </w:t>
      </w:r>
      <w:r w:rsidRPr="0058212E">
        <w:rPr>
          <w:rFonts w:ascii="Arial" w:hAnsi="Arial" w:cs="Arial"/>
          <w:sz w:val="24"/>
          <w:szCs w:val="24"/>
        </w:rPr>
        <w:t>first 3 years of the new residency program, each hospital that trains the residents receives</w:t>
      </w:r>
      <w:r>
        <w:rPr>
          <w:rFonts w:ascii="Arial" w:hAnsi="Arial" w:cs="Arial"/>
          <w:sz w:val="24"/>
          <w:szCs w:val="24"/>
        </w:rPr>
        <w:t xml:space="preserve"> </w:t>
      </w:r>
      <w:r w:rsidRPr="0058212E">
        <w:rPr>
          <w:rFonts w:ascii="Arial" w:hAnsi="Arial" w:cs="Arial"/>
          <w:sz w:val="24"/>
          <w:szCs w:val="24"/>
        </w:rPr>
        <w:t>an adjustment to its cap based on the product of the highest number of residents in any</w:t>
      </w:r>
      <w:r>
        <w:rPr>
          <w:rFonts w:ascii="Arial" w:hAnsi="Arial" w:cs="Arial"/>
          <w:sz w:val="24"/>
          <w:szCs w:val="24"/>
        </w:rPr>
        <w:t xml:space="preserve"> </w:t>
      </w:r>
      <w:r w:rsidRPr="0058212E">
        <w:rPr>
          <w:rFonts w:ascii="Arial" w:hAnsi="Arial" w:cs="Arial"/>
          <w:sz w:val="24"/>
          <w:szCs w:val="24"/>
        </w:rPr>
        <w:t>program years during the third year of the first program's existence and the number of</w:t>
      </w:r>
      <w:r>
        <w:rPr>
          <w:rFonts w:ascii="Arial" w:hAnsi="Arial" w:cs="Arial"/>
          <w:sz w:val="24"/>
          <w:szCs w:val="24"/>
        </w:rPr>
        <w:t xml:space="preserve"> </w:t>
      </w:r>
      <w:r w:rsidRPr="0058212E">
        <w:rPr>
          <w:rFonts w:ascii="Arial" w:hAnsi="Arial" w:cs="Arial"/>
          <w:sz w:val="24"/>
          <w:szCs w:val="24"/>
        </w:rPr>
        <w:t>years that the residents are training at each respective hospital. In situations where the</w:t>
      </w:r>
      <w:r>
        <w:rPr>
          <w:rFonts w:ascii="Arial" w:hAnsi="Arial" w:cs="Arial"/>
          <w:sz w:val="24"/>
          <w:szCs w:val="24"/>
        </w:rPr>
        <w:t xml:space="preserve"> </w:t>
      </w:r>
      <w:r w:rsidRPr="0058212E">
        <w:rPr>
          <w:rFonts w:ascii="Arial" w:hAnsi="Arial" w:cs="Arial"/>
          <w:sz w:val="24"/>
          <w:szCs w:val="24"/>
        </w:rPr>
        <w:t>residents spend partial years at different hospitals during the first 3 years of the new</w:t>
      </w:r>
      <w:r>
        <w:rPr>
          <w:rFonts w:ascii="Arial" w:hAnsi="Arial" w:cs="Arial"/>
          <w:sz w:val="24"/>
          <w:szCs w:val="24"/>
        </w:rPr>
        <w:t xml:space="preserve"> </w:t>
      </w:r>
      <w:r w:rsidRPr="0058212E">
        <w:rPr>
          <w:rFonts w:ascii="Arial" w:hAnsi="Arial" w:cs="Arial"/>
          <w:sz w:val="24"/>
          <w:szCs w:val="24"/>
        </w:rPr>
        <w:t>residency program, each hospital that trains the residents receives an adjustment to its</w:t>
      </w:r>
      <w:r>
        <w:rPr>
          <w:rFonts w:ascii="Arial" w:hAnsi="Arial" w:cs="Arial"/>
          <w:sz w:val="24"/>
          <w:szCs w:val="24"/>
        </w:rPr>
        <w:t xml:space="preserve"> </w:t>
      </w:r>
      <w:r w:rsidRPr="0058212E">
        <w:rPr>
          <w:rFonts w:ascii="Arial" w:hAnsi="Arial" w:cs="Arial"/>
          <w:sz w:val="24"/>
          <w:szCs w:val="24"/>
        </w:rPr>
        <w:t>cap based on product of the highest number of residents in any program year during the</w:t>
      </w:r>
    </w:p>
    <w:p w14:paraId="7DE13A99" w14:textId="6AC0EF41" w:rsidR="0058212E" w:rsidRDefault="0058212E" w:rsidP="0058212E">
      <w:pPr>
        <w:ind w:left="720"/>
        <w:rPr>
          <w:rFonts w:ascii="Arial" w:hAnsi="Arial" w:cs="Arial"/>
          <w:sz w:val="24"/>
          <w:szCs w:val="24"/>
        </w:rPr>
      </w:pPr>
      <w:r w:rsidRPr="0058212E">
        <w:rPr>
          <w:rFonts w:ascii="Arial" w:hAnsi="Arial" w:cs="Arial"/>
          <w:sz w:val="24"/>
          <w:szCs w:val="24"/>
        </w:rPr>
        <w:lastRenderedPageBreak/>
        <w:t>third year of the first program's existence and the minimum accredited length of the</w:t>
      </w:r>
      <w:r>
        <w:rPr>
          <w:rFonts w:ascii="Arial" w:hAnsi="Arial" w:cs="Arial"/>
          <w:sz w:val="24"/>
          <w:szCs w:val="24"/>
        </w:rPr>
        <w:t xml:space="preserve"> </w:t>
      </w:r>
      <w:r w:rsidRPr="0058212E">
        <w:rPr>
          <w:rFonts w:ascii="Arial" w:hAnsi="Arial" w:cs="Arial"/>
          <w:sz w:val="24"/>
          <w:szCs w:val="24"/>
        </w:rPr>
        <w:t>program.</w:t>
      </w:r>
    </w:p>
    <w:p w14:paraId="2A91E347" w14:textId="77777777" w:rsidR="0058212E" w:rsidRDefault="0058212E" w:rsidP="007F137E">
      <w:pPr>
        <w:spacing w:line="480" w:lineRule="auto"/>
        <w:rPr>
          <w:rFonts w:ascii="Arial" w:hAnsi="Arial" w:cs="Arial"/>
          <w:sz w:val="24"/>
          <w:szCs w:val="24"/>
        </w:rPr>
      </w:pPr>
    </w:p>
    <w:p w14:paraId="6647C358" w14:textId="6AF16A7D" w:rsidR="0058212E" w:rsidRDefault="0058212E" w:rsidP="0058212E">
      <w:pPr>
        <w:spacing w:line="480" w:lineRule="auto"/>
        <w:rPr>
          <w:rFonts w:ascii="Arial" w:hAnsi="Arial" w:cs="Arial"/>
          <w:sz w:val="24"/>
          <w:szCs w:val="24"/>
        </w:rPr>
      </w:pPr>
      <w:r w:rsidRPr="0058212E">
        <w:rPr>
          <w:rFonts w:ascii="Arial" w:hAnsi="Arial" w:cs="Arial"/>
          <w:sz w:val="24"/>
          <w:szCs w:val="24"/>
        </w:rPr>
        <w:t>The preamble also illustrates how an FTE cap for a new program is established when residence</w:t>
      </w:r>
      <w:r>
        <w:rPr>
          <w:rFonts w:ascii="Arial" w:hAnsi="Arial" w:cs="Arial"/>
          <w:sz w:val="24"/>
          <w:szCs w:val="24"/>
        </w:rPr>
        <w:t xml:space="preserve"> </w:t>
      </w:r>
      <w:r w:rsidRPr="0058212E">
        <w:rPr>
          <w:rFonts w:ascii="Arial" w:hAnsi="Arial" w:cs="Arial"/>
          <w:sz w:val="24"/>
          <w:szCs w:val="24"/>
        </w:rPr>
        <w:t>spend partial years at other hospital.</w:t>
      </w:r>
    </w:p>
    <w:p w14:paraId="1CD516DB" w14:textId="77777777" w:rsidR="0058212E" w:rsidRDefault="0058212E" w:rsidP="007F137E">
      <w:pPr>
        <w:spacing w:line="480" w:lineRule="auto"/>
        <w:rPr>
          <w:rFonts w:ascii="Arial" w:hAnsi="Arial" w:cs="Arial"/>
          <w:sz w:val="24"/>
          <w:szCs w:val="24"/>
        </w:rPr>
      </w:pPr>
    </w:p>
    <w:p w14:paraId="26037917" w14:textId="0AF88D1B" w:rsidR="007F137E" w:rsidRDefault="007F137E" w:rsidP="007F137E">
      <w:pPr>
        <w:spacing w:line="480" w:lineRule="auto"/>
        <w:rPr>
          <w:rFonts w:ascii="Arial" w:hAnsi="Arial" w:cs="Arial"/>
          <w:sz w:val="24"/>
          <w:szCs w:val="24"/>
        </w:rPr>
      </w:pPr>
      <w:r w:rsidRPr="008742DC">
        <w:rPr>
          <w:rFonts w:ascii="Arial" w:hAnsi="Arial" w:cs="Arial"/>
          <w:sz w:val="24"/>
          <w:szCs w:val="24"/>
        </w:rPr>
        <w:t>In sum, the MAC’s method of determining the ca</w:t>
      </w:r>
      <w:r>
        <w:rPr>
          <w:rFonts w:ascii="Arial" w:hAnsi="Arial" w:cs="Arial"/>
          <w:sz w:val="24"/>
          <w:szCs w:val="24"/>
        </w:rPr>
        <w:t>ps for the new</w:t>
      </w:r>
      <w:r w:rsidRPr="008742DC">
        <w:rPr>
          <w:rFonts w:ascii="Arial" w:hAnsi="Arial" w:cs="Arial"/>
          <w:sz w:val="24"/>
          <w:szCs w:val="24"/>
        </w:rPr>
        <w:t xml:space="preserve"> resident training program</w:t>
      </w:r>
      <w:r>
        <w:rPr>
          <w:rFonts w:ascii="Arial" w:hAnsi="Arial" w:cs="Arial"/>
          <w:sz w:val="24"/>
          <w:szCs w:val="24"/>
        </w:rPr>
        <w:t>s</w:t>
      </w:r>
      <w:r w:rsidRPr="008742DC">
        <w:rPr>
          <w:rFonts w:ascii="Arial" w:hAnsi="Arial" w:cs="Arial"/>
          <w:sz w:val="24"/>
          <w:szCs w:val="24"/>
        </w:rPr>
        <w:t xml:space="preserve"> accurately computes the allowable caps and equitably allocates them to the hospitals that participated in the program during the three-year window/ growth period of the program. The MAC’s computations a</w:t>
      </w:r>
      <w:r>
        <w:rPr>
          <w:rFonts w:ascii="Arial" w:hAnsi="Arial" w:cs="Arial"/>
          <w:sz w:val="24"/>
          <w:szCs w:val="24"/>
        </w:rPr>
        <w:t>re supported by the regulations</w:t>
      </w:r>
      <w:r w:rsidRPr="00107F1E">
        <w:rPr>
          <w:rFonts w:asciiTheme="minorHAnsi" w:hAnsiTheme="minorHAnsi" w:cs="Arial"/>
          <w:sz w:val="24"/>
          <w:szCs w:val="24"/>
        </w:rPr>
        <w:t xml:space="preserve"> </w:t>
      </w:r>
      <w:r w:rsidRPr="00107F1E">
        <w:rPr>
          <w:rFonts w:ascii="Arial" w:hAnsi="Arial" w:cs="Arial"/>
          <w:sz w:val="24"/>
          <w:szCs w:val="24"/>
        </w:rPr>
        <w:t xml:space="preserve">that were in place when the provider’s training program began, and the clarifying regulations, issued in the August 31, </w:t>
      </w:r>
      <w:r w:rsidR="009D7B8F" w:rsidRPr="00107F1E">
        <w:rPr>
          <w:rFonts w:ascii="Arial" w:hAnsi="Arial" w:cs="Arial"/>
          <w:sz w:val="24"/>
          <w:szCs w:val="24"/>
        </w:rPr>
        <w:t>2012,</w:t>
      </w:r>
      <w:r w:rsidRPr="00107F1E">
        <w:rPr>
          <w:rFonts w:ascii="Arial" w:hAnsi="Arial" w:cs="Arial"/>
          <w:sz w:val="24"/>
          <w:szCs w:val="24"/>
        </w:rPr>
        <w:t xml:space="preserve"> Federal Register.</w:t>
      </w:r>
    </w:p>
    <w:p w14:paraId="6A94C74F" w14:textId="77777777" w:rsidR="009D7B8F" w:rsidRPr="00107F1E" w:rsidRDefault="009D7B8F" w:rsidP="007F137E">
      <w:pPr>
        <w:spacing w:line="480" w:lineRule="auto"/>
        <w:rPr>
          <w:rFonts w:ascii="Arial" w:hAnsi="Arial" w:cs="Arial"/>
          <w:sz w:val="24"/>
          <w:szCs w:val="24"/>
        </w:rPr>
      </w:pPr>
    </w:p>
    <w:p w14:paraId="6E491EF3" w14:textId="22B743CA" w:rsidR="007F137E" w:rsidRDefault="009D7B8F" w:rsidP="008742DC">
      <w:pPr>
        <w:spacing w:line="480" w:lineRule="auto"/>
        <w:rPr>
          <w:rFonts w:ascii="Arial" w:hAnsi="Arial" w:cs="Arial"/>
          <w:sz w:val="24"/>
          <w:szCs w:val="24"/>
          <w:u w:val="single"/>
        </w:rPr>
      </w:pPr>
      <w:r>
        <w:rPr>
          <w:rFonts w:ascii="Arial" w:hAnsi="Arial" w:cs="Arial"/>
          <w:sz w:val="24"/>
          <w:szCs w:val="24"/>
          <w:u w:val="single"/>
        </w:rPr>
        <w:t>Accredited Slots Limit</w:t>
      </w:r>
    </w:p>
    <w:p w14:paraId="3ED64395" w14:textId="640F7A8D" w:rsidR="0072132A" w:rsidRDefault="009D7B8F" w:rsidP="008742DC">
      <w:pPr>
        <w:spacing w:line="480" w:lineRule="auto"/>
        <w:rPr>
          <w:rFonts w:ascii="Arial" w:hAnsi="Arial" w:cs="Arial"/>
          <w:sz w:val="24"/>
          <w:szCs w:val="24"/>
        </w:rPr>
      </w:pPr>
      <w:r>
        <w:rPr>
          <w:rFonts w:ascii="Arial" w:hAnsi="Arial" w:cs="Arial"/>
          <w:sz w:val="24"/>
          <w:szCs w:val="24"/>
        </w:rPr>
        <w:t xml:space="preserve">The provider </w:t>
      </w:r>
      <w:r w:rsidR="008813C6">
        <w:rPr>
          <w:rFonts w:ascii="Arial" w:hAnsi="Arial" w:cs="Arial"/>
          <w:sz w:val="24"/>
          <w:szCs w:val="24"/>
        </w:rPr>
        <w:t>propose</w:t>
      </w:r>
      <w:r w:rsidR="005D0E22">
        <w:rPr>
          <w:rFonts w:ascii="Arial" w:hAnsi="Arial" w:cs="Arial"/>
          <w:sz w:val="24"/>
          <w:szCs w:val="24"/>
        </w:rPr>
        <w:t>s</w:t>
      </w:r>
      <w:r>
        <w:rPr>
          <w:rFonts w:ascii="Arial" w:hAnsi="Arial" w:cs="Arial"/>
          <w:sz w:val="24"/>
          <w:szCs w:val="24"/>
        </w:rPr>
        <w:t xml:space="preserve"> that the accredited slots limit should be applied at the end of FTE cap calculation</w:t>
      </w:r>
      <w:r w:rsidR="0072132A">
        <w:rPr>
          <w:rFonts w:ascii="Arial" w:hAnsi="Arial" w:cs="Arial"/>
          <w:sz w:val="24"/>
          <w:szCs w:val="24"/>
        </w:rPr>
        <w:t xml:space="preserve"> and offered an example (Table 5 of the provider final paper) that did not relate to any of</w:t>
      </w:r>
      <w:r w:rsidR="001B5272">
        <w:rPr>
          <w:rFonts w:ascii="Arial" w:hAnsi="Arial" w:cs="Arial"/>
          <w:sz w:val="24"/>
          <w:szCs w:val="24"/>
        </w:rPr>
        <w:t xml:space="preserve"> the</w:t>
      </w:r>
      <w:r w:rsidR="0072132A">
        <w:rPr>
          <w:rFonts w:ascii="Arial" w:hAnsi="Arial" w:cs="Arial"/>
          <w:sz w:val="24"/>
          <w:szCs w:val="24"/>
        </w:rPr>
        <w:t xml:space="preserve"> </w:t>
      </w:r>
      <w:r w:rsidR="00F841F5">
        <w:rPr>
          <w:rFonts w:ascii="Arial" w:hAnsi="Arial" w:cs="Arial"/>
          <w:sz w:val="24"/>
          <w:szCs w:val="24"/>
        </w:rPr>
        <w:t>four</w:t>
      </w:r>
      <w:r w:rsidR="0072132A">
        <w:rPr>
          <w:rFonts w:ascii="Arial" w:hAnsi="Arial" w:cs="Arial"/>
          <w:sz w:val="24"/>
          <w:szCs w:val="24"/>
        </w:rPr>
        <w:t xml:space="preserve"> programs </w:t>
      </w:r>
      <w:r w:rsidR="00F841F5">
        <w:rPr>
          <w:rFonts w:ascii="Arial" w:hAnsi="Arial" w:cs="Arial"/>
          <w:sz w:val="24"/>
          <w:szCs w:val="24"/>
        </w:rPr>
        <w:t xml:space="preserve">impacted by </w:t>
      </w:r>
      <w:r w:rsidR="0072132A">
        <w:rPr>
          <w:rFonts w:ascii="Arial" w:hAnsi="Arial" w:cs="Arial"/>
          <w:sz w:val="24"/>
          <w:szCs w:val="24"/>
        </w:rPr>
        <w:t>the accredited slot limit</w:t>
      </w:r>
      <w:r w:rsidR="001B5272">
        <w:rPr>
          <w:rFonts w:ascii="Arial" w:hAnsi="Arial" w:cs="Arial"/>
          <w:sz w:val="24"/>
          <w:szCs w:val="24"/>
        </w:rPr>
        <w:t>s</w:t>
      </w:r>
      <w:r w:rsidR="0072132A">
        <w:rPr>
          <w:rFonts w:ascii="Arial" w:hAnsi="Arial" w:cs="Arial"/>
          <w:sz w:val="24"/>
          <w:szCs w:val="24"/>
        </w:rPr>
        <w:t xml:space="preserve"> (Family Practice, General Surgery, Internal Medicine, and Orthopedic Surgery).</w:t>
      </w:r>
      <w:r w:rsidR="00F841F5">
        <w:rPr>
          <w:rFonts w:ascii="Arial" w:hAnsi="Arial" w:cs="Arial"/>
          <w:sz w:val="24"/>
          <w:szCs w:val="24"/>
        </w:rPr>
        <w:t xml:space="preserve">  As shown below, using the provider’s proposed methodology, the hospital </w:t>
      </w:r>
      <w:r w:rsidR="009A26CF">
        <w:rPr>
          <w:rFonts w:ascii="Arial" w:hAnsi="Arial" w:cs="Arial"/>
          <w:sz w:val="24"/>
          <w:szCs w:val="24"/>
        </w:rPr>
        <w:t>claims</w:t>
      </w:r>
      <w:r w:rsidR="00F841F5">
        <w:rPr>
          <w:rFonts w:ascii="Arial" w:hAnsi="Arial" w:cs="Arial"/>
          <w:sz w:val="24"/>
          <w:szCs w:val="24"/>
        </w:rPr>
        <w:t xml:space="preserve"> 100% of the accredited slots for three of the four programs even though residents in these programs </w:t>
      </w:r>
      <w:r w:rsidR="00373CAE">
        <w:rPr>
          <w:rFonts w:ascii="Arial" w:hAnsi="Arial" w:cs="Arial"/>
          <w:sz w:val="24"/>
          <w:szCs w:val="24"/>
        </w:rPr>
        <w:t>rotated to</w:t>
      </w:r>
      <w:r w:rsidR="00F841F5">
        <w:rPr>
          <w:rFonts w:ascii="Arial" w:hAnsi="Arial" w:cs="Arial"/>
          <w:sz w:val="24"/>
          <w:szCs w:val="24"/>
        </w:rPr>
        <w:t xml:space="preserve"> facilities</w:t>
      </w:r>
      <w:r w:rsidR="00373CAE">
        <w:rPr>
          <w:rFonts w:ascii="Arial" w:hAnsi="Arial" w:cs="Arial"/>
          <w:sz w:val="24"/>
          <w:szCs w:val="24"/>
        </w:rPr>
        <w:t xml:space="preserve"> other than just</w:t>
      </w:r>
      <w:r w:rsidR="00F841F5">
        <w:rPr>
          <w:rFonts w:ascii="Arial" w:hAnsi="Arial" w:cs="Arial"/>
          <w:sz w:val="24"/>
          <w:szCs w:val="24"/>
        </w:rPr>
        <w:t xml:space="preserve"> Largo.</w:t>
      </w:r>
      <w:r w:rsidR="00C441EB">
        <w:rPr>
          <w:rFonts w:ascii="Arial" w:hAnsi="Arial" w:cs="Arial"/>
          <w:sz w:val="24"/>
          <w:szCs w:val="24"/>
        </w:rPr>
        <w:t xml:space="preserve"> </w:t>
      </w:r>
    </w:p>
    <w:p w14:paraId="334A64E7" w14:textId="77777777" w:rsidR="0072132A" w:rsidRDefault="0072132A" w:rsidP="008742DC">
      <w:pPr>
        <w:spacing w:line="480" w:lineRule="auto"/>
        <w:rPr>
          <w:rFonts w:ascii="Arial" w:hAnsi="Arial" w:cs="Arial"/>
          <w:sz w:val="24"/>
          <w:szCs w:val="24"/>
        </w:rPr>
      </w:pPr>
    </w:p>
    <w:p w14:paraId="541AE57A" w14:textId="77777777" w:rsidR="0072132A" w:rsidRDefault="0072132A" w:rsidP="008742DC">
      <w:pPr>
        <w:spacing w:line="480" w:lineRule="auto"/>
        <w:rPr>
          <w:rFonts w:ascii="Arial" w:hAnsi="Arial" w:cs="Arial"/>
          <w:sz w:val="24"/>
          <w:szCs w:val="24"/>
        </w:rPr>
      </w:pPr>
    </w:p>
    <w:p w14:paraId="532A22BD" w14:textId="71BBC37E" w:rsidR="0072132A" w:rsidRDefault="00D8008D" w:rsidP="008742DC">
      <w:pPr>
        <w:spacing w:line="480" w:lineRule="auto"/>
        <w:rPr>
          <w:rFonts w:ascii="Arial" w:hAnsi="Arial" w:cs="Arial"/>
          <w:sz w:val="24"/>
          <w:szCs w:val="24"/>
        </w:rPr>
      </w:pPr>
      <w:r w:rsidRPr="00D8008D">
        <w:rPr>
          <w:noProof/>
        </w:rPr>
        <w:lastRenderedPageBreak/>
        <w:drawing>
          <wp:inline distT="0" distB="0" distL="0" distR="0" wp14:anchorId="6B6D8DFD" wp14:editId="470DA690">
            <wp:extent cx="5008880" cy="8229600"/>
            <wp:effectExtent l="0" t="0" r="1270" b="0"/>
            <wp:docPr id="110241470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08880" cy="8229600"/>
                    </a:xfrm>
                    <a:prstGeom prst="rect">
                      <a:avLst/>
                    </a:prstGeom>
                    <a:noFill/>
                    <a:ln>
                      <a:noFill/>
                    </a:ln>
                  </pic:spPr>
                </pic:pic>
              </a:graphicData>
            </a:graphic>
          </wp:inline>
        </w:drawing>
      </w:r>
    </w:p>
    <w:p w14:paraId="58240F75" w14:textId="1F85B7C2" w:rsidR="0072132A" w:rsidRDefault="00D8008D" w:rsidP="008742DC">
      <w:pPr>
        <w:spacing w:line="480" w:lineRule="auto"/>
        <w:rPr>
          <w:rFonts w:ascii="Arial" w:hAnsi="Arial" w:cs="Arial"/>
          <w:sz w:val="24"/>
          <w:szCs w:val="24"/>
        </w:rPr>
      </w:pPr>
      <w:r w:rsidRPr="00D8008D">
        <w:rPr>
          <w:noProof/>
        </w:rPr>
        <w:lastRenderedPageBreak/>
        <w:drawing>
          <wp:inline distT="0" distB="0" distL="0" distR="0" wp14:anchorId="500C8E6F" wp14:editId="149372C8">
            <wp:extent cx="5486400" cy="2858770"/>
            <wp:effectExtent l="0" t="0" r="0" b="0"/>
            <wp:docPr id="64020699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2858770"/>
                    </a:xfrm>
                    <a:prstGeom prst="rect">
                      <a:avLst/>
                    </a:prstGeom>
                    <a:noFill/>
                    <a:ln>
                      <a:noFill/>
                    </a:ln>
                  </pic:spPr>
                </pic:pic>
              </a:graphicData>
            </a:graphic>
          </wp:inline>
        </w:drawing>
      </w:r>
    </w:p>
    <w:p w14:paraId="7B20ED80" w14:textId="77777777" w:rsidR="0072132A" w:rsidRDefault="0072132A" w:rsidP="008742DC">
      <w:pPr>
        <w:spacing w:line="480" w:lineRule="auto"/>
        <w:rPr>
          <w:rFonts w:ascii="Arial" w:hAnsi="Arial" w:cs="Arial"/>
          <w:sz w:val="24"/>
          <w:szCs w:val="24"/>
        </w:rPr>
      </w:pPr>
    </w:p>
    <w:p w14:paraId="19C51860" w14:textId="6852998C" w:rsidR="0098111F" w:rsidRDefault="0098111F" w:rsidP="008742DC">
      <w:pPr>
        <w:spacing w:line="480" w:lineRule="auto"/>
        <w:rPr>
          <w:rFonts w:ascii="Arial" w:hAnsi="Arial" w:cs="Arial"/>
          <w:sz w:val="24"/>
          <w:szCs w:val="24"/>
        </w:rPr>
      </w:pPr>
      <w:r>
        <w:rPr>
          <w:rFonts w:ascii="Arial" w:hAnsi="Arial" w:cs="Arial"/>
          <w:sz w:val="24"/>
          <w:szCs w:val="24"/>
        </w:rPr>
        <w:t xml:space="preserve">It is unclear why the provider referenced eight programs impacted by the accredited slot limit, as the MAC workpapers clearly indicate only the four programs shown above were impacted by this factor.  However, the MAC’s method for determining the add-on cap for all twelve programs was consistent with the method used </w:t>
      </w:r>
      <w:r w:rsidR="006F0227">
        <w:rPr>
          <w:rFonts w:ascii="Arial" w:hAnsi="Arial" w:cs="Arial"/>
          <w:sz w:val="24"/>
          <w:szCs w:val="24"/>
        </w:rPr>
        <w:t>for another provider, JFK Medical Center.  The Administrator agreed with the MAC’s calculation</w:t>
      </w:r>
      <w:r w:rsidR="006F0227">
        <w:rPr>
          <w:rStyle w:val="FootnoteReference"/>
          <w:rFonts w:ascii="Arial" w:hAnsi="Arial" w:cs="Arial"/>
          <w:sz w:val="24"/>
          <w:szCs w:val="24"/>
        </w:rPr>
        <w:footnoteReference w:id="4"/>
      </w:r>
      <w:r w:rsidR="006F0227">
        <w:rPr>
          <w:rFonts w:ascii="Arial" w:hAnsi="Arial" w:cs="Arial"/>
          <w:sz w:val="24"/>
          <w:szCs w:val="24"/>
        </w:rPr>
        <w:t>, stating:</w:t>
      </w:r>
    </w:p>
    <w:p w14:paraId="56238BB0" w14:textId="389DCC97" w:rsidR="006F0227" w:rsidRDefault="006F0227" w:rsidP="006F0227">
      <w:pPr>
        <w:ind w:left="720"/>
        <w:rPr>
          <w:rFonts w:ascii="Arial" w:hAnsi="Arial" w:cs="Arial"/>
          <w:sz w:val="24"/>
          <w:szCs w:val="24"/>
        </w:rPr>
      </w:pPr>
      <w:r>
        <w:rPr>
          <w:rFonts w:ascii="Arial" w:hAnsi="Arial" w:cs="Arial"/>
          <w:sz w:val="24"/>
          <w:szCs w:val="24"/>
        </w:rPr>
        <w:t>…the Administrator finds that the MAC was correct in adjusting the Provider’s DGME and IME FTE caps to account for  out-rotations and used the correct methodology to determine the cap.  The Administrator finds that the methodology used by the MAC to make its calculations was consistent with Medicare law, the regulations and program instructions, and resulted in an accurate and equitable means to distribute the allowable FTE caps.  The Administrator finds that considering all three years of the cap-building period in calculating the Provider’s cap adjustment within the context of both hospitals, collectively, is appropriate, as it provides a more complete picture of the actual rotations that will be part of the approved residency training program….</w:t>
      </w:r>
    </w:p>
    <w:p w14:paraId="0BDBA157" w14:textId="77777777" w:rsidR="006F0227" w:rsidRDefault="006F0227" w:rsidP="008742DC">
      <w:pPr>
        <w:spacing w:line="480" w:lineRule="auto"/>
        <w:rPr>
          <w:rFonts w:ascii="Arial" w:hAnsi="Arial" w:cs="Arial"/>
          <w:sz w:val="24"/>
          <w:szCs w:val="24"/>
        </w:rPr>
      </w:pPr>
    </w:p>
    <w:p w14:paraId="210614DA" w14:textId="77777777" w:rsidR="0098111F" w:rsidRDefault="0098111F" w:rsidP="008742DC">
      <w:pPr>
        <w:spacing w:line="480" w:lineRule="auto"/>
        <w:rPr>
          <w:rFonts w:ascii="Arial" w:hAnsi="Arial" w:cs="Arial"/>
          <w:sz w:val="24"/>
          <w:szCs w:val="24"/>
        </w:rPr>
      </w:pPr>
    </w:p>
    <w:p w14:paraId="0B96951B" w14:textId="3944D758" w:rsidR="0072132A" w:rsidRDefault="00E627CD" w:rsidP="008742DC">
      <w:pPr>
        <w:spacing w:line="480" w:lineRule="auto"/>
        <w:rPr>
          <w:rFonts w:ascii="Arial" w:hAnsi="Arial" w:cs="Arial"/>
          <w:sz w:val="24"/>
          <w:szCs w:val="24"/>
        </w:rPr>
      </w:pPr>
      <w:r>
        <w:rPr>
          <w:rFonts w:ascii="Arial" w:hAnsi="Arial" w:cs="Arial"/>
          <w:sz w:val="24"/>
          <w:szCs w:val="24"/>
        </w:rPr>
        <w:t>The MAC contends that the accredited slot limit ceiling applies to each program, not just</w:t>
      </w:r>
      <w:r w:rsidR="00411F20">
        <w:rPr>
          <w:rFonts w:ascii="Arial" w:hAnsi="Arial" w:cs="Arial"/>
          <w:sz w:val="24"/>
          <w:szCs w:val="24"/>
        </w:rPr>
        <w:t xml:space="preserve"> the </w:t>
      </w:r>
      <w:r w:rsidR="00E474A4">
        <w:rPr>
          <w:rFonts w:ascii="Arial" w:hAnsi="Arial" w:cs="Arial"/>
          <w:sz w:val="24"/>
          <w:szCs w:val="24"/>
        </w:rPr>
        <w:t xml:space="preserve">Largo </w:t>
      </w:r>
      <w:r w:rsidR="00411F20">
        <w:rPr>
          <w:rFonts w:ascii="Arial" w:hAnsi="Arial" w:cs="Arial"/>
          <w:sz w:val="24"/>
          <w:szCs w:val="24"/>
        </w:rPr>
        <w:t>resident rotati</w:t>
      </w:r>
      <w:r w:rsidR="00E474A4">
        <w:rPr>
          <w:rFonts w:ascii="Arial" w:hAnsi="Arial" w:cs="Arial"/>
          <w:sz w:val="24"/>
          <w:szCs w:val="24"/>
        </w:rPr>
        <w:t>ons</w:t>
      </w:r>
      <w:r>
        <w:rPr>
          <w:rFonts w:ascii="Arial" w:hAnsi="Arial" w:cs="Arial"/>
          <w:sz w:val="24"/>
          <w:szCs w:val="24"/>
        </w:rPr>
        <w:t xml:space="preserve">. </w:t>
      </w:r>
      <w:r w:rsidR="00F5593C">
        <w:rPr>
          <w:rFonts w:ascii="Arial" w:hAnsi="Arial" w:cs="Arial"/>
          <w:sz w:val="24"/>
          <w:szCs w:val="24"/>
        </w:rPr>
        <w:t>Thus, the order of application was appropriate.</w:t>
      </w:r>
      <w:r>
        <w:rPr>
          <w:rFonts w:ascii="Arial" w:hAnsi="Arial" w:cs="Arial"/>
          <w:sz w:val="24"/>
          <w:szCs w:val="24"/>
        </w:rPr>
        <w:t xml:space="preserve"> </w:t>
      </w:r>
      <w:r w:rsidR="00F5593C">
        <w:rPr>
          <w:rFonts w:ascii="Arial" w:hAnsi="Arial" w:cs="Arial"/>
          <w:sz w:val="24"/>
          <w:szCs w:val="24"/>
        </w:rPr>
        <w:t xml:space="preserve"> </w:t>
      </w:r>
      <w:r w:rsidR="00373CAE">
        <w:rPr>
          <w:rFonts w:ascii="Arial" w:hAnsi="Arial" w:cs="Arial"/>
          <w:sz w:val="24"/>
          <w:szCs w:val="24"/>
        </w:rPr>
        <w:t xml:space="preserve">The provider cites language from 42 C.F.R. § 413.79(e)(1) “…The adjustment to the cap may not exceed the number of accredited slots </w:t>
      </w:r>
      <w:r w:rsidR="00373CAE" w:rsidRPr="00373CAE">
        <w:rPr>
          <w:rFonts w:ascii="Arial" w:hAnsi="Arial" w:cs="Arial"/>
          <w:b/>
          <w:bCs/>
          <w:sz w:val="24"/>
          <w:szCs w:val="24"/>
        </w:rPr>
        <w:t>available</w:t>
      </w:r>
      <w:r w:rsidR="00373CAE">
        <w:rPr>
          <w:rFonts w:ascii="Arial" w:hAnsi="Arial" w:cs="Arial"/>
          <w:sz w:val="24"/>
          <w:szCs w:val="24"/>
        </w:rPr>
        <w:t xml:space="preserve"> to the </w:t>
      </w:r>
      <w:r w:rsidR="00373CAE" w:rsidRPr="00DB7D5F">
        <w:rPr>
          <w:rFonts w:ascii="Arial" w:hAnsi="Arial" w:cs="Arial"/>
          <w:b/>
          <w:bCs/>
          <w:sz w:val="24"/>
          <w:szCs w:val="24"/>
        </w:rPr>
        <w:t>hospital</w:t>
      </w:r>
      <w:r w:rsidR="00373CAE">
        <w:rPr>
          <w:rFonts w:ascii="Arial" w:hAnsi="Arial" w:cs="Arial"/>
          <w:sz w:val="24"/>
          <w:szCs w:val="24"/>
        </w:rPr>
        <w:t xml:space="preserve"> for the new program.” (emphasis added)</w:t>
      </w:r>
      <w:r w:rsidR="00C441EB">
        <w:rPr>
          <w:rFonts w:ascii="Arial" w:hAnsi="Arial" w:cs="Arial"/>
          <w:sz w:val="24"/>
          <w:szCs w:val="24"/>
        </w:rPr>
        <w:t>.</w:t>
      </w:r>
      <w:r w:rsidR="00F5593C">
        <w:rPr>
          <w:rFonts w:ascii="Arial" w:hAnsi="Arial" w:cs="Arial"/>
          <w:sz w:val="24"/>
          <w:szCs w:val="24"/>
        </w:rPr>
        <w:t xml:space="preserve">  </w:t>
      </w:r>
      <w:r w:rsidR="00C00E8A">
        <w:rPr>
          <w:rFonts w:ascii="Arial" w:hAnsi="Arial" w:cs="Arial"/>
          <w:sz w:val="24"/>
          <w:szCs w:val="24"/>
        </w:rPr>
        <w:t>If each hospital with resident rotations in the program used the Largo methodology, the new program caps would exceed the accredited slot limit.</w:t>
      </w:r>
      <w:r w:rsidR="00F5593C">
        <w:rPr>
          <w:rFonts w:ascii="Arial" w:hAnsi="Arial" w:cs="Arial"/>
          <w:sz w:val="24"/>
          <w:szCs w:val="24"/>
        </w:rPr>
        <w:t xml:space="preserve">  </w:t>
      </w:r>
    </w:p>
    <w:p w14:paraId="11455A5A" w14:textId="77777777" w:rsidR="0072132A" w:rsidRPr="009D7B8F" w:rsidRDefault="0072132A" w:rsidP="008742DC">
      <w:pPr>
        <w:spacing w:line="480" w:lineRule="auto"/>
        <w:rPr>
          <w:rFonts w:ascii="Arial" w:hAnsi="Arial" w:cs="Arial"/>
          <w:sz w:val="24"/>
          <w:szCs w:val="24"/>
        </w:rPr>
      </w:pPr>
    </w:p>
    <w:p w14:paraId="063547F1" w14:textId="77777777" w:rsidR="000A4C00" w:rsidRPr="000A4C00" w:rsidRDefault="000A4C00" w:rsidP="008742DC">
      <w:pPr>
        <w:spacing w:line="480" w:lineRule="auto"/>
        <w:rPr>
          <w:rFonts w:ascii="Arial" w:hAnsi="Arial" w:cs="Arial"/>
          <w:sz w:val="24"/>
          <w:szCs w:val="24"/>
          <w:u w:val="single"/>
        </w:rPr>
      </w:pPr>
      <w:r>
        <w:rPr>
          <w:rFonts w:ascii="Arial" w:hAnsi="Arial" w:cs="Arial"/>
          <w:sz w:val="24"/>
          <w:szCs w:val="24"/>
          <w:u w:val="single"/>
        </w:rPr>
        <w:t>Resident Time Counting Errors</w:t>
      </w:r>
    </w:p>
    <w:p w14:paraId="45159F2C" w14:textId="294C74BD" w:rsidR="00A42A63" w:rsidRDefault="000A4C00" w:rsidP="00BF6959">
      <w:pPr>
        <w:spacing w:line="480" w:lineRule="auto"/>
        <w:rPr>
          <w:rFonts w:ascii="Arial" w:hAnsi="Arial" w:cs="Arial"/>
          <w:sz w:val="24"/>
          <w:szCs w:val="24"/>
        </w:rPr>
      </w:pPr>
      <w:r>
        <w:rPr>
          <w:rFonts w:ascii="Arial" w:hAnsi="Arial" w:cs="Arial"/>
          <w:sz w:val="24"/>
          <w:szCs w:val="24"/>
        </w:rPr>
        <w:t xml:space="preserve">The MAC calculations were based on the FTE counts made available from the provider.  The MAC agrees that non allowable time, such as time spent in didactic conferences held at locations which are not primarily engaged in furnishing patient care services, or time spent by a resident out on an extended leave of absence (under FMLA for example), should not be considered in the calculations of the overall program FTE counts for each of these new medical residency programs.  However, these items were already removed when properly identified. </w:t>
      </w:r>
      <w:r w:rsidR="0079129B">
        <w:rPr>
          <w:rFonts w:ascii="Arial" w:hAnsi="Arial" w:cs="Arial"/>
          <w:sz w:val="24"/>
          <w:szCs w:val="24"/>
        </w:rPr>
        <w:t xml:space="preserve"> </w:t>
      </w:r>
      <w:r w:rsidR="00A42A63">
        <w:rPr>
          <w:rFonts w:ascii="Arial" w:hAnsi="Arial" w:cs="Arial"/>
          <w:sz w:val="24"/>
          <w:szCs w:val="24"/>
        </w:rPr>
        <w:t xml:space="preserve">The provider seems to comingle their arguments between whether the </w:t>
      </w:r>
      <w:r w:rsidR="00C00E8A">
        <w:rPr>
          <w:rFonts w:ascii="Arial" w:hAnsi="Arial" w:cs="Arial"/>
          <w:sz w:val="24"/>
          <w:szCs w:val="24"/>
        </w:rPr>
        <w:t>FTEs</w:t>
      </w:r>
      <w:r w:rsidR="00A42A63">
        <w:rPr>
          <w:rFonts w:ascii="Arial" w:hAnsi="Arial" w:cs="Arial"/>
          <w:sz w:val="24"/>
          <w:szCs w:val="24"/>
        </w:rPr>
        <w:t xml:space="preserve"> in dispute are “non-countable time” or “non-countable activities”, and whether it is the methodology used or the data within the calculations pertaining to the 1</w:t>
      </w:r>
      <w:r w:rsidR="00A42A63" w:rsidRPr="00A42A63">
        <w:rPr>
          <w:rFonts w:ascii="Arial" w:hAnsi="Arial" w:cs="Arial"/>
          <w:sz w:val="24"/>
          <w:szCs w:val="24"/>
          <w:vertAlign w:val="superscript"/>
        </w:rPr>
        <w:t>st</w:t>
      </w:r>
      <w:r w:rsidR="00A42A63">
        <w:rPr>
          <w:rFonts w:ascii="Arial" w:hAnsi="Arial" w:cs="Arial"/>
          <w:sz w:val="24"/>
          <w:szCs w:val="24"/>
        </w:rPr>
        <w:t xml:space="preserve"> and 2</w:t>
      </w:r>
      <w:r w:rsidR="00A42A63" w:rsidRPr="00A42A63">
        <w:rPr>
          <w:rFonts w:ascii="Arial" w:hAnsi="Arial" w:cs="Arial"/>
          <w:sz w:val="24"/>
          <w:szCs w:val="24"/>
          <w:vertAlign w:val="superscript"/>
        </w:rPr>
        <w:t>nd</w:t>
      </w:r>
      <w:r w:rsidR="00A42A63">
        <w:rPr>
          <w:rFonts w:ascii="Arial" w:hAnsi="Arial" w:cs="Arial"/>
          <w:sz w:val="24"/>
          <w:szCs w:val="24"/>
        </w:rPr>
        <w:t xml:space="preserve"> years of the cap building period that is in dispute.</w:t>
      </w:r>
    </w:p>
    <w:p w14:paraId="698844C8" w14:textId="77777777" w:rsidR="00A42A63" w:rsidRDefault="00A42A63" w:rsidP="00BF6959">
      <w:pPr>
        <w:spacing w:line="480" w:lineRule="auto"/>
        <w:rPr>
          <w:rFonts w:ascii="Arial" w:hAnsi="Arial" w:cs="Arial"/>
          <w:sz w:val="24"/>
          <w:szCs w:val="24"/>
        </w:rPr>
      </w:pPr>
    </w:p>
    <w:p w14:paraId="2BC398C8" w14:textId="2305835A" w:rsidR="00A42A63" w:rsidRDefault="0079129B" w:rsidP="00A42A63">
      <w:pPr>
        <w:spacing w:line="480" w:lineRule="auto"/>
        <w:rPr>
          <w:rFonts w:ascii="Arial" w:hAnsi="Arial" w:cs="Arial"/>
          <w:sz w:val="24"/>
          <w:szCs w:val="24"/>
        </w:rPr>
      </w:pPr>
      <w:r>
        <w:rPr>
          <w:rFonts w:ascii="Arial" w:hAnsi="Arial" w:cs="Arial"/>
          <w:sz w:val="24"/>
          <w:szCs w:val="24"/>
        </w:rPr>
        <w:lastRenderedPageBreak/>
        <w:t xml:space="preserve">On August 31, </w:t>
      </w:r>
      <w:r w:rsidR="00D9441D">
        <w:rPr>
          <w:rFonts w:ascii="Arial" w:hAnsi="Arial" w:cs="Arial"/>
          <w:sz w:val="24"/>
          <w:szCs w:val="24"/>
        </w:rPr>
        <w:t>2017,</w:t>
      </w:r>
      <w:r>
        <w:rPr>
          <w:rFonts w:ascii="Arial" w:hAnsi="Arial" w:cs="Arial"/>
          <w:sz w:val="24"/>
          <w:szCs w:val="24"/>
        </w:rPr>
        <w:t xml:space="preserve"> the MAC requested support to specifically identify the </w:t>
      </w:r>
      <w:r w:rsidR="00C00E8A">
        <w:rPr>
          <w:rFonts w:ascii="Arial" w:hAnsi="Arial" w:cs="Arial"/>
          <w:sz w:val="24"/>
          <w:szCs w:val="24"/>
        </w:rPr>
        <w:t>FTEs</w:t>
      </w:r>
      <w:r>
        <w:rPr>
          <w:rFonts w:ascii="Arial" w:hAnsi="Arial" w:cs="Arial"/>
          <w:sz w:val="24"/>
          <w:szCs w:val="24"/>
        </w:rPr>
        <w:t xml:space="preserve"> in dispute</w:t>
      </w:r>
      <w:r w:rsidR="00A42A63">
        <w:rPr>
          <w:rFonts w:ascii="Arial" w:hAnsi="Arial" w:cs="Arial"/>
          <w:sz w:val="24"/>
          <w:szCs w:val="24"/>
        </w:rPr>
        <w:t xml:space="preserve"> (see Exhibit C</w:t>
      </w:r>
      <w:r w:rsidR="00F63FFB">
        <w:rPr>
          <w:rFonts w:ascii="Arial" w:hAnsi="Arial" w:cs="Arial"/>
          <w:sz w:val="24"/>
          <w:szCs w:val="24"/>
        </w:rPr>
        <w:t>-</w:t>
      </w:r>
      <w:r w:rsidR="00731D02">
        <w:rPr>
          <w:rFonts w:ascii="Arial" w:hAnsi="Arial" w:cs="Arial"/>
          <w:sz w:val="24"/>
          <w:szCs w:val="24"/>
        </w:rPr>
        <w:t>5</w:t>
      </w:r>
      <w:r w:rsidR="00F63FFB">
        <w:rPr>
          <w:rFonts w:ascii="Arial" w:hAnsi="Arial" w:cs="Arial"/>
          <w:sz w:val="24"/>
          <w:szCs w:val="24"/>
        </w:rPr>
        <w:t>)</w:t>
      </w:r>
      <w:r>
        <w:rPr>
          <w:rFonts w:ascii="Arial" w:hAnsi="Arial" w:cs="Arial"/>
          <w:sz w:val="24"/>
          <w:szCs w:val="24"/>
        </w:rPr>
        <w:t>.</w:t>
      </w:r>
      <w:r w:rsidR="000A4C00">
        <w:rPr>
          <w:rFonts w:ascii="Arial" w:hAnsi="Arial" w:cs="Arial"/>
          <w:sz w:val="24"/>
          <w:szCs w:val="24"/>
        </w:rPr>
        <w:t xml:space="preserve"> </w:t>
      </w:r>
      <w:r w:rsidR="00A42A63">
        <w:rPr>
          <w:rFonts w:ascii="Arial" w:hAnsi="Arial" w:cs="Arial"/>
          <w:sz w:val="24"/>
          <w:szCs w:val="24"/>
        </w:rPr>
        <w:t>On December 18, 2017 the provider submitted spreadsheets to help identify and narrow this portion of the dispute but did not provide sufficient detail behind any of these “non-countable activities” which may have been inadvertently included in the calculation of the overall New Program FTE Cap (based upon rotations from just the 3</w:t>
      </w:r>
      <w:r w:rsidR="00A42A63" w:rsidRPr="009F0EE3">
        <w:rPr>
          <w:rFonts w:ascii="Arial" w:hAnsi="Arial" w:cs="Arial"/>
          <w:sz w:val="24"/>
          <w:szCs w:val="24"/>
          <w:vertAlign w:val="superscript"/>
        </w:rPr>
        <w:t>rd</w:t>
      </w:r>
      <w:r w:rsidR="00A42A63">
        <w:rPr>
          <w:rFonts w:ascii="Arial" w:hAnsi="Arial" w:cs="Arial"/>
          <w:sz w:val="24"/>
          <w:szCs w:val="24"/>
        </w:rPr>
        <w:t xml:space="preserve"> year of the cap building period) or inadvertently included in the calculation of the denominator used for the apportionment of the overall New Program FTE Cap to Largo Medical Center (based upon rotations from the entire 3 years of the cap building period).  We need to see the source documentation for the residents’ time, locations, and activities in the form of the “master” (i.e. “block”) rotation schedules for each one of the “new” GME programs in order to properly identify and verify the specific “non-countable activities”.  We also have concerns with the unorthodox methodology used by the provider for its calculations of the FTE counts, which makes it difficult to reconcile the FTE counts to the source documentation for the residents’ time, locations, and activities in the form of the “master” (i.e. “block”) rotation schedules for each one of the “new” GME programs.  We would need detail to be able to tie these FTE counts from the entire 3 years of the cap building period back to the FTE counts which were allowed on the corresponding prior cost reporting periods for the FYE’s of 02/28/2011, 02/28/2010 and 02/28/2009.  </w:t>
      </w:r>
    </w:p>
    <w:p w14:paraId="4C01DF4D" w14:textId="77777777" w:rsidR="006F0227" w:rsidRDefault="006F0227" w:rsidP="008742DC">
      <w:pPr>
        <w:spacing w:line="480" w:lineRule="auto"/>
        <w:rPr>
          <w:rFonts w:ascii="Arial" w:hAnsi="Arial" w:cs="Arial"/>
          <w:sz w:val="24"/>
          <w:szCs w:val="24"/>
          <w:u w:val="single"/>
        </w:rPr>
      </w:pPr>
    </w:p>
    <w:p w14:paraId="0472CD1B" w14:textId="77777777" w:rsidR="006F0227" w:rsidRDefault="006F0227" w:rsidP="008742DC">
      <w:pPr>
        <w:spacing w:line="480" w:lineRule="auto"/>
        <w:rPr>
          <w:rFonts w:ascii="Arial" w:hAnsi="Arial" w:cs="Arial"/>
          <w:sz w:val="24"/>
          <w:szCs w:val="24"/>
          <w:u w:val="single"/>
        </w:rPr>
      </w:pPr>
    </w:p>
    <w:p w14:paraId="7B82D6E8" w14:textId="7EE07844" w:rsidR="000A4C00" w:rsidRPr="000A4C00" w:rsidRDefault="000A4C00" w:rsidP="008742DC">
      <w:pPr>
        <w:spacing w:line="480" w:lineRule="auto"/>
        <w:rPr>
          <w:rFonts w:ascii="Arial" w:hAnsi="Arial" w:cs="Arial"/>
          <w:sz w:val="24"/>
          <w:szCs w:val="24"/>
          <w:u w:val="single"/>
        </w:rPr>
      </w:pPr>
      <w:r>
        <w:rPr>
          <w:rFonts w:ascii="Arial" w:hAnsi="Arial" w:cs="Arial"/>
          <w:sz w:val="24"/>
          <w:szCs w:val="24"/>
          <w:u w:val="single"/>
        </w:rPr>
        <w:lastRenderedPageBreak/>
        <w:t>Other provider arguments</w:t>
      </w:r>
    </w:p>
    <w:p w14:paraId="657B858E" w14:textId="1F4B1D4A" w:rsidR="008742DC" w:rsidRPr="008742DC" w:rsidRDefault="008742DC" w:rsidP="008742DC">
      <w:pPr>
        <w:spacing w:line="480" w:lineRule="auto"/>
        <w:rPr>
          <w:rFonts w:ascii="Arial" w:hAnsi="Arial" w:cs="Arial"/>
          <w:sz w:val="24"/>
          <w:szCs w:val="24"/>
        </w:rPr>
      </w:pPr>
      <w:r w:rsidRPr="008742DC">
        <w:rPr>
          <w:rFonts w:ascii="Arial" w:hAnsi="Arial" w:cs="Arial"/>
          <w:sz w:val="24"/>
          <w:szCs w:val="24"/>
        </w:rPr>
        <w:t xml:space="preserve">The provider attempts to justify their position by including </w:t>
      </w:r>
      <w:r w:rsidR="005737C4">
        <w:rPr>
          <w:rFonts w:ascii="Arial" w:hAnsi="Arial" w:cs="Arial"/>
          <w:sz w:val="24"/>
          <w:szCs w:val="24"/>
        </w:rPr>
        <w:t xml:space="preserve">an example </w:t>
      </w:r>
      <w:r w:rsidRPr="008742DC">
        <w:rPr>
          <w:rFonts w:ascii="Arial" w:hAnsi="Arial" w:cs="Arial"/>
          <w:sz w:val="24"/>
          <w:szCs w:val="24"/>
        </w:rPr>
        <w:t>of FTE resident cap computations</w:t>
      </w:r>
      <w:r w:rsidR="005737C4">
        <w:rPr>
          <w:rFonts w:ascii="Arial" w:hAnsi="Arial" w:cs="Arial"/>
          <w:sz w:val="24"/>
          <w:szCs w:val="24"/>
        </w:rPr>
        <w:t xml:space="preserve"> </w:t>
      </w:r>
      <w:r w:rsidRPr="008742DC">
        <w:rPr>
          <w:rFonts w:ascii="Arial" w:hAnsi="Arial" w:cs="Arial"/>
          <w:sz w:val="24"/>
          <w:szCs w:val="24"/>
        </w:rPr>
        <w:t xml:space="preserve">related to </w:t>
      </w:r>
      <w:r w:rsidR="005737C4">
        <w:rPr>
          <w:rFonts w:ascii="Arial" w:hAnsi="Arial" w:cs="Arial"/>
          <w:sz w:val="24"/>
          <w:szCs w:val="24"/>
        </w:rPr>
        <w:t>anothe</w:t>
      </w:r>
      <w:r w:rsidRPr="008742DC">
        <w:rPr>
          <w:rFonts w:ascii="Arial" w:hAnsi="Arial" w:cs="Arial"/>
          <w:sz w:val="24"/>
          <w:szCs w:val="24"/>
        </w:rPr>
        <w:t>r provider</w:t>
      </w:r>
      <w:r w:rsidR="00EB500D">
        <w:rPr>
          <w:rFonts w:ascii="Arial" w:hAnsi="Arial" w:cs="Arial"/>
          <w:sz w:val="24"/>
          <w:szCs w:val="24"/>
        </w:rPr>
        <w:t xml:space="preserve"> at Exhibit P-35</w:t>
      </w:r>
      <w:r w:rsidRPr="008742DC">
        <w:rPr>
          <w:rFonts w:ascii="Arial" w:hAnsi="Arial" w:cs="Arial"/>
          <w:sz w:val="24"/>
          <w:szCs w:val="24"/>
        </w:rPr>
        <w:t>. Th</w:t>
      </w:r>
      <w:r w:rsidR="005737C4">
        <w:rPr>
          <w:rFonts w:ascii="Arial" w:hAnsi="Arial" w:cs="Arial"/>
          <w:sz w:val="24"/>
          <w:szCs w:val="24"/>
        </w:rPr>
        <w:t>is is</w:t>
      </w:r>
      <w:r w:rsidRPr="008742DC">
        <w:rPr>
          <w:rFonts w:ascii="Arial" w:hAnsi="Arial" w:cs="Arial"/>
          <w:sz w:val="24"/>
          <w:szCs w:val="24"/>
        </w:rPr>
        <w:t xml:space="preserve"> not germane to th</w:t>
      </w:r>
      <w:r w:rsidR="005737C4">
        <w:rPr>
          <w:rFonts w:ascii="Arial" w:hAnsi="Arial" w:cs="Arial"/>
          <w:sz w:val="24"/>
          <w:szCs w:val="24"/>
        </w:rPr>
        <w:t>e</w:t>
      </w:r>
      <w:r w:rsidRPr="008742DC">
        <w:rPr>
          <w:rFonts w:ascii="Arial" w:hAnsi="Arial" w:cs="Arial"/>
          <w:sz w:val="24"/>
          <w:szCs w:val="24"/>
        </w:rPr>
        <w:t xml:space="preserve"> instant case. Each determination of a provider’s FTE resident cap is based the unique circumstances applicable to each case. If a MAC errs with a computation, does it establish policy for all other cases, determined by the MAC or another MAC? The simple answer is no. </w:t>
      </w:r>
    </w:p>
    <w:p w14:paraId="4EBF7B6A" w14:textId="77777777" w:rsidR="008742DC" w:rsidRPr="008742DC" w:rsidRDefault="008742DC" w:rsidP="008742DC">
      <w:pPr>
        <w:spacing w:line="480" w:lineRule="auto"/>
        <w:rPr>
          <w:rFonts w:ascii="Arial" w:hAnsi="Arial" w:cs="Arial"/>
          <w:sz w:val="24"/>
          <w:szCs w:val="24"/>
        </w:rPr>
      </w:pPr>
    </w:p>
    <w:p w14:paraId="22EE81C1" w14:textId="77777777" w:rsidR="00434E63" w:rsidRPr="00434E63" w:rsidRDefault="00434E63" w:rsidP="00434E63">
      <w:pPr>
        <w:spacing w:line="480" w:lineRule="auto"/>
        <w:rPr>
          <w:rFonts w:ascii="Arial" w:hAnsi="Arial" w:cs="Arial"/>
          <w:sz w:val="24"/>
          <w:szCs w:val="24"/>
        </w:rPr>
      </w:pPr>
      <w:r w:rsidRPr="00434E63">
        <w:rPr>
          <w:rFonts w:ascii="Arial" w:hAnsi="Arial" w:cs="Arial"/>
          <w:b/>
          <w:sz w:val="24"/>
          <w:szCs w:val="24"/>
        </w:rPr>
        <w:t>C.  Conclusion</w:t>
      </w:r>
    </w:p>
    <w:p w14:paraId="636E6AB6" w14:textId="53A9D15B" w:rsidR="007F137E" w:rsidRDefault="008742DC" w:rsidP="00343996">
      <w:pPr>
        <w:spacing w:line="480" w:lineRule="auto"/>
        <w:rPr>
          <w:rFonts w:ascii="Arial" w:hAnsi="Arial" w:cs="Arial"/>
          <w:sz w:val="24"/>
          <w:szCs w:val="24"/>
        </w:rPr>
      </w:pPr>
      <w:r w:rsidRPr="008742DC">
        <w:rPr>
          <w:rFonts w:ascii="Arial" w:hAnsi="Arial" w:cs="Arial"/>
          <w:sz w:val="24"/>
          <w:szCs w:val="24"/>
        </w:rPr>
        <w:t>The provider has failed to persuade the MAC to recognize an alternative method of calculating the provider’s GME/IME FTE resident caps for the new training program</w:t>
      </w:r>
      <w:r w:rsidR="005737C4">
        <w:rPr>
          <w:rFonts w:ascii="Arial" w:hAnsi="Arial" w:cs="Arial"/>
          <w:sz w:val="24"/>
          <w:szCs w:val="24"/>
        </w:rPr>
        <w:t>s</w:t>
      </w:r>
      <w:r w:rsidRPr="008742DC">
        <w:rPr>
          <w:rFonts w:ascii="Arial" w:hAnsi="Arial" w:cs="Arial"/>
          <w:sz w:val="24"/>
          <w:szCs w:val="24"/>
        </w:rPr>
        <w:t xml:space="preserve">.  Accordingly, the burden of proof, which was upon the provider, has not been met.  Therefore, the Board must find that the MAC’s determination was not arbitrary or capricious and did in fact adhere to Medicare Law, Regulations &amp; Program Instructions. Thus, the Board must conclude that the provider is not entitled to higher GME/IME FTE resident caps. </w:t>
      </w:r>
      <w:bookmarkStart w:id="11" w:name="citeas((Cite_as:_2009_WL_4522056,_*5_(H."/>
      <w:bookmarkEnd w:id="11"/>
    </w:p>
    <w:p w14:paraId="1E00C4F3" w14:textId="77777777" w:rsidR="007F137E" w:rsidRDefault="007F137E" w:rsidP="00852B27">
      <w:pPr>
        <w:ind w:left="720" w:hanging="720"/>
        <w:rPr>
          <w:rFonts w:ascii="Arial" w:hAnsi="Arial" w:cs="Arial"/>
          <w:sz w:val="24"/>
          <w:szCs w:val="24"/>
        </w:rPr>
      </w:pPr>
    </w:p>
    <w:p w14:paraId="1E906948" w14:textId="77777777" w:rsidR="007F137E" w:rsidRDefault="007F137E">
      <w:pPr>
        <w:rPr>
          <w:rFonts w:ascii="Arial" w:hAnsi="Arial" w:cs="Arial"/>
          <w:sz w:val="24"/>
          <w:szCs w:val="24"/>
        </w:rPr>
      </w:pPr>
      <w:r>
        <w:rPr>
          <w:rFonts w:ascii="Arial" w:hAnsi="Arial" w:cs="Arial"/>
          <w:sz w:val="24"/>
          <w:szCs w:val="24"/>
        </w:rPr>
        <w:br w:type="page"/>
      </w:r>
    </w:p>
    <w:p w14:paraId="2523C22E" w14:textId="68496168" w:rsidR="00974D74" w:rsidRPr="00974D74" w:rsidRDefault="00E36A25" w:rsidP="00852B27">
      <w:pPr>
        <w:ind w:left="720" w:hanging="720"/>
        <w:rPr>
          <w:rFonts w:ascii="Arial" w:hAnsi="Arial" w:cs="Arial"/>
          <w:sz w:val="24"/>
          <w:szCs w:val="24"/>
        </w:rPr>
      </w:pPr>
      <w:r>
        <w:rPr>
          <w:rFonts w:ascii="Arial" w:hAnsi="Arial" w:cs="Arial"/>
          <w:sz w:val="24"/>
          <w:szCs w:val="24"/>
        </w:rPr>
        <w:lastRenderedPageBreak/>
        <w:t>I</w:t>
      </w:r>
      <w:r w:rsidR="00852B27">
        <w:rPr>
          <w:rFonts w:ascii="Arial" w:hAnsi="Arial" w:cs="Arial"/>
          <w:sz w:val="24"/>
          <w:szCs w:val="24"/>
        </w:rPr>
        <w:t>V.</w:t>
      </w:r>
      <w:r w:rsidR="00852B27">
        <w:rPr>
          <w:rFonts w:ascii="Arial" w:hAnsi="Arial" w:cs="Arial"/>
          <w:sz w:val="24"/>
          <w:szCs w:val="24"/>
        </w:rPr>
        <w:tab/>
      </w:r>
      <w:r w:rsidR="00974D74" w:rsidRPr="00974D74">
        <w:rPr>
          <w:rFonts w:ascii="Arial" w:hAnsi="Arial" w:cs="Arial"/>
          <w:sz w:val="24"/>
          <w:szCs w:val="24"/>
        </w:rPr>
        <w:t>LAW, REGULATIONS</w:t>
      </w:r>
      <w:r w:rsidR="00852B27">
        <w:rPr>
          <w:rFonts w:ascii="Arial" w:hAnsi="Arial" w:cs="Arial"/>
          <w:sz w:val="24"/>
          <w:szCs w:val="24"/>
        </w:rPr>
        <w:t xml:space="preserve">, </w:t>
      </w:r>
      <w:r w:rsidR="00974D74" w:rsidRPr="00974D74">
        <w:rPr>
          <w:rFonts w:ascii="Arial" w:hAnsi="Arial" w:cs="Arial"/>
          <w:sz w:val="24"/>
          <w:szCs w:val="24"/>
        </w:rPr>
        <w:t>PROGRAM INSTRUCTIONS</w:t>
      </w:r>
    </w:p>
    <w:p w14:paraId="67DD1C13" w14:textId="77777777" w:rsidR="00974D74" w:rsidRPr="00974D74" w:rsidRDefault="00974D74" w:rsidP="00974D74">
      <w:pPr>
        <w:rPr>
          <w:rFonts w:ascii="Arial" w:hAnsi="Arial" w:cs="Arial"/>
          <w:sz w:val="24"/>
          <w:szCs w:val="24"/>
        </w:rPr>
      </w:pPr>
    </w:p>
    <w:p w14:paraId="288AFC0A" w14:textId="77777777" w:rsidR="00974D74" w:rsidRPr="00974D74" w:rsidRDefault="00974D74" w:rsidP="00974D74">
      <w:pPr>
        <w:rPr>
          <w:rFonts w:ascii="Arial" w:hAnsi="Arial" w:cs="Arial"/>
          <w:sz w:val="24"/>
          <w:szCs w:val="24"/>
        </w:rPr>
      </w:pPr>
    </w:p>
    <w:p w14:paraId="76F3DE20" w14:textId="77777777" w:rsidR="00974D74" w:rsidRPr="00974D74" w:rsidRDefault="00974D74" w:rsidP="00974D74">
      <w:pPr>
        <w:rPr>
          <w:rFonts w:ascii="Arial" w:hAnsi="Arial" w:cs="Arial"/>
          <w:sz w:val="24"/>
          <w:szCs w:val="24"/>
        </w:rPr>
      </w:pPr>
    </w:p>
    <w:p w14:paraId="76109F2A" w14:textId="77777777" w:rsidR="00741BD1" w:rsidRDefault="001C2050" w:rsidP="001C2050">
      <w:pPr>
        <w:rPr>
          <w:rFonts w:ascii="Arial" w:hAnsi="Arial" w:cs="Arial"/>
          <w:sz w:val="24"/>
          <w:szCs w:val="24"/>
        </w:rPr>
      </w:pPr>
      <w:r w:rsidRPr="00EE3CBD">
        <w:rPr>
          <w:rFonts w:ascii="Arial" w:hAnsi="Arial" w:cs="Arial"/>
          <w:sz w:val="24"/>
          <w:szCs w:val="24"/>
          <w:u w:val="single"/>
        </w:rPr>
        <w:t>Law</w:t>
      </w:r>
      <w:r w:rsidRPr="00EE3CBD">
        <w:rPr>
          <w:rFonts w:ascii="Arial" w:hAnsi="Arial" w:cs="Arial"/>
          <w:sz w:val="24"/>
          <w:szCs w:val="24"/>
        </w:rPr>
        <w:t xml:space="preserve">:                               </w:t>
      </w:r>
      <w:r>
        <w:rPr>
          <w:rFonts w:ascii="Arial" w:hAnsi="Arial" w:cs="Arial"/>
          <w:sz w:val="24"/>
          <w:szCs w:val="24"/>
        </w:rPr>
        <w:tab/>
      </w:r>
    </w:p>
    <w:p w14:paraId="4149B1E9" w14:textId="12F744E4" w:rsidR="00713AE5" w:rsidRPr="00741BD1" w:rsidRDefault="001C2050" w:rsidP="00741BD1">
      <w:pPr>
        <w:rPr>
          <w:rFonts w:ascii="Arial" w:hAnsi="Arial" w:cs="Arial"/>
          <w:sz w:val="24"/>
          <w:szCs w:val="24"/>
        </w:rPr>
      </w:pPr>
      <w:r w:rsidRPr="00EE3CBD">
        <w:rPr>
          <w:rFonts w:ascii="Arial" w:hAnsi="Arial" w:cs="Arial"/>
          <w:sz w:val="24"/>
          <w:szCs w:val="24"/>
        </w:rPr>
        <w:t xml:space="preserve">Social Security </w:t>
      </w:r>
      <w:proofErr w:type="spellStart"/>
      <w:proofErr w:type="gramStart"/>
      <w:r w:rsidRPr="00EE3CBD">
        <w:rPr>
          <w:rFonts w:ascii="Arial" w:hAnsi="Arial" w:cs="Arial"/>
          <w:sz w:val="24"/>
          <w:szCs w:val="24"/>
        </w:rPr>
        <w:t>Act</w:t>
      </w:r>
      <w:r w:rsidR="00741BD1">
        <w:rPr>
          <w:rFonts w:ascii="Arial" w:hAnsi="Arial" w:cs="Arial"/>
          <w:sz w:val="24"/>
          <w:szCs w:val="24"/>
        </w:rPr>
        <w:t>;</w:t>
      </w:r>
      <w:r w:rsidR="00713AE5">
        <w:rPr>
          <w:rFonts w:ascii="Arial" w:hAnsi="Arial" w:cs="Arial"/>
          <w:sz w:val="24"/>
          <w:szCs w:val="24"/>
        </w:rPr>
        <w:t>Section</w:t>
      </w:r>
      <w:proofErr w:type="spellEnd"/>
      <w:proofErr w:type="gramEnd"/>
      <w:r w:rsidR="00713AE5">
        <w:rPr>
          <w:rFonts w:ascii="Arial" w:hAnsi="Arial" w:cs="Arial"/>
          <w:sz w:val="24"/>
          <w:szCs w:val="24"/>
        </w:rPr>
        <w:t xml:space="preserve"> </w:t>
      </w:r>
      <w:r w:rsidRPr="00EE3CBD">
        <w:rPr>
          <w:rFonts w:ascii="Arial" w:hAnsi="Arial" w:cs="Arial"/>
          <w:sz w:val="24"/>
          <w:szCs w:val="24"/>
        </w:rPr>
        <w:t>1861(v)(1)(A)</w:t>
      </w:r>
      <w:r w:rsidR="00741BD1">
        <w:rPr>
          <w:rFonts w:ascii="Arial" w:hAnsi="Arial" w:cs="Arial"/>
          <w:sz w:val="24"/>
          <w:szCs w:val="24"/>
        </w:rPr>
        <w:t>;</w:t>
      </w:r>
      <w:r w:rsidR="00713AE5" w:rsidRPr="00713AE5">
        <w:rPr>
          <w:rFonts w:ascii="Arial" w:eastAsia="Segoe UI Emoji" w:hAnsi="Arial" w:cs="Arial"/>
          <w:sz w:val="24"/>
          <w:szCs w:val="24"/>
        </w:rPr>
        <w:t xml:space="preserve">Section </w:t>
      </w:r>
      <w:r w:rsidR="00713AE5" w:rsidRPr="00713AE5">
        <w:rPr>
          <w:rFonts w:ascii="Arial" w:hAnsi="Arial" w:cs="Arial"/>
          <w:sz w:val="24"/>
          <w:szCs w:val="24"/>
        </w:rPr>
        <w:t>1886(d)(5)(B</w:t>
      </w:r>
      <w:r w:rsidR="00713AE5" w:rsidRPr="00713AE5">
        <w:rPr>
          <w:rFonts w:ascii="Segoe UI Emoji" w:eastAsia="Segoe UI Emoji" w:hAnsi="Segoe UI Emoji" w:cs="Segoe UI Emoji"/>
          <w:sz w:val="24"/>
          <w:szCs w:val="24"/>
        </w:rPr>
        <w:t>)</w:t>
      </w:r>
      <w:r w:rsidR="00741BD1">
        <w:rPr>
          <w:rFonts w:ascii="Arial" w:hAnsi="Arial" w:cs="Arial"/>
          <w:sz w:val="24"/>
          <w:szCs w:val="24"/>
        </w:rPr>
        <w:t>;</w:t>
      </w:r>
      <w:r w:rsidR="00713AE5" w:rsidRPr="00713AE5">
        <w:rPr>
          <w:rFonts w:ascii="Arial" w:eastAsia="Segoe UI Emoji" w:hAnsi="Arial" w:cs="Arial"/>
          <w:sz w:val="24"/>
          <w:szCs w:val="24"/>
        </w:rPr>
        <w:t>Section 1886(h)(8)</w:t>
      </w:r>
      <w:r w:rsidR="00741BD1">
        <w:rPr>
          <w:rFonts w:ascii="Arial" w:hAnsi="Arial" w:cs="Arial"/>
          <w:sz w:val="24"/>
          <w:szCs w:val="24"/>
        </w:rPr>
        <w:t>;</w:t>
      </w:r>
      <w:r w:rsidR="00713AE5" w:rsidRPr="00713AE5">
        <w:rPr>
          <w:rFonts w:ascii="Arial" w:eastAsia="Segoe UI Emoji" w:hAnsi="Arial" w:cs="Arial"/>
          <w:sz w:val="24"/>
          <w:szCs w:val="24"/>
        </w:rPr>
        <w:t>Section 1886(h)(4)(H)(</w:t>
      </w:r>
      <w:proofErr w:type="spellStart"/>
      <w:r w:rsidR="00713AE5" w:rsidRPr="00713AE5">
        <w:rPr>
          <w:rFonts w:ascii="Arial" w:eastAsia="Segoe UI Emoji" w:hAnsi="Arial" w:cs="Arial"/>
          <w:sz w:val="24"/>
          <w:szCs w:val="24"/>
        </w:rPr>
        <w:t>i</w:t>
      </w:r>
      <w:proofErr w:type="spellEnd"/>
      <w:r w:rsidR="00713AE5" w:rsidRPr="00713AE5">
        <w:rPr>
          <w:rFonts w:ascii="Arial" w:eastAsia="Segoe UI Emoji" w:hAnsi="Arial" w:cs="Arial"/>
          <w:sz w:val="24"/>
          <w:szCs w:val="24"/>
        </w:rPr>
        <w:t>)</w:t>
      </w:r>
    </w:p>
    <w:p w14:paraId="433B05A5" w14:textId="77777777" w:rsidR="00014312" w:rsidRDefault="00014312" w:rsidP="00C4485C">
      <w:pPr>
        <w:ind w:left="2160" w:firstLine="720"/>
        <w:rPr>
          <w:rFonts w:ascii="Arial" w:hAnsi="Arial" w:cs="Arial"/>
          <w:sz w:val="24"/>
          <w:szCs w:val="24"/>
        </w:rPr>
      </w:pPr>
    </w:p>
    <w:p w14:paraId="4A546827" w14:textId="77777777" w:rsidR="001C2050" w:rsidRPr="00EE3CBD" w:rsidRDefault="001C2050" w:rsidP="001C2050">
      <w:pPr>
        <w:rPr>
          <w:rFonts w:ascii="Arial" w:hAnsi="Arial" w:cs="Arial"/>
          <w:sz w:val="24"/>
          <w:szCs w:val="24"/>
        </w:rPr>
      </w:pPr>
    </w:p>
    <w:p w14:paraId="232C7883" w14:textId="77777777" w:rsidR="001C2050" w:rsidRPr="00EE3CBD" w:rsidRDefault="001C2050" w:rsidP="001C2050">
      <w:pPr>
        <w:rPr>
          <w:rFonts w:ascii="Arial" w:hAnsi="Arial" w:cs="Arial"/>
          <w:sz w:val="24"/>
          <w:szCs w:val="24"/>
        </w:rPr>
      </w:pPr>
    </w:p>
    <w:p w14:paraId="7C17F2FB" w14:textId="77777777" w:rsidR="001C2050" w:rsidRPr="00EE3CBD" w:rsidRDefault="001C2050" w:rsidP="001C2050">
      <w:pPr>
        <w:rPr>
          <w:rFonts w:ascii="Arial" w:hAnsi="Arial" w:cs="Arial"/>
          <w:sz w:val="24"/>
          <w:szCs w:val="24"/>
        </w:rPr>
      </w:pPr>
    </w:p>
    <w:p w14:paraId="1C60380A" w14:textId="77777777" w:rsidR="00741BD1" w:rsidRDefault="001C2050" w:rsidP="001C2050">
      <w:pPr>
        <w:rPr>
          <w:rFonts w:ascii="Arial" w:hAnsi="Arial" w:cs="Arial"/>
          <w:sz w:val="24"/>
          <w:szCs w:val="24"/>
        </w:rPr>
      </w:pPr>
      <w:r w:rsidRPr="00EE3CBD">
        <w:rPr>
          <w:rFonts w:ascii="Arial" w:hAnsi="Arial" w:cs="Arial"/>
          <w:sz w:val="24"/>
          <w:szCs w:val="24"/>
          <w:u w:val="single"/>
        </w:rPr>
        <w:t>Regulations</w:t>
      </w:r>
      <w:r w:rsidRPr="00EE3CBD">
        <w:rPr>
          <w:rFonts w:ascii="Arial" w:hAnsi="Arial" w:cs="Arial"/>
          <w:sz w:val="24"/>
          <w:szCs w:val="24"/>
        </w:rPr>
        <w:t xml:space="preserve">:                  </w:t>
      </w:r>
      <w:r>
        <w:rPr>
          <w:rFonts w:ascii="Arial" w:hAnsi="Arial" w:cs="Arial"/>
          <w:sz w:val="24"/>
          <w:szCs w:val="24"/>
        </w:rPr>
        <w:tab/>
      </w:r>
    </w:p>
    <w:p w14:paraId="1EC4EE5A" w14:textId="5EFC4062" w:rsidR="00480734" w:rsidRDefault="007E1F8E" w:rsidP="00741BD1">
      <w:pPr>
        <w:rPr>
          <w:rFonts w:ascii="Arial" w:hAnsi="Arial" w:cs="Arial"/>
          <w:sz w:val="24"/>
          <w:szCs w:val="24"/>
        </w:rPr>
      </w:pPr>
      <w:r>
        <w:rPr>
          <w:rFonts w:ascii="Arial" w:hAnsi="Arial" w:cs="Arial"/>
          <w:sz w:val="24"/>
          <w:szCs w:val="24"/>
        </w:rPr>
        <w:t xml:space="preserve">42 C.F.R., Part 412, Subpart </w:t>
      </w:r>
      <w:proofErr w:type="spellStart"/>
      <w:proofErr w:type="gramStart"/>
      <w:r>
        <w:rPr>
          <w:rFonts w:ascii="Arial" w:hAnsi="Arial" w:cs="Arial"/>
          <w:sz w:val="24"/>
          <w:szCs w:val="24"/>
        </w:rPr>
        <w:t>G</w:t>
      </w:r>
      <w:r w:rsidR="00741BD1">
        <w:rPr>
          <w:rFonts w:ascii="Arial" w:hAnsi="Arial" w:cs="Arial"/>
          <w:sz w:val="24"/>
          <w:szCs w:val="24"/>
        </w:rPr>
        <w:t>;</w:t>
      </w:r>
      <w:r>
        <w:rPr>
          <w:rFonts w:ascii="Arial" w:hAnsi="Arial" w:cs="Arial"/>
          <w:sz w:val="24"/>
          <w:szCs w:val="24"/>
        </w:rPr>
        <w:t>Section</w:t>
      </w:r>
      <w:proofErr w:type="spellEnd"/>
      <w:proofErr w:type="gramEnd"/>
      <w:r>
        <w:rPr>
          <w:rFonts w:ascii="Arial" w:hAnsi="Arial" w:cs="Arial"/>
          <w:sz w:val="24"/>
          <w:szCs w:val="24"/>
        </w:rPr>
        <w:t xml:space="preserve"> 412.105</w:t>
      </w:r>
      <w:r w:rsidR="00741BD1">
        <w:rPr>
          <w:rFonts w:ascii="Arial" w:hAnsi="Arial" w:cs="Arial"/>
          <w:sz w:val="24"/>
          <w:szCs w:val="24"/>
        </w:rPr>
        <w:t>;</w:t>
      </w:r>
      <w:r>
        <w:rPr>
          <w:rFonts w:ascii="Arial" w:hAnsi="Arial" w:cs="Arial"/>
          <w:sz w:val="24"/>
          <w:szCs w:val="24"/>
        </w:rPr>
        <w:t xml:space="preserve">42 C.F.R., Part 413, Subpart </w:t>
      </w:r>
      <w:proofErr w:type="spellStart"/>
      <w:r>
        <w:rPr>
          <w:rFonts w:ascii="Arial" w:hAnsi="Arial" w:cs="Arial"/>
          <w:sz w:val="24"/>
          <w:szCs w:val="24"/>
        </w:rPr>
        <w:t>B</w:t>
      </w:r>
      <w:r w:rsidR="00741BD1">
        <w:rPr>
          <w:rFonts w:ascii="Arial" w:hAnsi="Arial" w:cs="Arial"/>
          <w:sz w:val="24"/>
          <w:szCs w:val="24"/>
        </w:rPr>
        <w:t>;</w:t>
      </w:r>
      <w:r w:rsidR="00BC13FF">
        <w:rPr>
          <w:rFonts w:ascii="Arial" w:hAnsi="Arial" w:cs="Arial"/>
          <w:sz w:val="24"/>
          <w:szCs w:val="24"/>
        </w:rPr>
        <w:t>Section</w:t>
      </w:r>
      <w:r>
        <w:rPr>
          <w:rFonts w:ascii="Arial" w:hAnsi="Arial" w:cs="Arial"/>
          <w:sz w:val="24"/>
          <w:szCs w:val="24"/>
        </w:rPr>
        <w:t>s</w:t>
      </w:r>
      <w:proofErr w:type="spellEnd"/>
      <w:r>
        <w:rPr>
          <w:rFonts w:ascii="Arial" w:hAnsi="Arial" w:cs="Arial"/>
          <w:sz w:val="24"/>
          <w:szCs w:val="24"/>
        </w:rPr>
        <w:t xml:space="preserve"> 413.20, 413.24</w:t>
      </w:r>
      <w:r w:rsidR="00741BD1">
        <w:rPr>
          <w:rFonts w:ascii="Arial" w:hAnsi="Arial" w:cs="Arial"/>
          <w:sz w:val="24"/>
          <w:szCs w:val="24"/>
        </w:rPr>
        <w:t>;</w:t>
      </w:r>
      <w:r>
        <w:rPr>
          <w:rFonts w:ascii="Arial" w:hAnsi="Arial" w:cs="Arial"/>
          <w:sz w:val="24"/>
          <w:szCs w:val="24"/>
        </w:rPr>
        <w:t xml:space="preserve">42 C.F.R., Part 413, Subpart </w:t>
      </w:r>
      <w:proofErr w:type="spellStart"/>
      <w:r>
        <w:rPr>
          <w:rFonts w:ascii="Arial" w:hAnsi="Arial" w:cs="Arial"/>
          <w:sz w:val="24"/>
          <w:szCs w:val="24"/>
        </w:rPr>
        <w:t>F</w:t>
      </w:r>
      <w:r w:rsidR="00741BD1">
        <w:rPr>
          <w:rFonts w:ascii="Arial" w:hAnsi="Arial" w:cs="Arial"/>
          <w:sz w:val="24"/>
          <w:szCs w:val="24"/>
        </w:rPr>
        <w:t>;</w:t>
      </w:r>
      <w:r>
        <w:rPr>
          <w:rFonts w:ascii="Arial" w:hAnsi="Arial" w:cs="Arial"/>
          <w:sz w:val="24"/>
          <w:szCs w:val="24"/>
        </w:rPr>
        <w:t>Section</w:t>
      </w:r>
      <w:proofErr w:type="spellEnd"/>
      <w:r>
        <w:rPr>
          <w:rFonts w:ascii="Arial" w:hAnsi="Arial" w:cs="Arial"/>
          <w:sz w:val="24"/>
          <w:szCs w:val="24"/>
        </w:rPr>
        <w:t xml:space="preserve"> 413.79</w:t>
      </w:r>
    </w:p>
    <w:p w14:paraId="03F8A2E1" w14:textId="77777777" w:rsidR="001C2050" w:rsidRPr="00EE3CBD" w:rsidRDefault="001C2050" w:rsidP="001C2050">
      <w:pPr>
        <w:rPr>
          <w:rFonts w:ascii="Arial" w:hAnsi="Arial" w:cs="Arial"/>
          <w:sz w:val="24"/>
          <w:szCs w:val="24"/>
        </w:rPr>
      </w:pPr>
      <w:r w:rsidRPr="00EE3CBD">
        <w:rPr>
          <w:rFonts w:ascii="Arial" w:hAnsi="Arial" w:cs="Arial"/>
          <w:sz w:val="24"/>
          <w:szCs w:val="24"/>
        </w:rPr>
        <w:t xml:space="preserve">                                            </w:t>
      </w:r>
    </w:p>
    <w:p w14:paraId="748D3D58" w14:textId="77777777" w:rsidR="001C2050" w:rsidRPr="00EE3CBD" w:rsidRDefault="001C2050" w:rsidP="001C2050">
      <w:pPr>
        <w:rPr>
          <w:rFonts w:ascii="Arial" w:hAnsi="Arial" w:cs="Arial"/>
          <w:sz w:val="24"/>
          <w:szCs w:val="24"/>
        </w:rPr>
      </w:pPr>
    </w:p>
    <w:p w14:paraId="1C5DA7B9" w14:textId="77777777" w:rsidR="00741BD1" w:rsidRDefault="007E1F8E" w:rsidP="00660CBE">
      <w:pPr>
        <w:ind w:left="2880" w:right="-432" w:hanging="2880"/>
        <w:rPr>
          <w:rFonts w:ascii="Arial" w:hAnsi="Arial" w:cs="Arial"/>
          <w:sz w:val="24"/>
          <w:szCs w:val="24"/>
        </w:rPr>
      </w:pPr>
      <w:r>
        <w:rPr>
          <w:rFonts w:ascii="Arial" w:hAnsi="Arial" w:cs="Arial"/>
          <w:sz w:val="24"/>
          <w:szCs w:val="24"/>
          <w:u w:val="single"/>
        </w:rPr>
        <w:t>Federal Registers</w:t>
      </w:r>
      <w:r w:rsidR="001C2050" w:rsidRPr="00EE3CBD">
        <w:rPr>
          <w:rFonts w:ascii="Arial" w:hAnsi="Arial" w:cs="Arial"/>
          <w:sz w:val="24"/>
          <w:szCs w:val="24"/>
        </w:rPr>
        <w:t xml:space="preserve">:    </w:t>
      </w:r>
      <w:r w:rsidR="001C2050">
        <w:rPr>
          <w:rFonts w:ascii="Arial" w:hAnsi="Arial" w:cs="Arial"/>
          <w:sz w:val="24"/>
          <w:szCs w:val="24"/>
        </w:rPr>
        <w:tab/>
      </w:r>
    </w:p>
    <w:p w14:paraId="410D8841" w14:textId="03978EAE" w:rsidR="001C2050" w:rsidRPr="00EE3CBD" w:rsidRDefault="007E1F8E" w:rsidP="00741BD1">
      <w:pPr>
        <w:ind w:left="2880" w:right="-432" w:hanging="2880"/>
        <w:rPr>
          <w:rFonts w:ascii="Arial" w:hAnsi="Arial" w:cs="Arial"/>
          <w:sz w:val="24"/>
          <w:szCs w:val="24"/>
        </w:rPr>
      </w:pPr>
      <w:r>
        <w:rPr>
          <w:rFonts w:ascii="Arial" w:hAnsi="Arial" w:cs="Arial"/>
          <w:sz w:val="24"/>
          <w:szCs w:val="24"/>
        </w:rPr>
        <w:t xml:space="preserve">FR Vol. 77, No. 92, May 11, </w:t>
      </w:r>
      <w:proofErr w:type="gramStart"/>
      <w:r>
        <w:rPr>
          <w:rFonts w:ascii="Arial" w:hAnsi="Arial" w:cs="Arial"/>
          <w:sz w:val="24"/>
          <w:szCs w:val="24"/>
        </w:rPr>
        <w:t>2012</w:t>
      </w:r>
      <w:r w:rsidR="00741BD1">
        <w:rPr>
          <w:rFonts w:ascii="Arial" w:hAnsi="Arial" w:cs="Arial"/>
          <w:sz w:val="24"/>
          <w:szCs w:val="24"/>
        </w:rPr>
        <w:t>;</w:t>
      </w:r>
      <w:r>
        <w:rPr>
          <w:rFonts w:ascii="Arial" w:hAnsi="Arial" w:cs="Arial"/>
          <w:sz w:val="24"/>
          <w:szCs w:val="24"/>
        </w:rPr>
        <w:t>FR</w:t>
      </w:r>
      <w:proofErr w:type="gramEnd"/>
      <w:r>
        <w:rPr>
          <w:rFonts w:ascii="Arial" w:hAnsi="Arial" w:cs="Arial"/>
          <w:sz w:val="24"/>
          <w:szCs w:val="24"/>
        </w:rPr>
        <w:t xml:space="preserve"> Vol. 77 No. 170, August 31, 2012</w:t>
      </w:r>
      <w:r w:rsidR="00741BD1">
        <w:rPr>
          <w:rFonts w:ascii="Arial" w:hAnsi="Arial" w:cs="Arial"/>
          <w:sz w:val="24"/>
          <w:szCs w:val="24"/>
        </w:rPr>
        <w:t>;</w:t>
      </w:r>
      <w:r w:rsidR="004E6AF6">
        <w:rPr>
          <w:rFonts w:ascii="Arial" w:hAnsi="Arial" w:cs="Arial"/>
          <w:sz w:val="24"/>
          <w:szCs w:val="24"/>
        </w:rPr>
        <w:t>FR Vol. 64, No. 146, July 30, 1999</w:t>
      </w:r>
      <w:r w:rsidR="001C2050" w:rsidRPr="00EE3CBD">
        <w:rPr>
          <w:rFonts w:ascii="Arial" w:hAnsi="Arial" w:cs="Arial"/>
          <w:sz w:val="24"/>
          <w:szCs w:val="24"/>
        </w:rPr>
        <w:t xml:space="preserve">                  </w:t>
      </w:r>
      <w:r w:rsidR="001C2050">
        <w:rPr>
          <w:rFonts w:ascii="Arial" w:hAnsi="Arial" w:cs="Arial"/>
          <w:sz w:val="24"/>
          <w:szCs w:val="24"/>
        </w:rPr>
        <w:tab/>
      </w:r>
      <w:r w:rsidR="00945C55">
        <w:rPr>
          <w:rFonts w:ascii="Arial" w:hAnsi="Arial" w:cs="Arial"/>
          <w:sz w:val="24"/>
          <w:szCs w:val="24"/>
        </w:rPr>
        <w:tab/>
      </w:r>
      <w:r w:rsidR="00945C55">
        <w:rPr>
          <w:rFonts w:ascii="Arial" w:hAnsi="Arial" w:cs="Arial"/>
          <w:sz w:val="24"/>
          <w:szCs w:val="24"/>
        </w:rPr>
        <w:tab/>
      </w:r>
      <w:r w:rsidR="00945C55">
        <w:rPr>
          <w:rFonts w:ascii="Arial" w:hAnsi="Arial" w:cs="Arial"/>
          <w:sz w:val="24"/>
          <w:szCs w:val="24"/>
        </w:rPr>
        <w:tab/>
      </w:r>
      <w:r w:rsidR="00945C55">
        <w:rPr>
          <w:rFonts w:ascii="Arial" w:hAnsi="Arial" w:cs="Arial"/>
          <w:sz w:val="24"/>
          <w:szCs w:val="24"/>
        </w:rPr>
        <w:tab/>
      </w:r>
    </w:p>
    <w:p w14:paraId="3F3105BF" w14:textId="77777777" w:rsidR="001C2050" w:rsidRPr="00EE3CBD" w:rsidRDefault="001C2050" w:rsidP="001C2050">
      <w:pPr>
        <w:rPr>
          <w:rFonts w:ascii="Arial" w:hAnsi="Arial" w:cs="Arial"/>
          <w:sz w:val="24"/>
          <w:szCs w:val="24"/>
        </w:rPr>
      </w:pPr>
    </w:p>
    <w:p w14:paraId="56B64BF3" w14:textId="77777777" w:rsidR="001C2050" w:rsidRDefault="001C2050" w:rsidP="00974D74">
      <w:pPr>
        <w:rPr>
          <w:rFonts w:ascii="Arial" w:hAnsi="Arial" w:cs="Arial"/>
          <w:sz w:val="24"/>
          <w:szCs w:val="24"/>
        </w:rPr>
      </w:pPr>
    </w:p>
    <w:p w14:paraId="2A8C81C5" w14:textId="77777777" w:rsidR="001C2050" w:rsidRDefault="001C2050" w:rsidP="00974D74">
      <w:pPr>
        <w:rPr>
          <w:rFonts w:ascii="Arial" w:hAnsi="Arial" w:cs="Arial"/>
          <w:sz w:val="24"/>
          <w:szCs w:val="24"/>
        </w:rPr>
      </w:pPr>
    </w:p>
    <w:p w14:paraId="6B5B29E5" w14:textId="77777777" w:rsidR="001C2050" w:rsidRDefault="001C2050" w:rsidP="00974D74">
      <w:pPr>
        <w:rPr>
          <w:rFonts w:ascii="Arial" w:hAnsi="Arial" w:cs="Arial"/>
          <w:sz w:val="24"/>
          <w:szCs w:val="24"/>
        </w:rPr>
      </w:pPr>
    </w:p>
    <w:p w14:paraId="23633366" w14:textId="77777777" w:rsidR="00E36A25" w:rsidRDefault="00E36A25" w:rsidP="00974D74">
      <w:pPr>
        <w:rPr>
          <w:rFonts w:ascii="Arial" w:hAnsi="Arial" w:cs="Arial"/>
          <w:sz w:val="24"/>
          <w:szCs w:val="24"/>
        </w:rPr>
      </w:pPr>
    </w:p>
    <w:p w14:paraId="2FB7979D" w14:textId="77777777" w:rsidR="00E36A25" w:rsidRDefault="00E36A25" w:rsidP="00974D74">
      <w:pPr>
        <w:rPr>
          <w:rFonts w:ascii="Arial" w:hAnsi="Arial" w:cs="Arial"/>
          <w:sz w:val="24"/>
          <w:szCs w:val="24"/>
        </w:rPr>
      </w:pPr>
    </w:p>
    <w:p w14:paraId="3140276C" w14:textId="77777777" w:rsidR="00E36A25" w:rsidRDefault="00E36A25" w:rsidP="00974D74">
      <w:pPr>
        <w:rPr>
          <w:rFonts w:ascii="Arial" w:hAnsi="Arial" w:cs="Arial"/>
          <w:sz w:val="24"/>
          <w:szCs w:val="24"/>
        </w:rPr>
      </w:pPr>
    </w:p>
    <w:p w14:paraId="0535155B" w14:textId="77777777" w:rsidR="00E36A25" w:rsidRDefault="00E36A25" w:rsidP="00974D74">
      <w:pPr>
        <w:rPr>
          <w:rFonts w:ascii="Arial" w:hAnsi="Arial" w:cs="Arial"/>
          <w:sz w:val="24"/>
          <w:szCs w:val="24"/>
        </w:rPr>
      </w:pPr>
    </w:p>
    <w:p w14:paraId="60810399" w14:textId="77777777" w:rsidR="00E36A25" w:rsidRDefault="00E36A25" w:rsidP="00974D74">
      <w:pPr>
        <w:rPr>
          <w:rFonts w:ascii="Arial" w:hAnsi="Arial" w:cs="Arial"/>
          <w:sz w:val="24"/>
          <w:szCs w:val="24"/>
        </w:rPr>
      </w:pPr>
    </w:p>
    <w:p w14:paraId="5073DF9F" w14:textId="77777777" w:rsidR="00267078" w:rsidRDefault="00267078" w:rsidP="00974D74">
      <w:pPr>
        <w:rPr>
          <w:rFonts w:ascii="Arial" w:hAnsi="Arial" w:cs="Arial"/>
          <w:sz w:val="24"/>
          <w:szCs w:val="24"/>
        </w:rPr>
      </w:pPr>
    </w:p>
    <w:p w14:paraId="448F0D72" w14:textId="482E79A5" w:rsidR="00FB4644" w:rsidRDefault="00FB4644">
      <w:pPr>
        <w:rPr>
          <w:rFonts w:ascii="Arial" w:hAnsi="Arial" w:cs="Arial"/>
          <w:sz w:val="24"/>
          <w:szCs w:val="24"/>
        </w:rPr>
      </w:pPr>
    </w:p>
    <w:p w14:paraId="0856A4D7" w14:textId="49225120" w:rsidR="00974D74" w:rsidRPr="00974D74" w:rsidRDefault="00974D74" w:rsidP="00974D74">
      <w:pPr>
        <w:rPr>
          <w:rFonts w:ascii="Arial" w:hAnsi="Arial" w:cs="Arial"/>
          <w:sz w:val="24"/>
          <w:szCs w:val="24"/>
        </w:rPr>
      </w:pPr>
      <w:r w:rsidRPr="00974D74">
        <w:rPr>
          <w:rFonts w:ascii="Arial" w:hAnsi="Arial" w:cs="Arial"/>
          <w:sz w:val="24"/>
          <w:szCs w:val="24"/>
        </w:rPr>
        <w:t>V.</w:t>
      </w:r>
      <w:r w:rsidRPr="00974D74">
        <w:rPr>
          <w:rFonts w:ascii="Arial" w:hAnsi="Arial" w:cs="Arial"/>
          <w:sz w:val="24"/>
          <w:szCs w:val="24"/>
        </w:rPr>
        <w:tab/>
        <w:t>EXHIBITS</w:t>
      </w:r>
    </w:p>
    <w:p w14:paraId="7EFE89EB" w14:textId="77777777" w:rsidR="00974D74" w:rsidRPr="00974D74" w:rsidRDefault="00974D74" w:rsidP="00974D74">
      <w:pPr>
        <w:rPr>
          <w:rFonts w:ascii="Arial" w:hAnsi="Arial" w:cs="Arial"/>
          <w:b/>
          <w:sz w:val="24"/>
          <w:szCs w:val="24"/>
          <w:u w:val="single"/>
        </w:rPr>
      </w:pPr>
    </w:p>
    <w:p w14:paraId="68154EC6" w14:textId="1AD4BECD" w:rsidR="00485490" w:rsidRDefault="00A42A63" w:rsidP="00E50778">
      <w:pPr>
        <w:pStyle w:val="Heading5"/>
      </w:pPr>
      <w:r>
        <w:t>C</w:t>
      </w:r>
      <w:r w:rsidR="005E0876">
        <w:t>-</w:t>
      </w:r>
      <w:r w:rsidR="00731D02">
        <w:t>1</w:t>
      </w:r>
      <w:r w:rsidR="007E1F8E">
        <w:tab/>
      </w:r>
      <w:r w:rsidR="007E1F8E">
        <w:tab/>
        <w:t xml:space="preserve">MAC’s Work Papers – </w:t>
      </w:r>
      <w:r w:rsidR="009936C1">
        <w:t xml:space="preserve">FYE 2012 </w:t>
      </w:r>
      <w:r w:rsidR="007E1F8E">
        <w:t>FTE Resident Caps</w:t>
      </w:r>
    </w:p>
    <w:p w14:paraId="7A271504" w14:textId="77777777" w:rsidR="00AD0D5A" w:rsidRDefault="00AD0D5A" w:rsidP="00AD0D5A"/>
    <w:p w14:paraId="7F944B81" w14:textId="50E5D4E7" w:rsidR="00AD0D5A" w:rsidRDefault="00AD0D5A" w:rsidP="00AD0D5A">
      <w:pPr>
        <w:pStyle w:val="Heading5"/>
      </w:pPr>
      <w:r>
        <w:t>C-</w:t>
      </w:r>
      <w:r w:rsidR="00731D02">
        <w:t>2</w:t>
      </w:r>
      <w:r>
        <w:tab/>
      </w:r>
      <w:r>
        <w:tab/>
        <w:t xml:space="preserve">MAC’s Work Papers – </w:t>
      </w:r>
      <w:r w:rsidR="00731D02">
        <w:t>FYE 2013 through 2018</w:t>
      </w:r>
      <w:r>
        <w:t xml:space="preserve"> DGME/IME </w:t>
      </w:r>
    </w:p>
    <w:p w14:paraId="147BF70C" w14:textId="77777777" w:rsidR="00485490" w:rsidRDefault="00485490" w:rsidP="00E50778">
      <w:pPr>
        <w:pStyle w:val="Heading5"/>
      </w:pPr>
    </w:p>
    <w:p w14:paraId="72C13729" w14:textId="66FDBCA5" w:rsidR="00B1750B" w:rsidRDefault="00A42A63" w:rsidP="00E50778">
      <w:pPr>
        <w:pStyle w:val="Heading5"/>
      </w:pPr>
      <w:r>
        <w:t>C</w:t>
      </w:r>
      <w:r w:rsidR="00485490">
        <w:t>-</w:t>
      </w:r>
      <w:r w:rsidR="00731D02">
        <w:t>3</w:t>
      </w:r>
      <w:r w:rsidR="009D2346">
        <w:tab/>
      </w:r>
      <w:r w:rsidR="00014AB3">
        <w:t xml:space="preserve">   Federal Registers, May 11, 2012 &amp; August 31, 2012</w:t>
      </w:r>
    </w:p>
    <w:p w14:paraId="796E1BBF" w14:textId="77777777" w:rsidR="00F63FFB" w:rsidRDefault="00F63FFB" w:rsidP="00F63FFB"/>
    <w:p w14:paraId="102B7855" w14:textId="025CB9AD" w:rsidR="007F137E" w:rsidRDefault="00AD0D5A" w:rsidP="00F63FFB">
      <w:pPr>
        <w:pStyle w:val="Heading5"/>
      </w:pPr>
      <w:r>
        <w:t>C-</w:t>
      </w:r>
      <w:r w:rsidR="00731D02">
        <w:t>4</w:t>
      </w:r>
      <w:r w:rsidR="007F137E">
        <w:tab/>
      </w:r>
      <w:r w:rsidR="007F137E">
        <w:tab/>
        <w:t>Administrator Decision, Review of PRRB Dec. 2018-D33</w:t>
      </w:r>
    </w:p>
    <w:p w14:paraId="480B3E70" w14:textId="72672059" w:rsidR="007129B1" w:rsidRDefault="007129B1" w:rsidP="007129B1"/>
    <w:p w14:paraId="0E018218" w14:textId="084F7955" w:rsidR="00F63FFB" w:rsidRDefault="00A42A63" w:rsidP="00F63FFB">
      <w:pPr>
        <w:pStyle w:val="Heading5"/>
      </w:pPr>
      <w:r>
        <w:t>C</w:t>
      </w:r>
      <w:r w:rsidR="00F63FFB">
        <w:t>-</w:t>
      </w:r>
      <w:r w:rsidR="00731D02">
        <w:t>5</w:t>
      </w:r>
      <w:r w:rsidR="00F63FFB">
        <w:tab/>
      </w:r>
      <w:r w:rsidR="00F63FFB">
        <w:tab/>
        <w:t>Email Correspondence</w:t>
      </w:r>
    </w:p>
    <w:p w14:paraId="552F6C4E" w14:textId="175ADA55" w:rsidR="007129B1" w:rsidRDefault="007129B1" w:rsidP="007129B1"/>
    <w:p w14:paraId="21A7D0F3" w14:textId="354E333D" w:rsidR="007129B1" w:rsidRDefault="007129B1" w:rsidP="007129B1">
      <w:pPr>
        <w:pStyle w:val="Heading5"/>
      </w:pPr>
      <w:r>
        <w:t>C-</w:t>
      </w:r>
      <w:r w:rsidR="00731D02">
        <w:t>6</w:t>
      </w:r>
      <w:r>
        <w:tab/>
      </w:r>
      <w:r>
        <w:tab/>
        <w:t>Federal Register, July 30, 1999</w:t>
      </w:r>
    </w:p>
    <w:p w14:paraId="2FC7D6DB" w14:textId="208A541F" w:rsidR="007129B1" w:rsidRDefault="007129B1" w:rsidP="007129B1"/>
    <w:p w14:paraId="06112DDB" w14:textId="56A8FB3E" w:rsidR="007129B1" w:rsidRDefault="007129B1" w:rsidP="007129B1">
      <w:pPr>
        <w:pStyle w:val="Heading5"/>
      </w:pPr>
      <w:r>
        <w:t>C-</w:t>
      </w:r>
      <w:r w:rsidR="00731D02">
        <w:t>7</w:t>
      </w:r>
      <w:r>
        <w:tab/>
      </w:r>
      <w:r>
        <w:tab/>
        <w:t>Beaumont – District Court Decision</w:t>
      </w:r>
    </w:p>
    <w:p w14:paraId="503FDC9C" w14:textId="77777777" w:rsidR="00A635B3" w:rsidRDefault="00A635B3" w:rsidP="00A635B3"/>
    <w:p w14:paraId="7352E0E7" w14:textId="4EC44E13" w:rsidR="00A635B3" w:rsidRDefault="00A635B3" w:rsidP="00A635B3">
      <w:pPr>
        <w:pStyle w:val="Heading5"/>
      </w:pPr>
      <w:r>
        <w:lastRenderedPageBreak/>
        <w:t>C-</w:t>
      </w:r>
      <w:r w:rsidR="00731D02">
        <w:t>8</w:t>
      </w:r>
      <w:r>
        <w:tab/>
      </w:r>
      <w:r>
        <w:tab/>
        <w:t>Administrator Decision, Review of PRRB Dec. 2023-D17</w:t>
      </w:r>
    </w:p>
    <w:p w14:paraId="26FBD8A8" w14:textId="77777777" w:rsidR="00A635B3" w:rsidRPr="00A635B3" w:rsidRDefault="00A635B3" w:rsidP="00A635B3"/>
    <w:p w14:paraId="75C9E474" w14:textId="77777777" w:rsidR="007129B1" w:rsidRPr="007129B1" w:rsidRDefault="007129B1" w:rsidP="007129B1"/>
    <w:p w14:paraId="03E0465A" w14:textId="4DF79375" w:rsidR="007129B1" w:rsidRDefault="007129B1" w:rsidP="007129B1"/>
    <w:p w14:paraId="2DE0C227" w14:textId="77777777" w:rsidR="007129B1" w:rsidRPr="007129B1" w:rsidRDefault="007129B1" w:rsidP="007129B1"/>
    <w:p w14:paraId="02AB7385" w14:textId="77777777" w:rsidR="007129B1" w:rsidRPr="007129B1" w:rsidRDefault="007129B1" w:rsidP="007129B1"/>
    <w:p w14:paraId="3E07B133" w14:textId="77777777" w:rsidR="007129B1" w:rsidRDefault="007129B1" w:rsidP="007129B1"/>
    <w:p w14:paraId="4825D0D6" w14:textId="77777777" w:rsidR="007129B1" w:rsidRPr="007129B1" w:rsidRDefault="007129B1" w:rsidP="007129B1"/>
    <w:p w14:paraId="6DC97D61" w14:textId="77777777" w:rsidR="007129B1" w:rsidRPr="00CE0E9F" w:rsidRDefault="007129B1" w:rsidP="007129B1"/>
    <w:p w14:paraId="65DBD1B2" w14:textId="77777777" w:rsidR="007129B1" w:rsidRPr="00F63FFB" w:rsidRDefault="007129B1" w:rsidP="007129B1"/>
    <w:p w14:paraId="3D088363" w14:textId="77777777" w:rsidR="007129B1" w:rsidRPr="00B1750B" w:rsidRDefault="007129B1" w:rsidP="007129B1"/>
    <w:p w14:paraId="0AA5521F" w14:textId="77777777" w:rsidR="007129B1" w:rsidRDefault="007129B1" w:rsidP="007129B1">
      <w:pPr>
        <w:rPr>
          <w:rFonts w:ascii="Arial" w:hAnsi="Arial" w:cs="Arial"/>
          <w:sz w:val="24"/>
          <w:szCs w:val="24"/>
        </w:rPr>
      </w:pPr>
    </w:p>
    <w:p w14:paraId="19452254" w14:textId="77777777" w:rsidR="00974D74" w:rsidRPr="002265AB" w:rsidRDefault="00974D74" w:rsidP="0032362F">
      <w:pPr>
        <w:pStyle w:val="BodyTextIndent2"/>
        <w:rPr>
          <w:rFonts w:cs="Arial"/>
          <w:szCs w:val="24"/>
        </w:rPr>
      </w:pPr>
    </w:p>
    <w:p w14:paraId="0C42B6F4" w14:textId="77777777" w:rsidR="00521FA9" w:rsidRDefault="00521FA9" w:rsidP="00E77F05">
      <w:pPr>
        <w:pStyle w:val="Title"/>
        <w:pBdr>
          <w:bottom w:val="none" w:sz="0" w:space="0" w:color="auto"/>
        </w:pBdr>
        <w:spacing w:line="280" w:lineRule="exact"/>
        <w:rPr>
          <w:szCs w:val="24"/>
        </w:rPr>
      </w:pPr>
    </w:p>
    <w:p w14:paraId="76715839" w14:textId="77777777" w:rsidR="00974D74" w:rsidRDefault="00974D74" w:rsidP="00E77F05">
      <w:pPr>
        <w:pStyle w:val="Title"/>
        <w:pBdr>
          <w:bottom w:val="none" w:sz="0" w:space="0" w:color="auto"/>
        </w:pBdr>
        <w:spacing w:line="280" w:lineRule="exact"/>
        <w:rPr>
          <w:szCs w:val="24"/>
        </w:rPr>
      </w:pPr>
    </w:p>
    <w:p w14:paraId="75527BA3" w14:textId="77777777" w:rsidR="00974D74" w:rsidRDefault="00974D74" w:rsidP="00E77F05">
      <w:pPr>
        <w:pStyle w:val="Title"/>
        <w:pBdr>
          <w:bottom w:val="none" w:sz="0" w:space="0" w:color="auto"/>
        </w:pBdr>
        <w:spacing w:line="280" w:lineRule="exact"/>
        <w:rPr>
          <w:szCs w:val="24"/>
        </w:rPr>
      </w:pPr>
    </w:p>
    <w:p w14:paraId="785E2302" w14:textId="77777777" w:rsidR="00974D74" w:rsidRPr="00190FC7" w:rsidRDefault="00974D74" w:rsidP="00E77F05">
      <w:pPr>
        <w:pStyle w:val="Title"/>
        <w:pBdr>
          <w:bottom w:val="none" w:sz="0" w:space="0" w:color="auto"/>
        </w:pBdr>
        <w:spacing w:line="280" w:lineRule="exact"/>
        <w:rPr>
          <w:szCs w:val="24"/>
        </w:rPr>
      </w:pPr>
    </w:p>
    <w:sectPr w:rsidR="00974D74" w:rsidRPr="00190FC7" w:rsidSect="00AC2E82">
      <w:headerReference w:type="default" r:id="rId10"/>
      <w:footerReference w:type="even" r:id="rId11"/>
      <w:footerReference w:type="default" r:id="rId12"/>
      <w:footerReference w:type="first" r:id="rId13"/>
      <w:pgSz w:w="12240" w:h="15840" w:code="1"/>
      <w:pgMar w:top="1440" w:right="1440" w:bottom="1440" w:left="1440" w:header="720" w:footer="720" w:gutter="72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AA1E9C0" w14:textId="77777777" w:rsidR="00130941" w:rsidRDefault="00130941">
      <w:r>
        <w:separator/>
      </w:r>
    </w:p>
  </w:endnote>
  <w:endnote w:type="continuationSeparator" w:id="0">
    <w:p w14:paraId="441D3732" w14:textId="77777777" w:rsidR="00130941" w:rsidRDefault="001309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3E9E22" w14:textId="77777777" w:rsidR="007F137E" w:rsidRDefault="007F137E" w:rsidP="00975F5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C455019" w14:textId="77777777" w:rsidR="007F137E" w:rsidRDefault="007F137E" w:rsidP="00975F5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81435615"/>
      <w:docPartObj>
        <w:docPartGallery w:val="Page Numbers (Bottom of Page)"/>
        <w:docPartUnique/>
      </w:docPartObj>
    </w:sdtPr>
    <w:sdtContent>
      <w:sdt>
        <w:sdtPr>
          <w:id w:val="-1452085333"/>
          <w:docPartObj>
            <w:docPartGallery w:val="Page Numbers (Top of Page)"/>
            <w:docPartUnique/>
          </w:docPartObj>
        </w:sdtPr>
        <w:sdtContent>
          <w:p w14:paraId="7839AD6E" w14:textId="399B3BAE" w:rsidR="00D7291E" w:rsidRDefault="00D7291E">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sidR="0079327B">
              <w:rPr>
                <w:b/>
                <w:bCs/>
                <w:sz w:val="24"/>
                <w:szCs w:val="24"/>
              </w:rPr>
              <w:t>2</w:t>
            </w:r>
            <w:r w:rsidR="00232C9C">
              <w:rPr>
                <w:b/>
                <w:bCs/>
                <w:sz w:val="24"/>
                <w:szCs w:val="24"/>
              </w:rPr>
              <w:t>8</w:t>
            </w:r>
          </w:p>
        </w:sdtContent>
      </w:sdt>
    </w:sdtContent>
  </w:sdt>
  <w:p w14:paraId="263D4C28" w14:textId="77777777" w:rsidR="007F137E" w:rsidRPr="00F75108" w:rsidRDefault="007F137E" w:rsidP="00AC2E82">
    <w:pPr>
      <w:pStyle w:val="Footer"/>
      <w:jc w:val="right"/>
      <w:rPr>
        <w:sz w:val="18"/>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49448661"/>
      <w:docPartObj>
        <w:docPartGallery w:val="Page Numbers (Bottom of Page)"/>
        <w:docPartUnique/>
      </w:docPartObj>
    </w:sdtPr>
    <w:sdtContent>
      <w:sdt>
        <w:sdtPr>
          <w:id w:val="1728636285"/>
          <w:docPartObj>
            <w:docPartGallery w:val="Page Numbers (Top of Page)"/>
            <w:docPartUnique/>
          </w:docPartObj>
        </w:sdtPr>
        <w:sdtContent>
          <w:p w14:paraId="7C5482F9" w14:textId="5B30D888" w:rsidR="00D7291E" w:rsidRDefault="00D7291E">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sidR="0079327B">
              <w:rPr>
                <w:b/>
                <w:bCs/>
                <w:sz w:val="24"/>
                <w:szCs w:val="24"/>
              </w:rPr>
              <w:t>2</w:t>
            </w:r>
            <w:r w:rsidR="00232C9C">
              <w:rPr>
                <w:b/>
                <w:bCs/>
                <w:sz w:val="24"/>
                <w:szCs w:val="24"/>
              </w:rPr>
              <w:t>8</w:t>
            </w:r>
          </w:p>
        </w:sdtContent>
      </w:sdt>
    </w:sdtContent>
  </w:sdt>
  <w:p w14:paraId="363229DA" w14:textId="77777777" w:rsidR="007F137E" w:rsidRDefault="007F137E" w:rsidP="00AC2E82">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1275AB4" w14:textId="77777777" w:rsidR="00130941" w:rsidRDefault="00130941">
      <w:r>
        <w:separator/>
      </w:r>
    </w:p>
  </w:footnote>
  <w:footnote w:type="continuationSeparator" w:id="0">
    <w:p w14:paraId="3FA6BE0B" w14:textId="77777777" w:rsidR="00130941" w:rsidRDefault="00130941">
      <w:r>
        <w:continuationSeparator/>
      </w:r>
    </w:p>
  </w:footnote>
  <w:footnote w:id="1">
    <w:p w14:paraId="55DDADC9" w14:textId="24FB3212" w:rsidR="002351AD" w:rsidRDefault="002351AD">
      <w:pPr>
        <w:pStyle w:val="FootnoteText"/>
      </w:pPr>
      <w:r>
        <w:rPr>
          <w:rStyle w:val="FootnoteReference"/>
        </w:rPr>
        <w:footnoteRef/>
      </w:r>
      <w:r>
        <w:t xml:space="preserve"> Exhibit C-</w:t>
      </w:r>
      <w:r w:rsidR="00731D02">
        <w:t>4</w:t>
      </w:r>
    </w:p>
  </w:footnote>
  <w:footnote w:id="2">
    <w:p w14:paraId="19FEC4D0" w14:textId="3C6D6DC8" w:rsidR="00350590" w:rsidRDefault="00350590">
      <w:pPr>
        <w:pStyle w:val="FootnoteText"/>
      </w:pPr>
      <w:r>
        <w:rPr>
          <w:rStyle w:val="FootnoteReference"/>
        </w:rPr>
        <w:footnoteRef/>
      </w:r>
      <w:r>
        <w:t xml:space="preserve"> Exhibit C-</w:t>
      </w:r>
      <w:r w:rsidR="00731D02">
        <w:t>7</w:t>
      </w:r>
    </w:p>
  </w:footnote>
  <w:footnote w:id="3">
    <w:p w14:paraId="32EF663D" w14:textId="62B3BF04" w:rsidR="0058212E" w:rsidRDefault="0058212E">
      <w:pPr>
        <w:pStyle w:val="FootnoteText"/>
      </w:pPr>
      <w:r>
        <w:rPr>
          <w:rStyle w:val="FootnoteReference"/>
        </w:rPr>
        <w:footnoteRef/>
      </w:r>
      <w:r>
        <w:t xml:space="preserve"> Exhibit C-</w:t>
      </w:r>
      <w:r w:rsidR="00731D02">
        <w:t>6</w:t>
      </w:r>
    </w:p>
  </w:footnote>
  <w:footnote w:id="4">
    <w:p w14:paraId="43D99130" w14:textId="25781DC0" w:rsidR="006F0227" w:rsidRPr="006F0227" w:rsidRDefault="006F0227">
      <w:pPr>
        <w:pStyle w:val="FootnoteText"/>
      </w:pPr>
      <w:r>
        <w:rPr>
          <w:rStyle w:val="FootnoteReference"/>
        </w:rPr>
        <w:footnoteRef/>
      </w:r>
      <w:r>
        <w:t xml:space="preserve"> </w:t>
      </w:r>
      <w:r>
        <w:rPr>
          <w:i/>
          <w:iCs/>
        </w:rPr>
        <w:t xml:space="preserve">See </w:t>
      </w:r>
      <w:r>
        <w:t>Exhibit C-8.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6ED14C" w14:textId="5AD98D1D" w:rsidR="007F137E" w:rsidRDefault="007F137E" w:rsidP="00D7291E">
    <w:pPr>
      <w:pStyle w:val="Header"/>
      <w:tabs>
        <w:tab w:val="clear" w:pos="8640"/>
        <w:tab w:val="center" w:pos="8280"/>
      </w:tabs>
      <w:rPr>
        <w:rFonts w:ascii="Arial" w:hAnsi="Arial" w:cs="Arial"/>
      </w:rPr>
    </w:pPr>
    <w:r w:rsidRPr="00F35D3C">
      <w:rPr>
        <w:rFonts w:ascii="Arial" w:hAnsi="Arial" w:cs="Arial"/>
      </w:rPr>
      <w:t>PRRB Case No</w:t>
    </w:r>
    <w:r w:rsidR="00B45D27">
      <w:rPr>
        <w:rFonts w:ascii="Arial" w:hAnsi="Arial" w:cs="Arial"/>
      </w:rPr>
      <w:t>s</w:t>
    </w:r>
    <w:r w:rsidRPr="00F35D3C">
      <w:rPr>
        <w:rFonts w:ascii="Arial" w:hAnsi="Arial" w:cs="Arial"/>
      </w:rPr>
      <w:t xml:space="preserve">. </w:t>
    </w:r>
    <w:r w:rsidR="00B45D27">
      <w:rPr>
        <w:rFonts w:ascii="Arial" w:hAnsi="Arial" w:cs="Arial"/>
      </w:rPr>
      <w:t>17-0417, 17-1403, 18-0499, 19-0636, 18-0158, 21-1441, 22-1403</w:t>
    </w:r>
  </w:p>
  <w:p w14:paraId="5F602CC5" w14:textId="77777777" w:rsidR="007F137E" w:rsidRPr="00F35D3C" w:rsidRDefault="007F137E" w:rsidP="00AC2E82">
    <w:pPr>
      <w:pStyle w:val="Header"/>
      <w:rPr>
        <w:rFonts w:ascii="Arial" w:hAnsi="Arial" w:cs="Arial"/>
      </w:rPr>
    </w:pPr>
  </w:p>
  <w:p w14:paraId="07A26B72" w14:textId="77777777" w:rsidR="007F137E" w:rsidRPr="009F31E0" w:rsidRDefault="007F137E" w:rsidP="00AC2E8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708DE"/>
    <w:multiLevelType w:val="hybridMultilevel"/>
    <w:tmpl w:val="A6DE3FA2"/>
    <w:lvl w:ilvl="0" w:tplc="47086C7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76F6499"/>
    <w:multiLevelType w:val="hybridMultilevel"/>
    <w:tmpl w:val="3EEA1824"/>
    <w:lvl w:ilvl="0" w:tplc="7864F63C">
      <w:start w:val="1"/>
      <w:numFmt w:val="upp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7F6764"/>
    <w:multiLevelType w:val="hybridMultilevel"/>
    <w:tmpl w:val="8E3C2BAA"/>
    <w:lvl w:ilvl="0" w:tplc="4888F7E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43D1EBB"/>
    <w:multiLevelType w:val="hybridMultilevel"/>
    <w:tmpl w:val="25DCE9CE"/>
    <w:lvl w:ilvl="0" w:tplc="04090015">
      <w:start w:val="4"/>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71D701F"/>
    <w:multiLevelType w:val="hybridMultilevel"/>
    <w:tmpl w:val="2A16D3C6"/>
    <w:lvl w:ilvl="0" w:tplc="9D8446E4">
      <w:start w:val="1"/>
      <w:numFmt w:val="upperRoman"/>
      <w:lvlText w:val="(%1)"/>
      <w:lvlJc w:val="left"/>
      <w:pPr>
        <w:tabs>
          <w:tab w:val="num" w:pos="1530"/>
        </w:tabs>
        <w:ind w:left="1530" w:hanging="720"/>
      </w:pPr>
      <w:rPr>
        <w:rFonts w:hint="default"/>
      </w:rPr>
    </w:lvl>
    <w:lvl w:ilvl="1" w:tplc="04090019" w:tentative="1">
      <w:start w:val="1"/>
      <w:numFmt w:val="lowerLetter"/>
      <w:lvlText w:val="%2."/>
      <w:lvlJc w:val="left"/>
      <w:pPr>
        <w:tabs>
          <w:tab w:val="num" w:pos="1890"/>
        </w:tabs>
        <w:ind w:left="1890" w:hanging="360"/>
      </w:pPr>
    </w:lvl>
    <w:lvl w:ilvl="2" w:tplc="0409001B" w:tentative="1">
      <w:start w:val="1"/>
      <w:numFmt w:val="lowerRoman"/>
      <w:lvlText w:val="%3."/>
      <w:lvlJc w:val="right"/>
      <w:pPr>
        <w:tabs>
          <w:tab w:val="num" w:pos="2610"/>
        </w:tabs>
        <w:ind w:left="2610" w:hanging="180"/>
      </w:pPr>
    </w:lvl>
    <w:lvl w:ilvl="3" w:tplc="0409000F" w:tentative="1">
      <w:start w:val="1"/>
      <w:numFmt w:val="decimal"/>
      <w:lvlText w:val="%4."/>
      <w:lvlJc w:val="left"/>
      <w:pPr>
        <w:tabs>
          <w:tab w:val="num" w:pos="3330"/>
        </w:tabs>
        <w:ind w:left="3330" w:hanging="360"/>
      </w:pPr>
    </w:lvl>
    <w:lvl w:ilvl="4" w:tplc="04090019" w:tentative="1">
      <w:start w:val="1"/>
      <w:numFmt w:val="lowerLetter"/>
      <w:lvlText w:val="%5."/>
      <w:lvlJc w:val="left"/>
      <w:pPr>
        <w:tabs>
          <w:tab w:val="num" w:pos="4050"/>
        </w:tabs>
        <w:ind w:left="4050" w:hanging="360"/>
      </w:pPr>
    </w:lvl>
    <w:lvl w:ilvl="5" w:tplc="0409001B" w:tentative="1">
      <w:start w:val="1"/>
      <w:numFmt w:val="lowerRoman"/>
      <w:lvlText w:val="%6."/>
      <w:lvlJc w:val="right"/>
      <w:pPr>
        <w:tabs>
          <w:tab w:val="num" w:pos="4770"/>
        </w:tabs>
        <w:ind w:left="4770" w:hanging="180"/>
      </w:pPr>
    </w:lvl>
    <w:lvl w:ilvl="6" w:tplc="0409000F" w:tentative="1">
      <w:start w:val="1"/>
      <w:numFmt w:val="decimal"/>
      <w:lvlText w:val="%7."/>
      <w:lvlJc w:val="left"/>
      <w:pPr>
        <w:tabs>
          <w:tab w:val="num" w:pos="5490"/>
        </w:tabs>
        <w:ind w:left="5490" w:hanging="360"/>
      </w:pPr>
    </w:lvl>
    <w:lvl w:ilvl="7" w:tplc="04090019" w:tentative="1">
      <w:start w:val="1"/>
      <w:numFmt w:val="lowerLetter"/>
      <w:lvlText w:val="%8."/>
      <w:lvlJc w:val="left"/>
      <w:pPr>
        <w:tabs>
          <w:tab w:val="num" w:pos="6210"/>
        </w:tabs>
        <w:ind w:left="6210" w:hanging="360"/>
      </w:pPr>
    </w:lvl>
    <w:lvl w:ilvl="8" w:tplc="0409001B" w:tentative="1">
      <w:start w:val="1"/>
      <w:numFmt w:val="lowerRoman"/>
      <w:lvlText w:val="%9."/>
      <w:lvlJc w:val="right"/>
      <w:pPr>
        <w:tabs>
          <w:tab w:val="num" w:pos="6930"/>
        </w:tabs>
        <w:ind w:left="6930" w:hanging="180"/>
      </w:pPr>
    </w:lvl>
  </w:abstractNum>
  <w:abstractNum w:abstractNumId="5" w15:restartNumberingAfterBreak="0">
    <w:nsid w:val="180F3307"/>
    <w:multiLevelType w:val="hybridMultilevel"/>
    <w:tmpl w:val="5B2C3E86"/>
    <w:lvl w:ilvl="0" w:tplc="EEF60CCC">
      <w:start w:val="3"/>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AAC6E86"/>
    <w:multiLevelType w:val="hybridMultilevel"/>
    <w:tmpl w:val="A1688C72"/>
    <w:lvl w:ilvl="0" w:tplc="A2A4E9CA">
      <w:start w:val="1"/>
      <w:numFmt w:val="lowerRoman"/>
      <w:lvlText w:val="(%1)"/>
      <w:lvlJc w:val="left"/>
      <w:pPr>
        <w:ind w:left="2520" w:hanging="72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15:restartNumberingAfterBreak="0">
    <w:nsid w:val="1C094D1F"/>
    <w:multiLevelType w:val="hybridMultilevel"/>
    <w:tmpl w:val="B12ED3C8"/>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CC861CD"/>
    <w:multiLevelType w:val="hybridMultilevel"/>
    <w:tmpl w:val="A7447D2C"/>
    <w:lvl w:ilvl="0" w:tplc="9FDE967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00A65A3"/>
    <w:multiLevelType w:val="singleLevel"/>
    <w:tmpl w:val="CE263B22"/>
    <w:lvl w:ilvl="0">
      <w:start w:val="2"/>
      <w:numFmt w:val="decimal"/>
      <w:lvlText w:val="%1."/>
      <w:lvlJc w:val="left"/>
      <w:pPr>
        <w:tabs>
          <w:tab w:val="num" w:pos="1440"/>
        </w:tabs>
        <w:ind w:left="1440" w:hanging="720"/>
      </w:pPr>
      <w:rPr>
        <w:rFonts w:hint="default"/>
      </w:rPr>
    </w:lvl>
  </w:abstractNum>
  <w:abstractNum w:abstractNumId="10" w15:restartNumberingAfterBreak="0">
    <w:nsid w:val="208840BC"/>
    <w:multiLevelType w:val="hybridMultilevel"/>
    <w:tmpl w:val="08782AEA"/>
    <w:lvl w:ilvl="0" w:tplc="0FBA904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7F067F9"/>
    <w:multiLevelType w:val="hybridMultilevel"/>
    <w:tmpl w:val="597A27CE"/>
    <w:lvl w:ilvl="0" w:tplc="7CA4074E">
      <w:start w:val="1"/>
      <w:numFmt w:val="decimal"/>
      <w:pStyle w:val="ExhibitListing"/>
      <w:lvlText w:val="I-%1."/>
      <w:lvlJc w:val="left"/>
      <w:pPr>
        <w:tabs>
          <w:tab w:val="num" w:pos="1620"/>
        </w:tabs>
        <w:ind w:left="1620" w:hanging="72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280206E6"/>
    <w:multiLevelType w:val="hybridMultilevel"/>
    <w:tmpl w:val="CCF6A2EA"/>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8ED4951"/>
    <w:multiLevelType w:val="singleLevel"/>
    <w:tmpl w:val="E4B0D176"/>
    <w:lvl w:ilvl="0">
      <w:start w:val="1"/>
      <w:numFmt w:val="decimal"/>
      <w:lvlText w:val="%1."/>
      <w:lvlJc w:val="left"/>
      <w:pPr>
        <w:tabs>
          <w:tab w:val="num" w:pos="2160"/>
        </w:tabs>
        <w:ind w:left="2160" w:hanging="720"/>
      </w:pPr>
      <w:rPr>
        <w:rFonts w:hint="default"/>
      </w:rPr>
    </w:lvl>
  </w:abstractNum>
  <w:abstractNum w:abstractNumId="14" w15:restartNumberingAfterBreak="0">
    <w:nsid w:val="2D944F6C"/>
    <w:multiLevelType w:val="hybridMultilevel"/>
    <w:tmpl w:val="3F9CC1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00B4588"/>
    <w:multiLevelType w:val="hybridMultilevel"/>
    <w:tmpl w:val="548CF8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78401C1"/>
    <w:multiLevelType w:val="hybridMultilevel"/>
    <w:tmpl w:val="05D03B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3CE318A3"/>
    <w:multiLevelType w:val="hybridMultilevel"/>
    <w:tmpl w:val="3AF2E4FE"/>
    <w:lvl w:ilvl="0" w:tplc="DCA06932">
      <w:start w:val="2142"/>
      <w:numFmt w:val="bullet"/>
      <w:lvlText w:val="-"/>
      <w:lvlJc w:val="left"/>
      <w:pPr>
        <w:tabs>
          <w:tab w:val="num" w:pos="1080"/>
        </w:tabs>
        <w:ind w:left="1080" w:hanging="360"/>
      </w:pPr>
      <w:rPr>
        <w:rFonts w:ascii="Arial" w:eastAsia="Times New Roman" w:hAnsi="Arial" w:cs="Aria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8" w15:restartNumberingAfterBreak="0">
    <w:nsid w:val="40BF1E00"/>
    <w:multiLevelType w:val="hybridMultilevel"/>
    <w:tmpl w:val="98E2BEC0"/>
    <w:lvl w:ilvl="0" w:tplc="56AECCF6">
      <w:start w:val="1"/>
      <w:numFmt w:val="upp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44E0185C"/>
    <w:multiLevelType w:val="hybridMultilevel"/>
    <w:tmpl w:val="0FEE6152"/>
    <w:lvl w:ilvl="0" w:tplc="FBF0DCB8">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45377EEC"/>
    <w:multiLevelType w:val="hybridMultilevel"/>
    <w:tmpl w:val="2BCCBFF8"/>
    <w:lvl w:ilvl="0" w:tplc="47086C7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4B135F77"/>
    <w:multiLevelType w:val="hybridMultilevel"/>
    <w:tmpl w:val="19FACAF6"/>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4FC04DB3"/>
    <w:multiLevelType w:val="hybridMultilevel"/>
    <w:tmpl w:val="81AAFE6E"/>
    <w:lvl w:ilvl="0" w:tplc="7AFEBE9E">
      <w:start w:val="1"/>
      <w:numFmt w:val="upperLetter"/>
      <w:lvlText w:val="%1."/>
      <w:lvlJc w:val="left"/>
      <w:pPr>
        <w:tabs>
          <w:tab w:val="num" w:pos="360"/>
        </w:tabs>
        <w:ind w:left="360" w:hanging="360"/>
      </w:pPr>
      <w:rPr>
        <w:rFonts w:hint="default"/>
        <w:b/>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3" w15:restartNumberingAfterBreak="0">
    <w:nsid w:val="50E47AB5"/>
    <w:multiLevelType w:val="hybridMultilevel"/>
    <w:tmpl w:val="2BCCBFF8"/>
    <w:lvl w:ilvl="0" w:tplc="47086C7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5B9817BC"/>
    <w:multiLevelType w:val="hybridMultilevel"/>
    <w:tmpl w:val="3EEA1824"/>
    <w:lvl w:ilvl="0" w:tplc="7864F63C">
      <w:start w:val="1"/>
      <w:numFmt w:val="upp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C395215"/>
    <w:multiLevelType w:val="singleLevel"/>
    <w:tmpl w:val="664E33E2"/>
    <w:lvl w:ilvl="0">
      <w:start w:val="2"/>
      <w:numFmt w:val="upperLetter"/>
      <w:lvlText w:val="%1."/>
      <w:lvlJc w:val="left"/>
      <w:pPr>
        <w:tabs>
          <w:tab w:val="num" w:pos="1440"/>
        </w:tabs>
        <w:ind w:left="1440" w:hanging="720"/>
      </w:pPr>
      <w:rPr>
        <w:rFonts w:hint="default"/>
      </w:rPr>
    </w:lvl>
  </w:abstractNum>
  <w:abstractNum w:abstractNumId="26" w15:restartNumberingAfterBreak="0">
    <w:nsid w:val="5D5D00FF"/>
    <w:multiLevelType w:val="hybridMultilevel"/>
    <w:tmpl w:val="E8605080"/>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7" w15:restartNumberingAfterBreak="0">
    <w:nsid w:val="66884AAA"/>
    <w:multiLevelType w:val="hybridMultilevel"/>
    <w:tmpl w:val="84427BEE"/>
    <w:lvl w:ilvl="0" w:tplc="47086C7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69C31EC1"/>
    <w:multiLevelType w:val="hybridMultilevel"/>
    <w:tmpl w:val="83EC5E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6DEC4AD4"/>
    <w:multiLevelType w:val="hybridMultilevel"/>
    <w:tmpl w:val="F7042064"/>
    <w:lvl w:ilvl="0" w:tplc="9110BC0E">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6F2F216C"/>
    <w:multiLevelType w:val="hybridMultilevel"/>
    <w:tmpl w:val="16368794"/>
    <w:lvl w:ilvl="0" w:tplc="49CED47C">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1" w15:restartNumberingAfterBreak="0">
    <w:nsid w:val="70856681"/>
    <w:multiLevelType w:val="hybridMultilevel"/>
    <w:tmpl w:val="3EEA1824"/>
    <w:lvl w:ilvl="0" w:tplc="7864F63C">
      <w:start w:val="1"/>
      <w:numFmt w:val="upp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72C2873"/>
    <w:multiLevelType w:val="hybridMultilevel"/>
    <w:tmpl w:val="84427BEE"/>
    <w:lvl w:ilvl="0" w:tplc="47086C7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502747181">
    <w:abstractNumId w:val="13"/>
  </w:num>
  <w:num w:numId="2" w16cid:durableId="2092583873">
    <w:abstractNumId w:val="9"/>
  </w:num>
  <w:num w:numId="3" w16cid:durableId="204216858">
    <w:abstractNumId w:val="25"/>
  </w:num>
  <w:num w:numId="4" w16cid:durableId="1482312169">
    <w:abstractNumId w:val="11"/>
  </w:num>
  <w:num w:numId="5" w16cid:durableId="965505107">
    <w:abstractNumId w:val="26"/>
  </w:num>
  <w:num w:numId="6" w16cid:durableId="306203799">
    <w:abstractNumId w:val="18"/>
  </w:num>
  <w:num w:numId="7" w16cid:durableId="1709407477">
    <w:abstractNumId w:val="10"/>
  </w:num>
  <w:num w:numId="8" w16cid:durableId="537084402">
    <w:abstractNumId w:val="29"/>
  </w:num>
  <w:num w:numId="9" w16cid:durableId="1695687326">
    <w:abstractNumId w:val="6"/>
  </w:num>
  <w:num w:numId="10" w16cid:durableId="698698760">
    <w:abstractNumId w:val="30"/>
  </w:num>
  <w:num w:numId="11" w16cid:durableId="1978559158">
    <w:abstractNumId w:val="3"/>
  </w:num>
  <w:num w:numId="12" w16cid:durableId="1554460716">
    <w:abstractNumId w:val="16"/>
  </w:num>
  <w:num w:numId="13" w16cid:durableId="869612936">
    <w:abstractNumId w:val="17"/>
  </w:num>
  <w:num w:numId="14" w16cid:durableId="1709718953">
    <w:abstractNumId w:val="7"/>
  </w:num>
  <w:num w:numId="15" w16cid:durableId="1346325708">
    <w:abstractNumId w:val="20"/>
  </w:num>
  <w:num w:numId="16" w16cid:durableId="422458249">
    <w:abstractNumId w:val="21"/>
  </w:num>
  <w:num w:numId="17" w16cid:durableId="1257907492">
    <w:abstractNumId w:val="4"/>
  </w:num>
  <w:num w:numId="18" w16cid:durableId="196358092">
    <w:abstractNumId w:val="28"/>
  </w:num>
  <w:num w:numId="19" w16cid:durableId="1071342983">
    <w:abstractNumId w:val="22"/>
  </w:num>
  <w:num w:numId="20" w16cid:durableId="154145920">
    <w:abstractNumId w:val="15"/>
  </w:num>
  <w:num w:numId="21" w16cid:durableId="597176238">
    <w:abstractNumId w:val="31"/>
  </w:num>
  <w:num w:numId="22" w16cid:durableId="347172061">
    <w:abstractNumId w:val="1"/>
  </w:num>
  <w:num w:numId="23" w16cid:durableId="500855259">
    <w:abstractNumId w:val="0"/>
  </w:num>
  <w:num w:numId="24" w16cid:durableId="696464979">
    <w:abstractNumId w:val="32"/>
  </w:num>
  <w:num w:numId="25" w16cid:durableId="894124453">
    <w:abstractNumId w:val="14"/>
  </w:num>
  <w:num w:numId="26" w16cid:durableId="1326783855">
    <w:abstractNumId w:val="24"/>
  </w:num>
  <w:num w:numId="27" w16cid:durableId="681473997">
    <w:abstractNumId w:val="27"/>
  </w:num>
  <w:num w:numId="28" w16cid:durableId="110513137">
    <w:abstractNumId w:val="23"/>
  </w:num>
  <w:num w:numId="29" w16cid:durableId="1624379774">
    <w:abstractNumId w:val="19"/>
  </w:num>
  <w:num w:numId="30" w16cid:durableId="763067949">
    <w:abstractNumId w:val="2"/>
  </w:num>
  <w:num w:numId="31" w16cid:durableId="689113843">
    <w:abstractNumId w:val="8"/>
  </w:num>
  <w:num w:numId="32" w16cid:durableId="505443864">
    <w:abstractNumId w:val="5"/>
  </w:num>
  <w:num w:numId="33" w16cid:durableId="97186075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3F3E"/>
    <w:rsid w:val="00004FD3"/>
    <w:rsid w:val="00005389"/>
    <w:rsid w:val="0001144F"/>
    <w:rsid w:val="0001155D"/>
    <w:rsid w:val="00014312"/>
    <w:rsid w:val="00014AB3"/>
    <w:rsid w:val="00015280"/>
    <w:rsid w:val="0001613D"/>
    <w:rsid w:val="0002304D"/>
    <w:rsid w:val="00030084"/>
    <w:rsid w:val="00032802"/>
    <w:rsid w:val="00032B97"/>
    <w:rsid w:val="00034292"/>
    <w:rsid w:val="000348EA"/>
    <w:rsid w:val="0003559C"/>
    <w:rsid w:val="00040757"/>
    <w:rsid w:val="0004075B"/>
    <w:rsid w:val="00044947"/>
    <w:rsid w:val="000456E5"/>
    <w:rsid w:val="0004787F"/>
    <w:rsid w:val="00051B36"/>
    <w:rsid w:val="0005443F"/>
    <w:rsid w:val="00061843"/>
    <w:rsid w:val="00062F3A"/>
    <w:rsid w:val="00066CAA"/>
    <w:rsid w:val="00066F12"/>
    <w:rsid w:val="00066F8F"/>
    <w:rsid w:val="0006782F"/>
    <w:rsid w:val="00070375"/>
    <w:rsid w:val="00070D16"/>
    <w:rsid w:val="00074BCC"/>
    <w:rsid w:val="0008231F"/>
    <w:rsid w:val="00082657"/>
    <w:rsid w:val="00082DD0"/>
    <w:rsid w:val="0008548B"/>
    <w:rsid w:val="0009322E"/>
    <w:rsid w:val="000A1DC3"/>
    <w:rsid w:val="000A4C00"/>
    <w:rsid w:val="000B0E8A"/>
    <w:rsid w:val="000B1513"/>
    <w:rsid w:val="000C2544"/>
    <w:rsid w:val="000C52B6"/>
    <w:rsid w:val="000D095F"/>
    <w:rsid w:val="000D24BC"/>
    <w:rsid w:val="000D2A63"/>
    <w:rsid w:val="000D38C0"/>
    <w:rsid w:val="000D463B"/>
    <w:rsid w:val="000D495C"/>
    <w:rsid w:val="000E1344"/>
    <w:rsid w:val="000F0CAA"/>
    <w:rsid w:val="000F38AE"/>
    <w:rsid w:val="000F4D8D"/>
    <w:rsid w:val="000F6CDA"/>
    <w:rsid w:val="00102092"/>
    <w:rsid w:val="001023CE"/>
    <w:rsid w:val="00102EF6"/>
    <w:rsid w:val="00105438"/>
    <w:rsid w:val="0012216A"/>
    <w:rsid w:val="00130941"/>
    <w:rsid w:val="00144DAD"/>
    <w:rsid w:val="001454F7"/>
    <w:rsid w:val="001476E2"/>
    <w:rsid w:val="00150045"/>
    <w:rsid w:val="0015141B"/>
    <w:rsid w:val="00151887"/>
    <w:rsid w:val="00154379"/>
    <w:rsid w:val="00155E0B"/>
    <w:rsid w:val="00155F52"/>
    <w:rsid w:val="001618AE"/>
    <w:rsid w:val="00166C00"/>
    <w:rsid w:val="001722C5"/>
    <w:rsid w:val="0017353B"/>
    <w:rsid w:val="0017764C"/>
    <w:rsid w:val="00181C9A"/>
    <w:rsid w:val="00183488"/>
    <w:rsid w:val="00190FC7"/>
    <w:rsid w:val="00197057"/>
    <w:rsid w:val="001A020F"/>
    <w:rsid w:val="001A1068"/>
    <w:rsid w:val="001A3F83"/>
    <w:rsid w:val="001A72A9"/>
    <w:rsid w:val="001B5272"/>
    <w:rsid w:val="001B786C"/>
    <w:rsid w:val="001C1880"/>
    <w:rsid w:val="001C2050"/>
    <w:rsid w:val="001C40BE"/>
    <w:rsid w:val="001C4D04"/>
    <w:rsid w:val="001C639A"/>
    <w:rsid w:val="001C6C83"/>
    <w:rsid w:val="001C7545"/>
    <w:rsid w:val="001D4B6F"/>
    <w:rsid w:val="001D5D3A"/>
    <w:rsid w:val="001E3211"/>
    <w:rsid w:val="001E34CE"/>
    <w:rsid w:val="001E4E7B"/>
    <w:rsid w:val="001F07DB"/>
    <w:rsid w:val="001F2E14"/>
    <w:rsid w:val="001F3A78"/>
    <w:rsid w:val="001F5D0D"/>
    <w:rsid w:val="001F6552"/>
    <w:rsid w:val="001F72DB"/>
    <w:rsid w:val="001F74F1"/>
    <w:rsid w:val="00203169"/>
    <w:rsid w:val="0020493B"/>
    <w:rsid w:val="00211252"/>
    <w:rsid w:val="00211818"/>
    <w:rsid w:val="00213AA5"/>
    <w:rsid w:val="00215B30"/>
    <w:rsid w:val="00216437"/>
    <w:rsid w:val="00222A1F"/>
    <w:rsid w:val="002258AD"/>
    <w:rsid w:val="0022652C"/>
    <w:rsid w:val="002265AB"/>
    <w:rsid w:val="002266B8"/>
    <w:rsid w:val="00232C9C"/>
    <w:rsid w:val="002351AD"/>
    <w:rsid w:val="002364F8"/>
    <w:rsid w:val="00237125"/>
    <w:rsid w:val="0024285A"/>
    <w:rsid w:val="00254125"/>
    <w:rsid w:val="00260FC1"/>
    <w:rsid w:val="00262865"/>
    <w:rsid w:val="00262C58"/>
    <w:rsid w:val="00267078"/>
    <w:rsid w:val="00272B00"/>
    <w:rsid w:val="002807FD"/>
    <w:rsid w:val="00284653"/>
    <w:rsid w:val="002856A7"/>
    <w:rsid w:val="00287179"/>
    <w:rsid w:val="002924B7"/>
    <w:rsid w:val="00292E8D"/>
    <w:rsid w:val="0029670F"/>
    <w:rsid w:val="002A40C8"/>
    <w:rsid w:val="002A41A9"/>
    <w:rsid w:val="002B25FF"/>
    <w:rsid w:val="002B3A3F"/>
    <w:rsid w:val="002B4CF2"/>
    <w:rsid w:val="002C33D3"/>
    <w:rsid w:val="002C52DF"/>
    <w:rsid w:val="002D2E34"/>
    <w:rsid w:val="002D5C4C"/>
    <w:rsid w:val="002D69C1"/>
    <w:rsid w:val="002D7FD5"/>
    <w:rsid w:val="002E0C08"/>
    <w:rsid w:val="002E4061"/>
    <w:rsid w:val="002F2A4B"/>
    <w:rsid w:val="002F2AD0"/>
    <w:rsid w:val="002F428E"/>
    <w:rsid w:val="002F4C5D"/>
    <w:rsid w:val="002F5D81"/>
    <w:rsid w:val="00303B89"/>
    <w:rsid w:val="00303FA4"/>
    <w:rsid w:val="00306AB3"/>
    <w:rsid w:val="00306DF2"/>
    <w:rsid w:val="00307BFE"/>
    <w:rsid w:val="00310FE0"/>
    <w:rsid w:val="00316949"/>
    <w:rsid w:val="00322CB1"/>
    <w:rsid w:val="0032362F"/>
    <w:rsid w:val="00324479"/>
    <w:rsid w:val="00327DDD"/>
    <w:rsid w:val="003321E0"/>
    <w:rsid w:val="00333D95"/>
    <w:rsid w:val="003342C0"/>
    <w:rsid w:val="00335B1D"/>
    <w:rsid w:val="00343996"/>
    <w:rsid w:val="00347C05"/>
    <w:rsid w:val="00350590"/>
    <w:rsid w:val="00353DD1"/>
    <w:rsid w:val="00354871"/>
    <w:rsid w:val="00354E15"/>
    <w:rsid w:val="00357454"/>
    <w:rsid w:val="00357BE4"/>
    <w:rsid w:val="00361DA0"/>
    <w:rsid w:val="003630A7"/>
    <w:rsid w:val="00363962"/>
    <w:rsid w:val="00364D31"/>
    <w:rsid w:val="00367556"/>
    <w:rsid w:val="00367685"/>
    <w:rsid w:val="003703E9"/>
    <w:rsid w:val="003722EA"/>
    <w:rsid w:val="00373CAE"/>
    <w:rsid w:val="003974AB"/>
    <w:rsid w:val="003A48B8"/>
    <w:rsid w:val="003A5CAB"/>
    <w:rsid w:val="003A6923"/>
    <w:rsid w:val="003B2A35"/>
    <w:rsid w:val="003B33D9"/>
    <w:rsid w:val="003C287F"/>
    <w:rsid w:val="003C49BE"/>
    <w:rsid w:val="003C4C63"/>
    <w:rsid w:val="003D1101"/>
    <w:rsid w:val="003D16B7"/>
    <w:rsid w:val="003D68A4"/>
    <w:rsid w:val="003E0962"/>
    <w:rsid w:val="003F6181"/>
    <w:rsid w:val="003F6564"/>
    <w:rsid w:val="004055A5"/>
    <w:rsid w:val="00411F20"/>
    <w:rsid w:val="00411FF5"/>
    <w:rsid w:val="00414CAE"/>
    <w:rsid w:val="004150A5"/>
    <w:rsid w:val="004211B0"/>
    <w:rsid w:val="00421A60"/>
    <w:rsid w:val="004254E4"/>
    <w:rsid w:val="00426580"/>
    <w:rsid w:val="00430AAA"/>
    <w:rsid w:val="00434E63"/>
    <w:rsid w:val="00435A6A"/>
    <w:rsid w:val="004369F2"/>
    <w:rsid w:val="00437239"/>
    <w:rsid w:val="00437420"/>
    <w:rsid w:val="00443DDB"/>
    <w:rsid w:val="00444A34"/>
    <w:rsid w:val="0044705D"/>
    <w:rsid w:val="00447974"/>
    <w:rsid w:val="0045036E"/>
    <w:rsid w:val="0045342A"/>
    <w:rsid w:val="004558C1"/>
    <w:rsid w:val="004561D5"/>
    <w:rsid w:val="004621AE"/>
    <w:rsid w:val="004633DA"/>
    <w:rsid w:val="00465929"/>
    <w:rsid w:val="00466634"/>
    <w:rsid w:val="00473A76"/>
    <w:rsid w:val="00474196"/>
    <w:rsid w:val="0047672E"/>
    <w:rsid w:val="00480734"/>
    <w:rsid w:val="00483E2D"/>
    <w:rsid w:val="004846BE"/>
    <w:rsid w:val="00484E06"/>
    <w:rsid w:val="00485490"/>
    <w:rsid w:val="0048596B"/>
    <w:rsid w:val="0048609E"/>
    <w:rsid w:val="0048683F"/>
    <w:rsid w:val="004A2753"/>
    <w:rsid w:val="004A5A09"/>
    <w:rsid w:val="004C37BD"/>
    <w:rsid w:val="004C563E"/>
    <w:rsid w:val="004D20A1"/>
    <w:rsid w:val="004D282E"/>
    <w:rsid w:val="004D356F"/>
    <w:rsid w:val="004E1E7C"/>
    <w:rsid w:val="004E4EF6"/>
    <w:rsid w:val="004E6AF6"/>
    <w:rsid w:val="004E6D6A"/>
    <w:rsid w:val="004F0612"/>
    <w:rsid w:val="004F1C5D"/>
    <w:rsid w:val="004F3BCB"/>
    <w:rsid w:val="004F3CBD"/>
    <w:rsid w:val="00502852"/>
    <w:rsid w:val="00515756"/>
    <w:rsid w:val="005171F9"/>
    <w:rsid w:val="0051732C"/>
    <w:rsid w:val="00521FA9"/>
    <w:rsid w:val="00522CA8"/>
    <w:rsid w:val="005252DA"/>
    <w:rsid w:val="00525F10"/>
    <w:rsid w:val="00527C6F"/>
    <w:rsid w:val="0053537D"/>
    <w:rsid w:val="005362A7"/>
    <w:rsid w:val="005364FA"/>
    <w:rsid w:val="005406A8"/>
    <w:rsid w:val="00550DC7"/>
    <w:rsid w:val="00555258"/>
    <w:rsid w:val="00556D84"/>
    <w:rsid w:val="00561C8F"/>
    <w:rsid w:val="00561E68"/>
    <w:rsid w:val="00563625"/>
    <w:rsid w:val="005644CB"/>
    <w:rsid w:val="00566773"/>
    <w:rsid w:val="0057296D"/>
    <w:rsid w:val="005737C4"/>
    <w:rsid w:val="00580AE1"/>
    <w:rsid w:val="00580B1D"/>
    <w:rsid w:val="0058212E"/>
    <w:rsid w:val="005878B5"/>
    <w:rsid w:val="00590489"/>
    <w:rsid w:val="00594F5B"/>
    <w:rsid w:val="005968D4"/>
    <w:rsid w:val="005A1F2E"/>
    <w:rsid w:val="005A703E"/>
    <w:rsid w:val="005B18D5"/>
    <w:rsid w:val="005B1F85"/>
    <w:rsid w:val="005B2E68"/>
    <w:rsid w:val="005B49FA"/>
    <w:rsid w:val="005B6649"/>
    <w:rsid w:val="005B71DF"/>
    <w:rsid w:val="005C17AE"/>
    <w:rsid w:val="005C28D4"/>
    <w:rsid w:val="005C3D03"/>
    <w:rsid w:val="005C4D41"/>
    <w:rsid w:val="005D0E22"/>
    <w:rsid w:val="005E0876"/>
    <w:rsid w:val="005E35F5"/>
    <w:rsid w:val="005E4210"/>
    <w:rsid w:val="005E564F"/>
    <w:rsid w:val="005E648E"/>
    <w:rsid w:val="005F371A"/>
    <w:rsid w:val="005F6877"/>
    <w:rsid w:val="005F78E5"/>
    <w:rsid w:val="00601DDA"/>
    <w:rsid w:val="00607C78"/>
    <w:rsid w:val="00610719"/>
    <w:rsid w:val="00610915"/>
    <w:rsid w:val="00613163"/>
    <w:rsid w:val="00614025"/>
    <w:rsid w:val="0061762D"/>
    <w:rsid w:val="0062025A"/>
    <w:rsid w:val="00620C74"/>
    <w:rsid w:val="0062224A"/>
    <w:rsid w:val="00630A02"/>
    <w:rsid w:val="00631F04"/>
    <w:rsid w:val="006337CE"/>
    <w:rsid w:val="00637FD0"/>
    <w:rsid w:val="00641019"/>
    <w:rsid w:val="00643F46"/>
    <w:rsid w:val="00645AAF"/>
    <w:rsid w:val="006465B9"/>
    <w:rsid w:val="00653570"/>
    <w:rsid w:val="00660CBE"/>
    <w:rsid w:val="00660E56"/>
    <w:rsid w:val="00670487"/>
    <w:rsid w:val="00670E26"/>
    <w:rsid w:val="00671043"/>
    <w:rsid w:val="006763D8"/>
    <w:rsid w:val="0069595A"/>
    <w:rsid w:val="00695ED7"/>
    <w:rsid w:val="006964D7"/>
    <w:rsid w:val="00697807"/>
    <w:rsid w:val="006A3AB7"/>
    <w:rsid w:val="006B3DB3"/>
    <w:rsid w:val="006B43E3"/>
    <w:rsid w:val="006B57BC"/>
    <w:rsid w:val="006B760C"/>
    <w:rsid w:val="006C3D8D"/>
    <w:rsid w:val="006C528B"/>
    <w:rsid w:val="006E2FD7"/>
    <w:rsid w:val="006E3C77"/>
    <w:rsid w:val="006F0227"/>
    <w:rsid w:val="006F69D7"/>
    <w:rsid w:val="0070064B"/>
    <w:rsid w:val="007129B1"/>
    <w:rsid w:val="00713AE5"/>
    <w:rsid w:val="007168A7"/>
    <w:rsid w:val="00717116"/>
    <w:rsid w:val="0072132A"/>
    <w:rsid w:val="00723B2D"/>
    <w:rsid w:val="007249D6"/>
    <w:rsid w:val="00726FB3"/>
    <w:rsid w:val="007277AE"/>
    <w:rsid w:val="00731D02"/>
    <w:rsid w:val="007363B3"/>
    <w:rsid w:val="00741BD1"/>
    <w:rsid w:val="007456FA"/>
    <w:rsid w:val="0075053F"/>
    <w:rsid w:val="00757203"/>
    <w:rsid w:val="00761E13"/>
    <w:rsid w:val="00764536"/>
    <w:rsid w:val="00765CAA"/>
    <w:rsid w:val="00772B0A"/>
    <w:rsid w:val="007730CA"/>
    <w:rsid w:val="00774D62"/>
    <w:rsid w:val="00775FBB"/>
    <w:rsid w:val="00776E27"/>
    <w:rsid w:val="007803F8"/>
    <w:rsid w:val="007804B5"/>
    <w:rsid w:val="00781E24"/>
    <w:rsid w:val="00790757"/>
    <w:rsid w:val="00790886"/>
    <w:rsid w:val="0079129B"/>
    <w:rsid w:val="0079327B"/>
    <w:rsid w:val="007938B0"/>
    <w:rsid w:val="00794AA6"/>
    <w:rsid w:val="007A0AE0"/>
    <w:rsid w:val="007A0EB4"/>
    <w:rsid w:val="007A1FFF"/>
    <w:rsid w:val="007A57B6"/>
    <w:rsid w:val="007A6F65"/>
    <w:rsid w:val="007B016C"/>
    <w:rsid w:val="007B53D1"/>
    <w:rsid w:val="007B595E"/>
    <w:rsid w:val="007C01CD"/>
    <w:rsid w:val="007C3572"/>
    <w:rsid w:val="007C7FB5"/>
    <w:rsid w:val="007D124D"/>
    <w:rsid w:val="007D23DC"/>
    <w:rsid w:val="007D49EB"/>
    <w:rsid w:val="007E0801"/>
    <w:rsid w:val="007E1254"/>
    <w:rsid w:val="007E1F8E"/>
    <w:rsid w:val="007E31C3"/>
    <w:rsid w:val="007E70CA"/>
    <w:rsid w:val="007F137E"/>
    <w:rsid w:val="007F3ACC"/>
    <w:rsid w:val="007F5F92"/>
    <w:rsid w:val="007F67F2"/>
    <w:rsid w:val="00800019"/>
    <w:rsid w:val="00806B1A"/>
    <w:rsid w:val="0081123E"/>
    <w:rsid w:val="00813023"/>
    <w:rsid w:val="00813EB9"/>
    <w:rsid w:val="00821AE9"/>
    <w:rsid w:val="0082213A"/>
    <w:rsid w:val="008232F5"/>
    <w:rsid w:val="00825A13"/>
    <w:rsid w:val="00831F9A"/>
    <w:rsid w:val="00836950"/>
    <w:rsid w:val="00842FE5"/>
    <w:rsid w:val="00852B27"/>
    <w:rsid w:val="00856AFA"/>
    <w:rsid w:val="00857BE8"/>
    <w:rsid w:val="0086116F"/>
    <w:rsid w:val="0086373F"/>
    <w:rsid w:val="00864C84"/>
    <w:rsid w:val="00867E0A"/>
    <w:rsid w:val="008712FE"/>
    <w:rsid w:val="00874165"/>
    <w:rsid w:val="008742DC"/>
    <w:rsid w:val="00874C39"/>
    <w:rsid w:val="008758CD"/>
    <w:rsid w:val="008765FD"/>
    <w:rsid w:val="008772B5"/>
    <w:rsid w:val="008813C6"/>
    <w:rsid w:val="00886DA9"/>
    <w:rsid w:val="0088767F"/>
    <w:rsid w:val="00890C9F"/>
    <w:rsid w:val="00891A79"/>
    <w:rsid w:val="00891BAB"/>
    <w:rsid w:val="00892522"/>
    <w:rsid w:val="00895FED"/>
    <w:rsid w:val="008A044A"/>
    <w:rsid w:val="008B424A"/>
    <w:rsid w:val="008B6F64"/>
    <w:rsid w:val="008C50A2"/>
    <w:rsid w:val="008C7AA7"/>
    <w:rsid w:val="008D6064"/>
    <w:rsid w:val="008E3A06"/>
    <w:rsid w:val="008E4CB4"/>
    <w:rsid w:val="008E586E"/>
    <w:rsid w:val="008F13B8"/>
    <w:rsid w:val="008F2F01"/>
    <w:rsid w:val="008F3767"/>
    <w:rsid w:val="008F5E3B"/>
    <w:rsid w:val="008F7230"/>
    <w:rsid w:val="00900DBB"/>
    <w:rsid w:val="009066B9"/>
    <w:rsid w:val="00912BD1"/>
    <w:rsid w:val="00923F57"/>
    <w:rsid w:val="00925E97"/>
    <w:rsid w:val="00927D38"/>
    <w:rsid w:val="009312E1"/>
    <w:rsid w:val="00936EAA"/>
    <w:rsid w:val="009400A0"/>
    <w:rsid w:val="00940FE9"/>
    <w:rsid w:val="00945C55"/>
    <w:rsid w:val="00961D0A"/>
    <w:rsid w:val="009640A1"/>
    <w:rsid w:val="00964FB9"/>
    <w:rsid w:val="009652B7"/>
    <w:rsid w:val="0096590A"/>
    <w:rsid w:val="009676DD"/>
    <w:rsid w:val="00970F29"/>
    <w:rsid w:val="00971BA7"/>
    <w:rsid w:val="00974819"/>
    <w:rsid w:val="00974D74"/>
    <w:rsid w:val="00975F53"/>
    <w:rsid w:val="00977222"/>
    <w:rsid w:val="00977E90"/>
    <w:rsid w:val="0098111F"/>
    <w:rsid w:val="00982E30"/>
    <w:rsid w:val="00985E07"/>
    <w:rsid w:val="009912EA"/>
    <w:rsid w:val="009936C1"/>
    <w:rsid w:val="00995FAF"/>
    <w:rsid w:val="009A26CF"/>
    <w:rsid w:val="009B12D4"/>
    <w:rsid w:val="009B2C58"/>
    <w:rsid w:val="009B4BA2"/>
    <w:rsid w:val="009C3011"/>
    <w:rsid w:val="009D2346"/>
    <w:rsid w:val="009D4F42"/>
    <w:rsid w:val="009D70DA"/>
    <w:rsid w:val="009D7B8F"/>
    <w:rsid w:val="009E09D7"/>
    <w:rsid w:val="009E474D"/>
    <w:rsid w:val="009E5BFC"/>
    <w:rsid w:val="009F39D6"/>
    <w:rsid w:val="00A04E04"/>
    <w:rsid w:val="00A1176F"/>
    <w:rsid w:val="00A208A2"/>
    <w:rsid w:val="00A21138"/>
    <w:rsid w:val="00A260CE"/>
    <w:rsid w:val="00A31D83"/>
    <w:rsid w:val="00A31E33"/>
    <w:rsid w:val="00A33CB1"/>
    <w:rsid w:val="00A373DE"/>
    <w:rsid w:val="00A42A63"/>
    <w:rsid w:val="00A43A63"/>
    <w:rsid w:val="00A43B22"/>
    <w:rsid w:val="00A53C9F"/>
    <w:rsid w:val="00A5509E"/>
    <w:rsid w:val="00A635B3"/>
    <w:rsid w:val="00A649A4"/>
    <w:rsid w:val="00A7251D"/>
    <w:rsid w:val="00A85ACD"/>
    <w:rsid w:val="00A8689B"/>
    <w:rsid w:val="00A92346"/>
    <w:rsid w:val="00A9286B"/>
    <w:rsid w:val="00A93657"/>
    <w:rsid w:val="00A93E16"/>
    <w:rsid w:val="00A94CEC"/>
    <w:rsid w:val="00A960A4"/>
    <w:rsid w:val="00A979FA"/>
    <w:rsid w:val="00AA4A82"/>
    <w:rsid w:val="00AB0702"/>
    <w:rsid w:val="00AB275D"/>
    <w:rsid w:val="00AB3960"/>
    <w:rsid w:val="00AB3DD4"/>
    <w:rsid w:val="00AB4D2E"/>
    <w:rsid w:val="00AC2E82"/>
    <w:rsid w:val="00AD0D5A"/>
    <w:rsid w:val="00AD31F0"/>
    <w:rsid w:val="00AD5626"/>
    <w:rsid w:val="00AD6348"/>
    <w:rsid w:val="00AE2BE2"/>
    <w:rsid w:val="00AE41C3"/>
    <w:rsid w:val="00AE4EA8"/>
    <w:rsid w:val="00AE669A"/>
    <w:rsid w:val="00AE7958"/>
    <w:rsid w:val="00AF312D"/>
    <w:rsid w:val="00AF3562"/>
    <w:rsid w:val="00AF6E66"/>
    <w:rsid w:val="00B01828"/>
    <w:rsid w:val="00B01848"/>
    <w:rsid w:val="00B01D1B"/>
    <w:rsid w:val="00B02DB8"/>
    <w:rsid w:val="00B04B81"/>
    <w:rsid w:val="00B065B7"/>
    <w:rsid w:val="00B07D60"/>
    <w:rsid w:val="00B1154A"/>
    <w:rsid w:val="00B13A42"/>
    <w:rsid w:val="00B1750B"/>
    <w:rsid w:val="00B218BB"/>
    <w:rsid w:val="00B218CE"/>
    <w:rsid w:val="00B238BB"/>
    <w:rsid w:val="00B25A00"/>
    <w:rsid w:val="00B26308"/>
    <w:rsid w:val="00B27A17"/>
    <w:rsid w:val="00B30773"/>
    <w:rsid w:val="00B345BD"/>
    <w:rsid w:val="00B44F37"/>
    <w:rsid w:val="00B45D27"/>
    <w:rsid w:val="00B46839"/>
    <w:rsid w:val="00B5005E"/>
    <w:rsid w:val="00B57D1B"/>
    <w:rsid w:val="00B64808"/>
    <w:rsid w:val="00B735CB"/>
    <w:rsid w:val="00B75A3C"/>
    <w:rsid w:val="00B76AA6"/>
    <w:rsid w:val="00B7781E"/>
    <w:rsid w:val="00B8232F"/>
    <w:rsid w:val="00B8555F"/>
    <w:rsid w:val="00B912B1"/>
    <w:rsid w:val="00B91FDA"/>
    <w:rsid w:val="00B92827"/>
    <w:rsid w:val="00B92FCD"/>
    <w:rsid w:val="00B94C8D"/>
    <w:rsid w:val="00BA1477"/>
    <w:rsid w:val="00BA37D5"/>
    <w:rsid w:val="00BA3ACD"/>
    <w:rsid w:val="00BA7580"/>
    <w:rsid w:val="00BA7F1E"/>
    <w:rsid w:val="00BB1099"/>
    <w:rsid w:val="00BB4197"/>
    <w:rsid w:val="00BC13FF"/>
    <w:rsid w:val="00BD0E8E"/>
    <w:rsid w:val="00BD40F6"/>
    <w:rsid w:val="00BD53A4"/>
    <w:rsid w:val="00BE0C5C"/>
    <w:rsid w:val="00BE29D2"/>
    <w:rsid w:val="00BE2E3A"/>
    <w:rsid w:val="00BE6E37"/>
    <w:rsid w:val="00BF0567"/>
    <w:rsid w:val="00BF08A6"/>
    <w:rsid w:val="00BF2741"/>
    <w:rsid w:val="00BF6959"/>
    <w:rsid w:val="00C00E8A"/>
    <w:rsid w:val="00C04B94"/>
    <w:rsid w:val="00C11DE6"/>
    <w:rsid w:val="00C13802"/>
    <w:rsid w:val="00C16AD6"/>
    <w:rsid w:val="00C22C43"/>
    <w:rsid w:val="00C23F3E"/>
    <w:rsid w:val="00C2761F"/>
    <w:rsid w:val="00C31218"/>
    <w:rsid w:val="00C313F8"/>
    <w:rsid w:val="00C3175F"/>
    <w:rsid w:val="00C3690E"/>
    <w:rsid w:val="00C41291"/>
    <w:rsid w:val="00C42B47"/>
    <w:rsid w:val="00C441EB"/>
    <w:rsid w:val="00C4485C"/>
    <w:rsid w:val="00C475EC"/>
    <w:rsid w:val="00C52A2D"/>
    <w:rsid w:val="00C533E0"/>
    <w:rsid w:val="00C60105"/>
    <w:rsid w:val="00C64C51"/>
    <w:rsid w:val="00C728EF"/>
    <w:rsid w:val="00C73695"/>
    <w:rsid w:val="00C81271"/>
    <w:rsid w:val="00C931BF"/>
    <w:rsid w:val="00C93996"/>
    <w:rsid w:val="00C95985"/>
    <w:rsid w:val="00C96D3A"/>
    <w:rsid w:val="00CA192C"/>
    <w:rsid w:val="00CA46AA"/>
    <w:rsid w:val="00CA52A3"/>
    <w:rsid w:val="00CA6688"/>
    <w:rsid w:val="00CA7B96"/>
    <w:rsid w:val="00CB0CC2"/>
    <w:rsid w:val="00CB6557"/>
    <w:rsid w:val="00CB76D4"/>
    <w:rsid w:val="00CC1B3D"/>
    <w:rsid w:val="00CC468B"/>
    <w:rsid w:val="00CC4AD2"/>
    <w:rsid w:val="00CD264E"/>
    <w:rsid w:val="00CD79DB"/>
    <w:rsid w:val="00CE0E9F"/>
    <w:rsid w:val="00CE53FA"/>
    <w:rsid w:val="00CE7317"/>
    <w:rsid w:val="00CF59BB"/>
    <w:rsid w:val="00D018C4"/>
    <w:rsid w:val="00D027A0"/>
    <w:rsid w:val="00D03DAF"/>
    <w:rsid w:val="00D04055"/>
    <w:rsid w:val="00D06126"/>
    <w:rsid w:val="00D072BA"/>
    <w:rsid w:val="00D1150A"/>
    <w:rsid w:val="00D13275"/>
    <w:rsid w:val="00D172BE"/>
    <w:rsid w:val="00D31406"/>
    <w:rsid w:val="00D325C1"/>
    <w:rsid w:val="00D33689"/>
    <w:rsid w:val="00D35119"/>
    <w:rsid w:val="00D51FEF"/>
    <w:rsid w:val="00D65901"/>
    <w:rsid w:val="00D714FD"/>
    <w:rsid w:val="00D7291E"/>
    <w:rsid w:val="00D74275"/>
    <w:rsid w:val="00D775F0"/>
    <w:rsid w:val="00D8008D"/>
    <w:rsid w:val="00D87BAF"/>
    <w:rsid w:val="00D939E2"/>
    <w:rsid w:val="00D9441D"/>
    <w:rsid w:val="00D945E5"/>
    <w:rsid w:val="00D954E5"/>
    <w:rsid w:val="00D95995"/>
    <w:rsid w:val="00DA1A08"/>
    <w:rsid w:val="00DA6BF1"/>
    <w:rsid w:val="00DB7D5F"/>
    <w:rsid w:val="00DC0D7F"/>
    <w:rsid w:val="00DC7F02"/>
    <w:rsid w:val="00DD17D1"/>
    <w:rsid w:val="00DD1863"/>
    <w:rsid w:val="00DD1C5D"/>
    <w:rsid w:val="00DD51A8"/>
    <w:rsid w:val="00DE6169"/>
    <w:rsid w:val="00DF5AF7"/>
    <w:rsid w:val="00DF6CF7"/>
    <w:rsid w:val="00DF6F31"/>
    <w:rsid w:val="00E0179F"/>
    <w:rsid w:val="00E06438"/>
    <w:rsid w:val="00E16AE1"/>
    <w:rsid w:val="00E2072B"/>
    <w:rsid w:val="00E243AA"/>
    <w:rsid w:val="00E3182F"/>
    <w:rsid w:val="00E321D2"/>
    <w:rsid w:val="00E36A25"/>
    <w:rsid w:val="00E40C55"/>
    <w:rsid w:val="00E41090"/>
    <w:rsid w:val="00E4322F"/>
    <w:rsid w:val="00E44C3D"/>
    <w:rsid w:val="00E474A4"/>
    <w:rsid w:val="00E50778"/>
    <w:rsid w:val="00E52E35"/>
    <w:rsid w:val="00E55FF3"/>
    <w:rsid w:val="00E56001"/>
    <w:rsid w:val="00E627CD"/>
    <w:rsid w:val="00E62DAC"/>
    <w:rsid w:val="00E67CA2"/>
    <w:rsid w:val="00E70519"/>
    <w:rsid w:val="00E73978"/>
    <w:rsid w:val="00E74363"/>
    <w:rsid w:val="00E75793"/>
    <w:rsid w:val="00E75BE6"/>
    <w:rsid w:val="00E77D06"/>
    <w:rsid w:val="00E77F05"/>
    <w:rsid w:val="00E80ADF"/>
    <w:rsid w:val="00E84508"/>
    <w:rsid w:val="00E85246"/>
    <w:rsid w:val="00E92601"/>
    <w:rsid w:val="00E95408"/>
    <w:rsid w:val="00EA092C"/>
    <w:rsid w:val="00EA0A34"/>
    <w:rsid w:val="00EA2F7F"/>
    <w:rsid w:val="00EB500D"/>
    <w:rsid w:val="00EC3AE9"/>
    <w:rsid w:val="00EC5D8A"/>
    <w:rsid w:val="00ED1C83"/>
    <w:rsid w:val="00ED686E"/>
    <w:rsid w:val="00EE16B8"/>
    <w:rsid w:val="00EE1CB3"/>
    <w:rsid w:val="00EE3055"/>
    <w:rsid w:val="00EE3188"/>
    <w:rsid w:val="00EE38B9"/>
    <w:rsid w:val="00EE4F34"/>
    <w:rsid w:val="00EE70BF"/>
    <w:rsid w:val="00EE7CAD"/>
    <w:rsid w:val="00EF322F"/>
    <w:rsid w:val="00EF61F7"/>
    <w:rsid w:val="00F076A3"/>
    <w:rsid w:val="00F1156D"/>
    <w:rsid w:val="00F121AF"/>
    <w:rsid w:val="00F163F0"/>
    <w:rsid w:val="00F236FB"/>
    <w:rsid w:val="00F26120"/>
    <w:rsid w:val="00F26EA2"/>
    <w:rsid w:val="00F329E1"/>
    <w:rsid w:val="00F40549"/>
    <w:rsid w:val="00F41902"/>
    <w:rsid w:val="00F423B5"/>
    <w:rsid w:val="00F44C35"/>
    <w:rsid w:val="00F45396"/>
    <w:rsid w:val="00F455E3"/>
    <w:rsid w:val="00F47744"/>
    <w:rsid w:val="00F47782"/>
    <w:rsid w:val="00F5593C"/>
    <w:rsid w:val="00F60C4E"/>
    <w:rsid w:val="00F62350"/>
    <w:rsid w:val="00F63E8D"/>
    <w:rsid w:val="00F63FFB"/>
    <w:rsid w:val="00F643B3"/>
    <w:rsid w:val="00F67414"/>
    <w:rsid w:val="00F72C2A"/>
    <w:rsid w:val="00F72DC8"/>
    <w:rsid w:val="00F761C5"/>
    <w:rsid w:val="00F841F5"/>
    <w:rsid w:val="00F90260"/>
    <w:rsid w:val="00F9165B"/>
    <w:rsid w:val="00F91BC3"/>
    <w:rsid w:val="00F93912"/>
    <w:rsid w:val="00F94DA4"/>
    <w:rsid w:val="00FA5A6A"/>
    <w:rsid w:val="00FA7501"/>
    <w:rsid w:val="00FB21EA"/>
    <w:rsid w:val="00FB4644"/>
    <w:rsid w:val="00FB6FC0"/>
    <w:rsid w:val="00FB7092"/>
    <w:rsid w:val="00FC1AB9"/>
    <w:rsid w:val="00FD291D"/>
    <w:rsid w:val="00FD2DC5"/>
    <w:rsid w:val="00FD5C11"/>
    <w:rsid w:val="00FD5FCA"/>
    <w:rsid w:val="00FD7B12"/>
    <w:rsid w:val="00FE2ADE"/>
    <w:rsid w:val="00FE48F6"/>
    <w:rsid w:val="00FE6F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2396D45"/>
  <w15:docId w15:val="{09DA531C-AB78-4164-B921-E61444BE58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9"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1090"/>
  </w:style>
  <w:style w:type="paragraph" w:styleId="Heading1">
    <w:name w:val="heading 1"/>
    <w:basedOn w:val="Normal"/>
    <w:next w:val="Normal"/>
    <w:link w:val="Heading1Char"/>
    <w:qFormat/>
    <w:pPr>
      <w:keepNext/>
      <w:outlineLvl w:val="0"/>
    </w:pPr>
    <w:rPr>
      <w:rFonts w:ascii="Arial" w:hAnsi="Arial"/>
      <w:i/>
      <w:sz w:val="24"/>
      <w:u w:val="single"/>
      <w:lang w:val="x-none" w:eastAsia="x-none"/>
    </w:rPr>
  </w:style>
  <w:style w:type="paragraph" w:styleId="Heading2">
    <w:name w:val="heading 2"/>
    <w:basedOn w:val="Normal"/>
    <w:next w:val="Normal"/>
    <w:link w:val="Heading2Char"/>
    <w:qFormat/>
    <w:pPr>
      <w:keepNext/>
      <w:outlineLvl w:val="1"/>
    </w:pPr>
    <w:rPr>
      <w:rFonts w:ascii="Arial" w:hAnsi="Arial"/>
      <w:sz w:val="24"/>
      <w:lang w:val="x-none" w:eastAsia="x-none"/>
    </w:rPr>
  </w:style>
  <w:style w:type="paragraph" w:styleId="Heading3">
    <w:name w:val="heading 3"/>
    <w:basedOn w:val="Normal"/>
    <w:next w:val="Normal"/>
    <w:qFormat/>
    <w:pPr>
      <w:keepNext/>
      <w:jc w:val="center"/>
      <w:outlineLvl w:val="2"/>
    </w:pPr>
    <w:rPr>
      <w:rFonts w:ascii="Arial" w:hAnsi="Arial"/>
      <w:sz w:val="24"/>
    </w:rPr>
  </w:style>
  <w:style w:type="paragraph" w:styleId="Heading4">
    <w:name w:val="heading 4"/>
    <w:basedOn w:val="Normal"/>
    <w:next w:val="Normal"/>
    <w:qFormat/>
    <w:pPr>
      <w:keepNext/>
      <w:jc w:val="right"/>
      <w:outlineLvl w:val="3"/>
    </w:pPr>
    <w:rPr>
      <w:rFonts w:ascii="Arial" w:hAnsi="Arial"/>
      <w:sz w:val="24"/>
    </w:rPr>
  </w:style>
  <w:style w:type="paragraph" w:styleId="Heading5">
    <w:name w:val="heading 5"/>
    <w:basedOn w:val="Normal"/>
    <w:next w:val="Normal"/>
    <w:qFormat/>
    <w:pPr>
      <w:keepNext/>
      <w:ind w:left="540" w:hanging="540"/>
      <w:outlineLvl w:val="4"/>
    </w:pPr>
    <w:rPr>
      <w:rFonts w:ascii="Arial" w:hAnsi="Arial"/>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BodyTextIndent">
    <w:name w:val="Body Text Indent"/>
    <w:basedOn w:val="Normal"/>
    <w:pPr>
      <w:ind w:left="540"/>
    </w:pPr>
    <w:rPr>
      <w:rFonts w:ascii="Arial" w:hAnsi="Arial"/>
      <w:sz w:val="24"/>
    </w:rPr>
  </w:style>
  <w:style w:type="character" w:styleId="PageNumber">
    <w:name w:val="page number"/>
    <w:basedOn w:val="DefaultParagraphFont"/>
  </w:style>
  <w:style w:type="paragraph" w:styleId="BodyTextIndent2">
    <w:name w:val="Body Text Indent 2"/>
    <w:basedOn w:val="Normal"/>
    <w:pPr>
      <w:ind w:left="720" w:hanging="720"/>
    </w:pPr>
    <w:rPr>
      <w:rFonts w:ascii="Arial" w:hAnsi="Arial"/>
      <w:sz w:val="24"/>
    </w:rPr>
  </w:style>
  <w:style w:type="paragraph" w:styleId="BalloonText">
    <w:name w:val="Balloon Text"/>
    <w:basedOn w:val="Normal"/>
    <w:semiHidden/>
    <w:rsid w:val="00C23F3E"/>
    <w:rPr>
      <w:rFonts w:ascii="Tahoma" w:hAnsi="Tahoma" w:cs="Tahoma"/>
      <w:sz w:val="16"/>
      <w:szCs w:val="16"/>
    </w:rPr>
  </w:style>
  <w:style w:type="paragraph" w:customStyle="1" w:styleId="ExhibitListing">
    <w:name w:val="Exhibit Listing"/>
    <w:basedOn w:val="Normal"/>
    <w:next w:val="Normal"/>
    <w:link w:val="ExhibitListingChar"/>
    <w:rsid w:val="00B735CB"/>
    <w:pPr>
      <w:widowControl w:val="0"/>
      <w:numPr>
        <w:numId w:val="4"/>
      </w:numPr>
      <w:adjustRightInd w:val="0"/>
      <w:spacing w:line="360" w:lineRule="atLeast"/>
      <w:ind w:right="-144"/>
      <w:textAlignment w:val="baseline"/>
    </w:pPr>
    <w:rPr>
      <w:sz w:val="24"/>
    </w:rPr>
  </w:style>
  <w:style w:type="character" w:customStyle="1" w:styleId="ExhibitListingChar">
    <w:name w:val="Exhibit Listing Char"/>
    <w:link w:val="ExhibitListing"/>
    <w:rsid w:val="00B735CB"/>
    <w:rPr>
      <w:sz w:val="24"/>
      <w:lang w:val="en-US" w:eastAsia="en-US" w:bidi="ar-SA"/>
    </w:rPr>
  </w:style>
  <w:style w:type="paragraph" w:styleId="Title">
    <w:name w:val="Title"/>
    <w:basedOn w:val="Normal"/>
    <w:link w:val="TitleChar"/>
    <w:qFormat/>
    <w:rsid w:val="001C7545"/>
    <w:pPr>
      <w:pBdr>
        <w:bottom w:val="single" w:sz="4" w:space="1" w:color="auto"/>
      </w:pBdr>
      <w:jc w:val="center"/>
    </w:pPr>
    <w:rPr>
      <w:b/>
    </w:rPr>
  </w:style>
  <w:style w:type="character" w:customStyle="1" w:styleId="TitleChar">
    <w:name w:val="Title Char"/>
    <w:link w:val="Title"/>
    <w:rsid w:val="001C7545"/>
    <w:rPr>
      <w:b/>
    </w:rPr>
  </w:style>
  <w:style w:type="paragraph" w:styleId="CommentText">
    <w:name w:val="annotation text"/>
    <w:basedOn w:val="Normal"/>
    <w:link w:val="CommentTextChar"/>
    <w:rsid w:val="001C7545"/>
    <w:pPr>
      <w:widowControl w:val="0"/>
      <w:adjustRightInd w:val="0"/>
      <w:spacing w:line="360" w:lineRule="atLeast"/>
      <w:jc w:val="both"/>
      <w:textAlignment w:val="baseline"/>
    </w:pPr>
    <w:rPr>
      <w:rFonts w:ascii="Courier New" w:hAnsi="Courier New"/>
    </w:rPr>
  </w:style>
  <w:style w:type="character" w:customStyle="1" w:styleId="CommentTextChar">
    <w:name w:val="Comment Text Char"/>
    <w:link w:val="CommentText"/>
    <w:rsid w:val="001C7545"/>
    <w:rPr>
      <w:rFonts w:ascii="Courier New" w:hAnsi="Courier New"/>
    </w:rPr>
  </w:style>
  <w:style w:type="character" w:styleId="CommentReference">
    <w:name w:val="annotation reference"/>
    <w:semiHidden/>
    <w:rsid w:val="001C7545"/>
    <w:rPr>
      <w:sz w:val="16"/>
    </w:rPr>
  </w:style>
  <w:style w:type="paragraph" w:customStyle="1" w:styleId="Address">
    <w:name w:val="Address"/>
    <w:basedOn w:val="Normal"/>
    <w:rsid w:val="001C7545"/>
    <w:pPr>
      <w:spacing w:line="210" w:lineRule="exact"/>
    </w:pPr>
    <w:rPr>
      <w:sz w:val="17"/>
      <w:szCs w:val="17"/>
    </w:rPr>
  </w:style>
  <w:style w:type="character" w:customStyle="1" w:styleId="HeaderChar">
    <w:name w:val="Header Char"/>
    <w:basedOn w:val="DefaultParagraphFont"/>
    <w:link w:val="Header"/>
    <w:uiPriority w:val="99"/>
    <w:locked/>
    <w:rsid w:val="001C7545"/>
  </w:style>
  <w:style w:type="character" w:customStyle="1" w:styleId="FooterChar">
    <w:name w:val="Footer Char"/>
    <w:basedOn w:val="DefaultParagraphFont"/>
    <w:link w:val="Footer"/>
    <w:uiPriority w:val="99"/>
    <w:rsid w:val="001C7545"/>
  </w:style>
  <w:style w:type="character" w:customStyle="1" w:styleId="Heading1Char">
    <w:name w:val="Heading 1 Char"/>
    <w:link w:val="Heading1"/>
    <w:rsid w:val="00E2072B"/>
    <w:rPr>
      <w:rFonts w:ascii="Arial" w:hAnsi="Arial"/>
      <w:i/>
      <w:sz w:val="24"/>
      <w:u w:val="single"/>
    </w:rPr>
  </w:style>
  <w:style w:type="paragraph" w:styleId="NormalWeb">
    <w:name w:val="Normal (Web)"/>
    <w:basedOn w:val="Normal"/>
    <w:rsid w:val="005F6877"/>
    <w:pPr>
      <w:spacing w:before="100" w:beforeAutospacing="1" w:after="100" w:afterAutospacing="1"/>
    </w:pPr>
    <w:rPr>
      <w:color w:val="000000"/>
      <w:sz w:val="24"/>
      <w:szCs w:val="24"/>
    </w:rPr>
  </w:style>
  <w:style w:type="character" w:customStyle="1" w:styleId="Heading2Char">
    <w:name w:val="Heading 2 Char"/>
    <w:link w:val="Heading2"/>
    <w:rsid w:val="0032362F"/>
    <w:rPr>
      <w:rFonts w:ascii="Arial" w:hAnsi="Arial"/>
      <w:sz w:val="24"/>
    </w:rPr>
  </w:style>
  <w:style w:type="character" w:styleId="Emphasis">
    <w:name w:val="Emphasis"/>
    <w:qFormat/>
    <w:rsid w:val="0032362F"/>
    <w:rPr>
      <w:i/>
      <w:iCs/>
    </w:rPr>
  </w:style>
  <w:style w:type="paragraph" w:styleId="ListParagraph">
    <w:name w:val="List Paragraph"/>
    <w:basedOn w:val="Normal"/>
    <w:uiPriority w:val="34"/>
    <w:qFormat/>
    <w:rsid w:val="0012216A"/>
    <w:pPr>
      <w:ind w:left="720"/>
    </w:pPr>
  </w:style>
  <w:style w:type="paragraph" w:styleId="BodyText">
    <w:name w:val="Body Text"/>
    <w:basedOn w:val="Normal"/>
    <w:link w:val="BodyTextChar"/>
    <w:uiPriority w:val="99"/>
    <w:semiHidden/>
    <w:unhideWhenUsed/>
    <w:rsid w:val="007A0EB4"/>
    <w:pPr>
      <w:spacing w:after="120"/>
    </w:pPr>
  </w:style>
  <w:style w:type="character" w:customStyle="1" w:styleId="BodyTextChar">
    <w:name w:val="Body Text Char"/>
    <w:basedOn w:val="DefaultParagraphFont"/>
    <w:link w:val="BodyText"/>
    <w:uiPriority w:val="99"/>
    <w:semiHidden/>
    <w:rsid w:val="007A0EB4"/>
  </w:style>
  <w:style w:type="paragraph" w:styleId="FootnoteText">
    <w:name w:val="footnote text"/>
    <w:basedOn w:val="Normal"/>
    <w:link w:val="FootnoteTextChar"/>
    <w:uiPriority w:val="99"/>
    <w:semiHidden/>
    <w:unhideWhenUsed/>
    <w:rsid w:val="00E243AA"/>
  </w:style>
  <w:style w:type="character" w:customStyle="1" w:styleId="FootnoteTextChar">
    <w:name w:val="Footnote Text Char"/>
    <w:basedOn w:val="DefaultParagraphFont"/>
    <w:link w:val="FootnoteText"/>
    <w:uiPriority w:val="99"/>
    <w:semiHidden/>
    <w:rsid w:val="00E243AA"/>
  </w:style>
  <w:style w:type="character" w:styleId="FootnoteReference">
    <w:name w:val="footnote reference"/>
    <w:semiHidden/>
    <w:unhideWhenUsed/>
    <w:rsid w:val="00E243AA"/>
    <w:rPr>
      <w:vertAlign w:val="superscript"/>
    </w:rPr>
  </w:style>
  <w:style w:type="paragraph" w:customStyle="1" w:styleId="WP9BodyTex">
    <w:name w:val="WP9_Body Tex"/>
    <w:basedOn w:val="Normal"/>
    <w:rsid w:val="005C28D4"/>
    <w:pPr>
      <w:widowControl w:val="0"/>
      <w:spacing w:line="480" w:lineRule="auto"/>
    </w:pPr>
    <w:rPr>
      <w:sz w:val="24"/>
    </w:rPr>
  </w:style>
  <w:style w:type="table" w:styleId="TableGrid">
    <w:name w:val="Table Grid"/>
    <w:basedOn w:val="TableNormal"/>
    <w:uiPriority w:val="59"/>
    <w:rsid w:val="00D8008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0102913">
      <w:bodyDiv w:val="1"/>
      <w:marLeft w:val="0"/>
      <w:marRight w:val="0"/>
      <w:marTop w:val="0"/>
      <w:marBottom w:val="0"/>
      <w:divBdr>
        <w:top w:val="none" w:sz="0" w:space="0" w:color="auto"/>
        <w:left w:val="none" w:sz="0" w:space="0" w:color="auto"/>
        <w:bottom w:val="none" w:sz="0" w:space="0" w:color="auto"/>
        <w:right w:val="none" w:sz="0" w:space="0" w:color="auto"/>
      </w:divBdr>
    </w:div>
    <w:div w:id="188570449">
      <w:bodyDiv w:val="1"/>
      <w:marLeft w:val="0"/>
      <w:marRight w:val="0"/>
      <w:marTop w:val="0"/>
      <w:marBottom w:val="0"/>
      <w:divBdr>
        <w:top w:val="none" w:sz="0" w:space="0" w:color="auto"/>
        <w:left w:val="none" w:sz="0" w:space="0" w:color="auto"/>
        <w:bottom w:val="none" w:sz="0" w:space="0" w:color="auto"/>
        <w:right w:val="none" w:sz="0" w:space="0" w:color="auto"/>
      </w:divBdr>
    </w:div>
    <w:div w:id="573668228">
      <w:bodyDiv w:val="1"/>
      <w:marLeft w:val="0"/>
      <w:marRight w:val="0"/>
      <w:marTop w:val="0"/>
      <w:marBottom w:val="0"/>
      <w:divBdr>
        <w:top w:val="none" w:sz="0" w:space="0" w:color="auto"/>
        <w:left w:val="none" w:sz="0" w:space="0" w:color="auto"/>
        <w:bottom w:val="none" w:sz="0" w:space="0" w:color="auto"/>
        <w:right w:val="none" w:sz="0" w:space="0" w:color="auto"/>
      </w:divBdr>
    </w:div>
    <w:div w:id="810826397">
      <w:bodyDiv w:val="1"/>
      <w:marLeft w:val="0"/>
      <w:marRight w:val="0"/>
      <w:marTop w:val="0"/>
      <w:marBottom w:val="0"/>
      <w:divBdr>
        <w:top w:val="none" w:sz="0" w:space="0" w:color="auto"/>
        <w:left w:val="none" w:sz="0" w:space="0" w:color="auto"/>
        <w:bottom w:val="none" w:sz="0" w:space="0" w:color="auto"/>
        <w:right w:val="none" w:sz="0" w:space="0" w:color="auto"/>
      </w:divBdr>
    </w:div>
    <w:div w:id="1209339366">
      <w:bodyDiv w:val="1"/>
      <w:marLeft w:val="0"/>
      <w:marRight w:val="0"/>
      <w:marTop w:val="0"/>
      <w:marBottom w:val="0"/>
      <w:divBdr>
        <w:top w:val="none" w:sz="0" w:space="0" w:color="auto"/>
        <w:left w:val="none" w:sz="0" w:space="0" w:color="auto"/>
        <w:bottom w:val="none" w:sz="0" w:space="0" w:color="auto"/>
        <w:right w:val="none" w:sz="0" w:space="0" w:color="auto"/>
      </w:divBdr>
    </w:div>
    <w:div w:id="1780025727">
      <w:bodyDiv w:val="1"/>
      <w:marLeft w:val="0"/>
      <w:marRight w:val="0"/>
      <w:marTop w:val="0"/>
      <w:marBottom w:val="0"/>
      <w:divBdr>
        <w:top w:val="none" w:sz="0" w:space="0" w:color="auto"/>
        <w:left w:val="none" w:sz="0" w:space="0" w:color="auto"/>
        <w:bottom w:val="none" w:sz="0" w:space="0" w:color="auto"/>
        <w:right w:val="none" w:sz="0" w:space="0" w:color="auto"/>
      </w:divBdr>
    </w:div>
    <w:div w:id="1911114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5EE7A9-5B63-43D6-BF3D-537ED531F9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23</Pages>
  <Words>5058</Words>
  <Characters>28834</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BEFORE THE INTERMEDIARY HEARING OFFICER</vt:lpstr>
    </vt:vector>
  </TitlesOfParts>
  <Company>AdminaStar Federal</Company>
  <LinksUpToDate>false</LinksUpToDate>
  <CharactersWithSpaces>33825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BEFORE THE INTERMEDIARY HEARING OFFICER</dc:title>
  <dc:creator>Stacey Hayes</dc:creator>
  <cp:lastModifiedBy>Jonah Smith</cp:lastModifiedBy>
  <cp:revision>3</cp:revision>
  <cp:lastPrinted>2021-02-01T15:45:00Z</cp:lastPrinted>
  <dcterms:created xsi:type="dcterms:W3CDTF">2024-07-01T12:07:00Z</dcterms:created>
  <dcterms:modified xsi:type="dcterms:W3CDTF">2024-07-01T12:09:00Z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