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6A72" w14:textId="6825C420" w:rsidR="00490233" w:rsidRPr="00485169" w:rsidRDefault="00490233" w:rsidP="00490233">
      <w:pPr>
        <w:pStyle w:val="Default"/>
      </w:pPr>
      <w:r w:rsidRPr="00485169">
        <w:t>This Provider disputes the audit adjustment removing the statistics from the Organ Acquisition cost centers on Worksheet B-1. The overarching principle that governs reimbursement for organ acquisition costs is set forth at 42 U.S.C. 1395x(v)(1)(a), which states that hospitals are to be reimbursed under a reasonable cost methodology that “take[s] into account both direct and indirect costs of providers of services . . . in order that, under the methods of determining costs, the necessary costs of efficiently delivering covered services to individuals covered by the insurance programs established by this title will not be borne by individuals not so covered, and the costs with respect to individuals not so covered will not be borne by such insurance programs.” Although plant, property, and equipment indisputably qualify as indirect, but necessary, costs for the delivery of care, the MAC’s adjustments result in a lack of any allocation of these costs to the organ acquisition cost centers. Medicare thus is not bearing its fair share of the Provider’s organ acquisition costs, in violation of the statute.</w:t>
      </w:r>
    </w:p>
    <w:p w14:paraId="5FC68568" w14:textId="77777777" w:rsidR="00490233" w:rsidRPr="00485169" w:rsidRDefault="00490233" w:rsidP="00490233">
      <w:pPr>
        <w:pStyle w:val="Default"/>
      </w:pPr>
    </w:p>
    <w:p w14:paraId="5DF8D97F" w14:textId="77777777" w:rsidR="00490233" w:rsidRDefault="00490233" w:rsidP="00490233">
      <w:pPr>
        <w:pStyle w:val="Default"/>
      </w:pPr>
      <w:r w:rsidRPr="00485169">
        <w:t>The MAC’s workpapers cite as the basis for the adjustment that the direct costing provisions of Section 2307 of the Provider Reimbursement Manual, Part I have not been followed. However, the requirements pertaining to direct assignment of costs are inapplicable to the costs at issue. That same Manual section also states: “Indirectly allocable supervision costs, other indirectly allocable costs (hereinafter, residual costs) and costs allocated from previously allocated general service cost centers (hereinafter, overhead costs) must not be directly assigned to the using cost centers, but must be allocated through cost finding.” The Provider did not improperly attempt to use a direct cost assignment. Rather it properly used a cost finding methodology, as required by the Manual. This involved the use of square feet as a statistical surrogate, as required by Section 2302.4 of the Manual. The Provider thus followed the correct process for allocating costs that, by statute, it was entitled to claim. The MAC’s adjustments, which remove these costs in their entirety, must be reversed.</w:t>
      </w:r>
    </w:p>
    <w:p w14:paraId="2EBCBA80" w14:textId="77777777" w:rsidR="003C474F" w:rsidRDefault="003C474F" w:rsidP="00490233">
      <w:pPr>
        <w:pStyle w:val="Default"/>
      </w:pPr>
    </w:p>
    <w:p w14:paraId="194B806B" w14:textId="77777777" w:rsidR="003C474F" w:rsidRDefault="003C474F" w:rsidP="003C474F">
      <w:pPr>
        <w:rPr>
          <w:rFonts w:ascii="Times New Roman" w:hAnsi="Times New Roman"/>
          <w:iCs/>
          <w:sz w:val="24"/>
          <w:szCs w:val="24"/>
        </w:rPr>
      </w:pPr>
      <w:r w:rsidRPr="00B77B69">
        <w:rPr>
          <w:rFonts w:ascii="Times New Roman" w:hAnsi="Times New Roman"/>
          <w:iCs/>
          <w:sz w:val="24"/>
          <w:szCs w:val="24"/>
        </w:rPr>
        <w:t>Did the MAC properly determine the Provider’s organ acquisition costs? Section 1861(v)(1)(A) of the Social Security Act, 42 C.F.R. § 413.24(d)(1) (adjustment 3)</w:t>
      </w:r>
    </w:p>
    <w:p w14:paraId="008A3A07" w14:textId="77777777" w:rsidR="003C474F" w:rsidRPr="00485169" w:rsidRDefault="003C474F" w:rsidP="00490233">
      <w:pPr>
        <w:pStyle w:val="Default"/>
        <w:rPr>
          <w:color w:val="FF0000"/>
        </w:rPr>
      </w:pPr>
    </w:p>
    <w:p w14:paraId="51E0D803" w14:textId="77777777" w:rsidR="00B66AEC" w:rsidRPr="00485169" w:rsidRDefault="00B66AEC">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39CBD125" w14:textId="77777777" w:rsidR="00B66AEC" w:rsidRDefault="00B66AEC" w:rsidP="004212F0">
      <w:pPr>
        <w:numPr>
          <w:ilvl w:val="0"/>
          <w:numId w:val="4"/>
        </w:num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r w:rsidRPr="004212F0">
        <w:rPr>
          <w:rFonts w:ascii="Times New Roman" w:hAnsi="Times New Roman"/>
          <w:b/>
          <w:bCs/>
          <w:sz w:val="24"/>
          <w:szCs w:val="24"/>
        </w:rPr>
        <w:t>Facts</w:t>
      </w:r>
    </w:p>
    <w:p w14:paraId="5B234684" w14:textId="77777777" w:rsidR="001C234E" w:rsidRPr="004212F0" w:rsidRDefault="001C234E" w:rsidP="001C234E">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b/>
          <w:bCs/>
          <w:sz w:val="24"/>
          <w:szCs w:val="24"/>
        </w:rPr>
      </w:pPr>
    </w:p>
    <w:p w14:paraId="73551A21" w14:textId="77777777" w:rsidR="00B66AEC" w:rsidRDefault="00105EE1" w:rsidP="007520A9">
      <w:pPr>
        <w:spacing w:line="480" w:lineRule="auto"/>
        <w:rPr>
          <w:rFonts w:ascii="Times New Roman" w:hAnsi="Times New Roman"/>
          <w:sz w:val="24"/>
          <w:szCs w:val="24"/>
        </w:rPr>
      </w:pPr>
      <w:r>
        <w:rPr>
          <w:rFonts w:ascii="Times New Roman" w:hAnsi="Times New Roman"/>
          <w:sz w:val="24"/>
          <w:szCs w:val="24"/>
        </w:rPr>
        <w:t>The Provider is a tertiary-care, academic medical center in Nashville, Tennessee.</w:t>
      </w:r>
      <w:r w:rsidR="000B2580">
        <w:rPr>
          <w:rFonts w:ascii="Times New Roman" w:hAnsi="Times New Roman"/>
          <w:sz w:val="24"/>
          <w:szCs w:val="24"/>
        </w:rPr>
        <w:t xml:space="preserve">  In 2015, the Provider states they excised and transplanted 680 organs, comprised of kidney, heart, liver, lung and pancreas transplants.</w:t>
      </w:r>
      <w:bookmarkStart w:id="0" w:name="_Hlk94799183"/>
      <w:r w:rsidR="00E6111D">
        <w:rPr>
          <w:rFonts w:ascii="Times New Roman" w:hAnsi="Times New Roman"/>
          <w:sz w:val="24"/>
          <w:szCs w:val="24"/>
        </w:rPr>
        <w:t xml:space="preserve">  </w:t>
      </w:r>
      <w:r w:rsidR="005A5856" w:rsidRPr="00D91262">
        <w:rPr>
          <w:rFonts w:ascii="Times New Roman" w:hAnsi="Times New Roman"/>
          <w:sz w:val="24"/>
          <w:szCs w:val="24"/>
        </w:rPr>
        <w:t xml:space="preserve">This Provider </w:t>
      </w:r>
      <w:r w:rsidR="00D91262">
        <w:rPr>
          <w:rFonts w:ascii="Times New Roman" w:hAnsi="Times New Roman"/>
          <w:sz w:val="24"/>
          <w:szCs w:val="24"/>
        </w:rPr>
        <w:t xml:space="preserve">is a Medicare Certified Transplant Center </w:t>
      </w:r>
      <w:r w:rsidR="00105652">
        <w:rPr>
          <w:rFonts w:ascii="Times New Roman" w:hAnsi="Times New Roman"/>
          <w:sz w:val="24"/>
          <w:szCs w:val="24"/>
        </w:rPr>
        <w:t xml:space="preserve">which </w:t>
      </w:r>
      <w:r w:rsidR="005A5856" w:rsidRPr="00D91262">
        <w:rPr>
          <w:rFonts w:ascii="Times New Roman" w:hAnsi="Times New Roman"/>
          <w:sz w:val="24"/>
          <w:szCs w:val="24"/>
        </w:rPr>
        <w:t>allows them to file for costs to be covered by Medicare for providing these services.</w:t>
      </w:r>
      <w:r w:rsidR="005A5856">
        <w:rPr>
          <w:rFonts w:ascii="Times New Roman" w:hAnsi="Times New Roman"/>
          <w:sz w:val="24"/>
          <w:szCs w:val="24"/>
        </w:rPr>
        <w:t xml:space="preserve">  </w:t>
      </w:r>
      <w:r w:rsidR="0011440F">
        <w:rPr>
          <w:rFonts w:ascii="Times New Roman" w:hAnsi="Times New Roman"/>
          <w:sz w:val="24"/>
          <w:szCs w:val="24"/>
        </w:rPr>
        <w:t xml:space="preserve">In the Provider’s paper, the Provider explains </w:t>
      </w:r>
      <w:r w:rsidR="004E0E74">
        <w:rPr>
          <w:rFonts w:ascii="Times New Roman" w:hAnsi="Times New Roman"/>
          <w:sz w:val="24"/>
          <w:szCs w:val="24"/>
        </w:rPr>
        <w:lastRenderedPageBreak/>
        <w:t xml:space="preserve">in detail its methodology </w:t>
      </w:r>
      <w:r w:rsidR="009009E9">
        <w:rPr>
          <w:rFonts w:ascii="Times New Roman" w:hAnsi="Times New Roman"/>
          <w:sz w:val="24"/>
          <w:szCs w:val="24"/>
        </w:rPr>
        <w:t xml:space="preserve">to </w:t>
      </w:r>
      <w:r w:rsidR="00680EFA">
        <w:rPr>
          <w:rFonts w:ascii="Times New Roman" w:hAnsi="Times New Roman"/>
          <w:sz w:val="24"/>
          <w:szCs w:val="24"/>
        </w:rPr>
        <w:t>“</w:t>
      </w:r>
      <w:r w:rsidR="009009E9">
        <w:rPr>
          <w:rFonts w:ascii="Times New Roman" w:hAnsi="Times New Roman"/>
          <w:sz w:val="24"/>
          <w:szCs w:val="24"/>
        </w:rPr>
        <w:t>create</w:t>
      </w:r>
      <w:r w:rsidR="00680EFA">
        <w:rPr>
          <w:rFonts w:ascii="Times New Roman" w:hAnsi="Times New Roman"/>
          <w:sz w:val="24"/>
          <w:szCs w:val="24"/>
        </w:rPr>
        <w:t>”</w:t>
      </w:r>
      <w:r w:rsidR="009009E9">
        <w:rPr>
          <w:rFonts w:ascii="Times New Roman" w:hAnsi="Times New Roman"/>
          <w:sz w:val="24"/>
          <w:szCs w:val="24"/>
        </w:rPr>
        <w:t xml:space="preserve"> statistics to allocate </w:t>
      </w:r>
      <w:r w:rsidR="00D01344">
        <w:rPr>
          <w:rFonts w:ascii="Times New Roman" w:hAnsi="Times New Roman"/>
          <w:sz w:val="24"/>
          <w:szCs w:val="24"/>
        </w:rPr>
        <w:t>certain</w:t>
      </w:r>
      <w:r w:rsidR="004E0E74">
        <w:rPr>
          <w:rFonts w:ascii="Times New Roman" w:hAnsi="Times New Roman"/>
          <w:sz w:val="24"/>
          <w:szCs w:val="24"/>
        </w:rPr>
        <w:t xml:space="preserve"> overhead costs </w:t>
      </w:r>
      <w:r w:rsidR="00CB4859">
        <w:rPr>
          <w:rFonts w:ascii="Times New Roman" w:hAnsi="Times New Roman"/>
          <w:sz w:val="24"/>
          <w:szCs w:val="24"/>
        </w:rPr>
        <w:t xml:space="preserve">for services to pre-transplant patients.  These costs include </w:t>
      </w:r>
      <w:bookmarkStart w:id="1" w:name="_Hlk146034099"/>
      <w:r w:rsidR="004E0E74">
        <w:rPr>
          <w:rFonts w:ascii="Times New Roman" w:hAnsi="Times New Roman"/>
          <w:sz w:val="24"/>
          <w:szCs w:val="24"/>
        </w:rPr>
        <w:t xml:space="preserve">Building </w:t>
      </w:r>
      <w:r w:rsidR="00A97783">
        <w:rPr>
          <w:rFonts w:ascii="Times New Roman" w:hAnsi="Times New Roman"/>
          <w:sz w:val="24"/>
          <w:szCs w:val="24"/>
        </w:rPr>
        <w:t>and</w:t>
      </w:r>
      <w:r w:rsidR="004E0E74">
        <w:rPr>
          <w:rFonts w:ascii="Times New Roman" w:hAnsi="Times New Roman"/>
          <w:sz w:val="24"/>
          <w:szCs w:val="24"/>
        </w:rPr>
        <w:t xml:space="preserve"> Fixtures, Major Moveable Equipment and Maintenance </w:t>
      </w:r>
      <w:r w:rsidR="00A97783">
        <w:rPr>
          <w:rFonts w:ascii="Times New Roman" w:hAnsi="Times New Roman"/>
          <w:sz w:val="24"/>
          <w:szCs w:val="24"/>
        </w:rPr>
        <w:t>and</w:t>
      </w:r>
      <w:r w:rsidR="004E0E74">
        <w:rPr>
          <w:rFonts w:ascii="Times New Roman" w:hAnsi="Times New Roman"/>
          <w:sz w:val="24"/>
          <w:szCs w:val="24"/>
        </w:rPr>
        <w:t xml:space="preserve"> Repair</w:t>
      </w:r>
      <w:bookmarkEnd w:id="1"/>
      <w:r w:rsidR="004E0E74">
        <w:rPr>
          <w:rFonts w:ascii="Times New Roman" w:hAnsi="Times New Roman"/>
          <w:sz w:val="24"/>
          <w:szCs w:val="24"/>
        </w:rPr>
        <w:t xml:space="preserve"> costs related to the organ acquisition cost centers reported on the cost report</w:t>
      </w:r>
      <w:r w:rsidR="004E0E74" w:rsidRPr="00D46337">
        <w:rPr>
          <w:rFonts w:ascii="Times New Roman" w:hAnsi="Times New Roman"/>
          <w:sz w:val="24"/>
          <w:szCs w:val="24"/>
        </w:rPr>
        <w:t xml:space="preserve">. </w:t>
      </w:r>
      <w:r w:rsidR="00ED4E00">
        <w:rPr>
          <w:rFonts w:ascii="Times New Roman" w:hAnsi="Times New Roman"/>
          <w:sz w:val="24"/>
          <w:szCs w:val="24"/>
        </w:rPr>
        <w:t xml:space="preserve">Since </w:t>
      </w:r>
      <w:r w:rsidR="000E1F14" w:rsidRPr="00D46337">
        <w:rPr>
          <w:rFonts w:ascii="Times New Roman" w:hAnsi="Times New Roman"/>
          <w:sz w:val="24"/>
          <w:szCs w:val="24"/>
        </w:rPr>
        <w:t xml:space="preserve">the </w:t>
      </w:r>
      <w:r w:rsidR="00A01BC7" w:rsidRPr="002875D6">
        <w:rPr>
          <w:rFonts w:ascii="Times New Roman" w:hAnsi="Times New Roman"/>
          <w:sz w:val="24"/>
          <w:szCs w:val="24"/>
        </w:rPr>
        <w:t>organ acquisition cost centers have no dedicated space or equipment</w:t>
      </w:r>
      <w:r w:rsidR="00D46337" w:rsidRPr="002875D6">
        <w:rPr>
          <w:rFonts w:ascii="Times New Roman" w:hAnsi="Times New Roman"/>
          <w:sz w:val="24"/>
          <w:szCs w:val="24"/>
        </w:rPr>
        <w:t xml:space="preserve"> to allocate these costs through the normal statistical allocation on Worksheet B-1</w:t>
      </w:r>
      <w:r w:rsidR="00A01BC7" w:rsidRPr="002875D6">
        <w:rPr>
          <w:rFonts w:ascii="Times New Roman" w:hAnsi="Times New Roman"/>
          <w:sz w:val="24"/>
          <w:szCs w:val="24"/>
        </w:rPr>
        <w:t xml:space="preserve">, the </w:t>
      </w:r>
      <w:r w:rsidR="000E1F14" w:rsidRPr="00D46337">
        <w:rPr>
          <w:rFonts w:ascii="Times New Roman" w:hAnsi="Times New Roman"/>
          <w:sz w:val="24"/>
          <w:szCs w:val="24"/>
        </w:rPr>
        <w:t xml:space="preserve">Provider </w:t>
      </w:r>
      <w:r w:rsidR="000E1F14" w:rsidRPr="00E63788">
        <w:rPr>
          <w:rFonts w:ascii="Times New Roman" w:hAnsi="Times New Roman"/>
          <w:sz w:val="24"/>
          <w:szCs w:val="24"/>
        </w:rPr>
        <w:t xml:space="preserve">used employee surveys to </w:t>
      </w:r>
      <w:r w:rsidR="00105652">
        <w:rPr>
          <w:rFonts w:ascii="Times New Roman" w:hAnsi="Times New Roman"/>
          <w:sz w:val="24"/>
          <w:szCs w:val="24"/>
        </w:rPr>
        <w:t>estimate</w:t>
      </w:r>
      <w:r w:rsidR="000E1F14" w:rsidRPr="00E63788">
        <w:rPr>
          <w:rFonts w:ascii="Times New Roman" w:hAnsi="Times New Roman"/>
          <w:sz w:val="24"/>
          <w:szCs w:val="24"/>
        </w:rPr>
        <w:t xml:space="preserve"> the percentage of time spent on pre-transplant activities versus post-transplant activities</w:t>
      </w:r>
      <w:r w:rsidR="00A95C33">
        <w:rPr>
          <w:rFonts w:ascii="Times New Roman" w:hAnsi="Times New Roman"/>
          <w:sz w:val="24"/>
          <w:szCs w:val="24"/>
        </w:rPr>
        <w:t xml:space="preserve"> and applied the </w:t>
      </w:r>
      <w:r w:rsidR="006E1D40">
        <w:rPr>
          <w:rFonts w:ascii="Times New Roman" w:hAnsi="Times New Roman"/>
          <w:sz w:val="24"/>
          <w:szCs w:val="24"/>
        </w:rPr>
        <w:t xml:space="preserve">pre-transplant </w:t>
      </w:r>
      <w:r w:rsidR="00A95C33">
        <w:rPr>
          <w:rFonts w:ascii="Times New Roman" w:hAnsi="Times New Roman"/>
          <w:sz w:val="24"/>
          <w:szCs w:val="24"/>
        </w:rPr>
        <w:t xml:space="preserve">percentage to the </w:t>
      </w:r>
      <w:r w:rsidR="006E1D40">
        <w:rPr>
          <w:rFonts w:ascii="Times New Roman" w:hAnsi="Times New Roman"/>
          <w:sz w:val="24"/>
          <w:szCs w:val="24"/>
        </w:rPr>
        <w:t>total square footage of identified areas</w:t>
      </w:r>
      <w:r w:rsidR="009009E9">
        <w:rPr>
          <w:rFonts w:ascii="Times New Roman" w:hAnsi="Times New Roman"/>
          <w:sz w:val="24"/>
          <w:szCs w:val="24"/>
        </w:rPr>
        <w:t xml:space="preserve"> involved in services to pre-transplant patients</w:t>
      </w:r>
      <w:r w:rsidR="006E1D40">
        <w:rPr>
          <w:rFonts w:ascii="Times New Roman" w:hAnsi="Times New Roman"/>
          <w:sz w:val="24"/>
          <w:szCs w:val="24"/>
        </w:rPr>
        <w:t xml:space="preserve">. The calculated </w:t>
      </w:r>
      <w:r w:rsidR="00ED4E00">
        <w:rPr>
          <w:rFonts w:ascii="Times New Roman" w:hAnsi="Times New Roman"/>
          <w:sz w:val="24"/>
          <w:szCs w:val="24"/>
        </w:rPr>
        <w:t xml:space="preserve">pre-transplant </w:t>
      </w:r>
      <w:r w:rsidR="006E1D40">
        <w:rPr>
          <w:rFonts w:ascii="Times New Roman" w:hAnsi="Times New Roman"/>
          <w:sz w:val="24"/>
          <w:szCs w:val="24"/>
        </w:rPr>
        <w:t xml:space="preserve">square footage was then allocated to </w:t>
      </w:r>
      <w:r w:rsidR="009009E9">
        <w:rPr>
          <w:rFonts w:ascii="Times New Roman" w:hAnsi="Times New Roman"/>
          <w:sz w:val="24"/>
          <w:szCs w:val="24"/>
        </w:rPr>
        <w:t xml:space="preserve">each </w:t>
      </w:r>
      <w:r w:rsidR="006E1D40">
        <w:rPr>
          <w:rFonts w:ascii="Times New Roman" w:hAnsi="Times New Roman"/>
          <w:sz w:val="24"/>
          <w:szCs w:val="24"/>
        </w:rPr>
        <w:t xml:space="preserve">organ acquisition cost center based on </w:t>
      </w:r>
      <w:r w:rsidR="009009E9">
        <w:rPr>
          <w:rFonts w:ascii="Times New Roman" w:hAnsi="Times New Roman"/>
          <w:sz w:val="24"/>
          <w:szCs w:val="24"/>
        </w:rPr>
        <w:t xml:space="preserve">the ratio of </w:t>
      </w:r>
      <w:r w:rsidR="006E1D40">
        <w:rPr>
          <w:rFonts w:ascii="Times New Roman" w:hAnsi="Times New Roman"/>
          <w:sz w:val="24"/>
          <w:szCs w:val="24"/>
        </w:rPr>
        <w:t xml:space="preserve">usable </w:t>
      </w:r>
      <w:r w:rsidR="009009E9">
        <w:rPr>
          <w:rFonts w:ascii="Times New Roman" w:hAnsi="Times New Roman"/>
          <w:sz w:val="24"/>
          <w:szCs w:val="24"/>
        </w:rPr>
        <w:t xml:space="preserve">organs </w:t>
      </w:r>
      <w:r w:rsidR="00A95C33">
        <w:rPr>
          <w:rFonts w:ascii="Times New Roman" w:hAnsi="Times New Roman"/>
          <w:sz w:val="24"/>
          <w:szCs w:val="24"/>
        </w:rPr>
        <w:t xml:space="preserve">to total </w:t>
      </w:r>
      <w:r w:rsidR="009009E9">
        <w:rPr>
          <w:rFonts w:ascii="Times New Roman" w:hAnsi="Times New Roman"/>
          <w:sz w:val="24"/>
          <w:szCs w:val="24"/>
        </w:rPr>
        <w:t xml:space="preserve">usable </w:t>
      </w:r>
      <w:r w:rsidR="00A95C33">
        <w:rPr>
          <w:rFonts w:ascii="Times New Roman" w:hAnsi="Times New Roman"/>
          <w:sz w:val="24"/>
          <w:szCs w:val="24"/>
        </w:rPr>
        <w:t>organs</w:t>
      </w:r>
      <w:r w:rsidR="009009E9">
        <w:rPr>
          <w:rFonts w:ascii="Times New Roman" w:hAnsi="Times New Roman"/>
          <w:sz w:val="24"/>
          <w:szCs w:val="24"/>
        </w:rPr>
        <w:t xml:space="preserve"> for all organ acquisition cost centers</w:t>
      </w:r>
      <w:r w:rsidR="006E1D40">
        <w:rPr>
          <w:rFonts w:ascii="Times New Roman" w:hAnsi="Times New Roman"/>
          <w:sz w:val="24"/>
          <w:szCs w:val="24"/>
        </w:rPr>
        <w:t xml:space="preserve">.  The </w:t>
      </w:r>
      <w:r w:rsidR="009009E9">
        <w:rPr>
          <w:rFonts w:ascii="Times New Roman" w:hAnsi="Times New Roman"/>
          <w:sz w:val="24"/>
          <w:szCs w:val="24"/>
        </w:rPr>
        <w:t xml:space="preserve">calculated </w:t>
      </w:r>
      <w:r w:rsidR="006E1D40">
        <w:rPr>
          <w:rFonts w:ascii="Times New Roman" w:hAnsi="Times New Roman"/>
          <w:sz w:val="24"/>
          <w:szCs w:val="24"/>
        </w:rPr>
        <w:t xml:space="preserve">square footage for </w:t>
      </w:r>
      <w:r w:rsidR="009009E9">
        <w:rPr>
          <w:rFonts w:ascii="Times New Roman" w:hAnsi="Times New Roman"/>
          <w:sz w:val="24"/>
          <w:szCs w:val="24"/>
        </w:rPr>
        <w:t xml:space="preserve">each organ acquisition cost center </w:t>
      </w:r>
      <w:r w:rsidR="006E1D40">
        <w:rPr>
          <w:rFonts w:ascii="Times New Roman" w:hAnsi="Times New Roman"/>
          <w:sz w:val="24"/>
          <w:szCs w:val="24"/>
        </w:rPr>
        <w:t>w</w:t>
      </w:r>
      <w:r w:rsidR="00D46337">
        <w:rPr>
          <w:rFonts w:ascii="Times New Roman" w:hAnsi="Times New Roman"/>
          <w:sz w:val="24"/>
          <w:szCs w:val="24"/>
        </w:rPr>
        <w:t>as</w:t>
      </w:r>
      <w:r w:rsidR="006E1D40">
        <w:rPr>
          <w:rFonts w:ascii="Times New Roman" w:hAnsi="Times New Roman"/>
          <w:sz w:val="24"/>
          <w:szCs w:val="24"/>
        </w:rPr>
        <w:t xml:space="preserve"> included in B-1 statistics for the allocation of Buildings </w:t>
      </w:r>
      <w:r w:rsidR="00A97783">
        <w:rPr>
          <w:rFonts w:ascii="Times New Roman" w:hAnsi="Times New Roman"/>
          <w:sz w:val="24"/>
          <w:szCs w:val="24"/>
        </w:rPr>
        <w:t>and</w:t>
      </w:r>
      <w:r w:rsidR="006E1D40">
        <w:rPr>
          <w:rFonts w:ascii="Times New Roman" w:hAnsi="Times New Roman"/>
          <w:sz w:val="24"/>
          <w:szCs w:val="24"/>
        </w:rPr>
        <w:t xml:space="preserve"> Fixtures, Major Movable Equipment, and Maintenance and Repair costs.  </w:t>
      </w:r>
      <w:r w:rsidR="001F15D6">
        <w:rPr>
          <w:rFonts w:ascii="Times New Roman" w:hAnsi="Times New Roman"/>
          <w:sz w:val="24"/>
          <w:szCs w:val="24"/>
        </w:rPr>
        <w:t xml:space="preserve">The Provider’s appeal is based on the claim that the MAC erroneously disallowed these costs the Provider determined as appropriate overhead costs related to </w:t>
      </w:r>
      <w:r w:rsidR="00CB4859">
        <w:rPr>
          <w:rFonts w:ascii="Times New Roman" w:hAnsi="Times New Roman"/>
          <w:sz w:val="24"/>
          <w:szCs w:val="24"/>
        </w:rPr>
        <w:t>pre-transplant care of transplant candidates</w:t>
      </w:r>
      <w:r w:rsidR="005652C4">
        <w:rPr>
          <w:rFonts w:ascii="Times New Roman" w:hAnsi="Times New Roman"/>
          <w:sz w:val="24"/>
          <w:szCs w:val="24"/>
        </w:rPr>
        <w:t xml:space="preserve"> </w:t>
      </w:r>
      <w:r w:rsidR="004E0E74" w:rsidRPr="00D46337">
        <w:rPr>
          <w:rFonts w:ascii="Times New Roman" w:hAnsi="Times New Roman"/>
          <w:sz w:val="24"/>
          <w:szCs w:val="24"/>
        </w:rPr>
        <w:t>for the cost report period ending June 30, 2015</w:t>
      </w:r>
      <w:r w:rsidR="000A7F56" w:rsidRPr="002875D6">
        <w:rPr>
          <w:rFonts w:ascii="Times New Roman" w:hAnsi="Times New Roman"/>
          <w:sz w:val="24"/>
          <w:szCs w:val="24"/>
        </w:rPr>
        <w:t xml:space="preserve">. </w:t>
      </w:r>
      <w:bookmarkEnd w:id="0"/>
    </w:p>
    <w:p w14:paraId="22D85E93" w14:textId="77777777" w:rsidR="004212F0" w:rsidRDefault="004212F0">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1B0E72C"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5AA15E8C"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7BB4F959"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8CEB906"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5D9D1862"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EBD5572"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7083DB31" w14:textId="77777777" w:rsidR="000367CD" w:rsidRPr="008428E5"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0D7CCC7B" w14:textId="77777777" w:rsidR="00B66AEC" w:rsidRDefault="00B66AEC" w:rsidP="004212F0">
      <w:pPr>
        <w:pStyle w:val="Heading8"/>
        <w:numPr>
          <w:ilvl w:val="0"/>
          <w:numId w:val="4"/>
        </w:numPr>
        <w:tabs>
          <w:tab w:val="clear" w:pos="1930"/>
          <w:tab w:val="left" w:pos="1440"/>
        </w:tabs>
        <w:rPr>
          <w:rFonts w:ascii="Times New Roman" w:hAnsi="Times New Roman"/>
          <w:b/>
          <w:bCs/>
          <w:szCs w:val="24"/>
        </w:rPr>
      </w:pPr>
      <w:r w:rsidRPr="004212F0">
        <w:rPr>
          <w:rFonts w:ascii="Times New Roman" w:hAnsi="Times New Roman"/>
          <w:b/>
          <w:bCs/>
          <w:szCs w:val="24"/>
        </w:rPr>
        <w:t>Argument</w:t>
      </w:r>
    </w:p>
    <w:p w14:paraId="07BD50E5" w14:textId="77777777" w:rsidR="001C234E" w:rsidRPr="001C234E" w:rsidRDefault="001C234E" w:rsidP="001C234E"/>
    <w:p w14:paraId="04D51C3D" w14:textId="77777777" w:rsidR="001C234E" w:rsidRDefault="007520A9" w:rsidP="001C234E">
      <w:pPr>
        <w:numPr>
          <w:ilvl w:val="0"/>
          <w:numId w:val="5"/>
        </w:numPr>
        <w:rPr>
          <w:rFonts w:ascii="Times New Roman" w:hAnsi="Times New Roman"/>
          <w:b/>
          <w:sz w:val="24"/>
          <w:szCs w:val="24"/>
        </w:rPr>
      </w:pPr>
      <w:r>
        <w:rPr>
          <w:rFonts w:ascii="Times New Roman" w:hAnsi="Times New Roman"/>
          <w:b/>
          <w:sz w:val="24"/>
          <w:szCs w:val="24"/>
        </w:rPr>
        <w:lastRenderedPageBreak/>
        <w:t xml:space="preserve">The MAC Properly Adjusted </w:t>
      </w:r>
      <w:r w:rsidR="00647FD6">
        <w:rPr>
          <w:rFonts w:ascii="Times New Roman" w:hAnsi="Times New Roman"/>
          <w:b/>
          <w:sz w:val="24"/>
          <w:szCs w:val="24"/>
        </w:rPr>
        <w:t>General Service</w:t>
      </w:r>
      <w:r>
        <w:rPr>
          <w:rFonts w:ascii="Times New Roman" w:hAnsi="Times New Roman"/>
          <w:b/>
          <w:sz w:val="24"/>
          <w:szCs w:val="24"/>
        </w:rPr>
        <w:t xml:space="preserve"> Costs Allocated by the Provider for </w:t>
      </w:r>
      <w:r w:rsidR="00CB4859">
        <w:rPr>
          <w:rFonts w:ascii="Times New Roman" w:hAnsi="Times New Roman"/>
          <w:b/>
          <w:sz w:val="24"/>
          <w:szCs w:val="24"/>
        </w:rPr>
        <w:t>Pre-Transplant Care</w:t>
      </w:r>
      <w:r>
        <w:rPr>
          <w:rFonts w:ascii="Times New Roman" w:hAnsi="Times New Roman"/>
          <w:b/>
          <w:sz w:val="24"/>
          <w:szCs w:val="24"/>
        </w:rPr>
        <w:t>.</w:t>
      </w:r>
    </w:p>
    <w:p w14:paraId="7EA908BA" w14:textId="77777777" w:rsidR="00B11C7D" w:rsidRDefault="00B11C7D" w:rsidP="002875D6">
      <w:pPr>
        <w:ind w:left="720"/>
        <w:rPr>
          <w:rFonts w:ascii="Times New Roman" w:hAnsi="Times New Roman"/>
          <w:b/>
          <w:sz w:val="24"/>
          <w:szCs w:val="24"/>
        </w:rPr>
      </w:pPr>
    </w:p>
    <w:p w14:paraId="35C0CD18" w14:textId="77777777" w:rsidR="001C234E" w:rsidRDefault="001C234E" w:rsidP="001C234E">
      <w:pPr>
        <w:ind w:left="1440"/>
        <w:rPr>
          <w:rFonts w:ascii="Times New Roman" w:hAnsi="Times New Roman"/>
          <w:b/>
          <w:sz w:val="24"/>
          <w:szCs w:val="24"/>
        </w:rPr>
      </w:pPr>
    </w:p>
    <w:p w14:paraId="4088DF92" w14:textId="77777777" w:rsidR="00B35498" w:rsidRDefault="00B35498" w:rsidP="00B35498">
      <w:pPr>
        <w:spacing w:line="480" w:lineRule="auto"/>
        <w:rPr>
          <w:rFonts w:ascii="Times New Roman" w:hAnsi="Times New Roman"/>
          <w:sz w:val="24"/>
          <w:szCs w:val="24"/>
        </w:rPr>
      </w:pPr>
      <w:bookmarkStart w:id="2" w:name="_Hlk146122715"/>
      <w:r>
        <w:rPr>
          <w:rFonts w:ascii="Times New Roman" w:hAnsi="Times New Roman"/>
          <w:sz w:val="24"/>
          <w:szCs w:val="24"/>
        </w:rPr>
        <w:t>During the audit and reopening of the cost report ending June 30, 2015, the MAC determined that the Provider “created” a statistical basis of square footage to allocate Buildings and Fixtures, Major Movable Equipment</w:t>
      </w:r>
      <w:r w:rsidR="00105652">
        <w:rPr>
          <w:rFonts w:ascii="Times New Roman" w:hAnsi="Times New Roman"/>
          <w:sz w:val="24"/>
          <w:szCs w:val="24"/>
        </w:rPr>
        <w:t>,</w:t>
      </w:r>
      <w:r>
        <w:rPr>
          <w:rFonts w:ascii="Times New Roman" w:hAnsi="Times New Roman"/>
          <w:sz w:val="24"/>
          <w:szCs w:val="24"/>
        </w:rPr>
        <w:t xml:space="preserve"> and Maintenance and Repair costs to organ acquisition cost centers (heart, liver and lung)</w:t>
      </w:r>
      <w:r w:rsidR="00680EFA">
        <w:rPr>
          <w:rFonts w:ascii="Times New Roman" w:hAnsi="Times New Roman"/>
          <w:sz w:val="24"/>
          <w:szCs w:val="24"/>
        </w:rPr>
        <w:t xml:space="preserve"> scoped for review</w:t>
      </w:r>
      <w:r>
        <w:rPr>
          <w:rFonts w:ascii="Times New Roman" w:hAnsi="Times New Roman"/>
          <w:sz w:val="24"/>
          <w:szCs w:val="24"/>
        </w:rPr>
        <w:t xml:space="preserve">.  Since the organ acquisition cost centers do not </w:t>
      </w:r>
      <w:r w:rsidRPr="00680EFA">
        <w:rPr>
          <w:rFonts w:ascii="Times New Roman" w:hAnsi="Times New Roman"/>
          <w:sz w:val="24"/>
          <w:szCs w:val="24"/>
        </w:rPr>
        <w:t>h</w:t>
      </w:r>
      <w:r w:rsidR="00680EFA">
        <w:rPr>
          <w:rFonts w:ascii="Times New Roman" w:hAnsi="Times New Roman"/>
          <w:sz w:val="24"/>
          <w:szCs w:val="24"/>
        </w:rPr>
        <w:t>old</w:t>
      </w:r>
      <w:r w:rsidRPr="00680EFA">
        <w:rPr>
          <w:rFonts w:ascii="Times New Roman" w:hAnsi="Times New Roman"/>
          <w:sz w:val="24"/>
          <w:szCs w:val="24"/>
        </w:rPr>
        <w:t xml:space="preserve"> de</w:t>
      </w:r>
      <w:r>
        <w:rPr>
          <w:rFonts w:ascii="Times New Roman" w:hAnsi="Times New Roman"/>
          <w:sz w:val="24"/>
          <w:szCs w:val="24"/>
        </w:rPr>
        <w:t>dicated space and equipment to support a statistical basis for allocation</w:t>
      </w:r>
      <w:r w:rsidR="00680EFA">
        <w:rPr>
          <w:rFonts w:ascii="Times New Roman" w:hAnsi="Times New Roman"/>
          <w:sz w:val="24"/>
          <w:szCs w:val="24"/>
        </w:rPr>
        <w:t xml:space="preserve"> of these costs</w:t>
      </w:r>
      <w:r>
        <w:rPr>
          <w:rFonts w:ascii="Times New Roman" w:hAnsi="Times New Roman"/>
          <w:sz w:val="24"/>
          <w:szCs w:val="24"/>
        </w:rPr>
        <w:t xml:space="preserve">, the MAC proposed an adjustment to remove the </w:t>
      </w:r>
      <w:r w:rsidR="00680EFA">
        <w:rPr>
          <w:rFonts w:ascii="Times New Roman" w:hAnsi="Times New Roman"/>
          <w:sz w:val="24"/>
          <w:szCs w:val="24"/>
        </w:rPr>
        <w:t xml:space="preserve">“created” </w:t>
      </w:r>
      <w:r>
        <w:rPr>
          <w:rFonts w:ascii="Times New Roman" w:hAnsi="Times New Roman"/>
          <w:sz w:val="24"/>
          <w:szCs w:val="24"/>
        </w:rPr>
        <w:t>statistic.</w:t>
      </w:r>
      <w:r w:rsidR="00F94BBA">
        <w:rPr>
          <w:rFonts w:ascii="Times New Roman" w:hAnsi="Times New Roman"/>
          <w:sz w:val="24"/>
          <w:szCs w:val="24"/>
        </w:rPr>
        <w:t xml:space="preserve"> (</w:t>
      </w:r>
      <w:r w:rsidR="00F94BBA" w:rsidRPr="00DB57F4">
        <w:rPr>
          <w:rFonts w:ascii="Times New Roman" w:hAnsi="Times New Roman"/>
          <w:i/>
          <w:iCs/>
          <w:sz w:val="24"/>
          <w:szCs w:val="24"/>
        </w:rPr>
        <w:t>See</w:t>
      </w:r>
      <w:r w:rsidR="00F94BBA">
        <w:rPr>
          <w:rFonts w:ascii="Times New Roman" w:hAnsi="Times New Roman"/>
          <w:sz w:val="24"/>
          <w:szCs w:val="24"/>
        </w:rPr>
        <w:t xml:space="preserve"> </w:t>
      </w:r>
      <w:r w:rsidR="00F94BBA" w:rsidRPr="00DB57F4">
        <w:rPr>
          <w:rFonts w:ascii="Times New Roman" w:hAnsi="Times New Roman"/>
          <w:b/>
          <w:bCs/>
          <w:sz w:val="24"/>
          <w:szCs w:val="24"/>
        </w:rPr>
        <w:t>Exhibit C</w:t>
      </w:r>
      <w:r w:rsidR="00DB57F4" w:rsidRPr="00DB57F4">
        <w:rPr>
          <w:rFonts w:ascii="Times New Roman" w:hAnsi="Times New Roman"/>
          <w:b/>
          <w:bCs/>
          <w:sz w:val="24"/>
          <w:szCs w:val="24"/>
        </w:rPr>
        <w:t>-3</w:t>
      </w:r>
      <w:r w:rsidR="00105652" w:rsidRPr="00105652">
        <w:rPr>
          <w:rFonts w:ascii="Times New Roman" w:hAnsi="Times New Roman"/>
          <w:sz w:val="24"/>
          <w:szCs w:val="24"/>
        </w:rPr>
        <w:t>.</w:t>
      </w:r>
      <w:r w:rsidR="00DB57F4">
        <w:rPr>
          <w:rFonts w:ascii="Times New Roman" w:hAnsi="Times New Roman"/>
          <w:sz w:val="24"/>
          <w:szCs w:val="24"/>
        </w:rPr>
        <w:t>)</w:t>
      </w:r>
      <w:r w:rsidRPr="00DB57F4">
        <w:rPr>
          <w:rFonts w:ascii="Times New Roman" w:hAnsi="Times New Roman"/>
          <w:sz w:val="24"/>
          <w:szCs w:val="24"/>
        </w:rPr>
        <w:t xml:space="preserve"> </w:t>
      </w:r>
      <w:r w:rsidRPr="00B12F80">
        <w:rPr>
          <w:rFonts w:ascii="Times New Roman" w:hAnsi="Times New Roman"/>
          <w:sz w:val="24"/>
          <w:szCs w:val="24"/>
        </w:rPr>
        <w:t xml:space="preserve">The Provider applied the same methodology to kidney and pancreas </w:t>
      </w:r>
      <w:r w:rsidR="00ED4E00">
        <w:rPr>
          <w:rFonts w:ascii="Times New Roman" w:hAnsi="Times New Roman"/>
          <w:sz w:val="24"/>
          <w:szCs w:val="24"/>
        </w:rPr>
        <w:t xml:space="preserve">organ acquisition </w:t>
      </w:r>
      <w:r w:rsidRPr="00B12F80">
        <w:rPr>
          <w:rFonts w:ascii="Times New Roman" w:hAnsi="Times New Roman"/>
          <w:sz w:val="24"/>
          <w:szCs w:val="24"/>
        </w:rPr>
        <w:t>cost centers</w:t>
      </w:r>
      <w:r w:rsidR="00680EFA">
        <w:rPr>
          <w:rFonts w:ascii="Times New Roman" w:hAnsi="Times New Roman"/>
          <w:sz w:val="24"/>
          <w:szCs w:val="24"/>
        </w:rPr>
        <w:t xml:space="preserve"> for the same cost report period</w:t>
      </w:r>
      <w:r w:rsidR="00105652">
        <w:rPr>
          <w:rFonts w:ascii="Times New Roman" w:hAnsi="Times New Roman"/>
          <w:sz w:val="24"/>
          <w:szCs w:val="24"/>
        </w:rPr>
        <w:t>,</w:t>
      </w:r>
      <w:r w:rsidR="00680EFA">
        <w:rPr>
          <w:rFonts w:ascii="Times New Roman" w:hAnsi="Times New Roman"/>
          <w:sz w:val="24"/>
          <w:szCs w:val="24"/>
        </w:rPr>
        <w:t xml:space="preserve"> though these were not scoped for review</w:t>
      </w:r>
      <w:r w:rsidRPr="00B12F80">
        <w:rPr>
          <w:rFonts w:ascii="Times New Roman" w:hAnsi="Times New Roman"/>
          <w:sz w:val="24"/>
          <w:szCs w:val="24"/>
        </w:rPr>
        <w:t xml:space="preserve">. </w:t>
      </w:r>
      <w:r w:rsidRPr="002875D6">
        <w:rPr>
          <w:rFonts w:ascii="Times New Roman" w:hAnsi="Times New Roman"/>
          <w:sz w:val="24"/>
          <w:szCs w:val="24"/>
        </w:rPr>
        <w:t>The Provider describes in its preliminary paper, the methodology for “creating” the statistic.</w:t>
      </w:r>
    </w:p>
    <w:p w14:paraId="5DF5B350" w14:textId="77777777" w:rsidR="00B35498" w:rsidRDefault="00B35498" w:rsidP="00B35498">
      <w:pPr>
        <w:ind w:left="720" w:right="720"/>
        <w:rPr>
          <w:rFonts w:ascii="Times New Roman" w:hAnsi="Times New Roman"/>
          <w:sz w:val="24"/>
          <w:szCs w:val="24"/>
        </w:rPr>
      </w:pPr>
      <w:r w:rsidRPr="00F16ADA">
        <w:rPr>
          <w:rFonts w:ascii="Times New Roman" w:hAnsi="Times New Roman"/>
          <w:sz w:val="24"/>
          <w:szCs w:val="24"/>
        </w:rPr>
        <w:t>The methodology was comprised of several steps. The first step was to identify the areas of the Provider that are involved in services to pre-transplant patients. These areas include the “Transplant/General Surgery Unit,” the “Transplant Center Admin,” and the “Transplant Center.” The total square footage of these areas was then compiled. To ensure that only pre-transplant activities are included in the Organ Acquisition Cost cost centers, employee surveys were used to determine the percentage of time spent on pre-transplant activities, versus post-transplant activities. The percentage of time dedicated to pre-transplant activities was then multiplied by the total square footage to develop a total square footage allocable to pre-transplant activities. Finally, the square footage was allocated to each of the respective organ acquisition cost, based on the ratio of each such Organ Acquisition Cost cost center’s usable organs, to total usable organs across all such cost centers. The resulting square footage statistics were included with each of the Organ Acquisition Cost cost center lines on Worksheet B-1 for the allocation of Building &amp; Fixtures, Major Moveable Equipment, and Maintenance &amp; Repair costs.</w:t>
      </w:r>
    </w:p>
    <w:p w14:paraId="35ECE4A5" w14:textId="77777777" w:rsidR="00B35498" w:rsidRDefault="00B35498" w:rsidP="001C234E">
      <w:pPr>
        <w:spacing w:line="480" w:lineRule="auto"/>
        <w:rPr>
          <w:rFonts w:ascii="Times New Roman" w:hAnsi="Times New Roman"/>
          <w:sz w:val="24"/>
          <w:szCs w:val="24"/>
        </w:rPr>
      </w:pPr>
    </w:p>
    <w:p w14:paraId="5C0C6CF3" w14:textId="77777777" w:rsidR="00B35498" w:rsidRDefault="00B35498" w:rsidP="001C234E">
      <w:pPr>
        <w:spacing w:line="480" w:lineRule="auto"/>
        <w:rPr>
          <w:rFonts w:ascii="Times New Roman" w:hAnsi="Times New Roman"/>
          <w:sz w:val="24"/>
          <w:szCs w:val="24"/>
        </w:rPr>
      </w:pPr>
      <w:r>
        <w:rPr>
          <w:rFonts w:ascii="Times New Roman" w:hAnsi="Times New Roman"/>
          <w:sz w:val="24"/>
          <w:szCs w:val="24"/>
        </w:rPr>
        <w:lastRenderedPageBreak/>
        <w:t>CMS provides instruction to Providers to properly complete the Medicare Cost Report through The Provider Reimbursement Manuals</w:t>
      </w:r>
      <w:r w:rsidR="00E350A8">
        <w:rPr>
          <w:rFonts w:ascii="Times New Roman" w:hAnsi="Times New Roman"/>
          <w:sz w:val="24"/>
          <w:szCs w:val="24"/>
        </w:rPr>
        <w:t xml:space="preserve"> (PRM</w:t>
      </w:r>
      <w:r w:rsidR="00105652">
        <w:rPr>
          <w:rFonts w:ascii="Times New Roman" w:hAnsi="Times New Roman"/>
          <w:sz w:val="24"/>
          <w:szCs w:val="24"/>
        </w:rPr>
        <w:t>s</w:t>
      </w:r>
      <w:r w:rsidR="00E350A8">
        <w:rPr>
          <w:rFonts w:ascii="Times New Roman" w:hAnsi="Times New Roman"/>
          <w:sz w:val="24"/>
          <w:szCs w:val="24"/>
        </w:rPr>
        <w:t>)</w:t>
      </w:r>
      <w:r>
        <w:rPr>
          <w:rFonts w:ascii="Times New Roman" w:hAnsi="Times New Roman"/>
          <w:sz w:val="24"/>
          <w:szCs w:val="24"/>
        </w:rPr>
        <w:t>.  MACs are bound to follow the instructions and guidance in these manuals while reviewing</w:t>
      </w:r>
      <w:r w:rsidR="005F0537">
        <w:rPr>
          <w:rFonts w:ascii="Times New Roman" w:hAnsi="Times New Roman"/>
          <w:sz w:val="24"/>
          <w:szCs w:val="24"/>
        </w:rPr>
        <w:t xml:space="preserve">, </w:t>
      </w:r>
      <w:r>
        <w:rPr>
          <w:rFonts w:ascii="Times New Roman" w:hAnsi="Times New Roman"/>
          <w:sz w:val="24"/>
          <w:szCs w:val="24"/>
        </w:rPr>
        <w:t>auditing</w:t>
      </w:r>
      <w:r w:rsidR="005F0537">
        <w:rPr>
          <w:rFonts w:ascii="Times New Roman" w:hAnsi="Times New Roman"/>
          <w:sz w:val="24"/>
          <w:szCs w:val="24"/>
        </w:rPr>
        <w:t xml:space="preserve"> and settling</w:t>
      </w:r>
      <w:r>
        <w:rPr>
          <w:rFonts w:ascii="Times New Roman" w:hAnsi="Times New Roman"/>
          <w:sz w:val="24"/>
          <w:szCs w:val="24"/>
        </w:rPr>
        <w:t xml:space="preserve"> the cost reports.  </w:t>
      </w:r>
    </w:p>
    <w:p w14:paraId="63BC8C67" w14:textId="77777777" w:rsidR="00B35498" w:rsidRDefault="00B35498" w:rsidP="006F1802">
      <w:pPr>
        <w:rPr>
          <w:rFonts w:ascii="Times New Roman" w:hAnsi="Times New Roman"/>
          <w:sz w:val="24"/>
          <w:szCs w:val="24"/>
        </w:rPr>
      </w:pPr>
    </w:p>
    <w:p w14:paraId="53633B5C" w14:textId="77777777" w:rsidR="001C234E" w:rsidRDefault="00647FD6" w:rsidP="001C234E">
      <w:pPr>
        <w:spacing w:line="480" w:lineRule="auto"/>
        <w:rPr>
          <w:rFonts w:ascii="Times New Roman" w:hAnsi="Times New Roman"/>
          <w:sz w:val="24"/>
          <w:szCs w:val="24"/>
        </w:rPr>
      </w:pPr>
      <w:r>
        <w:rPr>
          <w:rFonts w:ascii="Times New Roman" w:hAnsi="Times New Roman"/>
          <w:sz w:val="24"/>
          <w:szCs w:val="24"/>
        </w:rPr>
        <w:t>CMS Publication 15-</w:t>
      </w:r>
      <w:r w:rsidR="00A00DBE">
        <w:rPr>
          <w:rFonts w:ascii="Times New Roman" w:hAnsi="Times New Roman"/>
          <w:sz w:val="24"/>
          <w:szCs w:val="24"/>
        </w:rPr>
        <w:t>1, The PRM-Part 1</w:t>
      </w:r>
      <w:r w:rsidR="00E005FD">
        <w:rPr>
          <w:rFonts w:ascii="Times New Roman" w:hAnsi="Times New Roman"/>
          <w:sz w:val="24"/>
          <w:szCs w:val="24"/>
        </w:rPr>
        <w:t xml:space="preserve"> (</w:t>
      </w:r>
      <w:r w:rsidR="00E005FD" w:rsidRPr="00E005FD">
        <w:rPr>
          <w:rFonts w:ascii="Times New Roman" w:hAnsi="Times New Roman"/>
          <w:b/>
          <w:bCs/>
          <w:sz w:val="24"/>
          <w:szCs w:val="24"/>
        </w:rPr>
        <w:t>Exhibit C-4</w:t>
      </w:r>
      <w:r w:rsidR="00E005FD">
        <w:rPr>
          <w:rFonts w:ascii="Times New Roman" w:hAnsi="Times New Roman"/>
          <w:sz w:val="24"/>
          <w:szCs w:val="24"/>
        </w:rPr>
        <w:t>)</w:t>
      </w:r>
      <w:r w:rsidR="00A00DBE">
        <w:rPr>
          <w:rFonts w:ascii="Times New Roman" w:hAnsi="Times New Roman"/>
          <w:sz w:val="24"/>
          <w:szCs w:val="24"/>
        </w:rPr>
        <w:t xml:space="preserve">, </w:t>
      </w:r>
      <w:r w:rsidR="00436DCF">
        <w:rPr>
          <w:rFonts w:ascii="Times New Roman" w:hAnsi="Times New Roman"/>
          <w:sz w:val="24"/>
          <w:szCs w:val="24"/>
        </w:rPr>
        <w:t>includes the following definitions</w:t>
      </w:r>
      <w:r w:rsidR="004F5931">
        <w:rPr>
          <w:rFonts w:ascii="Times New Roman" w:hAnsi="Times New Roman"/>
          <w:sz w:val="24"/>
          <w:szCs w:val="24"/>
        </w:rPr>
        <w:t xml:space="preserve"> and </w:t>
      </w:r>
      <w:r w:rsidR="005F0537">
        <w:rPr>
          <w:rFonts w:ascii="Times New Roman" w:hAnsi="Times New Roman"/>
          <w:sz w:val="24"/>
          <w:szCs w:val="24"/>
        </w:rPr>
        <w:t>principles</w:t>
      </w:r>
      <w:r w:rsidR="00A00DBE">
        <w:rPr>
          <w:rFonts w:ascii="Times New Roman" w:hAnsi="Times New Roman"/>
          <w:sz w:val="24"/>
          <w:szCs w:val="24"/>
        </w:rPr>
        <w:t xml:space="preserve"> for Providers</w:t>
      </w:r>
      <w:r w:rsidR="00336547">
        <w:rPr>
          <w:rFonts w:ascii="Times New Roman" w:hAnsi="Times New Roman"/>
          <w:sz w:val="24"/>
          <w:szCs w:val="24"/>
        </w:rPr>
        <w:t xml:space="preserve"> (emphasis added)</w:t>
      </w:r>
      <w:r>
        <w:rPr>
          <w:rFonts w:ascii="Times New Roman" w:hAnsi="Times New Roman"/>
          <w:sz w:val="24"/>
          <w:szCs w:val="24"/>
        </w:rPr>
        <w:t>:</w:t>
      </w:r>
    </w:p>
    <w:bookmarkEnd w:id="2"/>
    <w:p w14:paraId="20E92080" w14:textId="77777777" w:rsidR="004A055C" w:rsidRDefault="004A055C" w:rsidP="00D40FF6">
      <w:pPr>
        <w:autoSpaceDE w:val="0"/>
        <w:autoSpaceDN w:val="0"/>
        <w:adjustRightInd w:val="0"/>
        <w:ind w:left="720" w:right="720"/>
        <w:rPr>
          <w:rFonts w:ascii="Times New Roman" w:hAnsi="Times New Roman"/>
          <w:sz w:val="24"/>
          <w:szCs w:val="24"/>
        </w:rPr>
      </w:pPr>
      <w:r>
        <w:rPr>
          <w:rFonts w:ascii="Times New Roman" w:hAnsi="Times New Roman"/>
          <w:sz w:val="24"/>
          <w:szCs w:val="24"/>
        </w:rPr>
        <w:t>2302.4 Allocable Costs.--An item or group of items of cost chargeable to one or more objects, processes, or operations in accordance with cost responsibilities, benefits received, or other identifiable measure of application or consumption (also known as general service costs).</w:t>
      </w:r>
    </w:p>
    <w:p w14:paraId="2A908D71" w14:textId="77777777" w:rsidR="00D40FF6" w:rsidRDefault="00D40FF6" w:rsidP="004A055C">
      <w:pPr>
        <w:autoSpaceDE w:val="0"/>
        <w:autoSpaceDN w:val="0"/>
        <w:adjustRightInd w:val="0"/>
        <w:ind w:left="720"/>
        <w:rPr>
          <w:rFonts w:ascii="Times New Roman" w:hAnsi="Times New Roman"/>
          <w:sz w:val="24"/>
          <w:szCs w:val="24"/>
        </w:rPr>
      </w:pPr>
    </w:p>
    <w:p w14:paraId="068EF1B6" w14:textId="77777777" w:rsidR="004A055C" w:rsidRDefault="004A055C" w:rsidP="00D40FF6">
      <w:pPr>
        <w:autoSpaceDE w:val="0"/>
        <w:autoSpaceDN w:val="0"/>
        <w:adjustRightInd w:val="0"/>
        <w:ind w:left="720" w:right="720" w:firstLine="720"/>
        <w:rPr>
          <w:rFonts w:ascii="Times New Roman" w:hAnsi="Times New Roman"/>
          <w:sz w:val="24"/>
          <w:szCs w:val="24"/>
        </w:rPr>
      </w:pPr>
      <w:r>
        <w:rPr>
          <w:rFonts w:ascii="Times New Roman" w:hAnsi="Times New Roman"/>
          <w:sz w:val="24"/>
          <w:szCs w:val="24"/>
        </w:rPr>
        <w:t xml:space="preserve">A. Directly Allocable Costs--Directly allocable costs are </w:t>
      </w:r>
      <w:r w:rsidRPr="002875D6">
        <w:rPr>
          <w:rFonts w:ascii="Times New Roman" w:hAnsi="Times New Roman"/>
          <w:i/>
          <w:iCs/>
          <w:sz w:val="24"/>
          <w:szCs w:val="24"/>
        </w:rPr>
        <w:t>chargeable based on actual usage</w:t>
      </w:r>
      <w:r>
        <w:rPr>
          <w:rFonts w:ascii="Times New Roman" w:hAnsi="Times New Roman"/>
          <w:sz w:val="24"/>
          <w:szCs w:val="24"/>
        </w:rPr>
        <w:t xml:space="preserve"> (e.g., metered electricity) rather than a statistical surrogate.</w:t>
      </w:r>
    </w:p>
    <w:p w14:paraId="34DB756F" w14:textId="77777777" w:rsidR="00D40FF6" w:rsidRDefault="00D40FF6" w:rsidP="002875D6">
      <w:pPr>
        <w:autoSpaceDE w:val="0"/>
        <w:autoSpaceDN w:val="0"/>
        <w:adjustRightInd w:val="0"/>
        <w:ind w:left="720" w:firstLine="720"/>
        <w:rPr>
          <w:rFonts w:ascii="Times New Roman" w:hAnsi="Times New Roman"/>
          <w:sz w:val="24"/>
          <w:szCs w:val="24"/>
        </w:rPr>
      </w:pPr>
    </w:p>
    <w:p w14:paraId="62350481" w14:textId="77777777" w:rsidR="004A055C" w:rsidRDefault="004A055C" w:rsidP="00A135CB">
      <w:pPr>
        <w:autoSpaceDE w:val="0"/>
        <w:autoSpaceDN w:val="0"/>
        <w:adjustRightInd w:val="0"/>
        <w:ind w:left="720" w:right="720" w:firstLine="720"/>
        <w:rPr>
          <w:rFonts w:ascii="Times New Roman" w:hAnsi="Times New Roman"/>
          <w:sz w:val="24"/>
          <w:szCs w:val="24"/>
        </w:rPr>
      </w:pPr>
      <w:r>
        <w:rPr>
          <w:rFonts w:ascii="Times New Roman" w:hAnsi="Times New Roman"/>
          <w:sz w:val="24"/>
          <w:szCs w:val="24"/>
        </w:rPr>
        <w:t xml:space="preserve">B. Indirectly Allocable Costs--Indirectly allocable costs are not chargeable based on actual usage, and thus, </w:t>
      </w:r>
      <w:r w:rsidRPr="002875D6">
        <w:rPr>
          <w:rFonts w:ascii="Times New Roman" w:hAnsi="Times New Roman"/>
          <w:i/>
          <w:iCs/>
          <w:sz w:val="24"/>
          <w:szCs w:val="24"/>
        </w:rPr>
        <w:t>must be allocated on the basis of a statistical surrogate (e.g., square feet)</w:t>
      </w:r>
      <w:r>
        <w:rPr>
          <w:rFonts w:ascii="Times New Roman" w:hAnsi="Times New Roman"/>
          <w:sz w:val="24"/>
          <w:szCs w:val="24"/>
        </w:rPr>
        <w:t>.</w:t>
      </w:r>
    </w:p>
    <w:p w14:paraId="26FAB942" w14:textId="77777777" w:rsidR="00D40FF6" w:rsidRDefault="00D40FF6" w:rsidP="002875D6">
      <w:pPr>
        <w:autoSpaceDE w:val="0"/>
        <w:autoSpaceDN w:val="0"/>
        <w:adjustRightInd w:val="0"/>
        <w:ind w:left="720" w:firstLine="720"/>
        <w:rPr>
          <w:rFonts w:ascii="Times New Roman" w:hAnsi="Times New Roman"/>
          <w:sz w:val="24"/>
          <w:szCs w:val="24"/>
        </w:rPr>
      </w:pPr>
    </w:p>
    <w:p w14:paraId="7BA1DE22" w14:textId="77777777" w:rsidR="00D40FF6" w:rsidRDefault="00D40FF6"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2302.7 Cost Finding.--A determination of the cost of services by the use of informal procedures, i.e., without employing the regular processes of cost accounting on a continuous or formal basis. It is the </w:t>
      </w:r>
      <w:r w:rsidRPr="002875D6">
        <w:rPr>
          <w:rFonts w:ascii="Times New Roman" w:hAnsi="Times New Roman"/>
          <w:i/>
          <w:iCs/>
          <w:sz w:val="24"/>
          <w:szCs w:val="24"/>
        </w:rPr>
        <w:t>determination of the cost of an operation by the assignment of direct costs and the allocation of indirect costs</w:t>
      </w:r>
      <w:r>
        <w:rPr>
          <w:rFonts w:ascii="Times New Roman" w:hAnsi="Times New Roman"/>
          <w:sz w:val="24"/>
          <w:szCs w:val="24"/>
        </w:rPr>
        <w:t>.</w:t>
      </w:r>
    </w:p>
    <w:p w14:paraId="0BD3B14C" w14:textId="77777777" w:rsidR="00D40FF6" w:rsidRDefault="00D40FF6" w:rsidP="00647FD6">
      <w:pPr>
        <w:ind w:left="720" w:right="720"/>
        <w:rPr>
          <w:rFonts w:ascii="Times New Roman" w:hAnsi="Times New Roman"/>
          <w:sz w:val="24"/>
          <w:szCs w:val="24"/>
        </w:rPr>
      </w:pPr>
    </w:p>
    <w:p w14:paraId="5345564C" w14:textId="77777777" w:rsidR="00D40FF6" w:rsidRDefault="00D40FF6" w:rsidP="002875D6">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2302.9 General Service Cost Centers.--Those organizational units which are </w:t>
      </w:r>
      <w:r w:rsidRPr="002875D6">
        <w:rPr>
          <w:rFonts w:ascii="Times New Roman" w:hAnsi="Times New Roman"/>
          <w:i/>
          <w:iCs/>
          <w:sz w:val="24"/>
          <w:szCs w:val="24"/>
        </w:rPr>
        <w:t>operated for the benefit of the institution as a whole. Each of these may render services to other general service areas as well as to special or patient care departments</w:t>
      </w:r>
      <w:r>
        <w:rPr>
          <w:rFonts w:ascii="Times New Roman" w:hAnsi="Times New Roman"/>
          <w:sz w:val="24"/>
          <w:szCs w:val="24"/>
        </w:rPr>
        <w:t xml:space="preserve">. Examples of these are: </w:t>
      </w:r>
      <w:r w:rsidR="00A135CB">
        <w:rPr>
          <w:rFonts w:ascii="Times New Roman" w:hAnsi="Times New Roman"/>
          <w:sz w:val="24"/>
          <w:szCs w:val="24"/>
        </w:rPr>
        <w:t>h</w:t>
      </w:r>
      <w:r>
        <w:rPr>
          <w:rFonts w:ascii="Times New Roman" w:hAnsi="Times New Roman"/>
          <w:sz w:val="24"/>
          <w:szCs w:val="24"/>
        </w:rPr>
        <w:t xml:space="preserve">ousekeeping, laundry, dietary, operation of plant and maintenance of plant. </w:t>
      </w:r>
      <w:r w:rsidRPr="002875D6">
        <w:rPr>
          <w:rFonts w:ascii="Times New Roman" w:hAnsi="Times New Roman"/>
          <w:i/>
          <w:iCs/>
          <w:sz w:val="24"/>
          <w:szCs w:val="24"/>
        </w:rPr>
        <w:t>Costs incurred for these cost centers are allocated to other cost centers on the basis of services rendered.</w:t>
      </w:r>
    </w:p>
    <w:p w14:paraId="260C8976" w14:textId="77777777" w:rsidR="00D40FF6" w:rsidRDefault="00D40FF6" w:rsidP="00647FD6">
      <w:pPr>
        <w:ind w:left="720" w:right="720"/>
        <w:rPr>
          <w:rFonts w:ascii="Times New Roman" w:hAnsi="Times New Roman"/>
          <w:sz w:val="24"/>
          <w:szCs w:val="24"/>
        </w:rPr>
      </w:pPr>
    </w:p>
    <w:p w14:paraId="4A024444" w14:textId="77777777" w:rsidR="00105652" w:rsidRDefault="00105652" w:rsidP="00647FD6">
      <w:pPr>
        <w:ind w:left="720" w:right="720"/>
        <w:rPr>
          <w:rFonts w:ascii="Times New Roman" w:hAnsi="Times New Roman"/>
          <w:sz w:val="24"/>
          <w:szCs w:val="24"/>
        </w:rPr>
      </w:pPr>
    </w:p>
    <w:p w14:paraId="5401BAB8" w14:textId="77777777" w:rsidR="00C10E94" w:rsidRDefault="00C10E94" w:rsidP="002875D6">
      <w:pPr>
        <w:autoSpaceDE w:val="0"/>
        <w:autoSpaceDN w:val="0"/>
        <w:adjustRightInd w:val="0"/>
        <w:ind w:left="720"/>
        <w:rPr>
          <w:rFonts w:ascii="Times New Roman" w:hAnsi="Times New Roman"/>
          <w:sz w:val="24"/>
          <w:szCs w:val="24"/>
        </w:rPr>
      </w:pPr>
      <w:r>
        <w:rPr>
          <w:rFonts w:ascii="Times New Roman" w:hAnsi="Times New Roman"/>
          <w:sz w:val="24"/>
          <w:szCs w:val="24"/>
        </w:rPr>
        <w:t>2304. ADEQUACY OF COST INFORMATION</w:t>
      </w:r>
    </w:p>
    <w:p w14:paraId="616512C3" w14:textId="77777777" w:rsidR="00105652" w:rsidRDefault="00105652" w:rsidP="002875D6">
      <w:pPr>
        <w:autoSpaceDE w:val="0"/>
        <w:autoSpaceDN w:val="0"/>
        <w:adjustRightInd w:val="0"/>
        <w:ind w:left="720"/>
        <w:rPr>
          <w:rFonts w:ascii="Times New Roman" w:hAnsi="Times New Roman"/>
          <w:sz w:val="24"/>
          <w:szCs w:val="24"/>
        </w:rPr>
      </w:pPr>
    </w:p>
    <w:p w14:paraId="7D8DAE95" w14:textId="77777777" w:rsidR="00C10E94" w:rsidRDefault="00C10E94" w:rsidP="002875D6">
      <w:pPr>
        <w:autoSpaceDE w:val="0"/>
        <w:autoSpaceDN w:val="0"/>
        <w:adjustRightInd w:val="0"/>
        <w:ind w:left="720" w:right="630"/>
        <w:rPr>
          <w:rFonts w:ascii="Times New Roman" w:hAnsi="Times New Roman"/>
          <w:sz w:val="24"/>
          <w:szCs w:val="24"/>
        </w:rPr>
      </w:pPr>
      <w:r>
        <w:rPr>
          <w:rFonts w:ascii="Times New Roman" w:hAnsi="Times New Roman"/>
          <w:sz w:val="24"/>
          <w:szCs w:val="24"/>
        </w:rPr>
        <w:t xml:space="preserve">Cost information as developed by the provider must be current, </w:t>
      </w:r>
      <w:r w:rsidR="00A135CB">
        <w:rPr>
          <w:rFonts w:ascii="Times New Roman" w:hAnsi="Times New Roman"/>
          <w:sz w:val="24"/>
          <w:szCs w:val="24"/>
        </w:rPr>
        <w:t>a</w:t>
      </w:r>
      <w:r>
        <w:rPr>
          <w:rFonts w:ascii="Times New Roman" w:hAnsi="Times New Roman"/>
          <w:sz w:val="24"/>
          <w:szCs w:val="24"/>
        </w:rPr>
        <w:t xml:space="preserve">ccurate, and in sufficient detail to support payments made for services </w:t>
      </w:r>
      <w:r>
        <w:rPr>
          <w:rFonts w:ascii="Times New Roman" w:hAnsi="Times New Roman"/>
          <w:sz w:val="24"/>
          <w:szCs w:val="24"/>
        </w:rPr>
        <w:lastRenderedPageBreak/>
        <w:t xml:space="preserve">rendered to beneficiaries. This includes all ledgers, books, records and original evidences of cost (purchase requisitions, purchase orders, vouchers, requisitions for materials, inventories, labor time cards, payrolls, bases for apportioning costs, etc.), which pertain to the determination of reasonable cost, </w:t>
      </w:r>
      <w:r w:rsidRPr="002875D6">
        <w:rPr>
          <w:rFonts w:ascii="Times New Roman" w:hAnsi="Times New Roman"/>
          <w:i/>
          <w:iCs/>
          <w:sz w:val="24"/>
          <w:szCs w:val="24"/>
        </w:rPr>
        <w:t>capable of being audited</w:t>
      </w:r>
      <w:r>
        <w:rPr>
          <w:rFonts w:ascii="Times New Roman" w:hAnsi="Times New Roman"/>
          <w:sz w:val="24"/>
          <w:szCs w:val="24"/>
        </w:rPr>
        <w:t>.</w:t>
      </w:r>
    </w:p>
    <w:p w14:paraId="3F6F91F9" w14:textId="77777777" w:rsidR="00C10E94" w:rsidRDefault="00C10E94" w:rsidP="00C10E94">
      <w:pPr>
        <w:autoSpaceDE w:val="0"/>
        <w:autoSpaceDN w:val="0"/>
        <w:adjustRightInd w:val="0"/>
        <w:rPr>
          <w:rFonts w:ascii="Times New Roman" w:hAnsi="Times New Roman"/>
          <w:sz w:val="24"/>
          <w:szCs w:val="24"/>
        </w:rPr>
      </w:pPr>
    </w:p>
    <w:p w14:paraId="363FE36F" w14:textId="77777777" w:rsidR="00C10E94" w:rsidRDefault="00C10E94"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Financial and statistical records should be maintained in a consistent manner from one period to another. However, a proper regard for consistency need not preclude a desirable change in accounting procedures, provided that full disclosure of significant change is made to the intermediary.</w:t>
      </w:r>
    </w:p>
    <w:p w14:paraId="4C04FB54" w14:textId="77777777" w:rsidR="00105652" w:rsidRDefault="00105652" w:rsidP="002875D6">
      <w:pPr>
        <w:autoSpaceDE w:val="0"/>
        <w:autoSpaceDN w:val="0"/>
        <w:adjustRightInd w:val="0"/>
        <w:ind w:left="720" w:right="720"/>
        <w:rPr>
          <w:rFonts w:ascii="Times New Roman" w:hAnsi="Times New Roman"/>
          <w:sz w:val="24"/>
          <w:szCs w:val="24"/>
        </w:rPr>
      </w:pPr>
    </w:p>
    <w:p w14:paraId="762AB5D5" w14:textId="77777777" w:rsidR="00C10E94" w:rsidRDefault="00C10E94" w:rsidP="00647FD6">
      <w:pPr>
        <w:ind w:left="720" w:right="720"/>
        <w:rPr>
          <w:rFonts w:ascii="Times New Roman" w:hAnsi="Times New Roman"/>
          <w:sz w:val="24"/>
          <w:szCs w:val="24"/>
        </w:rPr>
      </w:pPr>
    </w:p>
    <w:p w14:paraId="5F8E90EE" w14:textId="77777777" w:rsidR="00FE32B0" w:rsidRDefault="00FE32B0" w:rsidP="00FE32B0">
      <w:pPr>
        <w:autoSpaceDE w:val="0"/>
        <w:autoSpaceDN w:val="0"/>
        <w:adjustRightInd w:val="0"/>
        <w:ind w:firstLine="720"/>
        <w:rPr>
          <w:rFonts w:ascii="Times New Roman" w:hAnsi="Times New Roman"/>
          <w:sz w:val="24"/>
          <w:szCs w:val="24"/>
        </w:rPr>
      </w:pPr>
      <w:r>
        <w:rPr>
          <w:rFonts w:ascii="Times New Roman" w:hAnsi="Times New Roman"/>
          <w:sz w:val="24"/>
          <w:szCs w:val="24"/>
        </w:rPr>
        <w:t>2306. COST FINDING METHODS</w:t>
      </w:r>
    </w:p>
    <w:p w14:paraId="7B5AF1AB" w14:textId="77777777" w:rsidR="00FE32B0" w:rsidRDefault="00FE32B0" w:rsidP="00FE32B0">
      <w:pPr>
        <w:autoSpaceDE w:val="0"/>
        <w:autoSpaceDN w:val="0"/>
        <w:adjustRightInd w:val="0"/>
        <w:ind w:firstLine="720"/>
        <w:rPr>
          <w:rFonts w:ascii="Times New Roman" w:hAnsi="Times New Roman"/>
          <w:sz w:val="24"/>
          <w:szCs w:val="24"/>
        </w:rPr>
      </w:pPr>
    </w:p>
    <w:p w14:paraId="6AF62CF2" w14:textId="77777777" w:rsidR="004F5931" w:rsidRDefault="00FE32B0" w:rsidP="00FE32B0">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Departments within a provider are usually divided into two types: </w:t>
      </w:r>
    </w:p>
    <w:p w14:paraId="01273BA0" w14:textId="77777777" w:rsidR="00FE32B0" w:rsidRDefault="00FE32B0" w:rsidP="002875D6">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1) Those that produce patient care revenue (e.g., routine services, radiology), and 2) Those that do not directly generate patient care revenue but are utilized as a service by other departments (e.g., laundry and linen, dietary). The two types of departments are commonly referred to as "revenue-producing cost centers" and "nonrevenue-producing cost centers," respectively. </w:t>
      </w:r>
    </w:p>
    <w:p w14:paraId="59271867" w14:textId="77777777" w:rsidR="00FE32B0" w:rsidRDefault="00FE32B0" w:rsidP="00FE32B0">
      <w:pPr>
        <w:autoSpaceDE w:val="0"/>
        <w:autoSpaceDN w:val="0"/>
        <w:adjustRightInd w:val="0"/>
        <w:rPr>
          <w:rFonts w:ascii="Times New Roman" w:hAnsi="Times New Roman"/>
          <w:sz w:val="24"/>
          <w:szCs w:val="24"/>
        </w:rPr>
      </w:pPr>
    </w:p>
    <w:p w14:paraId="4BE018DC" w14:textId="77777777" w:rsidR="00FE32B0" w:rsidRDefault="00FE32B0" w:rsidP="002875D6">
      <w:pPr>
        <w:tabs>
          <w:tab w:val="left" w:pos="72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Although nonrevenue-producing cost centers do not directly produce patient care revenue, they contribute indirectly to patient care revenue generated by "serving" as a service to the revenue producing centers and also to other nonrevenue-producing centers. Therefore, for the purpose of proper matching of revenue and expenses, the cost of the revenue-producing centers should include both its direct expenses and its proportionate share of the costs of each nonrevenue-producing center (indirect costs) based on the amount of services received. </w:t>
      </w:r>
      <w:r w:rsidRPr="002875D6">
        <w:rPr>
          <w:rFonts w:ascii="Times New Roman" w:hAnsi="Times New Roman"/>
          <w:i/>
          <w:iCs/>
          <w:sz w:val="24"/>
          <w:szCs w:val="24"/>
        </w:rPr>
        <w:t>The process of allocating the cost of a particular nonrevenue-producing center to other nonrevenue-producing centers and revenue producing centers is performed by utilizing a set of statistics</w:t>
      </w:r>
      <w:r>
        <w:rPr>
          <w:rFonts w:ascii="Times New Roman" w:hAnsi="Times New Roman"/>
          <w:sz w:val="24"/>
          <w:szCs w:val="24"/>
        </w:rPr>
        <w:t xml:space="preserve"> (e.g., pounds of laundry for allocating "laundry and linen" costs, square feet for allocating "depreciation building" costs).</w:t>
      </w:r>
    </w:p>
    <w:p w14:paraId="6F26955F" w14:textId="77777777" w:rsidR="00FE32B0" w:rsidRDefault="00FE32B0" w:rsidP="00FE32B0">
      <w:pPr>
        <w:autoSpaceDE w:val="0"/>
        <w:autoSpaceDN w:val="0"/>
        <w:adjustRightInd w:val="0"/>
        <w:rPr>
          <w:rFonts w:ascii="Times New Roman" w:hAnsi="Times New Roman"/>
          <w:sz w:val="24"/>
          <w:szCs w:val="24"/>
        </w:rPr>
      </w:pPr>
    </w:p>
    <w:p w14:paraId="363D5B78" w14:textId="77777777" w:rsidR="00D60B3B" w:rsidRDefault="00FE32B0"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Every nonrevenue-producing cost center has the potential of being allocated to every other nonrevenue-producing cost center in addition to the revenue-producing cost centers. This precludes a simple allocation of the direct expense of the nonrevenue-producing cost center because </w:t>
      </w:r>
      <w:r w:rsidRPr="002875D6">
        <w:rPr>
          <w:rFonts w:ascii="Times New Roman" w:hAnsi="Times New Roman"/>
          <w:i/>
          <w:iCs/>
          <w:sz w:val="24"/>
          <w:szCs w:val="24"/>
        </w:rPr>
        <w:t xml:space="preserve">the indirect costs derived from allocation of other nonrevenue-producing cost centers must be computed in determining the "full cost" (direct and indirect costs) of the nonrevenue-producing </w:t>
      </w:r>
      <w:r w:rsidRPr="002875D6">
        <w:rPr>
          <w:rFonts w:ascii="Times New Roman" w:hAnsi="Times New Roman"/>
          <w:i/>
          <w:iCs/>
          <w:sz w:val="24"/>
          <w:szCs w:val="24"/>
        </w:rPr>
        <w:lastRenderedPageBreak/>
        <w:t>cost center being allocated.</w:t>
      </w:r>
      <w:r>
        <w:rPr>
          <w:rFonts w:ascii="Times New Roman" w:hAnsi="Times New Roman"/>
          <w:sz w:val="24"/>
          <w:szCs w:val="24"/>
        </w:rPr>
        <w:t xml:space="preserve"> All cost finding methods employ this computation in determining the full costs of departments.</w:t>
      </w:r>
    </w:p>
    <w:p w14:paraId="6AEACB1B" w14:textId="77777777" w:rsidR="00D60B3B" w:rsidRDefault="00D60B3B" w:rsidP="00647FD6">
      <w:pPr>
        <w:ind w:left="720" w:right="720"/>
        <w:rPr>
          <w:rFonts w:ascii="Times New Roman" w:hAnsi="Times New Roman"/>
          <w:sz w:val="24"/>
          <w:szCs w:val="24"/>
        </w:rPr>
      </w:pPr>
    </w:p>
    <w:p w14:paraId="4C7EB3B5" w14:textId="77777777" w:rsidR="00D60B3B" w:rsidRDefault="00FE32B0" w:rsidP="00286529">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2306.1 Step-Down Method.--This method recognizes that services rendered by certain nonrevenue-producing departments or centers are utilized by certain other nonrevenue-producing centers, as well as by the revenue-producing centers. </w:t>
      </w:r>
      <w:r w:rsidRPr="00336547">
        <w:rPr>
          <w:rFonts w:ascii="Times New Roman" w:hAnsi="Times New Roman"/>
          <w:i/>
          <w:iCs/>
          <w:sz w:val="24"/>
          <w:szCs w:val="24"/>
        </w:rPr>
        <w:t>All costs of nonrevenue-producing centers are allocated to all centers which they serve, regardless of whether these centers produce revenue.</w:t>
      </w:r>
      <w:r>
        <w:rPr>
          <w:rFonts w:ascii="Times New Roman" w:hAnsi="Times New Roman"/>
          <w:sz w:val="24"/>
          <w:szCs w:val="24"/>
        </w:rPr>
        <w:t xml:space="preserve"> The cost of the nonrevenue-producing center serving the greatest number of other centers is allocated first. Following the allocation of the cost of the nonrevenue-producing center, that center will be considered "closed" and no further costs are allocated to that center. This applies even though it may</w:t>
      </w:r>
      <w:r w:rsidR="00286529">
        <w:rPr>
          <w:rFonts w:ascii="Times New Roman" w:hAnsi="Times New Roman"/>
          <w:sz w:val="24"/>
          <w:szCs w:val="24"/>
        </w:rPr>
        <w:t xml:space="preserve"> </w:t>
      </w:r>
      <w:r>
        <w:rPr>
          <w:rFonts w:ascii="Times New Roman" w:hAnsi="Times New Roman"/>
          <w:sz w:val="24"/>
          <w:szCs w:val="24"/>
        </w:rPr>
        <w:t>have received some services from a center whose cost is allocated later. Generally, when two centers render service to an equal number of centers while receiving benefits from an equal number, that center which has the greatest amount of expense should be allocated first.</w:t>
      </w:r>
    </w:p>
    <w:p w14:paraId="33C10BFC" w14:textId="77777777" w:rsidR="002C39DF" w:rsidRDefault="002C39DF" w:rsidP="002C39DF">
      <w:pPr>
        <w:autoSpaceDE w:val="0"/>
        <w:autoSpaceDN w:val="0"/>
        <w:adjustRightInd w:val="0"/>
        <w:ind w:left="720" w:right="720"/>
        <w:rPr>
          <w:rFonts w:ascii="Times New Roman" w:hAnsi="Times New Roman"/>
          <w:sz w:val="24"/>
          <w:szCs w:val="24"/>
        </w:rPr>
      </w:pPr>
    </w:p>
    <w:p w14:paraId="0FF5853C" w14:textId="77777777" w:rsidR="00AC5586" w:rsidRDefault="00AC5586" w:rsidP="00286529">
      <w:pPr>
        <w:autoSpaceDE w:val="0"/>
        <w:autoSpaceDN w:val="0"/>
        <w:adjustRightInd w:val="0"/>
        <w:ind w:left="720" w:right="720"/>
        <w:rPr>
          <w:rFonts w:ascii="Times New Roman" w:hAnsi="Times New Roman"/>
          <w:sz w:val="24"/>
          <w:szCs w:val="24"/>
        </w:rPr>
      </w:pPr>
    </w:p>
    <w:p w14:paraId="59051B99" w14:textId="77777777" w:rsidR="00AC5586" w:rsidRDefault="00AC5586" w:rsidP="002875D6">
      <w:pPr>
        <w:autoSpaceDE w:val="0"/>
        <w:autoSpaceDN w:val="0"/>
        <w:adjustRightInd w:val="0"/>
        <w:spacing w:line="480" w:lineRule="auto"/>
        <w:ind w:right="720"/>
        <w:rPr>
          <w:rFonts w:ascii="Times New Roman" w:hAnsi="Times New Roman"/>
          <w:sz w:val="24"/>
          <w:szCs w:val="24"/>
        </w:rPr>
      </w:pPr>
      <w:r>
        <w:rPr>
          <w:rFonts w:ascii="Times New Roman" w:hAnsi="Times New Roman"/>
          <w:sz w:val="24"/>
          <w:szCs w:val="24"/>
        </w:rPr>
        <w:t>Section 2306 describe</w:t>
      </w:r>
      <w:r w:rsidR="00273125">
        <w:rPr>
          <w:rFonts w:ascii="Times New Roman" w:hAnsi="Times New Roman"/>
          <w:sz w:val="24"/>
          <w:szCs w:val="24"/>
        </w:rPr>
        <w:t>s</w:t>
      </w:r>
      <w:r>
        <w:rPr>
          <w:rFonts w:ascii="Times New Roman" w:hAnsi="Times New Roman"/>
          <w:sz w:val="24"/>
          <w:szCs w:val="24"/>
        </w:rPr>
        <w:t xml:space="preserve"> additional cost </w:t>
      </w:r>
      <w:r w:rsidR="00273125">
        <w:rPr>
          <w:rFonts w:ascii="Times New Roman" w:hAnsi="Times New Roman"/>
          <w:sz w:val="24"/>
          <w:szCs w:val="24"/>
        </w:rPr>
        <w:t xml:space="preserve">finding </w:t>
      </w:r>
      <w:r>
        <w:rPr>
          <w:rFonts w:ascii="Times New Roman" w:hAnsi="Times New Roman"/>
          <w:sz w:val="24"/>
          <w:szCs w:val="24"/>
        </w:rPr>
        <w:t>methods</w:t>
      </w:r>
      <w:r w:rsidR="00273125">
        <w:rPr>
          <w:rFonts w:ascii="Times New Roman" w:hAnsi="Times New Roman"/>
          <w:sz w:val="24"/>
          <w:szCs w:val="24"/>
        </w:rPr>
        <w:t xml:space="preserve"> which are generally more complicated than the Step-Down Method.</w:t>
      </w:r>
    </w:p>
    <w:p w14:paraId="34009D64" w14:textId="77777777" w:rsidR="00D60B3B" w:rsidRDefault="00D60B3B" w:rsidP="00647FD6">
      <w:pPr>
        <w:ind w:left="720" w:right="720"/>
        <w:rPr>
          <w:rFonts w:ascii="Times New Roman" w:hAnsi="Times New Roman"/>
          <w:sz w:val="24"/>
          <w:szCs w:val="24"/>
        </w:rPr>
      </w:pPr>
    </w:p>
    <w:p w14:paraId="16A2D2E2" w14:textId="77777777" w:rsidR="00AC5586" w:rsidRDefault="00AC5586" w:rsidP="00AC5586">
      <w:pPr>
        <w:ind w:left="720" w:right="720"/>
        <w:rPr>
          <w:rFonts w:ascii="Times New Roman" w:hAnsi="Times New Roman"/>
          <w:sz w:val="24"/>
          <w:szCs w:val="24"/>
        </w:rPr>
      </w:pPr>
      <w:r>
        <w:rPr>
          <w:rFonts w:ascii="Times New Roman" w:hAnsi="Times New Roman"/>
          <w:sz w:val="24"/>
          <w:szCs w:val="24"/>
        </w:rPr>
        <w:t>2307. DIRECT ASSIGNMENT OF GENERAL SERVICE COSTS</w:t>
      </w:r>
    </w:p>
    <w:p w14:paraId="7F80DB80" w14:textId="77777777" w:rsidR="00D60B3B" w:rsidRDefault="00D60B3B" w:rsidP="00647FD6">
      <w:pPr>
        <w:ind w:left="720" w:right="720"/>
        <w:rPr>
          <w:rFonts w:ascii="Times New Roman" w:hAnsi="Times New Roman"/>
          <w:sz w:val="24"/>
          <w:szCs w:val="24"/>
        </w:rPr>
      </w:pPr>
    </w:p>
    <w:p w14:paraId="0D71AE92" w14:textId="77777777" w:rsidR="00647FD6" w:rsidRDefault="00647FD6" w:rsidP="00647FD6">
      <w:pPr>
        <w:ind w:left="720" w:right="720"/>
        <w:rPr>
          <w:rFonts w:ascii="Times New Roman" w:hAnsi="Times New Roman"/>
          <w:sz w:val="24"/>
          <w:szCs w:val="24"/>
        </w:rPr>
      </w:pPr>
      <w:r>
        <w:rPr>
          <w:rFonts w:ascii="Times New Roman" w:hAnsi="Times New Roman"/>
          <w:sz w:val="24"/>
          <w:szCs w:val="24"/>
        </w:rPr>
        <w:t xml:space="preserve">The costs of a general service cost center need to be allocated to the cost centers receiving services from that cost center.  This allocation process is usually made, for Medicare cost reporting purposes, through cost finding using a statistical basis that measures the benefit received by each cost center.  </w:t>
      </w:r>
      <w:r w:rsidRPr="002875D6">
        <w:rPr>
          <w:rFonts w:ascii="Times New Roman" w:hAnsi="Times New Roman"/>
          <w:i/>
          <w:iCs/>
          <w:sz w:val="24"/>
          <w:szCs w:val="24"/>
        </w:rPr>
        <w:t>Alternatives to cost finding as described below may be used where appropriate after obtaining intermediary approval. The provider must make a written request to its intermediary and submit reasonable justification for approval of the change no later than 90 days prior to the beginning of the cost reporting period for which the change is to apply.</w:t>
      </w:r>
      <w:r>
        <w:rPr>
          <w:rFonts w:ascii="Times New Roman" w:hAnsi="Times New Roman"/>
          <w:sz w:val="24"/>
          <w:szCs w:val="24"/>
        </w:rPr>
        <w:t xml:space="preserve">  The intermediary must respond in writing to the provider’s request, whether approving or denying the request, prior to the beginning of the cost reporting period to which the change is to apply.</w:t>
      </w:r>
    </w:p>
    <w:p w14:paraId="5D42CE42" w14:textId="77777777" w:rsidR="007974D3" w:rsidRDefault="007974D3" w:rsidP="00647FD6">
      <w:pPr>
        <w:ind w:left="720" w:right="720"/>
        <w:rPr>
          <w:rFonts w:ascii="Times New Roman" w:hAnsi="Times New Roman"/>
          <w:sz w:val="24"/>
          <w:szCs w:val="24"/>
        </w:rPr>
      </w:pPr>
    </w:p>
    <w:p w14:paraId="66EFB528" w14:textId="77777777" w:rsidR="007974D3" w:rsidRDefault="007974D3" w:rsidP="00647FD6">
      <w:pPr>
        <w:ind w:left="720" w:right="720"/>
        <w:rPr>
          <w:rFonts w:ascii="Times New Roman" w:hAnsi="Times New Roman"/>
          <w:sz w:val="24"/>
          <w:szCs w:val="24"/>
        </w:rPr>
      </w:pPr>
      <w:r>
        <w:rPr>
          <w:rFonts w:ascii="Times New Roman" w:hAnsi="Times New Roman"/>
          <w:sz w:val="24"/>
          <w:szCs w:val="24"/>
        </w:rPr>
        <w:t xml:space="preserve">When the request is approved, the change must be applied to the cost reporting period for which the request was made, and to all subsequent cost reporting periods unless the intermediary approves a subsequent request for a change by the provider.  The effective date of the change </w:t>
      </w:r>
      <w:r>
        <w:rPr>
          <w:rFonts w:ascii="Times New Roman" w:hAnsi="Times New Roman"/>
          <w:sz w:val="24"/>
          <w:szCs w:val="24"/>
        </w:rPr>
        <w:lastRenderedPageBreak/>
        <w:t>will be the beginning of the cost reporting period for which the request has been made.</w:t>
      </w:r>
    </w:p>
    <w:p w14:paraId="1505B10D" w14:textId="77777777" w:rsidR="00D93AD2" w:rsidRDefault="00D93AD2" w:rsidP="00647FD6">
      <w:pPr>
        <w:ind w:left="720" w:right="720"/>
        <w:rPr>
          <w:rFonts w:ascii="Times New Roman" w:hAnsi="Times New Roman"/>
          <w:sz w:val="24"/>
          <w:szCs w:val="24"/>
        </w:rPr>
      </w:pPr>
    </w:p>
    <w:p w14:paraId="1665FA52" w14:textId="77777777" w:rsidR="007974D3" w:rsidRPr="00647889" w:rsidRDefault="00D93AD2" w:rsidP="002875D6">
      <w:pPr>
        <w:ind w:left="720" w:right="720" w:firstLine="720"/>
        <w:rPr>
          <w:rFonts w:ascii="Times New Roman" w:hAnsi="Times New Roman"/>
          <w:sz w:val="24"/>
          <w:szCs w:val="24"/>
        </w:rPr>
      </w:pPr>
      <w:r>
        <w:rPr>
          <w:rFonts w:ascii="Times New Roman" w:hAnsi="Times New Roman"/>
          <w:sz w:val="24"/>
          <w:szCs w:val="24"/>
          <w:u w:val="single"/>
        </w:rPr>
        <w:t xml:space="preserve">A.   </w:t>
      </w:r>
      <w:r w:rsidR="007974D3" w:rsidRPr="00647889">
        <w:rPr>
          <w:rFonts w:ascii="Times New Roman" w:hAnsi="Times New Roman"/>
          <w:sz w:val="24"/>
          <w:szCs w:val="24"/>
          <w:u w:val="single"/>
        </w:rPr>
        <w:t>Direct Assignment of Cost</w:t>
      </w:r>
      <w:r w:rsidR="007974D3" w:rsidRPr="00647889">
        <w:rPr>
          <w:rFonts w:ascii="Times New Roman" w:hAnsi="Times New Roman"/>
          <w:sz w:val="24"/>
          <w:szCs w:val="24"/>
        </w:rPr>
        <w:t xml:space="preserve">.—Direct assignment of cost is the process of assigning directly allocable costs of a general service cost center (see  §2302.9) to all cost centers receiving service from that cost center </w:t>
      </w:r>
      <w:r w:rsidR="007974D3" w:rsidRPr="002875D6">
        <w:rPr>
          <w:rFonts w:ascii="Times New Roman" w:hAnsi="Times New Roman"/>
          <w:i/>
          <w:iCs/>
          <w:sz w:val="24"/>
          <w:szCs w:val="24"/>
        </w:rPr>
        <w:t>based upon actual auditable usage</w:t>
      </w:r>
      <w:r w:rsidR="007974D3" w:rsidRPr="00647889">
        <w:rPr>
          <w:rFonts w:ascii="Times New Roman" w:hAnsi="Times New Roman"/>
          <w:sz w:val="24"/>
          <w:szCs w:val="24"/>
        </w:rPr>
        <w:t xml:space="preserve">.  Hours worked by hourly wage or metered utility consumption are examples of measures of actual usage.  </w:t>
      </w:r>
      <w:r w:rsidR="007974D3" w:rsidRPr="002875D6">
        <w:rPr>
          <w:rFonts w:ascii="Times New Roman" w:hAnsi="Times New Roman"/>
          <w:i/>
          <w:iCs/>
          <w:sz w:val="24"/>
          <w:szCs w:val="24"/>
        </w:rPr>
        <w:t xml:space="preserve">Estimates, including </w:t>
      </w:r>
      <w:r w:rsidR="00647889">
        <w:rPr>
          <w:rFonts w:ascii="Times New Roman" w:hAnsi="Times New Roman"/>
          <w:i/>
          <w:iCs/>
          <w:sz w:val="24"/>
          <w:szCs w:val="24"/>
        </w:rPr>
        <w:t xml:space="preserve">a </w:t>
      </w:r>
      <w:r w:rsidR="007974D3" w:rsidRPr="002875D6">
        <w:rPr>
          <w:rFonts w:ascii="Times New Roman" w:hAnsi="Times New Roman"/>
          <w:i/>
          <w:iCs/>
          <w:sz w:val="24"/>
          <w:szCs w:val="24"/>
        </w:rPr>
        <w:t xml:space="preserve">statistical surrogate </w:t>
      </w:r>
      <w:r w:rsidR="00647889" w:rsidRPr="00647889">
        <w:rPr>
          <w:rFonts w:ascii="Times New Roman" w:hAnsi="Times New Roman"/>
          <w:i/>
          <w:iCs/>
          <w:sz w:val="24"/>
          <w:szCs w:val="24"/>
        </w:rPr>
        <w:t xml:space="preserve">such as square feet, are not acceptable. Time studies are considered statistical </w:t>
      </w:r>
      <w:r w:rsidR="00647889" w:rsidRPr="007D3077">
        <w:rPr>
          <w:rFonts w:ascii="Times New Roman" w:hAnsi="Times New Roman"/>
          <w:i/>
          <w:iCs/>
          <w:sz w:val="24"/>
          <w:szCs w:val="24"/>
        </w:rPr>
        <w:t xml:space="preserve">surrogates </w:t>
      </w:r>
      <w:r w:rsidR="007974D3" w:rsidRPr="002875D6">
        <w:rPr>
          <w:rFonts w:ascii="Times New Roman" w:hAnsi="Times New Roman"/>
          <w:i/>
          <w:iCs/>
          <w:sz w:val="24"/>
          <w:szCs w:val="24"/>
        </w:rPr>
        <w:t>and, thus, may not be used as a basis for direct assignments of costs.</w:t>
      </w:r>
      <w:r w:rsidR="007974D3" w:rsidRPr="00647889">
        <w:rPr>
          <w:rFonts w:ascii="Times New Roman" w:hAnsi="Times New Roman"/>
          <w:sz w:val="24"/>
          <w:szCs w:val="24"/>
        </w:rPr>
        <w:t xml:space="preserve">  Indirectly allocable supervision costs, other indirectly allocable costs (hereinafter, residual costs) and costs allocated from previously allocated general service cost centers (hereinafter, overhead costs) must not be directly assigned to the using cost </w:t>
      </w:r>
      <w:r w:rsidR="0091716C" w:rsidRPr="00647889">
        <w:rPr>
          <w:rFonts w:ascii="Times New Roman" w:hAnsi="Times New Roman"/>
          <w:sz w:val="24"/>
          <w:szCs w:val="24"/>
        </w:rPr>
        <w:t>centers, but must be allocated through cost finding</w:t>
      </w:r>
      <w:r w:rsidR="004F5931">
        <w:rPr>
          <w:rFonts w:ascii="Times New Roman" w:hAnsi="Times New Roman"/>
          <w:sz w:val="24"/>
          <w:szCs w:val="24"/>
        </w:rPr>
        <w:t>…</w:t>
      </w:r>
    </w:p>
    <w:p w14:paraId="6140D0E9" w14:textId="77777777" w:rsidR="0091716C" w:rsidRDefault="0091716C" w:rsidP="0091716C">
      <w:pPr>
        <w:ind w:left="720" w:right="720"/>
        <w:rPr>
          <w:rFonts w:ascii="Times New Roman" w:hAnsi="Times New Roman"/>
          <w:sz w:val="24"/>
          <w:szCs w:val="24"/>
          <w:u w:val="single"/>
        </w:rPr>
      </w:pPr>
    </w:p>
    <w:p w14:paraId="0E9B7288" w14:textId="77777777" w:rsidR="0091716C" w:rsidRDefault="0091716C" w:rsidP="0091716C">
      <w:pPr>
        <w:ind w:left="720" w:right="720"/>
        <w:rPr>
          <w:rFonts w:ascii="Times New Roman" w:hAnsi="Times New Roman"/>
          <w:sz w:val="24"/>
          <w:szCs w:val="24"/>
        </w:rPr>
      </w:pPr>
      <w:r w:rsidRPr="002875D6">
        <w:rPr>
          <w:rFonts w:ascii="Times New Roman" w:hAnsi="Times New Roman"/>
          <w:i/>
          <w:iCs/>
          <w:sz w:val="24"/>
          <w:szCs w:val="24"/>
        </w:rPr>
        <w:t>The direct assignment of costs must be made as part of the provider’s accounting system with costs recorded in the ongoing normal accounting process.</w:t>
      </w:r>
      <w:r>
        <w:rPr>
          <w:rFonts w:ascii="Times New Roman" w:hAnsi="Times New Roman"/>
          <w:sz w:val="24"/>
          <w:szCs w:val="24"/>
        </w:rPr>
        <w:t xml:space="preserve">  This means costs are to be recorded on a regular basis throughout the accounting period</w:t>
      </w:r>
      <w:r w:rsidR="000716A6">
        <w:rPr>
          <w:rFonts w:ascii="Times New Roman" w:hAnsi="Times New Roman"/>
          <w:sz w:val="24"/>
          <w:szCs w:val="24"/>
        </w:rPr>
        <w:t>, not only as period ending adjusting entries.  For example, if the costs being directly assigned are an element of payroll costs, the direct assignment should be recorded as often as all payroll costs are recorded (usually each pay period).  If a provider fails to maintain the records as specified in its request and as a basis for the intermediary’s approval, no direct assignment of cost is allowed for the cost reporting period and a new request must be initiated for any future direct assignment of cost.</w:t>
      </w:r>
    </w:p>
    <w:p w14:paraId="7C8596DB" w14:textId="77777777" w:rsidR="000716A6" w:rsidRDefault="000716A6" w:rsidP="0091716C">
      <w:pPr>
        <w:ind w:left="720" w:right="720"/>
        <w:rPr>
          <w:rFonts w:ascii="Times New Roman" w:hAnsi="Times New Roman"/>
          <w:sz w:val="24"/>
          <w:szCs w:val="24"/>
        </w:rPr>
      </w:pPr>
    </w:p>
    <w:p w14:paraId="2BF94C64" w14:textId="77777777" w:rsidR="000716A6" w:rsidRDefault="000716A6" w:rsidP="0091716C">
      <w:pPr>
        <w:ind w:left="720" w:right="720"/>
        <w:rPr>
          <w:rFonts w:ascii="Times New Roman" w:hAnsi="Times New Roman"/>
          <w:sz w:val="24"/>
          <w:szCs w:val="24"/>
        </w:rPr>
      </w:pPr>
      <w:r>
        <w:rPr>
          <w:rFonts w:ascii="Times New Roman" w:hAnsi="Times New Roman"/>
          <w:sz w:val="24"/>
          <w:szCs w:val="24"/>
        </w:rPr>
        <w:t>Examples of acceptable direct assignment of cost to benefiting cost centers are salaries paid to housekeeping staff directly assigned, based on time records of housekeeping maintained throughout the cost reporting period; purchased laundry and linen costs directly assigned, base</w:t>
      </w:r>
      <w:r w:rsidR="00647889">
        <w:rPr>
          <w:rFonts w:ascii="Times New Roman" w:hAnsi="Times New Roman"/>
          <w:sz w:val="24"/>
          <w:szCs w:val="24"/>
        </w:rPr>
        <w:t>d</w:t>
      </w:r>
      <w:r>
        <w:rPr>
          <w:rFonts w:ascii="Times New Roman" w:hAnsi="Times New Roman"/>
          <w:sz w:val="24"/>
          <w:szCs w:val="24"/>
        </w:rPr>
        <w:t xml:space="preserve"> on invoices which identify the cost for each benefiting cost center; and </w:t>
      </w:r>
      <w:r w:rsidRPr="002875D6">
        <w:rPr>
          <w:rFonts w:ascii="Times New Roman" w:hAnsi="Times New Roman"/>
          <w:i/>
          <w:iCs/>
          <w:sz w:val="24"/>
          <w:szCs w:val="24"/>
        </w:rPr>
        <w:t>depreciation on moveable equipment physically present or used in each of the cost centers</w:t>
      </w:r>
      <w:r>
        <w:rPr>
          <w:rFonts w:ascii="Times New Roman" w:hAnsi="Times New Roman"/>
          <w:sz w:val="24"/>
          <w:szCs w:val="24"/>
        </w:rPr>
        <w:t>.</w:t>
      </w:r>
    </w:p>
    <w:p w14:paraId="15F4637C" w14:textId="77777777" w:rsidR="00E005FD" w:rsidRDefault="00E005FD" w:rsidP="0091716C">
      <w:pPr>
        <w:ind w:left="720" w:right="720"/>
        <w:rPr>
          <w:rFonts w:ascii="Times New Roman" w:hAnsi="Times New Roman"/>
          <w:sz w:val="24"/>
          <w:szCs w:val="24"/>
        </w:rPr>
      </w:pPr>
    </w:p>
    <w:p w14:paraId="5B9946A4" w14:textId="77777777" w:rsidR="00A2297F" w:rsidRDefault="00A2297F" w:rsidP="0091716C">
      <w:pPr>
        <w:ind w:left="720" w:right="720"/>
        <w:rPr>
          <w:rFonts w:ascii="Times New Roman" w:hAnsi="Times New Roman"/>
          <w:sz w:val="24"/>
          <w:szCs w:val="24"/>
        </w:rPr>
      </w:pPr>
    </w:p>
    <w:p w14:paraId="2237DD11" w14:textId="77777777" w:rsidR="00ED5A90" w:rsidRDefault="00ED5A90" w:rsidP="00ED5A90">
      <w:pPr>
        <w:ind w:left="720" w:right="720"/>
        <w:rPr>
          <w:rFonts w:ascii="Times New Roman" w:hAnsi="Times New Roman"/>
          <w:sz w:val="24"/>
          <w:szCs w:val="24"/>
        </w:rPr>
      </w:pPr>
      <w:r w:rsidRPr="00ED5A90">
        <w:rPr>
          <w:rFonts w:ascii="Times New Roman" w:hAnsi="Times New Roman"/>
          <w:sz w:val="24"/>
          <w:szCs w:val="24"/>
        </w:rPr>
        <w:t>2312. CHANGING COST FINDING METHODS</w:t>
      </w:r>
    </w:p>
    <w:p w14:paraId="5428A6B2" w14:textId="77777777" w:rsidR="00ED5A90" w:rsidRPr="00ED5A90" w:rsidRDefault="00ED5A90" w:rsidP="00ED5A90">
      <w:pPr>
        <w:ind w:left="720" w:right="720"/>
        <w:rPr>
          <w:rFonts w:ascii="Times New Roman" w:hAnsi="Times New Roman"/>
          <w:sz w:val="24"/>
          <w:szCs w:val="24"/>
        </w:rPr>
      </w:pPr>
    </w:p>
    <w:p w14:paraId="368FEC7B" w14:textId="77777777" w:rsidR="00ED5A90" w:rsidRDefault="00ED5A90" w:rsidP="00ED5A90">
      <w:pPr>
        <w:ind w:left="720" w:right="720"/>
        <w:rPr>
          <w:rFonts w:ascii="Times New Roman" w:hAnsi="Times New Roman"/>
          <w:sz w:val="24"/>
          <w:szCs w:val="24"/>
        </w:rPr>
      </w:pPr>
      <w:r w:rsidRPr="00ED5A90">
        <w:rPr>
          <w:rFonts w:ascii="Times New Roman" w:hAnsi="Times New Roman"/>
          <w:sz w:val="24"/>
          <w:szCs w:val="24"/>
        </w:rPr>
        <w:t xml:space="preserve">Should a provider (other than a free-standing home health agency) desire to change cost finding methods (regardless of whether the desired change is to be a more or less sophisticated method), the </w:t>
      </w:r>
      <w:r w:rsidRPr="002875D6">
        <w:rPr>
          <w:rFonts w:ascii="Times New Roman" w:hAnsi="Times New Roman"/>
          <w:i/>
          <w:iCs/>
          <w:sz w:val="24"/>
          <w:szCs w:val="24"/>
        </w:rPr>
        <w:t xml:space="preserve">request to change must be made to the intermediary in writing and must be submitted to the intermediary 90 days prior to the end of the </w:t>
      </w:r>
      <w:r w:rsidRPr="002875D6">
        <w:rPr>
          <w:rFonts w:ascii="Times New Roman" w:hAnsi="Times New Roman"/>
          <w:i/>
          <w:iCs/>
          <w:sz w:val="24"/>
          <w:szCs w:val="24"/>
        </w:rPr>
        <w:lastRenderedPageBreak/>
        <w:t>cost reporting period to which the request for change applies</w:t>
      </w:r>
      <w:r w:rsidRPr="00ED5A90">
        <w:rPr>
          <w:rFonts w:ascii="Times New Roman" w:hAnsi="Times New Roman"/>
          <w:sz w:val="24"/>
          <w:szCs w:val="24"/>
        </w:rPr>
        <w:t>.</w:t>
      </w:r>
      <w:r w:rsidR="000367CD">
        <w:rPr>
          <w:rFonts w:ascii="Times New Roman" w:hAnsi="Times New Roman"/>
          <w:sz w:val="24"/>
          <w:szCs w:val="24"/>
        </w:rPr>
        <w:t xml:space="preserve">  (</w:t>
      </w:r>
      <w:r w:rsidR="000367CD" w:rsidRPr="000367CD">
        <w:rPr>
          <w:rFonts w:ascii="Times New Roman" w:hAnsi="Times New Roman"/>
          <w:b/>
          <w:bCs/>
          <w:sz w:val="24"/>
          <w:szCs w:val="24"/>
        </w:rPr>
        <w:t>Exhibit C-</w:t>
      </w:r>
      <w:r w:rsidR="00DB57F4">
        <w:rPr>
          <w:rFonts w:ascii="Times New Roman" w:hAnsi="Times New Roman"/>
          <w:b/>
          <w:bCs/>
          <w:sz w:val="24"/>
          <w:szCs w:val="24"/>
        </w:rPr>
        <w:t>4</w:t>
      </w:r>
      <w:r w:rsidR="000367CD">
        <w:rPr>
          <w:rFonts w:ascii="Times New Roman" w:hAnsi="Times New Roman"/>
          <w:sz w:val="24"/>
          <w:szCs w:val="24"/>
        </w:rPr>
        <w:t>)</w:t>
      </w:r>
    </w:p>
    <w:p w14:paraId="4A700127" w14:textId="77777777" w:rsidR="00A00DBE" w:rsidRDefault="00A00DBE" w:rsidP="00ED5A90">
      <w:pPr>
        <w:ind w:left="720" w:right="720"/>
        <w:rPr>
          <w:rFonts w:ascii="Times New Roman" w:hAnsi="Times New Roman"/>
          <w:sz w:val="24"/>
          <w:szCs w:val="24"/>
        </w:rPr>
      </w:pPr>
    </w:p>
    <w:p w14:paraId="45E9002C" w14:textId="77777777" w:rsidR="00ED5A90" w:rsidRDefault="00ED5A90" w:rsidP="0091716C">
      <w:pPr>
        <w:ind w:left="720" w:right="720"/>
        <w:rPr>
          <w:rFonts w:ascii="Times New Roman" w:hAnsi="Times New Roman"/>
          <w:sz w:val="24"/>
          <w:szCs w:val="24"/>
        </w:rPr>
      </w:pPr>
    </w:p>
    <w:p w14:paraId="16B86B02" w14:textId="77777777" w:rsidR="00A2297F" w:rsidRDefault="001D1D66" w:rsidP="002875D6">
      <w:pPr>
        <w:spacing w:line="480" w:lineRule="auto"/>
        <w:ind w:right="720"/>
        <w:rPr>
          <w:rFonts w:ascii="Times New Roman" w:hAnsi="Times New Roman"/>
          <w:sz w:val="24"/>
          <w:szCs w:val="24"/>
        </w:rPr>
      </w:pPr>
      <w:r w:rsidRPr="001D1D66">
        <w:rPr>
          <w:rFonts w:ascii="Times New Roman" w:hAnsi="Times New Roman"/>
          <w:sz w:val="24"/>
          <w:szCs w:val="24"/>
        </w:rPr>
        <w:t>CMS Publication 15-</w:t>
      </w:r>
      <w:r w:rsidR="00A00DBE">
        <w:rPr>
          <w:rFonts w:ascii="Times New Roman" w:hAnsi="Times New Roman"/>
          <w:sz w:val="24"/>
          <w:szCs w:val="24"/>
        </w:rPr>
        <w:t>2, The P</w:t>
      </w:r>
      <w:r w:rsidR="00E350A8">
        <w:rPr>
          <w:rFonts w:ascii="Times New Roman" w:hAnsi="Times New Roman"/>
          <w:sz w:val="24"/>
          <w:szCs w:val="24"/>
        </w:rPr>
        <w:t>RM</w:t>
      </w:r>
      <w:r w:rsidR="00A00DBE">
        <w:rPr>
          <w:rFonts w:ascii="Times New Roman" w:hAnsi="Times New Roman"/>
          <w:sz w:val="24"/>
          <w:szCs w:val="24"/>
        </w:rPr>
        <w:t>-Part 2</w:t>
      </w:r>
      <w:r w:rsidR="00E005FD">
        <w:rPr>
          <w:rFonts w:ascii="Times New Roman" w:hAnsi="Times New Roman"/>
          <w:sz w:val="24"/>
          <w:szCs w:val="24"/>
        </w:rPr>
        <w:t xml:space="preserve"> (</w:t>
      </w:r>
      <w:r w:rsidR="00E005FD" w:rsidRPr="00E005FD">
        <w:rPr>
          <w:rFonts w:ascii="Times New Roman" w:hAnsi="Times New Roman"/>
          <w:b/>
          <w:bCs/>
          <w:sz w:val="24"/>
          <w:szCs w:val="24"/>
        </w:rPr>
        <w:t>Exhibit C-5</w:t>
      </w:r>
      <w:r w:rsidR="00E005FD">
        <w:rPr>
          <w:rFonts w:ascii="Times New Roman" w:hAnsi="Times New Roman"/>
          <w:sz w:val="24"/>
          <w:szCs w:val="24"/>
        </w:rPr>
        <w:t>)</w:t>
      </w:r>
      <w:r w:rsidR="00A00DBE">
        <w:rPr>
          <w:rFonts w:ascii="Times New Roman" w:hAnsi="Times New Roman"/>
          <w:sz w:val="24"/>
          <w:szCs w:val="24"/>
        </w:rPr>
        <w:t>,</w:t>
      </w:r>
      <w:r>
        <w:rPr>
          <w:rFonts w:ascii="Times New Roman" w:hAnsi="Times New Roman"/>
          <w:sz w:val="24"/>
          <w:szCs w:val="24"/>
        </w:rPr>
        <w:t xml:space="preserve"> </w:t>
      </w:r>
      <w:r w:rsidR="00A00DBE">
        <w:rPr>
          <w:rFonts w:ascii="Times New Roman" w:hAnsi="Times New Roman"/>
          <w:sz w:val="24"/>
          <w:szCs w:val="24"/>
        </w:rPr>
        <w:t xml:space="preserve">includes specific instructions for preparing a </w:t>
      </w:r>
      <w:r w:rsidR="00AC5586">
        <w:rPr>
          <w:rFonts w:ascii="Times New Roman" w:hAnsi="Times New Roman"/>
          <w:sz w:val="24"/>
          <w:szCs w:val="24"/>
        </w:rPr>
        <w:t>h</w:t>
      </w:r>
      <w:r w:rsidR="00A00DBE">
        <w:rPr>
          <w:rFonts w:ascii="Times New Roman" w:hAnsi="Times New Roman"/>
          <w:sz w:val="24"/>
          <w:szCs w:val="24"/>
        </w:rPr>
        <w:t xml:space="preserve">ospital cost report and allocating costs for general service </w:t>
      </w:r>
      <w:r w:rsidR="00336547">
        <w:rPr>
          <w:rFonts w:ascii="Times New Roman" w:hAnsi="Times New Roman"/>
          <w:sz w:val="24"/>
          <w:szCs w:val="24"/>
        </w:rPr>
        <w:t xml:space="preserve">areas </w:t>
      </w:r>
      <w:r w:rsidR="00A00DBE">
        <w:rPr>
          <w:rFonts w:ascii="Times New Roman" w:hAnsi="Times New Roman"/>
          <w:sz w:val="24"/>
          <w:szCs w:val="24"/>
        </w:rPr>
        <w:t>which cannot be directly assigned as part of the Provider’s accounting system</w:t>
      </w:r>
      <w:r w:rsidR="00336547">
        <w:rPr>
          <w:rFonts w:ascii="Times New Roman" w:hAnsi="Times New Roman"/>
          <w:sz w:val="24"/>
          <w:szCs w:val="24"/>
        </w:rPr>
        <w:t xml:space="preserve"> (emphasis added)</w:t>
      </w:r>
      <w:r w:rsidR="00A00DBE">
        <w:rPr>
          <w:rFonts w:ascii="Times New Roman" w:hAnsi="Times New Roman"/>
          <w:sz w:val="24"/>
          <w:szCs w:val="24"/>
        </w:rPr>
        <w:t xml:space="preserve">: </w:t>
      </w:r>
    </w:p>
    <w:p w14:paraId="3BEDE918" w14:textId="77777777" w:rsidR="001D1D66" w:rsidRDefault="001D1D66" w:rsidP="0091716C">
      <w:pPr>
        <w:ind w:left="720" w:right="720"/>
        <w:rPr>
          <w:rFonts w:ascii="Times New Roman" w:hAnsi="Times New Roman"/>
          <w:sz w:val="24"/>
          <w:szCs w:val="24"/>
        </w:rPr>
      </w:pPr>
    </w:p>
    <w:p w14:paraId="31140E7E" w14:textId="77777777" w:rsidR="00A2297F" w:rsidRDefault="00A2297F" w:rsidP="002875D6">
      <w:pPr>
        <w:autoSpaceDE w:val="0"/>
        <w:autoSpaceDN w:val="0"/>
        <w:adjustRightInd w:val="0"/>
        <w:ind w:left="720"/>
        <w:rPr>
          <w:rFonts w:ascii="TimesNewRomanPSMT" w:hAnsi="TimesNewRomanPSMT" w:cs="TimesNewRomanPSMT"/>
          <w:sz w:val="24"/>
          <w:szCs w:val="24"/>
        </w:rPr>
      </w:pPr>
      <w:r>
        <w:rPr>
          <w:rFonts w:ascii="TimesNewRomanPSMT" w:hAnsi="TimesNewRomanPSMT" w:cs="TimesNewRomanPSMT"/>
          <w:sz w:val="24"/>
          <w:szCs w:val="24"/>
        </w:rPr>
        <w:t>4020. WORKSHEET B, PART I - COST ALLOCATION - GENERAL SERVICE COSTS AND WORKSHEET B-1 - COST ALLOCATION - STATISTICAL BASIS</w:t>
      </w:r>
    </w:p>
    <w:p w14:paraId="697CCA44" w14:textId="77777777" w:rsidR="00A2297F" w:rsidRDefault="00A2297F" w:rsidP="00A2297F">
      <w:pPr>
        <w:autoSpaceDE w:val="0"/>
        <w:autoSpaceDN w:val="0"/>
        <w:adjustRightInd w:val="0"/>
        <w:rPr>
          <w:rFonts w:ascii="TimesNewRomanPSMT" w:hAnsi="TimesNewRomanPSMT" w:cs="TimesNewRomanPSMT"/>
          <w:sz w:val="24"/>
          <w:szCs w:val="24"/>
        </w:rPr>
      </w:pPr>
    </w:p>
    <w:p w14:paraId="73689261"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Pr>
          <w:rFonts w:ascii="TimesNewRomanPSMT" w:hAnsi="TimesNewRomanPSMT" w:cs="TimesNewRomanPSMT"/>
          <w:sz w:val="24"/>
          <w:szCs w:val="24"/>
        </w:rPr>
        <w:t>Base cost data on an approved method of cost finding and on the accrual basis of accounting except where government institutions operate on a cash basis of accounting. (See 42 CFR 413.24(a).) Cost data based on such basis of accounting is acceptable subject to appropriate treatment of capital expenditures. Cost finding is the process of recasting the data derived from the accounts ordinarily kept by you to ascertain costs of the various types of services rendered. It is the determination of these costs by the allocation of direct costs and proration of indirect costs. The various cost finding methods recognized are outlined in 42 CFR 413.24. Worksheets B, Part I, and B-1 have been designed to accommodate the stepdown method of cost finding.</w:t>
      </w:r>
    </w:p>
    <w:p w14:paraId="0DC480DD" w14:textId="77777777" w:rsidR="00A2297F" w:rsidRDefault="00A2297F" w:rsidP="00A2297F">
      <w:pPr>
        <w:autoSpaceDE w:val="0"/>
        <w:autoSpaceDN w:val="0"/>
        <w:adjustRightInd w:val="0"/>
        <w:rPr>
          <w:rFonts w:ascii="TimesNewRomanPSMT" w:hAnsi="TimesNewRomanPSMT" w:cs="TimesNewRomanPSMT"/>
          <w:sz w:val="24"/>
          <w:szCs w:val="24"/>
        </w:rPr>
      </w:pPr>
    </w:p>
    <w:p w14:paraId="469047DF"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sidRPr="002875D6">
        <w:rPr>
          <w:rFonts w:ascii="TimesNewRomanPSMT" w:hAnsi="TimesNewRomanPSMT" w:cs="TimesNewRomanPSMT"/>
          <w:i/>
          <w:iCs/>
          <w:sz w:val="24"/>
          <w:szCs w:val="24"/>
        </w:rPr>
        <w:t>The provider can elect to change the order of allocation and/or allocation statistics, as appropriate, for the current cost reporting period if a request is received by the contractor, in writing, 90 days prior to the end of that reporting period. The contractor has 60 days to make a decision and notify the provider of that decision or the change is automatically accepted. The change must be shown to more accurately allocate the overhead or should demonstrate simplification in maintaining the changed statistics.</w:t>
      </w:r>
      <w:r>
        <w:rPr>
          <w:rFonts w:ascii="TimesNewRomanPSMT" w:hAnsi="TimesNewRomanPSMT" w:cs="TimesNewRomanPSMT"/>
          <w:sz w:val="24"/>
          <w:szCs w:val="24"/>
        </w:rPr>
        <w:t xml:space="preserve"> If a change in statistics is requested, the provider must maintain both sets of statistics until an approval is made. If both sets are not maintained and the request is denied, the provider reverts back to the previously approved methodology. The provider must include with the request all supporting documentation and a thorough explanation of why the alternative approach should be used. (See CMS Pub. 15-1, chapter 23, §2313.)</w:t>
      </w:r>
    </w:p>
    <w:p w14:paraId="28220896" w14:textId="77777777" w:rsidR="00A2297F" w:rsidRDefault="00A2297F" w:rsidP="00A2297F">
      <w:pPr>
        <w:autoSpaceDE w:val="0"/>
        <w:autoSpaceDN w:val="0"/>
        <w:adjustRightInd w:val="0"/>
        <w:rPr>
          <w:rFonts w:ascii="TimesNewRomanPSMT" w:hAnsi="TimesNewRomanPSMT" w:cs="TimesNewRomanPSMT"/>
          <w:sz w:val="24"/>
          <w:szCs w:val="24"/>
        </w:rPr>
      </w:pPr>
    </w:p>
    <w:p w14:paraId="3CB01C6A" w14:textId="77777777" w:rsidR="006F1802" w:rsidRDefault="006F1802" w:rsidP="002875D6">
      <w:pPr>
        <w:autoSpaceDE w:val="0"/>
        <w:autoSpaceDN w:val="0"/>
        <w:adjustRightInd w:val="0"/>
        <w:ind w:firstLine="720"/>
        <w:rPr>
          <w:rFonts w:ascii="TimesNewRomanPSMT" w:hAnsi="TimesNewRomanPSMT" w:cs="TimesNewRomanPSMT"/>
          <w:sz w:val="24"/>
          <w:szCs w:val="24"/>
          <w:u w:val="single"/>
        </w:rPr>
      </w:pPr>
    </w:p>
    <w:p w14:paraId="4B3ED1A5" w14:textId="77777777" w:rsidR="006F1802" w:rsidRDefault="006F1802" w:rsidP="002875D6">
      <w:pPr>
        <w:autoSpaceDE w:val="0"/>
        <w:autoSpaceDN w:val="0"/>
        <w:adjustRightInd w:val="0"/>
        <w:ind w:firstLine="720"/>
        <w:rPr>
          <w:rFonts w:ascii="TimesNewRomanPSMT" w:hAnsi="TimesNewRomanPSMT" w:cs="TimesNewRomanPSMT"/>
          <w:sz w:val="24"/>
          <w:szCs w:val="24"/>
          <w:u w:val="single"/>
        </w:rPr>
      </w:pPr>
    </w:p>
    <w:p w14:paraId="43FD7731" w14:textId="77777777" w:rsidR="00A2297F" w:rsidRPr="002875D6" w:rsidRDefault="00A2297F" w:rsidP="002875D6">
      <w:pPr>
        <w:autoSpaceDE w:val="0"/>
        <w:autoSpaceDN w:val="0"/>
        <w:adjustRightInd w:val="0"/>
        <w:ind w:firstLine="720"/>
        <w:rPr>
          <w:rFonts w:ascii="TimesNewRomanPSMT" w:hAnsi="TimesNewRomanPSMT" w:cs="TimesNewRomanPSMT"/>
          <w:sz w:val="24"/>
          <w:szCs w:val="24"/>
          <w:u w:val="single"/>
        </w:rPr>
      </w:pPr>
      <w:r w:rsidRPr="002875D6">
        <w:rPr>
          <w:rFonts w:ascii="TimesNewRomanPSMT" w:hAnsi="TimesNewRomanPSMT" w:cs="TimesNewRomanPSMT"/>
          <w:sz w:val="24"/>
          <w:szCs w:val="24"/>
          <w:u w:val="single"/>
        </w:rPr>
        <w:t>Simplified Cost Allocation Methodology</w:t>
      </w:r>
    </w:p>
    <w:p w14:paraId="6DD25AE1" w14:textId="77777777" w:rsidR="00A2297F" w:rsidRDefault="00A2297F" w:rsidP="00A2297F">
      <w:pPr>
        <w:autoSpaceDE w:val="0"/>
        <w:autoSpaceDN w:val="0"/>
        <w:adjustRightInd w:val="0"/>
        <w:rPr>
          <w:rFonts w:ascii="TimesNewRomanPSMT" w:hAnsi="TimesNewRomanPSMT" w:cs="TimesNewRomanPSMT"/>
          <w:sz w:val="24"/>
          <w:szCs w:val="24"/>
        </w:rPr>
      </w:pPr>
    </w:p>
    <w:p w14:paraId="39F55FE7"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Pr>
          <w:rFonts w:ascii="TimesNewRomanPSMT" w:hAnsi="TimesNewRomanPSMT" w:cs="TimesNewRomanPSMT"/>
          <w:sz w:val="24"/>
          <w:szCs w:val="24"/>
        </w:rPr>
        <w:t xml:space="preserve">As an alternative approach to the cost finding methods identified in CMS Pub. 15-1, chapter 23, §2306, </w:t>
      </w:r>
      <w:r w:rsidRPr="002875D6">
        <w:rPr>
          <w:rFonts w:ascii="TimesNewRomanPSMT" w:hAnsi="TimesNewRomanPSMT" w:cs="TimesNewRomanPSMT"/>
          <w:i/>
          <w:iCs/>
          <w:sz w:val="24"/>
          <w:szCs w:val="24"/>
        </w:rPr>
        <w:t>the provider may request a simplified cost allocation methodology. This methodology reduces the number of statistical bases a provider maintains.</w:t>
      </w:r>
      <w:r>
        <w:rPr>
          <w:rFonts w:ascii="TimesNewRomanPSMT" w:hAnsi="TimesNewRomanPSMT" w:cs="TimesNewRomanPSMT"/>
          <w:sz w:val="24"/>
          <w:szCs w:val="24"/>
        </w:rPr>
        <w:t xml:space="preserve"> It may result in reducing Medicare reimbursement. A comparison is recommended if the possible loss reimbursement is surpassed by the reduced costs of maintaining voluminous statistics. </w:t>
      </w:r>
      <w:r w:rsidRPr="002875D6">
        <w:rPr>
          <w:rFonts w:ascii="TimesNewRomanPSMT" w:hAnsi="TimesNewRomanPSMT" w:cs="TimesNewRomanPSMT"/>
          <w:i/>
          <w:iCs/>
          <w:sz w:val="24"/>
          <w:szCs w:val="24"/>
        </w:rPr>
        <w:t>The following statistical bases must be used for purposes of allocating overhead cost centers. There can be no deviation of the prescribed</w:t>
      </w:r>
      <w:r w:rsidR="002A1B1E" w:rsidRPr="002875D6">
        <w:rPr>
          <w:rFonts w:ascii="TimesNewRomanPSMT" w:hAnsi="TimesNewRomanPSMT" w:cs="TimesNewRomanPSMT"/>
          <w:i/>
          <w:iCs/>
          <w:sz w:val="24"/>
          <w:szCs w:val="24"/>
        </w:rPr>
        <w:t xml:space="preserve"> </w:t>
      </w:r>
      <w:r w:rsidRPr="002875D6">
        <w:rPr>
          <w:rFonts w:ascii="TimesNewRomanPSMT" w:hAnsi="TimesNewRomanPSMT" w:cs="TimesNewRomanPSMT"/>
          <w:i/>
          <w:iCs/>
          <w:sz w:val="24"/>
          <w:szCs w:val="24"/>
        </w:rPr>
        <w:t>statistics and it must be utilized for all the following cost centers.</w:t>
      </w:r>
    </w:p>
    <w:p w14:paraId="156CE5A1" w14:textId="77777777" w:rsidR="00A2297F" w:rsidRDefault="00A2297F" w:rsidP="00A2297F">
      <w:pPr>
        <w:autoSpaceDE w:val="0"/>
        <w:autoSpaceDN w:val="0"/>
        <w:adjustRightInd w:val="0"/>
        <w:rPr>
          <w:rFonts w:ascii="TimesNewRomanPSMT" w:hAnsi="TimesNewRomanPSMT" w:cs="TimesNewRomanPSMT"/>
          <w:sz w:val="24"/>
          <w:szCs w:val="24"/>
        </w:rPr>
      </w:pPr>
    </w:p>
    <w:p w14:paraId="0DB21A9F"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Cost Center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Statistical Basis</w:t>
      </w:r>
    </w:p>
    <w:p w14:paraId="04B40408" w14:textId="77777777" w:rsidR="00A2297F" w:rsidRPr="00157B5F" w:rsidRDefault="00A2297F" w:rsidP="002875D6">
      <w:pPr>
        <w:autoSpaceDE w:val="0"/>
        <w:autoSpaceDN w:val="0"/>
        <w:adjustRightInd w:val="0"/>
        <w:ind w:left="72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Buildings and Fixtures </w:t>
      </w:r>
      <w:r w:rsidRPr="00157B5F">
        <w:rPr>
          <w:rFonts w:ascii="TimesNewRomanPSMT" w:hAnsi="TimesNewRomanPSMT" w:cs="TimesNewRomanPSMT"/>
          <w:b/>
          <w:bCs/>
          <w:sz w:val="24"/>
          <w:szCs w:val="24"/>
        </w:rPr>
        <w:tab/>
        <w:t>Square Footage</w:t>
      </w:r>
    </w:p>
    <w:p w14:paraId="090B5836" w14:textId="77777777" w:rsidR="00A2297F" w:rsidRPr="00157B5F" w:rsidRDefault="00A2297F" w:rsidP="002875D6">
      <w:pPr>
        <w:autoSpaceDE w:val="0"/>
        <w:autoSpaceDN w:val="0"/>
        <w:adjustRightInd w:val="0"/>
        <w:ind w:left="72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Movable Equipment </w:t>
      </w:r>
      <w:r w:rsidRPr="00157B5F">
        <w:rPr>
          <w:rFonts w:ascii="TimesNewRomanPSMT" w:hAnsi="TimesNewRomanPSMT" w:cs="TimesNewRomanPSMT"/>
          <w:b/>
          <w:bCs/>
          <w:sz w:val="24"/>
          <w:szCs w:val="24"/>
        </w:rPr>
        <w:tab/>
        <w:t>Square Footage</w:t>
      </w:r>
    </w:p>
    <w:p w14:paraId="1343D707" w14:textId="77777777" w:rsidR="00A2297F" w:rsidRPr="00157B5F" w:rsidRDefault="00A2297F" w:rsidP="002875D6">
      <w:pPr>
        <w:autoSpaceDE w:val="0"/>
        <w:autoSpaceDN w:val="0"/>
        <w:adjustRightInd w:val="0"/>
        <w:ind w:left="270" w:firstLine="45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Maintenance and Repairs </w:t>
      </w:r>
      <w:r w:rsidRPr="00157B5F">
        <w:rPr>
          <w:rFonts w:ascii="TimesNewRomanPSMT" w:hAnsi="TimesNewRomanPSMT" w:cs="TimesNewRomanPSMT"/>
          <w:b/>
          <w:bCs/>
          <w:sz w:val="24"/>
          <w:szCs w:val="24"/>
        </w:rPr>
        <w:tab/>
        <w:t>Square Footage</w:t>
      </w:r>
    </w:p>
    <w:p w14:paraId="2C9CDEFE"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Operation of Plant </w:t>
      </w:r>
      <w:r>
        <w:rPr>
          <w:rFonts w:ascii="TimesNewRomanPSMT" w:hAnsi="TimesNewRomanPSMT" w:cs="TimesNewRomanPSMT"/>
          <w:sz w:val="24"/>
          <w:szCs w:val="24"/>
        </w:rPr>
        <w:tab/>
      </w:r>
      <w:r>
        <w:rPr>
          <w:rFonts w:ascii="TimesNewRomanPSMT" w:hAnsi="TimesNewRomanPSMT" w:cs="TimesNewRomanPSMT"/>
          <w:sz w:val="24"/>
          <w:szCs w:val="24"/>
        </w:rPr>
        <w:tab/>
        <w:t>Square Footage</w:t>
      </w:r>
    </w:p>
    <w:p w14:paraId="192379A3"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Housekeeping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Square Footage</w:t>
      </w:r>
    </w:p>
    <w:p w14:paraId="00FE2102"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Employee Benefits </w:t>
      </w:r>
      <w:r>
        <w:rPr>
          <w:rFonts w:ascii="TimesNewRomanPSMT" w:hAnsi="TimesNewRomanPSMT" w:cs="TimesNewRomanPSMT"/>
          <w:sz w:val="24"/>
          <w:szCs w:val="24"/>
        </w:rPr>
        <w:tab/>
      </w:r>
      <w:r>
        <w:rPr>
          <w:rFonts w:ascii="TimesNewRomanPSMT" w:hAnsi="TimesNewRomanPSMT" w:cs="TimesNewRomanPSMT"/>
          <w:sz w:val="24"/>
          <w:szCs w:val="24"/>
        </w:rPr>
        <w:tab/>
        <w:t>Salaries</w:t>
      </w:r>
    </w:p>
    <w:p w14:paraId="30450572"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Cafeteria*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Salaries</w:t>
      </w:r>
    </w:p>
    <w:p w14:paraId="62EEB756"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Administrative and General </w:t>
      </w:r>
      <w:r>
        <w:rPr>
          <w:rFonts w:ascii="TimesNewRomanPSMT" w:hAnsi="TimesNewRomanPSMT" w:cs="TimesNewRomanPSMT"/>
          <w:sz w:val="24"/>
          <w:szCs w:val="24"/>
        </w:rPr>
        <w:tab/>
        <w:t>Accumulated Costs</w:t>
      </w:r>
    </w:p>
    <w:p w14:paraId="7AFC4A2C"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Laundry and Linen </w:t>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3BB6801B"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Dietary**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635D6B0A"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Social Service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11E059AB" w14:textId="77777777" w:rsidR="00A2297F" w:rsidRDefault="00A2297F" w:rsidP="002875D6">
      <w:pPr>
        <w:autoSpaceDE w:val="0"/>
        <w:autoSpaceDN w:val="0"/>
        <w:adjustRightInd w:val="0"/>
        <w:ind w:left="3600" w:right="720" w:hanging="2880"/>
        <w:rPr>
          <w:rFonts w:ascii="TimesNewRomanPSMT" w:hAnsi="TimesNewRomanPSMT" w:cs="TimesNewRomanPSMT"/>
          <w:sz w:val="24"/>
          <w:szCs w:val="24"/>
        </w:rPr>
      </w:pPr>
      <w:r>
        <w:rPr>
          <w:rFonts w:ascii="TimesNewRomanPSMT" w:hAnsi="TimesNewRomanPSMT" w:cs="TimesNewRomanPSMT"/>
          <w:sz w:val="24"/>
          <w:szCs w:val="24"/>
        </w:rPr>
        <w:t xml:space="preserve">Maintenance of Personnel </w:t>
      </w:r>
      <w:r>
        <w:rPr>
          <w:rFonts w:ascii="TimesNewRomanPSMT" w:hAnsi="TimesNewRomanPSMT" w:cs="TimesNewRomanPSMT"/>
          <w:sz w:val="24"/>
          <w:szCs w:val="24"/>
        </w:rPr>
        <w:tab/>
        <w:t>Eliminated and moved to A&amp;G for simplified cost finding</w:t>
      </w:r>
    </w:p>
    <w:p w14:paraId="66DCB256"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Nursing Administration </w:t>
      </w:r>
      <w:r>
        <w:rPr>
          <w:rFonts w:ascii="TimesNewRomanPSMT" w:hAnsi="TimesNewRomanPSMT" w:cs="TimesNewRomanPSMT"/>
          <w:sz w:val="24"/>
          <w:szCs w:val="24"/>
        </w:rPr>
        <w:tab/>
        <w:t>Nursing Salaries</w:t>
      </w:r>
    </w:p>
    <w:p w14:paraId="3BB27671"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Central Services and Supply </w:t>
      </w:r>
      <w:r>
        <w:rPr>
          <w:rFonts w:ascii="TimesNewRomanPSMT" w:hAnsi="TimesNewRomanPSMT" w:cs="TimesNewRomanPSMT"/>
          <w:sz w:val="24"/>
          <w:szCs w:val="24"/>
        </w:rPr>
        <w:tab/>
        <w:t>Costed Requisitions</w:t>
      </w:r>
    </w:p>
    <w:p w14:paraId="4876A7CA"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Pharmacy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Costed Requisitions</w:t>
      </w:r>
    </w:p>
    <w:p w14:paraId="0B0FC8F4"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Medical Records and Library Gross Patient Revenue</w:t>
      </w:r>
    </w:p>
    <w:p w14:paraId="779CE093"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Nursing Program* </w:t>
      </w:r>
      <w:r>
        <w:rPr>
          <w:rFonts w:ascii="TimesNewRomanPSMT" w:hAnsi="TimesNewRomanPSMT" w:cs="TimesNewRomanPSMT"/>
          <w:sz w:val="24"/>
          <w:szCs w:val="24"/>
        </w:rPr>
        <w:tab/>
      </w:r>
      <w:r>
        <w:rPr>
          <w:rFonts w:ascii="TimesNewRomanPSMT" w:hAnsi="TimesNewRomanPSMT" w:cs="TimesNewRomanPSMT"/>
          <w:sz w:val="24"/>
          <w:szCs w:val="24"/>
        </w:rPr>
        <w:tab/>
        <w:t>Assigned Time</w:t>
      </w:r>
    </w:p>
    <w:p w14:paraId="5860607C"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Interns and Residents </w:t>
      </w:r>
      <w:r>
        <w:rPr>
          <w:rFonts w:ascii="TimesNewRomanPSMT" w:hAnsi="TimesNewRomanPSMT" w:cs="TimesNewRomanPSMT"/>
          <w:sz w:val="24"/>
          <w:szCs w:val="24"/>
        </w:rPr>
        <w:tab/>
      </w:r>
      <w:r>
        <w:rPr>
          <w:rFonts w:ascii="TimesNewRomanPSMT" w:hAnsi="TimesNewRomanPSMT" w:cs="TimesNewRomanPSMT"/>
          <w:sz w:val="24"/>
          <w:szCs w:val="24"/>
        </w:rPr>
        <w:tab/>
        <w:t>Assigned Time</w:t>
      </w:r>
    </w:p>
    <w:p w14:paraId="04626345"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Paramedical Education </w:t>
      </w:r>
      <w:r>
        <w:rPr>
          <w:rFonts w:ascii="TimesNewRomanPSMT" w:hAnsi="TimesNewRomanPSMT" w:cs="TimesNewRomanPSMT"/>
          <w:sz w:val="24"/>
          <w:szCs w:val="24"/>
        </w:rPr>
        <w:tab/>
        <w:t>Assigned Time</w:t>
      </w:r>
    </w:p>
    <w:p w14:paraId="4D8708F6" w14:textId="77777777" w:rsidR="000367CD" w:rsidRDefault="00A2297F" w:rsidP="002875D6">
      <w:pPr>
        <w:ind w:right="720" w:firstLine="720"/>
        <w:rPr>
          <w:rFonts w:ascii="TimesNewRomanPSMT" w:hAnsi="TimesNewRomanPSMT" w:cs="TimesNewRomanPSMT"/>
          <w:sz w:val="24"/>
          <w:szCs w:val="24"/>
        </w:rPr>
      </w:pPr>
      <w:r>
        <w:rPr>
          <w:rFonts w:ascii="TimesNewRomanPSMT" w:hAnsi="TimesNewRomanPSMT" w:cs="TimesNewRomanPSMT"/>
          <w:sz w:val="24"/>
          <w:szCs w:val="24"/>
        </w:rPr>
        <w:t xml:space="preserve">Nonphysician Anesthetists </w:t>
      </w:r>
      <w:r>
        <w:rPr>
          <w:rFonts w:ascii="TimesNewRomanPSMT" w:hAnsi="TimesNewRomanPSMT" w:cs="TimesNewRomanPSMT"/>
          <w:sz w:val="24"/>
          <w:szCs w:val="24"/>
        </w:rPr>
        <w:tab/>
        <w:t>100 percent to Anesthesiology</w:t>
      </w:r>
      <w:r w:rsidR="000367CD">
        <w:rPr>
          <w:rFonts w:ascii="TimesNewRomanPSMT" w:hAnsi="TimesNewRomanPSMT" w:cs="TimesNewRomanPSMT"/>
          <w:sz w:val="24"/>
          <w:szCs w:val="24"/>
        </w:rPr>
        <w:t xml:space="preserve">  </w:t>
      </w:r>
    </w:p>
    <w:p w14:paraId="506F965D" w14:textId="77777777" w:rsidR="00A2297F" w:rsidRDefault="000367CD" w:rsidP="00E005FD">
      <w:pPr>
        <w:ind w:left="360" w:right="720" w:firstLine="360"/>
        <w:rPr>
          <w:rFonts w:ascii="Times New Roman" w:hAnsi="Times New Roman"/>
          <w:sz w:val="24"/>
          <w:szCs w:val="24"/>
        </w:rPr>
      </w:pPr>
      <w:r>
        <w:rPr>
          <w:rFonts w:ascii="TimesNewRomanPSMT" w:hAnsi="TimesNewRomanPSMT" w:cs="TimesNewRomanPSMT"/>
          <w:sz w:val="24"/>
          <w:szCs w:val="24"/>
        </w:rPr>
        <w:t>(</w:t>
      </w:r>
      <w:r w:rsidRPr="000367CD">
        <w:rPr>
          <w:rFonts w:ascii="TimesNewRomanPSMT" w:hAnsi="TimesNewRomanPSMT" w:cs="TimesNewRomanPSMT"/>
          <w:b/>
          <w:bCs/>
          <w:sz w:val="24"/>
          <w:szCs w:val="24"/>
        </w:rPr>
        <w:t>Exhibit C-</w:t>
      </w:r>
      <w:r w:rsidR="00DB57F4">
        <w:rPr>
          <w:rFonts w:ascii="TimesNewRomanPSMT" w:hAnsi="TimesNewRomanPSMT" w:cs="TimesNewRomanPSMT"/>
          <w:b/>
          <w:bCs/>
          <w:sz w:val="24"/>
          <w:szCs w:val="24"/>
        </w:rPr>
        <w:t>5</w:t>
      </w:r>
      <w:r>
        <w:rPr>
          <w:rFonts w:ascii="TimesNewRomanPSMT" w:hAnsi="TimesNewRomanPSMT" w:cs="TimesNewRomanPSMT"/>
          <w:sz w:val="24"/>
          <w:szCs w:val="24"/>
        </w:rPr>
        <w:t xml:space="preserve">) </w:t>
      </w:r>
    </w:p>
    <w:p w14:paraId="63E8552F" w14:textId="77777777" w:rsidR="00286529" w:rsidRDefault="00286529" w:rsidP="00C56F60">
      <w:pPr>
        <w:spacing w:line="480" w:lineRule="auto"/>
        <w:rPr>
          <w:rFonts w:ascii="Times New Roman" w:hAnsi="Times New Roman"/>
          <w:sz w:val="24"/>
          <w:szCs w:val="24"/>
        </w:rPr>
      </w:pPr>
    </w:p>
    <w:p w14:paraId="6318DF63" w14:textId="77777777" w:rsidR="00286529" w:rsidRDefault="00D4416C" w:rsidP="00C56F60">
      <w:pPr>
        <w:spacing w:line="480" w:lineRule="auto"/>
        <w:rPr>
          <w:rFonts w:ascii="Times New Roman" w:hAnsi="Times New Roman"/>
          <w:sz w:val="24"/>
          <w:szCs w:val="24"/>
        </w:rPr>
      </w:pPr>
      <w:r>
        <w:rPr>
          <w:rFonts w:ascii="Times New Roman" w:hAnsi="Times New Roman"/>
          <w:sz w:val="24"/>
          <w:szCs w:val="24"/>
        </w:rPr>
        <w:t>As described above</w:t>
      </w:r>
      <w:r w:rsidR="00E350A8">
        <w:rPr>
          <w:rFonts w:ascii="Times New Roman" w:hAnsi="Times New Roman"/>
          <w:sz w:val="24"/>
          <w:szCs w:val="24"/>
        </w:rPr>
        <w:t xml:space="preserve"> </w:t>
      </w:r>
      <w:r w:rsidR="00410B63">
        <w:rPr>
          <w:rFonts w:ascii="Times New Roman" w:hAnsi="Times New Roman"/>
          <w:sz w:val="24"/>
          <w:szCs w:val="24"/>
        </w:rPr>
        <w:t>from</w:t>
      </w:r>
      <w:r w:rsidR="00E350A8">
        <w:rPr>
          <w:rFonts w:ascii="Times New Roman" w:hAnsi="Times New Roman"/>
          <w:sz w:val="24"/>
          <w:szCs w:val="24"/>
        </w:rPr>
        <w:t xml:space="preserve"> PRM-Part 1 Section 2302</w:t>
      </w:r>
      <w:r>
        <w:rPr>
          <w:rFonts w:ascii="Times New Roman" w:hAnsi="Times New Roman"/>
          <w:sz w:val="24"/>
          <w:szCs w:val="24"/>
        </w:rPr>
        <w:t xml:space="preserve">, general service costs </w:t>
      </w:r>
      <w:r w:rsidR="00B11C7D">
        <w:rPr>
          <w:rFonts w:ascii="Times New Roman" w:hAnsi="Times New Roman"/>
          <w:sz w:val="24"/>
          <w:szCs w:val="24"/>
        </w:rPr>
        <w:t xml:space="preserve">(i.e. cost centers that benefit or serve other cost centers, </w:t>
      </w:r>
      <w:r w:rsidR="00921786">
        <w:rPr>
          <w:rFonts w:ascii="Times New Roman" w:hAnsi="Times New Roman"/>
          <w:sz w:val="24"/>
          <w:szCs w:val="24"/>
        </w:rPr>
        <w:t>which may</w:t>
      </w:r>
      <w:r w:rsidR="00B11C7D">
        <w:rPr>
          <w:rFonts w:ascii="Times New Roman" w:hAnsi="Times New Roman"/>
          <w:sz w:val="24"/>
          <w:szCs w:val="24"/>
        </w:rPr>
        <w:t xml:space="preserve"> include other nonrevenue</w:t>
      </w:r>
      <w:r w:rsidR="005F0537">
        <w:rPr>
          <w:rFonts w:ascii="Times New Roman" w:hAnsi="Times New Roman"/>
          <w:sz w:val="24"/>
          <w:szCs w:val="24"/>
        </w:rPr>
        <w:t>-</w:t>
      </w:r>
      <w:r w:rsidR="00B11C7D">
        <w:rPr>
          <w:rFonts w:ascii="Times New Roman" w:hAnsi="Times New Roman"/>
          <w:sz w:val="24"/>
          <w:szCs w:val="24"/>
        </w:rPr>
        <w:t xml:space="preserve"> </w:t>
      </w:r>
      <w:r w:rsidR="00B11C7D">
        <w:rPr>
          <w:rFonts w:ascii="Times New Roman" w:hAnsi="Times New Roman"/>
          <w:sz w:val="24"/>
          <w:szCs w:val="24"/>
        </w:rPr>
        <w:lastRenderedPageBreak/>
        <w:t>producing and revenue</w:t>
      </w:r>
      <w:r w:rsidR="005F0537">
        <w:rPr>
          <w:rFonts w:ascii="Times New Roman" w:hAnsi="Times New Roman"/>
          <w:sz w:val="24"/>
          <w:szCs w:val="24"/>
        </w:rPr>
        <w:t>-</w:t>
      </w:r>
      <w:r w:rsidR="00B11C7D">
        <w:rPr>
          <w:rFonts w:ascii="Times New Roman" w:hAnsi="Times New Roman"/>
          <w:sz w:val="24"/>
          <w:szCs w:val="24"/>
        </w:rPr>
        <w:t>producing centers) are either directly assigned based on a measure of actual usage or allocated using a</w:t>
      </w:r>
      <w:r w:rsidR="00591DD4">
        <w:rPr>
          <w:rFonts w:ascii="Times New Roman" w:hAnsi="Times New Roman"/>
          <w:sz w:val="24"/>
          <w:szCs w:val="24"/>
        </w:rPr>
        <w:t xml:space="preserve"> </w:t>
      </w:r>
      <w:r w:rsidR="00B11C7D">
        <w:rPr>
          <w:rFonts w:ascii="Times New Roman" w:hAnsi="Times New Roman"/>
          <w:sz w:val="24"/>
          <w:szCs w:val="24"/>
        </w:rPr>
        <w:t xml:space="preserve">statistical basis which has been </w:t>
      </w:r>
      <w:r w:rsidR="00591DD4">
        <w:rPr>
          <w:rFonts w:ascii="Times New Roman" w:hAnsi="Times New Roman"/>
          <w:sz w:val="24"/>
          <w:szCs w:val="24"/>
        </w:rPr>
        <w:t xml:space="preserve">prescribed or approved by the MAC in advance.  </w:t>
      </w:r>
      <w:r w:rsidR="00B11C7D">
        <w:rPr>
          <w:rFonts w:ascii="Times New Roman" w:hAnsi="Times New Roman"/>
          <w:sz w:val="24"/>
          <w:szCs w:val="24"/>
        </w:rPr>
        <w:t xml:space="preserve"> </w:t>
      </w:r>
    </w:p>
    <w:p w14:paraId="4C3EC7B5" w14:textId="77777777" w:rsidR="001F3BD2" w:rsidRDefault="001F3BD2" w:rsidP="006F1802">
      <w:pPr>
        <w:rPr>
          <w:rFonts w:ascii="Times New Roman" w:hAnsi="Times New Roman"/>
          <w:sz w:val="24"/>
          <w:szCs w:val="24"/>
        </w:rPr>
      </w:pPr>
    </w:p>
    <w:p w14:paraId="1F80566E" w14:textId="77777777" w:rsidR="00921786" w:rsidRDefault="001F3BD2" w:rsidP="001F3BD2">
      <w:pPr>
        <w:spacing w:line="480" w:lineRule="auto"/>
        <w:rPr>
          <w:rFonts w:ascii="Times New Roman" w:hAnsi="Times New Roman"/>
          <w:sz w:val="24"/>
          <w:szCs w:val="24"/>
        </w:rPr>
      </w:pPr>
      <w:r w:rsidRPr="001F3BD2">
        <w:rPr>
          <w:rFonts w:ascii="Times New Roman" w:hAnsi="Times New Roman"/>
          <w:sz w:val="24"/>
          <w:szCs w:val="24"/>
        </w:rPr>
        <w:t>Specific to the organ acquisition cost centers, the Provider states that the pre</w:t>
      </w:r>
      <w:r w:rsidR="00C4508E">
        <w:rPr>
          <w:rFonts w:ascii="Times New Roman" w:hAnsi="Times New Roman"/>
          <w:sz w:val="24"/>
          <w:szCs w:val="24"/>
        </w:rPr>
        <w:t>-</w:t>
      </w:r>
      <w:r w:rsidRPr="001F3BD2">
        <w:rPr>
          <w:rFonts w:ascii="Times New Roman" w:hAnsi="Times New Roman"/>
          <w:sz w:val="24"/>
          <w:szCs w:val="24"/>
        </w:rPr>
        <w:t>transplant services are occurring virtually across every area of the hospital, as patients who are the transplant donors or recipients are undergoing very comprehensive testing and tre</w:t>
      </w:r>
      <w:r>
        <w:rPr>
          <w:rFonts w:ascii="Times New Roman" w:hAnsi="Times New Roman"/>
          <w:sz w:val="24"/>
          <w:szCs w:val="24"/>
        </w:rPr>
        <w:t>atments</w:t>
      </w:r>
      <w:r w:rsidRPr="001F3BD2">
        <w:rPr>
          <w:rFonts w:ascii="Times New Roman" w:hAnsi="Times New Roman"/>
          <w:sz w:val="24"/>
          <w:szCs w:val="24"/>
        </w:rPr>
        <w:t xml:space="preserve"> before their transplant.</w:t>
      </w:r>
      <w:r>
        <w:rPr>
          <w:rFonts w:ascii="Times New Roman" w:hAnsi="Times New Roman"/>
          <w:sz w:val="24"/>
          <w:szCs w:val="24"/>
        </w:rPr>
        <w:t xml:space="preserve"> </w:t>
      </w:r>
      <w:r w:rsidRPr="001F3BD2">
        <w:rPr>
          <w:rFonts w:ascii="Times New Roman" w:hAnsi="Times New Roman"/>
          <w:sz w:val="24"/>
          <w:szCs w:val="24"/>
        </w:rPr>
        <w:t>The purpose of W</w:t>
      </w:r>
      <w:r>
        <w:rPr>
          <w:rFonts w:ascii="Times New Roman" w:hAnsi="Times New Roman"/>
          <w:sz w:val="24"/>
          <w:szCs w:val="24"/>
        </w:rPr>
        <w:t xml:space="preserve">orksheet </w:t>
      </w:r>
      <w:r w:rsidRPr="001F3BD2">
        <w:rPr>
          <w:rFonts w:ascii="Times New Roman" w:hAnsi="Times New Roman"/>
          <w:sz w:val="24"/>
          <w:szCs w:val="24"/>
        </w:rPr>
        <w:t xml:space="preserve">B series of the cost report is to step down cost to the user cost centers based on established </w:t>
      </w:r>
      <w:r w:rsidR="00ED0B82">
        <w:rPr>
          <w:rFonts w:ascii="Times New Roman" w:hAnsi="Times New Roman"/>
          <w:sz w:val="24"/>
          <w:szCs w:val="24"/>
        </w:rPr>
        <w:t xml:space="preserve">or </w:t>
      </w:r>
      <w:r w:rsidRPr="001F3BD2">
        <w:rPr>
          <w:rFonts w:ascii="Times New Roman" w:hAnsi="Times New Roman"/>
          <w:sz w:val="24"/>
          <w:szCs w:val="24"/>
        </w:rPr>
        <w:t>“approved” statistical basis (per Manual).  Based on the Provider’s documentation, there is no equipment that is solely designated f</w:t>
      </w:r>
      <w:r>
        <w:rPr>
          <w:rFonts w:ascii="Times New Roman" w:hAnsi="Times New Roman"/>
          <w:sz w:val="24"/>
          <w:szCs w:val="24"/>
        </w:rPr>
        <w:t>or</w:t>
      </w:r>
      <w:r w:rsidRPr="001F3BD2">
        <w:rPr>
          <w:rFonts w:ascii="Times New Roman" w:hAnsi="Times New Roman"/>
          <w:sz w:val="24"/>
          <w:szCs w:val="24"/>
        </w:rPr>
        <w:t xml:space="preserve"> the examination and treatment of pre-transplant patients, </w:t>
      </w:r>
      <w:r w:rsidR="006F1802" w:rsidRPr="001F3BD2">
        <w:rPr>
          <w:rFonts w:ascii="Times New Roman" w:hAnsi="Times New Roman"/>
          <w:sz w:val="24"/>
          <w:szCs w:val="24"/>
        </w:rPr>
        <w:t>nor</w:t>
      </w:r>
      <w:r w:rsidRPr="001F3BD2">
        <w:rPr>
          <w:rFonts w:ascii="Times New Roman" w:hAnsi="Times New Roman"/>
          <w:sz w:val="24"/>
          <w:szCs w:val="24"/>
        </w:rPr>
        <w:t xml:space="preserve"> are there designated areas in which transplant procedures or testing are performed.  </w:t>
      </w:r>
    </w:p>
    <w:p w14:paraId="19806E1D" w14:textId="77777777" w:rsidR="001F3BD2" w:rsidRDefault="001F3BD2" w:rsidP="006F1802">
      <w:pPr>
        <w:rPr>
          <w:rFonts w:ascii="Times New Roman" w:hAnsi="Times New Roman"/>
          <w:sz w:val="24"/>
          <w:szCs w:val="24"/>
        </w:rPr>
      </w:pPr>
    </w:p>
    <w:p w14:paraId="6F0D1231" w14:textId="77777777" w:rsidR="00F8037B" w:rsidRDefault="00591DD4" w:rsidP="00C56F60">
      <w:pPr>
        <w:spacing w:line="480" w:lineRule="auto"/>
        <w:rPr>
          <w:rFonts w:ascii="Times New Roman" w:hAnsi="Times New Roman"/>
          <w:sz w:val="24"/>
          <w:szCs w:val="24"/>
        </w:rPr>
      </w:pPr>
      <w:r>
        <w:rPr>
          <w:rFonts w:ascii="Times New Roman" w:hAnsi="Times New Roman"/>
          <w:sz w:val="24"/>
          <w:szCs w:val="24"/>
        </w:rPr>
        <w:t xml:space="preserve">The general service costs allocated by the Provider to the organ acquisition cost centers </w:t>
      </w:r>
      <w:r w:rsidR="00921786">
        <w:rPr>
          <w:rFonts w:ascii="Times New Roman" w:hAnsi="Times New Roman"/>
          <w:sz w:val="24"/>
          <w:szCs w:val="24"/>
        </w:rPr>
        <w:t xml:space="preserve">(i.e. Buildings and Fixtures, Movable Equipment and Maintenance and Repairs) </w:t>
      </w:r>
      <w:r>
        <w:rPr>
          <w:rFonts w:ascii="Times New Roman" w:hAnsi="Times New Roman"/>
          <w:sz w:val="24"/>
          <w:szCs w:val="24"/>
        </w:rPr>
        <w:t xml:space="preserve">based on </w:t>
      </w:r>
      <w:r w:rsidR="00410B63">
        <w:rPr>
          <w:rFonts w:ascii="Times New Roman" w:hAnsi="Times New Roman"/>
          <w:sz w:val="24"/>
          <w:szCs w:val="24"/>
        </w:rPr>
        <w:t>its</w:t>
      </w:r>
      <w:r>
        <w:rPr>
          <w:rFonts w:ascii="Times New Roman" w:hAnsi="Times New Roman"/>
          <w:sz w:val="24"/>
          <w:szCs w:val="24"/>
        </w:rPr>
        <w:t xml:space="preserve"> </w:t>
      </w:r>
      <w:r w:rsidR="00ED0B82">
        <w:rPr>
          <w:rFonts w:ascii="Times New Roman" w:hAnsi="Times New Roman"/>
          <w:sz w:val="24"/>
          <w:szCs w:val="24"/>
        </w:rPr>
        <w:t>“</w:t>
      </w:r>
      <w:r>
        <w:rPr>
          <w:rFonts w:ascii="Times New Roman" w:hAnsi="Times New Roman"/>
          <w:sz w:val="24"/>
          <w:szCs w:val="24"/>
        </w:rPr>
        <w:t>created</w:t>
      </w:r>
      <w:r w:rsidR="00ED0B82">
        <w:rPr>
          <w:rFonts w:ascii="Times New Roman" w:hAnsi="Times New Roman"/>
          <w:sz w:val="24"/>
          <w:szCs w:val="24"/>
        </w:rPr>
        <w:t>”</w:t>
      </w:r>
      <w:r>
        <w:rPr>
          <w:rFonts w:ascii="Times New Roman" w:hAnsi="Times New Roman"/>
          <w:sz w:val="24"/>
          <w:szCs w:val="24"/>
        </w:rPr>
        <w:t xml:space="preserve"> statistic are prescribed to be allocated based on </w:t>
      </w:r>
      <w:r w:rsidR="00410B63">
        <w:rPr>
          <w:rFonts w:ascii="Times New Roman" w:hAnsi="Times New Roman"/>
          <w:sz w:val="24"/>
          <w:szCs w:val="24"/>
        </w:rPr>
        <w:t>s</w:t>
      </w:r>
      <w:r>
        <w:rPr>
          <w:rFonts w:ascii="Times New Roman" w:hAnsi="Times New Roman"/>
          <w:sz w:val="24"/>
          <w:szCs w:val="24"/>
        </w:rPr>
        <w:t xml:space="preserve">quare </w:t>
      </w:r>
      <w:r w:rsidR="00410B63">
        <w:rPr>
          <w:rFonts w:ascii="Times New Roman" w:hAnsi="Times New Roman"/>
          <w:sz w:val="24"/>
          <w:szCs w:val="24"/>
        </w:rPr>
        <w:t>f</w:t>
      </w:r>
      <w:r>
        <w:rPr>
          <w:rFonts w:ascii="Times New Roman" w:hAnsi="Times New Roman"/>
          <w:sz w:val="24"/>
          <w:szCs w:val="24"/>
        </w:rPr>
        <w:t>ootage</w:t>
      </w:r>
      <w:r w:rsidR="00921786">
        <w:rPr>
          <w:rFonts w:ascii="Times New Roman" w:hAnsi="Times New Roman"/>
          <w:sz w:val="24"/>
          <w:szCs w:val="24"/>
        </w:rPr>
        <w:t xml:space="preserve"> according to</w:t>
      </w:r>
      <w:r>
        <w:rPr>
          <w:rFonts w:ascii="Times New Roman" w:hAnsi="Times New Roman"/>
          <w:sz w:val="24"/>
          <w:szCs w:val="24"/>
        </w:rPr>
        <w:t xml:space="preserve"> the Simplified Cost Allocation Methodology described in </w:t>
      </w:r>
      <w:r w:rsidR="00E350A8">
        <w:rPr>
          <w:rFonts w:ascii="Times New Roman" w:hAnsi="Times New Roman"/>
          <w:sz w:val="24"/>
          <w:szCs w:val="24"/>
        </w:rPr>
        <w:t xml:space="preserve">PRM-Part 2 </w:t>
      </w:r>
      <w:r>
        <w:rPr>
          <w:rFonts w:ascii="Times New Roman" w:hAnsi="Times New Roman"/>
          <w:sz w:val="24"/>
          <w:szCs w:val="24"/>
        </w:rPr>
        <w:t xml:space="preserve">Section 4020.  </w:t>
      </w:r>
      <w:r w:rsidR="00F8037B">
        <w:rPr>
          <w:rFonts w:ascii="Times New Roman" w:hAnsi="Times New Roman"/>
          <w:sz w:val="24"/>
          <w:szCs w:val="24"/>
        </w:rPr>
        <w:t xml:space="preserve">The Simplified Cost Allocation Methodology is the methodology used </w:t>
      </w:r>
      <w:r w:rsidR="00921786">
        <w:rPr>
          <w:rFonts w:ascii="Times New Roman" w:hAnsi="Times New Roman"/>
          <w:sz w:val="24"/>
          <w:szCs w:val="24"/>
        </w:rPr>
        <w:t xml:space="preserve">by </w:t>
      </w:r>
      <w:r w:rsidR="00F8037B">
        <w:rPr>
          <w:rFonts w:ascii="Times New Roman" w:hAnsi="Times New Roman"/>
          <w:sz w:val="24"/>
          <w:szCs w:val="24"/>
        </w:rPr>
        <w:t>the Provider in prior year</w:t>
      </w:r>
      <w:r w:rsidR="00921786">
        <w:rPr>
          <w:rFonts w:ascii="Times New Roman" w:hAnsi="Times New Roman"/>
          <w:sz w:val="24"/>
          <w:szCs w:val="24"/>
        </w:rPr>
        <w:t>s</w:t>
      </w:r>
      <w:r w:rsidR="0039384E">
        <w:rPr>
          <w:rFonts w:ascii="Times New Roman" w:hAnsi="Times New Roman"/>
          <w:sz w:val="24"/>
          <w:szCs w:val="24"/>
        </w:rPr>
        <w:t>’</w:t>
      </w:r>
      <w:r w:rsidR="00F8037B">
        <w:rPr>
          <w:rFonts w:ascii="Times New Roman" w:hAnsi="Times New Roman"/>
          <w:sz w:val="24"/>
          <w:szCs w:val="24"/>
        </w:rPr>
        <w:t xml:space="preserve"> cost reports with the exception of Movable Equipment which was allocated based on Depreciation Expense where each cost center received an allocation of depreciation based on equipment assigned</w:t>
      </w:r>
      <w:r w:rsidR="00921786">
        <w:rPr>
          <w:rFonts w:ascii="Times New Roman" w:hAnsi="Times New Roman"/>
          <w:sz w:val="24"/>
          <w:szCs w:val="24"/>
        </w:rPr>
        <w:t xml:space="preserve"> to it</w:t>
      </w:r>
      <w:r w:rsidR="00F8037B">
        <w:rPr>
          <w:rFonts w:ascii="Times New Roman" w:hAnsi="Times New Roman"/>
          <w:sz w:val="24"/>
          <w:szCs w:val="24"/>
        </w:rPr>
        <w:t xml:space="preserve">.  </w:t>
      </w:r>
    </w:p>
    <w:p w14:paraId="637FE2D3" w14:textId="77777777" w:rsidR="00F8037B" w:rsidRDefault="00F8037B" w:rsidP="006F1802">
      <w:pPr>
        <w:rPr>
          <w:rFonts w:ascii="Times New Roman" w:hAnsi="Times New Roman"/>
          <w:sz w:val="24"/>
          <w:szCs w:val="24"/>
        </w:rPr>
      </w:pPr>
    </w:p>
    <w:p w14:paraId="3C2DB0C3" w14:textId="77777777" w:rsidR="002E42DB" w:rsidRDefault="00DC48EC" w:rsidP="00C56F60">
      <w:pPr>
        <w:spacing w:line="480" w:lineRule="auto"/>
        <w:rPr>
          <w:rFonts w:ascii="Times New Roman" w:hAnsi="Times New Roman"/>
          <w:sz w:val="24"/>
          <w:szCs w:val="24"/>
        </w:rPr>
      </w:pPr>
      <w:r>
        <w:rPr>
          <w:rFonts w:ascii="Times New Roman" w:hAnsi="Times New Roman"/>
          <w:sz w:val="24"/>
          <w:szCs w:val="24"/>
        </w:rPr>
        <w:lastRenderedPageBreak/>
        <w:t xml:space="preserve">The Provider’s attempt to allocate </w:t>
      </w:r>
      <w:r w:rsidRPr="00DC48EC">
        <w:rPr>
          <w:rFonts w:ascii="Times New Roman" w:hAnsi="Times New Roman"/>
          <w:sz w:val="24"/>
          <w:szCs w:val="24"/>
        </w:rPr>
        <w:t xml:space="preserve">Building </w:t>
      </w:r>
      <w:r w:rsidR="00A97783">
        <w:rPr>
          <w:rFonts w:ascii="Times New Roman" w:hAnsi="Times New Roman"/>
          <w:sz w:val="24"/>
          <w:szCs w:val="24"/>
        </w:rPr>
        <w:t>and</w:t>
      </w:r>
      <w:r w:rsidRPr="00DC48EC">
        <w:rPr>
          <w:rFonts w:ascii="Times New Roman" w:hAnsi="Times New Roman"/>
          <w:sz w:val="24"/>
          <w:szCs w:val="24"/>
        </w:rPr>
        <w:t xml:space="preserve"> Fixtures, Major Moveable Equipment and Maintenance </w:t>
      </w:r>
      <w:r w:rsidR="00A97783">
        <w:rPr>
          <w:rFonts w:ascii="Times New Roman" w:hAnsi="Times New Roman"/>
          <w:sz w:val="24"/>
          <w:szCs w:val="24"/>
        </w:rPr>
        <w:t>and</w:t>
      </w:r>
      <w:r w:rsidRPr="00DC48EC">
        <w:rPr>
          <w:rFonts w:ascii="Times New Roman" w:hAnsi="Times New Roman"/>
          <w:sz w:val="24"/>
          <w:szCs w:val="24"/>
        </w:rPr>
        <w:t xml:space="preserve"> Repair</w:t>
      </w:r>
      <w:r>
        <w:rPr>
          <w:rFonts w:ascii="Times New Roman" w:hAnsi="Times New Roman"/>
          <w:sz w:val="24"/>
          <w:szCs w:val="24"/>
        </w:rPr>
        <w:t xml:space="preserve"> using </w:t>
      </w:r>
      <w:r w:rsidR="00F8037B">
        <w:rPr>
          <w:rFonts w:ascii="Times New Roman" w:hAnsi="Times New Roman"/>
          <w:sz w:val="24"/>
          <w:szCs w:val="24"/>
        </w:rPr>
        <w:t xml:space="preserve">a </w:t>
      </w:r>
      <w:r w:rsidR="00ED0B82">
        <w:rPr>
          <w:rFonts w:ascii="Times New Roman" w:hAnsi="Times New Roman"/>
          <w:sz w:val="24"/>
          <w:szCs w:val="24"/>
        </w:rPr>
        <w:t>“</w:t>
      </w:r>
      <w:r w:rsidR="00F8037B">
        <w:rPr>
          <w:rFonts w:ascii="Times New Roman" w:hAnsi="Times New Roman"/>
          <w:sz w:val="24"/>
          <w:szCs w:val="24"/>
        </w:rPr>
        <w:t>created</w:t>
      </w:r>
      <w:r w:rsidR="00ED0B82">
        <w:rPr>
          <w:rFonts w:ascii="Times New Roman" w:hAnsi="Times New Roman"/>
          <w:sz w:val="24"/>
          <w:szCs w:val="24"/>
        </w:rPr>
        <w:t>”</w:t>
      </w:r>
      <w:r w:rsidR="00F8037B">
        <w:rPr>
          <w:rFonts w:ascii="Times New Roman" w:hAnsi="Times New Roman"/>
          <w:sz w:val="24"/>
          <w:szCs w:val="24"/>
        </w:rPr>
        <w:t xml:space="preserve"> statistic</w:t>
      </w:r>
      <w:r w:rsidR="00921786">
        <w:rPr>
          <w:rFonts w:ascii="Times New Roman" w:hAnsi="Times New Roman"/>
          <w:sz w:val="24"/>
          <w:szCs w:val="24"/>
        </w:rPr>
        <w:t xml:space="preserve"> of square footage based on employee surveys</w:t>
      </w:r>
      <w:r w:rsidR="00F8037B">
        <w:rPr>
          <w:rFonts w:ascii="Times New Roman" w:hAnsi="Times New Roman"/>
          <w:sz w:val="24"/>
          <w:szCs w:val="24"/>
        </w:rPr>
        <w:t xml:space="preserve"> whe</w:t>
      </w:r>
      <w:r w:rsidR="00921786">
        <w:rPr>
          <w:rFonts w:ascii="Times New Roman" w:hAnsi="Times New Roman"/>
          <w:sz w:val="24"/>
          <w:szCs w:val="24"/>
        </w:rPr>
        <w:t>n</w:t>
      </w:r>
      <w:r w:rsidR="00F8037B">
        <w:rPr>
          <w:rFonts w:ascii="Times New Roman" w:hAnsi="Times New Roman"/>
          <w:sz w:val="24"/>
          <w:szCs w:val="24"/>
        </w:rPr>
        <w:t xml:space="preserve"> the organ acquisition cost centers have no </w:t>
      </w:r>
      <w:r w:rsidR="00921786">
        <w:rPr>
          <w:rFonts w:ascii="Times New Roman" w:hAnsi="Times New Roman"/>
          <w:sz w:val="24"/>
          <w:szCs w:val="24"/>
        </w:rPr>
        <w:t xml:space="preserve">designated space, </w:t>
      </w:r>
      <w:r w:rsidR="00F8037B">
        <w:rPr>
          <w:rFonts w:ascii="Times New Roman" w:hAnsi="Times New Roman"/>
          <w:sz w:val="24"/>
          <w:szCs w:val="24"/>
        </w:rPr>
        <w:t xml:space="preserve">equipment </w:t>
      </w:r>
      <w:r w:rsidR="00ED0B82">
        <w:rPr>
          <w:rFonts w:ascii="Times New Roman" w:hAnsi="Times New Roman"/>
          <w:sz w:val="24"/>
          <w:szCs w:val="24"/>
        </w:rPr>
        <w:t>or</w:t>
      </w:r>
      <w:r w:rsidR="00F8037B">
        <w:rPr>
          <w:rFonts w:ascii="Times New Roman" w:hAnsi="Times New Roman"/>
          <w:sz w:val="24"/>
          <w:szCs w:val="24"/>
        </w:rPr>
        <w:t xml:space="preserve"> related maintenance and repairs is contrary to all manual instructions and cost finding principles. </w:t>
      </w:r>
      <w:r w:rsidR="00031D2A">
        <w:rPr>
          <w:rFonts w:ascii="Times New Roman" w:hAnsi="Times New Roman"/>
          <w:sz w:val="24"/>
          <w:szCs w:val="24"/>
        </w:rPr>
        <w:t>42 CFR §413.24 Adequate cost dat</w:t>
      </w:r>
      <w:r w:rsidR="001F3BD2">
        <w:rPr>
          <w:rFonts w:ascii="Times New Roman" w:hAnsi="Times New Roman"/>
          <w:sz w:val="24"/>
          <w:szCs w:val="24"/>
        </w:rPr>
        <w:t>a</w:t>
      </w:r>
      <w:r w:rsidR="00031D2A">
        <w:rPr>
          <w:rFonts w:ascii="Times New Roman" w:hAnsi="Times New Roman"/>
          <w:sz w:val="24"/>
          <w:szCs w:val="24"/>
        </w:rPr>
        <w:t xml:space="preserve"> and cost finding states, “…must be based on </w:t>
      </w:r>
      <w:r w:rsidR="00C4508E">
        <w:rPr>
          <w:rFonts w:ascii="Times New Roman" w:hAnsi="Times New Roman"/>
          <w:sz w:val="24"/>
          <w:szCs w:val="24"/>
        </w:rPr>
        <w:t xml:space="preserve">their </w:t>
      </w:r>
      <w:r w:rsidR="00031D2A">
        <w:rPr>
          <w:rFonts w:ascii="Times New Roman" w:hAnsi="Times New Roman"/>
          <w:sz w:val="24"/>
          <w:szCs w:val="24"/>
        </w:rPr>
        <w:t>financial and statistical records which must be capable of verification by qualified auditors.  The cost data must be based on an approved method of cost finding…” (</w:t>
      </w:r>
      <w:r w:rsidR="00031D2A" w:rsidRPr="002875D6">
        <w:rPr>
          <w:rFonts w:ascii="Times New Roman" w:hAnsi="Times New Roman"/>
          <w:b/>
          <w:bCs/>
          <w:sz w:val="24"/>
          <w:szCs w:val="24"/>
        </w:rPr>
        <w:t>Exhibit C-</w:t>
      </w:r>
      <w:r w:rsidR="00DB57F4">
        <w:rPr>
          <w:rFonts w:ascii="Times New Roman" w:hAnsi="Times New Roman"/>
          <w:b/>
          <w:bCs/>
          <w:sz w:val="24"/>
          <w:szCs w:val="24"/>
        </w:rPr>
        <w:t>6</w:t>
      </w:r>
      <w:r w:rsidR="00031D2A" w:rsidRPr="002875D6">
        <w:rPr>
          <w:rFonts w:ascii="Times New Roman" w:hAnsi="Times New Roman"/>
          <w:sz w:val="24"/>
          <w:szCs w:val="24"/>
        </w:rPr>
        <w:t>)</w:t>
      </w:r>
      <w:r w:rsidR="00031D2A">
        <w:rPr>
          <w:rFonts w:ascii="Times New Roman" w:hAnsi="Times New Roman"/>
          <w:sz w:val="24"/>
          <w:szCs w:val="24"/>
        </w:rPr>
        <w:t xml:space="preserve">.  The Provider’s </w:t>
      </w:r>
      <w:r w:rsidR="00ED0B82">
        <w:rPr>
          <w:rFonts w:ascii="Times New Roman" w:hAnsi="Times New Roman"/>
          <w:sz w:val="24"/>
          <w:szCs w:val="24"/>
        </w:rPr>
        <w:t>“</w:t>
      </w:r>
      <w:r w:rsidR="00031D2A">
        <w:rPr>
          <w:rFonts w:ascii="Times New Roman" w:hAnsi="Times New Roman"/>
          <w:sz w:val="24"/>
          <w:szCs w:val="24"/>
        </w:rPr>
        <w:t>created</w:t>
      </w:r>
      <w:r w:rsidR="00ED0B82">
        <w:rPr>
          <w:rFonts w:ascii="Times New Roman" w:hAnsi="Times New Roman"/>
          <w:sz w:val="24"/>
          <w:szCs w:val="24"/>
        </w:rPr>
        <w:t>”</w:t>
      </w:r>
      <w:r w:rsidR="00031D2A">
        <w:rPr>
          <w:rFonts w:ascii="Times New Roman" w:hAnsi="Times New Roman"/>
          <w:sz w:val="24"/>
          <w:szCs w:val="24"/>
        </w:rPr>
        <w:t xml:space="preserve"> statistic is not an approved method of cost finding.</w:t>
      </w:r>
      <w:r w:rsidR="00E350A8">
        <w:rPr>
          <w:rFonts w:ascii="Times New Roman" w:hAnsi="Times New Roman"/>
          <w:sz w:val="24"/>
          <w:szCs w:val="24"/>
        </w:rPr>
        <w:t xml:space="preserve"> </w:t>
      </w:r>
      <w:r w:rsidR="00E350A8" w:rsidRPr="00E350A8">
        <w:rPr>
          <w:rFonts w:ascii="Times New Roman" w:hAnsi="Times New Roman"/>
          <w:sz w:val="24"/>
          <w:szCs w:val="24"/>
        </w:rPr>
        <w:t xml:space="preserve">Cost report instructions state that statistics for a given overhead cost center must be allocated on the same basis; therefore, an attempt by the provider to </w:t>
      </w:r>
      <w:r w:rsidR="00ED0B82" w:rsidRPr="00ED0B82">
        <w:rPr>
          <w:rFonts w:ascii="Times New Roman" w:hAnsi="Times New Roman"/>
          <w:sz w:val="24"/>
          <w:szCs w:val="24"/>
        </w:rPr>
        <w:t>“</w:t>
      </w:r>
      <w:r w:rsidR="00A01BC7" w:rsidRPr="00ED0B82">
        <w:rPr>
          <w:rFonts w:ascii="Times New Roman" w:hAnsi="Times New Roman"/>
          <w:sz w:val="24"/>
          <w:szCs w:val="24"/>
        </w:rPr>
        <w:t>create</w:t>
      </w:r>
      <w:r w:rsidR="00ED0B82" w:rsidRPr="00ED0B82">
        <w:rPr>
          <w:rFonts w:ascii="Times New Roman" w:hAnsi="Times New Roman"/>
          <w:sz w:val="24"/>
          <w:szCs w:val="24"/>
        </w:rPr>
        <w:t>”</w:t>
      </w:r>
      <w:r w:rsidR="00A01BC7">
        <w:rPr>
          <w:rFonts w:ascii="Times New Roman" w:hAnsi="Times New Roman"/>
          <w:sz w:val="24"/>
          <w:szCs w:val="24"/>
        </w:rPr>
        <w:t xml:space="preserve"> s</w:t>
      </w:r>
      <w:r w:rsidR="00E350A8" w:rsidRPr="00E350A8">
        <w:rPr>
          <w:rFonts w:ascii="Times New Roman" w:hAnsi="Times New Roman"/>
          <w:sz w:val="24"/>
          <w:szCs w:val="24"/>
        </w:rPr>
        <w:t>quare footage and moveable equipment statistics does not adhere to Medicare regulation</w:t>
      </w:r>
      <w:r w:rsidR="002C39DF">
        <w:rPr>
          <w:rFonts w:ascii="Times New Roman" w:hAnsi="Times New Roman"/>
          <w:sz w:val="24"/>
          <w:szCs w:val="24"/>
        </w:rPr>
        <w:t>s</w:t>
      </w:r>
      <w:r w:rsidR="00ED0B82">
        <w:rPr>
          <w:rFonts w:ascii="Times New Roman" w:hAnsi="Times New Roman"/>
          <w:sz w:val="24"/>
          <w:szCs w:val="24"/>
        </w:rPr>
        <w:t xml:space="preserve"> or Program instructions</w:t>
      </w:r>
      <w:r w:rsidR="00E350A8" w:rsidRPr="00E350A8">
        <w:rPr>
          <w:rFonts w:ascii="Times New Roman" w:hAnsi="Times New Roman"/>
          <w:sz w:val="24"/>
          <w:szCs w:val="24"/>
        </w:rPr>
        <w:t>.</w:t>
      </w:r>
    </w:p>
    <w:p w14:paraId="3FE30933" w14:textId="77777777" w:rsidR="00ED5A90" w:rsidRDefault="00ED5A90" w:rsidP="006F1802">
      <w:pPr>
        <w:rPr>
          <w:rFonts w:ascii="Times New Roman" w:hAnsi="Times New Roman"/>
          <w:sz w:val="24"/>
          <w:szCs w:val="24"/>
        </w:rPr>
      </w:pPr>
    </w:p>
    <w:p w14:paraId="03E4B3A3" w14:textId="77777777" w:rsidR="00031D2A" w:rsidRDefault="00031D2A" w:rsidP="00C56F60">
      <w:pPr>
        <w:spacing w:line="480" w:lineRule="auto"/>
        <w:rPr>
          <w:rFonts w:ascii="Times New Roman" w:hAnsi="Times New Roman"/>
          <w:sz w:val="24"/>
          <w:szCs w:val="24"/>
        </w:rPr>
      </w:pPr>
      <w:r>
        <w:rPr>
          <w:rFonts w:ascii="Times New Roman" w:hAnsi="Times New Roman"/>
          <w:sz w:val="24"/>
          <w:szCs w:val="24"/>
        </w:rPr>
        <w:t>Additionally</w:t>
      </w:r>
      <w:r w:rsidR="006F6AEE">
        <w:rPr>
          <w:rFonts w:ascii="Times New Roman" w:hAnsi="Times New Roman"/>
          <w:sz w:val="24"/>
          <w:szCs w:val="24"/>
        </w:rPr>
        <w:t>,</w:t>
      </w:r>
      <w:r w:rsidR="0039384E">
        <w:rPr>
          <w:rFonts w:ascii="Times New Roman" w:hAnsi="Times New Roman"/>
          <w:sz w:val="24"/>
          <w:szCs w:val="24"/>
        </w:rPr>
        <w:t xml:space="preserve"> Worksheet D-4 of the cost report</w:t>
      </w:r>
      <w:r w:rsidR="006F6AEE">
        <w:rPr>
          <w:rFonts w:ascii="Times New Roman" w:hAnsi="Times New Roman"/>
          <w:sz w:val="24"/>
          <w:szCs w:val="24"/>
        </w:rPr>
        <w:t xml:space="preserve">, </w:t>
      </w:r>
      <w:r w:rsidR="0039384E">
        <w:rPr>
          <w:rFonts w:ascii="Times New Roman" w:hAnsi="Times New Roman"/>
          <w:sz w:val="24"/>
          <w:szCs w:val="24"/>
        </w:rPr>
        <w:t xml:space="preserve">Computation of Organ Acquisition Costs and Charges for a Transplant Hospital </w:t>
      </w:r>
      <w:r w:rsidR="006F6AEE">
        <w:rPr>
          <w:rFonts w:ascii="Times New Roman" w:hAnsi="Times New Roman"/>
          <w:sz w:val="24"/>
          <w:szCs w:val="24"/>
        </w:rPr>
        <w:t>w</w:t>
      </w:r>
      <w:r w:rsidR="0039384E">
        <w:rPr>
          <w:rFonts w:ascii="Times New Roman" w:hAnsi="Times New Roman"/>
          <w:sz w:val="24"/>
          <w:szCs w:val="24"/>
        </w:rPr>
        <w:t xml:space="preserve">ith A </w:t>
      </w:r>
      <w:r w:rsidR="00E350A8">
        <w:rPr>
          <w:rFonts w:ascii="Times New Roman" w:hAnsi="Times New Roman"/>
          <w:sz w:val="24"/>
          <w:szCs w:val="24"/>
        </w:rPr>
        <w:t xml:space="preserve">Medicare-Certified </w:t>
      </w:r>
      <w:r w:rsidR="00ED0B82">
        <w:rPr>
          <w:rFonts w:ascii="Times New Roman" w:hAnsi="Times New Roman"/>
          <w:sz w:val="24"/>
          <w:szCs w:val="24"/>
        </w:rPr>
        <w:t xml:space="preserve">Transplant Program </w:t>
      </w:r>
      <w:r w:rsidR="006F6AEE">
        <w:rPr>
          <w:rFonts w:ascii="Times New Roman" w:hAnsi="Times New Roman"/>
          <w:sz w:val="24"/>
          <w:szCs w:val="24"/>
        </w:rPr>
        <w:t xml:space="preserve">(see </w:t>
      </w:r>
      <w:r w:rsidR="006F6AEE" w:rsidRPr="006F6AEE">
        <w:rPr>
          <w:rFonts w:ascii="Times New Roman" w:hAnsi="Times New Roman"/>
          <w:b/>
          <w:bCs/>
          <w:sz w:val="24"/>
          <w:szCs w:val="24"/>
        </w:rPr>
        <w:t>Exhibit C-</w:t>
      </w:r>
      <w:r w:rsidR="00DB57F4">
        <w:rPr>
          <w:rFonts w:ascii="Times New Roman" w:hAnsi="Times New Roman"/>
          <w:b/>
          <w:bCs/>
          <w:sz w:val="24"/>
          <w:szCs w:val="24"/>
        </w:rPr>
        <w:t>7</w:t>
      </w:r>
      <w:r w:rsidR="006F6AEE">
        <w:rPr>
          <w:rFonts w:ascii="Times New Roman" w:hAnsi="Times New Roman"/>
          <w:sz w:val="24"/>
          <w:szCs w:val="24"/>
        </w:rPr>
        <w:t xml:space="preserve">), </w:t>
      </w:r>
      <w:r w:rsidR="00ED0B82">
        <w:rPr>
          <w:rFonts w:ascii="Times New Roman" w:hAnsi="Times New Roman"/>
          <w:sz w:val="24"/>
          <w:szCs w:val="24"/>
        </w:rPr>
        <w:t>applies cost to charge ratios to charges for each cost center utilized by organ acquisition patients</w:t>
      </w:r>
      <w:r w:rsidR="00317D68">
        <w:rPr>
          <w:rFonts w:ascii="Times New Roman" w:hAnsi="Times New Roman"/>
          <w:sz w:val="24"/>
          <w:szCs w:val="24"/>
        </w:rPr>
        <w:t xml:space="preserve"> to develop full cost of organ acquisition cost centers</w:t>
      </w:r>
      <w:r w:rsidR="00ED0B82">
        <w:rPr>
          <w:rFonts w:ascii="Times New Roman" w:hAnsi="Times New Roman"/>
          <w:sz w:val="24"/>
          <w:szCs w:val="24"/>
        </w:rPr>
        <w:t xml:space="preserve">.  The costs </w:t>
      </w:r>
      <w:r w:rsidR="00317D68">
        <w:rPr>
          <w:rFonts w:ascii="Times New Roman" w:hAnsi="Times New Roman"/>
          <w:sz w:val="24"/>
          <w:szCs w:val="24"/>
        </w:rPr>
        <w:t xml:space="preserve">computed based on </w:t>
      </w:r>
      <w:r w:rsidR="00ED0B82">
        <w:rPr>
          <w:rFonts w:ascii="Times New Roman" w:hAnsi="Times New Roman"/>
          <w:sz w:val="24"/>
          <w:szCs w:val="24"/>
        </w:rPr>
        <w:t xml:space="preserve">cost to charge ratios include </w:t>
      </w:r>
      <w:r w:rsidR="00317D68">
        <w:rPr>
          <w:rFonts w:ascii="Times New Roman" w:hAnsi="Times New Roman"/>
          <w:sz w:val="24"/>
          <w:szCs w:val="24"/>
        </w:rPr>
        <w:t>full costs for each cost center (i.e., direct and indirect costs derived on Worksheet B through the step-down process)</w:t>
      </w:r>
      <w:r w:rsidR="006F6AEE">
        <w:rPr>
          <w:rFonts w:ascii="Times New Roman" w:hAnsi="Times New Roman"/>
          <w:sz w:val="24"/>
          <w:szCs w:val="24"/>
        </w:rPr>
        <w:t>; and therefore, have received an allocation of Buildings and Fixtures, Movable Equipment and Maintenance and Repair costs from each cost center accessed by the organ acquisition patients</w:t>
      </w:r>
      <w:r w:rsidR="00317D68">
        <w:rPr>
          <w:rFonts w:ascii="Times New Roman" w:hAnsi="Times New Roman"/>
          <w:sz w:val="24"/>
          <w:szCs w:val="24"/>
        </w:rPr>
        <w:t xml:space="preserve">.  </w:t>
      </w:r>
    </w:p>
    <w:p w14:paraId="77CC19FA" w14:textId="77777777" w:rsidR="00106679" w:rsidRPr="008428E5" w:rsidRDefault="00106679" w:rsidP="006F1802">
      <w:pPr>
        <w:rPr>
          <w:rFonts w:ascii="Times New Roman" w:hAnsi="Times New Roman"/>
          <w:noProof/>
          <w:sz w:val="24"/>
          <w:szCs w:val="24"/>
        </w:rPr>
      </w:pPr>
    </w:p>
    <w:p w14:paraId="6C0D7AA3" w14:textId="77777777" w:rsidR="00B66AEC" w:rsidRPr="004212F0" w:rsidRDefault="00B66AEC" w:rsidP="004212F0">
      <w:pPr>
        <w:pStyle w:val="Heading7"/>
        <w:numPr>
          <w:ilvl w:val="0"/>
          <w:numId w:val="4"/>
        </w:numPr>
        <w:tabs>
          <w:tab w:val="clear" w:pos="0"/>
          <w:tab w:val="clear" w:pos="7501"/>
          <w:tab w:val="clear" w:pos="7920"/>
          <w:tab w:val="clear" w:pos="8136"/>
          <w:tab w:val="clear" w:pos="8640"/>
        </w:tabs>
        <w:rPr>
          <w:rFonts w:ascii="Times New Roman" w:hAnsi="Times New Roman"/>
          <w:b/>
          <w:bCs/>
          <w:szCs w:val="24"/>
        </w:rPr>
      </w:pPr>
      <w:r w:rsidRPr="004212F0">
        <w:rPr>
          <w:rFonts w:ascii="Times New Roman" w:hAnsi="Times New Roman"/>
          <w:b/>
          <w:bCs/>
          <w:szCs w:val="24"/>
        </w:rPr>
        <w:lastRenderedPageBreak/>
        <w:t>Conclusion</w:t>
      </w:r>
    </w:p>
    <w:p w14:paraId="5C26B1EE" w14:textId="77777777" w:rsidR="00B66AEC" w:rsidRPr="008428E5" w:rsidRDefault="00B66AEC">
      <w:pPr>
        <w:tabs>
          <w:tab w:val="left" w:pos="-1440"/>
          <w:tab w:val="left" w:pos="-720"/>
          <w:tab w:val="left" w:pos="720"/>
          <w:tab w:val="left" w:pos="1930"/>
        </w:tabs>
        <w:suppressAutoHyphens/>
        <w:rPr>
          <w:rFonts w:ascii="Times New Roman" w:hAnsi="Times New Roman"/>
          <w:sz w:val="24"/>
          <w:szCs w:val="24"/>
        </w:rPr>
      </w:pPr>
    </w:p>
    <w:p w14:paraId="5384D4E5" w14:textId="77777777" w:rsidR="001C234E" w:rsidRDefault="001C234E" w:rsidP="001C234E">
      <w:pPr>
        <w:spacing w:line="480" w:lineRule="auto"/>
        <w:rPr>
          <w:rFonts w:ascii="Times New Roman" w:hAnsi="Times New Roman"/>
          <w:sz w:val="24"/>
          <w:szCs w:val="24"/>
        </w:rPr>
      </w:pPr>
      <w:bookmarkStart w:id="3" w:name="_Hlk100308072"/>
      <w:r>
        <w:rPr>
          <w:rFonts w:ascii="Times New Roman" w:hAnsi="Times New Roman"/>
          <w:sz w:val="24"/>
          <w:szCs w:val="24"/>
        </w:rPr>
        <w:t xml:space="preserve">The Provider has failed to demonstrate that the </w:t>
      </w:r>
      <w:r w:rsidR="007520A9">
        <w:rPr>
          <w:rFonts w:ascii="Times New Roman" w:hAnsi="Times New Roman"/>
          <w:sz w:val="24"/>
          <w:szCs w:val="24"/>
        </w:rPr>
        <w:t>MAC erroneously disallowed overhead costs allocated to organ procurement</w:t>
      </w:r>
      <w:r>
        <w:rPr>
          <w:rFonts w:ascii="Times New Roman" w:hAnsi="Times New Roman"/>
          <w:sz w:val="24"/>
          <w:szCs w:val="24"/>
        </w:rPr>
        <w:t xml:space="preserve">.   The MAC respectfully requests that the Board affirm </w:t>
      </w:r>
      <w:r w:rsidR="007520A9">
        <w:rPr>
          <w:rFonts w:ascii="Times New Roman" w:hAnsi="Times New Roman"/>
          <w:sz w:val="24"/>
          <w:szCs w:val="24"/>
        </w:rPr>
        <w:t>the adjustments to</w:t>
      </w:r>
      <w:r>
        <w:rPr>
          <w:rFonts w:ascii="Times New Roman" w:hAnsi="Times New Roman"/>
          <w:sz w:val="24"/>
          <w:szCs w:val="24"/>
        </w:rPr>
        <w:t xml:space="preserve"> the </w:t>
      </w:r>
      <w:r w:rsidR="007520A9">
        <w:rPr>
          <w:rFonts w:ascii="Times New Roman" w:hAnsi="Times New Roman"/>
          <w:sz w:val="24"/>
          <w:szCs w:val="24"/>
        </w:rPr>
        <w:t>Medicare</w:t>
      </w:r>
      <w:r>
        <w:rPr>
          <w:rFonts w:ascii="Times New Roman" w:hAnsi="Times New Roman"/>
          <w:sz w:val="24"/>
          <w:szCs w:val="24"/>
        </w:rPr>
        <w:t xml:space="preserve"> cost report</w:t>
      </w:r>
      <w:r w:rsidR="007520A9">
        <w:rPr>
          <w:rFonts w:ascii="Times New Roman" w:hAnsi="Times New Roman"/>
          <w:sz w:val="24"/>
          <w:szCs w:val="24"/>
        </w:rPr>
        <w:t xml:space="preserve"> ending June 30, 2015</w:t>
      </w:r>
      <w:r w:rsidR="006F6AEE">
        <w:rPr>
          <w:rFonts w:ascii="Times New Roman" w:hAnsi="Times New Roman"/>
          <w:sz w:val="24"/>
          <w:szCs w:val="24"/>
        </w:rPr>
        <w:t xml:space="preserve"> as the MAC has followed Medicare regulations and Program instructions.</w:t>
      </w:r>
    </w:p>
    <w:p w14:paraId="29E84270" w14:textId="77777777" w:rsidR="00540CB9" w:rsidRDefault="00540CB9" w:rsidP="001C234E">
      <w:pPr>
        <w:spacing w:line="480" w:lineRule="auto"/>
        <w:rPr>
          <w:rFonts w:ascii="Times New Roman" w:hAnsi="Times New Roman"/>
          <w:sz w:val="24"/>
          <w:szCs w:val="24"/>
        </w:rPr>
      </w:pPr>
    </w:p>
    <w:p w14:paraId="4E499615" w14:textId="77777777" w:rsidR="00540CB9" w:rsidRDefault="00540CB9" w:rsidP="001C234E">
      <w:pPr>
        <w:spacing w:line="480" w:lineRule="auto"/>
        <w:rPr>
          <w:rFonts w:ascii="Times New Roman" w:hAnsi="Times New Roman"/>
          <w:sz w:val="24"/>
          <w:szCs w:val="24"/>
        </w:rPr>
      </w:pPr>
    </w:p>
    <w:p w14:paraId="780F83D5" w14:textId="77777777" w:rsidR="00540CB9" w:rsidRDefault="00540CB9" w:rsidP="001C234E">
      <w:pPr>
        <w:spacing w:line="480" w:lineRule="auto"/>
        <w:rPr>
          <w:rFonts w:ascii="Times New Roman" w:hAnsi="Times New Roman"/>
          <w:sz w:val="24"/>
          <w:szCs w:val="24"/>
        </w:rPr>
      </w:pPr>
    </w:p>
    <w:p w14:paraId="06418B47" w14:textId="77777777" w:rsidR="00540CB9" w:rsidRDefault="00540CB9" w:rsidP="001C234E">
      <w:pPr>
        <w:spacing w:line="480" w:lineRule="auto"/>
        <w:rPr>
          <w:rFonts w:ascii="Times New Roman" w:hAnsi="Times New Roman"/>
          <w:sz w:val="24"/>
          <w:szCs w:val="24"/>
        </w:rPr>
      </w:pPr>
    </w:p>
    <w:p w14:paraId="1B88D0E0" w14:textId="77777777" w:rsidR="00540CB9" w:rsidRDefault="00540CB9" w:rsidP="001C234E">
      <w:pPr>
        <w:spacing w:line="480" w:lineRule="auto"/>
        <w:rPr>
          <w:rFonts w:ascii="Times New Roman" w:hAnsi="Times New Roman"/>
          <w:sz w:val="24"/>
          <w:szCs w:val="24"/>
        </w:rPr>
      </w:pPr>
    </w:p>
    <w:p w14:paraId="6AC1F00C" w14:textId="77777777" w:rsidR="00540CB9" w:rsidRDefault="00540CB9" w:rsidP="001C234E">
      <w:pPr>
        <w:spacing w:line="480" w:lineRule="auto"/>
        <w:rPr>
          <w:rFonts w:ascii="Times New Roman" w:hAnsi="Times New Roman"/>
          <w:sz w:val="24"/>
          <w:szCs w:val="24"/>
        </w:rPr>
      </w:pPr>
    </w:p>
    <w:p w14:paraId="2D22F1EC" w14:textId="77777777" w:rsidR="00540CB9" w:rsidRDefault="00540CB9" w:rsidP="001C234E">
      <w:pPr>
        <w:spacing w:line="480" w:lineRule="auto"/>
        <w:rPr>
          <w:rFonts w:ascii="Times New Roman" w:hAnsi="Times New Roman"/>
          <w:sz w:val="24"/>
          <w:szCs w:val="24"/>
        </w:rPr>
      </w:pPr>
    </w:p>
    <w:p w14:paraId="30A7C45A" w14:textId="77777777" w:rsidR="00540CB9" w:rsidRDefault="00540CB9" w:rsidP="001C234E">
      <w:pPr>
        <w:spacing w:line="480" w:lineRule="auto"/>
        <w:rPr>
          <w:rFonts w:ascii="Times New Roman" w:hAnsi="Times New Roman"/>
          <w:sz w:val="24"/>
          <w:szCs w:val="24"/>
        </w:rPr>
      </w:pPr>
    </w:p>
    <w:p w14:paraId="2F246D77" w14:textId="77777777" w:rsidR="00540CB9" w:rsidRDefault="00540CB9" w:rsidP="001C234E">
      <w:pPr>
        <w:spacing w:line="480" w:lineRule="auto"/>
        <w:rPr>
          <w:rFonts w:ascii="Times New Roman" w:hAnsi="Times New Roman"/>
          <w:sz w:val="24"/>
          <w:szCs w:val="24"/>
        </w:rPr>
      </w:pPr>
    </w:p>
    <w:p w14:paraId="23882D9F" w14:textId="77777777" w:rsidR="00540CB9" w:rsidRDefault="00540CB9" w:rsidP="001C234E">
      <w:pPr>
        <w:spacing w:line="480" w:lineRule="auto"/>
        <w:rPr>
          <w:rFonts w:ascii="Times New Roman" w:hAnsi="Times New Roman"/>
          <w:sz w:val="24"/>
          <w:szCs w:val="24"/>
        </w:rPr>
      </w:pPr>
    </w:p>
    <w:p w14:paraId="3A4AF9DD" w14:textId="77777777" w:rsidR="00540CB9" w:rsidRDefault="00540CB9" w:rsidP="001C234E">
      <w:pPr>
        <w:spacing w:line="480" w:lineRule="auto"/>
        <w:rPr>
          <w:rFonts w:ascii="Times New Roman" w:hAnsi="Times New Roman"/>
          <w:sz w:val="24"/>
          <w:szCs w:val="24"/>
        </w:rPr>
      </w:pPr>
    </w:p>
    <w:p w14:paraId="6960699A" w14:textId="77777777" w:rsidR="00540CB9" w:rsidRDefault="00540CB9" w:rsidP="001C234E">
      <w:pPr>
        <w:spacing w:line="480" w:lineRule="auto"/>
        <w:rPr>
          <w:rFonts w:ascii="Times New Roman" w:hAnsi="Times New Roman"/>
          <w:sz w:val="24"/>
          <w:szCs w:val="24"/>
        </w:rPr>
      </w:pPr>
    </w:p>
    <w:p w14:paraId="32C01C60" w14:textId="77777777" w:rsidR="00540CB9" w:rsidRDefault="00540CB9" w:rsidP="001C234E">
      <w:pPr>
        <w:spacing w:line="480" w:lineRule="auto"/>
        <w:rPr>
          <w:rFonts w:ascii="Times New Roman" w:hAnsi="Times New Roman"/>
          <w:sz w:val="24"/>
          <w:szCs w:val="24"/>
        </w:rPr>
      </w:pPr>
    </w:p>
    <w:p w14:paraId="0F0D6A24" w14:textId="77777777" w:rsidR="00540CB9" w:rsidRDefault="00540CB9" w:rsidP="001C234E">
      <w:pPr>
        <w:spacing w:line="480" w:lineRule="auto"/>
        <w:rPr>
          <w:rFonts w:ascii="Times New Roman" w:hAnsi="Times New Roman"/>
          <w:sz w:val="24"/>
          <w:szCs w:val="24"/>
        </w:rPr>
      </w:pPr>
    </w:p>
    <w:p w14:paraId="10ADA3B3" w14:textId="77777777" w:rsidR="00540CB9" w:rsidRDefault="00540CB9" w:rsidP="001C234E">
      <w:pPr>
        <w:spacing w:line="480" w:lineRule="auto"/>
        <w:rPr>
          <w:rFonts w:ascii="Times New Roman" w:hAnsi="Times New Roman"/>
          <w:sz w:val="24"/>
          <w:szCs w:val="24"/>
        </w:rPr>
      </w:pPr>
    </w:p>
    <w:bookmarkEnd w:id="3"/>
    <w:p w14:paraId="706DBB7A" w14:textId="77777777" w:rsidR="001C234E" w:rsidRDefault="001C234E" w:rsidP="001C234E">
      <w:pPr>
        <w:rPr>
          <w:rFonts w:ascii="Times New Roman" w:hAnsi="Times New Roman"/>
          <w:i/>
          <w:sz w:val="24"/>
          <w:szCs w:val="24"/>
        </w:rPr>
      </w:pPr>
    </w:p>
    <w:p w14:paraId="3CBE3307" w14:textId="77777777" w:rsidR="006F1802" w:rsidRDefault="006F1802" w:rsidP="001C234E">
      <w:pPr>
        <w:rPr>
          <w:rFonts w:ascii="Times New Roman" w:hAnsi="Times New Roman"/>
          <w:i/>
          <w:sz w:val="24"/>
          <w:szCs w:val="24"/>
        </w:rPr>
      </w:pPr>
    </w:p>
    <w:p w14:paraId="67B8692F" w14:textId="77777777" w:rsidR="006F1802" w:rsidRDefault="006F1802" w:rsidP="001C234E">
      <w:pPr>
        <w:rPr>
          <w:rFonts w:ascii="Times New Roman" w:hAnsi="Times New Roman"/>
          <w:i/>
          <w:sz w:val="24"/>
          <w:szCs w:val="24"/>
        </w:rPr>
      </w:pPr>
    </w:p>
    <w:p w14:paraId="28A82184" w14:textId="77777777" w:rsidR="006F1802" w:rsidRDefault="006F1802" w:rsidP="001C234E">
      <w:pPr>
        <w:rPr>
          <w:rFonts w:ascii="Times New Roman" w:hAnsi="Times New Roman"/>
          <w:i/>
          <w:sz w:val="24"/>
          <w:szCs w:val="24"/>
        </w:rPr>
      </w:pPr>
    </w:p>
    <w:p w14:paraId="551A9EF1" w14:textId="77777777" w:rsidR="006F1802" w:rsidRDefault="006F1802" w:rsidP="001C234E">
      <w:pPr>
        <w:rPr>
          <w:rFonts w:ascii="Times New Roman" w:hAnsi="Times New Roman"/>
          <w:i/>
          <w:sz w:val="24"/>
          <w:szCs w:val="24"/>
        </w:rPr>
      </w:pPr>
    </w:p>
    <w:p w14:paraId="79506328" w14:textId="77777777" w:rsidR="006F1802" w:rsidRDefault="006F1802" w:rsidP="001C234E">
      <w:pPr>
        <w:rPr>
          <w:rFonts w:ascii="Times New Roman" w:hAnsi="Times New Roman"/>
          <w:i/>
          <w:sz w:val="24"/>
          <w:szCs w:val="24"/>
        </w:rPr>
      </w:pPr>
    </w:p>
    <w:p w14:paraId="1BF8ED0B" w14:textId="77777777" w:rsidR="006F1802" w:rsidRDefault="006F1802" w:rsidP="001C234E">
      <w:pPr>
        <w:rPr>
          <w:rFonts w:ascii="Times New Roman" w:hAnsi="Times New Roman"/>
          <w:i/>
          <w:sz w:val="24"/>
          <w:szCs w:val="24"/>
        </w:rPr>
      </w:pPr>
    </w:p>
    <w:p w14:paraId="37AA8E0C" w14:textId="77777777" w:rsidR="006F1802" w:rsidRDefault="006F1802" w:rsidP="001C234E">
      <w:pPr>
        <w:rPr>
          <w:rFonts w:ascii="Times New Roman" w:hAnsi="Times New Roman"/>
          <w:i/>
          <w:sz w:val="24"/>
          <w:szCs w:val="24"/>
        </w:rPr>
      </w:pPr>
    </w:p>
    <w:p w14:paraId="25182E0A" w14:textId="77777777" w:rsidR="00540CB9" w:rsidRDefault="00540CB9" w:rsidP="001C234E">
      <w:pPr>
        <w:rPr>
          <w:rFonts w:ascii="Times New Roman" w:hAnsi="Times New Roman"/>
          <w:i/>
          <w:sz w:val="24"/>
          <w:szCs w:val="24"/>
        </w:rPr>
      </w:pPr>
    </w:p>
    <w:p w14:paraId="2BAAFAA5" w14:textId="77777777" w:rsidR="00540CB9" w:rsidRDefault="00540CB9" w:rsidP="001C234E">
      <w:pPr>
        <w:rPr>
          <w:rFonts w:ascii="Times New Roman" w:hAnsi="Times New Roman"/>
          <w:i/>
          <w:sz w:val="24"/>
          <w:szCs w:val="24"/>
        </w:rPr>
      </w:pPr>
    </w:p>
    <w:p w14:paraId="595E4A95" w14:textId="6E23BC02" w:rsidR="00B66AEC" w:rsidRPr="00FD1B5E" w:rsidRDefault="00B66AEC">
      <w:pPr>
        <w:pStyle w:val="Heading9"/>
        <w:tabs>
          <w:tab w:val="clear" w:pos="1930"/>
          <w:tab w:val="clear" w:pos="7501"/>
          <w:tab w:val="clear" w:pos="7920"/>
          <w:tab w:val="clear" w:pos="8136"/>
          <w:tab w:val="clear" w:pos="8640"/>
        </w:tabs>
        <w:rPr>
          <w:rFonts w:ascii="Times New Roman" w:hAnsi="Times New Roman"/>
          <w:b/>
          <w:bCs/>
          <w:szCs w:val="24"/>
        </w:rPr>
      </w:pPr>
      <w:r w:rsidRPr="00FD1B5E">
        <w:rPr>
          <w:rFonts w:ascii="Times New Roman" w:hAnsi="Times New Roman"/>
          <w:b/>
          <w:bCs/>
          <w:szCs w:val="24"/>
        </w:rPr>
        <w:t>IV.</w:t>
      </w:r>
      <w:r w:rsidRPr="00FD1B5E">
        <w:rPr>
          <w:rFonts w:ascii="Times New Roman" w:hAnsi="Times New Roman"/>
          <w:b/>
          <w:bCs/>
          <w:szCs w:val="24"/>
        </w:rPr>
        <w:tab/>
        <w:t xml:space="preserve">LAWS, </w:t>
      </w:r>
      <w:r w:rsidR="004212F0" w:rsidRPr="00FD1B5E">
        <w:rPr>
          <w:rFonts w:ascii="Times New Roman" w:hAnsi="Times New Roman"/>
          <w:b/>
          <w:bCs/>
          <w:szCs w:val="24"/>
        </w:rPr>
        <w:t>REGULATIONS,</w:t>
      </w:r>
      <w:r w:rsidRPr="00FD1B5E">
        <w:rPr>
          <w:rFonts w:ascii="Times New Roman" w:hAnsi="Times New Roman"/>
          <w:b/>
          <w:bCs/>
          <w:szCs w:val="24"/>
        </w:rPr>
        <w:t xml:space="preserve"> AND </w:t>
      </w:r>
      <w:r w:rsidR="00F8624A">
        <w:rPr>
          <w:rFonts w:ascii="Times New Roman" w:hAnsi="Times New Roman"/>
          <w:b/>
          <w:bCs/>
          <w:szCs w:val="24"/>
        </w:rPr>
        <w:t xml:space="preserve">PROGRAM </w:t>
      </w:r>
      <w:r w:rsidRPr="00FD1B5E">
        <w:rPr>
          <w:rFonts w:ascii="Times New Roman" w:hAnsi="Times New Roman"/>
          <w:b/>
          <w:bCs/>
          <w:szCs w:val="24"/>
        </w:rPr>
        <w:t>INSTRUCTIONS</w:t>
      </w:r>
    </w:p>
    <w:p w14:paraId="0392E8FA" w14:textId="77777777" w:rsidR="00F8624A" w:rsidRDefault="00F8624A" w:rsidP="00CC6472">
      <w:pPr>
        <w:tabs>
          <w:tab w:val="left" w:pos="-1440"/>
          <w:tab w:val="left" w:pos="-720"/>
          <w:tab w:val="left" w:pos="0"/>
          <w:tab w:val="left" w:pos="720"/>
          <w:tab w:val="left" w:pos="1194"/>
          <w:tab w:val="left" w:pos="1685"/>
        </w:tabs>
        <w:suppressAutoHyphens/>
        <w:ind w:left="720"/>
        <w:rPr>
          <w:rFonts w:ascii="Times New Roman" w:hAnsi="Times New Roman"/>
          <w:sz w:val="24"/>
          <w:szCs w:val="24"/>
        </w:rPr>
      </w:pPr>
      <w:bookmarkStart w:id="4" w:name="_Hlk100306981"/>
    </w:p>
    <w:p w14:paraId="4A2D9F48" w14:textId="77777777" w:rsidR="00F8624A" w:rsidRDefault="00F8624A" w:rsidP="00CC6472">
      <w:pPr>
        <w:tabs>
          <w:tab w:val="left" w:pos="-1440"/>
          <w:tab w:val="left" w:pos="-720"/>
          <w:tab w:val="left" w:pos="0"/>
          <w:tab w:val="left" w:pos="720"/>
          <w:tab w:val="left" w:pos="1194"/>
          <w:tab w:val="left" w:pos="1685"/>
        </w:tabs>
        <w:suppressAutoHyphens/>
        <w:ind w:left="720"/>
        <w:rPr>
          <w:rFonts w:ascii="Times New Roman" w:hAnsi="Times New Roman"/>
          <w:sz w:val="24"/>
          <w:szCs w:val="24"/>
        </w:rPr>
      </w:pPr>
    </w:p>
    <w:p w14:paraId="19F36DA9" w14:textId="66B20D1F" w:rsidR="00F8624A" w:rsidRDefault="00F8624A" w:rsidP="00CC6472">
      <w:pPr>
        <w:tabs>
          <w:tab w:val="left" w:pos="-1440"/>
          <w:tab w:val="left" w:pos="-720"/>
          <w:tab w:val="left" w:pos="0"/>
          <w:tab w:val="left" w:pos="720"/>
          <w:tab w:val="left" w:pos="1194"/>
          <w:tab w:val="left" w:pos="1685"/>
        </w:tabs>
        <w:suppressAutoHyphens/>
        <w:ind w:left="720"/>
        <w:rPr>
          <w:rFonts w:ascii="Times New Roman" w:hAnsi="Times New Roman"/>
          <w:sz w:val="24"/>
          <w:szCs w:val="24"/>
        </w:rPr>
      </w:pPr>
      <w:r>
        <w:rPr>
          <w:rFonts w:ascii="Times New Roman" w:hAnsi="Times New Roman"/>
          <w:sz w:val="24"/>
          <w:szCs w:val="24"/>
        </w:rPr>
        <w:t xml:space="preserve">Other Sources: </w:t>
      </w:r>
    </w:p>
    <w:p w14:paraId="265918EC" w14:textId="77777777" w:rsidR="00F8624A" w:rsidRDefault="00F8624A" w:rsidP="00CC6472">
      <w:pPr>
        <w:tabs>
          <w:tab w:val="left" w:pos="-1440"/>
          <w:tab w:val="left" w:pos="-720"/>
          <w:tab w:val="left" w:pos="0"/>
          <w:tab w:val="left" w:pos="720"/>
          <w:tab w:val="left" w:pos="1194"/>
          <w:tab w:val="left" w:pos="1685"/>
        </w:tabs>
        <w:suppressAutoHyphens/>
        <w:ind w:left="720"/>
        <w:rPr>
          <w:rFonts w:ascii="Times New Roman" w:hAnsi="Times New Roman"/>
          <w:b/>
          <w:sz w:val="24"/>
          <w:szCs w:val="24"/>
        </w:rPr>
      </w:pPr>
    </w:p>
    <w:p w14:paraId="6B2BBEE6" w14:textId="77777777" w:rsidR="001C234E" w:rsidRDefault="001C234E" w:rsidP="001C234E">
      <w:pPr>
        <w:tabs>
          <w:tab w:val="left" w:pos="-1440"/>
          <w:tab w:val="left" w:pos="-720"/>
          <w:tab w:val="left" w:pos="0"/>
          <w:tab w:val="left" w:pos="720"/>
          <w:tab w:val="left" w:pos="1194"/>
          <w:tab w:val="left" w:pos="1685"/>
        </w:tabs>
        <w:suppressAutoHyphens/>
        <w:spacing w:line="480" w:lineRule="auto"/>
        <w:ind w:left="720"/>
        <w:rPr>
          <w:rFonts w:ascii="Times New Roman" w:hAnsi="Times New Roman"/>
          <w:b/>
          <w:sz w:val="24"/>
          <w:szCs w:val="24"/>
        </w:rPr>
      </w:pPr>
      <w:r>
        <w:rPr>
          <w:rFonts w:ascii="Times New Roman" w:hAnsi="Times New Roman"/>
          <w:b/>
          <w:sz w:val="24"/>
          <w:szCs w:val="24"/>
        </w:rPr>
        <w:t xml:space="preserve">Agency Instructions: </w:t>
      </w:r>
    </w:p>
    <w:p w14:paraId="08477C0A" w14:textId="77777777" w:rsidR="00631EDB" w:rsidRDefault="00631EDB" w:rsidP="001C234E">
      <w:pPr>
        <w:tabs>
          <w:tab w:val="left" w:pos="-1440"/>
          <w:tab w:val="left" w:pos="-720"/>
          <w:tab w:val="left" w:pos="0"/>
          <w:tab w:val="left" w:pos="720"/>
          <w:tab w:val="left" w:pos="1194"/>
          <w:tab w:val="left" w:pos="1685"/>
        </w:tabs>
        <w:suppressAutoHyphens/>
        <w:spacing w:line="480" w:lineRule="auto"/>
        <w:ind w:left="720"/>
        <w:rPr>
          <w:rFonts w:ascii="Times New Roman" w:hAnsi="Times New Roman"/>
          <w:bCs/>
          <w:sz w:val="24"/>
          <w:szCs w:val="24"/>
        </w:rPr>
      </w:pPr>
      <w:r>
        <w:rPr>
          <w:rFonts w:ascii="Times New Roman" w:hAnsi="Times New Roman"/>
          <w:b/>
          <w:sz w:val="24"/>
          <w:szCs w:val="24"/>
        </w:rPr>
        <w:tab/>
      </w:r>
      <w:r>
        <w:rPr>
          <w:rFonts w:ascii="Times New Roman" w:hAnsi="Times New Roman"/>
          <w:bCs/>
          <w:sz w:val="24"/>
          <w:szCs w:val="24"/>
        </w:rPr>
        <w:t xml:space="preserve">CMS Publication 15-I, Section </w:t>
      </w:r>
      <w:r w:rsidR="00CC6472">
        <w:rPr>
          <w:rFonts w:ascii="Times New Roman" w:hAnsi="Times New Roman"/>
          <w:bCs/>
          <w:sz w:val="24"/>
          <w:szCs w:val="24"/>
        </w:rPr>
        <w:t>2307</w:t>
      </w:r>
      <w:r w:rsidR="00540CB9">
        <w:rPr>
          <w:rFonts w:ascii="Times New Roman" w:hAnsi="Times New Roman"/>
          <w:bCs/>
          <w:sz w:val="24"/>
          <w:szCs w:val="24"/>
        </w:rPr>
        <w:t>, 2312</w:t>
      </w:r>
    </w:p>
    <w:p w14:paraId="396E3020" w14:textId="77777777" w:rsidR="00540CB9" w:rsidRDefault="00540CB9" w:rsidP="001C234E">
      <w:pPr>
        <w:tabs>
          <w:tab w:val="left" w:pos="-1440"/>
          <w:tab w:val="left" w:pos="-720"/>
          <w:tab w:val="left" w:pos="0"/>
          <w:tab w:val="left" w:pos="720"/>
          <w:tab w:val="left" w:pos="1194"/>
          <w:tab w:val="left" w:pos="1685"/>
        </w:tabs>
        <w:suppressAutoHyphens/>
        <w:spacing w:line="480" w:lineRule="auto"/>
        <w:ind w:left="720"/>
        <w:rPr>
          <w:rFonts w:ascii="Times New Roman" w:hAnsi="Times New Roman"/>
          <w:bCs/>
          <w:sz w:val="24"/>
          <w:szCs w:val="24"/>
        </w:rPr>
      </w:pPr>
      <w:r>
        <w:rPr>
          <w:rFonts w:ascii="Times New Roman" w:hAnsi="Times New Roman"/>
          <w:bCs/>
          <w:sz w:val="24"/>
          <w:szCs w:val="24"/>
        </w:rPr>
        <w:tab/>
        <w:t>CMS Publication 15-II, Section 4020</w:t>
      </w:r>
    </w:p>
    <w:p w14:paraId="533900B5" w14:textId="77777777" w:rsidR="00540CB9" w:rsidRDefault="00540CB9" w:rsidP="00540CB9">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b/>
          <w:sz w:val="24"/>
          <w:szCs w:val="24"/>
        </w:rPr>
      </w:pPr>
      <w:r w:rsidRPr="008A5D5D">
        <w:rPr>
          <w:rFonts w:ascii="Times New Roman" w:hAnsi="Times New Roman" w:cs="Arial"/>
          <w:b/>
          <w:sz w:val="24"/>
          <w:szCs w:val="24"/>
        </w:rPr>
        <w:t xml:space="preserve">Code of Federal Regulations: </w:t>
      </w:r>
    </w:p>
    <w:p w14:paraId="4CDD0BBA" w14:textId="77777777" w:rsidR="00540CB9" w:rsidRPr="008A5D5D" w:rsidRDefault="00540CB9" w:rsidP="00540CB9">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b/>
          <w:sz w:val="24"/>
          <w:szCs w:val="24"/>
        </w:rPr>
      </w:pPr>
    </w:p>
    <w:p w14:paraId="5717AE98" w14:textId="77777777" w:rsidR="00540CB9" w:rsidRPr="00631EDB" w:rsidRDefault="00540CB9" w:rsidP="00540CB9">
      <w:pPr>
        <w:tabs>
          <w:tab w:val="left" w:pos="-1440"/>
          <w:tab w:val="left" w:pos="-720"/>
          <w:tab w:val="left" w:pos="0"/>
          <w:tab w:val="left" w:pos="720"/>
          <w:tab w:val="left" w:pos="1194"/>
          <w:tab w:val="left" w:pos="1685"/>
        </w:tabs>
        <w:suppressAutoHyphens/>
        <w:spacing w:line="480" w:lineRule="auto"/>
        <w:ind w:left="720"/>
        <w:rPr>
          <w:rFonts w:ascii="Times New Roman" w:hAnsi="Times New Roman"/>
          <w:bCs/>
          <w:sz w:val="24"/>
          <w:szCs w:val="24"/>
        </w:rPr>
      </w:pPr>
      <w:r w:rsidRPr="008A5D5D">
        <w:rPr>
          <w:rFonts w:ascii="Times New Roman" w:hAnsi="Times New Roman" w:cs="Arial"/>
          <w:sz w:val="24"/>
          <w:szCs w:val="24"/>
        </w:rPr>
        <w:tab/>
        <w:t>42 C.F.R. §41</w:t>
      </w:r>
      <w:r>
        <w:rPr>
          <w:rFonts w:ascii="Times New Roman" w:hAnsi="Times New Roman" w:cs="Arial"/>
          <w:sz w:val="24"/>
          <w:szCs w:val="24"/>
        </w:rPr>
        <w:t>3</w:t>
      </w:r>
      <w:r w:rsidRPr="008A5D5D">
        <w:rPr>
          <w:rFonts w:ascii="Times New Roman" w:hAnsi="Times New Roman" w:cs="Arial"/>
          <w:sz w:val="24"/>
          <w:szCs w:val="24"/>
        </w:rPr>
        <w:t>.</w:t>
      </w:r>
      <w:r>
        <w:rPr>
          <w:rFonts w:ascii="Times New Roman" w:hAnsi="Times New Roman" w:cs="Arial"/>
          <w:sz w:val="24"/>
          <w:szCs w:val="24"/>
        </w:rPr>
        <w:t>24</w:t>
      </w:r>
    </w:p>
    <w:p w14:paraId="4291D6C2" w14:textId="77777777" w:rsidR="001C234E" w:rsidRDefault="001C234E" w:rsidP="001C234E">
      <w:pPr>
        <w:tabs>
          <w:tab w:val="left" w:pos="-1440"/>
          <w:tab w:val="left" w:pos="-720"/>
          <w:tab w:val="left" w:pos="0"/>
          <w:tab w:val="left" w:pos="720"/>
          <w:tab w:val="left" w:pos="1194"/>
          <w:tab w:val="left" w:pos="1685"/>
        </w:tabs>
        <w:suppressAutoHyphens/>
        <w:ind w:left="1195"/>
        <w:rPr>
          <w:rFonts w:ascii="Times New Roman" w:hAnsi="Times New Roman"/>
          <w:sz w:val="24"/>
          <w:szCs w:val="24"/>
        </w:rPr>
      </w:pPr>
    </w:p>
    <w:bookmarkEnd w:id="4"/>
    <w:p w14:paraId="6FE8ACA3" w14:textId="77777777" w:rsidR="001C234E" w:rsidRDefault="001C234E" w:rsidP="001C234E">
      <w:pPr>
        <w:tabs>
          <w:tab w:val="left" w:pos="-1440"/>
          <w:tab w:val="left" w:pos="-720"/>
          <w:tab w:val="left" w:pos="0"/>
          <w:tab w:val="left" w:pos="720"/>
          <w:tab w:val="left" w:pos="1194"/>
          <w:tab w:val="left" w:pos="1685"/>
        </w:tabs>
        <w:suppressAutoHyphens/>
        <w:ind w:left="720"/>
        <w:rPr>
          <w:rFonts w:ascii="Times New Roman" w:hAnsi="Times New Roman"/>
          <w:sz w:val="24"/>
          <w:szCs w:val="24"/>
        </w:rPr>
      </w:pPr>
      <w:r>
        <w:rPr>
          <w:rFonts w:ascii="Times New Roman" w:hAnsi="Times New Roman"/>
          <w:sz w:val="24"/>
          <w:szCs w:val="24"/>
        </w:rPr>
        <w:t xml:space="preserve">       </w:t>
      </w:r>
    </w:p>
    <w:p w14:paraId="4C33D317" w14:textId="77777777" w:rsidR="001C234E" w:rsidRDefault="001C234E" w:rsidP="001C234E">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7B35E627" w14:textId="77777777" w:rsidR="001C234E" w:rsidRDefault="001C234E" w:rsidP="001C234E">
      <w:pPr>
        <w:tabs>
          <w:tab w:val="left" w:pos="-1440"/>
          <w:tab w:val="left" w:pos="-720"/>
          <w:tab w:val="left" w:pos="0"/>
          <w:tab w:val="left" w:pos="720"/>
          <w:tab w:val="left" w:pos="1194"/>
          <w:tab w:val="left" w:pos="1685"/>
        </w:tabs>
        <w:suppressAutoHyphens/>
        <w:ind w:left="720"/>
        <w:rPr>
          <w:rFonts w:ascii="Times New Roman" w:hAnsi="Times New Roman"/>
          <w:sz w:val="24"/>
          <w:szCs w:val="24"/>
        </w:rPr>
      </w:pPr>
    </w:p>
    <w:p w14:paraId="5DCB6D56" w14:textId="77777777" w:rsidR="001C234E" w:rsidRDefault="001C234E" w:rsidP="001C234E">
      <w:pPr>
        <w:tabs>
          <w:tab w:val="left" w:pos="-1440"/>
          <w:tab w:val="left" w:pos="-720"/>
          <w:tab w:val="right" w:pos="0"/>
          <w:tab w:val="left" w:pos="720"/>
          <w:tab w:val="left" w:pos="1170"/>
          <w:tab w:val="left" w:pos="1685"/>
          <w:tab w:val="left" w:pos="8910"/>
          <w:tab w:val="left" w:pos="9270"/>
        </w:tabs>
        <w:suppressAutoHyphens/>
        <w:ind w:left="720"/>
        <w:rPr>
          <w:rFonts w:ascii="Times New Roman" w:hAnsi="Times New Roman"/>
          <w:sz w:val="24"/>
          <w:szCs w:val="24"/>
        </w:rPr>
      </w:pPr>
    </w:p>
    <w:p w14:paraId="602E7028" w14:textId="6E327122" w:rsidR="00B66AEC" w:rsidRPr="001C234E" w:rsidRDefault="00B66AEC" w:rsidP="001C234E">
      <w:pPr>
        <w:tabs>
          <w:tab w:val="left" w:pos="-1440"/>
          <w:tab w:val="left" w:pos="-720"/>
          <w:tab w:val="left" w:pos="0"/>
          <w:tab w:val="left" w:pos="720"/>
          <w:tab w:val="left" w:pos="1194"/>
          <w:tab w:val="left" w:pos="1685"/>
        </w:tabs>
        <w:suppressAutoHyphens/>
        <w:rPr>
          <w:rFonts w:ascii="Times New Roman" w:hAnsi="Times New Roman"/>
          <w:sz w:val="24"/>
          <w:szCs w:val="24"/>
        </w:rPr>
      </w:pPr>
      <w:r w:rsidRPr="008428E5">
        <w:rPr>
          <w:rFonts w:ascii="Times New Roman" w:hAnsi="Times New Roman"/>
          <w:sz w:val="24"/>
          <w:szCs w:val="24"/>
        </w:rPr>
        <w:br w:type="page"/>
      </w:r>
      <w:r w:rsidRPr="00FD1B5E">
        <w:rPr>
          <w:rFonts w:ascii="Times New Roman" w:hAnsi="Times New Roman"/>
          <w:b/>
          <w:bCs/>
          <w:sz w:val="24"/>
          <w:szCs w:val="24"/>
        </w:rPr>
        <w:lastRenderedPageBreak/>
        <w:t>V.</w:t>
      </w:r>
      <w:r w:rsidRPr="00FD1B5E">
        <w:rPr>
          <w:rFonts w:ascii="Times New Roman" w:hAnsi="Times New Roman"/>
          <w:b/>
          <w:bCs/>
          <w:sz w:val="24"/>
          <w:szCs w:val="24"/>
        </w:rPr>
        <w:tab/>
        <w:t>EXHIBITS</w:t>
      </w:r>
    </w:p>
    <w:p w14:paraId="7091884B" w14:textId="77777777" w:rsidR="00B66AEC" w:rsidRPr="008428E5"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1A269651" w14:textId="77777777" w:rsidR="00B66AEC"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556158A6"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bookmarkStart w:id="5" w:name="_Hlk149310162"/>
      <w:r>
        <w:rPr>
          <w:rFonts w:ascii="Times New Roman" w:hAnsi="Times New Roman"/>
          <w:b/>
          <w:bCs/>
          <w:sz w:val="24"/>
          <w:szCs w:val="24"/>
        </w:rPr>
        <w:t>C-1</w:t>
      </w:r>
      <w:r>
        <w:rPr>
          <w:rFonts w:ascii="Times New Roman" w:hAnsi="Times New Roman"/>
          <w:sz w:val="24"/>
          <w:szCs w:val="24"/>
        </w:rPr>
        <w:t xml:space="preserve"> </w:t>
      </w:r>
      <w:r>
        <w:rPr>
          <w:rFonts w:ascii="Times New Roman" w:hAnsi="Times New Roman"/>
          <w:sz w:val="24"/>
          <w:szCs w:val="24"/>
        </w:rPr>
        <w:tab/>
      </w:r>
      <w:r w:rsidR="00520F5D">
        <w:rPr>
          <w:rFonts w:ascii="Times New Roman" w:hAnsi="Times New Roman"/>
          <w:sz w:val="24"/>
          <w:szCs w:val="24"/>
        </w:rPr>
        <w:t xml:space="preserve">Audit Adjustment Report </w:t>
      </w:r>
      <w:r>
        <w:rPr>
          <w:rFonts w:ascii="Times New Roman" w:hAnsi="Times New Roman"/>
          <w:sz w:val="24"/>
          <w:szCs w:val="24"/>
        </w:rPr>
        <w:tab/>
      </w:r>
      <w:r>
        <w:rPr>
          <w:rFonts w:ascii="Times New Roman" w:hAnsi="Times New Roman"/>
          <w:sz w:val="24"/>
          <w:szCs w:val="24"/>
        </w:rPr>
        <w:tab/>
      </w:r>
    </w:p>
    <w:p w14:paraId="1292AD20"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20086FC8" w14:textId="77777777" w:rsidR="00DB57F4"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Pr>
          <w:rFonts w:ascii="Times New Roman" w:hAnsi="Times New Roman"/>
          <w:b/>
          <w:bCs/>
          <w:sz w:val="24"/>
          <w:szCs w:val="24"/>
        </w:rPr>
        <w:t>C-2</w:t>
      </w:r>
      <w:r>
        <w:rPr>
          <w:rFonts w:ascii="Times New Roman" w:hAnsi="Times New Roman"/>
          <w:sz w:val="24"/>
          <w:szCs w:val="24"/>
        </w:rPr>
        <w:tab/>
      </w:r>
      <w:r w:rsidR="00624BFA">
        <w:rPr>
          <w:rFonts w:ascii="Times New Roman" w:hAnsi="Times New Roman"/>
          <w:sz w:val="24"/>
          <w:szCs w:val="24"/>
        </w:rPr>
        <w:t>Estimated Reimbursement Impact Calculation</w:t>
      </w:r>
    </w:p>
    <w:p w14:paraId="7EB5063F" w14:textId="77777777" w:rsidR="00DB57F4" w:rsidRDefault="00DB57F4"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1BDA0BE" w14:textId="77777777" w:rsidR="001C234E" w:rsidRPr="00DB57F4" w:rsidRDefault="00DB57F4" w:rsidP="001C234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DB57F4">
        <w:rPr>
          <w:rFonts w:ascii="Times New Roman" w:hAnsi="Times New Roman"/>
          <w:b/>
          <w:bCs/>
          <w:sz w:val="24"/>
          <w:szCs w:val="24"/>
        </w:rPr>
        <w:t>C-3</w:t>
      </w:r>
      <w:r w:rsidR="001C234E" w:rsidRPr="00DB57F4">
        <w:rPr>
          <w:rFonts w:ascii="Times New Roman" w:hAnsi="Times New Roman"/>
          <w:b/>
          <w:bCs/>
          <w:sz w:val="24"/>
          <w:szCs w:val="24"/>
        </w:rPr>
        <w:tab/>
      </w:r>
      <w:r>
        <w:rPr>
          <w:rFonts w:ascii="Times New Roman" w:hAnsi="Times New Roman"/>
          <w:sz w:val="24"/>
          <w:szCs w:val="24"/>
        </w:rPr>
        <w:t>MAC Auditor’s Workpaper</w:t>
      </w:r>
      <w:r>
        <w:rPr>
          <w:rFonts w:ascii="Times New Roman" w:hAnsi="Times New Roman"/>
          <w:sz w:val="24"/>
          <w:szCs w:val="24"/>
        </w:rPr>
        <w:tab/>
      </w:r>
    </w:p>
    <w:p w14:paraId="62CC4441"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51636A66" w14:textId="77777777" w:rsidR="007623E1" w:rsidRDefault="001C234E"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bookmarkStart w:id="6" w:name="_Hlk145929710"/>
      <w:r>
        <w:rPr>
          <w:rFonts w:ascii="Times New Roman" w:hAnsi="Times New Roman"/>
          <w:b/>
          <w:bCs/>
          <w:sz w:val="24"/>
          <w:szCs w:val="24"/>
        </w:rPr>
        <w:t>C-</w:t>
      </w:r>
      <w:r w:rsidR="00DB57F4">
        <w:rPr>
          <w:rFonts w:ascii="Times New Roman" w:hAnsi="Times New Roman"/>
          <w:b/>
          <w:bCs/>
          <w:sz w:val="24"/>
          <w:szCs w:val="24"/>
        </w:rPr>
        <w:t>4</w:t>
      </w:r>
      <w:r>
        <w:rPr>
          <w:rFonts w:ascii="Times New Roman" w:hAnsi="Times New Roman"/>
          <w:sz w:val="24"/>
          <w:szCs w:val="24"/>
        </w:rPr>
        <w:tab/>
      </w:r>
      <w:bookmarkEnd w:id="6"/>
      <w:r w:rsidR="006D1BF4">
        <w:rPr>
          <w:rFonts w:ascii="Times New Roman" w:hAnsi="Times New Roman"/>
          <w:bCs/>
          <w:sz w:val="24"/>
          <w:szCs w:val="24"/>
        </w:rPr>
        <w:t>CMS Publication 15-I, Section 230</w:t>
      </w:r>
      <w:r w:rsidR="007D2CEE">
        <w:rPr>
          <w:rFonts w:ascii="Times New Roman" w:hAnsi="Times New Roman"/>
          <w:bCs/>
          <w:sz w:val="24"/>
          <w:szCs w:val="24"/>
        </w:rPr>
        <w:t>0-</w:t>
      </w:r>
      <w:r w:rsidR="00540CB9">
        <w:rPr>
          <w:rFonts w:ascii="Times New Roman" w:hAnsi="Times New Roman"/>
          <w:bCs/>
          <w:sz w:val="24"/>
          <w:szCs w:val="24"/>
        </w:rPr>
        <w:t>2312</w:t>
      </w:r>
    </w:p>
    <w:p w14:paraId="6DF5B467" w14:textId="77777777" w:rsidR="007623E1" w:rsidRDefault="007623E1"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616BC19" w14:textId="77777777" w:rsidR="001C234E" w:rsidRDefault="007623E1" w:rsidP="00631EDB">
      <w:pPr>
        <w:tabs>
          <w:tab w:val="left" w:pos="-1440"/>
          <w:tab w:val="left" w:pos="-720"/>
          <w:tab w:val="left" w:pos="0"/>
          <w:tab w:val="left" w:pos="720"/>
          <w:tab w:val="left" w:pos="1194"/>
          <w:tab w:val="left" w:pos="1685"/>
        </w:tabs>
        <w:suppressAutoHyphens/>
        <w:ind w:left="720" w:hanging="720"/>
        <w:rPr>
          <w:rFonts w:ascii="Times New Roman" w:hAnsi="Times New Roman"/>
          <w:bCs/>
          <w:sz w:val="24"/>
          <w:szCs w:val="24"/>
        </w:rPr>
      </w:pPr>
      <w:r>
        <w:rPr>
          <w:rFonts w:ascii="Times New Roman" w:hAnsi="Times New Roman"/>
          <w:b/>
          <w:bCs/>
          <w:sz w:val="24"/>
          <w:szCs w:val="24"/>
        </w:rPr>
        <w:t>C-</w:t>
      </w:r>
      <w:r w:rsidR="00DB57F4">
        <w:rPr>
          <w:rFonts w:ascii="Times New Roman" w:hAnsi="Times New Roman"/>
          <w:b/>
          <w:bCs/>
          <w:sz w:val="24"/>
          <w:szCs w:val="24"/>
        </w:rPr>
        <w:t>5</w:t>
      </w:r>
      <w:r>
        <w:rPr>
          <w:rFonts w:ascii="Times New Roman" w:hAnsi="Times New Roman"/>
          <w:sz w:val="24"/>
          <w:szCs w:val="24"/>
        </w:rPr>
        <w:tab/>
      </w:r>
      <w:r w:rsidR="00540CB9">
        <w:rPr>
          <w:rFonts w:ascii="Times New Roman" w:hAnsi="Times New Roman"/>
          <w:bCs/>
          <w:sz w:val="24"/>
          <w:szCs w:val="24"/>
        </w:rPr>
        <w:t>CMS Publication 15-2, Section 4020</w:t>
      </w:r>
    </w:p>
    <w:p w14:paraId="313AB51E"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p>
    <w:p w14:paraId="344315EB"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540CB9">
        <w:rPr>
          <w:rFonts w:ascii="Times New Roman" w:hAnsi="Times New Roman"/>
          <w:b/>
          <w:bCs/>
          <w:noProof/>
          <w:sz w:val="24"/>
          <w:szCs w:val="24"/>
        </w:rPr>
        <w:t>C-</w:t>
      </w:r>
      <w:r w:rsidR="00DB57F4">
        <w:rPr>
          <w:rFonts w:ascii="Times New Roman" w:hAnsi="Times New Roman"/>
          <w:b/>
          <w:bCs/>
          <w:noProof/>
          <w:sz w:val="24"/>
          <w:szCs w:val="24"/>
        </w:rPr>
        <w:t>6</w:t>
      </w:r>
      <w:r w:rsidRPr="00540CB9">
        <w:rPr>
          <w:rFonts w:ascii="Times New Roman" w:hAnsi="Times New Roman"/>
          <w:b/>
          <w:bCs/>
          <w:noProof/>
          <w:sz w:val="24"/>
          <w:szCs w:val="24"/>
        </w:rPr>
        <w:tab/>
      </w:r>
      <w:r w:rsidRPr="00AA5A23">
        <w:rPr>
          <w:rFonts w:ascii="Times New Roman" w:hAnsi="Times New Roman"/>
          <w:sz w:val="24"/>
          <w:szCs w:val="24"/>
        </w:rPr>
        <w:t>42 CFR §41</w:t>
      </w:r>
      <w:r>
        <w:rPr>
          <w:rFonts w:ascii="Times New Roman" w:hAnsi="Times New Roman"/>
          <w:sz w:val="24"/>
          <w:szCs w:val="24"/>
        </w:rPr>
        <w:t>3</w:t>
      </w:r>
      <w:r w:rsidRPr="00AA5A23">
        <w:rPr>
          <w:rFonts w:ascii="Times New Roman" w:hAnsi="Times New Roman"/>
          <w:sz w:val="24"/>
          <w:szCs w:val="24"/>
        </w:rPr>
        <w:t>.</w:t>
      </w:r>
      <w:r>
        <w:rPr>
          <w:rFonts w:ascii="Times New Roman" w:hAnsi="Times New Roman"/>
          <w:sz w:val="24"/>
          <w:szCs w:val="24"/>
        </w:rPr>
        <w:t>24</w:t>
      </w:r>
    </w:p>
    <w:p w14:paraId="0CAC9FEE"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b/>
          <w:bCs/>
          <w:noProof/>
          <w:sz w:val="24"/>
          <w:szCs w:val="24"/>
        </w:rPr>
      </w:pPr>
    </w:p>
    <w:p w14:paraId="558032D8" w14:textId="77777777" w:rsidR="00540CB9" w:rsidRPr="000479D6"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r>
        <w:rPr>
          <w:rFonts w:ascii="Times New Roman" w:hAnsi="Times New Roman"/>
          <w:b/>
          <w:bCs/>
          <w:noProof/>
          <w:sz w:val="24"/>
          <w:szCs w:val="24"/>
        </w:rPr>
        <w:t>C-</w:t>
      </w:r>
      <w:r w:rsidR="00DB57F4">
        <w:rPr>
          <w:rFonts w:ascii="Times New Roman" w:hAnsi="Times New Roman"/>
          <w:b/>
          <w:bCs/>
          <w:noProof/>
          <w:sz w:val="24"/>
          <w:szCs w:val="24"/>
        </w:rPr>
        <w:t>7</w:t>
      </w:r>
      <w:r>
        <w:rPr>
          <w:rFonts w:ascii="Times New Roman" w:hAnsi="Times New Roman"/>
          <w:b/>
          <w:bCs/>
          <w:noProof/>
          <w:sz w:val="24"/>
          <w:szCs w:val="24"/>
        </w:rPr>
        <w:tab/>
      </w:r>
      <w:r w:rsidR="00934323">
        <w:rPr>
          <w:rFonts w:ascii="Times New Roman" w:hAnsi="Times New Roman"/>
          <w:noProof/>
          <w:sz w:val="24"/>
          <w:szCs w:val="24"/>
        </w:rPr>
        <w:t xml:space="preserve">MAC Adjusted Cost Report 06302015 </w:t>
      </w:r>
      <w:r w:rsidR="000479D6" w:rsidRPr="000479D6">
        <w:rPr>
          <w:rFonts w:ascii="Times New Roman" w:hAnsi="Times New Roman"/>
          <w:noProof/>
          <w:sz w:val="24"/>
          <w:szCs w:val="24"/>
        </w:rPr>
        <w:t>W</w:t>
      </w:r>
      <w:r w:rsidR="00934323">
        <w:rPr>
          <w:rFonts w:ascii="Times New Roman" w:hAnsi="Times New Roman"/>
          <w:noProof/>
          <w:sz w:val="24"/>
          <w:szCs w:val="24"/>
        </w:rPr>
        <w:t xml:space="preserve">orksheet </w:t>
      </w:r>
      <w:r w:rsidR="000479D6" w:rsidRPr="000479D6">
        <w:rPr>
          <w:rFonts w:ascii="Times New Roman" w:hAnsi="Times New Roman"/>
          <w:noProof/>
          <w:sz w:val="24"/>
          <w:szCs w:val="24"/>
        </w:rPr>
        <w:t>D-4</w:t>
      </w:r>
    </w:p>
    <w:bookmarkEnd w:id="5"/>
    <w:p w14:paraId="322B69F4"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p>
    <w:sectPr w:rsidR="001C234E" w:rsidSect="002875D6">
      <w:headerReference w:type="default" r:id="rId8"/>
      <w:footerReference w:type="default" r:id="rId9"/>
      <w:endnotePr>
        <w:numFmt w:val="decimal"/>
      </w:endnotePr>
      <w:type w:val="continuous"/>
      <w:pgSz w:w="12240" w:h="15840" w:code="1"/>
      <w:pgMar w:top="1008" w:right="180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1E734" w14:textId="77777777" w:rsidR="00AA5B7F" w:rsidRDefault="00AA5B7F">
      <w:pPr>
        <w:spacing w:line="20" w:lineRule="exact"/>
        <w:rPr>
          <w:sz w:val="24"/>
        </w:rPr>
      </w:pPr>
    </w:p>
  </w:endnote>
  <w:endnote w:type="continuationSeparator" w:id="0">
    <w:p w14:paraId="0F86F524" w14:textId="77777777" w:rsidR="00AA5B7F" w:rsidRDefault="00AA5B7F">
      <w:r>
        <w:rPr>
          <w:sz w:val="24"/>
        </w:rPr>
        <w:t xml:space="preserve"> </w:t>
      </w:r>
    </w:p>
  </w:endnote>
  <w:endnote w:type="continuationNotice" w:id="1">
    <w:p w14:paraId="400223E9" w14:textId="77777777" w:rsidR="00AA5B7F" w:rsidRDefault="00AA5B7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7D281"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8ACED" w14:textId="77777777" w:rsidR="00AA5B7F" w:rsidRDefault="00AA5B7F">
      <w:r>
        <w:rPr>
          <w:sz w:val="24"/>
        </w:rPr>
        <w:separator/>
      </w:r>
    </w:p>
  </w:footnote>
  <w:footnote w:type="continuationSeparator" w:id="0">
    <w:p w14:paraId="03B182F7" w14:textId="77777777" w:rsidR="00AA5B7F" w:rsidRDefault="00AA5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082A7" w14:textId="77777777" w:rsidR="00A43AF7" w:rsidRPr="00A43AF7" w:rsidRDefault="00A43AF7" w:rsidP="00A43AF7">
    <w:pPr>
      <w:pStyle w:val="Header"/>
      <w:jc w:val="right"/>
      <w:rPr>
        <w:rFonts w:ascii="Times New Roman" w:hAnsi="Times New Roman"/>
        <w:sz w:val="16"/>
        <w:szCs w:val="16"/>
      </w:rPr>
    </w:pPr>
    <w:r w:rsidRPr="00A43AF7">
      <w:rPr>
        <w:rFonts w:ascii="Times New Roman" w:hAnsi="Times New Roman"/>
        <w:sz w:val="16"/>
        <w:szCs w:val="16"/>
      </w:rPr>
      <w:t xml:space="preserve">Case: </w:t>
    </w:r>
    <w:r w:rsidR="000339CF">
      <w:rPr>
        <w:rFonts w:ascii="Times New Roman" w:hAnsi="Times New Roman"/>
        <w:sz w:val="16"/>
        <w:szCs w:val="16"/>
      </w:rPr>
      <w:t>2</w:t>
    </w:r>
    <w:r w:rsidR="003364E8">
      <w:rPr>
        <w:rFonts w:ascii="Times New Roman" w:hAnsi="Times New Roman"/>
        <w:sz w:val="16"/>
        <w:szCs w:val="16"/>
      </w:rPr>
      <w:t>2</w:t>
    </w:r>
    <w:r w:rsidR="00654657">
      <w:rPr>
        <w:rFonts w:ascii="Times New Roman" w:hAnsi="Times New Roman"/>
        <w:sz w:val="16"/>
        <w:szCs w:val="16"/>
      </w:rPr>
      <w:t>-0</w:t>
    </w:r>
    <w:r w:rsidR="003364E8">
      <w:rPr>
        <w:rFonts w:ascii="Times New Roman" w:hAnsi="Times New Roman"/>
        <w:sz w:val="16"/>
        <w:szCs w:val="16"/>
      </w:rPr>
      <w:t>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3F52"/>
    <w:multiLevelType w:val="hybridMultilevel"/>
    <w:tmpl w:val="CC986148"/>
    <w:lvl w:ilvl="0" w:tplc="4418D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242F3"/>
    <w:multiLevelType w:val="hybridMultilevel"/>
    <w:tmpl w:val="D43ED28E"/>
    <w:lvl w:ilvl="0" w:tplc="73E22E18">
      <w:start w:val="1"/>
      <w:numFmt w:val="upp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09B811A4"/>
    <w:multiLevelType w:val="hybridMultilevel"/>
    <w:tmpl w:val="5BE4D71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5"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6"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abstractNum w:abstractNumId="7" w15:restartNumberingAfterBreak="0">
    <w:nsid w:val="75150416"/>
    <w:multiLevelType w:val="hybridMultilevel"/>
    <w:tmpl w:val="406A9A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48403">
    <w:abstractNumId w:val="5"/>
  </w:num>
  <w:num w:numId="2" w16cid:durableId="1274283156">
    <w:abstractNumId w:val="6"/>
  </w:num>
  <w:num w:numId="3" w16cid:durableId="1518696998">
    <w:abstractNumId w:val="4"/>
  </w:num>
  <w:num w:numId="4" w16cid:durableId="1206138143">
    <w:abstractNumId w:val="0"/>
  </w:num>
  <w:num w:numId="5" w16cid:durableId="602307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377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8186211">
    <w:abstractNumId w:val="2"/>
  </w:num>
  <w:num w:numId="8" w16cid:durableId="20039722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35F9"/>
    <w:rsid w:val="00023DEB"/>
    <w:rsid w:val="00031BDA"/>
    <w:rsid w:val="00031D2A"/>
    <w:rsid w:val="000339CF"/>
    <w:rsid w:val="00035EFF"/>
    <w:rsid w:val="000367CD"/>
    <w:rsid w:val="000479D6"/>
    <w:rsid w:val="00060BE6"/>
    <w:rsid w:val="00070768"/>
    <w:rsid w:val="000716A6"/>
    <w:rsid w:val="00094C3C"/>
    <w:rsid w:val="000A23C6"/>
    <w:rsid w:val="000A7F56"/>
    <w:rsid w:val="000B129E"/>
    <w:rsid w:val="000B22E5"/>
    <w:rsid w:val="000B2580"/>
    <w:rsid w:val="000B2BFB"/>
    <w:rsid w:val="000C27C7"/>
    <w:rsid w:val="000D4185"/>
    <w:rsid w:val="000E1F14"/>
    <w:rsid w:val="00101A47"/>
    <w:rsid w:val="001020D0"/>
    <w:rsid w:val="00105652"/>
    <w:rsid w:val="00105EE1"/>
    <w:rsid w:val="00106679"/>
    <w:rsid w:val="001068F6"/>
    <w:rsid w:val="0011440F"/>
    <w:rsid w:val="00116CA6"/>
    <w:rsid w:val="00124BC6"/>
    <w:rsid w:val="00130B0C"/>
    <w:rsid w:val="00142870"/>
    <w:rsid w:val="00153877"/>
    <w:rsid w:val="00157B5F"/>
    <w:rsid w:val="00166B1A"/>
    <w:rsid w:val="00175DF8"/>
    <w:rsid w:val="00180A44"/>
    <w:rsid w:val="00184BA3"/>
    <w:rsid w:val="00193B27"/>
    <w:rsid w:val="001A594F"/>
    <w:rsid w:val="001A6360"/>
    <w:rsid w:val="001C234E"/>
    <w:rsid w:val="001D1183"/>
    <w:rsid w:val="001D1D66"/>
    <w:rsid w:val="001F15D6"/>
    <w:rsid w:val="001F3BD2"/>
    <w:rsid w:val="00207A34"/>
    <w:rsid w:val="00223872"/>
    <w:rsid w:val="0024785A"/>
    <w:rsid w:val="0025207B"/>
    <w:rsid w:val="00253E67"/>
    <w:rsid w:val="00255C23"/>
    <w:rsid w:val="002571A3"/>
    <w:rsid w:val="0027049A"/>
    <w:rsid w:val="00273125"/>
    <w:rsid w:val="00276592"/>
    <w:rsid w:val="00282382"/>
    <w:rsid w:val="00282BE5"/>
    <w:rsid w:val="002833AB"/>
    <w:rsid w:val="00283464"/>
    <w:rsid w:val="00286529"/>
    <w:rsid w:val="002875D6"/>
    <w:rsid w:val="00290FFA"/>
    <w:rsid w:val="002A1B1E"/>
    <w:rsid w:val="002A57CF"/>
    <w:rsid w:val="002B5264"/>
    <w:rsid w:val="002C39DF"/>
    <w:rsid w:val="002D23FB"/>
    <w:rsid w:val="002E42DB"/>
    <w:rsid w:val="002F0E3C"/>
    <w:rsid w:val="002F75F8"/>
    <w:rsid w:val="00314512"/>
    <w:rsid w:val="00314572"/>
    <w:rsid w:val="00317D68"/>
    <w:rsid w:val="0032546D"/>
    <w:rsid w:val="003364E8"/>
    <w:rsid w:val="00336547"/>
    <w:rsid w:val="00341290"/>
    <w:rsid w:val="00356F8D"/>
    <w:rsid w:val="0036309D"/>
    <w:rsid w:val="00370857"/>
    <w:rsid w:val="00383C5D"/>
    <w:rsid w:val="0038558D"/>
    <w:rsid w:val="003914B2"/>
    <w:rsid w:val="0039384E"/>
    <w:rsid w:val="003B138C"/>
    <w:rsid w:val="003C0645"/>
    <w:rsid w:val="003C474F"/>
    <w:rsid w:val="003D71EF"/>
    <w:rsid w:val="003F3AA9"/>
    <w:rsid w:val="004017F0"/>
    <w:rsid w:val="00402769"/>
    <w:rsid w:val="00410B63"/>
    <w:rsid w:val="004212F0"/>
    <w:rsid w:val="0043385A"/>
    <w:rsid w:val="00436DCF"/>
    <w:rsid w:val="004403D0"/>
    <w:rsid w:val="0044169B"/>
    <w:rsid w:val="00443CC8"/>
    <w:rsid w:val="0047109B"/>
    <w:rsid w:val="00476E91"/>
    <w:rsid w:val="00485169"/>
    <w:rsid w:val="00490233"/>
    <w:rsid w:val="00494A49"/>
    <w:rsid w:val="004A055C"/>
    <w:rsid w:val="004D443E"/>
    <w:rsid w:val="004E0E74"/>
    <w:rsid w:val="004E2E5A"/>
    <w:rsid w:val="004F5931"/>
    <w:rsid w:val="00514A35"/>
    <w:rsid w:val="00520F5D"/>
    <w:rsid w:val="0052384F"/>
    <w:rsid w:val="00525E3B"/>
    <w:rsid w:val="00540CB9"/>
    <w:rsid w:val="00563388"/>
    <w:rsid w:val="005652C4"/>
    <w:rsid w:val="00580184"/>
    <w:rsid w:val="00591DD4"/>
    <w:rsid w:val="005A5856"/>
    <w:rsid w:val="005B036C"/>
    <w:rsid w:val="005B172C"/>
    <w:rsid w:val="005F0537"/>
    <w:rsid w:val="00612841"/>
    <w:rsid w:val="00623B06"/>
    <w:rsid w:val="00623F52"/>
    <w:rsid w:val="00624BFA"/>
    <w:rsid w:val="00631EDB"/>
    <w:rsid w:val="00647889"/>
    <w:rsid w:val="00647FD6"/>
    <w:rsid w:val="00650E71"/>
    <w:rsid w:val="00654657"/>
    <w:rsid w:val="00660C98"/>
    <w:rsid w:val="006733C6"/>
    <w:rsid w:val="00675E20"/>
    <w:rsid w:val="006762A4"/>
    <w:rsid w:val="00680EFA"/>
    <w:rsid w:val="006A02CF"/>
    <w:rsid w:val="006C0FC0"/>
    <w:rsid w:val="006D1BF4"/>
    <w:rsid w:val="006D3B12"/>
    <w:rsid w:val="006E1D40"/>
    <w:rsid w:val="006E6F47"/>
    <w:rsid w:val="006F1802"/>
    <w:rsid w:val="006F33B2"/>
    <w:rsid w:val="006F6AEE"/>
    <w:rsid w:val="00703BF6"/>
    <w:rsid w:val="007157C9"/>
    <w:rsid w:val="0073180B"/>
    <w:rsid w:val="00731F8A"/>
    <w:rsid w:val="00732E5B"/>
    <w:rsid w:val="007518FB"/>
    <w:rsid w:val="007520A9"/>
    <w:rsid w:val="007623E1"/>
    <w:rsid w:val="007820A3"/>
    <w:rsid w:val="00796651"/>
    <w:rsid w:val="007974D3"/>
    <w:rsid w:val="007A7F24"/>
    <w:rsid w:val="007B128E"/>
    <w:rsid w:val="007C01C1"/>
    <w:rsid w:val="007C7AA9"/>
    <w:rsid w:val="007D0E19"/>
    <w:rsid w:val="007D2CEE"/>
    <w:rsid w:val="007D3077"/>
    <w:rsid w:val="007E67BA"/>
    <w:rsid w:val="00830970"/>
    <w:rsid w:val="00836936"/>
    <w:rsid w:val="00842438"/>
    <w:rsid w:val="008428E5"/>
    <w:rsid w:val="00846C75"/>
    <w:rsid w:val="0086108C"/>
    <w:rsid w:val="00876076"/>
    <w:rsid w:val="008A18B7"/>
    <w:rsid w:val="008B335B"/>
    <w:rsid w:val="008C5164"/>
    <w:rsid w:val="009001D6"/>
    <w:rsid w:val="009009E9"/>
    <w:rsid w:val="009154FC"/>
    <w:rsid w:val="0091716C"/>
    <w:rsid w:val="00921786"/>
    <w:rsid w:val="00934323"/>
    <w:rsid w:val="00967D9E"/>
    <w:rsid w:val="00971075"/>
    <w:rsid w:val="009877E6"/>
    <w:rsid w:val="009A3F0B"/>
    <w:rsid w:val="009A3F93"/>
    <w:rsid w:val="009C3FA9"/>
    <w:rsid w:val="009D5339"/>
    <w:rsid w:val="009E0F63"/>
    <w:rsid w:val="009F56A4"/>
    <w:rsid w:val="009F5B89"/>
    <w:rsid w:val="00A00DBE"/>
    <w:rsid w:val="00A012D3"/>
    <w:rsid w:val="00A01BC7"/>
    <w:rsid w:val="00A05DB3"/>
    <w:rsid w:val="00A135CB"/>
    <w:rsid w:val="00A2297F"/>
    <w:rsid w:val="00A2643D"/>
    <w:rsid w:val="00A31A64"/>
    <w:rsid w:val="00A42255"/>
    <w:rsid w:val="00A43AF7"/>
    <w:rsid w:val="00A51FF5"/>
    <w:rsid w:val="00A55EEB"/>
    <w:rsid w:val="00A654D0"/>
    <w:rsid w:val="00A72536"/>
    <w:rsid w:val="00A7297F"/>
    <w:rsid w:val="00A814AB"/>
    <w:rsid w:val="00A95C33"/>
    <w:rsid w:val="00A97783"/>
    <w:rsid w:val="00AA5B7F"/>
    <w:rsid w:val="00AB2789"/>
    <w:rsid w:val="00AC0681"/>
    <w:rsid w:val="00AC3A70"/>
    <w:rsid w:val="00AC5586"/>
    <w:rsid w:val="00AD5801"/>
    <w:rsid w:val="00AE5EA1"/>
    <w:rsid w:val="00B11C7D"/>
    <w:rsid w:val="00B12F80"/>
    <w:rsid w:val="00B35498"/>
    <w:rsid w:val="00B50F3A"/>
    <w:rsid w:val="00B60D2F"/>
    <w:rsid w:val="00B66AEC"/>
    <w:rsid w:val="00B77B69"/>
    <w:rsid w:val="00B81877"/>
    <w:rsid w:val="00B8471F"/>
    <w:rsid w:val="00BA55D0"/>
    <w:rsid w:val="00BB7ABC"/>
    <w:rsid w:val="00BD2DAF"/>
    <w:rsid w:val="00BF317E"/>
    <w:rsid w:val="00C10E94"/>
    <w:rsid w:val="00C2048F"/>
    <w:rsid w:val="00C41E8D"/>
    <w:rsid w:val="00C4508E"/>
    <w:rsid w:val="00C53B95"/>
    <w:rsid w:val="00C56F60"/>
    <w:rsid w:val="00C90E11"/>
    <w:rsid w:val="00CA544C"/>
    <w:rsid w:val="00CB4859"/>
    <w:rsid w:val="00CC6472"/>
    <w:rsid w:val="00CE0F66"/>
    <w:rsid w:val="00CF2922"/>
    <w:rsid w:val="00D01344"/>
    <w:rsid w:val="00D21D87"/>
    <w:rsid w:val="00D238C0"/>
    <w:rsid w:val="00D25171"/>
    <w:rsid w:val="00D3188C"/>
    <w:rsid w:val="00D40FF6"/>
    <w:rsid w:val="00D42188"/>
    <w:rsid w:val="00D4416C"/>
    <w:rsid w:val="00D46337"/>
    <w:rsid w:val="00D60B3B"/>
    <w:rsid w:val="00D7373C"/>
    <w:rsid w:val="00D91262"/>
    <w:rsid w:val="00D93AD2"/>
    <w:rsid w:val="00D94134"/>
    <w:rsid w:val="00DB1078"/>
    <w:rsid w:val="00DB24E2"/>
    <w:rsid w:val="00DB57F4"/>
    <w:rsid w:val="00DB6FB9"/>
    <w:rsid w:val="00DC48EC"/>
    <w:rsid w:val="00DC7B52"/>
    <w:rsid w:val="00E005FD"/>
    <w:rsid w:val="00E14693"/>
    <w:rsid w:val="00E24967"/>
    <w:rsid w:val="00E350A8"/>
    <w:rsid w:val="00E607B2"/>
    <w:rsid w:val="00E6111D"/>
    <w:rsid w:val="00E63788"/>
    <w:rsid w:val="00E91C12"/>
    <w:rsid w:val="00EB4FFD"/>
    <w:rsid w:val="00ED0B82"/>
    <w:rsid w:val="00ED4E00"/>
    <w:rsid w:val="00ED5A90"/>
    <w:rsid w:val="00F0007C"/>
    <w:rsid w:val="00F0320A"/>
    <w:rsid w:val="00F16ADA"/>
    <w:rsid w:val="00F179FC"/>
    <w:rsid w:val="00F23D6C"/>
    <w:rsid w:val="00F2626A"/>
    <w:rsid w:val="00F306AB"/>
    <w:rsid w:val="00F32CF9"/>
    <w:rsid w:val="00F3565E"/>
    <w:rsid w:val="00F42FB1"/>
    <w:rsid w:val="00F560C8"/>
    <w:rsid w:val="00F70A73"/>
    <w:rsid w:val="00F8037B"/>
    <w:rsid w:val="00F8624A"/>
    <w:rsid w:val="00F94BBA"/>
    <w:rsid w:val="00FA57B5"/>
    <w:rsid w:val="00FD1B5E"/>
    <w:rsid w:val="00FD37BD"/>
    <w:rsid w:val="00FE32B0"/>
    <w:rsid w:val="00FE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7B6AA"/>
  <w15:chartTrackingRefBased/>
  <w15:docId w15:val="{361C43A6-7BB1-49EC-8AEC-A8D9F4CB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link w:val="Heading7Char"/>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link w:val="BodyTextChar"/>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link w:val="BodyText2Char"/>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Heading7Char">
    <w:name w:val="Heading 7 Char"/>
    <w:link w:val="Heading7"/>
    <w:rsid w:val="000339CF"/>
    <w:rPr>
      <w:rFonts w:ascii="Arial" w:hAnsi="Arial"/>
      <w:sz w:val="24"/>
    </w:rPr>
  </w:style>
  <w:style w:type="character" w:customStyle="1" w:styleId="FootnoteTextChar">
    <w:name w:val="Footnote Text Char"/>
    <w:link w:val="FootnoteText"/>
    <w:semiHidden/>
    <w:rsid w:val="001C234E"/>
    <w:rPr>
      <w:rFonts w:ascii="Courier New" w:hAnsi="Courier New"/>
    </w:rPr>
  </w:style>
  <w:style w:type="character" w:customStyle="1" w:styleId="BodyTextChar">
    <w:name w:val="Body Text Char"/>
    <w:link w:val="BodyText"/>
    <w:rsid w:val="001C234E"/>
    <w:rPr>
      <w:rFonts w:ascii="Courier New" w:hAnsi="Courier New"/>
    </w:rPr>
  </w:style>
  <w:style w:type="character" w:customStyle="1" w:styleId="BodyText2Char">
    <w:name w:val="Body Text 2 Char"/>
    <w:link w:val="BodyText2"/>
    <w:rsid w:val="001C234E"/>
    <w:rPr>
      <w:rFonts w:ascii="Arial" w:hAnsi="Arial"/>
      <w:sz w:val="24"/>
    </w:rPr>
  </w:style>
  <w:style w:type="paragraph" w:customStyle="1" w:styleId="TableParagraph">
    <w:name w:val="Table Paragraph"/>
    <w:basedOn w:val="Normal"/>
    <w:uiPriority w:val="1"/>
    <w:qFormat/>
    <w:rsid w:val="001C234E"/>
    <w:pPr>
      <w:widowControl w:val="0"/>
      <w:autoSpaceDE w:val="0"/>
      <w:autoSpaceDN w:val="0"/>
      <w:ind w:left="50"/>
    </w:pPr>
    <w:rPr>
      <w:rFonts w:ascii="Arial" w:eastAsia="Arial" w:hAnsi="Arial" w:cs="Arial"/>
      <w:sz w:val="22"/>
      <w:szCs w:val="22"/>
    </w:rPr>
  </w:style>
  <w:style w:type="paragraph" w:styleId="Revision">
    <w:name w:val="Revision"/>
    <w:hidden/>
    <w:uiPriority w:val="99"/>
    <w:semiHidden/>
    <w:rsid w:val="00AE5EA1"/>
    <w:rPr>
      <w:rFonts w:ascii="Courier New" w:hAnsi="Courier New"/>
    </w:rPr>
  </w:style>
  <w:style w:type="paragraph" w:customStyle="1" w:styleId="Default">
    <w:name w:val="Default"/>
    <w:rsid w:val="005B172C"/>
    <w:pPr>
      <w:autoSpaceDE w:val="0"/>
      <w:autoSpaceDN w:val="0"/>
      <w:adjustRightInd w:val="0"/>
    </w:pPr>
    <w:rPr>
      <w:color w:val="000000"/>
      <w:sz w:val="24"/>
      <w:szCs w:val="24"/>
    </w:rPr>
  </w:style>
  <w:style w:type="character" w:styleId="CommentReference">
    <w:name w:val="annotation reference"/>
    <w:rsid w:val="002E42DB"/>
    <w:rPr>
      <w:sz w:val="16"/>
      <w:szCs w:val="16"/>
    </w:rPr>
  </w:style>
  <w:style w:type="paragraph" w:styleId="CommentText">
    <w:name w:val="annotation text"/>
    <w:basedOn w:val="Normal"/>
    <w:link w:val="CommentTextChar"/>
    <w:rsid w:val="002E42DB"/>
  </w:style>
  <w:style w:type="character" w:customStyle="1" w:styleId="CommentTextChar">
    <w:name w:val="Comment Text Char"/>
    <w:link w:val="CommentText"/>
    <w:rsid w:val="002E42DB"/>
    <w:rPr>
      <w:rFonts w:ascii="Courier New" w:hAnsi="Courier New"/>
    </w:rPr>
  </w:style>
  <w:style w:type="paragraph" w:styleId="CommentSubject">
    <w:name w:val="annotation subject"/>
    <w:basedOn w:val="CommentText"/>
    <w:next w:val="CommentText"/>
    <w:link w:val="CommentSubjectChar"/>
    <w:rsid w:val="002E42DB"/>
    <w:rPr>
      <w:b/>
      <w:bCs/>
    </w:rPr>
  </w:style>
  <w:style w:type="character" w:customStyle="1" w:styleId="CommentSubjectChar">
    <w:name w:val="Comment Subject Char"/>
    <w:link w:val="CommentSubject"/>
    <w:rsid w:val="002E42DB"/>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960151">
      <w:bodyDiv w:val="1"/>
      <w:marLeft w:val="0"/>
      <w:marRight w:val="0"/>
      <w:marTop w:val="0"/>
      <w:marBottom w:val="0"/>
      <w:divBdr>
        <w:top w:val="none" w:sz="0" w:space="0" w:color="auto"/>
        <w:left w:val="none" w:sz="0" w:space="0" w:color="auto"/>
        <w:bottom w:val="none" w:sz="0" w:space="0" w:color="auto"/>
        <w:right w:val="none" w:sz="0" w:space="0" w:color="auto"/>
      </w:divBdr>
    </w:div>
    <w:div w:id="690306099">
      <w:bodyDiv w:val="1"/>
      <w:marLeft w:val="0"/>
      <w:marRight w:val="0"/>
      <w:marTop w:val="0"/>
      <w:marBottom w:val="0"/>
      <w:divBdr>
        <w:top w:val="none" w:sz="0" w:space="0" w:color="auto"/>
        <w:left w:val="none" w:sz="0" w:space="0" w:color="auto"/>
        <w:bottom w:val="none" w:sz="0" w:space="0" w:color="auto"/>
        <w:right w:val="none" w:sz="0" w:space="0" w:color="auto"/>
      </w:divBdr>
    </w:div>
    <w:div w:id="1132288126">
      <w:bodyDiv w:val="1"/>
      <w:marLeft w:val="0"/>
      <w:marRight w:val="0"/>
      <w:marTop w:val="0"/>
      <w:marBottom w:val="0"/>
      <w:divBdr>
        <w:top w:val="none" w:sz="0" w:space="0" w:color="auto"/>
        <w:left w:val="none" w:sz="0" w:space="0" w:color="auto"/>
        <w:bottom w:val="none" w:sz="0" w:space="0" w:color="auto"/>
        <w:right w:val="none" w:sz="0" w:space="0" w:color="auto"/>
      </w:divBdr>
    </w:div>
    <w:div w:id="1391077974">
      <w:bodyDiv w:val="1"/>
      <w:marLeft w:val="0"/>
      <w:marRight w:val="0"/>
      <w:marTop w:val="0"/>
      <w:marBottom w:val="0"/>
      <w:divBdr>
        <w:top w:val="none" w:sz="0" w:space="0" w:color="auto"/>
        <w:left w:val="none" w:sz="0" w:space="0" w:color="auto"/>
        <w:bottom w:val="none" w:sz="0" w:space="0" w:color="auto"/>
        <w:right w:val="none" w:sz="0" w:space="0" w:color="auto"/>
      </w:divBdr>
    </w:div>
    <w:div w:id="1414669494">
      <w:bodyDiv w:val="1"/>
      <w:marLeft w:val="0"/>
      <w:marRight w:val="0"/>
      <w:marTop w:val="0"/>
      <w:marBottom w:val="0"/>
      <w:divBdr>
        <w:top w:val="none" w:sz="0" w:space="0" w:color="auto"/>
        <w:left w:val="none" w:sz="0" w:space="0" w:color="auto"/>
        <w:bottom w:val="none" w:sz="0" w:space="0" w:color="auto"/>
        <w:right w:val="none" w:sz="0" w:space="0" w:color="auto"/>
      </w:divBdr>
    </w:div>
    <w:div w:id="1902905391">
      <w:bodyDiv w:val="1"/>
      <w:marLeft w:val="0"/>
      <w:marRight w:val="0"/>
      <w:marTop w:val="0"/>
      <w:marBottom w:val="0"/>
      <w:divBdr>
        <w:top w:val="none" w:sz="0" w:space="0" w:color="auto"/>
        <w:left w:val="none" w:sz="0" w:space="0" w:color="auto"/>
        <w:bottom w:val="none" w:sz="0" w:space="0" w:color="auto"/>
        <w:right w:val="none" w:sz="0" w:space="0" w:color="auto"/>
      </w:divBdr>
    </w:div>
    <w:div w:id="1990551778">
      <w:bodyDiv w:val="1"/>
      <w:marLeft w:val="0"/>
      <w:marRight w:val="0"/>
      <w:marTop w:val="0"/>
      <w:marBottom w:val="0"/>
      <w:divBdr>
        <w:top w:val="none" w:sz="0" w:space="0" w:color="auto"/>
        <w:left w:val="none" w:sz="0" w:space="0" w:color="auto"/>
        <w:bottom w:val="none" w:sz="0" w:space="0" w:color="auto"/>
        <w:right w:val="none" w:sz="0" w:space="0" w:color="auto"/>
      </w:divBdr>
    </w:div>
    <w:div w:id="1998723904">
      <w:bodyDiv w:val="1"/>
      <w:marLeft w:val="0"/>
      <w:marRight w:val="0"/>
      <w:marTop w:val="0"/>
      <w:marBottom w:val="0"/>
      <w:divBdr>
        <w:top w:val="none" w:sz="0" w:space="0" w:color="auto"/>
        <w:left w:val="none" w:sz="0" w:space="0" w:color="auto"/>
        <w:bottom w:val="none" w:sz="0" w:space="0" w:color="auto"/>
        <w:right w:val="none" w:sz="0" w:space="0" w:color="auto"/>
      </w:divBdr>
    </w:div>
    <w:div w:id="202161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2</TotalTime>
  <Pages>14</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3</cp:revision>
  <cp:lastPrinted>2003-12-23T12:38:00Z</cp:lastPrinted>
  <dcterms:created xsi:type="dcterms:W3CDTF">2024-06-18T16:44:00Z</dcterms:created>
  <dcterms:modified xsi:type="dcterms:W3CDTF">2024-06-18T16:46:00Z</dcterms:modified>
</cp:coreProperties>
</file>