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8EAF36" w14:textId="2A041B04" w:rsidR="00C955BE" w:rsidRDefault="008F716D" w:rsidP="000F7DBC">
      <w:pPr>
        <w:spacing w:line="360" w:lineRule="auto"/>
        <w:rPr>
          <w:sz w:val="24"/>
        </w:rPr>
      </w:pPr>
      <w:r w:rsidRPr="008F716D">
        <w:rPr>
          <w:sz w:val="24"/>
        </w:rPr>
        <w:t>Whether the provider is entitled to its full SNF annual payment update for Fiscal Year 2022?</w:t>
      </w:r>
    </w:p>
    <w:p w14:paraId="67E4A86B" w14:textId="77777777" w:rsidR="008F716D" w:rsidRPr="008F716D" w:rsidRDefault="008F716D" w:rsidP="008F716D">
      <w:pPr>
        <w:spacing w:line="360" w:lineRule="auto"/>
        <w:ind w:left="1440" w:hanging="1440"/>
        <w:rPr>
          <w:sz w:val="24"/>
        </w:rPr>
      </w:pPr>
    </w:p>
    <w:p w14:paraId="4A1E1019" w14:textId="77777777" w:rsidR="00C955BE" w:rsidRPr="000037C9" w:rsidRDefault="00C955BE" w:rsidP="001733E1">
      <w:pPr>
        <w:numPr>
          <w:ilvl w:val="0"/>
          <w:numId w:val="7"/>
        </w:numPr>
        <w:tabs>
          <w:tab w:val="clear" w:pos="360"/>
        </w:tabs>
        <w:ind w:left="0" w:firstLine="0"/>
        <w:rPr>
          <w:rFonts w:ascii="Arial" w:hAnsi="Arial" w:cs="Arial"/>
          <w:b/>
          <w:sz w:val="24"/>
          <w:szCs w:val="24"/>
        </w:rPr>
      </w:pPr>
      <w:r w:rsidRPr="000037C9">
        <w:rPr>
          <w:rFonts w:ascii="Arial" w:hAnsi="Arial" w:cs="Arial"/>
          <w:b/>
          <w:sz w:val="24"/>
          <w:szCs w:val="24"/>
        </w:rPr>
        <w:t>Facts</w:t>
      </w:r>
    </w:p>
    <w:p w14:paraId="7E5C7940" w14:textId="77777777" w:rsidR="00C955BE" w:rsidRPr="001733E1" w:rsidRDefault="00C955BE" w:rsidP="001733E1">
      <w:pPr>
        <w:rPr>
          <w:sz w:val="24"/>
          <w:szCs w:val="24"/>
        </w:rPr>
      </w:pPr>
    </w:p>
    <w:p w14:paraId="3CA49B37" w14:textId="77777777" w:rsidR="000B5B35" w:rsidRPr="000B5B35" w:rsidRDefault="000B5B35" w:rsidP="000B5B35">
      <w:pPr>
        <w:rPr>
          <w:color w:val="FF0000"/>
          <w:sz w:val="24"/>
          <w:szCs w:val="24"/>
        </w:rPr>
      </w:pPr>
    </w:p>
    <w:p w14:paraId="11E35657" w14:textId="77777777" w:rsidR="000B5B35" w:rsidRPr="000B5B35" w:rsidRDefault="000B5B35" w:rsidP="000B5B35">
      <w:pPr>
        <w:rPr>
          <w:sz w:val="24"/>
          <w:szCs w:val="24"/>
        </w:rPr>
      </w:pPr>
      <w:r w:rsidRPr="000B5B35">
        <w:rPr>
          <w:sz w:val="24"/>
          <w:szCs w:val="24"/>
        </w:rPr>
        <w:t xml:space="preserve">Sec. 1888. </w:t>
      </w:r>
      <w:r w:rsidRPr="000B5B35">
        <w:rPr>
          <w:b/>
          <w:bCs/>
          <w:sz w:val="24"/>
          <w:szCs w:val="24"/>
        </w:rPr>
        <w:t>[</w:t>
      </w:r>
      <w:r w:rsidRPr="000B5B35">
        <w:rPr>
          <w:sz w:val="24"/>
          <w:szCs w:val="24"/>
        </w:rPr>
        <w:t>42 U.S.C. 1395yy</w:t>
      </w:r>
      <w:r w:rsidRPr="000B5B35">
        <w:rPr>
          <w:b/>
          <w:bCs/>
          <w:sz w:val="24"/>
          <w:szCs w:val="24"/>
        </w:rPr>
        <w:t xml:space="preserve">] </w:t>
      </w:r>
      <w:r w:rsidRPr="000B5B35">
        <w:rPr>
          <w:sz w:val="24"/>
          <w:szCs w:val="24"/>
        </w:rPr>
        <w:t>(a) The Secretary, in determining the amount of the payments which may be made under this title with respect to routine service costs of extended care services shall not recognize as reasonable (in the efficient delivery of health services) per diem costs of such services to the extent that such per diem costs exceed the following per diem limits, except as otherwise provided in this section:</w:t>
      </w:r>
    </w:p>
    <w:p w14:paraId="5973F469" w14:textId="77777777" w:rsidR="000B5B35" w:rsidRPr="000B5B35" w:rsidRDefault="000B5B35" w:rsidP="000B5B35">
      <w:pPr>
        <w:rPr>
          <w:sz w:val="24"/>
          <w:szCs w:val="24"/>
        </w:rPr>
      </w:pPr>
    </w:p>
    <w:p w14:paraId="507451CF" w14:textId="77777777" w:rsidR="000B5B35" w:rsidRPr="000B5B35" w:rsidRDefault="000B5B35" w:rsidP="000B5B35">
      <w:pPr>
        <w:rPr>
          <w:sz w:val="24"/>
          <w:szCs w:val="24"/>
        </w:rPr>
      </w:pPr>
      <w:r w:rsidRPr="000B5B35">
        <w:rPr>
          <w:sz w:val="24"/>
          <w:szCs w:val="24"/>
        </w:rPr>
        <w:t>(1) With respect to freestanding skilled nursing facilities located in urban areas, the limit shall be equal to 112 percent of the mean per diem routine service costs for freestanding skilled nursing facilities located in urban areas.</w:t>
      </w:r>
    </w:p>
    <w:p w14:paraId="19736119" w14:textId="77777777" w:rsidR="000B5B35" w:rsidRPr="000B5B35" w:rsidRDefault="000B5B35" w:rsidP="000B5B35">
      <w:pPr>
        <w:rPr>
          <w:sz w:val="24"/>
          <w:szCs w:val="24"/>
        </w:rPr>
      </w:pPr>
    </w:p>
    <w:p w14:paraId="7A60A8F6" w14:textId="77777777" w:rsidR="000B5B35" w:rsidRPr="000B5B35" w:rsidRDefault="000B5B35" w:rsidP="000B5B35">
      <w:pPr>
        <w:rPr>
          <w:sz w:val="24"/>
          <w:szCs w:val="24"/>
        </w:rPr>
      </w:pPr>
      <w:r w:rsidRPr="000B5B35">
        <w:rPr>
          <w:sz w:val="24"/>
          <w:szCs w:val="24"/>
        </w:rPr>
        <w:t>(2) With respect to freestanding skilled nursing facilities located in rural areas, the limit shall be equal to 112 percent of the mean per diem routine service costs for freestanding skilled nursing facilities located in rural areas.</w:t>
      </w:r>
    </w:p>
    <w:p w14:paraId="693EDE00" w14:textId="77777777" w:rsidR="000B5B35" w:rsidRPr="000B5B35" w:rsidRDefault="000B5B35" w:rsidP="000B5B35">
      <w:pPr>
        <w:rPr>
          <w:sz w:val="24"/>
          <w:szCs w:val="24"/>
        </w:rPr>
      </w:pPr>
    </w:p>
    <w:p w14:paraId="2BD790ED" w14:textId="77777777" w:rsidR="000B5B35" w:rsidRPr="000B5B35" w:rsidRDefault="00BF110F" w:rsidP="000B5B35">
      <w:pPr>
        <w:rPr>
          <w:sz w:val="24"/>
          <w:szCs w:val="24"/>
        </w:rPr>
      </w:pPr>
      <w:r>
        <w:rPr>
          <w:sz w:val="24"/>
          <w:szCs w:val="24"/>
        </w:rPr>
        <w:t xml:space="preserve">Per, </w:t>
      </w:r>
      <w:r w:rsidR="000B5B35">
        <w:rPr>
          <w:sz w:val="24"/>
          <w:szCs w:val="24"/>
        </w:rPr>
        <w:t xml:space="preserve">Sec. 1888. </w:t>
      </w:r>
      <w:r>
        <w:rPr>
          <w:sz w:val="24"/>
          <w:szCs w:val="24"/>
        </w:rPr>
        <w:t>(e)</w:t>
      </w:r>
      <w:r w:rsidR="000B5B35" w:rsidRPr="000B5B35">
        <w:rPr>
          <w:sz w:val="24"/>
          <w:szCs w:val="24"/>
        </w:rPr>
        <w:t>(6)</w:t>
      </w:r>
      <w:r w:rsidR="00232D64">
        <w:rPr>
          <w:sz w:val="24"/>
          <w:szCs w:val="24"/>
        </w:rPr>
        <w:t xml:space="preserve"> </w:t>
      </w:r>
      <w:r w:rsidR="000B5B35" w:rsidRPr="000B5B35">
        <w:rPr>
          <w:sz w:val="24"/>
          <w:szCs w:val="24"/>
        </w:rPr>
        <w:t>Reporting</w:t>
      </w:r>
      <w:r w:rsidR="00232D64">
        <w:rPr>
          <w:sz w:val="24"/>
          <w:szCs w:val="24"/>
        </w:rPr>
        <w:t xml:space="preserve"> </w:t>
      </w:r>
      <w:r w:rsidR="000B5B35" w:rsidRPr="000B5B35">
        <w:rPr>
          <w:sz w:val="24"/>
          <w:szCs w:val="24"/>
        </w:rPr>
        <w:t>of</w:t>
      </w:r>
      <w:r w:rsidR="00232D64">
        <w:rPr>
          <w:sz w:val="24"/>
          <w:szCs w:val="24"/>
        </w:rPr>
        <w:t xml:space="preserve"> </w:t>
      </w:r>
      <w:r w:rsidR="000B5B35" w:rsidRPr="000B5B35">
        <w:rPr>
          <w:sz w:val="24"/>
          <w:szCs w:val="24"/>
        </w:rPr>
        <w:t>assessment</w:t>
      </w:r>
      <w:r w:rsidR="00232D64">
        <w:rPr>
          <w:sz w:val="24"/>
          <w:szCs w:val="24"/>
        </w:rPr>
        <w:t xml:space="preserve"> </w:t>
      </w:r>
      <w:r w:rsidR="000B5B35" w:rsidRPr="000B5B35">
        <w:rPr>
          <w:sz w:val="24"/>
          <w:szCs w:val="24"/>
        </w:rPr>
        <w:t>and</w:t>
      </w:r>
      <w:r w:rsidR="00232D64">
        <w:rPr>
          <w:sz w:val="24"/>
          <w:szCs w:val="24"/>
        </w:rPr>
        <w:t xml:space="preserve"> </w:t>
      </w:r>
      <w:r w:rsidR="000B5B35" w:rsidRPr="000B5B35">
        <w:rPr>
          <w:sz w:val="24"/>
          <w:szCs w:val="24"/>
        </w:rPr>
        <w:t>quality</w:t>
      </w:r>
      <w:r w:rsidR="00232D64">
        <w:rPr>
          <w:sz w:val="24"/>
          <w:szCs w:val="24"/>
        </w:rPr>
        <w:t xml:space="preserve"> </w:t>
      </w:r>
      <w:r w:rsidR="00FB2121" w:rsidRPr="000B5B35">
        <w:rPr>
          <w:sz w:val="24"/>
          <w:szCs w:val="24"/>
        </w:rPr>
        <w:t>data. —</w:t>
      </w:r>
    </w:p>
    <w:p w14:paraId="07DF8F4B" w14:textId="77777777" w:rsidR="000B5B35" w:rsidRPr="000B5B35" w:rsidRDefault="00FB2121" w:rsidP="00FB2121">
      <w:pPr>
        <w:rPr>
          <w:sz w:val="24"/>
          <w:szCs w:val="24"/>
        </w:rPr>
      </w:pPr>
      <w:r>
        <w:rPr>
          <w:sz w:val="24"/>
          <w:szCs w:val="24"/>
        </w:rPr>
        <w:t xml:space="preserve">     </w:t>
      </w:r>
      <w:r w:rsidR="000B5B35" w:rsidRPr="000B5B35">
        <w:rPr>
          <w:sz w:val="24"/>
          <w:szCs w:val="24"/>
        </w:rPr>
        <w:t>(A) Reduction</w:t>
      </w:r>
      <w:r w:rsidR="00232D64">
        <w:rPr>
          <w:sz w:val="24"/>
          <w:szCs w:val="24"/>
        </w:rPr>
        <w:t xml:space="preserve"> </w:t>
      </w:r>
      <w:r w:rsidR="000B5B35" w:rsidRPr="000B5B35">
        <w:rPr>
          <w:sz w:val="24"/>
          <w:szCs w:val="24"/>
        </w:rPr>
        <w:t>in</w:t>
      </w:r>
      <w:r w:rsidR="00232D64">
        <w:rPr>
          <w:sz w:val="24"/>
          <w:szCs w:val="24"/>
        </w:rPr>
        <w:t xml:space="preserve"> </w:t>
      </w:r>
      <w:r w:rsidR="000B5B35" w:rsidRPr="000B5B35">
        <w:rPr>
          <w:sz w:val="24"/>
          <w:szCs w:val="24"/>
        </w:rPr>
        <w:t>update</w:t>
      </w:r>
      <w:r w:rsidR="00232D64">
        <w:rPr>
          <w:sz w:val="24"/>
          <w:szCs w:val="24"/>
        </w:rPr>
        <w:t xml:space="preserve"> </w:t>
      </w:r>
      <w:r w:rsidR="000B5B35" w:rsidRPr="000B5B35">
        <w:rPr>
          <w:sz w:val="24"/>
          <w:szCs w:val="24"/>
        </w:rPr>
        <w:t>for</w:t>
      </w:r>
      <w:r w:rsidR="00232D64">
        <w:rPr>
          <w:sz w:val="24"/>
          <w:szCs w:val="24"/>
        </w:rPr>
        <w:t xml:space="preserve"> </w:t>
      </w:r>
      <w:r w:rsidR="000B5B35" w:rsidRPr="000B5B35">
        <w:rPr>
          <w:sz w:val="24"/>
          <w:szCs w:val="24"/>
        </w:rPr>
        <w:t>failure</w:t>
      </w:r>
      <w:r w:rsidR="00232D64">
        <w:rPr>
          <w:sz w:val="24"/>
          <w:szCs w:val="24"/>
        </w:rPr>
        <w:t xml:space="preserve"> </w:t>
      </w:r>
      <w:r w:rsidR="000B5B35" w:rsidRPr="000B5B35">
        <w:rPr>
          <w:sz w:val="24"/>
          <w:szCs w:val="24"/>
        </w:rPr>
        <w:t>to</w:t>
      </w:r>
      <w:r w:rsidR="00232D64">
        <w:rPr>
          <w:sz w:val="24"/>
          <w:szCs w:val="24"/>
        </w:rPr>
        <w:t xml:space="preserve"> </w:t>
      </w:r>
      <w:r w:rsidR="000B5B35" w:rsidRPr="000B5B35">
        <w:rPr>
          <w:sz w:val="24"/>
          <w:szCs w:val="24"/>
        </w:rPr>
        <w:t>report. —</w:t>
      </w:r>
    </w:p>
    <w:p w14:paraId="2688F6C1" w14:textId="77777777" w:rsidR="000B5B35" w:rsidRPr="000B5B35" w:rsidRDefault="000B5B35" w:rsidP="00FB2121">
      <w:pPr>
        <w:ind w:left="720"/>
        <w:rPr>
          <w:sz w:val="24"/>
          <w:szCs w:val="24"/>
        </w:rPr>
      </w:pPr>
      <w:r w:rsidRPr="000B5B35">
        <w:rPr>
          <w:sz w:val="24"/>
          <w:szCs w:val="24"/>
        </w:rPr>
        <w:t>(</w:t>
      </w:r>
      <w:proofErr w:type="spellStart"/>
      <w:r w:rsidRPr="000B5B35">
        <w:rPr>
          <w:sz w:val="24"/>
          <w:szCs w:val="24"/>
        </w:rPr>
        <w:t>i</w:t>
      </w:r>
      <w:proofErr w:type="spellEnd"/>
      <w:r w:rsidRPr="000B5B35">
        <w:rPr>
          <w:sz w:val="24"/>
          <w:szCs w:val="24"/>
        </w:rPr>
        <w:t>) In</w:t>
      </w:r>
      <w:r w:rsidR="00232D64">
        <w:rPr>
          <w:sz w:val="24"/>
          <w:szCs w:val="24"/>
        </w:rPr>
        <w:t xml:space="preserve"> </w:t>
      </w:r>
      <w:r w:rsidRPr="000B5B35">
        <w:rPr>
          <w:sz w:val="24"/>
          <w:szCs w:val="24"/>
        </w:rPr>
        <w:t>general.— For fiscal years beginning with fiscal year 2018, in the case of a skilled</w:t>
      </w:r>
      <w:r w:rsidR="00232D64">
        <w:rPr>
          <w:sz w:val="24"/>
          <w:szCs w:val="24"/>
        </w:rPr>
        <w:t xml:space="preserve"> </w:t>
      </w:r>
      <w:r w:rsidRPr="000B5B35">
        <w:rPr>
          <w:sz w:val="24"/>
          <w:szCs w:val="24"/>
        </w:rPr>
        <w:t>nursing facility that does not submit data, as applicable, in accordance with subclauses (II)and (III) of subparagraph (B)(</w:t>
      </w:r>
      <w:proofErr w:type="spellStart"/>
      <w:r w:rsidRPr="000B5B35">
        <w:rPr>
          <w:sz w:val="24"/>
          <w:szCs w:val="24"/>
        </w:rPr>
        <w:t>i</w:t>
      </w:r>
      <w:proofErr w:type="spellEnd"/>
      <w:r w:rsidRPr="000B5B35">
        <w:rPr>
          <w:sz w:val="24"/>
          <w:szCs w:val="24"/>
        </w:rPr>
        <w:t>) with respect to such a fiscal year, after determining the</w:t>
      </w:r>
      <w:r w:rsidR="00232D64">
        <w:rPr>
          <w:sz w:val="24"/>
          <w:szCs w:val="24"/>
        </w:rPr>
        <w:t xml:space="preserve"> </w:t>
      </w:r>
      <w:r w:rsidRPr="000B5B35">
        <w:rPr>
          <w:sz w:val="24"/>
          <w:szCs w:val="24"/>
        </w:rPr>
        <w:t>percentage described in paragraph (5)(B)(</w:t>
      </w:r>
      <w:proofErr w:type="spellStart"/>
      <w:r w:rsidRPr="000B5B35">
        <w:rPr>
          <w:sz w:val="24"/>
          <w:szCs w:val="24"/>
        </w:rPr>
        <w:t>i</w:t>
      </w:r>
      <w:proofErr w:type="spellEnd"/>
      <w:r w:rsidRPr="000B5B35">
        <w:rPr>
          <w:sz w:val="24"/>
          <w:szCs w:val="24"/>
        </w:rPr>
        <w:t>), and after application of clauses (ii) and (iii) of</w:t>
      </w:r>
      <w:r w:rsidR="00232D64">
        <w:rPr>
          <w:sz w:val="24"/>
          <w:szCs w:val="24"/>
        </w:rPr>
        <w:t xml:space="preserve"> </w:t>
      </w:r>
      <w:r w:rsidRPr="000B5B35">
        <w:rPr>
          <w:sz w:val="24"/>
          <w:szCs w:val="24"/>
        </w:rPr>
        <w:t>paragraph (5)(B), the Secretary shall reduce such percentage for payment rates during such</w:t>
      </w:r>
      <w:r w:rsidR="00232D64">
        <w:rPr>
          <w:sz w:val="24"/>
          <w:szCs w:val="24"/>
        </w:rPr>
        <w:t xml:space="preserve"> </w:t>
      </w:r>
      <w:r w:rsidRPr="000B5B35">
        <w:rPr>
          <w:sz w:val="24"/>
          <w:szCs w:val="24"/>
        </w:rPr>
        <w:t>fiscal year by 2 percentage points.</w:t>
      </w:r>
    </w:p>
    <w:p w14:paraId="6F6F2107" w14:textId="77777777" w:rsidR="000B5B35" w:rsidRPr="000B5B35" w:rsidRDefault="000B5B35" w:rsidP="00FB2121">
      <w:pPr>
        <w:ind w:left="720"/>
        <w:rPr>
          <w:sz w:val="24"/>
          <w:szCs w:val="24"/>
        </w:rPr>
      </w:pPr>
      <w:r w:rsidRPr="000B5B35">
        <w:rPr>
          <w:sz w:val="24"/>
          <w:szCs w:val="24"/>
        </w:rPr>
        <w:t>(ii) Special</w:t>
      </w:r>
      <w:r w:rsidR="00232D64">
        <w:rPr>
          <w:sz w:val="24"/>
          <w:szCs w:val="24"/>
        </w:rPr>
        <w:t xml:space="preserve"> </w:t>
      </w:r>
      <w:r w:rsidR="00FB2121" w:rsidRPr="000B5B35">
        <w:rPr>
          <w:sz w:val="24"/>
          <w:szCs w:val="24"/>
        </w:rPr>
        <w:t>rule. —</w:t>
      </w:r>
      <w:r w:rsidRPr="000B5B35">
        <w:rPr>
          <w:sz w:val="24"/>
          <w:szCs w:val="24"/>
        </w:rPr>
        <w:t xml:space="preserve"> The application of this subparagraph may result in the percentage</w:t>
      </w:r>
      <w:r w:rsidR="00232D64">
        <w:rPr>
          <w:sz w:val="24"/>
          <w:szCs w:val="24"/>
        </w:rPr>
        <w:t xml:space="preserve"> </w:t>
      </w:r>
      <w:r w:rsidRPr="000B5B35">
        <w:rPr>
          <w:sz w:val="24"/>
          <w:szCs w:val="24"/>
        </w:rPr>
        <w:t>described in paragraph (5)(B)(</w:t>
      </w:r>
      <w:proofErr w:type="spellStart"/>
      <w:r w:rsidRPr="000B5B35">
        <w:rPr>
          <w:sz w:val="24"/>
          <w:szCs w:val="24"/>
        </w:rPr>
        <w:t>i</w:t>
      </w:r>
      <w:proofErr w:type="spellEnd"/>
      <w:r w:rsidRPr="000B5B35">
        <w:rPr>
          <w:sz w:val="24"/>
          <w:szCs w:val="24"/>
        </w:rPr>
        <w:t>), after application of clauses (ii) and (iii) of paragraph (5)(B</w:t>
      </w:r>
      <w:r w:rsidR="00FB2121" w:rsidRPr="000B5B35">
        <w:rPr>
          <w:sz w:val="24"/>
          <w:szCs w:val="24"/>
        </w:rPr>
        <w:t>), being</w:t>
      </w:r>
      <w:r w:rsidRPr="000B5B35">
        <w:rPr>
          <w:sz w:val="24"/>
          <w:szCs w:val="24"/>
        </w:rPr>
        <w:t xml:space="preserve"> less than 0.0 for a fiscal year, and may result in payment rates under this subsection</w:t>
      </w:r>
      <w:r w:rsidR="00232D64">
        <w:rPr>
          <w:sz w:val="24"/>
          <w:szCs w:val="24"/>
        </w:rPr>
        <w:t xml:space="preserve"> </w:t>
      </w:r>
      <w:r w:rsidRPr="000B5B35">
        <w:rPr>
          <w:sz w:val="24"/>
          <w:szCs w:val="24"/>
        </w:rPr>
        <w:t>for a fiscal year being less than such payment rates for the preceding fiscal year.</w:t>
      </w:r>
    </w:p>
    <w:p w14:paraId="1552FE5C" w14:textId="77777777" w:rsidR="000B5B35" w:rsidRPr="000B5B35" w:rsidRDefault="000B5B35" w:rsidP="00FB2121">
      <w:pPr>
        <w:ind w:left="720"/>
        <w:rPr>
          <w:sz w:val="24"/>
          <w:szCs w:val="24"/>
        </w:rPr>
      </w:pPr>
      <w:r w:rsidRPr="000B5B35">
        <w:rPr>
          <w:sz w:val="24"/>
          <w:szCs w:val="24"/>
        </w:rPr>
        <w:t>(iii) Noncumulative</w:t>
      </w:r>
      <w:r w:rsidR="00232D64">
        <w:rPr>
          <w:sz w:val="24"/>
          <w:szCs w:val="24"/>
        </w:rPr>
        <w:t xml:space="preserve"> </w:t>
      </w:r>
      <w:r w:rsidR="00FB2121" w:rsidRPr="000B5B35">
        <w:rPr>
          <w:sz w:val="24"/>
          <w:szCs w:val="24"/>
        </w:rPr>
        <w:t>application. —</w:t>
      </w:r>
      <w:r w:rsidRPr="000B5B35">
        <w:rPr>
          <w:sz w:val="24"/>
          <w:szCs w:val="24"/>
        </w:rPr>
        <w:t xml:space="preserve"> Any reduction under clause (</w:t>
      </w:r>
      <w:proofErr w:type="spellStart"/>
      <w:r w:rsidRPr="000B5B35">
        <w:rPr>
          <w:sz w:val="24"/>
          <w:szCs w:val="24"/>
        </w:rPr>
        <w:t>i</w:t>
      </w:r>
      <w:proofErr w:type="spellEnd"/>
      <w:r w:rsidRPr="000B5B35">
        <w:rPr>
          <w:sz w:val="24"/>
          <w:szCs w:val="24"/>
        </w:rPr>
        <w:t>) shall apply only with</w:t>
      </w:r>
      <w:r w:rsidR="00232D64">
        <w:rPr>
          <w:sz w:val="24"/>
          <w:szCs w:val="24"/>
        </w:rPr>
        <w:t xml:space="preserve"> </w:t>
      </w:r>
      <w:r w:rsidRPr="000B5B35">
        <w:rPr>
          <w:sz w:val="24"/>
          <w:szCs w:val="24"/>
        </w:rPr>
        <w:t xml:space="preserve">respect to the fiscal year involved and the Secretary shall not </w:t>
      </w:r>
      <w:proofErr w:type="gramStart"/>
      <w:r w:rsidRPr="000B5B35">
        <w:rPr>
          <w:sz w:val="24"/>
          <w:szCs w:val="24"/>
        </w:rPr>
        <w:t>take into account</w:t>
      </w:r>
      <w:proofErr w:type="gramEnd"/>
      <w:r w:rsidRPr="000B5B35">
        <w:rPr>
          <w:sz w:val="24"/>
          <w:szCs w:val="24"/>
        </w:rPr>
        <w:t xml:space="preserve"> such</w:t>
      </w:r>
      <w:r w:rsidR="00232D64">
        <w:rPr>
          <w:sz w:val="24"/>
          <w:szCs w:val="24"/>
        </w:rPr>
        <w:t xml:space="preserve"> </w:t>
      </w:r>
      <w:r w:rsidRPr="000B5B35">
        <w:rPr>
          <w:sz w:val="24"/>
          <w:szCs w:val="24"/>
        </w:rPr>
        <w:t>reduction in computing the payment amount under this subsection for a subsequent fiscal</w:t>
      </w:r>
      <w:r w:rsidR="00232D64">
        <w:rPr>
          <w:sz w:val="24"/>
          <w:szCs w:val="24"/>
        </w:rPr>
        <w:t xml:space="preserve"> </w:t>
      </w:r>
      <w:r w:rsidRPr="000B5B35">
        <w:rPr>
          <w:sz w:val="24"/>
          <w:szCs w:val="24"/>
        </w:rPr>
        <w:t>year.</w:t>
      </w:r>
    </w:p>
    <w:p w14:paraId="2BF4C9CB" w14:textId="77777777" w:rsidR="000B5B35" w:rsidRDefault="000B5B35" w:rsidP="000B5B35">
      <w:pPr>
        <w:rPr>
          <w:sz w:val="24"/>
          <w:szCs w:val="24"/>
        </w:rPr>
      </w:pPr>
    </w:p>
    <w:p w14:paraId="68EE3754" w14:textId="77777777" w:rsidR="00BC75D5" w:rsidRDefault="00BC75D5" w:rsidP="000B5B35">
      <w:pPr>
        <w:rPr>
          <w:sz w:val="24"/>
          <w:szCs w:val="24"/>
        </w:rPr>
      </w:pPr>
    </w:p>
    <w:p w14:paraId="15CD6F67" w14:textId="77777777" w:rsidR="00BC75D5" w:rsidRDefault="00BC75D5" w:rsidP="000B5B35">
      <w:pPr>
        <w:rPr>
          <w:sz w:val="24"/>
          <w:szCs w:val="24"/>
        </w:rPr>
      </w:pPr>
    </w:p>
    <w:p w14:paraId="05378CC0" w14:textId="77777777" w:rsidR="00BC75D5" w:rsidRPr="000B5B35" w:rsidRDefault="00BC75D5" w:rsidP="000B5B35">
      <w:pPr>
        <w:rPr>
          <w:sz w:val="24"/>
          <w:szCs w:val="24"/>
        </w:rPr>
      </w:pPr>
    </w:p>
    <w:p w14:paraId="3F1F5C6B" w14:textId="77777777" w:rsidR="000B5B35" w:rsidRPr="000B5B35" w:rsidRDefault="00FB2121" w:rsidP="000B5B35">
      <w:pPr>
        <w:rPr>
          <w:sz w:val="24"/>
          <w:szCs w:val="24"/>
        </w:rPr>
      </w:pPr>
      <w:r>
        <w:rPr>
          <w:sz w:val="24"/>
          <w:szCs w:val="24"/>
        </w:rPr>
        <w:t xml:space="preserve">     </w:t>
      </w:r>
      <w:r w:rsidR="000B5B35" w:rsidRPr="000B5B35">
        <w:rPr>
          <w:sz w:val="24"/>
          <w:szCs w:val="24"/>
        </w:rPr>
        <w:t>(B) Assessment</w:t>
      </w:r>
      <w:r w:rsidR="00232D64">
        <w:rPr>
          <w:sz w:val="24"/>
          <w:szCs w:val="24"/>
        </w:rPr>
        <w:t xml:space="preserve"> </w:t>
      </w:r>
      <w:r w:rsidR="000B5B35" w:rsidRPr="000B5B35">
        <w:rPr>
          <w:sz w:val="24"/>
          <w:szCs w:val="24"/>
        </w:rPr>
        <w:t>and</w:t>
      </w:r>
      <w:r w:rsidR="00232D64">
        <w:rPr>
          <w:sz w:val="24"/>
          <w:szCs w:val="24"/>
        </w:rPr>
        <w:t xml:space="preserve"> </w:t>
      </w:r>
      <w:r w:rsidR="000B5B35" w:rsidRPr="000B5B35">
        <w:rPr>
          <w:sz w:val="24"/>
          <w:szCs w:val="24"/>
        </w:rPr>
        <w:t>measure</w:t>
      </w:r>
      <w:r w:rsidR="00232D64">
        <w:rPr>
          <w:sz w:val="24"/>
          <w:szCs w:val="24"/>
        </w:rPr>
        <w:t xml:space="preserve"> </w:t>
      </w:r>
      <w:r w:rsidRPr="000B5B35">
        <w:rPr>
          <w:sz w:val="24"/>
          <w:szCs w:val="24"/>
        </w:rPr>
        <w:t>data. —</w:t>
      </w:r>
    </w:p>
    <w:p w14:paraId="31295754" w14:textId="77777777" w:rsidR="000B5B35" w:rsidRPr="000B5B35" w:rsidRDefault="000B5B35" w:rsidP="00FB2121">
      <w:pPr>
        <w:ind w:left="720"/>
        <w:rPr>
          <w:sz w:val="24"/>
          <w:szCs w:val="24"/>
        </w:rPr>
      </w:pPr>
      <w:r w:rsidRPr="000B5B35">
        <w:rPr>
          <w:sz w:val="24"/>
          <w:szCs w:val="24"/>
        </w:rPr>
        <w:t>(</w:t>
      </w:r>
      <w:proofErr w:type="spellStart"/>
      <w:r w:rsidRPr="000B5B35">
        <w:rPr>
          <w:sz w:val="24"/>
          <w:szCs w:val="24"/>
        </w:rPr>
        <w:t>i</w:t>
      </w:r>
      <w:proofErr w:type="spellEnd"/>
      <w:r w:rsidRPr="000B5B35">
        <w:rPr>
          <w:sz w:val="24"/>
          <w:szCs w:val="24"/>
        </w:rPr>
        <w:t>) In</w:t>
      </w:r>
      <w:r w:rsidR="00232D64">
        <w:rPr>
          <w:sz w:val="24"/>
          <w:szCs w:val="24"/>
        </w:rPr>
        <w:t xml:space="preserve"> </w:t>
      </w:r>
      <w:r w:rsidR="00FB2121" w:rsidRPr="000B5B35">
        <w:rPr>
          <w:sz w:val="24"/>
          <w:szCs w:val="24"/>
        </w:rPr>
        <w:t>general. —</w:t>
      </w:r>
      <w:r w:rsidRPr="000B5B35">
        <w:rPr>
          <w:sz w:val="24"/>
          <w:szCs w:val="24"/>
        </w:rPr>
        <w:t xml:space="preserve"> A skilled nursing facility, or a facility (other than a critical access hospital)</w:t>
      </w:r>
      <w:r w:rsidR="00FB2121">
        <w:rPr>
          <w:sz w:val="24"/>
          <w:szCs w:val="24"/>
        </w:rPr>
        <w:t xml:space="preserve"> </w:t>
      </w:r>
      <w:r w:rsidRPr="000B5B35">
        <w:rPr>
          <w:sz w:val="24"/>
          <w:szCs w:val="24"/>
        </w:rPr>
        <w:t>described in paragraph (7)(B), shall submit to the Secretary, in a manner and within the</w:t>
      </w:r>
      <w:r w:rsidR="00232D64">
        <w:rPr>
          <w:sz w:val="24"/>
          <w:szCs w:val="24"/>
        </w:rPr>
        <w:t xml:space="preserve"> </w:t>
      </w:r>
      <w:r w:rsidRPr="000B5B35">
        <w:rPr>
          <w:sz w:val="24"/>
          <w:szCs w:val="24"/>
        </w:rPr>
        <w:t>timeframes prescribed by the Secretary—</w:t>
      </w:r>
    </w:p>
    <w:p w14:paraId="1A07FEEB" w14:textId="77777777" w:rsidR="000B5B35" w:rsidRPr="000B5B35" w:rsidRDefault="000B5B35" w:rsidP="00FB2121">
      <w:pPr>
        <w:ind w:left="720"/>
        <w:rPr>
          <w:sz w:val="24"/>
          <w:szCs w:val="24"/>
        </w:rPr>
      </w:pPr>
      <w:r w:rsidRPr="000B5B35">
        <w:rPr>
          <w:sz w:val="24"/>
          <w:szCs w:val="24"/>
        </w:rPr>
        <w:lastRenderedPageBreak/>
        <w:t>(I) subject to clause (iii), the resident assessment data necessary to develop and</w:t>
      </w:r>
      <w:r w:rsidR="00232D64">
        <w:rPr>
          <w:sz w:val="24"/>
          <w:szCs w:val="24"/>
        </w:rPr>
        <w:t xml:space="preserve"> </w:t>
      </w:r>
      <w:r w:rsidRPr="000B5B35">
        <w:rPr>
          <w:sz w:val="24"/>
          <w:szCs w:val="24"/>
        </w:rPr>
        <w:t xml:space="preserve">implement the rates under this </w:t>
      </w:r>
      <w:r w:rsidR="00FB2121" w:rsidRPr="000B5B35">
        <w:rPr>
          <w:sz w:val="24"/>
          <w:szCs w:val="24"/>
        </w:rPr>
        <w:t>subsection.</w:t>
      </w:r>
    </w:p>
    <w:p w14:paraId="3FCB4933" w14:textId="77777777" w:rsidR="000B5B35" w:rsidRPr="000B5B35" w:rsidRDefault="000B5B35" w:rsidP="00FB2121">
      <w:pPr>
        <w:ind w:left="720"/>
        <w:rPr>
          <w:sz w:val="24"/>
          <w:szCs w:val="24"/>
        </w:rPr>
      </w:pPr>
      <w:r w:rsidRPr="000B5B35">
        <w:rPr>
          <w:sz w:val="24"/>
          <w:szCs w:val="24"/>
        </w:rPr>
        <w:t>(II) for fiscal years beginning on or after the specified application date (as defined in</w:t>
      </w:r>
      <w:r w:rsidR="00232D64">
        <w:rPr>
          <w:sz w:val="24"/>
          <w:szCs w:val="24"/>
        </w:rPr>
        <w:t xml:space="preserve"> </w:t>
      </w:r>
      <w:r w:rsidRPr="000B5B35">
        <w:rPr>
          <w:sz w:val="24"/>
          <w:szCs w:val="24"/>
        </w:rPr>
        <w:t>subsection (a)(2)(E) of section 1899B), as applicable with respect to skilled nursing</w:t>
      </w:r>
      <w:r w:rsidR="00232D64">
        <w:rPr>
          <w:sz w:val="24"/>
          <w:szCs w:val="24"/>
        </w:rPr>
        <w:t xml:space="preserve"> </w:t>
      </w:r>
      <w:r w:rsidRPr="000B5B35">
        <w:rPr>
          <w:sz w:val="24"/>
          <w:szCs w:val="24"/>
        </w:rPr>
        <w:t>facilities and quality measures under subsection (c)(1) of such section and measures</w:t>
      </w:r>
      <w:r w:rsidR="00232D64">
        <w:rPr>
          <w:sz w:val="24"/>
          <w:szCs w:val="24"/>
        </w:rPr>
        <w:t xml:space="preserve"> </w:t>
      </w:r>
      <w:r w:rsidRPr="000B5B35">
        <w:rPr>
          <w:sz w:val="24"/>
          <w:szCs w:val="24"/>
        </w:rPr>
        <w:t>under subsection (d)(1) of such section, data on such quality measures under such</w:t>
      </w:r>
      <w:r w:rsidR="00232D64">
        <w:rPr>
          <w:sz w:val="24"/>
          <w:szCs w:val="24"/>
        </w:rPr>
        <w:t xml:space="preserve"> </w:t>
      </w:r>
      <w:r w:rsidRPr="000B5B35">
        <w:rPr>
          <w:sz w:val="24"/>
          <w:szCs w:val="24"/>
        </w:rPr>
        <w:t>subsection (c)(1) and any necessary data specified by the Secretary under such</w:t>
      </w:r>
      <w:r w:rsidR="00232D64">
        <w:rPr>
          <w:sz w:val="24"/>
          <w:szCs w:val="24"/>
        </w:rPr>
        <w:t xml:space="preserve"> </w:t>
      </w:r>
      <w:r w:rsidRPr="000B5B35">
        <w:rPr>
          <w:sz w:val="24"/>
          <w:szCs w:val="24"/>
        </w:rPr>
        <w:t>subsection (d)(1); and</w:t>
      </w:r>
    </w:p>
    <w:p w14:paraId="74C3FC78" w14:textId="77777777" w:rsidR="000B5B35" w:rsidRPr="000B5B35" w:rsidRDefault="000B5B35" w:rsidP="00FB2121">
      <w:pPr>
        <w:ind w:left="720"/>
        <w:rPr>
          <w:sz w:val="24"/>
          <w:szCs w:val="24"/>
        </w:rPr>
      </w:pPr>
      <w:r w:rsidRPr="000B5B35">
        <w:rPr>
          <w:sz w:val="24"/>
          <w:szCs w:val="24"/>
        </w:rPr>
        <w:t>(III) for fiscal years beginning on or after October 1, 2018, standardized patient</w:t>
      </w:r>
      <w:r w:rsidR="00232D64">
        <w:rPr>
          <w:sz w:val="24"/>
          <w:szCs w:val="24"/>
        </w:rPr>
        <w:t xml:space="preserve"> </w:t>
      </w:r>
      <w:proofErr w:type="gramStart"/>
      <w:r w:rsidRPr="000B5B35">
        <w:rPr>
          <w:sz w:val="24"/>
          <w:szCs w:val="24"/>
        </w:rPr>
        <w:t>assessment [[</w:t>
      </w:r>
      <w:proofErr w:type="gramEnd"/>
      <w:r w:rsidRPr="000B5B35">
        <w:rPr>
          <w:sz w:val="24"/>
          <w:szCs w:val="24"/>
        </w:rPr>
        <w:t>Page 128 STAT. 1966]] data required under subsection (b)(1) of section1899B.</w:t>
      </w:r>
    </w:p>
    <w:p w14:paraId="1DB98AB8" w14:textId="77777777" w:rsidR="00711108" w:rsidRPr="00711108" w:rsidRDefault="000B5B35" w:rsidP="00711108">
      <w:pPr>
        <w:ind w:left="720"/>
        <w:rPr>
          <w:sz w:val="24"/>
          <w:szCs w:val="24"/>
        </w:rPr>
      </w:pPr>
      <w:r w:rsidRPr="000B5B35">
        <w:rPr>
          <w:sz w:val="24"/>
          <w:szCs w:val="24"/>
        </w:rPr>
        <w:t>(ii) Use</w:t>
      </w:r>
      <w:r w:rsidR="00232D64">
        <w:rPr>
          <w:sz w:val="24"/>
          <w:szCs w:val="24"/>
        </w:rPr>
        <w:t xml:space="preserve"> </w:t>
      </w:r>
      <w:r w:rsidRPr="000B5B35">
        <w:rPr>
          <w:sz w:val="24"/>
          <w:szCs w:val="24"/>
        </w:rPr>
        <w:t>of</w:t>
      </w:r>
      <w:r w:rsidR="00232D64">
        <w:rPr>
          <w:sz w:val="24"/>
          <w:szCs w:val="24"/>
        </w:rPr>
        <w:t xml:space="preserve"> </w:t>
      </w:r>
      <w:r w:rsidRPr="000B5B35">
        <w:rPr>
          <w:sz w:val="24"/>
          <w:szCs w:val="24"/>
        </w:rPr>
        <w:t>standard</w:t>
      </w:r>
      <w:r w:rsidR="00232D64">
        <w:rPr>
          <w:sz w:val="24"/>
          <w:szCs w:val="24"/>
        </w:rPr>
        <w:t xml:space="preserve"> </w:t>
      </w:r>
      <w:proofErr w:type="gramStart"/>
      <w:r w:rsidR="00FB2121" w:rsidRPr="000B5B35">
        <w:rPr>
          <w:sz w:val="24"/>
          <w:szCs w:val="24"/>
        </w:rPr>
        <w:t>instrument</w:t>
      </w:r>
      <w:proofErr w:type="gramEnd"/>
      <w:r w:rsidR="00FB2121" w:rsidRPr="000B5B35">
        <w:rPr>
          <w:sz w:val="24"/>
          <w:szCs w:val="24"/>
        </w:rPr>
        <w:t>. —</w:t>
      </w:r>
      <w:r w:rsidRPr="000B5B35">
        <w:rPr>
          <w:sz w:val="24"/>
          <w:szCs w:val="24"/>
        </w:rPr>
        <w:t xml:space="preserve"> For purposes of meeting the requirement under</w:t>
      </w:r>
      <w:r w:rsidR="00232D64">
        <w:rPr>
          <w:sz w:val="24"/>
          <w:szCs w:val="24"/>
        </w:rPr>
        <w:t xml:space="preserve"> </w:t>
      </w:r>
      <w:r w:rsidRPr="000B5B35">
        <w:rPr>
          <w:sz w:val="24"/>
          <w:szCs w:val="24"/>
        </w:rPr>
        <w:t>clause (</w:t>
      </w:r>
      <w:proofErr w:type="spellStart"/>
      <w:r w:rsidRPr="000B5B35">
        <w:rPr>
          <w:sz w:val="24"/>
          <w:szCs w:val="24"/>
        </w:rPr>
        <w:t>i</w:t>
      </w:r>
      <w:proofErr w:type="spellEnd"/>
      <w:r w:rsidRPr="000B5B35">
        <w:rPr>
          <w:sz w:val="24"/>
          <w:szCs w:val="24"/>
        </w:rPr>
        <w:t>), a skilled nursing facility, or a facility (other than a critical access hospital)</w:t>
      </w:r>
      <w:r w:rsidR="0098196A">
        <w:rPr>
          <w:sz w:val="24"/>
          <w:szCs w:val="24"/>
        </w:rPr>
        <w:t xml:space="preserve"> </w:t>
      </w:r>
      <w:r w:rsidRPr="000B5B35">
        <w:rPr>
          <w:sz w:val="24"/>
          <w:szCs w:val="24"/>
        </w:rPr>
        <w:t>described in paragraph (7)(B), may submit the resident assessment data required undersection 1819(b)(3), using the standard instrument designated by the State under section1819(e)(5).</w:t>
      </w:r>
    </w:p>
    <w:p w14:paraId="720B89E2" w14:textId="77777777" w:rsidR="000B5B35" w:rsidRDefault="00711108" w:rsidP="00711108">
      <w:pPr>
        <w:ind w:left="720"/>
        <w:rPr>
          <w:sz w:val="24"/>
          <w:szCs w:val="24"/>
        </w:rPr>
      </w:pPr>
      <w:r w:rsidRPr="00711108">
        <w:rPr>
          <w:sz w:val="24"/>
          <w:szCs w:val="24"/>
        </w:rPr>
        <w:t>(iii) Non-duplication. — To the extent data submitted under subclause (II) or (III) of</w:t>
      </w:r>
      <w:r>
        <w:rPr>
          <w:sz w:val="24"/>
          <w:szCs w:val="24"/>
        </w:rPr>
        <w:t xml:space="preserve"> </w:t>
      </w:r>
      <w:r w:rsidRPr="00711108">
        <w:rPr>
          <w:sz w:val="24"/>
          <w:szCs w:val="24"/>
        </w:rPr>
        <w:t>clause (</w:t>
      </w:r>
      <w:proofErr w:type="spellStart"/>
      <w:r w:rsidRPr="00711108">
        <w:rPr>
          <w:sz w:val="24"/>
          <w:szCs w:val="24"/>
        </w:rPr>
        <w:t>i</w:t>
      </w:r>
      <w:proofErr w:type="spellEnd"/>
      <w:r w:rsidRPr="00711108">
        <w:rPr>
          <w:sz w:val="24"/>
          <w:szCs w:val="24"/>
        </w:rPr>
        <w:t>) duplicates other data required to be submitted under clause (</w:t>
      </w:r>
      <w:proofErr w:type="spellStart"/>
      <w:r w:rsidRPr="00711108">
        <w:rPr>
          <w:sz w:val="24"/>
          <w:szCs w:val="24"/>
        </w:rPr>
        <w:t>i</w:t>
      </w:r>
      <w:proofErr w:type="spellEnd"/>
      <w:r w:rsidRPr="00711108">
        <w:rPr>
          <w:sz w:val="24"/>
          <w:szCs w:val="24"/>
        </w:rPr>
        <w:t>)(I), the submission</w:t>
      </w:r>
      <w:r>
        <w:rPr>
          <w:sz w:val="24"/>
          <w:szCs w:val="24"/>
        </w:rPr>
        <w:t xml:space="preserve"> </w:t>
      </w:r>
      <w:r w:rsidRPr="00711108">
        <w:rPr>
          <w:sz w:val="24"/>
          <w:szCs w:val="24"/>
        </w:rPr>
        <w:t>of such data under such a subclause shall be in lieu of the submission of such data under</w:t>
      </w:r>
      <w:r>
        <w:rPr>
          <w:sz w:val="24"/>
          <w:szCs w:val="24"/>
        </w:rPr>
        <w:t xml:space="preserve"> </w:t>
      </w:r>
      <w:r w:rsidRPr="00711108">
        <w:rPr>
          <w:sz w:val="24"/>
          <w:szCs w:val="24"/>
        </w:rPr>
        <w:t>clause (</w:t>
      </w:r>
      <w:proofErr w:type="spellStart"/>
      <w:r w:rsidRPr="00711108">
        <w:rPr>
          <w:sz w:val="24"/>
          <w:szCs w:val="24"/>
        </w:rPr>
        <w:t>i</w:t>
      </w:r>
      <w:proofErr w:type="spellEnd"/>
      <w:r w:rsidRPr="00711108">
        <w:rPr>
          <w:sz w:val="24"/>
          <w:szCs w:val="24"/>
        </w:rPr>
        <w:t>)(I). The previous sentence shall not apply insofar as the Secretary determines it is</w:t>
      </w:r>
      <w:r>
        <w:rPr>
          <w:sz w:val="24"/>
          <w:szCs w:val="24"/>
        </w:rPr>
        <w:t xml:space="preserve"> </w:t>
      </w:r>
      <w:r w:rsidRPr="00711108">
        <w:rPr>
          <w:sz w:val="24"/>
          <w:szCs w:val="24"/>
        </w:rPr>
        <w:t xml:space="preserve">necessary to avoid a delay in the implementation of section 1899B, </w:t>
      </w:r>
      <w:proofErr w:type="gramStart"/>
      <w:r w:rsidRPr="00711108">
        <w:rPr>
          <w:sz w:val="24"/>
          <w:szCs w:val="24"/>
        </w:rPr>
        <w:t>taking into account</w:t>
      </w:r>
      <w:proofErr w:type="gramEnd"/>
      <w:r w:rsidRPr="00711108">
        <w:rPr>
          <w:sz w:val="24"/>
          <w:szCs w:val="24"/>
        </w:rPr>
        <w:t xml:space="preserve"> the</w:t>
      </w:r>
      <w:r>
        <w:rPr>
          <w:sz w:val="24"/>
          <w:szCs w:val="24"/>
        </w:rPr>
        <w:t xml:space="preserve"> </w:t>
      </w:r>
      <w:r w:rsidRPr="00711108">
        <w:rPr>
          <w:sz w:val="24"/>
          <w:szCs w:val="24"/>
        </w:rPr>
        <w:t>different specified application dates under subsection (a)(2)(E) of such section.</w:t>
      </w:r>
    </w:p>
    <w:p w14:paraId="3FB5A986" w14:textId="77777777" w:rsidR="00530021" w:rsidRDefault="00530021" w:rsidP="00711108">
      <w:pPr>
        <w:ind w:left="720"/>
        <w:rPr>
          <w:sz w:val="24"/>
          <w:szCs w:val="24"/>
        </w:rPr>
      </w:pPr>
    </w:p>
    <w:p w14:paraId="37354E6D" w14:textId="77777777" w:rsidR="00530021" w:rsidRDefault="00530021" w:rsidP="00711108">
      <w:pPr>
        <w:ind w:left="720"/>
        <w:rPr>
          <w:sz w:val="24"/>
          <w:szCs w:val="24"/>
        </w:rPr>
      </w:pPr>
    </w:p>
    <w:p w14:paraId="130E6FC9" w14:textId="77777777" w:rsidR="00530021" w:rsidRDefault="00530021" w:rsidP="00530021">
      <w:pPr>
        <w:spacing w:line="360" w:lineRule="auto"/>
        <w:rPr>
          <w:rFonts w:ascii="Calibri" w:hAnsi="Calibri" w:cs="Calibri"/>
          <w:sz w:val="24"/>
          <w:szCs w:val="24"/>
        </w:rPr>
      </w:pPr>
      <w:r>
        <w:rPr>
          <w:rFonts w:ascii="Calibri" w:hAnsi="Calibri" w:cs="Calibri"/>
          <w:sz w:val="24"/>
          <w:szCs w:val="24"/>
        </w:rPr>
        <w:t>Section 1899B of the Improving Medicare Post-Acute Care Transformation Act of 2014 (Impact Act) required the submission of standardized data by long-term care hospitals, skilled nursing facilities, home health agencies, and inpatient rehabilitation facilities. The Impact Act instructed that standardized data are to be collected by the commonly used assessment instruments, which were the Minimum Data Set (MDS) for SNFs. The Law required the Secretary to implement specified clinical assessment domains and categories using standardized data required for submission by SNFs (and those other types of providers). Further, the Law required CMS to develop, implement, and maintain standardized patient assessment data elements for clinical categories.</w:t>
      </w:r>
    </w:p>
    <w:p w14:paraId="2BE330BC" w14:textId="77777777" w:rsidR="00530021" w:rsidRDefault="00530021" w:rsidP="00530021">
      <w:pPr>
        <w:spacing w:before="120" w:line="360" w:lineRule="auto"/>
        <w:rPr>
          <w:rFonts w:ascii="Calibri" w:hAnsi="Calibri" w:cs="Calibri"/>
          <w:sz w:val="24"/>
          <w:szCs w:val="24"/>
        </w:rPr>
      </w:pPr>
      <w:r>
        <w:rPr>
          <w:rFonts w:ascii="Calibri" w:hAnsi="Calibri" w:cs="Calibri"/>
          <w:sz w:val="24"/>
          <w:szCs w:val="24"/>
        </w:rPr>
        <w:t>The Impact Act details the requirements for reporting assessment data at 1899B(b)(1)(A):</w:t>
      </w:r>
    </w:p>
    <w:p w14:paraId="45D17769" w14:textId="77777777" w:rsidR="00530021" w:rsidRPr="00A92E74" w:rsidRDefault="00530021" w:rsidP="00530021">
      <w:pPr>
        <w:spacing w:before="120"/>
        <w:ind w:left="187"/>
        <w:rPr>
          <w:rFonts w:ascii="Calibri" w:hAnsi="Calibri" w:cs="Calibri"/>
          <w:sz w:val="24"/>
          <w:szCs w:val="24"/>
        </w:rPr>
      </w:pPr>
      <w:r w:rsidRPr="004C6F6C">
        <w:rPr>
          <w:rFonts w:ascii="Calibri" w:hAnsi="Calibri" w:cs="Calibri"/>
          <w:sz w:val="24"/>
          <w:szCs w:val="24"/>
        </w:rPr>
        <w:t>(A) IN GENERAL.—Beginning not later than October 1, 2018, for PAC providers described in clauses (ii), (iii), and (iv) of subsection (a)(2)(A) and January 1, 2019, for PAC providers described in clause (</w:t>
      </w:r>
      <w:proofErr w:type="spellStart"/>
      <w:r w:rsidRPr="004C6F6C">
        <w:rPr>
          <w:rFonts w:ascii="Calibri" w:hAnsi="Calibri" w:cs="Calibri"/>
          <w:sz w:val="24"/>
          <w:szCs w:val="24"/>
        </w:rPr>
        <w:t>i</w:t>
      </w:r>
      <w:proofErr w:type="spellEnd"/>
      <w:r w:rsidRPr="004C6F6C">
        <w:rPr>
          <w:rFonts w:ascii="Calibri" w:hAnsi="Calibri" w:cs="Calibri"/>
          <w:sz w:val="24"/>
          <w:szCs w:val="24"/>
        </w:rPr>
        <w:t xml:space="preserve">) of such subsection, the Secretary shall require </w:t>
      </w:r>
      <w:r w:rsidRPr="004C6F6C">
        <w:rPr>
          <w:rFonts w:ascii="Calibri" w:hAnsi="Calibri" w:cs="Calibri"/>
          <w:sz w:val="24"/>
          <w:szCs w:val="24"/>
        </w:rPr>
        <w:lastRenderedPageBreak/>
        <w:t>PAC providers to submit to the Secretary, under the applicable reporting provisions and through the use of PAC assessment instruments, the standardized patient assessment data described in subparagraph (B). The Secretary shall require such data be submitted with respect to admission and discharge of an individual (and may be submitted more frequently as the Secretary deems appropriate).</w:t>
      </w:r>
    </w:p>
    <w:p w14:paraId="0FDECC31" w14:textId="77777777" w:rsidR="00530021" w:rsidRDefault="00530021" w:rsidP="00530021">
      <w:pPr>
        <w:spacing w:before="120" w:line="360" w:lineRule="auto"/>
        <w:rPr>
          <w:rFonts w:ascii="Calibri" w:hAnsi="Calibri" w:cs="Calibri"/>
          <w:sz w:val="24"/>
          <w:szCs w:val="24"/>
        </w:rPr>
      </w:pPr>
      <w:r>
        <w:rPr>
          <w:rFonts w:ascii="Calibri" w:hAnsi="Calibri" w:cs="Calibri"/>
          <w:sz w:val="24"/>
          <w:szCs w:val="24"/>
        </w:rPr>
        <w:t>The regulation at 42 C.F.R. §413.360 include the requirements under the SNF quality reporting program (QRP). Regarding data submission requirements, at paragraph (b) the regulation states,</w:t>
      </w:r>
    </w:p>
    <w:p w14:paraId="714C2D7E" w14:textId="77777777" w:rsidR="00530021" w:rsidRPr="00036845" w:rsidRDefault="00530021" w:rsidP="00530021">
      <w:pPr>
        <w:spacing w:before="120"/>
        <w:ind w:left="360"/>
        <w:rPr>
          <w:rFonts w:ascii="Calibri" w:hAnsi="Calibri" w:cs="Calibri"/>
          <w:sz w:val="24"/>
          <w:szCs w:val="24"/>
        </w:rPr>
      </w:pPr>
      <w:r w:rsidRPr="00036845">
        <w:rPr>
          <w:rFonts w:ascii="Calibri" w:hAnsi="Calibri" w:cs="Calibri"/>
          <w:b/>
          <w:bCs/>
          <w:sz w:val="24"/>
          <w:szCs w:val="24"/>
        </w:rPr>
        <w:t>(1)</w:t>
      </w:r>
      <w:r w:rsidRPr="00036845">
        <w:rPr>
          <w:rFonts w:ascii="Calibri" w:hAnsi="Calibri" w:cs="Calibri"/>
          <w:sz w:val="24"/>
          <w:szCs w:val="24"/>
        </w:rPr>
        <w:t> Except as provided in </w:t>
      </w:r>
      <w:hyperlink r:id="rId8" w:anchor="c" w:history="1">
        <w:r w:rsidRPr="00036845">
          <w:rPr>
            <w:rStyle w:val="Hyperlink"/>
            <w:rFonts w:ascii="Calibri" w:hAnsi="Calibri" w:cs="Calibri"/>
            <w:sz w:val="24"/>
            <w:szCs w:val="24"/>
          </w:rPr>
          <w:t>paragraph (c)</w:t>
        </w:r>
      </w:hyperlink>
      <w:r w:rsidRPr="00036845">
        <w:rPr>
          <w:rFonts w:ascii="Calibri" w:hAnsi="Calibri" w:cs="Calibri"/>
          <w:sz w:val="24"/>
          <w:szCs w:val="24"/>
        </w:rPr>
        <w:t> of this section, and for a program year, </w:t>
      </w:r>
      <w:hyperlink r:id="rId9" w:history="1">
        <w:r w:rsidRPr="00036845">
          <w:rPr>
            <w:rStyle w:val="Hyperlink"/>
            <w:rFonts w:ascii="Calibri" w:hAnsi="Calibri" w:cs="Calibri"/>
            <w:sz w:val="24"/>
            <w:szCs w:val="24"/>
          </w:rPr>
          <w:t>SNFs</w:t>
        </w:r>
      </w:hyperlink>
      <w:r w:rsidRPr="00036845">
        <w:rPr>
          <w:rFonts w:ascii="Calibri" w:hAnsi="Calibri" w:cs="Calibri"/>
          <w:sz w:val="24"/>
          <w:szCs w:val="24"/>
        </w:rPr>
        <w:t> must submit to </w:t>
      </w:r>
      <w:hyperlink r:id="rId10" w:history="1">
        <w:r w:rsidRPr="00036845">
          <w:rPr>
            <w:rStyle w:val="Hyperlink"/>
            <w:rFonts w:ascii="Calibri" w:hAnsi="Calibri" w:cs="Calibri"/>
            <w:sz w:val="24"/>
            <w:szCs w:val="24"/>
          </w:rPr>
          <w:t>CMS</w:t>
        </w:r>
      </w:hyperlink>
      <w:r w:rsidRPr="00036845">
        <w:rPr>
          <w:rFonts w:ascii="Calibri" w:hAnsi="Calibri" w:cs="Calibri"/>
          <w:sz w:val="24"/>
          <w:szCs w:val="24"/>
        </w:rPr>
        <w:t> data on measures specified under sections 1899B(c)(1) and 1899B(d)(1) of the </w:t>
      </w:r>
      <w:hyperlink r:id="rId11" w:history="1">
        <w:r w:rsidRPr="00036845">
          <w:rPr>
            <w:rStyle w:val="Hyperlink"/>
            <w:rFonts w:ascii="Calibri" w:hAnsi="Calibri" w:cs="Calibri"/>
            <w:sz w:val="24"/>
            <w:szCs w:val="24"/>
          </w:rPr>
          <w:t>Social Security Act</w:t>
        </w:r>
      </w:hyperlink>
      <w:r w:rsidRPr="00036845">
        <w:rPr>
          <w:rFonts w:ascii="Calibri" w:hAnsi="Calibri" w:cs="Calibri"/>
          <w:sz w:val="24"/>
          <w:szCs w:val="24"/>
        </w:rPr>
        <w:t> and standardized </w:t>
      </w:r>
      <w:hyperlink r:id="rId12" w:history="1">
        <w:r w:rsidRPr="00036845">
          <w:rPr>
            <w:rStyle w:val="Hyperlink"/>
            <w:rFonts w:ascii="Calibri" w:hAnsi="Calibri" w:cs="Calibri"/>
            <w:sz w:val="24"/>
            <w:szCs w:val="24"/>
          </w:rPr>
          <w:t>resident</w:t>
        </w:r>
      </w:hyperlink>
      <w:r w:rsidRPr="00036845">
        <w:rPr>
          <w:rFonts w:ascii="Calibri" w:hAnsi="Calibri" w:cs="Calibri"/>
          <w:sz w:val="24"/>
          <w:szCs w:val="24"/>
        </w:rPr>
        <w:t> assessment data in accordance with section 1899B(b)(1) of the </w:t>
      </w:r>
      <w:hyperlink r:id="rId13" w:history="1">
        <w:r w:rsidRPr="00036845">
          <w:rPr>
            <w:rStyle w:val="Hyperlink"/>
            <w:rFonts w:ascii="Calibri" w:hAnsi="Calibri" w:cs="Calibri"/>
            <w:sz w:val="24"/>
            <w:szCs w:val="24"/>
          </w:rPr>
          <w:t>Social Security Act</w:t>
        </w:r>
      </w:hyperlink>
      <w:r w:rsidRPr="00036845">
        <w:rPr>
          <w:rFonts w:ascii="Calibri" w:hAnsi="Calibri" w:cs="Calibri"/>
          <w:sz w:val="24"/>
          <w:szCs w:val="24"/>
        </w:rPr>
        <w:t>, in the form and manner, and at a time, specified by </w:t>
      </w:r>
      <w:hyperlink r:id="rId14" w:history="1">
        <w:r w:rsidRPr="00036845">
          <w:rPr>
            <w:rStyle w:val="Hyperlink"/>
            <w:rFonts w:ascii="Calibri" w:hAnsi="Calibri" w:cs="Calibri"/>
            <w:sz w:val="24"/>
            <w:szCs w:val="24"/>
          </w:rPr>
          <w:t>CMS</w:t>
        </w:r>
      </w:hyperlink>
      <w:r w:rsidRPr="00036845">
        <w:rPr>
          <w:rFonts w:ascii="Calibri" w:hAnsi="Calibri" w:cs="Calibri"/>
          <w:sz w:val="24"/>
          <w:szCs w:val="24"/>
        </w:rPr>
        <w:t>.</w:t>
      </w:r>
    </w:p>
    <w:p w14:paraId="127A35BC" w14:textId="77777777" w:rsidR="00530021" w:rsidRPr="00036845" w:rsidRDefault="00530021" w:rsidP="00530021">
      <w:pPr>
        <w:spacing w:before="120"/>
        <w:ind w:left="360"/>
        <w:rPr>
          <w:rFonts w:ascii="Calibri" w:hAnsi="Calibri" w:cs="Calibri"/>
          <w:sz w:val="24"/>
          <w:szCs w:val="24"/>
        </w:rPr>
      </w:pPr>
      <w:r w:rsidRPr="00036845">
        <w:rPr>
          <w:rFonts w:ascii="Calibri" w:hAnsi="Calibri" w:cs="Calibri"/>
          <w:b/>
          <w:bCs/>
          <w:sz w:val="24"/>
          <w:szCs w:val="24"/>
        </w:rPr>
        <w:t>(2)</w:t>
      </w:r>
      <w:r w:rsidRPr="00036845">
        <w:rPr>
          <w:rFonts w:ascii="Calibri" w:hAnsi="Calibri" w:cs="Calibri"/>
          <w:sz w:val="24"/>
          <w:szCs w:val="24"/>
        </w:rPr>
        <w:t> </w:t>
      </w:r>
      <w:hyperlink r:id="rId15" w:history="1">
        <w:r w:rsidRPr="00036845">
          <w:rPr>
            <w:rStyle w:val="Hyperlink"/>
            <w:rFonts w:ascii="Calibri" w:hAnsi="Calibri" w:cs="Calibri"/>
            <w:sz w:val="24"/>
            <w:szCs w:val="24"/>
          </w:rPr>
          <w:t>CMS</w:t>
        </w:r>
      </w:hyperlink>
      <w:r w:rsidRPr="00036845">
        <w:rPr>
          <w:rFonts w:ascii="Calibri" w:hAnsi="Calibri" w:cs="Calibri"/>
          <w:sz w:val="24"/>
          <w:szCs w:val="24"/>
        </w:rPr>
        <w:t> may remove a quality measure from the </w:t>
      </w:r>
      <w:hyperlink r:id="rId16" w:history="1">
        <w:r w:rsidRPr="00036845">
          <w:rPr>
            <w:rStyle w:val="Hyperlink"/>
            <w:rFonts w:ascii="Calibri" w:hAnsi="Calibri" w:cs="Calibri"/>
            <w:sz w:val="24"/>
            <w:szCs w:val="24"/>
          </w:rPr>
          <w:t>SNF</w:t>
        </w:r>
      </w:hyperlink>
      <w:r w:rsidRPr="00036845">
        <w:rPr>
          <w:rFonts w:ascii="Calibri" w:hAnsi="Calibri" w:cs="Calibri"/>
          <w:sz w:val="24"/>
          <w:szCs w:val="24"/>
        </w:rPr>
        <w:t> QRP based on one or more of the following factors:</w:t>
      </w:r>
    </w:p>
    <w:p w14:paraId="756C239E" w14:textId="77777777" w:rsidR="00530021" w:rsidRPr="00036845" w:rsidRDefault="00530021" w:rsidP="00530021">
      <w:pPr>
        <w:spacing w:before="120"/>
        <w:ind w:left="360"/>
        <w:rPr>
          <w:rFonts w:ascii="Calibri" w:hAnsi="Calibri" w:cs="Calibri"/>
          <w:sz w:val="24"/>
          <w:szCs w:val="24"/>
        </w:rPr>
      </w:pPr>
      <w:r w:rsidRPr="00036845">
        <w:rPr>
          <w:rFonts w:ascii="Calibri" w:hAnsi="Calibri" w:cs="Calibri"/>
          <w:b/>
          <w:bCs/>
          <w:sz w:val="24"/>
          <w:szCs w:val="24"/>
        </w:rPr>
        <w:t>(</w:t>
      </w:r>
      <w:proofErr w:type="spellStart"/>
      <w:r w:rsidRPr="00036845">
        <w:rPr>
          <w:rFonts w:ascii="Calibri" w:hAnsi="Calibri" w:cs="Calibri"/>
          <w:b/>
          <w:bCs/>
          <w:sz w:val="24"/>
          <w:szCs w:val="24"/>
        </w:rPr>
        <w:t>i</w:t>
      </w:r>
      <w:proofErr w:type="spellEnd"/>
      <w:r w:rsidRPr="00036845">
        <w:rPr>
          <w:rFonts w:ascii="Calibri" w:hAnsi="Calibri" w:cs="Calibri"/>
          <w:b/>
          <w:bCs/>
          <w:sz w:val="24"/>
          <w:szCs w:val="24"/>
        </w:rPr>
        <w:t>)</w:t>
      </w:r>
      <w:r w:rsidRPr="00036845">
        <w:rPr>
          <w:rFonts w:ascii="Calibri" w:hAnsi="Calibri" w:cs="Calibri"/>
          <w:sz w:val="24"/>
          <w:szCs w:val="24"/>
        </w:rPr>
        <w:t> Measure performance among </w:t>
      </w:r>
      <w:hyperlink r:id="rId17" w:history="1">
        <w:r w:rsidRPr="00036845">
          <w:rPr>
            <w:rStyle w:val="Hyperlink"/>
            <w:rFonts w:ascii="Calibri" w:hAnsi="Calibri" w:cs="Calibri"/>
            <w:sz w:val="24"/>
            <w:szCs w:val="24"/>
          </w:rPr>
          <w:t>SNFs</w:t>
        </w:r>
      </w:hyperlink>
      <w:r w:rsidRPr="00036845">
        <w:rPr>
          <w:rFonts w:ascii="Calibri" w:hAnsi="Calibri" w:cs="Calibri"/>
          <w:sz w:val="24"/>
          <w:szCs w:val="24"/>
        </w:rPr>
        <w:t> is so high and unvarying that meaningful distinctions in improvements in performance can no longer be made.</w:t>
      </w:r>
    </w:p>
    <w:p w14:paraId="509F58B0" w14:textId="77777777" w:rsidR="00530021" w:rsidRPr="00036845" w:rsidRDefault="00530021" w:rsidP="00530021">
      <w:pPr>
        <w:spacing w:before="120"/>
        <w:ind w:left="360"/>
        <w:rPr>
          <w:rFonts w:ascii="Calibri" w:hAnsi="Calibri" w:cs="Calibri"/>
          <w:sz w:val="24"/>
          <w:szCs w:val="24"/>
        </w:rPr>
      </w:pPr>
      <w:r w:rsidRPr="00036845">
        <w:rPr>
          <w:rFonts w:ascii="Calibri" w:hAnsi="Calibri" w:cs="Calibri"/>
          <w:b/>
          <w:bCs/>
          <w:sz w:val="24"/>
          <w:szCs w:val="24"/>
        </w:rPr>
        <w:t>(ii)</w:t>
      </w:r>
      <w:r w:rsidRPr="00036845">
        <w:rPr>
          <w:rFonts w:ascii="Calibri" w:hAnsi="Calibri" w:cs="Calibri"/>
          <w:sz w:val="24"/>
          <w:szCs w:val="24"/>
        </w:rPr>
        <w:t> Performance or improvement on a measure does not result in better </w:t>
      </w:r>
      <w:hyperlink r:id="rId18" w:history="1">
        <w:r w:rsidRPr="00036845">
          <w:rPr>
            <w:rStyle w:val="Hyperlink"/>
            <w:rFonts w:ascii="Calibri" w:hAnsi="Calibri" w:cs="Calibri"/>
            <w:sz w:val="24"/>
            <w:szCs w:val="24"/>
          </w:rPr>
          <w:t>resident</w:t>
        </w:r>
      </w:hyperlink>
      <w:r w:rsidRPr="00036845">
        <w:rPr>
          <w:rFonts w:ascii="Calibri" w:hAnsi="Calibri" w:cs="Calibri"/>
          <w:sz w:val="24"/>
          <w:szCs w:val="24"/>
        </w:rPr>
        <w:t> outcomes.</w:t>
      </w:r>
    </w:p>
    <w:p w14:paraId="0C1A2E2F" w14:textId="77777777" w:rsidR="00530021" w:rsidRPr="00036845" w:rsidRDefault="00530021" w:rsidP="00530021">
      <w:pPr>
        <w:spacing w:before="120"/>
        <w:ind w:left="360"/>
        <w:rPr>
          <w:rFonts w:ascii="Calibri" w:hAnsi="Calibri" w:cs="Calibri"/>
          <w:sz w:val="24"/>
          <w:szCs w:val="24"/>
        </w:rPr>
      </w:pPr>
      <w:r w:rsidRPr="00036845">
        <w:rPr>
          <w:rFonts w:ascii="Calibri" w:hAnsi="Calibri" w:cs="Calibri"/>
          <w:b/>
          <w:bCs/>
          <w:sz w:val="24"/>
          <w:szCs w:val="24"/>
        </w:rPr>
        <w:t>(iii)</w:t>
      </w:r>
      <w:r w:rsidRPr="00036845">
        <w:rPr>
          <w:rFonts w:ascii="Calibri" w:hAnsi="Calibri" w:cs="Calibri"/>
          <w:sz w:val="24"/>
          <w:szCs w:val="24"/>
        </w:rPr>
        <w:t> A measure does not align with current clinical guidelines or practice.</w:t>
      </w:r>
    </w:p>
    <w:p w14:paraId="636A772C" w14:textId="77777777" w:rsidR="00530021" w:rsidRPr="00036845" w:rsidRDefault="00530021" w:rsidP="00530021">
      <w:pPr>
        <w:spacing w:before="120"/>
        <w:ind w:left="360"/>
        <w:rPr>
          <w:rFonts w:ascii="Calibri" w:hAnsi="Calibri" w:cs="Calibri"/>
          <w:sz w:val="24"/>
          <w:szCs w:val="24"/>
        </w:rPr>
      </w:pPr>
      <w:r w:rsidRPr="00036845">
        <w:rPr>
          <w:rFonts w:ascii="Calibri" w:hAnsi="Calibri" w:cs="Calibri"/>
          <w:b/>
          <w:bCs/>
          <w:sz w:val="24"/>
          <w:szCs w:val="24"/>
        </w:rPr>
        <w:t>(iv)</w:t>
      </w:r>
      <w:r w:rsidRPr="00036845">
        <w:rPr>
          <w:rFonts w:ascii="Calibri" w:hAnsi="Calibri" w:cs="Calibri"/>
          <w:sz w:val="24"/>
          <w:szCs w:val="24"/>
        </w:rPr>
        <w:t xml:space="preserve"> The availability of a more broadly applicable (across settings, populations, or conditions) measure for the </w:t>
      </w:r>
      <w:proofErr w:type="gramStart"/>
      <w:r w:rsidRPr="00036845">
        <w:rPr>
          <w:rFonts w:ascii="Calibri" w:hAnsi="Calibri" w:cs="Calibri"/>
          <w:sz w:val="24"/>
          <w:szCs w:val="24"/>
        </w:rPr>
        <w:t>particular topic</w:t>
      </w:r>
      <w:proofErr w:type="gramEnd"/>
      <w:r w:rsidRPr="00036845">
        <w:rPr>
          <w:rFonts w:ascii="Calibri" w:hAnsi="Calibri" w:cs="Calibri"/>
          <w:sz w:val="24"/>
          <w:szCs w:val="24"/>
        </w:rPr>
        <w:t>.</w:t>
      </w:r>
    </w:p>
    <w:p w14:paraId="066AB25F" w14:textId="77777777" w:rsidR="00530021" w:rsidRPr="00036845" w:rsidRDefault="00530021" w:rsidP="00530021">
      <w:pPr>
        <w:spacing w:before="120"/>
        <w:ind w:left="360"/>
        <w:rPr>
          <w:rFonts w:ascii="Calibri" w:hAnsi="Calibri" w:cs="Calibri"/>
          <w:sz w:val="24"/>
          <w:szCs w:val="24"/>
        </w:rPr>
      </w:pPr>
      <w:r w:rsidRPr="00036845">
        <w:rPr>
          <w:rFonts w:ascii="Calibri" w:hAnsi="Calibri" w:cs="Calibri"/>
          <w:b/>
          <w:bCs/>
          <w:sz w:val="24"/>
          <w:szCs w:val="24"/>
        </w:rPr>
        <w:t>(v)</w:t>
      </w:r>
      <w:r w:rsidRPr="00036845">
        <w:rPr>
          <w:rFonts w:ascii="Calibri" w:hAnsi="Calibri" w:cs="Calibri"/>
          <w:sz w:val="24"/>
          <w:szCs w:val="24"/>
        </w:rPr>
        <w:t> The availability of a measure that is more proximal in time to desired </w:t>
      </w:r>
      <w:hyperlink r:id="rId19" w:history="1">
        <w:r w:rsidRPr="00036845">
          <w:rPr>
            <w:rStyle w:val="Hyperlink"/>
            <w:rFonts w:ascii="Calibri" w:hAnsi="Calibri" w:cs="Calibri"/>
            <w:sz w:val="24"/>
            <w:szCs w:val="24"/>
          </w:rPr>
          <w:t>resident</w:t>
        </w:r>
      </w:hyperlink>
      <w:r w:rsidRPr="00036845">
        <w:rPr>
          <w:rFonts w:ascii="Calibri" w:hAnsi="Calibri" w:cs="Calibri"/>
          <w:sz w:val="24"/>
          <w:szCs w:val="24"/>
        </w:rPr>
        <w:t> outcomes for the particular topic.</w:t>
      </w:r>
    </w:p>
    <w:p w14:paraId="4649A2C1" w14:textId="77777777" w:rsidR="00530021" w:rsidRPr="00036845" w:rsidRDefault="00530021" w:rsidP="00530021">
      <w:pPr>
        <w:spacing w:before="120"/>
        <w:ind w:left="360"/>
        <w:rPr>
          <w:rFonts w:ascii="Calibri" w:hAnsi="Calibri" w:cs="Calibri"/>
          <w:sz w:val="24"/>
          <w:szCs w:val="24"/>
        </w:rPr>
      </w:pPr>
      <w:r w:rsidRPr="00036845">
        <w:rPr>
          <w:rFonts w:ascii="Calibri" w:hAnsi="Calibri" w:cs="Calibri"/>
          <w:b/>
          <w:bCs/>
          <w:sz w:val="24"/>
          <w:szCs w:val="24"/>
        </w:rPr>
        <w:t>(vi)</w:t>
      </w:r>
      <w:r w:rsidRPr="00036845">
        <w:rPr>
          <w:rFonts w:ascii="Calibri" w:hAnsi="Calibri" w:cs="Calibri"/>
          <w:sz w:val="24"/>
          <w:szCs w:val="24"/>
        </w:rPr>
        <w:t> The availability of a measure that is more strongly associated with desired </w:t>
      </w:r>
      <w:hyperlink r:id="rId20" w:history="1">
        <w:r w:rsidRPr="00036845">
          <w:rPr>
            <w:rStyle w:val="Hyperlink"/>
            <w:rFonts w:ascii="Calibri" w:hAnsi="Calibri" w:cs="Calibri"/>
            <w:sz w:val="24"/>
            <w:szCs w:val="24"/>
          </w:rPr>
          <w:t>resident</w:t>
        </w:r>
      </w:hyperlink>
      <w:r w:rsidRPr="00036845">
        <w:rPr>
          <w:rFonts w:ascii="Calibri" w:hAnsi="Calibri" w:cs="Calibri"/>
          <w:sz w:val="24"/>
          <w:szCs w:val="24"/>
        </w:rPr>
        <w:t> outcomes for the particular topic.</w:t>
      </w:r>
    </w:p>
    <w:p w14:paraId="11F5A174" w14:textId="77777777" w:rsidR="00530021" w:rsidRPr="00036845" w:rsidRDefault="00530021" w:rsidP="00530021">
      <w:pPr>
        <w:spacing w:before="120"/>
        <w:ind w:left="360"/>
        <w:rPr>
          <w:rFonts w:ascii="Calibri" w:hAnsi="Calibri" w:cs="Calibri"/>
          <w:sz w:val="24"/>
          <w:szCs w:val="24"/>
        </w:rPr>
      </w:pPr>
      <w:r w:rsidRPr="00036845">
        <w:rPr>
          <w:rFonts w:ascii="Calibri" w:hAnsi="Calibri" w:cs="Calibri"/>
          <w:b/>
          <w:bCs/>
          <w:sz w:val="24"/>
          <w:szCs w:val="24"/>
        </w:rPr>
        <w:t>(vii)</w:t>
      </w:r>
      <w:r w:rsidRPr="00036845">
        <w:rPr>
          <w:rFonts w:ascii="Calibri" w:hAnsi="Calibri" w:cs="Calibri"/>
          <w:sz w:val="24"/>
          <w:szCs w:val="24"/>
        </w:rPr>
        <w:t> Collection or public reporting of a measure leads to negative unintended consequences other than </w:t>
      </w:r>
      <w:hyperlink r:id="rId21" w:history="1">
        <w:r w:rsidRPr="00036845">
          <w:rPr>
            <w:rStyle w:val="Hyperlink"/>
            <w:rFonts w:ascii="Calibri" w:hAnsi="Calibri" w:cs="Calibri"/>
            <w:sz w:val="24"/>
            <w:szCs w:val="24"/>
          </w:rPr>
          <w:t>resident</w:t>
        </w:r>
      </w:hyperlink>
      <w:r w:rsidRPr="00036845">
        <w:rPr>
          <w:rFonts w:ascii="Calibri" w:hAnsi="Calibri" w:cs="Calibri"/>
          <w:sz w:val="24"/>
          <w:szCs w:val="24"/>
        </w:rPr>
        <w:t> harm.</w:t>
      </w:r>
    </w:p>
    <w:p w14:paraId="173FA2BB" w14:textId="77777777" w:rsidR="00530021" w:rsidRPr="00036845" w:rsidRDefault="00530021" w:rsidP="00530021">
      <w:pPr>
        <w:spacing w:before="120"/>
        <w:ind w:left="360"/>
        <w:rPr>
          <w:rFonts w:ascii="Calibri" w:hAnsi="Calibri" w:cs="Calibri"/>
          <w:sz w:val="24"/>
          <w:szCs w:val="24"/>
        </w:rPr>
      </w:pPr>
      <w:r w:rsidRPr="00036845">
        <w:rPr>
          <w:rFonts w:ascii="Calibri" w:hAnsi="Calibri" w:cs="Calibri"/>
          <w:b/>
          <w:bCs/>
          <w:sz w:val="24"/>
          <w:szCs w:val="24"/>
        </w:rPr>
        <w:t>(viii)</w:t>
      </w:r>
      <w:r w:rsidRPr="00036845">
        <w:rPr>
          <w:rFonts w:ascii="Calibri" w:hAnsi="Calibri" w:cs="Calibri"/>
          <w:sz w:val="24"/>
          <w:szCs w:val="24"/>
        </w:rPr>
        <w:t> The costs associated with a measure outweigh the benefit of its continued use in the program.</w:t>
      </w:r>
    </w:p>
    <w:p w14:paraId="7F528D43" w14:textId="77777777" w:rsidR="00530021" w:rsidRDefault="00530021" w:rsidP="00530021">
      <w:pPr>
        <w:spacing w:before="120" w:line="360" w:lineRule="auto"/>
        <w:rPr>
          <w:rFonts w:ascii="Calibri" w:hAnsi="Calibri" w:cs="Calibri"/>
          <w:sz w:val="24"/>
          <w:szCs w:val="24"/>
        </w:rPr>
      </w:pPr>
      <w:r>
        <w:rPr>
          <w:rFonts w:ascii="Calibri" w:hAnsi="Calibri" w:cs="Calibri"/>
          <w:sz w:val="24"/>
          <w:szCs w:val="24"/>
        </w:rPr>
        <w:t>The regulation goes on to discuss exceptions and extensions at paragraph (c), which states,</w:t>
      </w:r>
    </w:p>
    <w:p w14:paraId="1D023F6C" w14:textId="77777777" w:rsidR="00530021" w:rsidRPr="0046265F" w:rsidRDefault="00530021" w:rsidP="00530021">
      <w:pPr>
        <w:spacing w:before="120"/>
        <w:ind w:left="360"/>
        <w:rPr>
          <w:rFonts w:ascii="Calibri" w:hAnsi="Calibri" w:cs="Calibri"/>
          <w:sz w:val="24"/>
          <w:szCs w:val="24"/>
        </w:rPr>
      </w:pPr>
      <w:r w:rsidRPr="0046265F">
        <w:rPr>
          <w:rFonts w:ascii="Calibri" w:hAnsi="Calibri" w:cs="Calibri"/>
          <w:b/>
          <w:bCs/>
          <w:sz w:val="24"/>
          <w:szCs w:val="24"/>
        </w:rPr>
        <w:t>(1)</w:t>
      </w:r>
      <w:r w:rsidRPr="0046265F">
        <w:rPr>
          <w:rFonts w:ascii="Calibri" w:hAnsi="Calibri" w:cs="Calibri"/>
          <w:sz w:val="24"/>
          <w:szCs w:val="24"/>
        </w:rPr>
        <w:t> A </w:t>
      </w:r>
      <w:hyperlink r:id="rId22" w:history="1">
        <w:r w:rsidRPr="0046265F">
          <w:rPr>
            <w:rStyle w:val="Hyperlink"/>
            <w:rFonts w:ascii="Calibri" w:hAnsi="Calibri" w:cs="Calibri"/>
            <w:sz w:val="24"/>
            <w:szCs w:val="24"/>
          </w:rPr>
          <w:t>SNF</w:t>
        </w:r>
      </w:hyperlink>
      <w:r w:rsidRPr="0046265F">
        <w:rPr>
          <w:rFonts w:ascii="Calibri" w:hAnsi="Calibri" w:cs="Calibri"/>
          <w:sz w:val="24"/>
          <w:szCs w:val="24"/>
        </w:rPr>
        <w:t> may request and </w:t>
      </w:r>
      <w:hyperlink r:id="rId23" w:history="1">
        <w:r w:rsidRPr="0046265F">
          <w:rPr>
            <w:rStyle w:val="Hyperlink"/>
            <w:rFonts w:ascii="Calibri" w:hAnsi="Calibri" w:cs="Calibri"/>
            <w:sz w:val="24"/>
            <w:szCs w:val="24"/>
          </w:rPr>
          <w:t>CMS</w:t>
        </w:r>
      </w:hyperlink>
      <w:r w:rsidRPr="0046265F">
        <w:rPr>
          <w:rFonts w:ascii="Calibri" w:hAnsi="Calibri" w:cs="Calibri"/>
          <w:sz w:val="24"/>
          <w:szCs w:val="24"/>
        </w:rPr>
        <w:t> may grant </w:t>
      </w:r>
      <w:hyperlink r:id="rId24" w:history="1">
        <w:r w:rsidRPr="0046265F">
          <w:rPr>
            <w:rStyle w:val="Hyperlink"/>
            <w:rFonts w:ascii="Calibri" w:hAnsi="Calibri" w:cs="Calibri"/>
            <w:sz w:val="24"/>
            <w:szCs w:val="24"/>
          </w:rPr>
          <w:t>exceptions</w:t>
        </w:r>
      </w:hyperlink>
      <w:r w:rsidRPr="0046265F">
        <w:rPr>
          <w:rFonts w:ascii="Calibri" w:hAnsi="Calibri" w:cs="Calibri"/>
          <w:sz w:val="24"/>
          <w:szCs w:val="24"/>
        </w:rPr>
        <w:t> or extensions to the reporting </w:t>
      </w:r>
      <w:hyperlink r:id="rId25" w:history="1">
        <w:r w:rsidRPr="0046265F">
          <w:rPr>
            <w:rStyle w:val="Hyperlink"/>
            <w:rFonts w:ascii="Calibri" w:hAnsi="Calibri" w:cs="Calibri"/>
            <w:sz w:val="24"/>
            <w:szCs w:val="24"/>
          </w:rPr>
          <w:t>requirements</w:t>
        </w:r>
      </w:hyperlink>
      <w:r w:rsidRPr="0046265F">
        <w:rPr>
          <w:rFonts w:ascii="Calibri" w:hAnsi="Calibri" w:cs="Calibri"/>
          <w:sz w:val="24"/>
          <w:szCs w:val="24"/>
        </w:rPr>
        <w:t> under </w:t>
      </w:r>
      <w:hyperlink r:id="rId26" w:anchor="b" w:history="1">
        <w:r w:rsidRPr="0046265F">
          <w:rPr>
            <w:rStyle w:val="Hyperlink"/>
            <w:rFonts w:ascii="Calibri" w:hAnsi="Calibri" w:cs="Calibri"/>
            <w:sz w:val="24"/>
            <w:szCs w:val="24"/>
          </w:rPr>
          <w:t>paragraph (b)</w:t>
        </w:r>
      </w:hyperlink>
      <w:r w:rsidRPr="0046265F">
        <w:rPr>
          <w:rFonts w:ascii="Calibri" w:hAnsi="Calibri" w:cs="Calibri"/>
          <w:sz w:val="24"/>
          <w:szCs w:val="24"/>
        </w:rPr>
        <w:t> of this section for one or more quarters, when there are certain extraordinary circumstances beyond the control of the </w:t>
      </w:r>
      <w:hyperlink r:id="rId27" w:history="1">
        <w:r w:rsidRPr="0046265F">
          <w:rPr>
            <w:rStyle w:val="Hyperlink"/>
            <w:rFonts w:ascii="Calibri" w:hAnsi="Calibri" w:cs="Calibri"/>
            <w:sz w:val="24"/>
            <w:szCs w:val="24"/>
          </w:rPr>
          <w:t>SNF</w:t>
        </w:r>
      </w:hyperlink>
      <w:r w:rsidRPr="0046265F">
        <w:rPr>
          <w:rFonts w:ascii="Calibri" w:hAnsi="Calibri" w:cs="Calibri"/>
          <w:sz w:val="24"/>
          <w:szCs w:val="24"/>
        </w:rPr>
        <w:t>.</w:t>
      </w:r>
    </w:p>
    <w:p w14:paraId="7A47E447" w14:textId="77777777" w:rsidR="00530021" w:rsidRPr="0046265F" w:rsidRDefault="00530021" w:rsidP="00530021">
      <w:pPr>
        <w:spacing w:before="120"/>
        <w:ind w:left="360"/>
        <w:rPr>
          <w:rFonts w:ascii="Calibri" w:hAnsi="Calibri" w:cs="Calibri"/>
          <w:sz w:val="24"/>
          <w:szCs w:val="24"/>
        </w:rPr>
      </w:pPr>
      <w:r w:rsidRPr="0046265F">
        <w:rPr>
          <w:rFonts w:ascii="Calibri" w:hAnsi="Calibri" w:cs="Calibri"/>
          <w:b/>
          <w:bCs/>
          <w:sz w:val="24"/>
          <w:szCs w:val="24"/>
        </w:rPr>
        <w:lastRenderedPageBreak/>
        <w:t>(2)</w:t>
      </w:r>
      <w:r w:rsidRPr="0046265F">
        <w:rPr>
          <w:rFonts w:ascii="Calibri" w:hAnsi="Calibri" w:cs="Calibri"/>
          <w:sz w:val="24"/>
          <w:szCs w:val="24"/>
        </w:rPr>
        <w:t> A </w:t>
      </w:r>
      <w:hyperlink r:id="rId28" w:history="1">
        <w:r w:rsidRPr="0046265F">
          <w:rPr>
            <w:rStyle w:val="Hyperlink"/>
            <w:rFonts w:ascii="Calibri" w:hAnsi="Calibri" w:cs="Calibri"/>
            <w:sz w:val="24"/>
            <w:szCs w:val="24"/>
          </w:rPr>
          <w:t>SNF</w:t>
        </w:r>
      </w:hyperlink>
      <w:r w:rsidRPr="0046265F">
        <w:rPr>
          <w:rFonts w:ascii="Calibri" w:hAnsi="Calibri" w:cs="Calibri"/>
          <w:sz w:val="24"/>
          <w:szCs w:val="24"/>
        </w:rPr>
        <w:t> may request an exception or extension within 90 days of the date that the extraordinary circumstances occurred by sending an email to </w:t>
      </w:r>
      <w:r w:rsidRPr="0046265F">
        <w:rPr>
          <w:rFonts w:ascii="Calibri" w:hAnsi="Calibri" w:cs="Calibri"/>
          <w:i/>
          <w:iCs/>
          <w:sz w:val="24"/>
          <w:szCs w:val="24"/>
        </w:rPr>
        <w:t>SNFQRPReconsiderations@cms.hhs.gov</w:t>
      </w:r>
      <w:r w:rsidRPr="0046265F">
        <w:rPr>
          <w:rFonts w:ascii="Calibri" w:hAnsi="Calibri" w:cs="Calibri"/>
          <w:sz w:val="24"/>
          <w:szCs w:val="24"/>
        </w:rPr>
        <w:t> that contains all of the following information:</w:t>
      </w:r>
    </w:p>
    <w:p w14:paraId="330D7406" w14:textId="77777777" w:rsidR="00530021" w:rsidRPr="0046265F" w:rsidRDefault="00530021" w:rsidP="00530021">
      <w:pPr>
        <w:spacing w:before="120"/>
        <w:ind w:left="540"/>
        <w:rPr>
          <w:rFonts w:ascii="Calibri" w:hAnsi="Calibri" w:cs="Calibri"/>
          <w:sz w:val="24"/>
          <w:szCs w:val="24"/>
        </w:rPr>
      </w:pPr>
      <w:r w:rsidRPr="0046265F">
        <w:rPr>
          <w:rFonts w:ascii="Calibri" w:hAnsi="Calibri" w:cs="Calibri"/>
          <w:b/>
          <w:bCs/>
          <w:sz w:val="24"/>
          <w:szCs w:val="24"/>
        </w:rPr>
        <w:t>(</w:t>
      </w:r>
      <w:proofErr w:type="spellStart"/>
      <w:r w:rsidRPr="0046265F">
        <w:rPr>
          <w:rFonts w:ascii="Calibri" w:hAnsi="Calibri" w:cs="Calibri"/>
          <w:b/>
          <w:bCs/>
          <w:sz w:val="24"/>
          <w:szCs w:val="24"/>
        </w:rPr>
        <w:t>i</w:t>
      </w:r>
      <w:proofErr w:type="spellEnd"/>
      <w:r w:rsidRPr="0046265F">
        <w:rPr>
          <w:rFonts w:ascii="Calibri" w:hAnsi="Calibri" w:cs="Calibri"/>
          <w:b/>
          <w:bCs/>
          <w:sz w:val="24"/>
          <w:szCs w:val="24"/>
        </w:rPr>
        <w:t>)</w:t>
      </w:r>
      <w:r w:rsidRPr="0046265F">
        <w:rPr>
          <w:rFonts w:ascii="Calibri" w:hAnsi="Calibri" w:cs="Calibri"/>
          <w:sz w:val="24"/>
          <w:szCs w:val="24"/>
        </w:rPr>
        <w:t> </w:t>
      </w:r>
      <w:hyperlink r:id="rId29" w:history="1">
        <w:r w:rsidRPr="0046265F">
          <w:rPr>
            <w:rStyle w:val="Hyperlink"/>
            <w:rFonts w:ascii="Calibri" w:hAnsi="Calibri" w:cs="Calibri"/>
            <w:sz w:val="24"/>
            <w:szCs w:val="24"/>
          </w:rPr>
          <w:t>SNF</w:t>
        </w:r>
      </w:hyperlink>
      <w:r w:rsidRPr="0046265F">
        <w:rPr>
          <w:rFonts w:ascii="Calibri" w:hAnsi="Calibri" w:cs="Calibri"/>
          <w:sz w:val="24"/>
          <w:szCs w:val="24"/>
        </w:rPr>
        <w:t> </w:t>
      </w:r>
      <w:hyperlink r:id="rId30" w:history="1">
        <w:r w:rsidRPr="0046265F">
          <w:rPr>
            <w:rStyle w:val="Hyperlink"/>
            <w:rFonts w:ascii="Calibri" w:hAnsi="Calibri" w:cs="Calibri"/>
            <w:sz w:val="24"/>
            <w:szCs w:val="24"/>
          </w:rPr>
          <w:t>CMS</w:t>
        </w:r>
      </w:hyperlink>
      <w:r w:rsidRPr="0046265F">
        <w:rPr>
          <w:rFonts w:ascii="Calibri" w:hAnsi="Calibri" w:cs="Calibri"/>
          <w:sz w:val="24"/>
          <w:szCs w:val="24"/>
        </w:rPr>
        <w:t> Certification Number (CCN).</w:t>
      </w:r>
    </w:p>
    <w:p w14:paraId="2628EA51" w14:textId="77777777" w:rsidR="00530021" w:rsidRPr="0046265F" w:rsidRDefault="00530021" w:rsidP="00530021">
      <w:pPr>
        <w:spacing w:before="120"/>
        <w:ind w:left="540"/>
        <w:rPr>
          <w:rFonts w:ascii="Calibri" w:hAnsi="Calibri" w:cs="Calibri"/>
          <w:sz w:val="24"/>
          <w:szCs w:val="24"/>
        </w:rPr>
      </w:pPr>
      <w:r w:rsidRPr="0046265F">
        <w:rPr>
          <w:rFonts w:ascii="Calibri" w:hAnsi="Calibri" w:cs="Calibri"/>
          <w:b/>
          <w:bCs/>
          <w:sz w:val="24"/>
          <w:szCs w:val="24"/>
        </w:rPr>
        <w:t>(ii)</w:t>
      </w:r>
      <w:r w:rsidRPr="0046265F">
        <w:rPr>
          <w:rFonts w:ascii="Calibri" w:hAnsi="Calibri" w:cs="Calibri"/>
          <w:sz w:val="24"/>
          <w:szCs w:val="24"/>
        </w:rPr>
        <w:t> </w:t>
      </w:r>
      <w:hyperlink r:id="rId31" w:history="1">
        <w:r w:rsidRPr="0046265F">
          <w:rPr>
            <w:rStyle w:val="Hyperlink"/>
            <w:rFonts w:ascii="Calibri" w:hAnsi="Calibri" w:cs="Calibri"/>
            <w:sz w:val="24"/>
            <w:szCs w:val="24"/>
          </w:rPr>
          <w:t>SNF</w:t>
        </w:r>
      </w:hyperlink>
      <w:r w:rsidRPr="0046265F">
        <w:rPr>
          <w:rFonts w:ascii="Calibri" w:hAnsi="Calibri" w:cs="Calibri"/>
          <w:sz w:val="24"/>
          <w:szCs w:val="24"/>
        </w:rPr>
        <w:t> Business Name.</w:t>
      </w:r>
    </w:p>
    <w:p w14:paraId="0AB1DAA1" w14:textId="77777777" w:rsidR="00530021" w:rsidRPr="0046265F" w:rsidRDefault="00530021" w:rsidP="00530021">
      <w:pPr>
        <w:spacing w:before="120"/>
        <w:ind w:left="540"/>
        <w:rPr>
          <w:rFonts w:ascii="Calibri" w:hAnsi="Calibri" w:cs="Calibri"/>
          <w:sz w:val="24"/>
          <w:szCs w:val="24"/>
        </w:rPr>
      </w:pPr>
      <w:r w:rsidRPr="0046265F">
        <w:rPr>
          <w:rFonts w:ascii="Calibri" w:hAnsi="Calibri" w:cs="Calibri"/>
          <w:b/>
          <w:bCs/>
          <w:sz w:val="24"/>
          <w:szCs w:val="24"/>
        </w:rPr>
        <w:t>(iii)</w:t>
      </w:r>
      <w:r w:rsidRPr="0046265F">
        <w:rPr>
          <w:rFonts w:ascii="Calibri" w:hAnsi="Calibri" w:cs="Calibri"/>
          <w:sz w:val="24"/>
          <w:szCs w:val="24"/>
        </w:rPr>
        <w:t> </w:t>
      </w:r>
      <w:hyperlink r:id="rId32" w:history="1">
        <w:r w:rsidRPr="0046265F">
          <w:rPr>
            <w:rStyle w:val="Hyperlink"/>
            <w:rFonts w:ascii="Calibri" w:hAnsi="Calibri" w:cs="Calibri"/>
            <w:sz w:val="24"/>
            <w:szCs w:val="24"/>
          </w:rPr>
          <w:t>SNF</w:t>
        </w:r>
      </w:hyperlink>
      <w:r w:rsidRPr="0046265F">
        <w:rPr>
          <w:rFonts w:ascii="Calibri" w:hAnsi="Calibri" w:cs="Calibri"/>
          <w:sz w:val="24"/>
          <w:szCs w:val="24"/>
        </w:rPr>
        <w:t> Business Address.</w:t>
      </w:r>
    </w:p>
    <w:p w14:paraId="641D049D" w14:textId="77777777" w:rsidR="00530021" w:rsidRPr="0046265F" w:rsidRDefault="00530021" w:rsidP="00530021">
      <w:pPr>
        <w:spacing w:before="120"/>
        <w:ind w:left="540"/>
        <w:rPr>
          <w:rFonts w:ascii="Calibri" w:hAnsi="Calibri" w:cs="Calibri"/>
          <w:sz w:val="24"/>
          <w:szCs w:val="24"/>
        </w:rPr>
      </w:pPr>
      <w:r w:rsidRPr="0046265F">
        <w:rPr>
          <w:rFonts w:ascii="Calibri" w:hAnsi="Calibri" w:cs="Calibri"/>
          <w:b/>
          <w:bCs/>
          <w:sz w:val="24"/>
          <w:szCs w:val="24"/>
        </w:rPr>
        <w:t>(iv)</w:t>
      </w:r>
      <w:r w:rsidRPr="0046265F">
        <w:rPr>
          <w:rFonts w:ascii="Calibri" w:hAnsi="Calibri" w:cs="Calibri"/>
          <w:sz w:val="24"/>
          <w:szCs w:val="24"/>
        </w:rPr>
        <w:t> CEO or CEO-designated personnel contact information including name, telephone number, title, email address, and mailing address. (The address must be a physical address, not a post office box.)</w:t>
      </w:r>
    </w:p>
    <w:p w14:paraId="4846E8BB" w14:textId="77777777" w:rsidR="00530021" w:rsidRPr="0046265F" w:rsidRDefault="00530021" w:rsidP="00530021">
      <w:pPr>
        <w:spacing w:before="120"/>
        <w:ind w:left="540"/>
        <w:rPr>
          <w:rFonts w:ascii="Calibri" w:hAnsi="Calibri" w:cs="Calibri"/>
          <w:sz w:val="24"/>
          <w:szCs w:val="24"/>
        </w:rPr>
      </w:pPr>
      <w:r w:rsidRPr="0046265F">
        <w:rPr>
          <w:rFonts w:ascii="Calibri" w:hAnsi="Calibri" w:cs="Calibri"/>
          <w:b/>
          <w:bCs/>
          <w:sz w:val="24"/>
          <w:szCs w:val="24"/>
        </w:rPr>
        <w:t>(v)</w:t>
      </w:r>
      <w:r w:rsidRPr="0046265F">
        <w:rPr>
          <w:rFonts w:ascii="Calibri" w:hAnsi="Calibri" w:cs="Calibri"/>
          <w:sz w:val="24"/>
          <w:szCs w:val="24"/>
        </w:rPr>
        <w:t> </w:t>
      </w:r>
      <w:hyperlink r:id="rId33" w:history="1">
        <w:r w:rsidRPr="0046265F">
          <w:rPr>
            <w:rStyle w:val="Hyperlink"/>
            <w:rFonts w:ascii="Calibri" w:hAnsi="Calibri" w:cs="Calibri"/>
            <w:sz w:val="24"/>
            <w:szCs w:val="24"/>
          </w:rPr>
          <w:t>SNF</w:t>
        </w:r>
      </w:hyperlink>
      <w:r w:rsidRPr="0046265F">
        <w:rPr>
          <w:rFonts w:ascii="Calibri" w:hAnsi="Calibri" w:cs="Calibri"/>
          <w:sz w:val="24"/>
          <w:szCs w:val="24"/>
        </w:rPr>
        <w:t>'s reason for requesting the exception or extension.</w:t>
      </w:r>
    </w:p>
    <w:p w14:paraId="635B24C6" w14:textId="77777777" w:rsidR="00530021" w:rsidRPr="0046265F" w:rsidRDefault="00530021" w:rsidP="00530021">
      <w:pPr>
        <w:spacing w:before="120"/>
        <w:ind w:left="540"/>
        <w:rPr>
          <w:rFonts w:ascii="Calibri" w:hAnsi="Calibri" w:cs="Calibri"/>
          <w:sz w:val="24"/>
          <w:szCs w:val="24"/>
        </w:rPr>
      </w:pPr>
      <w:r w:rsidRPr="0046265F">
        <w:rPr>
          <w:rFonts w:ascii="Calibri" w:hAnsi="Calibri" w:cs="Calibri"/>
          <w:b/>
          <w:bCs/>
          <w:sz w:val="24"/>
          <w:szCs w:val="24"/>
        </w:rPr>
        <w:t>(vi)</w:t>
      </w:r>
      <w:r w:rsidRPr="0046265F">
        <w:rPr>
          <w:rFonts w:ascii="Calibri" w:hAnsi="Calibri" w:cs="Calibri"/>
          <w:sz w:val="24"/>
          <w:szCs w:val="24"/>
        </w:rPr>
        <w:t> Evidence of the impact of extraordinary circumstances, including, but not limited to, photographs, newspaper, and other media articles.</w:t>
      </w:r>
    </w:p>
    <w:p w14:paraId="3A9EADC6" w14:textId="77777777" w:rsidR="00530021" w:rsidRPr="0046265F" w:rsidRDefault="00530021" w:rsidP="00530021">
      <w:pPr>
        <w:spacing w:before="120"/>
        <w:ind w:left="540"/>
        <w:rPr>
          <w:rFonts w:ascii="Calibri" w:hAnsi="Calibri" w:cs="Calibri"/>
          <w:sz w:val="24"/>
          <w:szCs w:val="24"/>
        </w:rPr>
      </w:pPr>
      <w:r w:rsidRPr="0046265F">
        <w:rPr>
          <w:rFonts w:ascii="Calibri" w:hAnsi="Calibri" w:cs="Calibri"/>
          <w:b/>
          <w:bCs/>
          <w:sz w:val="24"/>
          <w:szCs w:val="24"/>
        </w:rPr>
        <w:t>(vii)</w:t>
      </w:r>
      <w:r w:rsidRPr="0046265F">
        <w:rPr>
          <w:rFonts w:ascii="Calibri" w:hAnsi="Calibri" w:cs="Calibri"/>
          <w:sz w:val="24"/>
          <w:szCs w:val="24"/>
        </w:rPr>
        <w:t> Date when the </w:t>
      </w:r>
      <w:hyperlink r:id="rId34" w:history="1">
        <w:r w:rsidRPr="0046265F">
          <w:rPr>
            <w:rStyle w:val="Hyperlink"/>
            <w:rFonts w:ascii="Calibri" w:hAnsi="Calibri" w:cs="Calibri"/>
            <w:sz w:val="24"/>
            <w:szCs w:val="24"/>
          </w:rPr>
          <w:t>SNF</w:t>
        </w:r>
      </w:hyperlink>
      <w:r w:rsidRPr="0046265F">
        <w:rPr>
          <w:rFonts w:ascii="Calibri" w:hAnsi="Calibri" w:cs="Calibri"/>
          <w:sz w:val="24"/>
          <w:szCs w:val="24"/>
        </w:rPr>
        <w:t> believes it will be able to again submit </w:t>
      </w:r>
      <w:hyperlink r:id="rId35" w:history="1">
        <w:r w:rsidRPr="0046265F">
          <w:rPr>
            <w:rStyle w:val="Hyperlink"/>
            <w:rFonts w:ascii="Calibri" w:hAnsi="Calibri" w:cs="Calibri"/>
            <w:sz w:val="24"/>
            <w:szCs w:val="24"/>
          </w:rPr>
          <w:t>SNF</w:t>
        </w:r>
      </w:hyperlink>
      <w:r w:rsidRPr="0046265F">
        <w:rPr>
          <w:rFonts w:ascii="Calibri" w:hAnsi="Calibri" w:cs="Calibri"/>
          <w:sz w:val="24"/>
          <w:szCs w:val="24"/>
        </w:rPr>
        <w:t> QRP data and a justification for the proposed date.</w:t>
      </w:r>
    </w:p>
    <w:p w14:paraId="747D69B5" w14:textId="77777777" w:rsidR="00530021" w:rsidRPr="0046265F" w:rsidRDefault="00530021" w:rsidP="00530021">
      <w:pPr>
        <w:spacing w:before="120"/>
        <w:ind w:left="360"/>
        <w:rPr>
          <w:rFonts w:ascii="Calibri" w:hAnsi="Calibri" w:cs="Calibri"/>
          <w:sz w:val="24"/>
          <w:szCs w:val="24"/>
        </w:rPr>
      </w:pPr>
      <w:r w:rsidRPr="0046265F">
        <w:rPr>
          <w:rFonts w:ascii="Calibri" w:hAnsi="Calibri" w:cs="Calibri"/>
          <w:b/>
          <w:bCs/>
          <w:sz w:val="24"/>
          <w:szCs w:val="24"/>
        </w:rPr>
        <w:t>(3)</w:t>
      </w:r>
      <w:r w:rsidRPr="0046265F">
        <w:rPr>
          <w:rFonts w:ascii="Calibri" w:hAnsi="Calibri" w:cs="Calibri"/>
          <w:sz w:val="24"/>
          <w:szCs w:val="24"/>
        </w:rPr>
        <w:t> Except as provided in </w:t>
      </w:r>
      <w:hyperlink r:id="rId36" w:anchor="c_4" w:history="1">
        <w:r w:rsidRPr="0046265F">
          <w:rPr>
            <w:rStyle w:val="Hyperlink"/>
            <w:rFonts w:ascii="Calibri" w:hAnsi="Calibri" w:cs="Calibri"/>
            <w:sz w:val="24"/>
            <w:szCs w:val="24"/>
          </w:rPr>
          <w:t>paragraph (c)(4)</w:t>
        </w:r>
      </w:hyperlink>
      <w:r w:rsidRPr="0046265F">
        <w:rPr>
          <w:rFonts w:ascii="Calibri" w:hAnsi="Calibri" w:cs="Calibri"/>
          <w:sz w:val="24"/>
          <w:szCs w:val="24"/>
        </w:rPr>
        <w:t> of this section, </w:t>
      </w:r>
      <w:hyperlink r:id="rId37" w:history="1">
        <w:r w:rsidRPr="0046265F">
          <w:rPr>
            <w:rStyle w:val="Hyperlink"/>
            <w:rFonts w:ascii="Calibri" w:hAnsi="Calibri" w:cs="Calibri"/>
            <w:sz w:val="24"/>
            <w:szCs w:val="24"/>
          </w:rPr>
          <w:t>CMS</w:t>
        </w:r>
      </w:hyperlink>
      <w:r w:rsidRPr="0046265F">
        <w:rPr>
          <w:rFonts w:ascii="Calibri" w:hAnsi="Calibri" w:cs="Calibri"/>
          <w:sz w:val="24"/>
          <w:szCs w:val="24"/>
        </w:rPr>
        <w:t> will not consider an exception or extension request unless the </w:t>
      </w:r>
      <w:hyperlink r:id="rId38" w:history="1">
        <w:r w:rsidRPr="0046265F">
          <w:rPr>
            <w:rStyle w:val="Hyperlink"/>
            <w:rFonts w:ascii="Calibri" w:hAnsi="Calibri" w:cs="Calibri"/>
            <w:sz w:val="24"/>
            <w:szCs w:val="24"/>
          </w:rPr>
          <w:t>SNF</w:t>
        </w:r>
      </w:hyperlink>
      <w:r w:rsidRPr="0046265F">
        <w:rPr>
          <w:rFonts w:ascii="Calibri" w:hAnsi="Calibri" w:cs="Calibri"/>
          <w:sz w:val="24"/>
          <w:szCs w:val="24"/>
        </w:rPr>
        <w:t> requesting such exception or extension has complied fully with the </w:t>
      </w:r>
      <w:hyperlink r:id="rId39" w:history="1">
        <w:r w:rsidRPr="0046265F">
          <w:rPr>
            <w:rStyle w:val="Hyperlink"/>
            <w:rFonts w:ascii="Calibri" w:hAnsi="Calibri" w:cs="Calibri"/>
            <w:sz w:val="24"/>
            <w:szCs w:val="24"/>
          </w:rPr>
          <w:t>requirements</w:t>
        </w:r>
      </w:hyperlink>
      <w:r w:rsidRPr="0046265F">
        <w:rPr>
          <w:rFonts w:ascii="Calibri" w:hAnsi="Calibri" w:cs="Calibri"/>
          <w:sz w:val="24"/>
          <w:szCs w:val="24"/>
        </w:rPr>
        <w:t> in this paragraph (c).</w:t>
      </w:r>
    </w:p>
    <w:p w14:paraId="0A4D2A5C" w14:textId="77777777" w:rsidR="00530021" w:rsidRPr="0046265F" w:rsidRDefault="00530021" w:rsidP="00530021">
      <w:pPr>
        <w:spacing w:before="120"/>
        <w:ind w:left="360"/>
        <w:rPr>
          <w:rFonts w:ascii="Calibri" w:hAnsi="Calibri" w:cs="Calibri"/>
          <w:sz w:val="24"/>
          <w:szCs w:val="24"/>
        </w:rPr>
      </w:pPr>
      <w:r w:rsidRPr="0046265F">
        <w:rPr>
          <w:rFonts w:ascii="Calibri" w:hAnsi="Calibri" w:cs="Calibri"/>
          <w:b/>
          <w:bCs/>
          <w:sz w:val="24"/>
          <w:szCs w:val="24"/>
        </w:rPr>
        <w:t>(4)</w:t>
      </w:r>
      <w:r w:rsidRPr="0046265F">
        <w:rPr>
          <w:rFonts w:ascii="Calibri" w:hAnsi="Calibri" w:cs="Calibri"/>
          <w:sz w:val="24"/>
          <w:szCs w:val="24"/>
        </w:rPr>
        <w:t> </w:t>
      </w:r>
      <w:hyperlink r:id="rId40" w:history="1">
        <w:r w:rsidRPr="0046265F">
          <w:rPr>
            <w:rStyle w:val="Hyperlink"/>
            <w:rFonts w:ascii="Calibri" w:hAnsi="Calibri" w:cs="Calibri"/>
            <w:sz w:val="24"/>
            <w:szCs w:val="24"/>
          </w:rPr>
          <w:t>CMS</w:t>
        </w:r>
      </w:hyperlink>
      <w:r w:rsidRPr="0046265F">
        <w:rPr>
          <w:rFonts w:ascii="Calibri" w:hAnsi="Calibri" w:cs="Calibri"/>
          <w:sz w:val="24"/>
          <w:szCs w:val="24"/>
        </w:rPr>
        <w:t> may grant </w:t>
      </w:r>
      <w:hyperlink r:id="rId41" w:history="1">
        <w:r w:rsidRPr="0046265F">
          <w:rPr>
            <w:rStyle w:val="Hyperlink"/>
            <w:rFonts w:ascii="Calibri" w:hAnsi="Calibri" w:cs="Calibri"/>
            <w:sz w:val="24"/>
            <w:szCs w:val="24"/>
          </w:rPr>
          <w:t>exceptions</w:t>
        </w:r>
      </w:hyperlink>
      <w:r w:rsidRPr="0046265F">
        <w:rPr>
          <w:rFonts w:ascii="Calibri" w:hAnsi="Calibri" w:cs="Calibri"/>
          <w:sz w:val="24"/>
          <w:szCs w:val="24"/>
        </w:rPr>
        <w:t> or extensions to </w:t>
      </w:r>
      <w:hyperlink r:id="rId42" w:history="1">
        <w:r w:rsidRPr="0046265F">
          <w:rPr>
            <w:rStyle w:val="Hyperlink"/>
            <w:rFonts w:ascii="Calibri" w:hAnsi="Calibri" w:cs="Calibri"/>
            <w:sz w:val="24"/>
            <w:szCs w:val="24"/>
          </w:rPr>
          <w:t>SNFs</w:t>
        </w:r>
      </w:hyperlink>
      <w:r w:rsidRPr="0046265F">
        <w:rPr>
          <w:rFonts w:ascii="Calibri" w:hAnsi="Calibri" w:cs="Calibri"/>
          <w:sz w:val="24"/>
          <w:szCs w:val="24"/>
        </w:rPr>
        <w:t> without a request if it determines that one or more of the following has occurred:</w:t>
      </w:r>
    </w:p>
    <w:p w14:paraId="4D5ECA96" w14:textId="77777777" w:rsidR="00530021" w:rsidRPr="0046265F" w:rsidRDefault="00530021" w:rsidP="00530021">
      <w:pPr>
        <w:spacing w:before="120"/>
        <w:ind w:left="540"/>
        <w:rPr>
          <w:rFonts w:ascii="Calibri" w:hAnsi="Calibri" w:cs="Calibri"/>
          <w:sz w:val="24"/>
          <w:szCs w:val="24"/>
        </w:rPr>
      </w:pPr>
      <w:r w:rsidRPr="0046265F">
        <w:rPr>
          <w:rFonts w:ascii="Calibri" w:hAnsi="Calibri" w:cs="Calibri"/>
          <w:b/>
          <w:bCs/>
          <w:sz w:val="24"/>
          <w:szCs w:val="24"/>
        </w:rPr>
        <w:t>(</w:t>
      </w:r>
      <w:proofErr w:type="spellStart"/>
      <w:r w:rsidRPr="0046265F">
        <w:rPr>
          <w:rFonts w:ascii="Calibri" w:hAnsi="Calibri" w:cs="Calibri"/>
          <w:b/>
          <w:bCs/>
          <w:sz w:val="24"/>
          <w:szCs w:val="24"/>
        </w:rPr>
        <w:t>i</w:t>
      </w:r>
      <w:proofErr w:type="spellEnd"/>
      <w:r w:rsidRPr="0046265F">
        <w:rPr>
          <w:rFonts w:ascii="Calibri" w:hAnsi="Calibri" w:cs="Calibri"/>
          <w:b/>
          <w:bCs/>
          <w:sz w:val="24"/>
          <w:szCs w:val="24"/>
        </w:rPr>
        <w:t>)</w:t>
      </w:r>
      <w:r w:rsidRPr="0046265F">
        <w:rPr>
          <w:rFonts w:ascii="Calibri" w:hAnsi="Calibri" w:cs="Calibri"/>
          <w:sz w:val="24"/>
          <w:szCs w:val="24"/>
        </w:rPr>
        <w:t> An extraordinary circumstance affects an entire region or locale.</w:t>
      </w:r>
    </w:p>
    <w:p w14:paraId="488EBB0D" w14:textId="77777777" w:rsidR="00530021" w:rsidRPr="0046265F" w:rsidRDefault="00530021" w:rsidP="00530021">
      <w:pPr>
        <w:spacing w:before="120"/>
        <w:ind w:left="540"/>
        <w:rPr>
          <w:rFonts w:ascii="Calibri" w:hAnsi="Calibri" w:cs="Calibri"/>
          <w:sz w:val="24"/>
          <w:szCs w:val="24"/>
        </w:rPr>
      </w:pPr>
      <w:r w:rsidRPr="0046265F">
        <w:rPr>
          <w:rFonts w:ascii="Calibri" w:hAnsi="Calibri" w:cs="Calibri"/>
          <w:b/>
          <w:bCs/>
          <w:sz w:val="24"/>
          <w:szCs w:val="24"/>
        </w:rPr>
        <w:t>(ii)</w:t>
      </w:r>
      <w:r w:rsidRPr="0046265F">
        <w:rPr>
          <w:rFonts w:ascii="Calibri" w:hAnsi="Calibri" w:cs="Calibri"/>
          <w:sz w:val="24"/>
          <w:szCs w:val="24"/>
        </w:rPr>
        <w:t> A systemic problem with one of </w:t>
      </w:r>
      <w:hyperlink r:id="rId43" w:history="1">
        <w:r w:rsidRPr="0046265F">
          <w:rPr>
            <w:rStyle w:val="Hyperlink"/>
            <w:rFonts w:ascii="Calibri" w:hAnsi="Calibri" w:cs="Calibri"/>
            <w:sz w:val="24"/>
            <w:szCs w:val="24"/>
          </w:rPr>
          <w:t>CMS</w:t>
        </w:r>
      </w:hyperlink>
      <w:r w:rsidRPr="0046265F">
        <w:rPr>
          <w:rFonts w:ascii="Calibri" w:hAnsi="Calibri" w:cs="Calibri"/>
          <w:sz w:val="24"/>
          <w:szCs w:val="24"/>
        </w:rPr>
        <w:t>'s data collection systems directly affected the ability of a </w:t>
      </w:r>
      <w:hyperlink r:id="rId44" w:history="1">
        <w:r w:rsidRPr="0046265F">
          <w:rPr>
            <w:rStyle w:val="Hyperlink"/>
            <w:rFonts w:ascii="Calibri" w:hAnsi="Calibri" w:cs="Calibri"/>
            <w:sz w:val="24"/>
            <w:szCs w:val="24"/>
          </w:rPr>
          <w:t>SNF</w:t>
        </w:r>
      </w:hyperlink>
      <w:r w:rsidRPr="0046265F">
        <w:rPr>
          <w:rFonts w:ascii="Calibri" w:hAnsi="Calibri" w:cs="Calibri"/>
          <w:sz w:val="24"/>
          <w:szCs w:val="24"/>
        </w:rPr>
        <w:t> to submit data in accordance with </w:t>
      </w:r>
      <w:hyperlink r:id="rId45" w:anchor="b" w:history="1">
        <w:r w:rsidRPr="0046265F">
          <w:rPr>
            <w:rStyle w:val="Hyperlink"/>
            <w:rFonts w:ascii="Calibri" w:hAnsi="Calibri" w:cs="Calibri"/>
            <w:sz w:val="24"/>
            <w:szCs w:val="24"/>
          </w:rPr>
          <w:t>paragraph (b)</w:t>
        </w:r>
      </w:hyperlink>
      <w:r w:rsidRPr="0046265F">
        <w:rPr>
          <w:rFonts w:ascii="Calibri" w:hAnsi="Calibri" w:cs="Calibri"/>
          <w:sz w:val="24"/>
          <w:szCs w:val="24"/>
        </w:rPr>
        <w:t> of this section.</w:t>
      </w:r>
    </w:p>
    <w:p w14:paraId="26AAC468" w14:textId="77777777" w:rsidR="00530021" w:rsidRDefault="00530021" w:rsidP="00530021">
      <w:pPr>
        <w:spacing w:before="120" w:line="360" w:lineRule="auto"/>
        <w:rPr>
          <w:rFonts w:ascii="Calibri" w:hAnsi="Calibri" w:cs="Calibri"/>
          <w:sz w:val="24"/>
          <w:szCs w:val="24"/>
        </w:rPr>
      </w:pPr>
      <w:r>
        <w:rPr>
          <w:rFonts w:ascii="Calibri" w:hAnsi="Calibri" w:cs="Calibri"/>
          <w:sz w:val="24"/>
          <w:szCs w:val="24"/>
        </w:rPr>
        <w:t>The regulation goes on to discuss reconsideration, appeals, and data completion thresholds.</w:t>
      </w:r>
    </w:p>
    <w:p w14:paraId="003D85BA" w14:textId="77777777" w:rsidR="00530021" w:rsidRDefault="00530021" w:rsidP="00530021">
      <w:pPr>
        <w:spacing w:before="120" w:line="360" w:lineRule="auto"/>
        <w:rPr>
          <w:rFonts w:ascii="Calibri" w:hAnsi="Calibri" w:cs="Calibri"/>
          <w:sz w:val="24"/>
          <w:szCs w:val="24"/>
        </w:rPr>
      </w:pPr>
      <w:r>
        <w:rPr>
          <w:rFonts w:ascii="Calibri" w:hAnsi="Calibri" w:cs="Calibri"/>
          <w:sz w:val="24"/>
          <w:szCs w:val="24"/>
        </w:rPr>
        <w:t>Critical to this issue and the instant case was an extraordinary circumstance. On January 31, 2020, Alex M. Azar II, Secretary of Health and Human Services, pursuant to the authority vested to him under Section 319 of the Public Health Service Act, determined the existence of a public health emergency related to the Novel Coronavirus</w:t>
      </w:r>
      <w:r w:rsidR="007D1CCA">
        <w:rPr>
          <w:rStyle w:val="FootnoteReference"/>
          <w:rFonts w:ascii="Calibri" w:hAnsi="Calibri" w:cs="Calibri"/>
          <w:sz w:val="24"/>
          <w:szCs w:val="24"/>
        </w:rPr>
        <w:footnoteReference w:id="1"/>
      </w:r>
      <w:r>
        <w:rPr>
          <w:rFonts w:ascii="Calibri" w:hAnsi="Calibri" w:cs="Calibri"/>
          <w:sz w:val="24"/>
          <w:szCs w:val="24"/>
        </w:rPr>
        <w:t xml:space="preserve">. In consideration of the public health emergency, CMS announced relief in Medicare quality reporting so that health care providers could direct their resources toward patient care, while ensuring health and safety of patients and staff in view of Covid-19. CMS notified </w:t>
      </w:r>
      <w:r>
        <w:rPr>
          <w:rFonts w:ascii="Calibri" w:hAnsi="Calibri" w:cs="Calibri"/>
          <w:sz w:val="24"/>
          <w:szCs w:val="24"/>
        </w:rPr>
        <w:lastRenderedPageBreak/>
        <w:t>the public via press release on March 22, 2020</w:t>
      </w:r>
      <w:r w:rsidR="007D1CCA">
        <w:rPr>
          <w:rStyle w:val="FootnoteReference"/>
          <w:rFonts w:ascii="Calibri" w:hAnsi="Calibri" w:cs="Calibri"/>
          <w:sz w:val="24"/>
          <w:szCs w:val="24"/>
        </w:rPr>
        <w:footnoteReference w:id="2"/>
      </w:r>
      <w:r>
        <w:rPr>
          <w:rFonts w:ascii="Calibri" w:hAnsi="Calibri" w:cs="Calibri"/>
          <w:sz w:val="24"/>
          <w:szCs w:val="24"/>
        </w:rPr>
        <w:t>. On March 27, 2020, CMS issues a memorandum to the provider community, supplementing the March 22 press release, notifying that CMS was granting exceptions for Medicare quality reporting for various service types, including SNFs</w:t>
      </w:r>
      <w:r w:rsidR="00F13950">
        <w:rPr>
          <w:rStyle w:val="FootnoteReference"/>
          <w:rFonts w:ascii="Calibri" w:hAnsi="Calibri" w:cs="Calibri"/>
          <w:sz w:val="24"/>
          <w:szCs w:val="24"/>
        </w:rPr>
        <w:footnoteReference w:id="3"/>
      </w:r>
      <w:r>
        <w:rPr>
          <w:rFonts w:ascii="Calibri" w:hAnsi="Calibri" w:cs="Calibri"/>
          <w:sz w:val="24"/>
          <w:szCs w:val="24"/>
        </w:rPr>
        <w:t xml:space="preserve">. The memorandum reiterated the need to grant exceptions in quality reporting so that health care providers could focus on safety in view of Covid-19. CMS also notified that data collected may be greatly impacted by the response to Covid-19 and therefore, should not be in the quality reporting program. Specifically, within the memorandum, pursuant to 42 C.F.R. §413.360(c), CMS granted exception to SNF quality reporting for Q4 2019 (10/1-12/31), Q1 2020 (1/1-3/31), and Q2 2020 (4/1-6/30).  </w:t>
      </w:r>
    </w:p>
    <w:p w14:paraId="533FF009" w14:textId="77777777" w:rsidR="00530021" w:rsidRPr="00A92E74" w:rsidRDefault="00530021" w:rsidP="00530021">
      <w:pPr>
        <w:spacing w:before="120" w:line="360" w:lineRule="auto"/>
        <w:rPr>
          <w:rFonts w:ascii="Calibri" w:hAnsi="Calibri" w:cs="Calibri"/>
          <w:sz w:val="24"/>
          <w:szCs w:val="24"/>
        </w:rPr>
      </w:pPr>
      <w:r w:rsidRPr="00A92E74">
        <w:rPr>
          <w:rFonts w:ascii="Calibri" w:hAnsi="Calibri" w:cs="Calibri"/>
          <w:sz w:val="24"/>
          <w:szCs w:val="24"/>
        </w:rPr>
        <w:t xml:space="preserve">The provider is challenging the </w:t>
      </w:r>
      <w:proofErr w:type="gramStart"/>
      <w:r w:rsidRPr="00A92E74">
        <w:rPr>
          <w:rFonts w:ascii="Calibri" w:hAnsi="Calibri" w:cs="Calibri"/>
          <w:sz w:val="24"/>
          <w:szCs w:val="24"/>
        </w:rPr>
        <w:t>CMS</w:t>
      </w:r>
      <w:proofErr w:type="gramEnd"/>
      <w:r w:rsidRPr="00A92E74">
        <w:rPr>
          <w:rFonts w:ascii="Calibri" w:hAnsi="Calibri" w:cs="Calibri"/>
          <w:sz w:val="24"/>
          <w:szCs w:val="24"/>
        </w:rPr>
        <w:t xml:space="preserve"> finding that the hospital failed to </w:t>
      </w:r>
      <w:r>
        <w:rPr>
          <w:rFonts w:ascii="Calibri" w:hAnsi="Calibri" w:cs="Calibri"/>
          <w:sz w:val="24"/>
          <w:szCs w:val="24"/>
        </w:rPr>
        <w:t>achieve an 80% threshold on the MDS reporting requirement for CY 2020 (July 1, 2020 – December 31, 2020).</w:t>
      </w:r>
      <w:r w:rsidRPr="00A92E74">
        <w:rPr>
          <w:rFonts w:ascii="Calibri" w:hAnsi="Calibri" w:cs="Calibri"/>
          <w:sz w:val="24"/>
          <w:szCs w:val="24"/>
        </w:rPr>
        <w:t xml:space="preserve"> On September </w:t>
      </w:r>
      <w:r>
        <w:rPr>
          <w:rFonts w:ascii="Calibri" w:hAnsi="Calibri" w:cs="Calibri"/>
          <w:sz w:val="24"/>
          <w:szCs w:val="24"/>
        </w:rPr>
        <w:t>2</w:t>
      </w:r>
      <w:r w:rsidRPr="00A92E74">
        <w:rPr>
          <w:rFonts w:ascii="Calibri" w:hAnsi="Calibri" w:cs="Calibri"/>
          <w:sz w:val="24"/>
          <w:szCs w:val="24"/>
        </w:rPr>
        <w:t>1, 20</w:t>
      </w:r>
      <w:r>
        <w:rPr>
          <w:rFonts w:ascii="Calibri" w:hAnsi="Calibri" w:cs="Calibri"/>
          <w:sz w:val="24"/>
          <w:szCs w:val="24"/>
        </w:rPr>
        <w:t>21</w:t>
      </w:r>
      <w:r w:rsidRPr="00A92E74">
        <w:rPr>
          <w:rFonts w:ascii="Calibri" w:hAnsi="Calibri" w:cs="Calibri"/>
          <w:sz w:val="24"/>
          <w:szCs w:val="24"/>
        </w:rPr>
        <w:t xml:space="preserve">, CMS acknowledged the provider’s request for reconsideration and notified the provider it was upholding its decision to reduce the </w:t>
      </w:r>
      <w:r>
        <w:rPr>
          <w:rFonts w:ascii="Calibri" w:hAnsi="Calibri" w:cs="Calibri"/>
          <w:sz w:val="24"/>
          <w:szCs w:val="24"/>
        </w:rPr>
        <w:t>SN</w:t>
      </w:r>
      <w:r w:rsidRPr="00A92E74">
        <w:rPr>
          <w:rFonts w:ascii="Calibri" w:hAnsi="Calibri" w:cs="Calibri"/>
          <w:sz w:val="24"/>
          <w:szCs w:val="24"/>
        </w:rPr>
        <w:t xml:space="preserve">F’s </w:t>
      </w:r>
      <w:r>
        <w:rPr>
          <w:rFonts w:ascii="Calibri" w:hAnsi="Calibri" w:cs="Calibri"/>
          <w:sz w:val="24"/>
          <w:szCs w:val="24"/>
        </w:rPr>
        <w:t>AP</w:t>
      </w:r>
      <w:r w:rsidRPr="00A92E74">
        <w:rPr>
          <w:rFonts w:ascii="Calibri" w:hAnsi="Calibri" w:cs="Calibri"/>
          <w:sz w:val="24"/>
          <w:szCs w:val="24"/>
        </w:rPr>
        <w:t>U due to the provider’s failure</w:t>
      </w:r>
      <w:r>
        <w:rPr>
          <w:rFonts w:ascii="Calibri" w:hAnsi="Calibri" w:cs="Calibri"/>
          <w:sz w:val="24"/>
          <w:szCs w:val="24"/>
        </w:rPr>
        <w:t>.</w:t>
      </w:r>
      <w:r w:rsidRPr="00A92E74">
        <w:rPr>
          <w:rFonts w:ascii="Calibri" w:hAnsi="Calibri" w:cs="Calibri"/>
          <w:sz w:val="24"/>
          <w:szCs w:val="24"/>
        </w:rPr>
        <w:t xml:space="preserve"> On </w:t>
      </w:r>
      <w:r>
        <w:rPr>
          <w:rFonts w:ascii="Calibri" w:hAnsi="Calibri" w:cs="Calibri"/>
          <w:sz w:val="24"/>
          <w:szCs w:val="24"/>
        </w:rPr>
        <w:t>March 1</w:t>
      </w:r>
      <w:r w:rsidR="00C97E45">
        <w:rPr>
          <w:rFonts w:ascii="Calibri" w:hAnsi="Calibri" w:cs="Calibri"/>
          <w:sz w:val="24"/>
          <w:szCs w:val="24"/>
        </w:rPr>
        <w:t>5</w:t>
      </w:r>
      <w:r>
        <w:rPr>
          <w:rFonts w:ascii="Calibri" w:hAnsi="Calibri" w:cs="Calibri"/>
          <w:sz w:val="24"/>
          <w:szCs w:val="24"/>
        </w:rPr>
        <w:t>, 2022</w:t>
      </w:r>
      <w:r w:rsidRPr="00A92E74">
        <w:rPr>
          <w:rFonts w:ascii="Calibri" w:hAnsi="Calibri" w:cs="Calibri"/>
          <w:sz w:val="24"/>
          <w:szCs w:val="24"/>
        </w:rPr>
        <w:t>, the provider filed the instant appeal.</w:t>
      </w:r>
    </w:p>
    <w:p w14:paraId="56E85D57" w14:textId="77777777" w:rsidR="00530021" w:rsidRDefault="00530021" w:rsidP="00530021">
      <w:pPr>
        <w:spacing w:before="120" w:line="360" w:lineRule="auto"/>
        <w:rPr>
          <w:rFonts w:ascii="Calibri" w:hAnsi="Calibri" w:cs="Calibri"/>
          <w:sz w:val="24"/>
          <w:szCs w:val="24"/>
          <w:lang w:val="en"/>
        </w:rPr>
      </w:pPr>
      <w:r w:rsidRPr="00A92E74">
        <w:rPr>
          <w:rFonts w:ascii="Calibri" w:hAnsi="Calibri" w:cs="Calibri"/>
          <w:sz w:val="24"/>
          <w:szCs w:val="24"/>
        </w:rPr>
        <w:t>The provider submits data through the National Healthcare Safety Network (HNSN)</w:t>
      </w:r>
      <w:r w:rsidRPr="00A92E74">
        <w:rPr>
          <w:rStyle w:val="FootnoteReference"/>
          <w:rFonts w:ascii="Calibri" w:hAnsi="Calibri" w:cs="Calibri"/>
          <w:sz w:val="24"/>
          <w:szCs w:val="24"/>
        </w:rPr>
        <w:footnoteReference w:id="4"/>
      </w:r>
      <w:r w:rsidRPr="00A92E74">
        <w:rPr>
          <w:rFonts w:ascii="Calibri" w:hAnsi="Calibri" w:cs="Calibri"/>
          <w:sz w:val="24"/>
          <w:szCs w:val="24"/>
        </w:rPr>
        <w:t xml:space="preserve">. </w:t>
      </w:r>
      <w:r w:rsidRPr="00A92E74">
        <w:rPr>
          <w:rFonts w:ascii="Calibri" w:hAnsi="Calibri" w:cs="Calibri"/>
          <w:sz w:val="24"/>
          <w:szCs w:val="24"/>
          <w:lang w:val="en"/>
        </w:rPr>
        <w:t>NHSN is the conduit for facilities to comply with Centers for Medicare and Medicaid Services quality reporting requirements. The NHSN allows providers, such as the provider in the instant appeal, to verify its data submissions in real time. This also allows hospitals to analyze its progress related to measures in real time.</w:t>
      </w:r>
    </w:p>
    <w:p w14:paraId="2B51B331" w14:textId="77777777" w:rsidR="004F0AEE" w:rsidRPr="00A92E74" w:rsidRDefault="004F0AEE" w:rsidP="00530021">
      <w:pPr>
        <w:spacing w:before="120" w:line="360" w:lineRule="auto"/>
        <w:rPr>
          <w:rFonts w:ascii="Calibri" w:hAnsi="Calibri" w:cs="Calibri"/>
          <w:sz w:val="24"/>
          <w:szCs w:val="24"/>
          <w:lang w:val="en"/>
        </w:rPr>
      </w:pPr>
      <w:r>
        <w:rPr>
          <w:rFonts w:ascii="Calibri" w:hAnsi="Calibri" w:cs="Calibri"/>
          <w:sz w:val="24"/>
          <w:szCs w:val="24"/>
          <w:lang w:val="en"/>
        </w:rPr>
        <w:t xml:space="preserve">The providers are challenging the CMS finding that they did not achieve an 80% threshold on the Minimum Data Set (MDS) reporting requirement for CY 2020 (July 1, </w:t>
      </w:r>
      <w:r>
        <w:rPr>
          <w:rFonts w:ascii="Calibri" w:hAnsi="Calibri" w:cs="Calibri"/>
          <w:sz w:val="24"/>
          <w:szCs w:val="24"/>
          <w:lang w:val="en"/>
        </w:rPr>
        <w:lastRenderedPageBreak/>
        <w:t xml:space="preserve">2020-December 31, 2020). </w:t>
      </w:r>
      <w:r w:rsidR="001814A3">
        <w:rPr>
          <w:rFonts w:ascii="Calibri" w:hAnsi="Calibri" w:cs="Calibri"/>
          <w:sz w:val="24"/>
          <w:szCs w:val="24"/>
          <w:lang w:val="en"/>
        </w:rPr>
        <w:t xml:space="preserve">Providers requested reconsideration of the CMS decision on July 19, 2021. </w:t>
      </w:r>
      <w:r>
        <w:rPr>
          <w:rFonts w:ascii="Calibri" w:hAnsi="Calibri" w:cs="Calibri"/>
          <w:sz w:val="24"/>
          <w:szCs w:val="24"/>
          <w:lang w:val="en"/>
        </w:rPr>
        <w:t xml:space="preserve">CMS notified the providers </w:t>
      </w:r>
      <w:r w:rsidR="001814A3">
        <w:rPr>
          <w:rFonts w:ascii="Calibri" w:hAnsi="Calibri" w:cs="Calibri"/>
          <w:sz w:val="24"/>
          <w:szCs w:val="24"/>
          <w:lang w:val="en"/>
        </w:rPr>
        <w:t xml:space="preserve">on September 21, </w:t>
      </w:r>
      <w:proofErr w:type="gramStart"/>
      <w:r w:rsidR="001814A3">
        <w:rPr>
          <w:rFonts w:ascii="Calibri" w:hAnsi="Calibri" w:cs="Calibri"/>
          <w:sz w:val="24"/>
          <w:szCs w:val="24"/>
          <w:lang w:val="en"/>
        </w:rPr>
        <w:t>2021</w:t>
      </w:r>
      <w:proofErr w:type="gramEnd"/>
      <w:r w:rsidR="001814A3">
        <w:rPr>
          <w:rFonts w:ascii="Calibri" w:hAnsi="Calibri" w:cs="Calibri"/>
          <w:sz w:val="24"/>
          <w:szCs w:val="24"/>
          <w:lang w:val="en"/>
        </w:rPr>
        <w:t xml:space="preserve"> that they </w:t>
      </w:r>
      <w:r w:rsidR="00F22F33">
        <w:rPr>
          <w:rFonts w:ascii="Calibri" w:hAnsi="Calibri" w:cs="Calibri"/>
          <w:sz w:val="24"/>
          <w:szCs w:val="24"/>
          <w:lang w:val="en"/>
        </w:rPr>
        <w:t xml:space="preserve">are upholding their decision that the providers will be subject to reduced FY 2022 APU.  </w:t>
      </w:r>
    </w:p>
    <w:p w14:paraId="78541772" w14:textId="77777777" w:rsidR="001878E9" w:rsidRDefault="001878E9" w:rsidP="00B04B9E">
      <w:pPr>
        <w:pStyle w:val="BodyText"/>
        <w:spacing w:line="240" w:lineRule="auto"/>
        <w:rPr>
          <w:color w:val="FF0000"/>
          <w:szCs w:val="24"/>
        </w:rPr>
      </w:pPr>
    </w:p>
    <w:p w14:paraId="4D14568A" w14:textId="77777777" w:rsidR="002B63F8" w:rsidRPr="00D44C6A" w:rsidRDefault="002B63F8" w:rsidP="00B04B9E">
      <w:pPr>
        <w:pStyle w:val="BodyText"/>
        <w:spacing w:line="240" w:lineRule="auto"/>
        <w:rPr>
          <w:color w:val="FF0000"/>
          <w:szCs w:val="24"/>
        </w:rPr>
      </w:pPr>
    </w:p>
    <w:p w14:paraId="2048DC27" w14:textId="77777777" w:rsidR="00C955BE" w:rsidRPr="00F56985" w:rsidRDefault="001733E1" w:rsidP="001733E1">
      <w:pPr>
        <w:pStyle w:val="Heading2"/>
        <w:numPr>
          <w:ilvl w:val="0"/>
          <w:numId w:val="7"/>
        </w:numPr>
        <w:spacing w:line="480" w:lineRule="auto"/>
        <w:jc w:val="left"/>
        <w:rPr>
          <w:rFonts w:ascii="Arial" w:hAnsi="Arial" w:cs="Arial"/>
          <w:b/>
          <w:szCs w:val="24"/>
        </w:rPr>
      </w:pPr>
      <w:r w:rsidRPr="00D44C6A">
        <w:rPr>
          <w:rFonts w:ascii="Arial" w:hAnsi="Arial" w:cs="Arial"/>
          <w:b/>
          <w:color w:val="FF0000"/>
          <w:szCs w:val="24"/>
        </w:rPr>
        <w:tab/>
      </w:r>
      <w:r w:rsidR="00C955BE" w:rsidRPr="00F56985">
        <w:rPr>
          <w:rFonts w:ascii="Arial" w:hAnsi="Arial" w:cs="Arial"/>
          <w:b/>
          <w:szCs w:val="24"/>
        </w:rPr>
        <w:t>Argument</w:t>
      </w:r>
    </w:p>
    <w:p w14:paraId="26328CDA" w14:textId="77777777" w:rsidR="009D125A" w:rsidRPr="00D44C6A" w:rsidRDefault="009D125A" w:rsidP="00C955BE">
      <w:pPr>
        <w:rPr>
          <w:color w:val="FF0000"/>
        </w:rPr>
      </w:pPr>
    </w:p>
    <w:p w14:paraId="7C524203" w14:textId="77777777" w:rsidR="002B05E2" w:rsidRDefault="002B05E2" w:rsidP="002B05E2">
      <w:pPr>
        <w:spacing w:line="360" w:lineRule="auto"/>
        <w:rPr>
          <w:sz w:val="24"/>
          <w:szCs w:val="24"/>
        </w:rPr>
      </w:pPr>
      <w:r w:rsidRPr="002B05E2">
        <w:rPr>
          <w:sz w:val="24"/>
          <w:szCs w:val="24"/>
        </w:rPr>
        <w:t>CMS provides a good deal of training related to SNF quality reporting. The CMS website includes a dashboard for SNF QRP training that includes:</w:t>
      </w:r>
    </w:p>
    <w:p w14:paraId="7ABB5D7B" w14:textId="77777777" w:rsidR="002B05E2" w:rsidRPr="002B05E2" w:rsidRDefault="002B05E2" w:rsidP="002B05E2">
      <w:pPr>
        <w:spacing w:line="360" w:lineRule="auto"/>
        <w:rPr>
          <w:sz w:val="24"/>
          <w:szCs w:val="24"/>
        </w:rPr>
      </w:pPr>
    </w:p>
    <w:p w14:paraId="00FE2336" w14:textId="77777777" w:rsidR="002B05E2" w:rsidRPr="002B05E2" w:rsidRDefault="002B05E2" w:rsidP="002B05E2">
      <w:pPr>
        <w:numPr>
          <w:ilvl w:val="0"/>
          <w:numId w:val="29"/>
        </w:numPr>
        <w:spacing w:line="360" w:lineRule="auto"/>
        <w:rPr>
          <w:sz w:val="24"/>
          <w:szCs w:val="24"/>
        </w:rPr>
      </w:pPr>
      <w:r w:rsidRPr="002B05E2">
        <w:rPr>
          <w:sz w:val="24"/>
          <w:szCs w:val="24"/>
        </w:rPr>
        <w:t>Training Materials and In-person Training</w:t>
      </w:r>
    </w:p>
    <w:p w14:paraId="309974E8" w14:textId="77777777" w:rsidR="002B05E2" w:rsidRPr="002B05E2" w:rsidRDefault="002B05E2" w:rsidP="002B05E2">
      <w:pPr>
        <w:numPr>
          <w:ilvl w:val="0"/>
          <w:numId w:val="29"/>
        </w:numPr>
        <w:spacing w:line="360" w:lineRule="auto"/>
        <w:rPr>
          <w:sz w:val="24"/>
          <w:szCs w:val="24"/>
        </w:rPr>
      </w:pPr>
      <w:r w:rsidRPr="002B05E2">
        <w:rPr>
          <w:sz w:val="24"/>
          <w:szCs w:val="24"/>
        </w:rPr>
        <w:t>Training Question and Answers (Q&amp;As)</w:t>
      </w:r>
    </w:p>
    <w:p w14:paraId="0A26BB28" w14:textId="77777777" w:rsidR="002B05E2" w:rsidRPr="002B05E2" w:rsidRDefault="002B05E2" w:rsidP="002B05E2">
      <w:pPr>
        <w:numPr>
          <w:ilvl w:val="0"/>
          <w:numId w:val="29"/>
        </w:numPr>
        <w:spacing w:line="360" w:lineRule="auto"/>
        <w:rPr>
          <w:sz w:val="24"/>
          <w:szCs w:val="24"/>
        </w:rPr>
      </w:pPr>
      <w:r w:rsidRPr="002B05E2">
        <w:rPr>
          <w:sz w:val="24"/>
          <w:szCs w:val="24"/>
        </w:rPr>
        <w:t>SNF Open Door Forum (ODF) Presentations</w:t>
      </w:r>
    </w:p>
    <w:p w14:paraId="0AE6A877" w14:textId="77777777" w:rsidR="002B05E2" w:rsidRPr="002B05E2" w:rsidRDefault="002B05E2" w:rsidP="002B05E2">
      <w:pPr>
        <w:numPr>
          <w:ilvl w:val="0"/>
          <w:numId w:val="29"/>
        </w:numPr>
        <w:spacing w:line="360" w:lineRule="auto"/>
        <w:rPr>
          <w:sz w:val="24"/>
          <w:szCs w:val="24"/>
        </w:rPr>
      </w:pPr>
      <w:r w:rsidRPr="002B05E2">
        <w:rPr>
          <w:sz w:val="24"/>
          <w:szCs w:val="24"/>
        </w:rPr>
        <w:t>Special Open Door Forum (SODF) Presentations</w:t>
      </w:r>
    </w:p>
    <w:p w14:paraId="4DD99E88" w14:textId="77777777" w:rsidR="002B05E2" w:rsidRDefault="002B05E2" w:rsidP="002B05E2">
      <w:pPr>
        <w:numPr>
          <w:ilvl w:val="0"/>
          <w:numId w:val="29"/>
        </w:numPr>
        <w:spacing w:line="360" w:lineRule="auto"/>
        <w:rPr>
          <w:sz w:val="24"/>
          <w:szCs w:val="24"/>
        </w:rPr>
      </w:pPr>
      <w:r w:rsidRPr="002B05E2">
        <w:rPr>
          <w:sz w:val="24"/>
          <w:szCs w:val="24"/>
        </w:rPr>
        <w:t>CMS Quality Partner/Vendor Workgroup Presentations </w:t>
      </w:r>
    </w:p>
    <w:p w14:paraId="30A39991" w14:textId="77777777" w:rsidR="002B05E2" w:rsidRPr="002B05E2" w:rsidRDefault="002B05E2" w:rsidP="002B05E2">
      <w:pPr>
        <w:spacing w:line="360" w:lineRule="auto"/>
        <w:ind w:left="720"/>
        <w:rPr>
          <w:sz w:val="24"/>
          <w:szCs w:val="24"/>
        </w:rPr>
      </w:pPr>
    </w:p>
    <w:p w14:paraId="0F471CDB" w14:textId="77777777" w:rsidR="002B05E2" w:rsidRDefault="002B05E2" w:rsidP="002B05E2">
      <w:pPr>
        <w:spacing w:line="360" w:lineRule="auto"/>
        <w:rPr>
          <w:sz w:val="24"/>
          <w:szCs w:val="24"/>
        </w:rPr>
      </w:pPr>
      <w:r w:rsidRPr="002B05E2">
        <w:rPr>
          <w:sz w:val="24"/>
          <w:szCs w:val="24"/>
        </w:rPr>
        <w:t xml:space="preserve">In addition, providers can submit technical questions to the PAC training mailbox or submit content-related questions to the SNF QRP mailbox. Further, CMS sends informational messages to SNFs that are not meeting annual payment update (APU) thresholds on a quarterly basis ahead of the submission deadline. However, to receive informational messages, CMS notifies providers that they must register with </w:t>
      </w:r>
      <w:proofErr w:type="spellStart"/>
      <w:r w:rsidRPr="002B05E2">
        <w:rPr>
          <w:sz w:val="24"/>
          <w:szCs w:val="24"/>
        </w:rPr>
        <w:t>Swingtech</w:t>
      </w:r>
      <w:proofErr w:type="spellEnd"/>
      <w:r w:rsidRPr="002B05E2">
        <w:rPr>
          <w:sz w:val="24"/>
          <w:szCs w:val="24"/>
        </w:rPr>
        <w:t xml:space="preserve"> (CMS subcontractor) by submitting a hospital email, facility name, and CMS certification number (CCN). For whatever reason, the Provider here chose to not register for the informational messages. Prior to the submission deadline for Q3 2020 and Q4 2020, the Provider could have been made aware of failures in quarterly data, allowing opportunity to review and correct data submissions.</w:t>
      </w:r>
    </w:p>
    <w:p w14:paraId="362AB47B" w14:textId="77777777" w:rsidR="002B05E2" w:rsidRPr="002B05E2" w:rsidRDefault="002B05E2" w:rsidP="002B05E2">
      <w:pPr>
        <w:spacing w:line="360" w:lineRule="auto"/>
        <w:rPr>
          <w:sz w:val="24"/>
          <w:szCs w:val="24"/>
        </w:rPr>
      </w:pPr>
    </w:p>
    <w:p w14:paraId="1F5AB1FF" w14:textId="77777777" w:rsidR="002B05E2" w:rsidRDefault="002B05E2" w:rsidP="002B05E2">
      <w:pPr>
        <w:spacing w:line="360" w:lineRule="auto"/>
        <w:rPr>
          <w:sz w:val="24"/>
          <w:szCs w:val="24"/>
        </w:rPr>
      </w:pPr>
      <w:r w:rsidRPr="002B05E2">
        <w:rPr>
          <w:sz w:val="24"/>
          <w:szCs w:val="24"/>
        </w:rPr>
        <w:t xml:space="preserve">SNFs are afforded an opportunity to preview, review, and correct their data before the applicable quarterly data submission deadlines. The correction of any errors must be submitted by the submission deadlines. A Review and Correct Report is available for providers to access in the CMS reporting system, which will assist them in identifying whether there are any issues with the data already collected and submitted before the </w:t>
      </w:r>
      <w:r w:rsidRPr="002B05E2">
        <w:rPr>
          <w:sz w:val="24"/>
          <w:szCs w:val="24"/>
        </w:rPr>
        <w:lastRenderedPageBreak/>
        <w:t xml:space="preserve">applicable quarterly data submission deadlines. SNFs are also afforded the opportunity to request CMS’ review of report data where they believe failures within the report are erroneous. Such requests must be made within certain timeframes. Again, there is no evidence that the Provider previewed, reviewed, or asked for corrections to its data submission. Further, there is no evidence the Provider asked CMS to review its data to dispute errors. </w:t>
      </w:r>
    </w:p>
    <w:p w14:paraId="756B38E8" w14:textId="77777777" w:rsidR="002B05E2" w:rsidRPr="002B05E2" w:rsidRDefault="002B05E2" w:rsidP="002B05E2">
      <w:pPr>
        <w:spacing w:line="360" w:lineRule="auto"/>
        <w:rPr>
          <w:sz w:val="24"/>
          <w:szCs w:val="24"/>
        </w:rPr>
      </w:pPr>
    </w:p>
    <w:p w14:paraId="2D73221B" w14:textId="77777777" w:rsidR="002B05E2" w:rsidRPr="002B05E2" w:rsidRDefault="002B05E2" w:rsidP="002B05E2">
      <w:pPr>
        <w:spacing w:line="360" w:lineRule="auto"/>
        <w:rPr>
          <w:sz w:val="24"/>
          <w:szCs w:val="24"/>
        </w:rPr>
      </w:pPr>
      <w:r w:rsidRPr="002B05E2">
        <w:rPr>
          <w:sz w:val="24"/>
          <w:szCs w:val="24"/>
        </w:rPr>
        <w:t xml:space="preserve">The Provider wishes only to point to calendar-year 2020 data, while the applicable measure was undoubtedly Q3 and Q4 2020. The Provider was made aware of the measure period via public notices in March 2020. The law </w:t>
      </w:r>
      <w:proofErr w:type="gramStart"/>
      <w:r w:rsidRPr="002B05E2">
        <w:rPr>
          <w:sz w:val="24"/>
          <w:szCs w:val="24"/>
        </w:rPr>
        <w:t>informs</w:t>
      </w:r>
      <w:proofErr w:type="gramEnd"/>
      <w:r w:rsidRPr="002B05E2">
        <w:rPr>
          <w:sz w:val="24"/>
          <w:szCs w:val="24"/>
        </w:rPr>
        <w:t xml:space="preserve"> that the measuring periods are as the Secretary deems appropriate. The regulation very clearly informs the assessment data are to be submitted in the form and manner, and at a time, specified by </w:t>
      </w:r>
      <w:hyperlink r:id="rId46" w:history="1">
        <w:r w:rsidRPr="002B05E2">
          <w:rPr>
            <w:rStyle w:val="Hyperlink"/>
            <w:sz w:val="24"/>
            <w:szCs w:val="24"/>
          </w:rPr>
          <w:t>CMS</w:t>
        </w:r>
      </w:hyperlink>
      <w:r w:rsidRPr="002B05E2">
        <w:rPr>
          <w:sz w:val="24"/>
          <w:szCs w:val="24"/>
        </w:rPr>
        <w:t xml:space="preserve">. The regulation also very clearly allows the Secretary to grant exceptions to the reporting requirements for one or more quarters where an extraordinary circumstance affects an entire region or locale. The Secretary </w:t>
      </w:r>
      <w:proofErr w:type="gramStart"/>
      <w:r w:rsidRPr="002B05E2">
        <w:rPr>
          <w:sz w:val="24"/>
          <w:szCs w:val="24"/>
        </w:rPr>
        <w:t>is able to</w:t>
      </w:r>
      <w:proofErr w:type="gramEnd"/>
      <w:r w:rsidRPr="002B05E2">
        <w:rPr>
          <w:sz w:val="24"/>
          <w:szCs w:val="24"/>
        </w:rPr>
        <w:t xml:space="preserve"> grant such </w:t>
      </w:r>
      <w:proofErr w:type="gramStart"/>
      <w:r w:rsidRPr="002B05E2">
        <w:rPr>
          <w:sz w:val="24"/>
          <w:szCs w:val="24"/>
        </w:rPr>
        <w:t>exception</w:t>
      </w:r>
      <w:proofErr w:type="gramEnd"/>
      <w:r w:rsidRPr="002B05E2">
        <w:rPr>
          <w:sz w:val="24"/>
          <w:szCs w:val="24"/>
        </w:rPr>
        <w:t xml:space="preserve"> without a request by a provider. Undoubtedly, the Covid-19 pandemic was (and remains) an extraordinary circumstance affecting the entire country. Secretary Azar’s emergency declaration confirms this fact. CMS acted in accordance with the law and regulation when determining the SNF QRP measure period for 2020.</w:t>
      </w:r>
    </w:p>
    <w:p w14:paraId="34F0292C" w14:textId="77777777" w:rsidR="002B05E2" w:rsidRDefault="002B05E2" w:rsidP="00C773A1">
      <w:pPr>
        <w:spacing w:line="360" w:lineRule="auto"/>
        <w:rPr>
          <w:sz w:val="24"/>
          <w:szCs w:val="24"/>
        </w:rPr>
      </w:pPr>
    </w:p>
    <w:p w14:paraId="7C683BC5" w14:textId="77777777" w:rsidR="0003405B" w:rsidRDefault="00D4115D" w:rsidP="00C773A1">
      <w:pPr>
        <w:spacing w:line="360" w:lineRule="auto"/>
        <w:rPr>
          <w:sz w:val="24"/>
          <w:szCs w:val="24"/>
        </w:rPr>
      </w:pPr>
      <w:r w:rsidRPr="008E105E">
        <w:rPr>
          <w:sz w:val="24"/>
          <w:szCs w:val="24"/>
        </w:rPr>
        <w:t>The CMS</w:t>
      </w:r>
      <w:r w:rsidR="000C6A18" w:rsidRPr="008E105E">
        <w:rPr>
          <w:sz w:val="24"/>
          <w:szCs w:val="24"/>
        </w:rPr>
        <w:t xml:space="preserve"> in their upholding the con-compliance decision</w:t>
      </w:r>
      <w:r w:rsidRPr="008E105E">
        <w:rPr>
          <w:sz w:val="24"/>
          <w:szCs w:val="24"/>
        </w:rPr>
        <w:t xml:space="preserve"> </w:t>
      </w:r>
      <w:r w:rsidR="000C6A18" w:rsidRPr="008E105E">
        <w:rPr>
          <w:sz w:val="24"/>
          <w:szCs w:val="24"/>
        </w:rPr>
        <w:t xml:space="preserve">letter dated </w:t>
      </w:r>
      <w:r w:rsidR="008E105E" w:rsidRPr="008E105E">
        <w:rPr>
          <w:sz w:val="24"/>
          <w:szCs w:val="24"/>
        </w:rPr>
        <w:t>July 15, 2021</w:t>
      </w:r>
      <w:r w:rsidR="00335807" w:rsidRPr="008E105E">
        <w:rPr>
          <w:sz w:val="24"/>
          <w:szCs w:val="24"/>
        </w:rPr>
        <w:t>,</w:t>
      </w:r>
      <w:r w:rsidR="000C6A18" w:rsidRPr="00D44C6A">
        <w:rPr>
          <w:color w:val="FF0000"/>
          <w:sz w:val="24"/>
          <w:szCs w:val="24"/>
        </w:rPr>
        <w:t xml:space="preserve"> </w:t>
      </w:r>
      <w:r w:rsidR="008E105E" w:rsidRPr="008E105E">
        <w:rPr>
          <w:sz w:val="24"/>
          <w:szCs w:val="24"/>
        </w:rPr>
        <w:t>notified the</w:t>
      </w:r>
      <w:r w:rsidR="008E105E">
        <w:rPr>
          <w:color w:val="FF0000"/>
          <w:sz w:val="24"/>
          <w:szCs w:val="24"/>
        </w:rPr>
        <w:t xml:space="preserve"> </w:t>
      </w:r>
      <w:r w:rsidR="008E105E" w:rsidRPr="008E105E">
        <w:rPr>
          <w:sz w:val="24"/>
          <w:szCs w:val="24"/>
        </w:rPr>
        <w:t>providers</w:t>
      </w:r>
      <w:r w:rsidR="008E105E">
        <w:rPr>
          <w:color w:val="FF0000"/>
          <w:sz w:val="24"/>
          <w:szCs w:val="24"/>
        </w:rPr>
        <w:t xml:space="preserve"> </w:t>
      </w:r>
      <w:r w:rsidR="008E105E">
        <w:rPr>
          <w:sz w:val="24"/>
          <w:szCs w:val="24"/>
        </w:rPr>
        <w:t>that they did not meet one or more of the Skilled Nursing Facility (SNF) Quality Reporting Program (QRP) requirements for the Calendar Year (CY) 2020 data submission that impacts Federal Fiscal Year (FY) 2020 Annual Payment Update (APU)</w:t>
      </w:r>
      <w:r w:rsidR="00BE0909">
        <w:rPr>
          <w:sz w:val="24"/>
          <w:szCs w:val="24"/>
        </w:rPr>
        <w:t xml:space="preserve">. Failure to meet the requirements of the SNF QRP will result in a two (2) percentage point reduction in the FY 2022 APU. </w:t>
      </w:r>
      <w:r w:rsidR="0003405B">
        <w:rPr>
          <w:sz w:val="24"/>
          <w:szCs w:val="24"/>
        </w:rPr>
        <w:t xml:space="preserve">CMS noted that due to impacts of COVID-19 during Q1 and Q2, the APU payment impact for FY 2022 is based upon data collected in Q3 and Q4 of calendar year 2020 only. </w:t>
      </w:r>
    </w:p>
    <w:p w14:paraId="45C9FD03" w14:textId="77777777" w:rsidR="0003405B" w:rsidRDefault="0003405B" w:rsidP="00C955BE">
      <w:pPr>
        <w:rPr>
          <w:sz w:val="24"/>
          <w:szCs w:val="24"/>
        </w:rPr>
      </w:pPr>
    </w:p>
    <w:p w14:paraId="70FC2D16" w14:textId="77777777" w:rsidR="0003405B" w:rsidRPr="00C773A1" w:rsidRDefault="00BE0909" w:rsidP="00C773A1">
      <w:pPr>
        <w:spacing w:line="360" w:lineRule="auto"/>
        <w:rPr>
          <w:sz w:val="24"/>
          <w:szCs w:val="24"/>
        </w:rPr>
      </w:pPr>
      <w:r>
        <w:rPr>
          <w:sz w:val="24"/>
          <w:szCs w:val="24"/>
        </w:rPr>
        <w:lastRenderedPageBreak/>
        <w:t xml:space="preserve">CMS determined the providers did not meet the program requirements because they did not achieve </w:t>
      </w:r>
      <w:r w:rsidR="0003405B">
        <w:rPr>
          <w:sz w:val="24"/>
          <w:szCs w:val="24"/>
        </w:rPr>
        <w:t>80% thresholds</w:t>
      </w:r>
      <w:r>
        <w:rPr>
          <w:sz w:val="24"/>
          <w:szCs w:val="24"/>
        </w:rPr>
        <w:t xml:space="preserve"> on the Minimum Data Set (MDS) reporting requirement for CY 2020 (July 1, </w:t>
      </w:r>
      <w:r w:rsidR="0003405B">
        <w:rPr>
          <w:sz w:val="24"/>
          <w:szCs w:val="24"/>
        </w:rPr>
        <w:t>2020,</w:t>
      </w:r>
      <w:r>
        <w:rPr>
          <w:sz w:val="24"/>
          <w:szCs w:val="24"/>
        </w:rPr>
        <w:t xml:space="preserve"> to December </w:t>
      </w:r>
      <w:r w:rsidR="000A6A61">
        <w:rPr>
          <w:sz w:val="24"/>
          <w:szCs w:val="24"/>
        </w:rPr>
        <w:t>21, 202</w:t>
      </w:r>
      <w:r w:rsidR="002B57FC">
        <w:rPr>
          <w:sz w:val="24"/>
          <w:szCs w:val="24"/>
        </w:rPr>
        <w:t>0</w:t>
      </w:r>
      <w:r>
        <w:rPr>
          <w:sz w:val="24"/>
          <w:szCs w:val="24"/>
        </w:rPr>
        <w:t xml:space="preserve">). </w:t>
      </w:r>
      <w:r w:rsidR="008E105E" w:rsidRPr="00C773A1">
        <w:rPr>
          <w:sz w:val="24"/>
          <w:szCs w:val="24"/>
        </w:rPr>
        <w:t xml:space="preserve"> </w:t>
      </w:r>
    </w:p>
    <w:p w14:paraId="155A8C65" w14:textId="77777777" w:rsidR="0003405B" w:rsidRDefault="0003405B" w:rsidP="00C955BE">
      <w:pPr>
        <w:rPr>
          <w:color w:val="FF0000"/>
          <w:sz w:val="24"/>
          <w:szCs w:val="24"/>
        </w:rPr>
      </w:pPr>
    </w:p>
    <w:p w14:paraId="4DC8CBA4" w14:textId="77777777" w:rsidR="00764853" w:rsidRPr="00C773A1" w:rsidRDefault="00BE0909" w:rsidP="00C773A1">
      <w:pPr>
        <w:spacing w:line="360" w:lineRule="auto"/>
        <w:rPr>
          <w:sz w:val="24"/>
          <w:szCs w:val="24"/>
        </w:rPr>
      </w:pPr>
      <w:r w:rsidRPr="000A6A61">
        <w:rPr>
          <w:sz w:val="24"/>
          <w:szCs w:val="24"/>
        </w:rPr>
        <w:t>The Providers’ reconsideration request dated July 19, 2021</w:t>
      </w:r>
      <w:r w:rsidR="000A6A61">
        <w:rPr>
          <w:sz w:val="24"/>
          <w:szCs w:val="24"/>
        </w:rPr>
        <w:t>,</w:t>
      </w:r>
      <w:r w:rsidRPr="000A6A61">
        <w:rPr>
          <w:sz w:val="24"/>
          <w:szCs w:val="24"/>
        </w:rPr>
        <w:t xml:space="preserve"> was denied by CMS on</w:t>
      </w:r>
      <w:r w:rsidRPr="00C773A1">
        <w:rPr>
          <w:sz w:val="24"/>
          <w:szCs w:val="24"/>
        </w:rPr>
        <w:t xml:space="preserve"> </w:t>
      </w:r>
      <w:r w:rsidR="000A6A61">
        <w:rPr>
          <w:sz w:val="24"/>
          <w:szCs w:val="24"/>
        </w:rPr>
        <w:t xml:space="preserve">September 21, 2021. </w:t>
      </w:r>
      <w:r w:rsidR="006C78FC">
        <w:rPr>
          <w:sz w:val="24"/>
          <w:szCs w:val="24"/>
        </w:rPr>
        <w:t xml:space="preserve">CMS indicated that under 42 CFR Part 405, the providers may appeal this decision </w:t>
      </w:r>
      <w:r w:rsidR="00F56985">
        <w:rPr>
          <w:sz w:val="24"/>
          <w:szCs w:val="24"/>
        </w:rPr>
        <w:t>through the Provider Reimbursement Review Board (PRRB) within 180 days of the date of this letter.</w:t>
      </w:r>
    </w:p>
    <w:p w14:paraId="2B394153" w14:textId="77777777" w:rsidR="00764853" w:rsidRPr="00D44C6A" w:rsidRDefault="00764853" w:rsidP="00C955BE">
      <w:pPr>
        <w:rPr>
          <w:color w:val="FF0000"/>
          <w:sz w:val="24"/>
          <w:szCs w:val="24"/>
        </w:rPr>
      </w:pPr>
    </w:p>
    <w:p w14:paraId="4E8BD276" w14:textId="77777777" w:rsidR="00227C4B" w:rsidRPr="00C773A1" w:rsidRDefault="00227C4B" w:rsidP="00C773A1">
      <w:pPr>
        <w:spacing w:line="360" w:lineRule="auto"/>
        <w:rPr>
          <w:sz w:val="24"/>
          <w:szCs w:val="24"/>
        </w:rPr>
      </w:pPr>
      <w:r w:rsidRPr="00F56985">
        <w:rPr>
          <w:sz w:val="24"/>
          <w:szCs w:val="24"/>
        </w:rPr>
        <w:t>The Provider</w:t>
      </w:r>
      <w:r w:rsidR="002B05E2">
        <w:rPr>
          <w:sz w:val="24"/>
          <w:szCs w:val="24"/>
        </w:rPr>
        <w:t>s</w:t>
      </w:r>
      <w:r w:rsidRPr="00F56985">
        <w:rPr>
          <w:sz w:val="24"/>
          <w:szCs w:val="24"/>
        </w:rPr>
        <w:t xml:space="preserve"> raised two arguments in their position paper.  Each will be addressed below:</w:t>
      </w:r>
    </w:p>
    <w:p w14:paraId="6515D361" w14:textId="77777777" w:rsidR="00DB71F5" w:rsidRDefault="002B63F8" w:rsidP="00227C4B">
      <w:pPr>
        <w:numPr>
          <w:ilvl w:val="0"/>
          <w:numId w:val="25"/>
        </w:numPr>
        <w:rPr>
          <w:sz w:val="24"/>
          <w:szCs w:val="24"/>
        </w:rPr>
      </w:pPr>
      <w:r w:rsidRPr="002B63F8">
        <w:rPr>
          <w:sz w:val="24"/>
          <w:szCs w:val="24"/>
        </w:rPr>
        <w:t xml:space="preserve">“The SNFs Met the Threshold for QRP Reporting to Avoid a Two Percent </w:t>
      </w:r>
      <w:r w:rsidR="00DB71F5">
        <w:rPr>
          <w:sz w:val="24"/>
          <w:szCs w:val="24"/>
        </w:rPr>
        <w:t xml:space="preserve">  </w:t>
      </w:r>
    </w:p>
    <w:p w14:paraId="115B1A44" w14:textId="77777777" w:rsidR="00227C4B" w:rsidRPr="002B63F8" w:rsidRDefault="00DB71F5" w:rsidP="00DB71F5">
      <w:pPr>
        <w:ind w:left="720"/>
        <w:rPr>
          <w:sz w:val="24"/>
          <w:szCs w:val="24"/>
        </w:rPr>
      </w:pPr>
      <w:r>
        <w:rPr>
          <w:sz w:val="24"/>
          <w:szCs w:val="24"/>
        </w:rPr>
        <w:t xml:space="preserve">  </w:t>
      </w:r>
      <w:r w:rsidR="002B63F8" w:rsidRPr="002B63F8">
        <w:rPr>
          <w:sz w:val="24"/>
          <w:szCs w:val="24"/>
        </w:rPr>
        <w:t>Reduction to their APU for FY 2022.”</w:t>
      </w:r>
    </w:p>
    <w:p w14:paraId="6F0B5700" w14:textId="77777777" w:rsidR="00311B09" w:rsidRPr="00D44C6A" w:rsidRDefault="00311B09" w:rsidP="00227C4B">
      <w:pPr>
        <w:ind w:left="720"/>
        <w:rPr>
          <w:color w:val="FF0000"/>
          <w:sz w:val="24"/>
          <w:szCs w:val="24"/>
        </w:rPr>
      </w:pPr>
    </w:p>
    <w:p w14:paraId="211592F6" w14:textId="77777777" w:rsidR="00311B09" w:rsidRDefault="00311B09" w:rsidP="00311B09">
      <w:pPr>
        <w:spacing w:line="360" w:lineRule="auto"/>
        <w:rPr>
          <w:sz w:val="24"/>
          <w:szCs w:val="24"/>
        </w:rPr>
      </w:pPr>
      <w:r w:rsidRPr="00311B09">
        <w:rPr>
          <w:sz w:val="24"/>
          <w:szCs w:val="24"/>
        </w:rPr>
        <w:t xml:space="preserve">The Provider believes it had the right to submit data for the full 2020 calendar-year, and to have complied with the regulation if its full calendar-year data met certain requirements. The Provider argues that there are no exceptions to 42 C.F.R. §413.360(b)(2), which was amended and removed from the regulation after the period in question. The Provider believes there is no authority in the regulation that allows CMS to create an exception to paragraphs (b)(1) and (b)(2), </w:t>
      </w:r>
      <w:proofErr w:type="gramStart"/>
      <w:r w:rsidRPr="00311B09">
        <w:rPr>
          <w:sz w:val="24"/>
          <w:szCs w:val="24"/>
        </w:rPr>
        <w:t>with regard to</w:t>
      </w:r>
      <w:proofErr w:type="gramEnd"/>
      <w:r w:rsidRPr="00311B09">
        <w:rPr>
          <w:sz w:val="24"/>
          <w:szCs w:val="24"/>
        </w:rPr>
        <w:t xml:space="preserve"> full year data.</w:t>
      </w:r>
    </w:p>
    <w:p w14:paraId="53B3B9DD" w14:textId="77777777" w:rsidR="00311B09" w:rsidRPr="00311B09" w:rsidRDefault="00311B09" w:rsidP="00311B09">
      <w:pPr>
        <w:spacing w:line="360" w:lineRule="auto"/>
        <w:rPr>
          <w:sz w:val="24"/>
          <w:szCs w:val="24"/>
        </w:rPr>
      </w:pPr>
    </w:p>
    <w:p w14:paraId="30EE2C9A" w14:textId="77777777" w:rsidR="00311B09" w:rsidRPr="00311B09" w:rsidRDefault="00311B09" w:rsidP="00311B09">
      <w:pPr>
        <w:spacing w:line="360" w:lineRule="auto"/>
        <w:rPr>
          <w:sz w:val="24"/>
          <w:szCs w:val="24"/>
        </w:rPr>
      </w:pPr>
      <w:r w:rsidRPr="00311B09">
        <w:rPr>
          <w:sz w:val="24"/>
          <w:szCs w:val="24"/>
        </w:rPr>
        <w:t>As previously discussed, the regulation is quite clear that CMS may grant exception to the requirements at (b)(1) for one or more quarters where an extraordinary circumstance occurs. The Provider’s suggestion that the exception cannot apply to paragraph (b)(2) is incorrect. Paragraph (b)(2) follows (b)(1) as an alternative set of criteria providers could meet to comply with the requirements under (b)(1). In other words, providers still must comply with paragraph (b)(1). The alternative at (b)(2) is only a means of doing so. The requirements at (b)(1) were excepted for Q1 and Q2, therefore, compliance with (b)(1) or (b)(2) was not relevant for QRP purposes for Q1 or Q2. All requirements under (b)(1) were excepted at paragraph (c) by the public health emergency, including the criteria at paragraph (b)(2). The Provider implies that program year is synonymous with a calendar or fiscal year reporting period to further its argument. Quite clearly, the regulation informs what a program year is,</w:t>
      </w:r>
    </w:p>
    <w:p w14:paraId="3C31D734" w14:textId="77777777" w:rsidR="00311B09" w:rsidRDefault="00311B09" w:rsidP="00311B09">
      <w:pPr>
        <w:spacing w:before="120"/>
        <w:ind w:left="720"/>
        <w:rPr>
          <w:rFonts w:ascii="Calibri" w:hAnsi="Calibri" w:cs="Calibri"/>
          <w:sz w:val="24"/>
          <w:szCs w:val="24"/>
        </w:rPr>
      </w:pPr>
      <w:r w:rsidRPr="00393F16">
        <w:rPr>
          <w:rFonts w:ascii="Calibri" w:hAnsi="Calibri" w:cs="Calibri"/>
          <w:sz w:val="24"/>
          <w:szCs w:val="24"/>
        </w:rPr>
        <w:lastRenderedPageBreak/>
        <w:t>For purposes of this section, a program year is the fiscal year in which the market basket percentage described in § 413.337(d) is reduced by two percentage points if the </w:t>
      </w:r>
      <w:hyperlink r:id="rId47" w:history="1">
        <w:r w:rsidRPr="00393F16">
          <w:rPr>
            <w:rStyle w:val="Hyperlink"/>
            <w:rFonts w:ascii="Calibri" w:hAnsi="Calibri" w:cs="Calibri"/>
            <w:sz w:val="24"/>
            <w:szCs w:val="24"/>
          </w:rPr>
          <w:t>SNF</w:t>
        </w:r>
      </w:hyperlink>
      <w:r w:rsidRPr="00393F16">
        <w:rPr>
          <w:rFonts w:ascii="Calibri" w:hAnsi="Calibri" w:cs="Calibri"/>
          <w:sz w:val="24"/>
          <w:szCs w:val="24"/>
        </w:rPr>
        <w:t> does not report data in accordance with </w:t>
      </w:r>
      <w:hyperlink r:id="rId48" w:anchor="b" w:history="1">
        <w:r w:rsidRPr="00393F16">
          <w:rPr>
            <w:rStyle w:val="Hyperlink"/>
            <w:rFonts w:ascii="Calibri" w:hAnsi="Calibri" w:cs="Calibri"/>
            <w:sz w:val="24"/>
            <w:szCs w:val="24"/>
          </w:rPr>
          <w:t>paragraph (b)</w:t>
        </w:r>
      </w:hyperlink>
      <w:r w:rsidRPr="00393F16">
        <w:rPr>
          <w:rFonts w:ascii="Calibri" w:hAnsi="Calibri" w:cs="Calibri"/>
          <w:sz w:val="24"/>
          <w:szCs w:val="24"/>
        </w:rPr>
        <w:t> of this section.</w:t>
      </w:r>
      <w:r>
        <w:rPr>
          <w:rStyle w:val="FootnoteReference"/>
          <w:rFonts w:ascii="Calibri" w:hAnsi="Calibri" w:cs="Calibri"/>
          <w:sz w:val="24"/>
          <w:szCs w:val="24"/>
        </w:rPr>
        <w:footnoteReference w:id="5"/>
      </w:r>
    </w:p>
    <w:p w14:paraId="5F19B5C3" w14:textId="77777777" w:rsidR="00311B09" w:rsidRDefault="00311B09" w:rsidP="00311B09">
      <w:pPr>
        <w:spacing w:before="120"/>
        <w:ind w:left="720"/>
        <w:rPr>
          <w:rFonts w:ascii="Calibri" w:hAnsi="Calibri" w:cs="Calibri"/>
          <w:sz w:val="24"/>
          <w:szCs w:val="24"/>
        </w:rPr>
      </w:pPr>
    </w:p>
    <w:p w14:paraId="785EEBCD" w14:textId="77777777" w:rsidR="002B63F8" w:rsidRDefault="002B63F8" w:rsidP="008D6486">
      <w:pPr>
        <w:spacing w:line="360" w:lineRule="auto"/>
        <w:rPr>
          <w:sz w:val="24"/>
          <w:szCs w:val="24"/>
        </w:rPr>
      </w:pPr>
      <w:r>
        <w:rPr>
          <w:sz w:val="24"/>
          <w:szCs w:val="24"/>
        </w:rPr>
        <w:t xml:space="preserve">The providers meeting or exceeding the </w:t>
      </w:r>
      <w:r w:rsidR="00C773A1">
        <w:rPr>
          <w:sz w:val="24"/>
          <w:szCs w:val="24"/>
        </w:rPr>
        <w:t xml:space="preserve">threshold of 80% for QRP reporting for CY 2020 is not at question. </w:t>
      </w:r>
      <w:r w:rsidR="008E579C">
        <w:rPr>
          <w:sz w:val="24"/>
          <w:szCs w:val="24"/>
        </w:rPr>
        <w:t>T</w:t>
      </w:r>
      <w:r w:rsidR="00C773A1">
        <w:rPr>
          <w:sz w:val="24"/>
          <w:szCs w:val="24"/>
        </w:rPr>
        <w:t xml:space="preserve">he CMS’s decision was based on </w:t>
      </w:r>
      <w:r w:rsidR="00C76B04">
        <w:rPr>
          <w:sz w:val="24"/>
          <w:szCs w:val="24"/>
        </w:rPr>
        <w:t xml:space="preserve">the </w:t>
      </w:r>
      <w:r w:rsidR="00C773A1">
        <w:rPr>
          <w:sz w:val="24"/>
          <w:szCs w:val="24"/>
        </w:rPr>
        <w:t>provider</w:t>
      </w:r>
      <w:r w:rsidR="00F933D6">
        <w:rPr>
          <w:sz w:val="24"/>
          <w:szCs w:val="24"/>
        </w:rPr>
        <w:t>s’</w:t>
      </w:r>
      <w:r w:rsidR="00C773A1">
        <w:rPr>
          <w:sz w:val="24"/>
          <w:szCs w:val="24"/>
        </w:rPr>
        <w:t xml:space="preserve"> failure to</w:t>
      </w:r>
      <w:r w:rsidR="00A22015">
        <w:rPr>
          <w:sz w:val="24"/>
          <w:szCs w:val="24"/>
        </w:rPr>
        <w:t xml:space="preserve"> achieve the 80% threshold on the Minimum Data Set (MDS) reporting requirement for CY 2020 (July1, 2020 through December 31, 2020)</w:t>
      </w:r>
      <w:r w:rsidR="008E579C">
        <w:rPr>
          <w:sz w:val="24"/>
          <w:szCs w:val="24"/>
        </w:rPr>
        <w:t xml:space="preserve"> which the providers fail to address in their preliminary position paper</w:t>
      </w:r>
      <w:r w:rsidR="00F933D6">
        <w:rPr>
          <w:sz w:val="24"/>
          <w:szCs w:val="24"/>
        </w:rPr>
        <w:t xml:space="preserve">. </w:t>
      </w:r>
    </w:p>
    <w:p w14:paraId="6C89223D" w14:textId="77777777" w:rsidR="00227C4B" w:rsidRPr="00D44C6A" w:rsidRDefault="00227C4B" w:rsidP="00227C4B">
      <w:pPr>
        <w:rPr>
          <w:color w:val="FF0000"/>
          <w:sz w:val="24"/>
          <w:szCs w:val="24"/>
        </w:rPr>
      </w:pPr>
    </w:p>
    <w:p w14:paraId="63F36748" w14:textId="77777777" w:rsidR="00227C4B" w:rsidRPr="00C150DF" w:rsidRDefault="00227C4B" w:rsidP="00227C4B">
      <w:pPr>
        <w:numPr>
          <w:ilvl w:val="0"/>
          <w:numId w:val="25"/>
        </w:numPr>
        <w:rPr>
          <w:sz w:val="24"/>
          <w:szCs w:val="24"/>
        </w:rPr>
      </w:pPr>
      <w:r w:rsidRPr="00C150DF">
        <w:rPr>
          <w:sz w:val="24"/>
          <w:szCs w:val="24"/>
        </w:rPr>
        <w:t>“</w:t>
      </w:r>
      <w:r w:rsidR="00C150DF" w:rsidRPr="00C150DF">
        <w:rPr>
          <w:sz w:val="24"/>
          <w:szCs w:val="24"/>
        </w:rPr>
        <w:t>CMS cannot Change a Substantive Legal Standard Governing Payment for Services Without Following the Procedures of the Medicare ACT</w:t>
      </w:r>
      <w:r w:rsidRPr="00C150DF">
        <w:rPr>
          <w:sz w:val="24"/>
          <w:szCs w:val="24"/>
        </w:rPr>
        <w:t>.”</w:t>
      </w:r>
    </w:p>
    <w:p w14:paraId="0BCE2F5E" w14:textId="77777777" w:rsidR="00227C4B" w:rsidRDefault="00227C4B" w:rsidP="00C955BE">
      <w:pPr>
        <w:rPr>
          <w:color w:val="FF0000"/>
          <w:sz w:val="24"/>
          <w:szCs w:val="24"/>
        </w:rPr>
      </w:pPr>
    </w:p>
    <w:p w14:paraId="7FFBE670" w14:textId="77777777" w:rsidR="0087727D" w:rsidRDefault="0087727D" w:rsidP="00C955BE">
      <w:pPr>
        <w:rPr>
          <w:color w:val="FF0000"/>
          <w:sz w:val="24"/>
          <w:szCs w:val="24"/>
        </w:rPr>
      </w:pPr>
    </w:p>
    <w:p w14:paraId="7DC446DA" w14:textId="77777777" w:rsidR="00D97A3E" w:rsidRPr="00D97A3E" w:rsidRDefault="00D97A3E" w:rsidP="00D97A3E">
      <w:pPr>
        <w:spacing w:line="360" w:lineRule="auto"/>
        <w:rPr>
          <w:sz w:val="24"/>
          <w:szCs w:val="24"/>
        </w:rPr>
      </w:pPr>
      <w:r w:rsidRPr="00D97A3E">
        <w:rPr>
          <w:sz w:val="24"/>
          <w:szCs w:val="24"/>
        </w:rPr>
        <w:t xml:space="preserve">The Provider’s argument is baseless. CMS very clearly </w:t>
      </w:r>
      <w:proofErr w:type="gramStart"/>
      <w:r w:rsidRPr="00D97A3E">
        <w:rPr>
          <w:sz w:val="24"/>
          <w:szCs w:val="24"/>
        </w:rPr>
        <w:t>informed</w:t>
      </w:r>
      <w:proofErr w:type="gramEnd"/>
      <w:r w:rsidRPr="00D97A3E">
        <w:rPr>
          <w:sz w:val="24"/>
          <w:szCs w:val="24"/>
        </w:rPr>
        <w:t xml:space="preserve"> that the review period would include only Q3 and Q4 2020. CMS was plainly within its authority to do so, under 42 C.F.R. §413.360(c). There was no new rule, but rather a rule with an exception being applied in an extraordinary circumstance, just as the regulation allows. </w:t>
      </w:r>
      <w:r w:rsidR="000F316C">
        <w:rPr>
          <w:sz w:val="24"/>
          <w:szCs w:val="24"/>
        </w:rPr>
        <w:t xml:space="preserve">Quite clearly, the statutes/regulations grant CMS and the Secretary substantial deference to develop, implement, and maintain standardized patient assessment data elements for clinical </w:t>
      </w:r>
      <w:r w:rsidR="00AF72CA">
        <w:rPr>
          <w:sz w:val="24"/>
          <w:szCs w:val="24"/>
        </w:rPr>
        <w:t>categories through the SNF’s submission of required quality data in the form, manner and time specified.</w:t>
      </w:r>
    </w:p>
    <w:p w14:paraId="6DDF1640" w14:textId="77777777" w:rsidR="0087727D" w:rsidRDefault="0087727D" w:rsidP="00C955BE">
      <w:pPr>
        <w:rPr>
          <w:color w:val="FF0000"/>
          <w:sz w:val="24"/>
          <w:szCs w:val="24"/>
        </w:rPr>
      </w:pPr>
    </w:p>
    <w:p w14:paraId="2265753C" w14:textId="77777777" w:rsidR="00D97A3E" w:rsidRPr="00D44C6A" w:rsidRDefault="00D97A3E" w:rsidP="008D107C">
      <w:pPr>
        <w:pStyle w:val="BodyText"/>
        <w:spacing w:line="240" w:lineRule="auto"/>
        <w:rPr>
          <w:rFonts w:ascii="Arial" w:hAnsi="Arial" w:cs="Arial"/>
          <w:color w:val="FF0000"/>
          <w:szCs w:val="24"/>
        </w:rPr>
      </w:pPr>
    </w:p>
    <w:p w14:paraId="294F4C80" w14:textId="77777777" w:rsidR="00C955BE" w:rsidRPr="00D97A3E" w:rsidRDefault="001733E1" w:rsidP="001733E1">
      <w:pPr>
        <w:pStyle w:val="BodyText"/>
        <w:numPr>
          <w:ilvl w:val="0"/>
          <w:numId w:val="16"/>
        </w:numPr>
        <w:rPr>
          <w:rFonts w:ascii="Arial" w:hAnsi="Arial" w:cs="Arial"/>
          <w:szCs w:val="24"/>
        </w:rPr>
      </w:pPr>
      <w:r w:rsidRPr="00D44C6A">
        <w:rPr>
          <w:rFonts w:ascii="Arial" w:hAnsi="Arial" w:cs="Arial"/>
          <w:b/>
          <w:color w:val="FF0000"/>
          <w:szCs w:val="24"/>
        </w:rPr>
        <w:tab/>
      </w:r>
      <w:r w:rsidR="00C955BE" w:rsidRPr="00D97A3E">
        <w:rPr>
          <w:rFonts w:ascii="Arial" w:hAnsi="Arial" w:cs="Arial"/>
          <w:b/>
          <w:szCs w:val="24"/>
        </w:rPr>
        <w:t>Conclusion</w:t>
      </w:r>
    </w:p>
    <w:p w14:paraId="62368BD6" w14:textId="77777777" w:rsidR="001733E1" w:rsidRPr="00D97A3E" w:rsidRDefault="001733E1" w:rsidP="008D107C">
      <w:pPr>
        <w:pStyle w:val="BodyText"/>
        <w:spacing w:line="240" w:lineRule="auto"/>
        <w:rPr>
          <w:rFonts w:ascii="Arial" w:hAnsi="Arial" w:cs="Arial"/>
          <w:szCs w:val="24"/>
        </w:rPr>
      </w:pPr>
    </w:p>
    <w:p w14:paraId="619F7991" w14:textId="77777777" w:rsidR="00D97A3E" w:rsidRPr="00AF72CA" w:rsidRDefault="00D97A3E" w:rsidP="00AF72CA">
      <w:pPr>
        <w:spacing w:line="360" w:lineRule="auto"/>
        <w:rPr>
          <w:sz w:val="24"/>
          <w:szCs w:val="24"/>
        </w:rPr>
      </w:pPr>
      <w:r w:rsidRPr="00D97A3E">
        <w:rPr>
          <w:sz w:val="24"/>
          <w:szCs w:val="24"/>
        </w:rPr>
        <w:t xml:space="preserve">In view of the foregoing, the provider has failed to persuade the MAC that it met the MDS 3.0 compliance percentage. Accordingly, the burden of proof, which was upon the provider, has not been met. Therefore, the Board must find that the CMS decision to grant the reduced annual update </w:t>
      </w:r>
      <w:proofErr w:type="gramStart"/>
      <w:r w:rsidRPr="00D97A3E">
        <w:rPr>
          <w:sz w:val="24"/>
          <w:szCs w:val="24"/>
        </w:rPr>
        <w:t>in light of</w:t>
      </w:r>
      <w:proofErr w:type="gramEnd"/>
      <w:r w:rsidRPr="00D97A3E">
        <w:rPr>
          <w:sz w:val="24"/>
          <w:szCs w:val="24"/>
        </w:rPr>
        <w:t xml:space="preserve"> the provider’s failure was not arbitrary or capricious and did in fact adhere to Medicare Law and Regulations. Thus, the Board must conclude that the provider is not entitled to the full annual update.</w:t>
      </w:r>
    </w:p>
    <w:p w14:paraId="3E078DF0" w14:textId="77777777" w:rsidR="001733E1" w:rsidRPr="00D44C6A" w:rsidRDefault="001733E1" w:rsidP="001733E1">
      <w:pPr>
        <w:rPr>
          <w:rFonts w:ascii="Arial" w:hAnsi="Arial" w:cs="Arial"/>
          <w:color w:val="FF0000"/>
          <w:sz w:val="24"/>
          <w:szCs w:val="24"/>
        </w:rPr>
      </w:pPr>
      <w:r w:rsidRPr="00D97A3E">
        <w:rPr>
          <w:rFonts w:ascii="Arial" w:hAnsi="Arial" w:cs="Arial"/>
          <w:sz w:val="24"/>
          <w:szCs w:val="24"/>
        </w:rPr>
        <w:lastRenderedPageBreak/>
        <w:t>IV.</w:t>
      </w:r>
      <w:r w:rsidRPr="00D97A3E">
        <w:rPr>
          <w:rFonts w:ascii="Arial" w:hAnsi="Arial" w:cs="Arial"/>
          <w:sz w:val="24"/>
          <w:szCs w:val="24"/>
        </w:rPr>
        <w:tab/>
        <w:t>LAW, REGULATIONS AND PROGRAM INSTRUCTIONS</w:t>
      </w:r>
    </w:p>
    <w:p w14:paraId="42DCF6FF" w14:textId="77777777" w:rsidR="001733E1" w:rsidRPr="00D44C6A" w:rsidRDefault="001733E1" w:rsidP="001733E1">
      <w:pPr>
        <w:rPr>
          <w:rFonts w:ascii="Arial" w:hAnsi="Arial" w:cs="Arial"/>
          <w:color w:val="FF0000"/>
          <w:sz w:val="24"/>
          <w:szCs w:val="24"/>
        </w:rPr>
      </w:pPr>
    </w:p>
    <w:p w14:paraId="31FC6111" w14:textId="77777777" w:rsidR="001733E1" w:rsidRPr="00D44C6A" w:rsidRDefault="001733E1" w:rsidP="001733E1">
      <w:pPr>
        <w:rPr>
          <w:rFonts w:ascii="Arial" w:hAnsi="Arial" w:cs="Arial"/>
          <w:color w:val="FF0000"/>
          <w:sz w:val="24"/>
          <w:szCs w:val="24"/>
        </w:rPr>
      </w:pPr>
    </w:p>
    <w:p w14:paraId="3A248724" w14:textId="77777777" w:rsidR="001733E1" w:rsidRPr="00D44C6A" w:rsidRDefault="001733E1" w:rsidP="001733E1">
      <w:pPr>
        <w:rPr>
          <w:rFonts w:ascii="Arial" w:hAnsi="Arial" w:cs="Arial"/>
          <w:color w:val="FF0000"/>
          <w:sz w:val="24"/>
          <w:szCs w:val="24"/>
        </w:rPr>
      </w:pPr>
    </w:p>
    <w:p w14:paraId="2CD64CD3" w14:textId="77777777" w:rsidR="005A3FDD" w:rsidRDefault="00D97A3E" w:rsidP="00D97A3E">
      <w:pPr>
        <w:rPr>
          <w:sz w:val="24"/>
          <w:szCs w:val="24"/>
        </w:rPr>
      </w:pPr>
      <w:r w:rsidRPr="00D97A3E">
        <w:rPr>
          <w:sz w:val="24"/>
          <w:szCs w:val="24"/>
          <w:u w:val="single"/>
        </w:rPr>
        <w:t>Law</w:t>
      </w:r>
      <w:r w:rsidRPr="00D97A3E">
        <w:rPr>
          <w:sz w:val="24"/>
          <w:szCs w:val="24"/>
        </w:rPr>
        <w:t>:</w:t>
      </w:r>
    </w:p>
    <w:p w14:paraId="7D657D3D" w14:textId="77777777" w:rsidR="00215CE4" w:rsidRDefault="00215CE4" w:rsidP="00215CE4">
      <w:pPr>
        <w:rPr>
          <w:sz w:val="24"/>
          <w:szCs w:val="24"/>
        </w:rPr>
      </w:pPr>
    </w:p>
    <w:p w14:paraId="769B0BB2" w14:textId="39483DB7" w:rsidR="00D97A3E" w:rsidRPr="00215CE4" w:rsidRDefault="00D97A3E" w:rsidP="00D97A3E">
      <w:pPr>
        <w:rPr>
          <w:sz w:val="24"/>
          <w:szCs w:val="24"/>
        </w:rPr>
      </w:pPr>
      <w:r w:rsidRPr="00D97A3E">
        <w:rPr>
          <w:sz w:val="24"/>
          <w:szCs w:val="24"/>
        </w:rPr>
        <w:t xml:space="preserve">Social Security </w:t>
      </w:r>
      <w:proofErr w:type="spellStart"/>
      <w:proofErr w:type="gramStart"/>
      <w:r w:rsidRPr="00D97A3E">
        <w:rPr>
          <w:sz w:val="24"/>
          <w:szCs w:val="24"/>
        </w:rPr>
        <w:t>Act</w:t>
      </w:r>
      <w:r w:rsidR="005A3FDD">
        <w:rPr>
          <w:sz w:val="24"/>
          <w:szCs w:val="24"/>
        </w:rPr>
        <w:t>;</w:t>
      </w:r>
      <w:r w:rsidRPr="00D97A3E">
        <w:rPr>
          <w:sz w:val="24"/>
          <w:szCs w:val="24"/>
        </w:rPr>
        <w:t>Section</w:t>
      </w:r>
      <w:proofErr w:type="spellEnd"/>
      <w:proofErr w:type="gramEnd"/>
      <w:r w:rsidRPr="00D97A3E">
        <w:rPr>
          <w:sz w:val="24"/>
          <w:szCs w:val="24"/>
        </w:rPr>
        <w:t xml:space="preserve"> 1886(b)(3)(B)(viii)</w:t>
      </w:r>
      <w:r w:rsidR="005A3FDD">
        <w:rPr>
          <w:sz w:val="24"/>
          <w:szCs w:val="24"/>
        </w:rPr>
        <w:t>;</w:t>
      </w:r>
      <w:r w:rsidR="000F316C" w:rsidRPr="00215CE4">
        <w:rPr>
          <w:sz w:val="24"/>
          <w:szCs w:val="24"/>
        </w:rPr>
        <w:t xml:space="preserve">Sec. 1888. </w:t>
      </w:r>
      <w:r w:rsidR="000F316C" w:rsidRPr="004308B3">
        <w:rPr>
          <w:b/>
          <w:bCs/>
          <w:sz w:val="24"/>
          <w:szCs w:val="24"/>
          <w:lang w:val="es-ES"/>
        </w:rPr>
        <w:t>[</w:t>
      </w:r>
      <w:r w:rsidR="000F316C" w:rsidRPr="004308B3">
        <w:rPr>
          <w:sz w:val="24"/>
          <w:szCs w:val="24"/>
          <w:lang w:val="es-ES"/>
        </w:rPr>
        <w:t>42 U.S.C. 1395yy</w:t>
      </w:r>
      <w:r w:rsidR="000F316C" w:rsidRPr="004308B3">
        <w:rPr>
          <w:b/>
          <w:bCs/>
          <w:sz w:val="24"/>
          <w:szCs w:val="24"/>
          <w:lang w:val="es-ES"/>
        </w:rPr>
        <w:t xml:space="preserve">] </w:t>
      </w:r>
      <w:r w:rsidR="000F316C" w:rsidRPr="004308B3">
        <w:rPr>
          <w:sz w:val="24"/>
          <w:szCs w:val="24"/>
          <w:lang w:val="es-ES"/>
        </w:rPr>
        <w:t>(a</w:t>
      </w:r>
      <w:proofErr w:type="gramStart"/>
      <w:r w:rsidR="000F316C" w:rsidRPr="004308B3">
        <w:rPr>
          <w:sz w:val="24"/>
          <w:szCs w:val="24"/>
          <w:lang w:val="es-ES"/>
        </w:rPr>
        <w:t>)</w:t>
      </w:r>
      <w:r w:rsidR="005A3FDD">
        <w:rPr>
          <w:sz w:val="24"/>
          <w:szCs w:val="24"/>
          <w:lang w:val="es-ES"/>
        </w:rPr>
        <w:t>;</w:t>
      </w:r>
      <w:r w:rsidR="000F316C" w:rsidRPr="004308B3">
        <w:rPr>
          <w:sz w:val="24"/>
          <w:szCs w:val="24"/>
          <w:lang w:val="es-ES"/>
        </w:rPr>
        <w:t>Sec.</w:t>
      </w:r>
      <w:proofErr w:type="gramEnd"/>
      <w:r w:rsidR="000F316C" w:rsidRPr="004308B3">
        <w:rPr>
          <w:sz w:val="24"/>
          <w:szCs w:val="24"/>
          <w:lang w:val="es-ES"/>
        </w:rPr>
        <w:t xml:space="preserve"> 1888. (e)(6)</w:t>
      </w:r>
      <w:r w:rsidR="005A3FDD">
        <w:rPr>
          <w:sz w:val="24"/>
          <w:szCs w:val="24"/>
          <w:lang w:val="es-ES"/>
        </w:rPr>
        <w:t>;</w:t>
      </w:r>
    </w:p>
    <w:p w14:paraId="351C9683" w14:textId="77777777" w:rsidR="00D97A3E" w:rsidRPr="004308B3" w:rsidRDefault="00D97A3E" w:rsidP="00D97A3E">
      <w:pPr>
        <w:rPr>
          <w:sz w:val="24"/>
          <w:szCs w:val="24"/>
          <w:lang w:val="es-ES"/>
        </w:rPr>
      </w:pPr>
    </w:p>
    <w:p w14:paraId="1ED54A14" w14:textId="77777777" w:rsidR="005A3FDD" w:rsidRDefault="00D97A3E" w:rsidP="00D97A3E">
      <w:pPr>
        <w:rPr>
          <w:sz w:val="24"/>
          <w:szCs w:val="24"/>
        </w:rPr>
      </w:pPr>
      <w:r w:rsidRPr="00D97A3E">
        <w:rPr>
          <w:sz w:val="24"/>
          <w:szCs w:val="24"/>
          <w:u w:val="single"/>
        </w:rPr>
        <w:t>Regulations</w:t>
      </w:r>
      <w:r w:rsidRPr="00D97A3E">
        <w:rPr>
          <w:sz w:val="24"/>
          <w:szCs w:val="24"/>
        </w:rPr>
        <w:t>:</w:t>
      </w:r>
    </w:p>
    <w:p w14:paraId="452D0AF8" w14:textId="77777777" w:rsidR="00215CE4" w:rsidRDefault="00215CE4" w:rsidP="00215CE4">
      <w:pPr>
        <w:rPr>
          <w:sz w:val="24"/>
          <w:szCs w:val="24"/>
        </w:rPr>
      </w:pPr>
    </w:p>
    <w:p w14:paraId="095EC367" w14:textId="5D7E38CC" w:rsidR="001864D6" w:rsidRPr="00D97A3E" w:rsidRDefault="00D97A3E" w:rsidP="00D97A3E">
      <w:pPr>
        <w:rPr>
          <w:sz w:val="24"/>
          <w:szCs w:val="24"/>
        </w:rPr>
      </w:pPr>
      <w:r w:rsidRPr="00D97A3E">
        <w:rPr>
          <w:sz w:val="24"/>
          <w:szCs w:val="24"/>
        </w:rPr>
        <w:t>42 C.F.R., Part 412, Subpart H</w:t>
      </w:r>
      <w:r w:rsidR="00215CE4">
        <w:rPr>
          <w:sz w:val="24"/>
          <w:szCs w:val="24"/>
        </w:rPr>
        <w:tab/>
      </w:r>
      <w:r w:rsidRPr="00D97A3E">
        <w:rPr>
          <w:sz w:val="24"/>
          <w:szCs w:val="24"/>
        </w:rPr>
        <w:t>Section 412.140</w:t>
      </w:r>
      <w:r w:rsidR="005A3FDD">
        <w:rPr>
          <w:sz w:val="24"/>
          <w:szCs w:val="24"/>
        </w:rPr>
        <w:t>;</w:t>
      </w:r>
      <w:r w:rsidRPr="00D97A3E">
        <w:rPr>
          <w:sz w:val="24"/>
          <w:szCs w:val="24"/>
        </w:rPr>
        <w:t>42 C.F.R., Part 412, Subpart D</w:t>
      </w:r>
      <w:r w:rsidR="00215CE4">
        <w:rPr>
          <w:sz w:val="24"/>
          <w:szCs w:val="24"/>
        </w:rPr>
        <w:tab/>
      </w:r>
      <w:r w:rsidRPr="00D97A3E">
        <w:rPr>
          <w:sz w:val="24"/>
          <w:szCs w:val="24"/>
        </w:rPr>
        <w:t>Section 412.64</w:t>
      </w:r>
      <w:r w:rsidR="005A3FDD">
        <w:rPr>
          <w:sz w:val="24"/>
          <w:szCs w:val="24"/>
        </w:rPr>
        <w:t>;</w:t>
      </w:r>
      <w:r w:rsidR="001864D6">
        <w:rPr>
          <w:sz w:val="24"/>
          <w:szCs w:val="24"/>
        </w:rPr>
        <w:t>42 CFR 413.360</w:t>
      </w:r>
    </w:p>
    <w:p w14:paraId="137B03B6" w14:textId="77777777" w:rsidR="00D97A3E" w:rsidRPr="00D97A3E" w:rsidRDefault="00D97A3E" w:rsidP="00D97A3E">
      <w:pPr>
        <w:rPr>
          <w:sz w:val="24"/>
          <w:szCs w:val="24"/>
        </w:rPr>
      </w:pPr>
    </w:p>
    <w:p w14:paraId="714A26EB" w14:textId="77777777" w:rsidR="00D97A3E" w:rsidRPr="00D97A3E" w:rsidRDefault="00D97A3E" w:rsidP="00D97A3E">
      <w:pPr>
        <w:rPr>
          <w:sz w:val="24"/>
          <w:szCs w:val="24"/>
        </w:rPr>
      </w:pPr>
      <w:r w:rsidRPr="00D97A3E">
        <w:rPr>
          <w:sz w:val="24"/>
          <w:szCs w:val="24"/>
        </w:rPr>
        <w:t xml:space="preserve">                                                                                        </w:t>
      </w:r>
    </w:p>
    <w:p w14:paraId="474635EB" w14:textId="77777777" w:rsidR="005A3FDD" w:rsidRDefault="00D97A3E" w:rsidP="00D97A3E">
      <w:pPr>
        <w:rPr>
          <w:sz w:val="24"/>
          <w:szCs w:val="24"/>
        </w:rPr>
      </w:pPr>
      <w:r w:rsidRPr="00D97A3E">
        <w:rPr>
          <w:sz w:val="24"/>
          <w:szCs w:val="24"/>
          <w:u w:val="single"/>
        </w:rPr>
        <w:t>Other Sources</w:t>
      </w:r>
      <w:r w:rsidRPr="00D97A3E">
        <w:rPr>
          <w:sz w:val="24"/>
          <w:szCs w:val="24"/>
        </w:rPr>
        <w:t>:</w:t>
      </w:r>
      <w:r w:rsidRPr="00D97A3E">
        <w:rPr>
          <w:sz w:val="24"/>
          <w:szCs w:val="24"/>
        </w:rPr>
        <w:tab/>
      </w:r>
    </w:p>
    <w:p w14:paraId="0A50A25A" w14:textId="77777777" w:rsidR="00215CE4" w:rsidRDefault="00215CE4" w:rsidP="00215CE4">
      <w:pPr>
        <w:rPr>
          <w:sz w:val="24"/>
          <w:szCs w:val="24"/>
        </w:rPr>
      </w:pPr>
    </w:p>
    <w:p w14:paraId="44C4025A" w14:textId="0630699F" w:rsidR="00D97A3E" w:rsidRPr="00D97A3E" w:rsidRDefault="00D97A3E" w:rsidP="00215CE4">
      <w:pPr>
        <w:rPr>
          <w:sz w:val="24"/>
          <w:szCs w:val="24"/>
        </w:rPr>
      </w:pPr>
      <w:r w:rsidRPr="00D97A3E">
        <w:rPr>
          <w:sz w:val="24"/>
          <w:szCs w:val="24"/>
        </w:rPr>
        <w:t>Federal Registers</w:t>
      </w:r>
    </w:p>
    <w:p w14:paraId="2E9B0FA3" w14:textId="77777777" w:rsidR="001733E1" w:rsidRPr="00D44C6A" w:rsidRDefault="001733E1" w:rsidP="001733E1">
      <w:pPr>
        <w:rPr>
          <w:rFonts w:ascii="Arial" w:hAnsi="Arial" w:cs="Arial"/>
          <w:color w:val="FF0000"/>
          <w:sz w:val="24"/>
          <w:szCs w:val="24"/>
        </w:rPr>
      </w:pPr>
    </w:p>
    <w:p w14:paraId="0DB3AAFF" w14:textId="77777777" w:rsidR="001733E1" w:rsidRPr="00D44C6A" w:rsidRDefault="001733E1" w:rsidP="001733E1">
      <w:pPr>
        <w:rPr>
          <w:rFonts w:ascii="Arial" w:hAnsi="Arial" w:cs="Arial"/>
          <w:color w:val="FF0000"/>
          <w:sz w:val="24"/>
          <w:szCs w:val="24"/>
        </w:rPr>
      </w:pPr>
    </w:p>
    <w:p w14:paraId="40B3B6C1" w14:textId="77777777" w:rsidR="001733E1" w:rsidRPr="00D44C6A" w:rsidRDefault="001733E1" w:rsidP="001733E1">
      <w:pPr>
        <w:rPr>
          <w:rFonts w:ascii="Arial" w:hAnsi="Arial" w:cs="Arial"/>
          <w:color w:val="FF0000"/>
          <w:sz w:val="24"/>
          <w:szCs w:val="24"/>
        </w:rPr>
      </w:pPr>
      <w:r w:rsidRPr="00D44C6A">
        <w:rPr>
          <w:rFonts w:ascii="Arial" w:hAnsi="Arial" w:cs="Arial"/>
          <w:color w:val="FF0000"/>
          <w:sz w:val="24"/>
          <w:szCs w:val="24"/>
        </w:rPr>
        <w:t xml:space="preserve">                                                           </w:t>
      </w:r>
    </w:p>
    <w:p w14:paraId="4976D3D8" w14:textId="77777777" w:rsidR="001733E1" w:rsidRPr="00D44C6A" w:rsidRDefault="001733E1" w:rsidP="001733E1">
      <w:pPr>
        <w:rPr>
          <w:rFonts w:ascii="Arial" w:hAnsi="Arial" w:cs="Arial"/>
          <w:color w:val="FF0000"/>
          <w:sz w:val="24"/>
          <w:szCs w:val="24"/>
        </w:rPr>
      </w:pPr>
    </w:p>
    <w:p w14:paraId="6EA9D51D" w14:textId="77777777" w:rsidR="00227C4B" w:rsidRPr="00D44C6A" w:rsidRDefault="00227C4B" w:rsidP="001733E1">
      <w:pPr>
        <w:rPr>
          <w:rFonts w:ascii="Arial" w:hAnsi="Arial" w:cs="Arial"/>
          <w:color w:val="FF0000"/>
          <w:sz w:val="24"/>
          <w:szCs w:val="24"/>
        </w:rPr>
      </w:pPr>
    </w:p>
    <w:p w14:paraId="0461BCF7" w14:textId="77777777" w:rsidR="00227C4B" w:rsidRPr="00D44C6A" w:rsidRDefault="00227C4B" w:rsidP="001733E1">
      <w:pPr>
        <w:rPr>
          <w:rFonts w:ascii="Arial" w:hAnsi="Arial" w:cs="Arial"/>
          <w:color w:val="FF0000"/>
          <w:sz w:val="24"/>
          <w:szCs w:val="24"/>
        </w:rPr>
      </w:pPr>
    </w:p>
    <w:p w14:paraId="349AF3EC" w14:textId="77777777" w:rsidR="00227C4B" w:rsidRPr="00D44C6A" w:rsidRDefault="00227C4B" w:rsidP="001733E1">
      <w:pPr>
        <w:rPr>
          <w:rFonts w:ascii="Arial" w:hAnsi="Arial" w:cs="Arial"/>
          <w:color w:val="FF0000"/>
          <w:sz w:val="24"/>
          <w:szCs w:val="24"/>
        </w:rPr>
      </w:pPr>
    </w:p>
    <w:p w14:paraId="378C744F" w14:textId="77777777" w:rsidR="00227C4B" w:rsidRPr="00D44C6A" w:rsidRDefault="00227C4B" w:rsidP="001733E1">
      <w:pPr>
        <w:rPr>
          <w:rFonts w:ascii="Arial" w:hAnsi="Arial" w:cs="Arial"/>
          <w:color w:val="FF0000"/>
          <w:sz w:val="24"/>
          <w:szCs w:val="24"/>
        </w:rPr>
      </w:pPr>
    </w:p>
    <w:p w14:paraId="2256D0CB" w14:textId="77777777" w:rsidR="00227C4B" w:rsidRPr="00D44C6A" w:rsidRDefault="00227C4B" w:rsidP="001733E1">
      <w:pPr>
        <w:rPr>
          <w:rFonts w:ascii="Arial" w:hAnsi="Arial" w:cs="Arial"/>
          <w:color w:val="FF0000"/>
          <w:sz w:val="24"/>
          <w:szCs w:val="24"/>
        </w:rPr>
      </w:pPr>
    </w:p>
    <w:p w14:paraId="7794CA45" w14:textId="77777777" w:rsidR="00227C4B" w:rsidRPr="00D44C6A" w:rsidRDefault="00227C4B" w:rsidP="001733E1">
      <w:pPr>
        <w:rPr>
          <w:rFonts w:ascii="Arial" w:hAnsi="Arial" w:cs="Arial"/>
          <w:color w:val="FF0000"/>
          <w:sz w:val="24"/>
          <w:szCs w:val="24"/>
        </w:rPr>
      </w:pPr>
    </w:p>
    <w:p w14:paraId="2220A0B2" w14:textId="77777777" w:rsidR="00227C4B" w:rsidRPr="00D44C6A" w:rsidRDefault="00227C4B" w:rsidP="001733E1">
      <w:pPr>
        <w:rPr>
          <w:rFonts w:ascii="Arial" w:hAnsi="Arial" w:cs="Arial"/>
          <w:color w:val="FF0000"/>
          <w:sz w:val="24"/>
          <w:szCs w:val="24"/>
        </w:rPr>
      </w:pPr>
    </w:p>
    <w:p w14:paraId="58C1883B" w14:textId="77777777" w:rsidR="00227C4B" w:rsidRPr="00D44C6A" w:rsidRDefault="00227C4B" w:rsidP="001733E1">
      <w:pPr>
        <w:rPr>
          <w:rFonts w:ascii="Arial" w:hAnsi="Arial" w:cs="Arial"/>
          <w:color w:val="FF0000"/>
          <w:sz w:val="24"/>
          <w:szCs w:val="24"/>
        </w:rPr>
      </w:pPr>
    </w:p>
    <w:p w14:paraId="139428C9" w14:textId="77777777" w:rsidR="00227C4B" w:rsidRPr="00D44C6A" w:rsidRDefault="00227C4B" w:rsidP="001733E1">
      <w:pPr>
        <w:rPr>
          <w:rFonts w:ascii="Arial" w:hAnsi="Arial" w:cs="Arial"/>
          <w:color w:val="FF0000"/>
          <w:sz w:val="24"/>
          <w:szCs w:val="24"/>
        </w:rPr>
      </w:pPr>
    </w:p>
    <w:p w14:paraId="35ED6955" w14:textId="77777777" w:rsidR="00227C4B" w:rsidRPr="00D44C6A" w:rsidRDefault="00227C4B" w:rsidP="001733E1">
      <w:pPr>
        <w:rPr>
          <w:rFonts w:ascii="Arial" w:hAnsi="Arial" w:cs="Arial"/>
          <w:color w:val="FF0000"/>
          <w:sz w:val="24"/>
          <w:szCs w:val="24"/>
        </w:rPr>
      </w:pPr>
    </w:p>
    <w:p w14:paraId="6FEEB233" w14:textId="77777777" w:rsidR="00227C4B" w:rsidRPr="00D44C6A" w:rsidRDefault="00227C4B" w:rsidP="001733E1">
      <w:pPr>
        <w:rPr>
          <w:rFonts w:ascii="Arial" w:hAnsi="Arial" w:cs="Arial"/>
          <w:color w:val="FF0000"/>
          <w:sz w:val="24"/>
          <w:szCs w:val="24"/>
        </w:rPr>
      </w:pPr>
    </w:p>
    <w:p w14:paraId="333743F1" w14:textId="77777777" w:rsidR="00227C4B" w:rsidRPr="00D44C6A" w:rsidRDefault="00227C4B" w:rsidP="001733E1">
      <w:pPr>
        <w:rPr>
          <w:rFonts w:ascii="Arial" w:hAnsi="Arial" w:cs="Arial"/>
          <w:color w:val="FF0000"/>
          <w:sz w:val="24"/>
          <w:szCs w:val="24"/>
        </w:rPr>
      </w:pPr>
    </w:p>
    <w:p w14:paraId="6A36404D" w14:textId="77777777" w:rsidR="00227C4B" w:rsidRDefault="00227C4B" w:rsidP="001733E1">
      <w:pPr>
        <w:rPr>
          <w:rFonts w:ascii="Arial" w:hAnsi="Arial" w:cs="Arial"/>
          <w:color w:val="FF0000"/>
          <w:sz w:val="24"/>
          <w:szCs w:val="24"/>
        </w:rPr>
      </w:pPr>
    </w:p>
    <w:p w14:paraId="3E4DBC50" w14:textId="77777777" w:rsidR="002C4EA3" w:rsidRDefault="002C4EA3" w:rsidP="001733E1">
      <w:pPr>
        <w:rPr>
          <w:rFonts w:ascii="Arial" w:hAnsi="Arial" w:cs="Arial"/>
          <w:color w:val="FF0000"/>
          <w:sz w:val="24"/>
          <w:szCs w:val="24"/>
        </w:rPr>
      </w:pPr>
    </w:p>
    <w:p w14:paraId="473E29F2" w14:textId="77777777" w:rsidR="002C4EA3" w:rsidRDefault="002C4EA3" w:rsidP="001733E1">
      <w:pPr>
        <w:rPr>
          <w:rFonts w:ascii="Arial" w:hAnsi="Arial" w:cs="Arial"/>
          <w:color w:val="FF0000"/>
          <w:sz w:val="24"/>
          <w:szCs w:val="24"/>
        </w:rPr>
      </w:pPr>
    </w:p>
    <w:p w14:paraId="36DBFD6F" w14:textId="77777777" w:rsidR="002C4EA3" w:rsidRDefault="002C4EA3" w:rsidP="001733E1">
      <w:pPr>
        <w:rPr>
          <w:rFonts w:ascii="Arial" w:hAnsi="Arial" w:cs="Arial"/>
          <w:color w:val="FF0000"/>
          <w:sz w:val="24"/>
          <w:szCs w:val="24"/>
        </w:rPr>
      </w:pPr>
    </w:p>
    <w:p w14:paraId="309660F8" w14:textId="77777777" w:rsidR="002C4EA3" w:rsidRDefault="002C4EA3" w:rsidP="001733E1">
      <w:pPr>
        <w:rPr>
          <w:rFonts w:ascii="Arial" w:hAnsi="Arial" w:cs="Arial"/>
          <w:color w:val="FF0000"/>
          <w:sz w:val="24"/>
          <w:szCs w:val="24"/>
        </w:rPr>
      </w:pPr>
    </w:p>
    <w:p w14:paraId="1412D52D" w14:textId="77777777" w:rsidR="002C4EA3" w:rsidRDefault="002C4EA3" w:rsidP="001733E1">
      <w:pPr>
        <w:rPr>
          <w:rFonts w:ascii="Arial" w:hAnsi="Arial" w:cs="Arial"/>
          <w:color w:val="FF0000"/>
          <w:sz w:val="24"/>
          <w:szCs w:val="24"/>
        </w:rPr>
      </w:pPr>
    </w:p>
    <w:p w14:paraId="3188D2F9" w14:textId="77777777" w:rsidR="002C4EA3" w:rsidRDefault="002C4EA3" w:rsidP="001733E1">
      <w:pPr>
        <w:rPr>
          <w:rFonts w:ascii="Arial" w:hAnsi="Arial" w:cs="Arial"/>
          <w:color w:val="FF0000"/>
          <w:sz w:val="24"/>
          <w:szCs w:val="24"/>
        </w:rPr>
      </w:pPr>
    </w:p>
    <w:p w14:paraId="69127A10" w14:textId="77777777" w:rsidR="002C4EA3" w:rsidRDefault="002C4EA3" w:rsidP="001733E1">
      <w:pPr>
        <w:rPr>
          <w:rFonts w:ascii="Arial" w:hAnsi="Arial" w:cs="Arial"/>
          <w:color w:val="FF0000"/>
          <w:sz w:val="24"/>
          <w:szCs w:val="24"/>
        </w:rPr>
      </w:pPr>
    </w:p>
    <w:p w14:paraId="04E1AF54" w14:textId="77777777" w:rsidR="002C4EA3" w:rsidRDefault="002C4EA3" w:rsidP="001733E1">
      <w:pPr>
        <w:rPr>
          <w:rFonts w:ascii="Arial" w:hAnsi="Arial" w:cs="Arial"/>
          <w:color w:val="FF0000"/>
          <w:sz w:val="24"/>
          <w:szCs w:val="24"/>
        </w:rPr>
      </w:pPr>
    </w:p>
    <w:p w14:paraId="610FD220" w14:textId="77777777" w:rsidR="002C4EA3" w:rsidRPr="00D44C6A" w:rsidRDefault="002C4EA3" w:rsidP="001733E1">
      <w:pPr>
        <w:rPr>
          <w:rFonts w:ascii="Arial" w:hAnsi="Arial" w:cs="Arial"/>
          <w:color w:val="FF0000"/>
          <w:sz w:val="24"/>
          <w:szCs w:val="24"/>
        </w:rPr>
      </w:pPr>
    </w:p>
    <w:p w14:paraId="36FD00B3" w14:textId="77777777" w:rsidR="00227C4B" w:rsidRPr="00D44C6A" w:rsidRDefault="00227C4B" w:rsidP="001733E1">
      <w:pPr>
        <w:rPr>
          <w:rFonts w:ascii="Arial" w:hAnsi="Arial" w:cs="Arial"/>
          <w:color w:val="FF0000"/>
          <w:sz w:val="24"/>
          <w:szCs w:val="24"/>
        </w:rPr>
      </w:pPr>
    </w:p>
    <w:p w14:paraId="23109C29" w14:textId="77777777" w:rsidR="001733E1" w:rsidRPr="0041025C" w:rsidRDefault="001733E1" w:rsidP="001733E1">
      <w:pPr>
        <w:rPr>
          <w:rFonts w:ascii="Arial" w:hAnsi="Arial" w:cs="Arial"/>
          <w:sz w:val="24"/>
          <w:szCs w:val="24"/>
        </w:rPr>
      </w:pPr>
      <w:r w:rsidRPr="0041025C">
        <w:rPr>
          <w:rFonts w:ascii="Arial" w:hAnsi="Arial" w:cs="Arial"/>
          <w:sz w:val="24"/>
          <w:szCs w:val="24"/>
        </w:rPr>
        <w:t>V.</w:t>
      </w:r>
      <w:r w:rsidRPr="0041025C">
        <w:rPr>
          <w:rFonts w:ascii="Arial" w:hAnsi="Arial" w:cs="Arial"/>
          <w:sz w:val="24"/>
          <w:szCs w:val="24"/>
        </w:rPr>
        <w:tab/>
        <w:t>EXHIBITS</w:t>
      </w:r>
    </w:p>
    <w:p w14:paraId="4F438F29" w14:textId="77777777" w:rsidR="005C04A8" w:rsidRPr="0041025C" w:rsidRDefault="005C04A8" w:rsidP="001733E1">
      <w:pPr>
        <w:rPr>
          <w:rFonts w:ascii="Arial" w:hAnsi="Arial" w:cs="Arial"/>
          <w:sz w:val="24"/>
          <w:szCs w:val="24"/>
        </w:rPr>
      </w:pPr>
    </w:p>
    <w:p w14:paraId="6DD7EF8F" w14:textId="77777777" w:rsidR="001733E1" w:rsidRPr="0041025C" w:rsidRDefault="001733E1" w:rsidP="001733E1">
      <w:pPr>
        <w:rPr>
          <w:rFonts w:ascii="Arial" w:hAnsi="Arial" w:cs="Arial"/>
          <w:sz w:val="24"/>
          <w:szCs w:val="24"/>
        </w:rPr>
      </w:pPr>
    </w:p>
    <w:p w14:paraId="100E2EB9" w14:textId="77777777" w:rsidR="001C1749" w:rsidRDefault="00BA5EC8" w:rsidP="001733E1">
      <w:pPr>
        <w:rPr>
          <w:rFonts w:ascii="Arial" w:hAnsi="Arial" w:cs="Arial"/>
          <w:sz w:val="24"/>
          <w:szCs w:val="24"/>
        </w:rPr>
      </w:pPr>
      <w:bookmarkStart w:id="0" w:name="_Hlk129005060"/>
      <w:r>
        <w:rPr>
          <w:rFonts w:ascii="Arial" w:hAnsi="Arial" w:cs="Arial"/>
          <w:sz w:val="24"/>
          <w:szCs w:val="24"/>
        </w:rPr>
        <w:t>C</w:t>
      </w:r>
      <w:r w:rsidR="008F462B" w:rsidRPr="0041025C">
        <w:rPr>
          <w:rFonts w:ascii="Arial" w:hAnsi="Arial" w:cs="Arial"/>
          <w:sz w:val="24"/>
          <w:szCs w:val="24"/>
        </w:rPr>
        <w:t>-1</w:t>
      </w:r>
      <w:r>
        <w:rPr>
          <w:rFonts w:ascii="Arial" w:hAnsi="Arial" w:cs="Arial"/>
          <w:sz w:val="24"/>
          <w:szCs w:val="24"/>
        </w:rPr>
        <w:t>.</w:t>
      </w:r>
      <w:r w:rsidR="008F462B" w:rsidRPr="0041025C">
        <w:rPr>
          <w:rFonts w:ascii="Arial" w:hAnsi="Arial" w:cs="Arial"/>
          <w:sz w:val="24"/>
          <w:szCs w:val="24"/>
        </w:rPr>
        <w:tab/>
        <w:t>CMS notifications</w:t>
      </w:r>
    </w:p>
    <w:p w14:paraId="0B2326BC" w14:textId="77777777" w:rsidR="00125330" w:rsidRDefault="00125330" w:rsidP="001733E1">
      <w:pPr>
        <w:rPr>
          <w:rFonts w:ascii="Arial" w:hAnsi="Arial" w:cs="Arial"/>
          <w:sz w:val="24"/>
          <w:szCs w:val="24"/>
        </w:rPr>
      </w:pPr>
    </w:p>
    <w:p w14:paraId="5E919E43" w14:textId="77777777" w:rsidR="00125330" w:rsidRDefault="00125330" w:rsidP="001733E1">
      <w:pPr>
        <w:rPr>
          <w:rFonts w:ascii="Arial" w:hAnsi="Arial" w:cs="Arial"/>
          <w:sz w:val="24"/>
          <w:szCs w:val="24"/>
        </w:rPr>
      </w:pPr>
      <w:r>
        <w:rPr>
          <w:rFonts w:ascii="Arial" w:hAnsi="Arial" w:cs="Arial"/>
          <w:sz w:val="24"/>
          <w:szCs w:val="24"/>
        </w:rPr>
        <w:t>C-2.</w:t>
      </w:r>
      <w:r>
        <w:rPr>
          <w:rFonts w:ascii="Arial" w:hAnsi="Arial" w:cs="Arial"/>
          <w:sz w:val="24"/>
          <w:szCs w:val="24"/>
        </w:rPr>
        <w:tab/>
      </w:r>
      <w:r w:rsidR="00007B57">
        <w:rPr>
          <w:rFonts w:ascii="Arial" w:hAnsi="Arial" w:cs="Arial"/>
          <w:sz w:val="24"/>
          <w:szCs w:val="24"/>
        </w:rPr>
        <w:t xml:space="preserve">Provider’s Appeal Request Including the </w:t>
      </w:r>
      <w:r>
        <w:rPr>
          <w:rFonts w:ascii="Arial" w:hAnsi="Arial" w:cs="Arial"/>
          <w:sz w:val="24"/>
          <w:szCs w:val="24"/>
        </w:rPr>
        <w:t>Schedule of Providers</w:t>
      </w:r>
    </w:p>
    <w:p w14:paraId="13715160" w14:textId="77777777" w:rsidR="007D1CCA" w:rsidRDefault="007D1CCA" w:rsidP="001733E1">
      <w:pPr>
        <w:rPr>
          <w:rFonts w:ascii="Arial" w:hAnsi="Arial" w:cs="Arial"/>
          <w:sz w:val="24"/>
          <w:szCs w:val="24"/>
        </w:rPr>
      </w:pPr>
    </w:p>
    <w:p w14:paraId="7D4B8BF7" w14:textId="77777777" w:rsidR="007D1CCA" w:rsidRDefault="007D1CCA" w:rsidP="001733E1">
      <w:pPr>
        <w:rPr>
          <w:rFonts w:ascii="Arial" w:hAnsi="Arial" w:cs="Arial"/>
          <w:sz w:val="24"/>
          <w:szCs w:val="24"/>
        </w:rPr>
      </w:pPr>
      <w:r>
        <w:rPr>
          <w:rFonts w:ascii="Arial" w:hAnsi="Arial" w:cs="Arial"/>
          <w:sz w:val="24"/>
          <w:szCs w:val="24"/>
        </w:rPr>
        <w:t xml:space="preserve">C-3. </w:t>
      </w:r>
      <w:r>
        <w:rPr>
          <w:rFonts w:ascii="Arial" w:hAnsi="Arial" w:cs="Arial"/>
          <w:sz w:val="24"/>
          <w:szCs w:val="24"/>
        </w:rPr>
        <w:tab/>
        <w:t>Public Health Emergency Declaration dated 01/31/2020</w:t>
      </w:r>
    </w:p>
    <w:p w14:paraId="5645767E" w14:textId="77777777" w:rsidR="007D1CCA" w:rsidRDefault="007D1CCA" w:rsidP="001733E1">
      <w:pPr>
        <w:rPr>
          <w:rFonts w:ascii="Arial" w:hAnsi="Arial" w:cs="Arial"/>
          <w:sz w:val="24"/>
          <w:szCs w:val="24"/>
        </w:rPr>
      </w:pPr>
    </w:p>
    <w:p w14:paraId="41DFB20A" w14:textId="77777777" w:rsidR="007D1CCA" w:rsidRDefault="007D1CCA" w:rsidP="001733E1">
      <w:pPr>
        <w:rPr>
          <w:rFonts w:ascii="Arial" w:hAnsi="Arial" w:cs="Arial"/>
          <w:sz w:val="24"/>
          <w:szCs w:val="24"/>
        </w:rPr>
      </w:pPr>
      <w:r>
        <w:rPr>
          <w:rFonts w:ascii="Arial" w:hAnsi="Arial" w:cs="Arial"/>
          <w:sz w:val="24"/>
          <w:szCs w:val="24"/>
        </w:rPr>
        <w:t>C-4.</w:t>
      </w:r>
      <w:r>
        <w:rPr>
          <w:rFonts w:ascii="Arial" w:hAnsi="Arial" w:cs="Arial"/>
          <w:sz w:val="24"/>
          <w:szCs w:val="24"/>
        </w:rPr>
        <w:tab/>
        <w:t>CMS Press Release dated 03/2</w:t>
      </w:r>
      <w:r w:rsidR="00BA5EC8">
        <w:rPr>
          <w:rFonts w:ascii="Arial" w:hAnsi="Arial" w:cs="Arial"/>
          <w:sz w:val="24"/>
          <w:szCs w:val="24"/>
        </w:rPr>
        <w:t>2</w:t>
      </w:r>
      <w:r>
        <w:rPr>
          <w:rFonts w:ascii="Arial" w:hAnsi="Arial" w:cs="Arial"/>
          <w:sz w:val="24"/>
          <w:szCs w:val="24"/>
        </w:rPr>
        <w:t>/2020</w:t>
      </w:r>
    </w:p>
    <w:p w14:paraId="3DBE038C" w14:textId="77777777" w:rsidR="00F13950" w:rsidRDefault="00F13950" w:rsidP="001733E1">
      <w:pPr>
        <w:rPr>
          <w:rFonts w:ascii="Arial" w:hAnsi="Arial" w:cs="Arial"/>
          <w:sz w:val="24"/>
          <w:szCs w:val="24"/>
        </w:rPr>
      </w:pPr>
    </w:p>
    <w:p w14:paraId="3D9AEA80" w14:textId="77777777" w:rsidR="00F13950" w:rsidRPr="0041025C" w:rsidRDefault="00F13950" w:rsidP="001733E1">
      <w:pPr>
        <w:rPr>
          <w:rFonts w:ascii="Arial" w:hAnsi="Arial" w:cs="Arial"/>
          <w:sz w:val="24"/>
          <w:szCs w:val="24"/>
        </w:rPr>
      </w:pPr>
      <w:r>
        <w:rPr>
          <w:rFonts w:ascii="Arial" w:hAnsi="Arial" w:cs="Arial"/>
          <w:sz w:val="24"/>
          <w:szCs w:val="24"/>
        </w:rPr>
        <w:t>C-5.</w:t>
      </w:r>
      <w:r>
        <w:rPr>
          <w:rFonts w:ascii="Arial" w:hAnsi="Arial" w:cs="Arial"/>
          <w:sz w:val="24"/>
          <w:szCs w:val="24"/>
        </w:rPr>
        <w:tab/>
        <w:t>CMS Memorandum dated 03/27/2020</w:t>
      </w:r>
    </w:p>
    <w:p w14:paraId="7B2305C4" w14:textId="77777777" w:rsidR="008F462B" w:rsidRPr="0041025C" w:rsidRDefault="008F462B" w:rsidP="001733E1">
      <w:pPr>
        <w:rPr>
          <w:rFonts w:ascii="Arial" w:hAnsi="Arial" w:cs="Arial"/>
          <w:sz w:val="24"/>
          <w:szCs w:val="24"/>
        </w:rPr>
      </w:pPr>
    </w:p>
    <w:bookmarkEnd w:id="0"/>
    <w:p w14:paraId="09A1252B" w14:textId="77777777" w:rsidR="00123BA0" w:rsidRPr="00D44C6A" w:rsidRDefault="00123BA0" w:rsidP="001733E1">
      <w:pPr>
        <w:rPr>
          <w:rFonts w:ascii="Arial" w:hAnsi="Arial" w:cs="Arial"/>
          <w:color w:val="FF0000"/>
          <w:sz w:val="24"/>
          <w:szCs w:val="24"/>
          <w:highlight w:val="yellow"/>
        </w:rPr>
      </w:pPr>
    </w:p>
    <w:sectPr w:rsidR="00123BA0" w:rsidRPr="00D44C6A" w:rsidSect="00705D9C">
      <w:headerReference w:type="default" r:id="rId49"/>
      <w:footerReference w:type="default" r:id="rId50"/>
      <w:headerReference w:type="first" r:id="rId51"/>
      <w:footerReference w:type="first" r:id="rId52"/>
      <w:pgSz w:w="12240" w:h="15840" w:code="1"/>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C45503" w14:textId="77777777" w:rsidR="00E26403" w:rsidRDefault="00E26403">
      <w:r>
        <w:separator/>
      </w:r>
    </w:p>
  </w:endnote>
  <w:endnote w:type="continuationSeparator" w:id="0">
    <w:p w14:paraId="6C5578C5" w14:textId="77777777" w:rsidR="00E26403" w:rsidRDefault="00E264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FDFB5C" w14:textId="77777777" w:rsidR="00A56722" w:rsidRDefault="00A56722">
    <w:pPr>
      <w:pStyle w:val="Footer"/>
      <w:jc w:val="center"/>
    </w:pPr>
    <w:r>
      <w:fldChar w:fldCharType="begin"/>
    </w:r>
    <w:r>
      <w:instrText xml:space="preserve"> PAGE   \* MERGEFORMAT </w:instrText>
    </w:r>
    <w:r>
      <w:fldChar w:fldCharType="separate"/>
    </w:r>
    <w:r w:rsidR="00517647">
      <w:rPr>
        <w:noProof/>
      </w:rPr>
      <w:t>5</w:t>
    </w:r>
    <w:r>
      <w:rPr>
        <w:noProof/>
      </w:rPr>
      <w:fldChar w:fldCharType="end"/>
    </w:r>
  </w:p>
  <w:p w14:paraId="62A0B3EA" w14:textId="77777777" w:rsidR="00A56722" w:rsidRDefault="00A56722" w:rsidP="0025788F">
    <w:pPr>
      <w:pStyle w:val="Footer"/>
      <w:tabs>
        <w:tab w:val="clear" w:pos="4320"/>
        <w:tab w:val="clear" w:pos="8640"/>
        <w:tab w:val="left" w:pos="3345"/>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9023B" w14:textId="77777777" w:rsidR="00A56722" w:rsidRDefault="00A56722">
    <w:pPr>
      <w:pStyle w:val="Footer"/>
      <w:jc w:val="center"/>
    </w:pPr>
    <w:r>
      <w:fldChar w:fldCharType="begin"/>
    </w:r>
    <w:r>
      <w:instrText xml:space="preserve"> PAGE   \* MERGEFORMAT </w:instrText>
    </w:r>
    <w:r>
      <w:fldChar w:fldCharType="separate"/>
    </w:r>
    <w:r w:rsidR="00517647">
      <w:rPr>
        <w:noProof/>
      </w:rPr>
      <w:t>1</w:t>
    </w:r>
    <w:r>
      <w:rPr>
        <w:noProof/>
      </w:rPr>
      <w:fldChar w:fldCharType="end"/>
    </w:r>
  </w:p>
  <w:p w14:paraId="2EB7880C" w14:textId="77777777" w:rsidR="00A56722" w:rsidRPr="00E633A3" w:rsidRDefault="00A56722" w:rsidP="00705D9C">
    <w:pPr>
      <w:pStyle w:val="Footer"/>
      <w:ind w:right="360"/>
      <w:rPr>
        <w:rFonts w:ascii="Arial" w:hAnsi="Arial" w:cs="Arial"/>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444327" w14:textId="77777777" w:rsidR="00E26403" w:rsidRDefault="00E26403">
      <w:r>
        <w:separator/>
      </w:r>
    </w:p>
  </w:footnote>
  <w:footnote w:type="continuationSeparator" w:id="0">
    <w:p w14:paraId="0F7A4950" w14:textId="77777777" w:rsidR="00E26403" w:rsidRDefault="00E26403">
      <w:r>
        <w:continuationSeparator/>
      </w:r>
    </w:p>
  </w:footnote>
  <w:footnote w:id="1">
    <w:p w14:paraId="18EA08E3" w14:textId="77777777" w:rsidR="007D1CCA" w:rsidRDefault="007D1CCA">
      <w:pPr>
        <w:pStyle w:val="FootnoteText"/>
      </w:pPr>
      <w:r>
        <w:rPr>
          <w:rStyle w:val="FootnoteReference"/>
        </w:rPr>
        <w:footnoteRef/>
      </w:r>
      <w:r>
        <w:t xml:space="preserve"> Public Health Emergency Declaration dated 01/31/2020. See Exhibit C-3</w:t>
      </w:r>
    </w:p>
  </w:footnote>
  <w:footnote w:id="2">
    <w:p w14:paraId="65639D64" w14:textId="77777777" w:rsidR="007D1CCA" w:rsidRDefault="007D1CCA">
      <w:pPr>
        <w:pStyle w:val="FootnoteText"/>
      </w:pPr>
      <w:r>
        <w:rPr>
          <w:rStyle w:val="FootnoteReference"/>
        </w:rPr>
        <w:footnoteRef/>
      </w:r>
      <w:r>
        <w:t xml:space="preserve"> CMS Press Release dated 03/22/2020. See Exhibit C-4</w:t>
      </w:r>
    </w:p>
  </w:footnote>
  <w:footnote w:id="3">
    <w:p w14:paraId="3999F69F" w14:textId="77777777" w:rsidR="00F13950" w:rsidRDefault="00F13950">
      <w:pPr>
        <w:pStyle w:val="FootnoteText"/>
      </w:pPr>
      <w:r>
        <w:rPr>
          <w:rStyle w:val="FootnoteReference"/>
        </w:rPr>
        <w:footnoteRef/>
      </w:r>
      <w:r>
        <w:t xml:space="preserve"> CMS Memorandum dated 03/27/2020. See Exhibit C-5</w:t>
      </w:r>
    </w:p>
  </w:footnote>
  <w:footnote w:id="4">
    <w:p w14:paraId="6296FDD0" w14:textId="77777777" w:rsidR="00530021" w:rsidRPr="008B46A9" w:rsidRDefault="00530021" w:rsidP="00530021">
      <w:pPr>
        <w:rPr>
          <w:rFonts w:ascii="Calibri" w:hAnsi="Calibri"/>
        </w:rPr>
      </w:pPr>
      <w:r w:rsidRPr="008B46A9">
        <w:rPr>
          <w:rStyle w:val="FootnoteReference"/>
          <w:rFonts w:ascii="Calibri" w:hAnsi="Calibri"/>
        </w:rPr>
        <w:footnoteRef/>
      </w:r>
      <w:r w:rsidRPr="008B46A9">
        <w:rPr>
          <w:rFonts w:ascii="Calibri" w:hAnsi="Calibri"/>
        </w:rPr>
        <w:t xml:space="preserve"> See </w:t>
      </w:r>
      <w:hyperlink r:id="rId1" w:history="1">
        <w:r w:rsidRPr="008B46A9">
          <w:rPr>
            <w:rStyle w:val="Hyperlink"/>
            <w:rFonts w:ascii="Calibri" w:hAnsi="Calibri"/>
          </w:rPr>
          <w:t>http://www.cdc.gov/nhsn/</w:t>
        </w:r>
      </w:hyperlink>
      <w:r w:rsidRPr="008B46A9">
        <w:rPr>
          <w:rFonts w:ascii="Calibri" w:hAnsi="Calibri"/>
        </w:rPr>
        <w:t xml:space="preserve"> - The NHSN is a secure, Internet-based surveillance system maintained and managed by the CDC, and can be utilized by all types of healthcare facilities in the United States, including acute care hospitals, long term acute care hospitals, psychiatric hospitals, rehabilitation hospitals, outpatient dialysis centers, ambulatory surgery centers, and long term care facilities. The NHSN enables healthcare facilities to collect and use data about HAIs, adherence to clinical practices known to prevent HAIs, the incidence or prevalence of multidrug-resistant organisms within their organizations, and other adverse events.</w:t>
      </w:r>
    </w:p>
  </w:footnote>
  <w:footnote w:id="5">
    <w:p w14:paraId="5593FC6A" w14:textId="77777777" w:rsidR="00311B09" w:rsidRDefault="00311B09" w:rsidP="00311B09">
      <w:pPr>
        <w:pStyle w:val="FootnoteText"/>
      </w:pPr>
      <w:r>
        <w:rPr>
          <w:rStyle w:val="FootnoteReference"/>
        </w:rPr>
        <w:footnoteRef/>
      </w:r>
      <w:r>
        <w:t xml:space="preserve"> 42 C.F.R. § 413.360(a)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AD6B1" w14:textId="77777777" w:rsidR="001802E5" w:rsidRDefault="001802E5" w:rsidP="0026588E">
    <w:pPr>
      <w:pStyle w:val="Header"/>
      <w:jc w:val="right"/>
    </w:pPr>
    <w:r>
      <w:t xml:space="preserve">PRRB Case Number </w:t>
    </w:r>
    <w:r w:rsidR="001916BD">
      <w:t>22-0947GC</w:t>
    </w:r>
  </w:p>
  <w:p w14:paraId="4C9B1B84" w14:textId="77777777" w:rsidR="001802E5" w:rsidRDefault="001802E5" w:rsidP="0026588E">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17647">
      <w:rPr>
        <w:b/>
        <w:bCs/>
        <w:noProof/>
      </w:rPr>
      <w:t>5</w:t>
    </w:r>
    <w:r>
      <w:rPr>
        <w:b/>
        <w:bCs/>
        <w:sz w:val="24"/>
        <w:szCs w:val="24"/>
      </w:rPr>
      <w:fldChar w:fldCharType="end"/>
    </w:r>
    <w:r>
      <w:t xml:space="preserve"> of </w:t>
    </w:r>
    <w:r w:rsidR="00800D2F">
      <w:rPr>
        <w:b/>
        <w:bCs/>
        <w:sz w:val="24"/>
        <w:szCs w:val="24"/>
      </w:rPr>
      <w:t>13</w:t>
    </w:r>
  </w:p>
  <w:p w14:paraId="757B8146" w14:textId="77777777" w:rsidR="001802E5" w:rsidRDefault="001802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EC94C3" w14:textId="77777777" w:rsidR="001802E5" w:rsidRDefault="001802E5" w:rsidP="0026588E">
    <w:pPr>
      <w:pStyle w:val="Header"/>
      <w:jc w:val="right"/>
    </w:pPr>
    <w:r>
      <w:t xml:space="preserve">PRRB Case Number </w:t>
    </w:r>
    <w:r w:rsidR="001916BD">
      <w:t>22-0947GC</w:t>
    </w:r>
  </w:p>
  <w:p w14:paraId="2113CCCA" w14:textId="77777777" w:rsidR="001802E5" w:rsidRDefault="001802E5" w:rsidP="0026588E">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17647">
      <w:rPr>
        <w:b/>
        <w:bCs/>
        <w:noProof/>
      </w:rPr>
      <w:t>1</w:t>
    </w:r>
    <w:r>
      <w:rPr>
        <w:b/>
        <w:bCs/>
        <w:sz w:val="24"/>
        <w:szCs w:val="24"/>
      </w:rPr>
      <w:fldChar w:fldCharType="end"/>
    </w:r>
    <w:r>
      <w:t xml:space="preserve"> of </w:t>
    </w:r>
    <w:r w:rsidR="00800D2F">
      <w:rPr>
        <w:b/>
        <w:bCs/>
        <w:sz w:val="24"/>
        <w:szCs w:val="24"/>
      </w:rPr>
      <w:t>13</w:t>
    </w:r>
  </w:p>
  <w:p w14:paraId="0FA433F5" w14:textId="77777777" w:rsidR="001802E5" w:rsidRDefault="001802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A5105A"/>
    <w:multiLevelType w:val="hybridMultilevel"/>
    <w:tmpl w:val="08B208E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8DB526A"/>
    <w:multiLevelType w:val="hybridMultilevel"/>
    <w:tmpl w:val="DBEEE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690480"/>
    <w:multiLevelType w:val="hybridMultilevel"/>
    <w:tmpl w:val="6034032A"/>
    <w:lvl w:ilvl="0" w:tplc="A2FAFC86">
      <w:start w:val="1"/>
      <w:numFmt w:val="decimal"/>
      <w:lvlText w:val="%1)"/>
      <w:lvlJc w:val="left"/>
      <w:pPr>
        <w:tabs>
          <w:tab w:val="num" w:pos="1080"/>
        </w:tabs>
        <w:ind w:left="1080" w:hanging="720"/>
      </w:pPr>
      <w:rPr>
        <w:rFonts w:hint="default"/>
      </w:rPr>
    </w:lvl>
    <w:lvl w:ilvl="1" w:tplc="E0F24B48">
      <w:start w:val="2"/>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3E36970"/>
    <w:multiLevelType w:val="hybridMultilevel"/>
    <w:tmpl w:val="9738C96A"/>
    <w:lvl w:ilvl="0" w:tplc="94D8A65C">
      <w:start w:val="1"/>
      <w:numFmt w:val="upperLetter"/>
      <w:lvlText w:val="(%1)"/>
      <w:lvlJc w:val="left"/>
      <w:pPr>
        <w:tabs>
          <w:tab w:val="num" w:pos="1455"/>
        </w:tabs>
        <w:ind w:left="1455" w:hanging="405"/>
      </w:pPr>
      <w:rPr>
        <w:rFonts w:hint="default"/>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4" w15:restartNumberingAfterBreak="0">
    <w:nsid w:val="2438331F"/>
    <w:multiLevelType w:val="hybridMultilevel"/>
    <w:tmpl w:val="D90E6D06"/>
    <w:lvl w:ilvl="0" w:tplc="3F8A00DC">
      <w:start w:val="3"/>
      <w:numFmt w:val="upperLetter"/>
      <w:lvlText w:val="%1."/>
      <w:lvlJc w:val="left"/>
      <w:pPr>
        <w:tabs>
          <w:tab w:val="num" w:pos="360"/>
        </w:tabs>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9D5A46"/>
    <w:multiLevelType w:val="hybridMultilevel"/>
    <w:tmpl w:val="B64AE088"/>
    <w:lvl w:ilvl="0" w:tplc="917EF30C">
      <w:start w:val="1"/>
      <w:numFmt w:val="upperLetter"/>
      <w:lvlText w:val="(%1)"/>
      <w:lvlJc w:val="left"/>
      <w:pPr>
        <w:tabs>
          <w:tab w:val="num" w:pos="1455"/>
        </w:tabs>
        <w:ind w:left="1455" w:hanging="405"/>
      </w:pPr>
      <w:rPr>
        <w:rFonts w:cs="Arial" w:hint="default"/>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6" w15:restartNumberingAfterBreak="0">
    <w:nsid w:val="2DE15923"/>
    <w:multiLevelType w:val="hybridMultilevel"/>
    <w:tmpl w:val="EB2CB146"/>
    <w:lvl w:ilvl="0" w:tplc="1AC455A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2FF74666"/>
    <w:multiLevelType w:val="multilevel"/>
    <w:tmpl w:val="DABA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4E34FB"/>
    <w:multiLevelType w:val="hybridMultilevel"/>
    <w:tmpl w:val="D62E2264"/>
    <w:lvl w:ilvl="0" w:tplc="75187C94">
      <w:start w:val="3"/>
      <w:numFmt w:val="upperLetter"/>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9" w15:restartNumberingAfterBreak="0">
    <w:nsid w:val="34EF7926"/>
    <w:multiLevelType w:val="hybridMultilevel"/>
    <w:tmpl w:val="D3FAB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8A05A5"/>
    <w:multiLevelType w:val="singleLevel"/>
    <w:tmpl w:val="8E5CC958"/>
    <w:lvl w:ilvl="0">
      <w:start w:val="1"/>
      <w:numFmt w:val="lowerRoman"/>
      <w:lvlText w:val="(%1)"/>
      <w:lvlJc w:val="left"/>
      <w:pPr>
        <w:tabs>
          <w:tab w:val="num" w:pos="720"/>
        </w:tabs>
        <w:ind w:left="720" w:hanging="720"/>
      </w:pPr>
      <w:rPr>
        <w:rFonts w:hint="default"/>
      </w:rPr>
    </w:lvl>
  </w:abstractNum>
  <w:abstractNum w:abstractNumId="11" w15:restartNumberingAfterBreak="0">
    <w:nsid w:val="3BCF2A8F"/>
    <w:multiLevelType w:val="hybridMultilevel"/>
    <w:tmpl w:val="FB8A9436"/>
    <w:lvl w:ilvl="0" w:tplc="4DD2F900">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BB76632"/>
    <w:multiLevelType w:val="singleLevel"/>
    <w:tmpl w:val="D3888146"/>
    <w:lvl w:ilvl="0">
      <w:start w:val="1"/>
      <w:numFmt w:val="decimal"/>
      <w:lvlText w:val="(%1)"/>
      <w:lvlJc w:val="left"/>
      <w:pPr>
        <w:tabs>
          <w:tab w:val="num" w:pos="1800"/>
        </w:tabs>
        <w:ind w:left="1800" w:hanging="360"/>
      </w:pPr>
      <w:rPr>
        <w:rFonts w:hint="default"/>
      </w:rPr>
    </w:lvl>
  </w:abstractNum>
  <w:abstractNum w:abstractNumId="13" w15:restartNumberingAfterBreak="0">
    <w:nsid w:val="4FC04DB3"/>
    <w:multiLevelType w:val="hybridMultilevel"/>
    <w:tmpl w:val="81AAFE6E"/>
    <w:lvl w:ilvl="0" w:tplc="7AFEBE9E">
      <w:start w:val="1"/>
      <w:numFmt w:val="upperLetter"/>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545C25AA"/>
    <w:multiLevelType w:val="singleLevel"/>
    <w:tmpl w:val="4AF86FEC"/>
    <w:lvl w:ilvl="0">
      <w:start w:val="1"/>
      <w:numFmt w:val="decimal"/>
      <w:lvlText w:val="(%1)"/>
      <w:lvlJc w:val="left"/>
      <w:pPr>
        <w:tabs>
          <w:tab w:val="num" w:pos="960"/>
        </w:tabs>
        <w:ind w:left="960" w:hanging="360"/>
      </w:pPr>
      <w:rPr>
        <w:rFonts w:hint="default"/>
      </w:rPr>
    </w:lvl>
  </w:abstractNum>
  <w:abstractNum w:abstractNumId="15" w15:restartNumberingAfterBreak="0">
    <w:nsid w:val="555E3A2C"/>
    <w:multiLevelType w:val="hybridMultilevel"/>
    <w:tmpl w:val="F57E923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5A84D04"/>
    <w:multiLevelType w:val="hybridMultilevel"/>
    <w:tmpl w:val="CEA8C2CA"/>
    <w:lvl w:ilvl="0" w:tplc="EE303DBC">
      <w:start w:val="1"/>
      <w:numFmt w:val="upperLetter"/>
      <w:lvlText w:val="(%1)"/>
      <w:lvlJc w:val="left"/>
      <w:pPr>
        <w:tabs>
          <w:tab w:val="num" w:pos="1350"/>
        </w:tabs>
        <w:ind w:left="1350" w:hanging="39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7" w15:restartNumberingAfterBreak="0">
    <w:nsid w:val="562E5EDC"/>
    <w:multiLevelType w:val="singleLevel"/>
    <w:tmpl w:val="DA348254"/>
    <w:lvl w:ilvl="0">
      <w:start w:val="1"/>
      <w:numFmt w:val="decimal"/>
      <w:lvlText w:val="(%1)"/>
      <w:lvlJc w:val="left"/>
      <w:pPr>
        <w:tabs>
          <w:tab w:val="num" w:pos="1440"/>
        </w:tabs>
        <w:ind w:left="1440" w:hanging="720"/>
      </w:pPr>
      <w:rPr>
        <w:rFonts w:hint="default"/>
      </w:rPr>
    </w:lvl>
  </w:abstractNum>
  <w:abstractNum w:abstractNumId="18" w15:restartNumberingAfterBreak="0">
    <w:nsid w:val="587E2E49"/>
    <w:multiLevelType w:val="hybridMultilevel"/>
    <w:tmpl w:val="D69A5B70"/>
    <w:lvl w:ilvl="0" w:tplc="C9E27A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9EA2F35"/>
    <w:multiLevelType w:val="hybridMultilevel"/>
    <w:tmpl w:val="88721178"/>
    <w:lvl w:ilvl="0" w:tplc="5090324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2ED6E22"/>
    <w:multiLevelType w:val="multilevel"/>
    <w:tmpl w:val="BE38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6867604"/>
    <w:multiLevelType w:val="hybridMultilevel"/>
    <w:tmpl w:val="B658F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3D62FD"/>
    <w:multiLevelType w:val="multilevel"/>
    <w:tmpl w:val="C5D63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C401BBE"/>
    <w:multiLevelType w:val="hybridMultilevel"/>
    <w:tmpl w:val="F078DD86"/>
    <w:lvl w:ilvl="0" w:tplc="861A3A00">
      <w:start w:val="1"/>
      <w:numFmt w:val="decimal"/>
      <w:lvlText w:val="%1."/>
      <w:lvlJc w:val="left"/>
      <w:pPr>
        <w:ind w:left="54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DD2636"/>
    <w:multiLevelType w:val="singleLevel"/>
    <w:tmpl w:val="3C4EEC9E"/>
    <w:lvl w:ilvl="0">
      <w:start w:val="1"/>
      <w:numFmt w:val="decimal"/>
      <w:lvlText w:val="%1."/>
      <w:lvlJc w:val="left"/>
      <w:pPr>
        <w:tabs>
          <w:tab w:val="num" w:pos="1080"/>
        </w:tabs>
        <w:ind w:left="1080" w:hanging="360"/>
      </w:pPr>
      <w:rPr>
        <w:rFonts w:hint="default"/>
      </w:rPr>
    </w:lvl>
  </w:abstractNum>
  <w:abstractNum w:abstractNumId="25" w15:restartNumberingAfterBreak="0">
    <w:nsid w:val="6F863473"/>
    <w:multiLevelType w:val="hybridMultilevel"/>
    <w:tmpl w:val="9754F3B0"/>
    <w:lvl w:ilvl="0" w:tplc="79D084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0EF3F06"/>
    <w:multiLevelType w:val="hybridMultilevel"/>
    <w:tmpl w:val="5DEEE4A4"/>
    <w:lvl w:ilvl="0" w:tplc="861A3A00">
      <w:start w:val="1"/>
      <w:numFmt w:val="decimal"/>
      <w:lvlText w:val="%1."/>
      <w:lvlJc w:val="left"/>
      <w:pPr>
        <w:ind w:left="547" w:hanging="36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27" w15:restartNumberingAfterBreak="0">
    <w:nsid w:val="74023771"/>
    <w:multiLevelType w:val="hybridMultilevel"/>
    <w:tmpl w:val="5106D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5E7A4C"/>
    <w:multiLevelType w:val="hybridMultilevel"/>
    <w:tmpl w:val="6DE21672"/>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9" w15:restartNumberingAfterBreak="0">
    <w:nsid w:val="74790C53"/>
    <w:multiLevelType w:val="singleLevel"/>
    <w:tmpl w:val="EF32CF46"/>
    <w:lvl w:ilvl="0">
      <w:start w:val="1"/>
      <w:numFmt w:val="upperLetter"/>
      <w:lvlText w:val="(%1)"/>
      <w:lvlJc w:val="left"/>
      <w:pPr>
        <w:tabs>
          <w:tab w:val="num" w:pos="1110"/>
        </w:tabs>
        <w:ind w:left="1110" w:hanging="390"/>
      </w:pPr>
      <w:rPr>
        <w:rFonts w:hint="default"/>
      </w:rPr>
    </w:lvl>
  </w:abstractNum>
  <w:num w:numId="1" w16cid:durableId="734664975">
    <w:abstractNumId w:val="14"/>
  </w:num>
  <w:num w:numId="2" w16cid:durableId="96410878">
    <w:abstractNumId w:val="10"/>
  </w:num>
  <w:num w:numId="3" w16cid:durableId="1966739711">
    <w:abstractNumId w:val="29"/>
  </w:num>
  <w:num w:numId="4" w16cid:durableId="767851397">
    <w:abstractNumId w:val="12"/>
  </w:num>
  <w:num w:numId="5" w16cid:durableId="1604454366">
    <w:abstractNumId w:val="17"/>
  </w:num>
  <w:num w:numId="6" w16cid:durableId="1844855938">
    <w:abstractNumId w:val="6"/>
  </w:num>
  <w:num w:numId="7" w16cid:durableId="1878814690">
    <w:abstractNumId w:val="13"/>
  </w:num>
  <w:num w:numId="8" w16cid:durableId="2099864561">
    <w:abstractNumId w:val="24"/>
  </w:num>
  <w:num w:numId="9" w16cid:durableId="1842086867">
    <w:abstractNumId w:val="3"/>
  </w:num>
  <w:num w:numId="10" w16cid:durableId="1702129929">
    <w:abstractNumId w:val="5"/>
  </w:num>
  <w:num w:numId="11" w16cid:durableId="1063599129">
    <w:abstractNumId w:val="16"/>
  </w:num>
  <w:num w:numId="12" w16cid:durableId="1180849679">
    <w:abstractNumId w:val="8"/>
  </w:num>
  <w:num w:numId="13" w16cid:durableId="956377726">
    <w:abstractNumId w:val="11"/>
  </w:num>
  <w:num w:numId="14" w16cid:durableId="1303539627">
    <w:abstractNumId w:val="2"/>
  </w:num>
  <w:num w:numId="15" w16cid:durableId="1210193543">
    <w:abstractNumId w:val="15"/>
  </w:num>
  <w:num w:numId="16" w16cid:durableId="1578051285">
    <w:abstractNumId w:val="4"/>
  </w:num>
  <w:num w:numId="17" w16cid:durableId="2059435384">
    <w:abstractNumId w:val="26"/>
  </w:num>
  <w:num w:numId="18" w16cid:durableId="711156859">
    <w:abstractNumId w:val="23"/>
  </w:num>
  <w:num w:numId="19" w16cid:durableId="98839324">
    <w:abstractNumId w:val="28"/>
  </w:num>
  <w:num w:numId="20" w16cid:durableId="373386100">
    <w:abstractNumId w:val="1"/>
  </w:num>
  <w:num w:numId="21" w16cid:durableId="263391562">
    <w:abstractNumId w:val="20"/>
  </w:num>
  <w:num w:numId="22" w16cid:durableId="462502540">
    <w:abstractNumId w:val="22"/>
  </w:num>
  <w:num w:numId="23" w16cid:durableId="1230731944">
    <w:abstractNumId w:val="21"/>
  </w:num>
  <w:num w:numId="24" w16cid:durableId="1413695918">
    <w:abstractNumId w:val="0"/>
  </w:num>
  <w:num w:numId="25" w16cid:durableId="1703940396">
    <w:abstractNumId w:val="9"/>
  </w:num>
  <w:num w:numId="26" w16cid:durableId="1868714457">
    <w:abstractNumId w:val="18"/>
  </w:num>
  <w:num w:numId="27" w16cid:durableId="990870229">
    <w:abstractNumId w:val="25"/>
  </w:num>
  <w:num w:numId="28" w16cid:durableId="238827359">
    <w:abstractNumId w:val="19"/>
  </w:num>
  <w:num w:numId="29" w16cid:durableId="2105957910">
    <w:abstractNumId w:val="7"/>
  </w:num>
  <w:num w:numId="30" w16cid:durableId="77930230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ValidSession" w:val="False"/>
  </w:docVars>
  <w:rsids>
    <w:rsidRoot w:val="001D5DD4"/>
    <w:rsid w:val="000009A0"/>
    <w:rsid w:val="000009FB"/>
    <w:rsid w:val="00001615"/>
    <w:rsid w:val="00002534"/>
    <w:rsid w:val="000037C9"/>
    <w:rsid w:val="000039F5"/>
    <w:rsid w:val="00004ECA"/>
    <w:rsid w:val="00005611"/>
    <w:rsid w:val="00007B57"/>
    <w:rsid w:val="00011157"/>
    <w:rsid w:val="00012C1E"/>
    <w:rsid w:val="000213FD"/>
    <w:rsid w:val="00023C85"/>
    <w:rsid w:val="00025DBF"/>
    <w:rsid w:val="00025FFE"/>
    <w:rsid w:val="000276C2"/>
    <w:rsid w:val="00030BED"/>
    <w:rsid w:val="00033BAF"/>
    <w:rsid w:val="00033DD4"/>
    <w:rsid w:val="0003405B"/>
    <w:rsid w:val="000512A9"/>
    <w:rsid w:val="000513D1"/>
    <w:rsid w:val="0005504D"/>
    <w:rsid w:val="00055DF0"/>
    <w:rsid w:val="00063706"/>
    <w:rsid w:val="0006506C"/>
    <w:rsid w:val="00065C50"/>
    <w:rsid w:val="00066CFD"/>
    <w:rsid w:val="00067202"/>
    <w:rsid w:val="000678C7"/>
    <w:rsid w:val="0007077A"/>
    <w:rsid w:val="00070AE1"/>
    <w:rsid w:val="000751B1"/>
    <w:rsid w:val="000765B0"/>
    <w:rsid w:val="000771F0"/>
    <w:rsid w:val="00077AB4"/>
    <w:rsid w:val="00077C88"/>
    <w:rsid w:val="000803BE"/>
    <w:rsid w:val="00080607"/>
    <w:rsid w:val="00082396"/>
    <w:rsid w:val="0008622A"/>
    <w:rsid w:val="00086F7D"/>
    <w:rsid w:val="000922F1"/>
    <w:rsid w:val="000931AF"/>
    <w:rsid w:val="000942EB"/>
    <w:rsid w:val="0009483C"/>
    <w:rsid w:val="00096477"/>
    <w:rsid w:val="000A1D2C"/>
    <w:rsid w:val="000A2FFF"/>
    <w:rsid w:val="000A3FC8"/>
    <w:rsid w:val="000A6A61"/>
    <w:rsid w:val="000A6E80"/>
    <w:rsid w:val="000B06D1"/>
    <w:rsid w:val="000B0AFA"/>
    <w:rsid w:val="000B13E7"/>
    <w:rsid w:val="000B3465"/>
    <w:rsid w:val="000B496C"/>
    <w:rsid w:val="000B52AB"/>
    <w:rsid w:val="000B5B35"/>
    <w:rsid w:val="000C1840"/>
    <w:rsid w:val="000C1D7F"/>
    <w:rsid w:val="000C20A1"/>
    <w:rsid w:val="000C25DB"/>
    <w:rsid w:val="000C32DD"/>
    <w:rsid w:val="000C4C1A"/>
    <w:rsid w:val="000C53AF"/>
    <w:rsid w:val="000C6A18"/>
    <w:rsid w:val="000C79C5"/>
    <w:rsid w:val="000D2965"/>
    <w:rsid w:val="000D379D"/>
    <w:rsid w:val="000D47DE"/>
    <w:rsid w:val="000D57C8"/>
    <w:rsid w:val="000D74A4"/>
    <w:rsid w:val="000E022D"/>
    <w:rsid w:val="000E080E"/>
    <w:rsid w:val="000E1939"/>
    <w:rsid w:val="000E1AC5"/>
    <w:rsid w:val="000E2298"/>
    <w:rsid w:val="000E6342"/>
    <w:rsid w:val="000F1B61"/>
    <w:rsid w:val="000F2C24"/>
    <w:rsid w:val="000F2CED"/>
    <w:rsid w:val="000F316C"/>
    <w:rsid w:val="000F53A5"/>
    <w:rsid w:val="000F68A3"/>
    <w:rsid w:val="000F7296"/>
    <w:rsid w:val="000F7DBC"/>
    <w:rsid w:val="00100888"/>
    <w:rsid w:val="00103189"/>
    <w:rsid w:val="00107B69"/>
    <w:rsid w:val="00111646"/>
    <w:rsid w:val="00111EC4"/>
    <w:rsid w:val="00114C92"/>
    <w:rsid w:val="00114F15"/>
    <w:rsid w:val="00114FAF"/>
    <w:rsid w:val="00116F29"/>
    <w:rsid w:val="00123BA0"/>
    <w:rsid w:val="001245E3"/>
    <w:rsid w:val="00124953"/>
    <w:rsid w:val="00125330"/>
    <w:rsid w:val="00126849"/>
    <w:rsid w:val="00126ABF"/>
    <w:rsid w:val="00126B2A"/>
    <w:rsid w:val="001317EF"/>
    <w:rsid w:val="0013311E"/>
    <w:rsid w:val="00134E67"/>
    <w:rsid w:val="00135E71"/>
    <w:rsid w:val="0014111C"/>
    <w:rsid w:val="00141F51"/>
    <w:rsid w:val="00141F56"/>
    <w:rsid w:val="001425B3"/>
    <w:rsid w:val="00144596"/>
    <w:rsid w:val="00145E71"/>
    <w:rsid w:val="00147D16"/>
    <w:rsid w:val="00150F79"/>
    <w:rsid w:val="001536AE"/>
    <w:rsid w:val="001560EF"/>
    <w:rsid w:val="00156801"/>
    <w:rsid w:val="00157840"/>
    <w:rsid w:val="001633E8"/>
    <w:rsid w:val="00166108"/>
    <w:rsid w:val="001669BC"/>
    <w:rsid w:val="00166DF2"/>
    <w:rsid w:val="00171C92"/>
    <w:rsid w:val="001733E1"/>
    <w:rsid w:val="001740F0"/>
    <w:rsid w:val="0017588B"/>
    <w:rsid w:val="00176BD0"/>
    <w:rsid w:val="001802E5"/>
    <w:rsid w:val="001814A3"/>
    <w:rsid w:val="0018175E"/>
    <w:rsid w:val="00182BF8"/>
    <w:rsid w:val="001864D6"/>
    <w:rsid w:val="001878E9"/>
    <w:rsid w:val="001916BD"/>
    <w:rsid w:val="00192A95"/>
    <w:rsid w:val="00194FBE"/>
    <w:rsid w:val="001961A0"/>
    <w:rsid w:val="00196B90"/>
    <w:rsid w:val="001A0031"/>
    <w:rsid w:val="001A17AE"/>
    <w:rsid w:val="001A4258"/>
    <w:rsid w:val="001A4A7C"/>
    <w:rsid w:val="001A5233"/>
    <w:rsid w:val="001A67EB"/>
    <w:rsid w:val="001B0913"/>
    <w:rsid w:val="001B0B07"/>
    <w:rsid w:val="001B4E4E"/>
    <w:rsid w:val="001B6986"/>
    <w:rsid w:val="001C1749"/>
    <w:rsid w:val="001C2288"/>
    <w:rsid w:val="001C24DA"/>
    <w:rsid w:val="001C5039"/>
    <w:rsid w:val="001C7212"/>
    <w:rsid w:val="001C77F3"/>
    <w:rsid w:val="001C7A9D"/>
    <w:rsid w:val="001D2217"/>
    <w:rsid w:val="001D5DD4"/>
    <w:rsid w:val="001F2298"/>
    <w:rsid w:val="001F5CE0"/>
    <w:rsid w:val="00202A94"/>
    <w:rsid w:val="00202D98"/>
    <w:rsid w:val="00203369"/>
    <w:rsid w:val="00203FAF"/>
    <w:rsid w:val="00204448"/>
    <w:rsid w:val="0021284C"/>
    <w:rsid w:val="002128F9"/>
    <w:rsid w:val="00213BB5"/>
    <w:rsid w:val="00214253"/>
    <w:rsid w:val="00215CE4"/>
    <w:rsid w:val="00216304"/>
    <w:rsid w:val="0021694B"/>
    <w:rsid w:val="00217371"/>
    <w:rsid w:val="002176F4"/>
    <w:rsid w:val="00224406"/>
    <w:rsid w:val="002248E8"/>
    <w:rsid w:val="00226BCA"/>
    <w:rsid w:val="00227C4B"/>
    <w:rsid w:val="00232794"/>
    <w:rsid w:val="00232893"/>
    <w:rsid w:val="00232C5A"/>
    <w:rsid w:val="00232D64"/>
    <w:rsid w:val="00232F1A"/>
    <w:rsid w:val="00233AF1"/>
    <w:rsid w:val="00237B50"/>
    <w:rsid w:val="002429D1"/>
    <w:rsid w:val="002433D5"/>
    <w:rsid w:val="00244B03"/>
    <w:rsid w:val="00245C9B"/>
    <w:rsid w:val="00250CBC"/>
    <w:rsid w:val="00254268"/>
    <w:rsid w:val="0025788F"/>
    <w:rsid w:val="0026085F"/>
    <w:rsid w:val="0026122A"/>
    <w:rsid w:val="002634AE"/>
    <w:rsid w:val="0026588E"/>
    <w:rsid w:val="002729BC"/>
    <w:rsid w:val="002847BF"/>
    <w:rsid w:val="00285CE7"/>
    <w:rsid w:val="00290A8C"/>
    <w:rsid w:val="0029276C"/>
    <w:rsid w:val="00294277"/>
    <w:rsid w:val="0029482E"/>
    <w:rsid w:val="00297978"/>
    <w:rsid w:val="00297FA2"/>
    <w:rsid w:val="002A1AB2"/>
    <w:rsid w:val="002A35AE"/>
    <w:rsid w:val="002A5E92"/>
    <w:rsid w:val="002A6596"/>
    <w:rsid w:val="002A6D18"/>
    <w:rsid w:val="002A6FDA"/>
    <w:rsid w:val="002B05E2"/>
    <w:rsid w:val="002B4B26"/>
    <w:rsid w:val="002B57FC"/>
    <w:rsid w:val="002B6191"/>
    <w:rsid w:val="002B63F8"/>
    <w:rsid w:val="002C0490"/>
    <w:rsid w:val="002C0833"/>
    <w:rsid w:val="002C1790"/>
    <w:rsid w:val="002C193A"/>
    <w:rsid w:val="002C1BA6"/>
    <w:rsid w:val="002C4D66"/>
    <w:rsid w:val="002C4EA3"/>
    <w:rsid w:val="002C67FC"/>
    <w:rsid w:val="002D022D"/>
    <w:rsid w:val="002D123F"/>
    <w:rsid w:val="002D162F"/>
    <w:rsid w:val="002D2932"/>
    <w:rsid w:val="002D6FCA"/>
    <w:rsid w:val="002E18AB"/>
    <w:rsid w:val="002E232E"/>
    <w:rsid w:val="002E2F92"/>
    <w:rsid w:val="002E32BA"/>
    <w:rsid w:val="002E3B6E"/>
    <w:rsid w:val="002E3E88"/>
    <w:rsid w:val="002E4CA2"/>
    <w:rsid w:val="002E7C9C"/>
    <w:rsid w:val="002F0A83"/>
    <w:rsid w:val="002F0CA1"/>
    <w:rsid w:val="002F3951"/>
    <w:rsid w:val="002F5748"/>
    <w:rsid w:val="002F7B3E"/>
    <w:rsid w:val="002F7D30"/>
    <w:rsid w:val="00300751"/>
    <w:rsid w:val="003009E0"/>
    <w:rsid w:val="00302D40"/>
    <w:rsid w:val="0030508B"/>
    <w:rsid w:val="00307781"/>
    <w:rsid w:val="00310923"/>
    <w:rsid w:val="00311B09"/>
    <w:rsid w:val="00316176"/>
    <w:rsid w:val="00320A0A"/>
    <w:rsid w:val="003211A5"/>
    <w:rsid w:val="0032135F"/>
    <w:rsid w:val="00322256"/>
    <w:rsid w:val="00325AA7"/>
    <w:rsid w:val="00330A10"/>
    <w:rsid w:val="00335807"/>
    <w:rsid w:val="00336577"/>
    <w:rsid w:val="003428B0"/>
    <w:rsid w:val="003441B5"/>
    <w:rsid w:val="00345F1F"/>
    <w:rsid w:val="0035002C"/>
    <w:rsid w:val="00356FEF"/>
    <w:rsid w:val="003614FC"/>
    <w:rsid w:val="00361808"/>
    <w:rsid w:val="003622F9"/>
    <w:rsid w:val="00362746"/>
    <w:rsid w:val="00362897"/>
    <w:rsid w:val="003660A3"/>
    <w:rsid w:val="00367DCB"/>
    <w:rsid w:val="00373C46"/>
    <w:rsid w:val="00375A7B"/>
    <w:rsid w:val="0037648B"/>
    <w:rsid w:val="00376545"/>
    <w:rsid w:val="0037673A"/>
    <w:rsid w:val="00380C41"/>
    <w:rsid w:val="00381095"/>
    <w:rsid w:val="00381482"/>
    <w:rsid w:val="00384CBE"/>
    <w:rsid w:val="003853C5"/>
    <w:rsid w:val="00386073"/>
    <w:rsid w:val="0039002B"/>
    <w:rsid w:val="003957D8"/>
    <w:rsid w:val="003A12D8"/>
    <w:rsid w:val="003A60B2"/>
    <w:rsid w:val="003A725C"/>
    <w:rsid w:val="003A769D"/>
    <w:rsid w:val="003B2D2A"/>
    <w:rsid w:val="003B52F2"/>
    <w:rsid w:val="003B7E80"/>
    <w:rsid w:val="003C1671"/>
    <w:rsid w:val="003C350E"/>
    <w:rsid w:val="003C3636"/>
    <w:rsid w:val="003C5C0B"/>
    <w:rsid w:val="003C6B9D"/>
    <w:rsid w:val="003D0CF7"/>
    <w:rsid w:val="003D2E8B"/>
    <w:rsid w:val="003D360A"/>
    <w:rsid w:val="003D406D"/>
    <w:rsid w:val="003D6842"/>
    <w:rsid w:val="003E1471"/>
    <w:rsid w:val="003E290D"/>
    <w:rsid w:val="003E5A40"/>
    <w:rsid w:val="003E7FB2"/>
    <w:rsid w:val="003F043D"/>
    <w:rsid w:val="003F075C"/>
    <w:rsid w:val="003F0DD1"/>
    <w:rsid w:val="003F22A5"/>
    <w:rsid w:val="003F2344"/>
    <w:rsid w:val="003F29DF"/>
    <w:rsid w:val="003F4205"/>
    <w:rsid w:val="003F6B62"/>
    <w:rsid w:val="00402C42"/>
    <w:rsid w:val="00403A17"/>
    <w:rsid w:val="00403D97"/>
    <w:rsid w:val="00405301"/>
    <w:rsid w:val="0041025C"/>
    <w:rsid w:val="00411458"/>
    <w:rsid w:val="00414853"/>
    <w:rsid w:val="00417B14"/>
    <w:rsid w:val="00420225"/>
    <w:rsid w:val="00424DFA"/>
    <w:rsid w:val="004270D5"/>
    <w:rsid w:val="004308B3"/>
    <w:rsid w:val="0043489B"/>
    <w:rsid w:val="00435548"/>
    <w:rsid w:val="00435E51"/>
    <w:rsid w:val="00442F9B"/>
    <w:rsid w:val="0044376B"/>
    <w:rsid w:val="004460A2"/>
    <w:rsid w:val="00446296"/>
    <w:rsid w:val="00447193"/>
    <w:rsid w:val="00451A64"/>
    <w:rsid w:val="004546C8"/>
    <w:rsid w:val="00454B45"/>
    <w:rsid w:val="00454DFF"/>
    <w:rsid w:val="00457205"/>
    <w:rsid w:val="00457A34"/>
    <w:rsid w:val="00461CCB"/>
    <w:rsid w:val="00462CB6"/>
    <w:rsid w:val="00463B99"/>
    <w:rsid w:val="00464889"/>
    <w:rsid w:val="00465987"/>
    <w:rsid w:val="00466C24"/>
    <w:rsid w:val="00467E5B"/>
    <w:rsid w:val="0047097B"/>
    <w:rsid w:val="00473C7D"/>
    <w:rsid w:val="00474B07"/>
    <w:rsid w:val="00475047"/>
    <w:rsid w:val="00475D02"/>
    <w:rsid w:val="004801D3"/>
    <w:rsid w:val="004835ED"/>
    <w:rsid w:val="00485159"/>
    <w:rsid w:val="00485338"/>
    <w:rsid w:val="004859E9"/>
    <w:rsid w:val="0048797B"/>
    <w:rsid w:val="00490E35"/>
    <w:rsid w:val="004929AE"/>
    <w:rsid w:val="004934CB"/>
    <w:rsid w:val="004961CB"/>
    <w:rsid w:val="004A1E6F"/>
    <w:rsid w:val="004A2574"/>
    <w:rsid w:val="004A39B7"/>
    <w:rsid w:val="004A5E2C"/>
    <w:rsid w:val="004A6652"/>
    <w:rsid w:val="004A6C5C"/>
    <w:rsid w:val="004A7E36"/>
    <w:rsid w:val="004B0C74"/>
    <w:rsid w:val="004B22DF"/>
    <w:rsid w:val="004B2AD9"/>
    <w:rsid w:val="004B6694"/>
    <w:rsid w:val="004B7714"/>
    <w:rsid w:val="004C109B"/>
    <w:rsid w:val="004C1335"/>
    <w:rsid w:val="004C19EF"/>
    <w:rsid w:val="004C38EC"/>
    <w:rsid w:val="004C4799"/>
    <w:rsid w:val="004D0822"/>
    <w:rsid w:val="004D4585"/>
    <w:rsid w:val="004D6358"/>
    <w:rsid w:val="004E21C4"/>
    <w:rsid w:val="004E2536"/>
    <w:rsid w:val="004E352D"/>
    <w:rsid w:val="004E47CC"/>
    <w:rsid w:val="004E5332"/>
    <w:rsid w:val="004E666C"/>
    <w:rsid w:val="004F0AEE"/>
    <w:rsid w:val="004F11A6"/>
    <w:rsid w:val="004F34FF"/>
    <w:rsid w:val="004F3699"/>
    <w:rsid w:val="004F46F1"/>
    <w:rsid w:val="004F5409"/>
    <w:rsid w:val="004F709D"/>
    <w:rsid w:val="00500061"/>
    <w:rsid w:val="00502515"/>
    <w:rsid w:val="00504057"/>
    <w:rsid w:val="00511012"/>
    <w:rsid w:val="00514642"/>
    <w:rsid w:val="005146F0"/>
    <w:rsid w:val="00515A6B"/>
    <w:rsid w:val="0051743F"/>
    <w:rsid w:val="00517647"/>
    <w:rsid w:val="00517CE2"/>
    <w:rsid w:val="00522C3E"/>
    <w:rsid w:val="00530021"/>
    <w:rsid w:val="00532712"/>
    <w:rsid w:val="00532F7B"/>
    <w:rsid w:val="005332F0"/>
    <w:rsid w:val="00533A7D"/>
    <w:rsid w:val="005401C2"/>
    <w:rsid w:val="00540872"/>
    <w:rsid w:val="005460DA"/>
    <w:rsid w:val="0055071A"/>
    <w:rsid w:val="00554F74"/>
    <w:rsid w:val="0055504A"/>
    <w:rsid w:val="00556485"/>
    <w:rsid w:val="00556DE6"/>
    <w:rsid w:val="00563D35"/>
    <w:rsid w:val="00565427"/>
    <w:rsid w:val="00566C97"/>
    <w:rsid w:val="00567121"/>
    <w:rsid w:val="005721AC"/>
    <w:rsid w:val="0057294D"/>
    <w:rsid w:val="00573404"/>
    <w:rsid w:val="005734B1"/>
    <w:rsid w:val="005739C5"/>
    <w:rsid w:val="0057765D"/>
    <w:rsid w:val="005806E6"/>
    <w:rsid w:val="005826F2"/>
    <w:rsid w:val="00583371"/>
    <w:rsid w:val="0058691F"/>
    <w:rsid w:val="00586FAF"/>
    <w:rsid w:val="0059251D"/>
    <w:rsid w:val="00594958"/>
    <w:rsid w:val="005966C4"/>
    <w:rsid w:val="005A335A"/>
    <w:rsid w:val="005A3A83"/>
    <w:rsid w:val="005A3FDD"/>
    <w:rsid w:val="005A4227"/>
    <w:rsid w:val="005A58F9"/>
    <w:rsid w:val="005A7B25"/>
    <w:rsid w:val="005B05A2"/>
    <w:rsid w:val="005B16CC"/>
    <w:rsid w:val="005B1AD2"/>
    <w:rsid w:val="005B216A"/>
    <w:rsid w:val="005B221D"/>
    <w:rsid w:val="005B3639"/>
    <w:rsid w:val="005B4235"/>
    <w:rsid w:val="005B508F"/>
    <w:rsid w:val="005B5659"/>
    <w:rsid w:val="005B5B1C"/>
    <w:rsid w:val="005B63E6"/>
    <w:rsid w:val="005C04A8"/>
    <w:rsid w:val="005C083E"/>
    <w:rsid w:val="005C13C3"/>
    <w:rsid w:val="005C38DA"/>
    <w:rsid w:val="005C528D"/>
    <w:rsid w:val="005C5683"/>
    <w:rsid w:val="005C65ED"/>
    <w:rsid w:val="005C736A"/>
    <w:rsid w:val="005D17C3"/>
    <w:rsid w:val="005D2111"/>
    <w:rsid w:val="005D5C02"/>
    <w:rsid w:val="005D708E"/>
    <w:rsid w:val="005E0E6E"/>
    <w:rsid w:val="005E1217"/>
    <w:rsid w:val="005E17D8"/>
    <w:rsid w:val="005E295E"/>
    <w:rsid w:val="005E5344"/>
    <w:rsid w:val="005E5791"/>
    <w:rsid w:val="005E67F4"/>
    <w:rsid w:val="005E6C45"/>
    <w:rsid w:val="005F164A"/>
    <w:rsid w:val="005F19A2"/>
    <w:rsid w:val="005F22E7"/>
    <w:rsid w:val="005F34AA"/>
    <w:rsid w:val="005F50A1"/>
    <w:rsid w:val="005F5539"/>
    <w:rsid w:val="0060068D"/>
    <w:rsid w:val="00603075"/>
    <w:rsid w:val="0060363E"/>
    <w:rsid w:val="00604509"/>
    <w:rsid w:val="0060656A"/>
    <w:rsid w:val="006079B2"/>
    <w:rsid w:val="006115CD"/>
    <w:rsid w:val="00614351"/>
    <w:rsid w:val="006143B6"/>
    <w:rsid w:val="00614B62"/>
    <w:rsid w:val="0061619B"/>
    <w:rsid w:val="00616526"/>
    <w:rsid w:val="006204C6"/>
    <w:rsid w:val="00620926"/>
    <w:rsid w:val="006224FB"/>
    <w:rsid w:val="006225A7"/>
    <w:rsid w:val="00623F40"/>
    <w:rsid w:val="00624015"/>
    <w:rsid w:val="006263AC"/>
    <w:rsid w:val="00626AEB"/>
    <w:rsid w:val="00626D53"/>
    <w:rsid w:val="006309B1"/>
    <w:rsid w:val="00632325"/>
    <w:rsid w:val="00632D31"/>
    <w:rsid w:val="00640AC3"/>
    <w:rsid w:val="006416FC"/>
    <w:rsid w:val="00646B6D"/>
    <w:rsid w:val="00650F19"/>
    <w:rsid w:val="00661A27"/>
    <w:rsid w:val="00662744"/>
    <w:rsid w:val="00664D48"/>
    <w:rsid w:val="00664E0A"/>
    <w:rsid w:val="00667129"/>
    <w:rsid w:val="00667D1C"/>
    <w:rsid w:val="00673098"/>
    <w:rsid w:val="0067404F"/>
    <w:rsid w:val="0067473E"/>
    <w:rsid w:val="0068668C"/>
    <w:rsid w:val="0068697A"/>
    <w:rsid w:val="00686A2D"/>
    <w:rsid w:val="00687764"/>
    <w:rsid w:val="00691C79"/>
    <w:rsid w:val="0069201E"/>
    <w:rsid w:val="006941F0"/>
    <w:rsid w:val="00696B9B"/>
    <w:rsid w:val="00697029"/>
    <w:rsid w:val="006970F6"/>
    <w:rsid w:val="006A075E"/>
    <w:rsid w:val="006A27BF"/>
    <w:rsid w:val="006A419B"/>
    <w:rsid w:val="006B0607"/>
    <w:rsid w:val="006B4B3B"/>
    <w:rsid w:val="006B6303"/>
    <w:rsid w:val="006C204E"/>
    <w:rsid w:val="006C2596"/>
    <w:rsid w:val="006C481F"/>
    <w:rsid w:val="006C78FC"/>
    <w:rsid w:val="006D2EBB"/>
    <w:rsid w:val="006D4932"/>
    <w:rsid w:val="006D4ED0"/>
    <w:rsid w:val="006D503D"/>
    <w:rsid w:val="006D68E6"/>
    <w:rsid w:val="006E08B4"/>
    <w:rsid w:val="006E18B5"/>
    <w:rsid w:val="006E299F"/>
    <w:rsid w:val="006E2EB2"/>
    <w:rsid w:val="006E4B02"/>
    <w:rsid w:val="006E5FF2"/>
    <w:rsid w:val="006E6566"/>
    <w:rsid w:val="006E6FC9"/>
    <w:rsid w:val="006F1047"/>
    <w:rsid w:val="006F6766"/>
    <w:rsid w:val="00705D9C"/>
    <w:rsid w:val="00711108"/>
    <w:rsid w:val="00712790"/>
    <w:rsid w:val="00715E4F"/>
    <w:rsid w:val="007161B5"/>
    <w:rsid w:val="00717E4A"/>
    <w:rsid w:val="007251DC"/>
    <w:rsid w:val="007260B9"/>
    <w:rsid w:val="00726BBF"/>
    <w:rsid w:val="007314B5"/>
    <w:rsid w:val="00734B3B"/>
    <w:rsid w:val="0074304B"/>
    <w:rsid w:val="00745E77"/>
    <w:rsid w:val="00746ABF"/>
    <w:rsid w:val="00747572"/>
    <w:rsid w:val="00750A9B"/>
    <w:rsid w:val="00751F59"/>
    <w:rsid w:val="00753310"/>
    <w:rsid w:val="007553D6"/>
    <w:rsid w:val="0075592B"/>
    <w:rsid w:val="007564F6"/>
    <w:rsid w:val="00760EF5"/>
    <w:rsid w:val="0076150C"/>
    <w:rsid w:val="00764853"/>
    <w:rsid w:val="00771953"/>
    <w:rsid w:val="00777632"/>
    <w:rsid w:val="007801A6"/>
    <w:rsid w:val="00784CFA"/>
    <w:rsid w:val="00784D4D"/>
    <w:rsid w:val="00786B08"/>
    <w:rsid w:val="00787D22"/>
    <w:rsid w:val="00793A79"/>
    <w:rsid w:val="00794547"/>
    <w:rsid w:val="00794E25"/>
    <w:rsid w:val="00795515"/>
    <w:rsid w:val="00796344"/>
    <w:rsid w:val="007A0ABD"/>
    <w:rsid w:val="007A2748"/>
    <w:rsid w:val="007A6F60"/>
    <w:rsid w:val="007B283B"/>
    <w:rsid w:val="007B336E"/>
    <w:rsid w:val="007C1D25"/>
    <w:rsid w:val="007C2180"/>
    <w:rsid w:val="007C6625"/>
    <w:rsid w:val="007C7895"/>
    <w:rsid w:val="007D1CCA"/>
    <w:rsid w:val="007D33E1"/>
    <w:rsid w:val="007D6EBA"/>
    <w:rsid w:val="007D725F"/>
    <w:rsid w:val="007E202C"/>
    <w:rsid w:val="007F07C3"/>
    <w:rsid w:val="007F1B5C"/>
    <w:rsid w:val="007F2744"/>
    <w:rsid w:val="007F2C8C"/>
    <w:rsid w:val="007F55E4"/>
    <w:rsid w:val="00800D2F"/>
    <w:rsid w:val="008025F0"/>
    <w:rsid w:val="008044A4"/>
    <w:rsid w:val="0080544E"/>
    <w:rsid w:val="00805ECD"/>
    <w:rsid w:val="00820237"/>
    <w:rsid w:val="008216D2"/>
    <w:rsid w:val="00821842"/>
    <w:rsid w:val="00824DEF"/>
    <w:rsid w:val="0082621C"/>
    <w:rsid w:val="00826A67"/>
    <w:rsid w:val="00826B9E"/>
    <w:rsid w:val="00827C2E"/>
    <w:rsid w:val="0083130F"/>
    <w:rsid w:val="0083134F"/>
    <w:rsid w:val="0083284F"/>
    <w:rsid w:val="00832A53"/>
    <w:rsid w:val="00832C70"/>
    <w:rsid w:val="008345FA"/>
    <w:rsid w:val="00834D3E"/>
    <w:rsid w:val="008353B9"/>
    <w:rsid w:val="00835709"/>
    <w:rsid w:val="00836405"/>
    <w:rsid w:val="00836E66"/>
    <w:rsid w:val="00840E89"/>
    <w:rsid w:val="008462DC"/>
    <w:rsid w:val="00847499"/>
    <w:rsid w:val="008510FE"/>
    <w:rsid w:val="00851116"/>
    <w:rsid w:val="0085739B"/>
    <w:rsid w:val="0085758C"/>
    <w:rsid w:val="00857690"/>
    <w:rsid w:val="0086019A"/>
    <w:rsid w:val="008639B0"/>
    <w:rsid w:val="00864914"/>
    <w:rsid w:val="00867AC2"/>
    <w:rsid w:val="00874873"/>
    <w:rsid w:val="00876A6E"/>
    <w:rsid w:val="0087727D"/>
    <w:rsid w:val="008819F5"/>
    <w:rsid w:val="00883807"/>
    <w:rsid w:val="00883D42"/>
    <w:rsid w:val="008918FF"/>
    <w:rsid w:val="008A0B1D"/>
    <w:rsid w:val="008A317A"/>
    <w:rsid w:val="008A359E"/>
    <w:rsid w:val="008A6E62"/>
    <w:rsid w:val="008B0049"/>
    <w:rsid w:val="008B15C9"/>
    <w:rsid w:val="008B29FF"/>
    <w:rsid w:val="008B52DD"/>
    <w:rsid w:val="008B65C7"/>
    <w:rsid w:val="008B7538"/>
    <w:rsid w:val="008C17F4"/>
    <w:rsid w:val="008C290A"/>
    <w:rsid w:val="008C2DE5"/>
    <w:rsid w:val="008D107C"/>
    <w:rsid w:val="008D270C"/>
    <w:rsid w:val="008D3EC5"/>
    <w:rsid w:val="008D6486"/>
    <w:rsid w:val="008D7A4D"/>
    <w:rsid w:val="008E09AC"/>
    <w:rsid w:val="008E0CAB"/>
    <w:rsid w:val="008E105E"/>
    <w:rsid w:val="008E1C9E"/>
    <w:rsid w:val="008E2EB4"/>
    <w:rsid w:val="008E579C"/>
    <w:rsid w:val="008F001D"/>
    <w:rsid w:val="008F0C19"/>
    <w:rsid w:val="008F1A5A"/>
    <w:rsid w:val="008F1C2F"/>
    <w:rsid w:val="008F3983"/>
    <w:rsid w:val="008F462B"/>
    <w:rsid w:val="008F716D"/>
    <w:rsid w:val="008F722D"/>
    <w:rsid w:val="008F78F2"/>
    <w:rsid w:val="0091235D"/>
    <w:rsid w:val="00913B64"/>
    <w:rsid w:val="00920638"/>
    <w:rsid w:val="00920BEA"/>
    <w:rsid w:val="0092156D"/>
    <w:rsid w:val="009235B5"/>
    <w:rsid w:val="0092497D"/>
    <w:rsid w:val="0092708B"/>
    <w:rsid w:val="00927C18"/>
    <w:rsid w:val="009314C8"/>
    <w:rsid w:val="00932D3D"/>
    <w:rsid w:val="009330A4"/>
    <w:rsid w:val="00934E5F"/>
    <w:rsid w:val="00934ECB"/>
    <w:rsid w:val="0094167D"/>
    <w:rsid w:val="0094180D"/>
    <w:rsid w:val="00945A25"/>
    <w:rsid w:val="0095037D"/>
    <w:rsid w:val="00950CD6"/>
    <w:rsid w:val="00951FEC"/>
    <w:rsid w:val="0095220E"/>
    <w:rsid w:val="00952A67"/>
    <w:rsid w:val="009531BC"/>
    <w:rsid w:val="00954179"/>
    <w:rsid w:val="00954A94"/>
    <w:rsid w:val="00957328"/>
    <w:rsid w:val="00957FCE"/>
    <w:rsid w:val="009601BE"/>
    <w:rsid w:val="009602F2"/>
    <w:rsid w:val="009610FA"/>
    <w:rsid w:val="00962861"/>
    <w:rsid w:val="009629C1"/>
    <w:rsid w:val="009633C8"/>
    <w:rsid w:val="00964B94"/>
    <w:rsid w:val="00966578"/>
    <w:rsid w:val="00966AD5"/>
    <w:rsid w:val="00971839"/>
    <w:rsid w:val="00973FA7"/>
    <w:rsid w:val="00974A40"/>
    <w:rsid w:val="00976BAB"/>
    <w:rsid w:val="00977C2C"/>
    <w:rsid w:val="0098196A"/>
    <w:rsid w:val="00981AF5"/>
    <w:rsid w:val="00982642"/>
    <w:rsid w:val="009849A1"/>
    <w:rsid w:val="00984A4F"/>
    <w:rsid w:val="00987D55"/>
    <w:rsid w:val="0099147A"/>
    <w:rsid w:val="00994143"/>
    <w:rsid w:val="009955C8"/>
    <w:rsid w:val="00997F09"/>
    <w:rsid w:val="009B1048"/>
    <w:rsid w:val="009B12B4"/>
    <w:rsid w:val="009B1FFD"/>
    <w:rsid w:val="009B4C8A"/>
    <w:rsid w:val="009B4FC5"/>
    <w:rsid w:val="009B745E"/>
    <w:rsid w:val="009B7E1B"/>
    <w:rsid w:val="009C2D4A"/>
    <w:rsid w:val="009C3595"/>
    <w:rsid w:val="009C515E"/>
    <w:rsid w:val="009C62BE"/>
    <w:rsid w:val="009C66F9"/>
    <w:rsid w:val="009C77E1"/>
    <w:rsid w:val="009C7C86"/>
    <w:rsid w:val="009D0A77"/>
    <w:rsid w:val="009D125A"/>
    <w:rsid w:val="009D36EA"/>
    <w:rsid w:val="009D3A0C"/>
    <w:rsid w:val="009D7D37"/>
    <w:rsid w:val="009D7E9E"/>
    <w:rsid w:val="009E02A0"/>
    <w:rsid w:val="009E1836"/>
    <w:rsid w:val="009E2BE6"/>
    <w:rsid w:val="009E33A8"/>
    <w:rsid w:val="009E4A59"/>
    <w:rsid w:val="009E5816"/>
    <w:rsid w:val="009F0A31"/>
    <w:rsid w:val="009F19AE"/>
    <w:rsid w:val="009F2E76"/>
    <w:rsid w:val="009F5751"/>
    <w:rsid w:val="009F65DF"/>
    <w:rsid w:val="00A02C5C"/>
    <w:rsid w:val="00A0648A"/>
    <w:rsid w:val="00A07F65"/>
    <w:rsid w:val="00A110EA"/>
    <w:rsid w:val="00A11D9E"/>
    <w:rsid w:val="00A135D1"/>
    <w:rsid w:val="00A13642"/>
    <w:rsid w:val="00A15598"/>
    <w:rsid w:val="00A1752B"/>
    <w:rsid w:val="00A20A41"/>
    <w:rsid w:val="00A22015"/>
    <w:rsid w:val="00A27BDE"/>
    <w:rsid w:val="00A30E26"/>
    <w:rsid w:val="00A30E94"/>
    <w:rsid w:val="00A31641"/>
    <w:rsid w:val="00A3343B"/>
    <w:rsid w:val="00A37EAB"/>
    <w:rsid w:val="00A40F99"/>
    <w:rsid w:val="00A435B8"/>
    <w:rsid w:val="00A438ED"/>
    <w:rsid w:val="00A53A55"/>
    <w:rsid w:val="00A56722"/>
    <w:rsid w:val="00A56D11"/>
    <w:rsid w:val="00A62F60"/>
    <w:rsid w:val="00A63F28"/>
    <w:rsid w:val="00A732B2"/>
    <w:rsid w:val="00A73A31"/>
    <w:rsid w:val="00A73F6E"/>
    <w:rsid w:val="00A75B41"/>
    <w:rsid w:val="00A763E2"/>
    <w:rsid w:val="00A76496"/>
    <w:rsid w:val="00A80167"/>
    <w:rsid w:val="00A82780"/>
    <w:rsid w:val="00A85264"/>
    <w:rsid w:val="00A875C4"/>
    <w:rsid w:val="00A93C13"/>
    <w:rsid w:val="00A94C1A"/>
    <w:rsid w:val="00A96CEC"/>
    <w:rsid w:val="00A96FE0"/>
    <w:rsid w:val="00AA4181"/>
    <w:rsid w:val="00AB33C9"/>
    <w:rsid w:val="00AB770D"/>
    <w:rsid w:val="00AB7BB6"/>
    <w:rsid w:val="00AC02AF"/>
    <w:rsid w:val="00AC0CE5"/>
    <w:rsid w:val="00AC2694"/>
    <w:rsid w:val="00AC34F8"/>
    <w:rsid w:val="00AC5E28"/>
    <w:rsid w:val="00AD3CFE"/>
    <w:rsid w:val="00AE07FB"/>
    <w:rsid w:val="00AE0E54"/>
    <w:rsid w:val="00AE55B6"/>
    <w:rsid w:val="00AE66F4"/>
    <w:rsid w:val="00AE68F3"/>
    <w:rsid w:val="00AE6C65"/>
    <w:rsid w:val="00AF2444"/>
    <w:rsid w:val="00AF405C"/>
    <w:rsid w:val="00AF4FC6"/>
    <w:rsid w:val="00AF72CA"/>
    <w:rsid w:val="00B0192C"/>
    <w:rsid w:val="00B01A27"/>
    <w:rsid w:val="00B01E45"/>
    <w:rsid w:val="00B02338"/>
    <w:rsid w:val="00B02A52"/>
    <w:rsid w:val="00B02F83"/>
    <w:rsid w:val="00B04B9E"/>
    <w:rsid w:val="00B065D5"/>
    <w:rsid w:val="00B10513"/>
    <w:rsid w:val="00B110BE"/>
    <w:rsid w:val="00B11144"/>
    <w:rsid w:val="00B179E7"/>
    <w:rsid w:val="00B17DEA"/>
    <w:rsid w:val="00B236FC"/>
    <w:rsid w:val="00B30B72"/>
    <w:rsid w:val="00B31763"/>
    <w:rsid w:val="00B3176E"/>
    <w:rsid w:val="00B34D78"/>
    <w:rsid w:val="00B36337"/>
    <w:rsid w:val="00B41C39"/>
    <w:rsid w:val="00B46B4E"/>
    <w:rsid w:val="00B46B9A"/>
    <w:rsid w:val="00B504F6"/>
    <w:rsid w:val="00B536BF"/>
    <w:rsid w:val="00B53AE5"/>
    <w:rsid w:val="00B53B60"/>
    <w:rsid w:val="00B546B8"/>
    <w:rsid w:val="00B566A0"/>
    <w:rsid w:val="00B56904"/>
    <w:rsid w:val="00B605CB"/>
    <w:rsid w:val="00B6457E"/>
    <w:rsid w:val="00B6508C"/>
    <w:rsid w:val="00B66741"/>
    <w:rsid w:val="00B67CAC"/>
    <w:rsid w:val="00B7005A"/>
    <w:rsid w:val="00B713E4"/>
    <w:rsid w:val="00B7241B"/>
    <w:rsid w:val="00B72422"/>
    <w:rsid w:val="00B72D78"/>
    <w:rsid w:val="00B738C8"/>
    <w:rsid w:val="00B74368"/>
    <w:rsid w:val="00B7498F"/>
    <w:rsid w:val="00B77D9D"/>
    <w:rsid w:val="00B8134E"/>
    <w:rsid w:val="00B838B3"/>
    <w:rsid w:val="00B86AC5"/>
    <w:rsid w:val="00B9146D"/>
    <w:rsid w:val="00B9657C"/>
    <w:rsid w:val="00B96DD2"/>
    <w:rsid w:val="00BA0403"/>
    <w:rsid w:val="00BA11D4"/>
    <w:rsid w:val="00BA4ED3"/>
    <w:rsid w:val="00BA59EC"/>
    <w:rsid w:val="00BA5A8E"/>
    <w:rsid w:val="00BA5EC8"/>
    <w:rsid w:val="00BA64ED"/>
    <w:rsid w:val="00BA6AEE"/>
    <w:rsid w:val="00BB25CB"/>
    <w:rsid w:val="00BB3EC3"/>
    <w:rsid w:val="00BB403D"/>
    <w:rsid w:val="00BB52DB"/>
    <w:rsid w:val="00BB546F"/>
    <w:rsid w:val="00BB6B66"/>
    <w:rsid w:val="00BC2575"/>
    <w:rsid w:val="00BC3532"/>
    <w:rsid w:val="00BC5F13"/>
    <w:rsid w:val="00BC75D5"/>
    <w:rsid w:val="00BD16FD"/>
    <w:rsid w:val="00BD1987"/>
    <w:rsid w:val="00BD1BF6"/>
    <w:rsid w:val="00BD1CC1"/>
    <w:rsid w:val="00BD4FB8"/>
    <w:rsid w:val="00BD5FCE"/>
    <w:rsid w:val="00BD62D6"/>
    <w:rsid w:val="00BD7C52"/>
    <w:rsid w:val="00BE0909"/>
    <w:rsid w:val="00BE4857"/>
    <w:rsid w:val="00BE4F6C"/>
    <w:rsid w:val="00BE5130"/>
    <w:rsid w:val="00BF0498"/>
    <w:rsid w:val="00BF110F"/>
    <w:rsid w:val="00BF1975"/>
    <w:rsid w:val="00BF2A9C"/>
    <w:rsid w:val="00BF4F80"/>
    <w:rsid w:val="00BF7587"/>
    <w:rsid w:val="00C0171B"/>
    <w:rsid w:val="00C02344"/>
    <w:rsid w:val="00C032F3"/>
    <w:rsid w:val="00C079B8"/>
    <w:rsid w:val="00C07DD1"/>
    <w:rsid w:val="00C116A2"/>
    <w:rsid w:val="00C150DF"/>
    <w:rsid w:val="00C17482"/>
    <w:rsid w:val="00C20C77"/>
    <w:rsid w:val="00C25C67"/>
    <w:rsid w:val="00C25F95"/>
    <w:rsid w:val="00C33306"/>
    <w:rsid w:val="00C3791A"/>
    <w:rsid w:val="00C42F41"/>
    <w:rsid w:val="00C449ED"/>
    <w:rsid w:val="00C44BFA"/>
    <w:rsid w:val="00C471DA"/>
    <w:rsid w:val="00C47D56"/>
    <w:rsid w:val="00C5074F"/>
    <w:rsid w:val="00C52967"/>
    <w:rsid w:val="00C549C5"/>
    <w:rsid w:val="00C56213"/>
    <w:rsid w:val="00C6141A"/>
    <w:rsid w:val="00C619C5"/>
    <w:rsid w:val="00C635CC"/>
    <w:rsid w:val="00C64E2E"/>
    <w:rsid w:val="00C6654B"/>
    <w:rsid w:val="00C67279"/>
    <w:rsid w:val="00C67A63"/>
    <w:rsid w:val="00C70063"/>
    <w:rsid w:val="00C7249B"/>
    <w:rsid w:val="00C72F7B"/>
    <w:rsid w:val="00C739A8"/>
    <w:rsid w:val="00C74D27"/>
    <w:rsid w:val="00C751C2"/>
    <w:rsid w:val="00C76B04"/>
    <w:rsid w:val="00C773A1"/>
    <w:rsid w:val="00C8114A"/>
    <w:rsid w:val="00C81B05"/>
    <w:rsid w:val="00C81DBF"/>
    <w:rsid w:val="00C84080"/>
    <w:rsid w:val="00C90326"/>
    <w:rsid w:val="00C9277B"/>
    <w:rsid w:val="00C927B7"/>
    <w:rsid w:val="00C936D3"/>
    <w:rsid w:val="00C955BE"/>
    <w:rsid w:val="00C959C9"/>
    <w:rsid w:val="00C97E45"/>
    <w:rsid w:val="00CA087B"/>
    <w:rsid w:val="00CA08FA"/>
    <w:rsid w:val="00CA0E70"/>
    <w:rsid w:val="00CA32FC"/>
    <w:rsid w:val="00CA5F54"/>
    <w:rsid w:val="00CA7CC8"/>
    <w:rsid w:val="00CB225C"/>
    <w:rsid w:val="00CB2472"/>
    <w:rsid w:val="00CB2A0E"/>
    <w:rsid w:val="00CB2B1B"/>
    <w:rsid w:val="00CB38FF"/>
    <w:rsid w:val="00CB4929"/>
    <w:rsid w:val="00CB4E5C"/>
    <w:rsid w:val="00CC0A43"/>
    <w:rsid w:val="00CC2441"/>
    <w:rsid w:val="00CC4F4B"/>
    <w:rsid w:val="00CD1EE6"/>
    <w:rsid w:val="00CD28C2"/>
    <w:rsid w:val="00CD2B2A"/>
    <w:rsid w:val="00CD3030"/>
    <w:rsid w:val="00CD48A3"/>
    <w:rsid w:val="00CD4A8B"/>
    <w:rsid w:val="00CD4F8A"/>
    <w:rsid w:val="00CD741F"/>
    <w:rsid w:val="00CE02FF"/>
    <w:rsid w:val="00CE0677"/>
    <w:rsid w:val="00CE4B60"/>
    <w:rsid w:val="00CE67FE"/>
    <w:rsid w:val="00CE73CC"/>
    <w:rsid w:val="00CF0819"/>
    <w:rsid w:val="00CF0F25"/>
    <w:rsid w:val="00CF2010"/>
    <w:rsid w:val="00CF293D"/>
    <w:rsid w:val="00CF66FE"/>
    <w:rsid w:val="00CF6EB2"/>
    <w:rsid w:val="00CF7C32"/>
    <w:rsid w:val="00D03D29"/>
    <w:rsid w:val="00D12A68"/>
    <w:rsid w:val="00D16ECD"/>
    <w:rsid w:val="00D16EFF"/>
    <w:rsid w:val="00D20395"/>
    <w:rsid w:val="00D261C5"/>
    <w:rsid w:val="00D27B90"/>
    <w:rsid w:val="00D30C96"/>
    <w:rsid w:val="00D322B5"/>
    <w:rsid w:val="00D336FF"/>
    <w:rsid w:val="00D34DDF"/>
    <w:rsid w:val="00D3604B"/>
    <w:rsid w:val="00D3753C"/>
    <w:rsid w:val="00D37B17"/>
    <w:rsid w:val="00D4115D"/>
    <w:rsid w:val="00D4120A"/>
    <w:rsid w:val="00D44C6A"/>
    <w:rsid w:val="00D455C5"/>
    <w:rsid w:val="00D50092"/>
    <w:rsid w:val="00D52369"/>
    <w:rsid w:val="00D54C8D"/>
    <w:rsid w:val="00D62B8A"/>
    <w:rsid w:val="00D6459A"/>
    <w:rsid w:val="00D65DFA"/>
    <w:rsid w:val="00D748FD"/>
    <w:rsid w:val="00D75062"/>
    <w:rsid w:val="00D831F5"/>
    <w:rsid w:val="00D844B5"/>
    <w:rsid w:val="00D852D7"/>
    <w:rsid w:val="00D90A57"/>
    <w:rsid w:val="00D93D4F"/>
    <w:rsid w:val="00D9533E"/>
    <w:rsid w:val="00D965F2"/>
    <w:rsid w:val="00D97A3E"/>
    <w:rsid w:val="00DA50CD"/>
    <w:rsid w:val="00DA7F83"/>
    <w:rsid w:val="00DB08C6"/>
    <w:rsid w:val="00DB0E8F"/>
    <w:rsid w:val="00DB1829"/>
    <w:rsid w:val="00DB1CBD"/>
    <w:rsid w:val="00DB1D33"/>
    <w:rsid w:val="00DB66A3"/>
    <w:rsid w:val="00DB66C5"/>
    <w:rsid w:val="00DB71F5"/>
    <w:rsid w:val="00DB726A"/>
    <w:rsid w:val="00DC01A3"/>
    <w:rsid w:val="00DC2174"/>
    <w:rsid w:val="00DC3862"/>
    <w:rsid w:val="00DD04E2"/>
    <w:rsid w:val="00DD1509"/>
    <w:rsid w:val="00DD3434"/>
    <w:rsid w:val="00DD46DA"/>
    <w:rsid w:val="00DD75F3"/>
    <w:rsid w:val="00DE3884"/>
    <w:rsid w:val="00DE39DF"/>
    <w:rsid w:val="00DE713D"/>
    <w:rsid w:val="00DE7183"/>
    <w:rsid w:val="00DF17C5"/>
    <w:rsid w:val="00DF1B83"/>
    <w:rsid w:val="00DF1F72"/>
    <w:rsid w:val="00DF3014"/>
    <w:rsid w:val="00DF303D"/>
    <w:rsid w:val="00DF76E4"/>
    <w:rsid w:val="00DF7E7F"/>
    <w:rsid w:val="00E00B57"/>
    <w:rsid w:val="00E03CDE"/>
    <w:rsid w:val="00E05E09"/>
    <w:rsid w:val="00E05EC1"/>
    <w:rsid w:val="00E07EB0"/>
    <w:rsid w:val="00E10293"/>
    <w:rsid w:val="00E115EC"/>
    <w:rsid w:val="00E12378"/>
    <w:rsid w:val="00E1467D"/>
    <w:rsid w:val="00E159FE"/>
    <w:rsid w:val="00E16887"/>
    <w:rsid w:val="00E17EA7"/>
    <w:rsid w:val="00E20ABE"/>
    <w:rsid w:val="00E219F5"/>
    <w:rsid w:val="00E24E60"/>
    <w:rsid w:val="00E26403"/>
    <w:rsid w:val="00E265B3"/>
    <w:rsid w:val="00E26804"/>
    <w:rsid w:val="00E33AAA"/>
    <w:rsid w:val="00E36D2A"/>
    <w:rsid w:val="00E36D88"/>
    <w:rsid w:val="00E36FEC"/>
    <w:rsid w:val="00E37E3C"/>
    <w:rsid w:val="00E401D0"/>
    <w:rsid w:val="00E477ED"/>
    <w:rsid w:val="00E4791B"/>
    <w:rsid w:val="00E503AC"/>
    <w:rsid w:val="00E52A99"/>
    <w:rsid w:val="00E530CB"/>
    <w:rsid w:val="00E53C74"/>
    <w:rsid w:val="00E57D94"/>
    <w:rsid w:val="00E61000"/>
    <w:rsid w:val="00E6241F"/>
    <w:rsid w:val="00E633A3"/>
    <w:rsid w:val="00E63979"/>
    <w:rsid w:val="00E661E0"/>
    <w:rsid w:val="00E70D7D"/>
    <w:rsid w:val="00E724A8"/>
    <w:rsid w:val="00E745A7"/>
    <w:rsid w:val="00E76DCD"/>
    <w:rsid w:val="00E86EA6"/>
    <w:rsid w:val="00E913EF"/>
    <w:rsid w:val="00E93B85"/>
    <w:rsid w:val="00E9544F"/>
    <w:rsid w:val="00EA10A8"/>
    <w:rsid w:val="00EA11BE"/>
    <w:rsid w:val="00EA3305"/>
    <w:rsid w:val="00EA3B44"/>
    <w:rsid w:val="00EA455F"/>
    <w:rsid w:val="00EA58DF"/>
    <w:rsid w:val="00EA6EC5"/>
    <w:rsid w:val="00EA70A2"/>
    <w:rsid w:val="00EB3871"/>
    <w:rsid w:val="00EB72B4"/>
    <w:rsid w:val="00EC10B0"/>
    <w:rsid w:val="00EC4938"/>
    <w:rsid w:val="00EC4B32"/>
    <w:rsid w:val="00EC51CF"/>
    <w:rsid w:val="00EC5D68"/>
    <w:rsid w:val="00EC6FC2"/>
    <w:rsid w:val="00EC74D2"/>
    <w:rsid w:val="00ED18AD"/>
    <w:rsid w:val="00ED25B2"/>
    <w:rsid w:val="00ED5984"/>
    <w:rsid w:val="00ED6753"/>
    <w:rsid w:val="00ED76A7"/>
    <w:rsid w:val="00EE1C66"/>
    <w:rsid w:val="00EE20A9"/>
    <w:rsid w:val="00EE3567"/>
    <w:rsid w:val="00EE3F2E"/>
    <w:rsid w:val="00EE5CFA"/>
    <w:rsid w:val="00EE6B40"/>
    <w:rsid w:val="00EE741C"/>
    <w:rsid w:val="00EF197F"/>
    <w:rsid w:val="00EF2A37"/>
    <w:rsid w:val="00EF3E12"/>
    <w:rsid w:val="00EF64B3"/>
    <w:rsid w:val="00F015B4"/>
    <w:rsid w:val="00F04BF7"/>
    <w:rsid w:val="00F11A78"/>
    <w:rsid w:val="00F13950"/>
    <w:rsid w:val="00F13E33"/>
    <w:rsid w:val="00F14052"/>
    <w:rsid w:val="00F14537"/>
    <w:rsid w:val="00F15FDD"/>
    <w:rsid w:val="00F166F5"/>
    <w:rsid w:val="00F2056C"/>
    <w:rsid w:val="00F22F33"/>
    <w:rsid w:val="00F23549"/>
    <w:rsid w:val="00F30630"/>
    <w:rsid w:val="00F3428C"/>
    <w:rsid w:val="00F42C6D"/>
    <w:rsid w:val="00F44E47"/>
    <w:rsid w:val="00F51013"/>
    <w:rsid w:val="00F540B7"/>
    <w:rsid w:val="00F55C09"/>
    <w:rsid w:val="00F56985"/>
    <w:rsid w:val="00F57D84"/>
    <w:rsid w:val="00F60402"/>
    <w:rsid w:val="00F6281A"/>
    <w:rsid w:val="00F633D2"/>
    <w:rsid w:val="00F634EC"/>
    <w:rsid w:val="00F656FE"/>
    <w:rsid w:val="00F7160E"/>
    <w:rsid w:val="00F71A6F"/>
    <w:rsid w:val="00F72D21"/>
    <w:rsid w:val="00F74F95"/>
    <w:rsid w:val="00F75C50"/>
    <w:rsid w:val="00F75E1A"/>
    <w:rsid w:val="00F7761D"/>
    <w:rsid w:val="00F77E56"/>
    <w:rsid w:val="00F81042"/>
    <w:rsid w:val="00F8147F"/>
    <w:rsid w:val="00F81603"/>
    <w:rsid w:val="00F82050"/>
    <w:rsid w:val="00F82218"/>
    <w:rsid w:val="00F8226F"/>
    <w:rsid w:val="00F829C9"/>
    <w:rsid w:val="00F84BC4"/>
    <w:rsid w:val="00F85D79"/>
    <w:rsid w:val="00F862BC"/>
    <w:rsid w:val="00F86507"/>
    <w:rsid w:val="00F87219"/>
    <w:rsid w:val="00F87C54"/>
    <w:rsid w:val="00F92BAF"/>
    <w:rsid w:val="00F933D6"/>
    <w:rsid w:val="00F93D94"/>
    <w:rsid w:val="00FA0500"/>
    <w:rsid w:val="00FA23BB"/>
    <w:rsid w:val="00FA4817"/>
    <w:rsid w:val="00FB077A"/>
    <w:rsid w:val="00FB1BC2"/>
    <w:rsid w:val="00FB2121"/>
    <w:rsid w:val="00FC10E6"/>
    <w:rsid w:val="00FC46AB"/>
    <w:rsid w:val="00FC69CB"/>
    <w:rsid w:val="00FD2801"/>
    <w:rsid w:val="00FD6776"/>
    <w:rsid w:val="00FE01BB"/>
    <w:rsid w:val="00FE1E39"/>
    <w:rsid w:val="00FE207F"/>
    <w:rsid w:val="00FE3730"/>
    <w:rsid w:val="00FE432D"/>
    <w:rsid w:val="00FE7683"/>
    <w:rsid w:val="00FE769E"/>
    <w:rsid w:val="00FF0CE1"/>
    <w:rsid w:val="00FF2DDC"/>
    <w:rsid w:val="00FF4481"/>
    <w:rsid w:val="00FF66B3"/>
    <w:rsid w:val="00FF7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F4F187"/>
  <w15:chartTrackingRefBased/>
  <w15:docId w15:val="{8A21750B-DD28-4927-9D82-6ECBC7DF7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24"/>
      <w:u w:val="single"/>
    </w:rPr>
  </w:style>
  <w:style w:type="paragraph" w:styleId="Heading2">
    <w:name w:val="heading 2"/>
    <w:basedOn w:val="Normal"/>
    <w:next w:val="Normal"/>
    <w:qFormat/>
    <w:pPr>
      <w:keepNext/>
      <w:jc w:val="center"/>
      <w:outlineLvl w:val="1"/>
    </w:pPr>
    <w:rPr>
      <w:sz w:val="24"/>
    </w:rPr>
  </w:style>
  <w:style w:type="paragraph" w:styleId="Heading3">
    <w:name w:val="heading 3"/>
    <w:basedOn w:val="Normal"/>
    <w:next w:val="Normal"/>
    <w:qFormat/>
    <w:pPr>
      <w:keepNext/>
      <w:jc w:val="center"/>
      <w:outlineLvl w:val="2"/>
    </w:pPr>
    <w:rPr>
      <w:sz w:val="24"/>
      <w:u w:val="single"/>
    </w:rPr>
  </w:style>
  <w:style w:type="paragraph" w:styleId="Heading4">
    <w:name w:val="heading 4"/>
    <w:basedOn w:val="Normal"/>
    <w:next w:val="Normal"/>
    <w:qFormat/>
    <w:pPr>
      <w:keepNext/>
      <w:outlineLvl w:val="3"/>
    </w:pPr>
    <w:rPr>
      <w:sz w:val="24"/>
      <w:u w:val="single"/>
    </w:rPr>
  </w:style>
  <w:style w:type="paragraph" w:styleId="Heading5">
    <w:name w:val="heading 5"/>
    <w:basedOn w:val="Normal"/>
    <w:next w:val="Normal"/>
    <w:qFormat/>
    <w:pPr>
      <w:keepNext/>
      <w:outlineLvl w:val="4"/>
    </w:pPr>
    <w:rPr>
      <w:sz w:val="24"/>
    </w:rPr>
  </w:style>
  <w:style w:type="paragraph" w:styleId="Heading6">
    <w:name w:val="heading 6"/>
    <w:basedOn w:val="Normal"/>
    <w:next w:val="Normal"/>
    <w:qFormat/>
    <w:pPr>
      <w:keepNext/>
      <w:outlineLvl w:val="5"/>
    </w:pPr>
    <w:rPr>
      <w:b/>
      <w:sz w:val="24"/>
      <w:u w:val="single"/>
    </w:rPr>
  </w:style>
  <w:style w:type="paragraph" w:styleId="Heading7">
    <w:name w:val="heading 7"/>
    <w:basedOn w:val="Normal"/>
    <w:next w:val="Normal"/>
    <w:qFormat/>
    <w:pPr>
      <w:keepNext/>
      <w:outlineLvl w:val="6"/>
    </w:pPr>
    <w:rPr>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line="480" w:lineRule="auto"/>
    </w:pPr>
    <w:rPr>
      <w:sz w:val="24"/>
    </w:rPr>
  </w:style>
  <w:style w:type="paragraph" w:styleId="BlockText">
    <w:name w:val="Block Text"/>
    <w:basedOn w:val="Normal"/>
    <w:pPr>
      <w:ind w:left="720" w:right="720"/>
    </w:pPr>
    <w:rPr>
      <w:sz w:val="24"/>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rPr>
  </w:style>
  <w:style w:type="paragraph" w:customStyle="1" w:styleId="BodyTextIn">
    <w:name w:val="Body Text In"/>
    <w:basedOn w:val="Normal"/>
    <w:pPr>
      <w:widowControl w:val="0"/>
      <w:tabs>
        <w:tab w:val="left" w:pos="-360"/>
        <w:tab w:val="left" w:pos="2160"/>
        <w:tab w:val="left" w:pos="2880"/>
        <w:tab w:val="left" w:pos="3600"/>
        <w:tab w:val="left" w:pos="4320"/>
        <w:tab w:val="left" w:pos="5040"/>
        <w:tab w:val="left" w:pos="5760"/>
        <w:tab w:val="left" w:pos="6480"/>
        <w:tab w:val="left" w:pos="7200"/>
        <w:tab w:val="left" w:pos="7920"/>
        <w:tab w:val="right" w:pos="8640"/>
      </w:tabs>
      <w:ind w:left="-360"/>
    </w:pPr>
    <w:rPr>
      <w:sz w:val="24"/>
    </w:rPr>
  </w:style>
  <w:style w:type="paragraph" w:customStyle="1" w:styleId="WP9Heading5">
    <w:name w:val="WP9_Heading5"/>
    <w:basedOn w:val="Normal"/>
    <w:pPr>
      <w:widowControl w:val="0"/>
      <w:jc w:val="center"/>
    </w:pPr>
    <w:rPr>
      <w:b/>
      <w:sz w:val="24"/>
      <w:u w:val="single"/>
    </w:rPr>
  </w:style>
  <w:style w:type="paragraph" w:customStyle="1" w:styleId="WP9Heading3">
    <w:name w:val="WP9_Heading3"/>
    <w:basedOn w:val="Normal"/>
    <w:pPr>
      <w:widowControl w:val="0"/>
      <w:jc w:val="center"/>
    </w:pPr>
    <w:rPr>
      <w:sz w:val="24"/>
      <w:u w:val="single"/>
    </w:rPr>
  </w:style>
  <w:style w:type="paragraph" w:customStyle="1" w:styleId="WP9Heading1">
    <w:name w:val="WP9_Heading1"/>
    <w:basedOn w:val="Normal"/>
    <w:pPr>
      <w:widowControl w:val="0"/>
    </w:pPr>
    <w:rPr>
      <w:sz w:val="24"/>
    </w:rPr>
  </w:style>
  <w:style w:type="paragraph" w:customStyle="1" w:styleId="WP9BodyTex">
    <w:name w:val="WP9_Body Tex"/>
    <w:basedOn w:val="Normal"/>
    <w:pPr>
      <w:widowControl w:val="0"/>
      <w:spacing w:line="480" w:lineRule="auto"/>
    </w:pPr>
    <w:rPr>
      <w:sz w:val="24"/>
    </w:rPr>
  </w:style>
  <w:style w:type="paragraph" w:styleId="BodyTextIndent">
    <w:name w:val="Body Text Indent"/>
    <w:basedOn w:val="Normal"/>
    <w:pPr>
      <w:tabs>
        <w:tab w:val="left" w:pos="-2880"/>
        <w:tab w:val="left" w:pos="-2160"/>
        <w:tab w:val="left" w:pos="-1440"/>
        <w:tab w:val="left" w:pos="-720"/>
        <w:tab w:val="left" w:pos="0"/>
        <w:tab w:val="left" w:pos="720"/>
        <w:tab w:val="left" w:pos="1440"/>
        <w:tab w:val="left" w:pos="2160"/>
        <w:tab w:val="left" w:pos="2880"/>
        <w:tab w:val="left" w:pos="3600"/>
        <w:tab w:val="left" w:pos="3960"/>
        <w:tab w:val="left" w:pos="5040"/>
        <w:tab w:val="left" w:pos="5760"/>
        <w:tab w:val="left" w:pos="6120"/>
        <w:tab w:val="left" w:pos="7200"/>
        <w:tab w:val="left" w:pos="7920"/>
        <w:tab w:val="left" w:pos="7920"/>
        <w:tab w:val="left" w:pos="9360"/>
        <w:tab w:val="left" w:pos="10080"/>
        <w:tab w:val="left" w:pos="10800"/>
        <w:tab w:val="left" w:pos="11520"/>
        <w:tab w:val="left" w:pos="12240"/>
        <w:tab w:val="left" w:pos="12960"/>
        <w:tab w:val="left" w:pos="13680"/>
        <w:tab w:val="left" w:pos="14400"/>
        <w:tab w:val="left" w:pos="15120"/>
      </w:tabs>
      <w:ind w:left="1440"/>
    </w:pPr>
    <w:rPr>
      <w:sz w:val="24"/>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alloonText">
    <w:name w:val="Balloon Text"/>
    <w:basedOn w:val="Normal"/>
    <w:semiHidden/>
    <w:rsid w:val="00F92BAF"/>
    <w:rPr>
      <w:rFonts w:ascii="Tahoma" w:hAnsi="Tahoma" w:cs="Tahoma"/>
      <w:sz w:val="16"/>
      <w:szCs w:val="16"/>
    </w:rPr>
  </w:style>
  <w:style w:type="paragraph" w:styleId="NormalWeb">
    <w:name w:val="Normal (Web)"/>
    <w:basedOn w:val="Normal"/>
    <w:uiPriority w:val="99"/>
    <w:rsid w:val="007260B9"/>
    <w:pPr>
      <w:spacing w:before="100" w:beforeAutospacing="1" w:after="100" w:afterAutospacing="1"/>
    </w:pPr>
    <w:rPr>
      <w:rFonts w:ascii="Arial" w:hAnsi="Arial" w:cs="Arial"/>
      <w:color w:val="000000"/>
    </w:rPr>
  </w:style>
  <w:style w:type="character" w:customStyle="1" w:styleId="FooterChar">
    <w:name w:val="Footer Char"/>
    <w:link w:val="Footer"/>
    <w:uiPriority w:val="99"/>
    <w:rsid w:val="00CD4F8A"/>
  </w:style>
  <w:style w:type="character" w:styleId="Hyperlink">
    <w:name w:val="Hyperlink"/>
    <w:rsid w:val="001733E1"/>
    <w:rPr>
      <w:color w:val="0000FF"/>
      <w:u w:val="single"/>
    </w:rPr>
  </w:style>
  <w:style w:type="character" w:customStyle="1" w:styleId="enumxml1">
    <w:name w:val="enumxml1"/>
    <w:rsid w:val="005C528D"/>
    <w:rPr>
      <w:b/>
      <w:bCs/>
    </w:rPr>
  </w:style>
  <w:style w:type="character" w:customStyle="1" w:styleId="ptext-31">
    <w:name w:val="ptext-31"/>
    <w:rsid w:val="005C528D"/>
  </w:style>
  <w:style w:type="paragraph" w:styleId="HTMLPreformatted">
    <w:name w:val="HTML Preformatted"/>
    <w:basedOn w:val="Normal"/>
    <w:link w:val="HTMLPreformattedChar"/>
    <w:uiPriority w:val="99"/>
    <w:unhideWhenUsed/>
    <w:rsid w:val="00E70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uiPriority w:val="99"/>
    <w:rsid w:val="00E70D7D"/>
    <w:rPr>
      <w:rFonts w:ascii="Courier New" w:hAnsi="Courier New" w:cs="Courier New"/>
    </w:rPr>
  </w:style>
  <w:style w:type="paragraph" w:styleId="EndnoteText">
    <w:name w:val="endnote text"/>
    <w:basedOn w:val="Normal"/>
    <w:link w:val="EndnoteTextChar"/>
    <w:rsid w:val="00F633D2"/>
  </w:style>
  <w:style w:type="character" w:customStyle="1" w:styleId="EndnoteTextChar">
    <w:name w:val="Endnote Text Char"/>
    <w:basedOn w:val="DefaultParagraphFont"/>
    <w:link w:val="EndnoteText"/>
    <w:rsid w:val="00F633D2"/>
  </w:style>
  <w:style w:type="character" w:styleId="EndnoteReference">
    <w:name w:val="endnote reference"/>
    <w:rsid w:val="00F633D2"/>
    <w:rPr>
      <w:vertAlign w:val="superscript"/>
    </w:rPr>
  </w:style>
  <w:style w:type="character" w:styleId="FollowedHyperlink">
    <w:name w:val="FollowedHyperlink"/>
    <w:rsid w:val="00A07F65"/>
    <w:rPr>
      <w:color w:val="800080"/>
      <w:u w:val="single"/>
    </w:rPr>
  </w:style>
  <w:style w:type="character" w:customStyle="1" w:styleId="HeaderChar">
    <w:name w:val="Header Char"/>
    <w:link w:val="Header"/>
    <w:uiPriority w:val="99"/>
    <w:rsid w:val="001802E5"/>
  </w:style>
  <w:style w:type="character" w:styleId="UnresolvedMention">
    <w:name w:val="Unresolved Mention"/>
    <w:uiPriority w:val="99"/>
    <w:semiHidden/>
    <w:unhideWhenUsed/>
    <w:rsid w:val="005300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521631">
      <w:bodyDiv w:val="1"/>
      <w:marLeft w:val="0"/>
      <w:marRight w:val="0"/>
      <w:marTop w:val="0"/>
      <w:marBottom w:val="0"/>
      <w:divBdr>
        <w:top w:val="none" w:sz="0" w:space="0" w:color="auto"/>
        <w:left w:val="none" w:sz="0" w:space="0" w:color="auto"/>
        <w:bottom w:val="none" w:sz="0" w:space="0" w:color="auto"/>
        <w:right w:val="none" w:sz="0" w:space="0" w:color="auto"/>
      </w:divBdr>
      <w:divsChild>
        <w:div w:id="457071342">
          <w:marLeft w:val="0"/>
          <w:marRight w:val="0"/>
          <w:marTop w:val="0"/>
          <w:marBottom w:val="0"/>
          <w:divBdr>
            <w:top w:val="none" w:sz="0" w:space="0" w:color="auto"/>
            <w:left w:val="none" w:sz="0" w:space="0" w:color="auto"/>
            <w:bottom w:val="none" w:sz="0" w:space="0" w:color="auto"/>
            <w:right w:val="none" w:sz="0" w:space="0" w:color="auto"/>
          </w:divBdr>
          <w:divsChild>
            <w:div w:id="1042512952">
              <w:marLeft w:val="0"/>
              <w:marRight w:val="0"/>
              <w:marTop w:val="0"/>
              <w:marBottom w:val="0"/>
              <w:divBdr>
                <w:top w:val="none" w:sz="0" w:space="0" w:color="auto"/>
                <w:left w:val="none" w:sz="0" w:space="0" w:color="auto"/>
                <w:bottom w:val="none" w:sz="0" w:space="0" w:color="auto"/>
                <w:right w:val="none" w:sz="0" w:space="0" w:color="auto"/>
              </w:divBdr>
              <w:divsChild>
                <w:div w:id="1492714658">
                  <w:marLeft w:val="0"/>
                  <w:marRight w:val="0"/>
                  <w:marTop w:val="0"/>
                  <w:marBottom w:val="0"/>
                  <w:divBdr>
                    <w:top w:val="none" w:sz="0" w:space="0" w:color="auto"/>
                    <w:left w:val="none" w:sz="0" w:space="0" w:color="auto"/>
                    <w:bottom w:val="none" w:sz="0" w:space="0" w:color="auto"/>
                    <w:right w:val="none" w:sz="0" w:space="0" w:color="auto"/>
                  </w:divBdr>
                  <w:divsChild>
                    <w:div w:id="1065907984">
                      <w:marLeft w:val="0"/>
                      <w:marRight w:val="0"/>
                      <w:marTop w:val="0"/>
                      <w:marBottom w:val="0"/>
                      <w:divBdr>
                        <w:top w:val="none" w:sz="0" w:space="0" w:color="auto"/>
                        <w:left w:val="none" w:sz="0" w:space="0" w:color="auto"/>
                        <w:bottom w:val="none" w:sz="0" w:space="0" w:color="auto"/>
                        <w:right w:val="none" w:sz="0" w:space="0" w:color="auto"/>
                      </w:divBdr>
                      <w:divsChild>
                        <w:div w:id="1088693856">
                          <w:marLeft w:val="0"/>
                          <w:marRight w:val="0"/>
                          <w:marTop w:val="0"/>
                          <w:marBottom w:val="0"/>
                          <w:divBdr>
                            <w:top w:val="none" w:sz="0" w:space="0" w:color="auto"/>
                            <w:left w:val="none" w:sz="0" w:space="0" w:color="auto"/>
                            <w:bottom w:val="none" w:sz="0" w:space="0" w:color="auto"/>
                            <w:right w:val="none" w:sz="0" w:space="0" w:color="auto"/>
                          </w:divBdr>
                          <w:divsChild>
                            <w:div w:id="346299402">
                              <w:marLeft w:val="0"/>
                              <w:marRight w:val="0"/>
                              <w:marTop w:val="0"/>
                              <w:marBottom w:val="0"/>
                              <w:divBdr>
                                <w:top w:val="none" w:sz="0" w:space="0" w:color="auto"/>
                                <w:left w:val="none" w:sz="0" w:space="0" w:color="auto"/>
                                <w:bottom w:val="none" w:sz="0" w:space="0" w:color="auto"/>
                                <w:right w:val="none" w:sz="0" w:space="0" w:color="auto"/>
                              </w:divBdr>
                              <w:divsChild>
                                <w:div w:id="798493654">
                                  <w:marLeft w:val="0"/>
                                  <w:marRight w:val="0"/>
                                  <w:marTop w:val="0"/>
                                  <w:marBottom w:val="0"/>
                                  <w:divBdr>
                                    <w:top w:val="none" w:sz="0" w:space="0" w:color="auto"/>
                                    <w:left w:val="none" w:sz="0" w:space="0" w:color="auto"/>
                                    <w:bottom w:val="none" w:sz="0" w:space="0" w:color="auto"/>
                                    <w:right w:val="none" w:sz="0" w:space="0" w:color="auto"/>
                                  </w:divBdr>
                                  <w:divsChild>
                                    <w:div w:id="213394309">
                                      <w:marLeft w:val="0"/>
                                      <w:marRight w:val="0"/>
                                      <w:marTop w:val="0"/>
                                      <w:marBottom w:val="0"/>
                                      <w:divBdr>
                                        <w:top w:val="none" w:sz="0" w:space="0" w:color="auto"/>
                                        <w:left w:val="none" w:sz="0" w:space="0" w:color="auto"/>
                                        <w:bottom w:val="none" w:sz="0" w:space="0" w:color="auto"/>
                                        <w:right w:val="none" w:sz="0" w:space="0" w:color="auto"/>
                                      </w:divBdr>
                                      <w:divsChild>
                                        <w:div w:id="1098329819">
                                          <w:marLeft w:val="0"/>
                                          <w:marRight w:val="0"/>
                                          <w:marTop w:val="0"/>
                                          <w:marBottom w:val="0"/>
                                          <w:divBdr>
                                            <w:top w:val="none" w:sz="0" w:space="0" w:color="auto"/>
                                            <w:left w:val="none" w:sz="0" w:space="0" w:color="auto"/>
                                            <w:bottom w:val="none" w:sz="0" w:space="0" w:color="auto"/>
                                            <w:right w:val="none" w:sz="0" w:space="0" w:color="auto"/>
                                          </w:divBdr>
                                          <w:divsChild>
                                            <w:div w:id="1164585041">
                                              <w:marLeft w:val="0"/>
                                              <w:marRight w:val="0"/>
                                              <w:marTop w:val="0"/>
                                              <w:marBottom w:val="0"/>
                                              <w:divBdr>
                                                <w:top w:val="none" w:sz="0" w:space="0" w:color="auto"/>
                                                <w:left w:val="none" w:sz="0" w:space="0" w:color="auto"/>
                                                <w:bottom w:val="none" w:sz="0" w:space="0" w:color="auto"/>
                                                <w:right w:val="none" w:sz="0" w:space="0" w:color="auto"/>
                                              </w:divBdr>
                                              <w:divsChild>
                                                <w:div w:id="1387147866">
                                                  <w:marLeft w:val="0"/>
                                                  <w:marRight w:val="0"/>
                                                  <w:marTop w:val="0"/>
                                                  <w:marBottom w:val="0"/>
                                                  <w:divBdr>
                                                    <w:top w:val="none" w:sz="0" w:space="0" w:color="auto"/>
                                                    <w:left w:val="none" w:sz="0" w:space="0" w:color="auto"/>
                                                    <w:bottom w:val="none" w:sz="0" w:space="0" w:color="auto"/>
                                                    <w:right w:val="none" w:sz="0" w:space="0" w:color="auto"/>
                                                  </w:divBdr>
                                                  <w:divsChild>
                                                    <w:div w:id="640620386">
                                                      <w:marLeft w:val="0"/>
                                                      <w:marRight w:val="0"/>
                                                      <w:marTop w:val="0"/>
                                                      <w:marBottom w:val="0"/>
                                                      <w:divBdr>
                                                        <w:top w:val="none" w:sz="0" w:space="0" w:color="auto"/>
                                                        <w:left w:val="none" w:sz="0" w:space="0" w:color="auto"/>
                                                        <w:bottom w:val="none" w:sz="0" w:space="0" w:color="auto"/>
                                                        <w:right w:val="none" w:sz="0" w:space="0" w:color="auto"/>
                                                      </w:divBdr>
                                                      <w:divsChild>
                                                        <w:div w:id="96928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9540159">
      <w:bodyDiv w:val="1"/>
      <w:marLeft w:val="0"/>
      <w:marRight w:val="0"/>
      <w:marTop w:val="0"/>
      <w:marBottom w:val="0"/>
      <w:divBdr>
        <w:top w:val="none" w:sz="0" w:space="0" w:color="auto"/>
        <w:left w:val="none" w:sz="0" w:space="0" w:color="auto"/>
        <w:bottom w:val="none" w:sz="0" w:space="0" w:color="auto"/>
        <w:right w:val="none" w:sz="0" w:space="0" w:color="auto"/>
      </w:divBdr>
      <w:divsChild>
        <w:div w:id="755901349">
          <w:marLeft w:val="0"/>
          <w:marRight w:val="0"/>
          <w:marTop w:val="0"/>
          <w:marBottom w:val="0"/>
          <w:divBdr>
            <w:top w:val="none" w:sz="0" w:space="0" w:color="auto"/>
            <w:left w:val="none" w:sz="0" w:space="0" w:color="auto"/>
            <w:bottom w:val="none" w:sz="0" w:space="0" w:color="auto"/>
            <w:right w:val="none" w:sz="0" w:space="0" w:color="auto"/>
          </w:divBdr>
          <w:divsChild>
            <w:div w:id="967592923">
              <w:marLeft w:val="0"/>
              <w:marRight w:val="0"/>
              <w:marTop w:val="0"/>
              <w:marBottom w:val="0"/>
              <w:divBdr>
                <w:top w:val="none" w:sz="0" w:space="0" w:color="auto"/>
                <w:left w:val="none" w:sz="0" w:space="0" w:color="auto"/>
                <w:bottom w:val="none" w:sz="0" w:space="0" w:color="auto"/>
                <w:right w:val="none" w:sz="0" w:space="0" w:color="auto"/>
              </w:divBdr>
              <w:divsChild>
                <w:div w:id="2045980276">
                  <w:marLeft w:val="0"/>
                  <w:marRight w:val="0"/>
                  <w:marTop w:val="0"/>
                  <w:marBottom w:val="0"/>
                  <w:divBdr>
                    <w:top w:val="none" w:sz="0" w:space="0" w:color="auto"/>
                    <w:left w:val="none" w:sz="0" w:space="0" w:color="auto"/>
                    <w:bottom w:val="none" w:sz="0" w:space="0" w:color="auto"/>
                    <w:right w:val="none" w:sz="0" w:space="0" w:color="auto"/>
                  </w:divBdr>
                  <w:divsChild>
                    <w:div w:id="1440374337">
                      <w:marLeft w:val="0"/>
                      <w:marRight w:val="0"/>
                      <w:marTop w:val="0"/>
                      <w:marBottom w:val="0"/>
                      <w:divBdr>
                        <w:top w:val="none" w:sz="0" w:space="0" w:color="auto"/>
                        <w:left w:val="none" w:sz="0" w:space="0" w:color="auto"/>
                        <w:bottom w:val="none" w:sz="0" w:space="0" w:color="auto"/>
                        <w:right w:val="none" w:sz="0" w:space="0" w:color="auto"/>
                      </w:divBdr>
                      <w:divsChild>
                        <w:div w:id="1693872308">
                          <w:marLeft w:val="0"/>
                          <w:marRight w:val="0"/>
                          <w:marTop w:val="0"/>
                          <w:marBottom w:val="0"/>
                          <w:divBdr>
                            <w:top w:val="none" w:sz="0" w:space="0" w:color="auto"/>
                            <w:left w:val="none" w:sz="0" w:space="0" w:color="auto"/>
                            <w:bottom w:val="none" w:sz="0" w:space="0" w:color="auto"/>
                            <w:right w:val="none" w:sz="0" w:space="0" w:color="auto"/>
                          </w:divBdr>
                          <w:divsChild>
                            <w:div w:id="77409075">
                              <w:marLeft w:val="0"/>
                              <w:marRight w:val="0"/>
                              <w:marTop w:val="0"/>
                              <w:marBottom w:val="0"/>
                              <w:divBdr>
                                <w:top w:val="none" w:sz="0" w:space="0" w:color="auto"/>
                                <w:left w:val="none" w:sz="0" w:space="0" w:color="auto"/>
                                <w:bottom w:val="none" w:sz="0" w:space="0" w:color="auto"/>
                                <w:right w:val="none" w:sz="0" w:space="0" w:color="auto"/>
                              </w:divBdr>
                              <w:divsChild>
                                <w:div w:id="1367675658">
                                  <w:marLeft w:val="0"/>
                                  <w:marRight w:val="0"/>
                                  <w:marTop w:val="0"/>
                                  <w:marBottom w:val="0"/>
                                  <w:divBdr>
                                    <w:top w:val="none" w:sz="0" w:space="0" w:color="auto"/>
                                    <w:left w:val="none" w:sz="0" w:space="0" w:color="auto"/>
                                    <w:bottom w:val="none" w:sz="0" w:space="0" w:color="auto"/>
                                    <w:right w:val="none" w:sz="0" w:space="0" w:color="auto"/>
                                  </w:divBdr>
                                  <w:divsChild>
                                    <w:div w:id="110520816">
                                      <w:marLeft w:val="0"/>
                                      <w:marRight w:val="0"/>
                                      <w:marTop w:val="0"/>
                                      <w:marBottom w:val="0"/>
                                      <w:divBdr>
                                        <w:top w:val="none" w:sz="0" w:space="0" w:color="auto"/>
                                        <w:left w:val="none" w:sz="0" w:space="0" w:color="auto"/>
                                        <w:bottom w:val="none" w:sz="0" w:space="0" w:color="auto"/>
                                        <w:right w:val="none" w:sz="0" w:space="0" w:color="auto"/>
                                      </w:divBdr>
                                      <w:divsChild>
                                        <w:div w:id="621502978">
                                          <w:marLeft w:val="0"/>
                                          <w:marRight w:val="0"/>
                                          <w:marTop w:val="0"/>
                                          <w:marBottom w:val="0"/>
                                          <w:divBdr>
                                            <w:top w:val="none" w:sz="0" w:space="0" w:color="auto"/>
                                            <w:left w:val="none" w:sz="0" w:space="0" w:color="auto"/>
                                            <w:bottom w:val="none" w:sz="0" w:space="0" w:color="auto"/>
                                            <w:right w:val="none" w:sz="0" w:space="0" w:color="auto"/>
                                          </w:divBdr>
                                          <w:divsChild>
                                            <w:div w:id="199112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274935">
      <w:bodyDiv w:val="1"/>
      <w:marLeft w:val="0"/>
      <w:marRight w:val="0"/>
      <w:marTop w:val="0"/>
      <w:marBottom w:val="0"/>
      <w:divBdr>
        <w:top w:val="none" w:sz="0" w:space="0" w:color="auto"/>
        <w:left w:val="none" w:sz="0" w:space="0" w:color="auto"/>
        <w:bottom w:val="none" w:sz="0" w:space="0" w:color="auto"/>
        <w:right w:val="none" w:sz="0" w:space="0" w:color="auto"/>
      </w:divBdr>
      <w:divsChild>
        <w:div w:id="315106637">
          <w:marLeft w:val="0"/>
          <w:marRight w:val="0"/>
          <w:marTop w:val="0"/>
          <w:marBottom w:val="0"/>
          <w:divBdr>
            <w:top w:val="none" w:sz="0" w:space="0" w:color="auto"/>
            <w:left w:val="none" w:sz="0" w:space="0" w:color="auto"/>
            <w:bottom w:val="none" w:sz="0" w:space="0" w:color="auto"/>
            <w:right w:val="none" w:sz="0" w:space="0" w:color="auto"/>
          </w:divBdr>
          <w:divsChild>
            <w:div w:id="1562130359">
              <w:marLeft w:val="0"/>
              <w:marRight w:val="0"/>
              <w:marTop w:val="0"/>
              <w:marBottom w:val="0"/>
              <w:divBdr>
                <w:top w:val="none" w:sz="0" w:space="0" w:color="auto"/>
                <w:left w:val="none" w:sz="0" w:space="0" w:color="auto"/>
                <w:bottom w:val="none" w:sz="0" w:space="0" w:color="auto"/>
                <w:right w:val="none" w:sz="0" w:space="0" w:color="auto"/>
              </w:divBdr>
              <w:divsChild>
                <w:div w:id="501043184">
                  <w:marLeft w:val="0"/>
                  <w:marRight w:val="0"/>
                  <w:marTop w:val="0"/>
                  <w:marBottom w:val="0"/>
                  <w:divBdr>
                    <w:top w:val="none" w:sz="0" w:space="0" w:color="auto"/>
                    <w:left w:val="none" w:sz="0" w:space="0" w:color="auto"/>
                    <w:bottom w:val="none" w:sz="0" w:space="0" w:color="auto"/>
                    <w:right w:val="none" w:sz="0" w:space="0" w:color="auto"/>
                  </w:divBdr>
                  <w:divsChild>
                    <w:div w:id="6254010">
                      <w:marLeft w:val="0"/>
                      <w:marRight w:val="0"/>
                      <w:marTop w:val="0"/>
                      <w:marBottom w:val="0"/>
                      <w:divBdr>
                        <w:top w:val="none" w:sz="0" w:space="0" w:color="auto"/>
                        <w:left w:val="none" w:sz="0" w:space="0" w:color="auto"/>
                        <w:bottom w:val="none" w:sz="0" w:space="0" w:color="auto"/>
                        <w:right w:val="none" w:sz="0" w:space="0" w:color="auto"/>
                      </w:divBdr>
                      <w:divsChild>
                        <w:div w:id="1635603935">
                          <w:marLeft w:val="0"/>
                          <w:marRight w:val="0"/>
                          <w:marTop w:val="0"/>
                          <w:marBottom w:val="0"/>
                          <w:divBdr>
                            <w:top w:val="none" w:sz="0" w:space="0" w:color="auto"/>
                            <w:left w:val="none" w:sz="0" w:space="0" w:color="auto"/>
                            <w:bottom w:val="none" w:sz="0" w:space="0" w:color="auto"/>
                            <w:right w:val="none" w:sz="0" w:space="0" w:color="auto"/>
                          </w:divBdr>
                          <w:divsChild>
                            <w:div w:id="406155695">
                              <w:marLeft w:val="0"/>
                              <w:marRight w:val="0"/>
                              <w:marTop w:val="0"/>
                              <w:marBottom w:val="0"/>
                              <w:divBdr>
                                <w:top w:val="none" w:sz="0" w:space="0" w:color="auto"/>
                                <w:left w:val="none" w:sz="0" w:space="0" w:color="auto"/>
                                <w:bottom w:val="none" w:sz="0" w:space="0" w:color="auto"/>
                                <w:right w:val="none" w:sz="0" w:space="0" w:color="auto"/>
                              </w:divBdr>
                              <w:divsChild>
                                <w:div w:id="1201669561">
                                  <w:marLeft w:val="0"/>
                                  <w:marRight w:val="0"/>
                                  <w:marTop w:val="0"/>
                                  <w:marBottom w:val="0"/>
                                  <w:divBdr>
                                    <w:top w:val="none" w:sz="0" w:space="0" w:color="auto"/>
                                    <w:left w:val="none" w:sz="0" w:space="0" w:color="auto"/>
                                    <w:bottom w:val="none" w:sz="0" w:space="0" w:color="auto"/>
                                    <w:right w:val="none" w:sz="0" w:space="0" w:color="auto"/>
                                  </w:divBdr>
                                  <w:divsChild>
                                    <w:div w:id="2056613040">
                                      <w:marLeft w:val="0"/>
                                      <w:marRight w:val="0"/>
                                      <w:marTop w:val="0"/>
                                      <w:marBottom w:val="0"/>
                                      <w:divBdr>
                                        <w:top w:val="none" w:sz="0" w:space="0" w:color="auto"/>
                                        <w:left w:val="none" w:sz="0" w:space="0" w:color="auto"/>
                                        <w:bottom w:val="none" w:sz="0" w:space="0" w:color="auto"/>
                                        <w:right w:val="none" w:sz="0" w:space="0" w:color="auto"/>
                                      </w:divBdr>
                                      <w:divsChild>
                                        <w:div w:id="1511330250">
                                          <w:marLeft w:val="0"/>
                                          <w:marRight w:val="0"/>
                                          <w:marTop w:val="0"/>
                                          <w:marBottom w:val="0"/>
                                          <w:divBdr>
                                            <w:top w:val="none" w:sz="0" w:space="0" w:color="auto"/>
                                            <w:left w:val="none" w:sz="0" w:space="0" w:color="auto"/>
                                            <w:bottom w:val="none" w:sz="0" w:space="0" w:color="auto"/>
                                            <w:right w:val="none" w:sz="0" w:space="0" w:color="auto"/>
                                          </w:divBdr>
                                          <w:divsChild>
                                            <w:div w:id="916986704">
                                              <w:marLeft w:val="0"/>
                                              <w:marRight w:val="0"/>
                                              <w:marTop w:val="0"/>
                                              <w:marBottom w:val="0"/>
                                              <w:divBdr>
                                                <w:top w:val="none" w:sz="0" w:space="0" w:color="auto"/>
                                                <w:left w:val="none" w:sz="0" w:space="0" w:color="auto"/>
                                                <w:bottom w:val="none" w:sz="0" w:space="0" w:color="auto"/>
                                                <w:right w:val="none" w:sz="0" w:space="0" w:color="auto"/>
                                              </w:divBdr>
                                              <w:divsChild>
                                                <w:div w:id="1144347943">
                                                  <w:marLeft w:val="0"/>
                                                  <w:marRight w:val="0"/>
                                                  <w:marTop w:val="0"/>
                                                  <w:marBottom w:val="0"/>
                                                  <w:divBdr>
                                                    <w:top w:val="none" w:sz="0" w:space="0" w:color="auto"/>
                                                    <w:left w:val="none" w:sz="0" w:space="0" w:color="auto"/>
                                                    <w:bottom w:val="none" w:sz="0" w:space="0" w:color="auto"/>
                                                    <w:right w:val="none" w:sz="0" w:space="0" w:color="auto"/>
                                                  </w:divBdr>
                                                  <w:divsChild>
                                                    <w:div w:id="1894926977">
                                                      <w:marLeft w:val="0"/>
                                                      <w:marRight w:val="0"/>
                                                      <w:marTop w:val="0"/>
                                                      <w:marBottom w:val="0"/>
                                                      <w:divBdr>
                                                        <w:top w:val="none" w:sz="0" w:space="0" w:color="auto"/>
                                                        <w:left w:val="none" w:sz="0" w:space="0" w:color="auto"/>
                                                        <w:bottom w:val="none" w:sz="0" w:space="0" w:color="auto"/>
                                                        <w:right w:val="none" w:sz="0" w:space="0" w:color="auto"/>
                                                      </w:divBdr>
                                                      <w:divsChild>
                                                        <w:div w:id="74645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5209393">
      <w:bodyDiv w:val="1"/>
      <w:marLeft w:val="0"/>
      <w:marRight w:val="0"/>
      <w:marTop w:val="0"/>
      <w:marBottom w:val="0"/>
      <w:divBdr>
        <w:top w:val="none" w:sz="0" w:space="0" w:color="auto"/>
        <w:left w:val="none" w:sz="0" w:space="0" w:color="auto"/>
        <w:bottom w:val="none" w:sz="0" w:space="0" w:color="auto"/>
        <w:right w:val="none" w:sz="0" w:space="0" w:color="auto"/>
      </w:divBdr>
      <w:divsChild>
        <w:div w:id="659386717">
          <w:marLeft w:val="0"/>
          <w:marRight w:val="0"/>
          <w:marTop w:val="0"/>
          <w:marBottom w:val="0"/>
          <w:divBdr>
            <w:top w:val="none" w:sz="0" w:space="0" w:color="auto"/>
            <w:left w:val="none" w:sz="0" w:space="0" w:color="auto"/>
            <w:bottom w:val="none" w:sz="0" w:space="0" w:color="auto"/>
            <w:right w:val="none" w:sz="0" w:space="0" w:color="auto"/>
          </w:divBdr>
          <w:divsChild>
            <w:div w:id="1986740196">
              <w:marLeft w:val="0"/>
              <w:marRight w:val="0"/>
              <w:marTop w:val="0"/>
              <w:marBottom w:val="0"/>
              <w:divBdr>
                <w:top w:val="none" w:sz="0" w:space="0" w:color="auto"/>
                <w:left w:val="none" w:sz="0" w:space="0" w:color="auto"/>
                <w:bottom w:val="none" w:sz="0" w:space="0" w:color="auto"/>
                <w:right w:val="none" w:sz="0" w:space="0" w:color="auto"/>
              </w:divBdr>
              <w:divsChild>
                <w:div w:id="64691155">
                  <w:marLeft w:val="0"/>
                  <w:marRight w:val="0"/>
                  <w:marTop w:val="0"/>
                  <w:marBottom w:val="0"/>
                  <w:divBdr>
                    <w:top w:val="none" w:sz="0" w:space="0" w:color="auto"/>
                    <w:left w:val="none" w:sz="0" w:space="0" w:color="auto"/>
                    <w:bottom w:val="none" w:sz="0" w:space="0" w:color="auto"/>
                    <w:right w:val="none" w:sz="0" w:space="0" w:color="auto"/>
                  </w:divBdr>
                  <w:divsChild>
                    <w:div w:id="1650473321">
                      <w:marLeft w:val="0"/>
                      <w:marRight w:val="0"/>
                      <w:marTop w:val="0"/>
                      <w:marBottom w:val="0"/>
                      <w:divBdr>
                        <w:top w:val="none" w:sz="0" w:space="0" w:color="auto"/>
                        <w:left w:val="none" w:sz="0" w:space="0" w:color="auto"/>
                        <w:bottom w:val="none" w:sz="0" w:space="0" w:color="auto"/>
                        <w:right w:val="none" w:sz="0" w:space="0" w:color="auto"/>
                      </w:divBdr>
                      <w:divsChild>
                        <w:div w:id="774515394">
                          <w:marLeft w:val="0"/>
                          <w:marRight w:val="0"/>
                          <w:marTop w:val="0"/>
                          <w:marBottom w:val="0"/>
                          <w:divBdr>
                            <w:top w:val="none" w:sz="0" w:space="0" w:color="auto"/>
                            <w:left w:val="none" w:sz="0" w:space="0" w:color="auto"/>
                            <w:bottom w:val="none" w:sz="0" w:space="0" w:color="auto"/>
                            <w:right w:val="none" w:sz="0" w:space="0" w:color="auto"/>
                          </w:divBdr>
                          <w:divsChild>
                            <w:div w:id="196282506">
                              <w:marLeft w:val="0"/>
                              <w:marRight w:val="0"/>
                              <w:marTop w:val="0"/>
                              <w:marBottom w:val="0"/>
                              <w:divBdr>
                                <w:top w:val="none" w:sz="0" w:space="0" w:color="auto"/>
                                <w:left w:val="none" w:sz="0" w:space="0" w:color="auto"/>
                                <w:bottom w:val="none" w:sz="0" w:space="0" w:color="auto"/>
                                <w:right w:val="none" w:sz="0" w:space="0" w:color="auto"/>
                              </w:divBdr>
                              <w:divsChild>
                                <w:div w:id="2000425085">
                                  <w:marLeft w:val="0"/>
                                  <w:marRight w:val="0"/>
                                  <w:marTop w:val="0"/>
                                  <w:marBottom w:val="0"/>
                                  <w:divBdr>
                                    <w:top w:val="none" w:sz="0" w:space="0" w:color="auto"/>
                                    <w:left w:val="none" w:sz="0" w:space="0" w:color="auto"/>
                                    <w:bottom w:val="none" w:sz="0" w:space="0" w:color="auto"/>
                                    <w:right w:val="none" w:sz="0" w:space="0" w:color="auto"/>
                                  </w:divBdr>
                                  <w:divsChild>
                                    <w:div w:id="694962484">
                                      <w:marLeft w:val="0"/>
                                      <w:marRight w:val="0"/>
                                      <w:marTop w:val="0"/>
                                      <w:marBottom w:val="0"/>
                                      <w:divBdr>
                                        <w:top w:val="none" w:sz="0" w:space="0" w:color="auto"/>
                                        <w:left w:val="none" w:sz="0" w:space="0" w:color="auto"/>
                                        <w:bottom w:val="none" w:sz="0" w:space="0" w:color="auto"/>
                                        <w:right w:val="none" w:sz="0" w:space="0" w:color="auto"/>
                                      </w:divBdr>
                                      <w:divsChild>
                                        <w:div w:id="557131409">
                                          <w:marLeft w:val="0"/>
                                          <w:marRight w:val="0"/>
                                          <w:marTop w:val="0"/>
                                          <w:marBottom w:val="0"/>
                                          <w:divBdr>
                                            <w:top w:val="none" w:sz="0" w:space="0" w:color="auto"/>
                                            <w:left w:val="none" w:sz="0" w:space="0" w:color="auto"/>
                                            <w:bottom w:val="none" w:sz="0" w:space="0" w:color="auto"/>
                                            <w:right w:val="none" w:sz="0" w:space="0" w:color="auto"/>
                                          </w:divBdr>
                                          <w:divsChild>
                                            <w:div w:id="1492335377">
                                              <w:marLeft w:val="0"/>
                                              <w:marRight w:val="0"/>
                                              <w:marTop w:val="0"/>
                                              <w:marBottom w:val="0"/>
                                              <w:divBdr>
                                                <w:top w:val="none" w:sz="0" w:space="0" w:color="auto"/>
                                                <w:left w:val="none" w:sz="0" w:space="0" w:color="auto"/>
                                                <w:bottom w:val="none" w:sz="0" w:space="0" w:color="auto"/>
                                                <w:right w:val="none" w:sz="0" w:space="0" w:color="auto"/>
                                              </w:divBdr>
                                              <w:divsChild>
                                                <w:div w:id="996687598">
                                                  <w:marLeft w:val="0"/>
                                                  <w:marRight w:val="0"/>
                                                  <w:marTop w:val="0"/>
                                                  <w:marBottom w:val="0"/>
                                                  <w:divBdr>
                                                    <w:top w:val="none" w:sz="0" w:space="0" w:color="auto"/>
                                                    <w:left w:val="none" w:sz="0" w:space="0" w:color="auto"/>
                                                    <w:bottom w:val="none" w:sz="0" w:space="0" w:color="auto"/>
                                                    <w:right w:val="none" w:sz="0" w:space="0" w:color="auto"/>
                                                  </w:divBdr>
                                                  <w:divsChild>
                                                    <w:div w:id="2003122000">
                                                      <w:marLeft w:val="0"/>
                                                      <w:marRight w:val="0"/>
                                                      <w:marTop w:val="0"/>
                                                      <w:marBottom w:val="0"/>
                                                      <w:divBdr>
                                                        <w:top w:val="none" w:sz="0" w:space="0" w:color="auto"/>
                                                        <w:left w:val="none" w:sz="0" w:space="0" w:color="auto"/>
                                                        <w:bottom w:val="none" w:sz="0" w:space="0" w:color="auto"/>
                                                        <w:right w:val="none" w:sz="0" w:space="0" w:color="auto"/>
                                                      </w:divBdr>
                                                      <w:divsChild>
                                                        <w:div w:id="197474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90431818">
      <w:bodyDiv w:val="1"/>
      <w:marLeft w:val="0"/>
      <w:marRight w:val="0"/>
      <w:marTop w:val="0"/>
      <w:marBottom w:val="0"/>
      <w:divBdr>
        <w:top w:val="none" w:sz="0" w:space="0" w:color="auto"/>
        <w:left w:val="none" w:sz="0" w:space="0" w:color="auto"/>
        <w:bottom w:val="none" w:sz="0" w:space="0" w:color="auto"/>
        <w:right w:val="none" w:sz="0" w:space="0" w:color="auto"/>
      </w:divBdr>
      <w:divsChild>
        <w:div w:id="49036637">
          <w:marLeft w:val="0"/>
          <w:marRight w:val="0"/>
          <w:marTop w:val="0"/>
          <w:marBottom w:val="0"/>
          <w:divBdr>
            <w:top w:val="none" w:sz="0" w:space="0" w:color="auto"/>
            <w:left w:val="none" w:sz="0" w:space="0" w:color="auto"/>
            <w:bottom w:val="none" w:sz="0" w:space="0" w:color="auto"/>
            <w:right w:val="none" w:sz="0" w:space="0" w:color="auto"/>
          </w:divBdr>
          <w:divsChild>
            <w:div w:id="1453014647">
              <w:marLeft w:val="0"/>
              <w:marRight w:val="0"/>
              <w:marTop w:val="0"/>
              <w:marBottom w:val="0"/>
              <w:divBdr>
                <w:top w:val="none" w:sz="0" w:space="0" w:color="auto"/>
                <w:left w:val="none" w:sz="0" w:space="0" w:color="auto"/>
                <w:bottom w:val="none" w:sz="0" w:space="0" w:color="auto"/>
                <w:right w:val="none" w:sz="0" w:space="0" w:color="auto"/>
              </w:divBdr>
              <w:divsChild>
                <w:div w:id="1420559072">
                  <w:marLeft w:val="0"/>
                  <w:marRight w:val="0"/>
                  <w:marTop w:val="0"/>
                  <w:marBottom w:val="0"/>
                  <w:divBdr>
                    <w:top w:val="none" w:sz="0" w:space="0" w:color="auto"/>
                    <w:left w:val="none" w:sz="0" w:space="0" w:color="auto"/>
                    <w:bottom w:val="none" w:sz="0" w:space="0" w:color="auto"/>
                    <w:right w:val="none" w:sz="0" w:space="0" w:color="auto"/>
                  </w:divBdr>
                  <w:divsChild>
                    <w:div w:id="1138690064">
                      <w:marLeft w:val="0"/>
                      <w:marRight w:val="0"/>
                      <w:marTop w:val="0"/>
                      <w:marBottom w:val="0"/>
                      <w:divBdr>
                        <w:top w:val="none" w:sz="0" w:space="0" w:color="auto"/>
                        <w:left w:val="none" w:sz="0" w:space="0" w:color="auto"/>
                        <w:bottom w:val="none" w:sz="0" w:space="0" w:color="auto"/>
                        <w:right w:val="none" w:sz="0" w:space="0" w:color="auto"/>
                      </w:divBdr>
                      <w:divsChild>
                        <w:div w:id="523399554">
                          <w:marLeft w:val="0"/>
                          <w:marRight w:val="0"/>
                          <w:marTop w:val="0"/>
                          <w:marBottom w:val="0"/>
                          <w:divBdr>
                            <w:top w:val="none" w:sz="0" w:space="0" w:color="auto"/>
                            <w:left w:val="none" w:sz="0" w:space="0" w:color="auto"/>
                            <w:bottom w:val="none" w:sz="0" w:space="0" w:color="auto"/>
                            <w:right w:val="none" w:sz="0" w:space="0" w:color="auto"/>
                          </w:divBdr>
                          <w:divsChild>
                            <w:div w:id="1998067100">
                              <w:marLeft w:val="0"/>
                              <w:marRight w:val="0"/>
                              <w:marTop w:val="0"/>
                              <w:marBottom w:val="0"/>
                              <w:divBdr>
                                <w:top w:val="none" w:sz="0" w:space="0" w:color="auto"/>
                                <w:left w:val="none" w:sz="0" w:space="0" w:color="auto"/>
                                <w:bottom w:val="none" w:sz="0" w:space="0" w:color="auto"/>
                                <w:right w:val="none" w:sz="0" w:space="0" w:color="auto"/>
                              </w:divBdr>
                              <w:divsChild>
                                <w:div w:id="984167574">
                                  <w:marLeft w:val="0"/>
                                  <w:marRight w:val="0"/>
                                  <w:marTop w:val="0"/>
                                  <w:marBottom w:val="0"/>
                                  <w:divBdr>
                                    <w:top w:val="none" w:sz="0" w:space="0" w:color="auto"/>
                                    <w:left w:val="none" w:sz="0" w:space="0" w:color="auto"/>
                                    <w:bottom w:val="none" w:sz="0" w:space="0" w:color="auto"/>
                                    <w:right w:val="none" w:sz="0" w:space="0" w:color="auto"/>
                                  </w:divBdr>
                                  <w:divsChild>
                                    <w:div w:id="1763531807">
                                      <w:marLeft w:val="0"/>
                                      <w:marRight w:val="0"/>
                                      <w:marTop w:val="0"/>
                                      <w:marBottom w:val="0"/>
                                      <w:divBdr>
                                        <w:top w:val="none" w:sz="0" w:space="0" w:color="auto"/>
                                        <w:left w:val="none" w:sz="0" w:space="0" w:color="auto"/>
                                        <w:bottom w:val="none" w:sz="0" w:space="0" w:color="auto"/>
                                        <w:right w:val="none" w:sz="0" w:space="0" w:color="auto"/>
                                      </w:divBdr>
                                      <w:divsChild>
                                        <w:div w:id="656878868">
                                          <w:marLeft w:val="0"/>
                                          <w:marRight w:val="0"/>
                                          <w:marTop w:val="0"/>
                                          <w:marBottom w:val="0"/>
                                          <w:divBdr>
                                            <w:top w:val="none" w:sz="0" w:space="0" w:color="auto"/>
                                            <w:left w:val="none" w:sz="0" w:space="0" w:color="auto"/>
                                            <w:bottom w:val="none" w:sz="0" w:space="0" w:color="auto"/>
                                            <w:right w:val="none" w:sz="0" w:space="0" w:color="auto"/>
                                          </w:divBdr>
                                          <w:divsChild>
                                            <w:div w:id="546264718">
                                              <w:marLeft w:val="0"/>
                                              <w:marRight w:val="0"/>
                                              <w:marTop w:val="0"/>
                                              <w:marBottom w:val="0"/>
                                              <w:divBdr>
                                                <w:top w:val="none" w:sz="0" w:space="0" w:color="auto"/>
                                                <w:left w:val="none" w:sz="0" w:space="0" w:color="auto"/>
                                                <w:bottom w:val="none" w:sz="0" w:space="0" w:color="auto"/>
                                                <w:right w:val="none" w:sz="0" w:space="0" w:color="auto"/>
                                              </w:divBdr>
                                              <w:divsChild>
                                                <w:div w:id="1830290590">
                                                  <w:marLeft w:val="0"/>
                                                  <w:marRight w:val="0"/>
                                                  <w:marTop w:val="0"/>
                                                  <w:marBottom w:val="0"/>
                                                  <w:divBdr>
                                                    <w:top w:val="none" w:sz="0" w:space="0" w:color="auto"/>
                                                    <w:left w:val="none" w:sz="0" w:space="0" w:color="auto"/>
                                                    <w:bottom w:val="none" w:sz="0" w:space="0" w:color="auto"/>
                                                    <w:right w:val="none" w:sz="0" w:space="0" w:color="auto"/>
                                                  </w:divBdr>
                                                  <w:divsChild>
                                                    <w:div w:id="1259483191">
                                                      <w:marLeft w:val="0"/>
                                                      <w:marRight w:val="0"/>
                                                      <w:marTop w:val="0"/>
                                                      <w:marBottom w:val="0"/>
                                                      <w:divBdr>
                                                        <w:top w:val="none" w:sz="0" w:space="0" w:color="auto"/>
                                                        <w:left w:val="none" w:sz="0" w:space="0" w:color="auto"/>
                                                        <w:bottom w:val="none" w:sz="0" w:space="0" w:color="auto"/>
                                                        <w:right w:val="none" w:sz="0" w:space="0" w:color="auto"/>
                                                      </w:divBdr>
                                                      <w:divsChild>
                                                        <w:div w:id="45405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32060574">
      <w:bodyDiv w:val="1"/>
      <w:marLeft w:val="0"/>
      <w:marRight w:val="0"/>
      <w:marTop w:val="0"/>
      <w:marBottom w:val="0"/>
      <w:divBdr>
        <w:top w:val="none" w:sz="0" w:space="0" w:color="auto"/>
        <w:left w:val="none" w:sz="0" w:space="0" w:color="auto"/>
        <w:bottom w:val="none" w:sz="0" w:space="0" w:color="auto"/>
        <w:right w:val="none" w:sz="0" w:space="0" w:color="auto"/>
      </w:divBdr>
      <w:divsChild>
        <w:div w:id="1733694356">
          <w:marLeft w:val="0"/>
          <w:marRight w:val="0"/>
          <w:marTop w:val="0"/>
          <w:marBottom w:val="0"/>
          <w:divBdr>
            <w:top w:val="none" w:sz="0" w:space="0" w:color="auto"/>
            <w:left w:val="none" w:sz="0" w:space="0" w:color="auto"/>
            <w:bottom w:val="none" w:sz="0" w:space="0" w:color="auto"/>
            <w:right w:val="none" w:sz="0" w:space="0" w:color="auto"/>
          </w:divBdr>
          <w:divsChild>
            <w:div w:id="2061126610">
              <w:marLeft w:val="0"/>
              <w:marRight w:val="0"/>
              <w:marTop w:val="0"/>
              <w:marBottom w:val="0"/>
              <w:divBdr>
                <w:top w:val="none" w:sz="0" w:space="0" w:color="auto"/>
                <w:left w:val="none" w:sz="0" w:space="0" w:color="auto"/>
                <w:bottom w:val="none" w:sz="0" w:space="0" w:color="auto"/>
                <w:right w:val="none" w:sz="0" w:space="0" w:color="auto"/>
              </w:divBdr>
              <w:divsChild>
                <w:div w:id="1673096520">
                  <w:marLeft w:val="0"/>
                  <w:marRight w:val="0"/>
                  <w:marTop w:val="0"/>
                  <w:marBottom w:val="0"/>
                  <w:divBdr>
                    <w:top w:val="none" w:sz="0" w:space="0" w:color="auto"/>
                    <w:left w:val="none" w:sz="0" w:space="0" w:color="auto"/>
                    <w:bottom w:val="none" w:sz="0" w:space="0" w:color="auto"/>
                    <w:right w:val="none" w:sz="0" w:space="0" w:color="auto"/>
                  </w:divBdr>
                  <w:divsChild>
                    <w:div w:id="705178950">
                      <w:marLeft w:val="0"/>
                      <w:marRight w:val="0"/>
                      <w:marTop w:val="0"/>
                      <w:marBottom w:val="0"/>
                      <w:divBdr>
                        <w:top w:val="none" w:sz="0" w:space="0" w:color="auto"/>
                        <w:left w:val="none" w:sz="0" w:space="0" w:color="auto"/>
                        <w:bottom w:val="none" w:sz="0" w:space="0" w:color="auto"/>
                        <w:right w:val="none" w:sz="0" w:space="0" w:color="auto"/>
                      </w:divBdr>
                      <w:divsChild>
                        <w:div w:id="1468624261">
                          <w:marLeft w:val="0"/>
                          <w:marRight w:val="0"/>
                          <w:marTop w:val="0"/>
                          <w:marBottom w:val="0"/>
                          <w:divBdr>
                            <w:top w:val="none" w:sz="0" w:space="0" w:color="auto"/>
                            <w:left w:val="none" w:sz="0" w:space="0" w:color="auto"/>
                            <w:bottom w:val="none" w:sz="0" w:space="0" w:color="auto"/>
                            <w:right w:val="none" w:sz="0" w:space="0" w:color="auto"/>
                          </w:divBdr>
                          <w:divsChild>
                            <w:div w:id="3942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882389">
      <w:bodyDiv w:val="1"/>
      <w:marLeft w:val="0"/>
      <w:marRight w:val="0"/>
      <w:marTop w:val="0"/>
      <w:marBottom w:val="0"/>
      <w:divBdr>
        <w:top w:val="none" w:sz="0" w:space="0" w:color="auto"/>
        <w:left w:val="none" w:sz="0" w:space="0" w:color="auto"/>
        <w:bottom w:val="none" w:sz="0" w:space="0" w:color="auto"/>
        <w:right w:val="none" w:sz="0" w:space="0" w:color="auto"/>
      </w:divBdr>
      <w:divsChild>
        <w:div w:id="432673848">
          <w:marLeft w:val="0"/>
          <w:marRight w:val="0"/>
          <w:marTop w:val="0"/>
          <w:marBottom w:val="0"/>
          <w:divBdr>
            <w:top w:val="none" w:sz="0" w:space="0" w:color="auto"/>
            <w:left w:val="none" w:sz="0" w:space="0" w:color="auto"/>
            <w:bottom w:val="none" w:sz="0" w:space="0" w:color="auto"/>
            <w:right w:val="none" w:sz="0" w:space="0" w:color="auto"/>
          </w:divBdr>
          <w:divsChild>
            <w:div w:id="1810123552">
              <w:marLeft w:val="0"/>
              <w:marRight w:val="0"/>
              <w:marTop w:val="0"/>
              <w:marBottom w:val="0"/>
              <w:divBdr>
                <w:top w:val="none" w:sz="0" w:space="0" w:color="auto"/>
                <w:left w:val="none" w:sz="0" w:space="0" w:color="auto"/>
                <w:bottom w:val="none" w:sz="0" w:space="0" w:color="auto"/>
                <w:right w:val="none" w:sz="0" w:space="0" w:color="auto"/>
              </w:divBdr>
              <w:divsChild>
                <w:div w:id="1019895357">
                  <w:marLeft w:val="0"/>
                  <w:marRight w:val="0"/>
                  <w:marTop w:val="0"/>
                  <w:marBottom w:val="0"/>
                  <w:divBdr>
                    <w:top w:val="none" w:sz="0" w:space="0" w:color="auto"/>
                    <w:left w:val="none" w:sz="0" w:space="0" w:color="auto"/>
                    <w:bottom w:val="none" w:sz="0" w:space="0" w:color="auto"/>
                    <w:right w:val="none" w:sz="0" w:space="0" w:color="auto"/>
                  </w:divBdr>
                  <w:divsChild>
                    <w:div w:id="2098020118">
                      <w:marLeft w:val="0"/>
                      <w:marRight w:val="0"/>
                      <w:marTop w:val="0"/>
                      <w:marBottom w:val="0"/>
                      <w:divBdr>
                        <w:top w:val="none" w:sz="0" w:space="0" w:color="auto"/>
                        <w:left w:val="none" w:sz="0" w:space="0" w:color="auto"/>
                        <w:bottom w:val="none" w:sz="0" w:space="0" w:color="auto"/>
                        <w:right w:val="none" w:sz="0" w:space="0" w:color="auto"/>
                      </w:divBdr>
                      <w:divsChild>
                        <w:div w:id="339739118">
                          <w:marLeft w:val="0"/>
                          <w:marRight w:val="0"/>
                          <w:marTop w:val="0"/>
                          <w:marBottom w:val="0"/>
                          <w:divBdr>
                            <w:top w:val="none" w:sz="0" w:space="0" w:color="auto"/>
                            <w:left w:val="none" w:sz="0" w:space="0" w:color="auto"/>
                            <w:bottom w:val="none" w:sz="0" w:space="0" w:color="auto"/>
                            <w:right w:val="none" w:sz="0" w:space="0" w:color="auto"/>
                          </w:divBdr>
                          <w:divsChild>
                            <w:div w:id="226846998">
                              <w:marLeft w:val="0"/>
                              <w:marRight w:val="0"/>
                              <w:marTop w:val="0"/>
                              <w:marBottom w:val="0"/>
                              <w:divBdr>
                                <w:top w:val="none" w:sz="0" w:space="0" w:color="auto"/>
                                <w:left w:val="none" w:sz="0" w:space="0" w:color="auto"/>
                                <w:bottom w:val="none" w:sz="0" w:space="0" w:color="auto"/>
                                <w:right w:val="none" w:sz="0" w:space="0" w:color="auto"/>
                              </w:divBdr>
                              <w:divsChild>
                                <w:div w:id="1875581771">
                                  <w:marLeft w:val="0"/>
                                  <w:marRight w:val="0"/>
                                  <w:marTop w:val="0"/>
                                  <w:marBottom w:val="0"/>
                                  <w:divBdr>
                                    <w:top w:val="none" w:sz="0" w:space="0" w:color="auto"/>
                                    <w:left w:val="none" w:sz="0" w:space="0" w:color="auto"/>
                                    <w:bottom w:val="none" w:sz="0" w:space="0" w:color="auto"/>
                                    <w:right w:val="none" w:sz="0" w:space="0" w:color="auto"/>
                                  </w:divBdr>
                                  <w:divsChild>
                                    <w:div w:id="881091417">
                                      <w:marLeft w:val="0"/>
                                      <w:marRight w:val="0"/>
                                      <w:marTop w:val="0"/>
                                      <w:marBottom w:val="0"/>
                                      <w:divBdr>
                                        <w:top w:val="none" w:sz="0" w:space="0" w:color="auto"/>
                                        <w:left w:val="none" w:sz="0" w:space="0" w:color="auto"/>
                                        <w:bottom w:val="none" w:sz="0" w:space="0" w:color="auto"/>
                                        <w:right w:val="none" w:sz="0" w:space="0" w:color="auto"/>
                                      </w:divBdr>
                                      <w:divsChild>
                                        <w:div w:id="1121220704">
                                          <w:marLeft w:val="0"/>
                                          <w:marRight w:val="0"/>
                                          <w:marTop w:val="0"/>
                                          <w:marBottom w:val="0"/>
                                          <w:divBdr>
                                            <w:top w:val="none" w:sz="0" w:space="0" w:color="auto"/>
                                            <w:left w:val="none" w:sz="0" w:space="0" w:color="auto"/>
                                            <w:bottom w:val="none" w:sz="0" w:space="0" w:color="auto"/>
                                            <w:right w:val="none" w:sz="0" w:space="0" w:color="auto"/>
                                          </w:divBdr>
                                          <w:divsChild>
                                            <w:div w:id="1911844466">
                                              <w:marLeft w:val="0"/>
                                              <w:marRight w:val="0"/>
                                              <w:marTop w:val="0"/>
                                              <w:marBottom w:val="0"/>
                                              <w:divBdr>
                                                <w:top w:val="none" w:sz="0" w:space="0" w:color="auto"/>
                                                <w:left w:val="none" w:sz="0" w:space="0" w:color="auto"/>
                                                <w:bottom w:val="none" w:sz="0" w:space="0" w:color="auto"/>
                                                <w:right w:val="none" w:sz="0" w:space="0" w:color="auto"/>
                                              </w:divBdr>
                                              <w:divsChild>
                                                <w:div w:id="306595951">
                                                  <w:marLeft w:val="0"/>
                                                  <w:marRight w:val="0"/>
                                                  <w:marTop w:val="0"/>
                                                  <w:marBottom w:val="0"/>
                                                  <w:divBdr>
                                                    <w:top w:val="none" w:sz="0" w:space="0" w:color="auto"/>
                                                    <w:left w:val="none" w:sz="0" w:space="0" w:color="auto"/>
                                                    <w:bottom w:val="none" w:sz="0" w:space="0" w:color="auto"/>
                                                    <w:right w:val="none" w:sz="0" w:space="0" w:color="auto"/>
                                                  </w:divBdr>
                                                  <w:divsChild>
                                                    <w:div w:id="806819998">
                                                      <w:marLeft w:val="0"/>
                                                      <w:marRight w:val="0"/>
                                                      <w:marTop w:val="0"/>
                                                      <w:marBottom w:val="0"/>
                                                      <w:divBdr>
                                                        <w:top w:val="none" w:sz="0" w:space="0" w:color="auto"/>
                                                        <w:left w:val="none" w:sz="0" w:space="0" w:color="auto"/>
                                                        <w:bottom w:val="none" w:sz="0" w:space="0" w:color="auto"/>
                                                        <w:right w:val="none" w:sz="0" w:space="0" w:color="auto"/>
                                                      </w:divBdr>
                                                      <w:divsChild>
                                                        <w:div w:id="33511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91118243">
      <w:bodyDiv w:val="1"/>
      <w:marLeft w:val="0"/>
      <w:marRight w:val="0"/>
      <w:marTop w:val="0"/>
      <w:marBottom w:val="0"/>
      <w:divBdr>
        <w:top w:val="none" w:sz="0" w:space="0" w:color="auto"/>
        <w:left w:val="none" w:sz="0" w:space="0" w:color="auto"/>
        <w:bottom w:val="none" w:sz="0" w:space="0" w:color="auto"/>
        <w:right w:val="none" w:sz="0" w:space="0" w:color="auto"/>
      </w:divBdr>
    </w:div>
    <w:div w:id="1564410675">
      <w:bodyDiv w:val="1"/>
      <w:marLeft w:val="0"/>
      <w:marRight w:val="0"/>
      <w:marTop w:val="0"/>
      <w:marBottom w:val="0"/>
      <w:divBdr>
        <w:top w:val="none" w:sz="0" w:space="0" w:color="auto"/>
        <w:left w:val="none" w:sz="0" w:space="0" w:color="auto"/>
        <w:bottom w:val="none" w:sz="0" w:space="0" w:color="auto"/>
        <w:right w:val="none" w:sz="0" w:space="0" w:color="auto"/>
      </w:divBdr>
      <w:divsChild>
        <w:div w:id="730885640">
          <w:marLeft w:val="0"/>
          <w:marRight w:val="0"/>
          <w:marTop w:val="0"/>
          <w:marBottom w:val="0"/>
          <w:divBdr>
            <w:top w:val="none" w:sz="0" w:space="0" w:color="auto"/>
            <w:left w:val="none" w:sz="0" w:space="0" w:color="auto"/>
            <w:bottom w:val="none" w:sz="0" w:space="0" w:color="auto"/>
            <w:right w:val="none" w:sz="0" w:space="0" w:color="auto"/>
          </w:divBdr>
          <w:divsChild>
            <w:div w:id="432939111">
              <w:marLeft w:val="0"/>
              <w:marRight w:val="0"/>
              <w:marTop w:val="0"/>
              <w:marBottom w:val="0"/>
              <w:divBdr>
                <w:top w:val="none" w:sz="0" w:space="0" w:color="auto"/>
                <w:left w:val="none" w:sz="0" w:space="0" w:color="auto"/>
                <w:bottom w:val="none" w:sz="0" w:space="0" w:color="auto"/>
                <w:right w:val="none" w:sz="0" w:space="0" w:color="auto"/>
              </w:divBdr>
              <w:divsChild>
                <w:div w:id="245581956">
                  <w:marLeft w:val="0"/>
                  <w:marRight w:val="0"/>
                  <w:marTop w:val="0"/>
                  <w:marBottom w:val="0"/>
                  <w:divBdr>
                    <w:top w:val="none" w:sz="0" w:space="0" w:color="auto"/>
                    <w:left w:val="none" w:sz="0" w:space="0" w:color="auto"/>
                    <w:bottom w:val="none" w:sz="0" w:space="0" w:color="auto"/>
                    <w:right w:val="none" w:sz="0" w:space="0" w:color="auto"/>
                  </w:divBdr>
                  <w:divsChild>
                    <w:div w:id="1468354482">
                      <w:marLeft w:val="0"/>
                      <w:marRight w:val="0"/>
                      <w:marTop w:val="0"/>
                      <w:marBottom w:val="0"/>
                      <w:divBdr>
                        <w:top w:val="none" w:sz="0" w:space="0" w:color="auto"/>
                        <w:left w:val="none" w:sz="0" w:space="0" w:color="auto"/>
                        <w:bottom w:val="none" w:sz="0" w:space="0" w:color="auto"/>
                        <w:right w:val="none" w:sz="0" w:space="0" w:color="auto"/>
                      </w:divBdr>
                      <w:divsChild>
                        <w:div w:id="1892227556">
                          <w:marLeft w:val="0"/>
                          <w:marRight w:val="0"/>
                          <w:marTop w:val="0"/>
                          <w:marBottom w:val="0"/>
                          <w:divBdr>
                            <w:top w:val="none" w:sz="0" w:space="0" w:color="auto"/>
                            <w:left w:val="none" w:sz="0" w:space="0" w:color="auto"/>
                            <w:bottom w:val="none" w:sz="0" w:space="0" w:color="auto"/>
                            <w:right w:val="none" w:sz="0" w:space="0" w:color="auto"/>
                          </w:divBdr>
                          <w:divsChild>
                            <w:div w:id="41297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law.cornell.edu/topn/old_age_pension_act" TargetMode="External"/><Relationship Id="rId18" Type="http://schemas.openxmlformats.org/officeDocument/2006/relationships/hyperlink" Target="https://www.law.cornell.edu/definitions/index.php?width=840&amp;height=800&amp;iframe=true&amp;def_id=ec556483e7a555c4cfe608c2f508a1e6&amp;term_occur=999&amp;term_src=Title:42:Chapter:IV:Subchapter:B:Part:413:Subpart:J:413.360" TargetMode="External"/><Relationship Id="rId26" Type="http://schemas.openxmlformats.org/officeDocument/2006/relationships/hyperlink" Target="https://www.law.cornell.edu/cfr/text/42/413.360" TargetMode="External"/><Relationship Id="rId39" Type="http://schemas.openxmlformats.org/officeDocument/2006/relationships/hyperlink" Target="https://www.law.cornell.edu/definitions/index.php?width=840&amp;height=800&amp;iframe=true&amp;def_id=9bfc710926d1e1814edab2a1d582548c&amp;term_occur=999&amp;term_src=Title:42:Chapter:IV:Subchapter:B:Part:413:Subpart:J:413.360" TargetMode="External"/><Relationship Id="rId21" Type="http://schemas.openxmlformats.org/officeDocument/2006/relationships/hyperlink" Target="https://www.law.cornell.edu/definitions/index.php?width=840&amp;height=800&amp;iframe=true&amp;def_id=ec556483e7a555c4cfe608c2f508a1e6&amp;term_occur=999&amp;term_src=Title:42:Chapter:IV:Subchapter:B:Part:413:Subpart:J:413.360" TargetMode="External"/><Relationship Id="rId34" Type="http://schemas.openxmlformats.org/officeDocument/2006/relationships/hyperlink" Target="https://www.law.cornell.edu/definitions/index.php?width=840&amp;height=800&amp;iframe=true&amp;def_id=1343f4820bcbb131d0d1e1cbde09dcce&amp;term_occur=999&amp;term_src=Title:42:Chapter:IV:Subchapter:B:Part:413:Subpart:J:413.360" TargetMode="External"/><Relationship Id="rId42" Type="http://schemas.openxmlformats.org/officeDocument/2006/relationships/hyperlink" Target="https://www.law.cornell.edu/definitions/index.php?width=840&amp;height=800&amp;iframe=true&amp;def_id=1343f4820bcbb131d0d1e1cbde09dcce&amp;term_occur=999&amp;term_src=Title:42:Chapter:IV:Subchapter:B:Part:413:Subpart:J:413.360" TargetMode="External"/><Relationship Id="rId47" Type="http://schemas.openxmlformats.org/officeDocument/2006/relationships/hyperlink" Target="https://www.law.cornell.edu/definitions/index.php?width=840&amp;height=800&amp;iframe=true&amp;def_id=1343f4820bcbb131d0d1e1cbde09dcce&amp;term_occur=999&amp;term_src=Title:42:Chapter:IV:Subchapter:B:Part:413:Subpart:J:413.360"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law.cornell.edu/definitions/index.php?width=840&amp;height=800&amp;iframe=true&amp;def_id=1343f4820bcbb131d0d1e1cbde09dcce&amp;term_occur=999&amp;term_src=Title:42:Chapter:IV:Subchapter:B:Part:413:Subpart:J:413.360" TargetMode="External"/><Relationship Id="rId29" Type="http://schemas.openxmlformats.org/officeDocument/2006/relationships/hyperlink" Target="https://www.law.cornell.edu/definitions/index.php?width=840&amp;height=800&amp;iframe=true&amp;def_id=1343f4820bcbb131d0d1e1cbde09dcce&amp;term_occur=999&amp;term_src=Title:42:Chapter:IV:Subchapter:B:Part:413:Subpart:J:413.360" TargetMode="External"/><Relationship Id="rId11" Type="http://schemas.openxmlformats.org/officeDocument/2006/relationships/hyperlink" Target="https://www.law.cornell.edu/topn/old_age_pension_act" TargetMode="External"/><Relationship Id="rId24" Type="http://schemas.openxmlformats.org/officeDocument/2006/relationships/hyperlink" Target="https://www.law.cornell.edu/definitions/index.php?width=840&amp;height=800&amp;iframe=true&amp;def_id=b382e30e03ae0d8ab3a9ce54906e836e&amp;term_occur=999&amp;term_src=Title:42:Chapter:IV:Subchapter:B:Part:413:Subpart:J:413.360" TargetMode="External"/><Relationship Id="rId32" Type="http://schemas.openxmlformats.org/officeDocument/2006/relationships/hyperlink" Target="https://www.law.cornell.edu/definitions/index.php?width=840&amp;height=800&amp;iframe=true&amp;def_id=1343f4820bcbb131d0d1e1cbde09dcce&amp;term_occur=999&amp;term_src=Title:42:Chapter:IV:Subchapter:B:Part:413:Subpart:J:413.360" TargetMode="External"/><Relationship Id="rId37" Type="http://schemas.openxmlformats.org/officeDocument/2006/relationships/hyperlink" Target="https://www.law.cornell.edu/definitions/index.php?width=840&amp;height=800&amp;iframe=true&amp;def_id=bf357408153b566fe5915e650bfb5a49&amp;term_occur=999&amp;term_src=Title:42:Chapter:IV:Subchapter:B:Part:413:Subpart:J:413.360" TargetMode="External"/><Relationship Id="rId40" Type="http://schemas.openxmlformats.org/officeDocument/2006/relationships/hyperlink" Target="https://www.law.cornell.edu/definitions/index.php?width=840&amp;height=800&amp;iframe=true&amp;def_id=bf357408153b566fe5915e650bfb5a49&amp;term_occur=999&amp;term_src=Title:42:Chapter:IV:Subchapter:B:Part:413:Subpart:J:413.360" TargetMode="External"/><Relationship Id="rId45" Type="http://schemas.openxmlformats.org/officeDocument/2006/relationships/hyperlink" Target="https://www.law.cornell.edu/cfr/text/42/413.360"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law.cornell.edu/definitions/index.php?width=840&amp;height=800&amp;iframe=true&amp;def_id=bf357408153b566fe5915e650bfb5a49&amp;term_occur=999&amp;term_src=Title:42:Chapter:IV:Subchapter:B:Part:413:Subpart:J:413.360" TargetMode="External"/><Relationship Id="rId19" Type="http://schemas.openxmlformats.org/officeDocument/2006/relationships/hyperlink" Target="https://www.law.cornell.edu/definitions/index.php?width=840&amp;height=800&amp;iframe=true&amp;def_id=ec556483e7a555c4cfe608c2f508a1e6&amp;term_occur=999&amp;term_src=Title:42:Chapter:IV:Subchapter:B:Part:413:Subpart:J:413.360" TargetMode="External"/><Relationship Id="rId31" Type="http://schemas.openxmlformats.org/officeDocument/2006/relationships/hyperlink" Target="https://www.law.cornell.edu/definitions/index.php?width=840&amp;height=800&amp;iframe=true&amp;def_id=1343f4820bcbb131d0d1e1cbde09dcce&amp;term_occur=999&amp;term_src=Title:42:Chapter:IV:Subchapter:B:Part:413:Subpart:J:413.360" TargetMode="External"/><Relationship Id="rId44" Type="http://schemas.openxmlformats.org/officeDocument/2006/relationships/hyperlink" Target="https://www.law.cornell.edu/definitions/index.php?width=840&amp;height=800&amp;iframe=true&amp;def_id=1343f4820bcbb131d0d1e1cbde09dcce&amp;term_occur=999&amp;term_src=Title:42:Chapter:IV:Subchapter:B:Part:413:Subpart:J:413.360" TargetMode="External"/><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law.cornell.edu/definitions/index.php?width=840&amp;height=800&amp;iframe=true&amp;def_id=1343f4820bcbb131d0d1e1cbde09dcce&amp;term_occur=999&amp;term_src=Title:42:Chapter:IV:Subchapter:B:Part:413:Subpart:J:413.360" TargetMode="External"/><Relationship Id="rId14" Type="http://schemas.openxmlformats.org/officeDocument/2006/relationships/hyperlink" Target="https://www.law.cornell.edu/definitions/index.php?width=840&amp;height=800&amp;iframe=true&amp;def_id=bf357408153b566fe5915e650bfb5a49&amp;term_occur=999&amp;term_src=Title:42:Chapter:IV:Subchapter:B:Part:413:Subpart:J:413.360" TargetMode="External"/><Relationship Id="rId22" Type="http://schemas.openxmlformats.org/officeDocument/2006/relationships/hyperlink" Target="https://www.law.cornell.edu/definitions/index.php?width=840&amp;height=800&amp;iframe=true&amp;def_id=1343f4820bcbb131d0d1e1cbde09dcce&amp;term_occur=999&amp;term_src=Title:42:Chapter:IV:Subchapter:B:Part:413:Subpart:J:413.360" TargetMode="External"/><Relationship Id="rId27" Type="http://schemas.openxmlformats.org/officeDocument/2006/relationships/hyperlink" Target="https://www.law.cornell.edu/definitions/index.php?width=840&amp;height=800&amp;iframe=true&amp;def_id=1343f4820bcbb131d0d1e1cbde09dcce&amp;term_occur=999&amp;term_src=Title:42:Chapter:IV:Subchapter:B:Part:413:Subpart:J:413.360" TargetMode="External"/><Relationship Id="rId30" Type="http://schemas.openxmlformats.org/officeDocument/2006/relationships/hyperlink" Target="https://www.law.cornell.edu/definitions/index.php?width=840&amp;height=800&amp;iframe=true&amp;def_id=bf357408153b566fe5915e650bfb5a49&amp;term_occur=999&amp;term_src=Title:42:Chapter:IV:Subchapter:B:Part:413:Subpart:J:413.360" TargetMode="External"/><Relationship Id="rId35" Type="http://schemas.openxmlformats.org/officeDocument/2006/relationships/hyperlink" Target="https://www.law.cornell.edu/definitions/index.php?width=840&amp;height=800&amp;iframe=true&amp;def_id=1343f4820bcbb131d0d1e1cbde09dcce&amp;term_occur=999&amp;term_src=Title:42:Chapter:IV:Subchapter:B:Part:413:Subpart:J:413.360" TargetMode="External"/><Relationship Id="rId43" Type="http://schemas.openxmlformats.org/officeDocument/2006/relationships/hyperlink" Target="https://www.law.cornell.edu/definitions/index.php?width=840&amp;height=800&amp;iframe=true&amp;def_id=bf357408153b566fe5915e650bfb5a49&amp;term_occur=999&amp;term_src=Title:42:Chapter:IV:Subchapter:B:Part:413:Subpart:J:413.360" TargetMode="External"/><Relationship Id="rId48" Type="http://schemas.openxmlformats.org/officeDocument/2006/relationships/hyperlink" Target="https://www.law.cornell.edu/cfr/text/42/413.360" TargetMode="External"/><Relationship Id="rId8" Type="http://schemas.openxmlformats.org/officeDocument/2006/relationships/hyperlink" Target="https://www.law.cornell.edu/cfr/text/42/413.360" TargetMode="External"/><Relationship Id="rId51" Type="http://schemas.openxmlformats.org/officeDocument/2006/relationships/header" Target="header2.xml"/><Relationship Id="rId3" Type="http://schemas.openxmlformats.org/officeDocument/2006/relationships/styles" Target="styles.xml"/><Relationship Id="rId12" Type="http://schemas.openxmlformats.org/officeDocument/2006/relationships/hyperlink" Target="https://www.law.cornell.edu/definitions/index.php?width=840&amp;height=800&amp;iframe=true&amp;def_id=ec556483e7a555c4cfe608c2f508a1e6&amp;term_occur=999&amp;term_src=Title:42:Chapter:IV:Subchapter:B:Part:413:Subpart:J:413.360" TargetMode="External"/><Relationship Id="rId17" Type="http://schemas.openxmlformats.org/officeDocument/2006/relationships/hyperlink" Target="https://www.law.cornell.edu/definitions/index.php?width=840&amp;height=800&amp;iframe=true&amp;def_id=1343f4820bcbb131d0d1e1cbde09dcce&amp;term_occur=999&amp;term_src=Title:42:Chapter:IV:Subchapter:B:Part:413:Subpart:J:413.360" TargetMode="External"/><Relationship Id="rId25" Type="http://schemas.openxmlformats.org/officeDocument/2006/relationships/hyperlink" Target="https://www.law.cornell.edu/definitions/index.php?width=840&amp;height=800&amp;iframe=true&amp;def_id=9bfc710926d1e1814edab2a1d582548c&amp;term_occur=999&amp;term_src=Title:42:Chapter:IV:Subchapter:B:Part:413:Subpart:J:413.360" TargetMode="External"/><Relationship Id="rId33" Type="http://schemas.openxmlformats.org/officeDocument/2006/relationships/hyperlink" Target="https://www.law.cornell.edu/definitions/index.php?width=840&amp;height=800&amp;iframe=true&amp;def_id=1343f4820bcbb131d0d1e1cbde09dcce&amp;term_occur=999&amp;term_src=Title:42:Chapter:IV:Subchapter:B:Part:413:Subpart:J:413.360" TargetMode="External"/><Relationship Id="rId38" Type="http://schemas.openxmlformats.org/officeDocument/2006/relationships/hyperlink" Target="https://www.law.cornell.edu/definitions/index.php?width=840&amp;height=800&amp;iframe=true&amp;def_id=1343f4820bcbb131d0d1e1cbde09dcce&amp;term_occur=999&amp;term_src=Title:42:Chapter:IV:Subchapter:B:Part:413:Subpart:J:413.360" TargetMode="External"/><Relationship Id="rId46" Type="http://schemas.openxmlformats.org/officeDocument/2006/relationships/hyperlink" Target="https://www.law.cornell.edu/definitions/index.php?width=840&amp;height=800&amp;iframe=true&amp;def_id=bf357408153b566fe5915e650bfb5a49&amp;term_occur=999&amp;term_src=Title:42:Chapter:IV:Subchapter:B:Part:413:Subpart:J:413.360" TargetMode="External"/><Relationship Id="rId20" Type="http://schemas.openxmlformats.org/officeDocument/2006/relationships/hyperlink" Target="https://www.law.cornell.edu/definitions/index.php?width=840&amp;height=800&amp;iframe=true&amp;def_id=ec556483e7a555c4cfe608c2f508a1e6&amp;term_occur=999&amp;term_src=Title:42:Chapter:IV:Subchapter:B:Part:413:Subpart:J:413.360" TargetMode="External"/><Relationship Id="rId41" Type="http://schemas.openxmlformats.org/officeDocument/2006/relationships/hyperlink" Target="https://www.law.cornell.edu/definitions/index.php?width=840&amp;height=800&amp;iframe=true&amp;def_id=b382e30e03ae0d8ab3a9ce54906e836e&amp;term_occur=999&amp;term_src=Title:42:Chapter:IV:Subchapter:B:Part:413:Subpart:J:413.360"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law.cornell.edu/definitions/index.php?width=840&amp;height=800&amp;iframe=true&amp;def_id=bf357408153b566fe5915e650bfb5a49&amp;term_occur=999&amp;term_src=Title:42:Chapter:IV:Subchapter:B:Part:413:Subpart:J:413.360" TargetMode="External"/><Relationship Id="rId23" Type="http://schemas.openxmlformats.org/officeDocument/2006/relationships/hyperlink" Target="https://www.law.cornell.edu/definitions/index.php?width=840&amp;height=800&amp;iframe=true&amp;def_id=bf357408153b566fe5915e650bfb5a49&amp;term_occur=999&amp;term_src=Title:42:Chapter:IV:Subchapter:B:Part:413:Subpart:J:413.360" TargetMode="External"/><Relationship Id="rId28" Type="http://schemas.openxmlformats.org/officeDocument/2006/relationships/hyperlink" Target="https://www.law.cornell.edu/definitions/index.php?width=840&amp;height=800&amp;iframe=true&amp;def_id=1343f4820bcbb131d0d1e1cbde09dcce&amp;term_occur=999&amp;term_src=Title:42:Chapter:IV:Subchapter:B:Part:413:Subpart:J:413.360" TargetMode="External"/><Relationship Id="rId36" Type="http://schemas.openxmlformats.org/officeDocument/2006/relationships/hyperlink" Target="https://www.law.cornell.edu/cfr/text/42/413.360" TargetMode="External"/><Relationship Id="rId4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cdc.gov/nhs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C62C54-8E4D-4F1A-BF5C-DC39C3848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4217</Words>
  <Characters>24041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INTERMEDIARY POSITION PAPER</vt:lpstr>
    </vt:vector>
  </TitlesOfParts>
  <Company>Wisconsin Physicians Service</Company>
  <LinksUpToDate>false</LinksUpToDate>
  <CharactersWithSpaces>28202</CharactersWithSpaces>
  <SharedDoc>false</SharedDoc>
  <HLinks>
    <vt:vector size="252" baseType="variant">
      <vt:variant>
        <vt:i4>6619141</vt:i4>
      </vt:variant>
      <vt:variant>
        <vt:i4>120</vt:i4>
      </vt:variant>
      <vt:variant>
        <vt:i4>0</vt:i4>
      </vt:variant>
      <vt:variant>
        <vt:i4>5</vt:i4>
      </vt:variant>
      <vt:variant>
        <vt:lpwstr>https://www.law.cornell.edu/cfr/text/42/413.360</vt:lpwstr>
      </vt:variant>
      <vt:variant>
        <vt:lpwstr>b</vt:lpwstr>
      </vt:variant>
      <vt:variant>
        <vt:i4>4391014</vt:i4>
      </vt:variant>
      <vt:variant>
        <vt:i4>117</vt:i4>
      </vt:variant>
      <vt:variant>
        <vt:i4>0</vt:i4>
      </vt:variant>
      <vt:variant>
        <vt:i4>5</vt:i4>
      </vt:variant>
      <vt:variant>
        <vt:lpwstr>https://www.law.cornell.edu/definitions/index.php?width=840&amp;height=800&amp;iframe=true&amp;def_id=1343f4820bcbb131d0d1e1cbde09dcce&amp;term_occur=999&amp;term_src=Title:42:Chapter:IV:Subchapter:B:Part:413:Subpart:J:413.360</vt:lpwstr>
      </vt:variant>
      <vt:variant>
        <vt:lpwstr/>
      </vt:variant>
      <vt:variant>
        <vt:i4>1638453</vt:i4>
      </vt:variant>
      <vt:variant>
        <vt:i4>114</vt:i4>
      </vt:variant>
      <vt:variant>
        <vt:i4>0</vt:i4>
      </vt:variant>
      <vt:variant>
        <vt:i4>5</vt:i4>
      </vt:variant>
      <vt:variant>
        <vt:lpwstr>https://www.law.cornell.edu/definitions/index.php?width=840&amp;height=800&amp;iframe=true&amp;def_id=bf357408153b566fe5915e650bfb5a49&amp;term_occur=999&amp;term_src=Title:42:Chapter:IV:Subchapter:B:Part:413:Subpart:J:413.360</vt:lpwstr>
      </vt:variant>
      <vt:variant>
        <vt:lpwstr/>
      </vt:variant>
      <vt:variant>
        <vt:i4>6619141</vt:i4>
      </vt:variant>
      <vt:variant>
        <vt:i4>111</vt:i4>
      </vt:variant>
      <vt:variant>
        <vt:i4>0</vt:i4>
      </vt:variant>
      <vt:variant>
        <vt:i4>5</vt:i4>
      </vt:variant>
      <vt:variant>
        <vt:lpwstr>https://www.law.cornell.edu/cfr/text/42/413.360</vt:lpwstr>
      </vt:variant>
      <vt:variant>
        <vt:lpwstr>b</vt:lpwstr>
      </vt:variant>
      <vt:variant>
        <vt:i4>4391014</vt:i4>
      </vt:variant>
      <vt:variant>
        <vt:i4>108</vt:i4>
      </vt:variant>
      <vt:variant>
        <vt:i4>0</vt:i4>
      </vt:variant>
      <vt:variant>
        <vt:i4>5</vt:i4>
      </vt:variant>
      <vt:variant>
        <vt:lpwstr>https://www.law.cornell.edu/definitions/index.php?width=840&amp;height=800&amp;iframe=true&amp;def_id=1343f4820bcbb131d0d1e1cbde09dcce&amp;term_occur=999&amp;term_src=Title:42:Chapter:IV:Subchapter:B:Part:413:Subpart:J:413.360</vt:lpwstr>
      </vt:variant>
      <vt:variant>
        <vt:lpwstr/>
      </vt:variant>
      <vt:variant>
        <vt:i4>1638453</vt:i4>
      </vt:variant>
      <vt:variant>
        <vt:i4>105</vt:i4>
      </vt:variant>
      <vt:variant>
        <vt:i4>0</vt:i4>
      </vt:variant>
      <vt:variant>
        <vt:i4>5</vt:i4>
      </vt:variant>
      <vt:variant>
        <vt:lpwstr>https://www.law.cornell.edu/definitions/index.php?width=840&amp;height=800&amp;iframe=true&amp;def_id=bf357408153b566fe5915e650bfb5a49&amp;term_occur=999&amp;term_src=Title:42:Chapter:IV:Subchapter:B:Part:413:Subpart:J:413.360</vt:lpwstr>
      </vt:variant>
      <vt:variant>
        <vt:lpwstr/>
      </vt:variant>
      <vt:variant>
        <vt:i4>4391014</vt:i4>
      </vt:variant>
      <vt:variant>
        <vt:i4>102</vt:i4>
      </vt:variant>
      <vt:variant>
        <vt:i4>0</vt:i4>
      </vt:variant>
      <vt:variant>
        <vt:i4>5</vt:i4>
      </vt:variant>
      <vt:variant>
        <vt:lpwstr>https://www.law.cornell.edu/definitions/index.php?width=840&amp;height=800&amp;iframe=true&amp;def_id=1343f4820bcbb131d0d1e1cbde09dcce&amp;term_occur=999&amp;term_src=Title:42:Chapter:IV:Subchapter:B:Part:413:Subpart:J:413.360</vt:lpwstr>
      </vt:variant>
      <vt:variant>
        <vt:lpwstr/>
      </vt:variant>
      <vt:variant>
        <vt:i4>1114216</vt:i4>
      </vt:variant>
      <vt:variant>
        <vt:i4>99</vt:i4>
      </vt:variant>
      <vt:variant>
        <vt:i4>0</vt:i4>
      </vt:variant>
      <vt:variant>
        <vt:i4>5</vt:i4>
      </vt:variant>
      <vt:variant>
        <vt:lpwstr>https://www.law.cornell.edu/definitions/index.php?width=840&amp;height=800&amp;iframe=true&amp;def_id=b382e30e03ae0d8ab3a9ce54906e836e&amp;term_occur=999&amp;term_src=Title:42:Chapter:IV:Subchapter:B:Part:413:Subpart:J:413.360</vt:lpwstr>
      </vt:variant>
      <vt:variant>
        <vt:lpwstr/>
      </vt:variant>
      <vt:variant>
        <vt:i4>1638453</vt:i4>
      </vt:variant>
      <vt:variant>
        <vt:i4>96</vt:i4>
      </vt:variant>
      <vt:variant>
        <vt:i4>0</vt:i4>
      </vt:variant>
      <vt:variant>
        <vt:i4>5</vt:i4>
      </vt:variant>
      <vt:variant>
        <vt:lpwstr>https://www.law.cornell.edu/definitions/index.php?width=840&amp;height=800&amp;iframe=true&amp;def_id=bf357408153b566fe5915e650bfb5a49&amp;term_occur=999&amp;term_src=Title:42:Chapter:IV:Subchapter:B:Part:413:Subpart:J:413.360</vt:lpwstr>
      </vt:variant>
      <vt:variant>
        <vt:lpwstr/>
      </vt:variant>
      <vt:variant>
        <vt:i4>1310779</vt:i4>
      </vt:variant>
      <vt:variant>
        <vt:i4>93</vt:i4>
      </vt:variant>
      <vt:variant>
        <vt:i4>0</vt:i4>
      </vt:variant>
      <vt:variant>
        <vt:i4>5</vt:i4>
      </vt:variant>
      <vt:variant>
        <vt:lpwstr>https://www.law.cornell.edu/definitions/index.php?width=840&amp;height=800&amp;iframe=true&amp;def_id=9bfc710926d1e1814edab2a1d582548c&amp;term_occur=999&amp;term_src=Title:42:Chapter:IV:Subchapter:B:Part:413:Subpart:J:413.360</vt:lpwstr>
      </vt:variant>
      <vt:variant>
        <vt:lpwstr/>
      </vt:variant>
      <vt:variant>
        <vt:i4>4391014</vt:i4>
      </vt:variant>
      <vt:variant>
        <vt:i4>90</vt:i4>
      </vt:variant>
      <vt:variant>
        <vt:i4>0</vt:i4>
      </vt:variant>
      <vt:variant>
        <vt:i4>5</vt:i4>
      </vt:variant>
      <vt:variant>
        <vt:lpwstr>https://www.law.cornell.edu/definitions/index.php?width=840&amp;height=800&amp;iframe=true&amp;def_id=1343f4820bcbb131d0d1e1cbde09dcce&amp;term_occur=999&amp;term_src=Title:42:Chapter:IV:Subchapter:B:Part:413:Subpart:J:413.360</vt:lpwstr>
      </vt:variant>
      <vt:variant>
        <vt:lpwstr/>
      </vt:variant>
      <vt:variant>
        <vt:i4>1638453</vt:i4>
      </vt:variant>
      <vt:variant>
        <vt:i4>87</vt:i4>
      </vt:variant>
      <vt:variant>
        <vt:i4>0</vt:i4>
      </vt:variant>
      <vt:variant>
        <vt:i4>5</vt:i4>
      </vt:variant>
      <vt:variant>
        <vt:lpwstr>https://www.law.cornell.edu/definitions/index.php?width=840&amp;height=800&amp;iframe=true&amp;def_id=bf357408153b566fe5915e650bfb5a49&amp;term_occur=999&amp;term_src=Title:42:Chapter:IV:Subchapter:B:Part:413:Subpart:J:413.360</vt:lpwstr>
      </vt:variant>
      <vt:variant>
        <vt:lpwstr/>
      </vt:variant>
      <vt:variant>
        <vt:i4>3801092</vt:i4>
      </vt:variant>
      <vt:variant>
        <vt:i4>84</vt:i4>
      </vt:variant>
      <vt:variant>
        <vt:i4>0</vt:i4>
      </vt:variant>
      <vt:variant>
        <vt:i4>5</vt:i4>
      </vt:variant>
      <vt:variant>
        <vt:lpwstr>https://www.law.cornell.edu/cfr/text/42/413.360</vt:lpwstr>
      </vt:variant>
      <vt:variant>
        <vt:lpwstr>c_4</vt:lpwstr>
      </vt:variant>
      <vt:variant>
        <vt:i4>4391014</vt:i4>
      </vt:variant>
      <vt:variant>
        <vt:i4>81</vt:i4>
      </vt:variant>
      <vt:variant>
        <vt:i4>0</vt:i4>
      </vt:variant>
      <vt:variant>
        <vt:i4>5</vt:i4>
      </vt:variant>
      <vt:variant>
        <vt:lpwstr>https://www.law.cornell.edu/definitions/index.php?width=840&amp;height=800&amp;iframe=true&amp;def_id=1343f4820bcbb131d0d1e1cbde09dcce&amp;term_occur=999&amp;term_src=Title:42:Chapter:IV:Subchapter:B:Part:413:Subpart:J:413.360</vt:lpwstr>
      </vt:variant>
      <vt:variant>
        <vt:lpwstr/>
      </vt:variant>
      <vt:variant>
        <vt:i4>4391014</vt:i4>
      </vt:variant>
      <vt:variant>
        <vt:i4>78</vt:i4>
      </vt:variant>
      <vt:variant>
        <vt:i4>0</vt:i4>
      </vt:variant>
      <vt:variant>
        <vt:i4>5</vt:i4>
      </vt:variant>
      <vt:variant>
        <vt:lpwstr>https://www.law.cornell.edu/definitions/index.php?width=840&amp;height=800&amp;iframe=true&amp;def_id=1343f4820bcbb131d0d1e1cbde09dcce&amp;term_occur=999&amp;term_src=Title:42:Chapter:IV:Subchapter:B:Part:413:Subpart:J:413.360</vt:lpwstr>
      </vt:variant>
      <vt:variant>
        <vt:lpwstr/>
      </vt:variant>
      <vt:variant>
        <vt:i4>4391014</vt:i4>
      </vt:variant>
      <vt:variant>
        <vt:i4>75</vt:i4>
      </vt:variant>
      <vt:variant>
        <vt:i4>0</vt:i4>
      </vt:variant>
      <vt:variant>
        <vt:i4>5</vt:i4>
      </vt:variant>
      <vt:variant>
        <vt:lpwstr>https://www.law.cornell.edu/definitions/index.php?width=840&amp;height=800&amp;iframe=true&amp;def_id=1343f4820bcbb131d0d1e1cbde09dcce&amp;term_occur=999&amp;term_src=Title:42:Chapter:IV:Subchapter:B:Part:413:Subpart:J:413.360</vt:lpwstr>
      </vt:variant>
      <vt:variant>
        <vt:lpwstr/>
      </vt:variant>
      <vt:variant>
        <vt:i4>4391014</vt:i4>
      </vt:variant>
      <vt:variant>
        <vt:i4>72</vt:i4>
      </vt:variant>
      <vt:variant>
        <vt:i4>0</vt:i4>
      </vt:variant>
      <vt:variant>
        <vt:i4>5</vt:i4>
      </vt:variant>
      <vt:variant>
        <vt:lpwstr>https://www.law.cornell.edu/definitions/index.php?width=840&amp;height=800&amp;iframe=true&amp;def_id=1343f4820bcbb131d0d1e1cbde09dcce&amp;term_occur=999&amp;term_src=Title:42:Chapter:IV:Subchapter:B:Part:413:Subpart:J:413.360</vt:lpwstr>
      </vt:variant>
      <vt:variant>
        <vt:lpwstr/>
      </vt:variant>
      <vt:variant>
        <vt:i4>4391014</vt:i4>
      </vt:variant>
      <vt:variant>
        <vt:i4>69</vt:i4>
      </vt:variant>
      <vt:variant>
        <vt:i4>0</vt:i4>
      </vt:variant>
      <vt:variant>
        <vt:i4>5</vt:i4>
      </vt:variant>
      <vt:variant>
        <vt:lpwstr>https://www.law.cornell.edu/definitions/index.php?width=840&amp;height=800&amp;iframe=true&amp;def_id=1343f4820bcbb131d0d1e1cbde09dcce&amp;term_occur=999&amp;term_src=Title:42:Chapter:IV:Subchapter:B:Part:413:Subpart:J:413.360</vt:lpwstr>
      </vt:variant>
      <vt:variant>
        <vt:lpwstr/>
      </vt:variant>
      <vt:variant>
        <vt:i4>1638453</vt:i4>
      </vt:variant>
      <vt:variant>
        <vt:i4>66</vt:i4>
      </vt:variant>
      <vt:variant>
        <vt:i4>0</vt:i4>
      </vt:variant>
      <vt:variant>
        <vt:i4>5</vt:i4>
      </vt:variant>
      <vt:variant>
        <vt:lpwstr>https://www.law.cornell.edu/definitions/index.php?width=840&amp;height=800&amp;iframe=true&amp;def_id=bf357408153b566fe5915e650bfb5a49&amp;term_occur=999&amp;term_src=Title:42:Chapter:IV:Subchapter:B:Part:413:Subpart:J:413.360</vt:lpwstr>
      </vt:variant>
      <vt:variant>
        <vt:lpwstr/>
      </vt:variant>
      <vt:variant>
        <vt:i4>4391014</vt:i4>
      </vt:variant>
      <vt:variant>
        <vt:i4>63</vt:i4>
      </vt:variant>
      <vt:variant>
        <vt:i4>0</vt:i4>
      </vt:variant>
      <vt:variant>
        <vt:i4>5</vt:i4>
      </vt:variant>
      <vt:variant>
        <vt:lpwstr>https://www.law.cornell.edu/definitions/index.php?width=840&amp;height=800&amp;iframe=true&amp;def_id=1343f4820bcbb131d0d1e1cbde09dcce&amp;term_occur=999&amp;term_src=Title:42:Chapter:IV:Subchapter:B:Part:413:Subpart:J:413.360</vt:lpwstr>
      </vt:variant>
      <vt:variant>
        <vt:lpwstr/>
      </vt:variant>
      <vt:variant>
        <vt:i4>4391014</vt:i4>
      </vt:variant>
      <vt:variant>
        <vt:i4>60</vt:i4>
      </vt:variant>
      <vt:variant>
        <vt:i4>0</vt:i4>
      </vt:variant>
      <vt:variant>
        <vt:i4>5</vt:i4>
      </vt:variant>
      <vt:variant>
        <vt:lpwstr>https://www.law.cornell.edu/definitions/index.php?width=840&amp;height=800&amp;iframe=true&amp;def_id=1343f4820bcbb131d0d1e1cbde09dcce&amp;term_occur=999&amp;term_src=Title:42:Chapter:IV:Subchapter:B:Part:413:Subpart:J:413.360</vt:lpwstr>
      </vt:variant>
      <vt:variant>
        <vt:lpwstr/>
      </vt:variant>
      <vt:variant>
        <vt:i4>4391014</vt:i4>
      </vt:variant>
      <vt:variant>
        <vt:i4>57</vt:i4>
      </vt:variant>
      <vt:variant>
        <vt:i4>0</vt:i4>
      </vt:variant>
      <vt:variant>
        <vt:i4>5</vt:i4>
      </vt:variant>
      <vt:variant>
        <vt:lpwstr>https://www.law.cornell.edu/definitions/index.php?width=840&amp;height=800&amp;iframe=true&amp;def_id=1343f4820bcbb131d0d1e1cbde09dcce&amp;term_occur=999&amp;term_src=Title:42:Chapter:IV:Subchapter:B:Part:413:Subpart:J:413.360</vt:lpwstr>
      </vt:variant>
      <vt:variant>
        <vt:lpwstr/>
      </vt:variant>
      <vt:variant>
        <vt:i4>6619141</vt:i4>
      </vt:variant>
      <vt:variant>
        <vt:i4>54</vt:i4>
      </vt:variant>
      <vt:variant>
        <vt:i4>0</vt:i4>
      </vt:variant>
      <vt:variant>
        <vt:i4>5</vt:i4>
      </vt:variant>
      <vt:variant>
        <vt:lpwstr>https://www.law.cornell.edu/cfr/text/42/413.360</vt:lpwstr>
      </vt:variant>
      <vt:variant>
        <vt:lpwstr>b</vt:lpwstr>
      </vt:variant>
      <vt:variant>
        <vt:i4>1310779</vt:i4>
      </vt:variant>
      <vt:variant>
        <vt:i4>51</vt:i4>
      </vt:variant>
      <vt:variant>
        <vt:i4>0</vt:i4>
      </vt:variant>
      <vt:variant>
        <vt:i4>5</vt:i4>
      </vt:variant>
      <vt:variant>
        <vt:lpwstr>https://www.law.cornell.edu/definitions/index.php?width=840&amp;height=800&amp;iframe=true&amp;def_id=9bfc710926d1e1814edab2a1d582548c&amp;term_occur=999&amp;term_src=Title:42:Chapter:IV:Subchapter:B:Part:413:Subpart:J:413.360</vt:lpwstr>
      </vt:variant>
      <vt:variant>
        <vt:lpwstr/>
      </vt:variant>
      <vt:variant>
        <vt:i4>1114216</vt:i4>
      </vt:variant>
      <vt:variant>
        <vt:i4>48</vt:i4>
      </vt:variant>
      <vt:variant>
        <vt:i4>0</vt:i4>
      </vt:variant>
      <vt:variant>
        <vt:i4>5</vt:i4>
      </vt:variant>
      <vt:variant>
        <vt:lpwstr>https://www.law.cornell.edu/definitions/index.php?width=840&amp;height=800&amp;iframe=true&amp;def_id=b382e30e03ae0d8ab3a9ce54906e836e&amp;term_occur=999&amp;term_src=Title:42:Chapter:IV:Subchapter:B:Part:413:Subpart:J:413.360</vt:lpwstr>
      </vt:variant>
      <vt:variant>
        <vt:lpwstr/>
      </vt:variant>
      <vt:variant>
        <vt:i4>1638453</vt:i4>
      </vt:variant>
      <vt:variant>
        <vt:i4>45</vt:i4>
      </vt:variant>
      <vt:variant>
        <vt:i4>0</vt:i4>
      </vt:variant>
      <vt:variant>
        <vt:i4>5</vt:i4>
      </vt:variant>
      <vt:variant>
        <vt:lpwstr>https://www.law.cornell.edu/definitions/index.php?width=840&amp;height=800&amp;iframe=true&amp;def_id=bf357408153b566fe5915e650bfb5a49&amp;term_occur=999&amp;term_src=Title:42:Chapter:IV:Subchapter:B:Part:413:Subpart:J:413.360</vt:lpwstr>
      </vt:variant>
      <vt:variant>
        <vt:lpwstr/>
      </vt:variant>
      <vt:variant>
        <vt:i4>4391014</vt:i4>
      </vt:variant>
      <vt:variant>
        <vt:i4>42</vt:i4>
      </vt:variant>
      <vt:variant>
        <vt:i4>0</vt:i4>
      </vt:variant>
      <vt:variant>
        <vt:i4>5</vt:i4>
      </vt:variant>
      <vt:variant>
        <vt:lpwstr>https://www.law.cornell.edu/definitions/index.php?width=840&amp;height=800&amp;iframe=true&amp;def_id=1343f4820bcbb131d0d1e1cbde09dcce&amp;term_occur=999&amp;term_src=Title:42:Chapter:IV:Subchapter:B:Part:413:Subpart:J:413.360</vt:lpwstr>
      </vt:variant>
      <vt:variant>
        <vt:lpwstr/>
      </vt:variant>
      <vt:variant>
        <vt:i4>5177441</vt:i4>
      </vt:variant>
      <vt:variant>
        <vt:i4>39</vt:i4>
      </vt:variant>
      <vt:variant>
        <vt:i4>0</vt:i4>
      </vt:variant>
      <vt:variant>
        <vt:i4>5</vt:i4>
      </vt:variant>
      <vt:variant>
        <vt:lpwstr>https://www.law.cornell.edu/definitions/index.php?width=840&amp;height=800&amp;iframe=true&amp;def_id=ec556483e7a555c4cfe608c2f508a1e6&amp;term_occur=999&amp;term_src=Title:42:Chapter:IV:Subchapter:B:Part:413:Subpart:J:413.360</vt:lpwstr>
      </vt:variant>
      <vt:variant>
        <vt:lpwstr/>
      </vt:variant>
      <vt:variant>
        <vt:i4>5177441</vt:i4>
      </vt:variant>
      <vt:variant>
        <vt:i4>36</vt:i4>
      </vt:variant>
      <vt:variant>
        <vt:i4>0</vt:i4>
      </vt:variant>
      <vt:variant>
        <vt:i4>5</vt:i4>
      </vt:variant>
      <vt:variant>
        <vt:lpwstr>https://www.law.cornell.edu/definitions/index.php?width=840&amp;height=800&amp;iframe=true&amp;def_id=ec556483e7a555c4cfe608c2f508a1e6&amp;term_occur=999&amp;term_src=Title:42:Chapter:IV:Subchapter:B:Part:413:Subpart:J:413.360</vt:lpwstr>
      </vt:variant>
      <vt:variant>
        <vt:lpwstr/>
      </vt:variant>
      <vt:variant>
        <vt:i4>5177441</vt:i4>
      </vt:variant>
      <vt:variant>
        <vt:i4>33</vt:i4>
      </vt:variant>
      <vt:variant>
        <vt:i4>0</vt:i4>
      </vt:variant>
      <vt:variant>
        <vt:i4>5</vt:i4>
      </vt:variant>
      <vt:variant>
        <vt:lpwstr>https://www.law.cornell.edu/definitions/index.php?width=840&amp;height=800&amp;iframe=true&amp;def_id=ec556483e7a555c4cfe608c2f508a1e6&amp;term_occur=999&amp;term_src=Title:42:Chapter:IV:Subchapter:B:Part:413:Subpart:J:413.360</vt:lpwstr>
      </vt:variant>
      <vt:variant>
        <vt:lpwstr/>
      </vt:variant>
      <vt:variant>
        <vt:i4>5177441</vt:i4>
      </vt:variant>
      <vt:variant>
        <vt:i4>30</vt:i4>
      </vt:variant>
      <vt:variant>
        <vt:i4>0</vt:i4>
      </vt:variant>
      <vt:variant>
        <vt:i4>5</vt:i4>
      </vt:variant>
      <vt:variant>
        <vt:lpwstr>https://www.law.cornell.edu/definitions/index.php?width=840&amp;height=800&amp;iframe=true&amp;def_id=ec556483e7a555c4cfe608c2f508a1e6&amp;term_occur=999&amp;term_src=Title:42:Chapter:IV:Subchapter:B:Part:413:Subpart:J:413.360</vt:lpwstr>
      </vt:variant>
      <vt:variant>
        <vt:lpwstr/>
      </vt:variant>
      <vt:variant>
        <vt:i4>4391014</vt:i4>
      </vt:variant>
      <vt:variant>
        <vt:i4>27</vt:i4>
      </vt:variant>
      <vt:variant>
        <vt:i4>0</vt:i4>
      </vt:variant>
      <vt:variant>
        <vt:i4>5</vt:i4>
      </vt:variant>
      <vt:variant>
        <vt:lpwstr>https://www.law.cornell.edu/definitions/index.php?width=840&amp;height=800&amp;iframe=true&amp;def_id=1343f4820bcbb131d0d1e1cbde09dcce&amp;term_occur=999&amp;term_src=Title:42:Chapter:IV:Subchapter:B:Part:413:Subpart:J:413.360</vt:lpwstr>
      </vt:variant>
      <vt:variant>
        <vt:lpwstr/>
      </vt:variant>
      <vt:variant>
        <vt:i4>4391014</vt:i4>
      </vt:variant>
      <vt:variant>
        <vt:i4>24</vt:i4>
      </vt:variant>
      <vt:variant>
        <vt:i4>0</vt:i4>
      </vt:variant>
      <vt:variant>
        <vt:i4>5</vt:i4>
      </vt:variant>
      <vt:variant>
        <vt:lpwstr>https://www.law.cornell.edu/definitions/index.php?width=840&amp;height=800&amp;iframe=true&amp;def_id=1343f4820bcbb131d0d1e1cbde09dcce&amp;term_occur=999&amp;term_src=Title:42:Chapter:IV:Subchapter:B:Part:413:Subpart:J:413.360</vt:lpwstr>
      </vt:variant>
      <vt:variant>
        <vt:lpwstr/>
      </vt:variant>
      <vt:variant>
        <vt:i4>1638453</vt:i4>
      </vt:variant>
      <vt:variant>
        <vt:i4>21</vt:i4>
      </vt:variant>
      <vt:variant>
        <vt:i4>0</vt:i4>
      </vt:variant>
      <vt:variant>
        <vt:i4>5</vt:i4>
      </vt:variant>
      <vt:variant>
        <vt:lpwstr>https://www.law.cornell.edu/definitions/index.php?width=840&amp;height=800&amp;iframe=true&amp;def_id=bf357408153b566fe5915e650bfb5a49&amp;term_occur=999&amp;term_src=Title:42:Chapter:IV:Subchapter:B:Part:413:Subpart:J:413.360</vt:lpwstr>
      </vt:variant>
      <vt:variant>
        <vt:lpwstr/>
      </vt:variant>
      <vt:variant>
        <vt:i4>1638453</vt:i4>
      </vt:variant>
      <vt:variant>
        <vt:i4>18</vt:i4>
      </vt:variant>
      <vt:variant>
        <vt:i4>0</vt:i4>
      </vt:variant>
      <vt:variant>
        <vt:i4>5</vt:i4>
      </vt:variant>
      <vt:variant>
        <vt:lpwstr>https://www.law.cornell.edu/definitions/index.php?width=840&amp;height=800&amp;iframe=true&amp;def_id=bf357408153b566fe5915e650bfb5a49&amp;term_occur=999&amp;term_src=Title:42:Chapter:IV:Subchapter:B:Part:413:Subpart:J:413.360</vt:lpwstr>
      </vt:variant>
      <vt:variant>
        <vt:lpwstr/>
      </vt:variant>
      <vt:variant>
        <vt:i4>852022</vt:i4>
      </vt:variant>
      <vt:variant>
        <vt:i4>15</vt:i4>
      </vt:variant>
      <vt:variant>
        <vt:i4>0</vt:i4>
      </vt:variant>
      <vt:variant>
        <vt:i4>5</vt:i4>
      </vt:variant>
      <vt:variant>
        <vt:lpwstr>https://www.law.cornell.edu/topn/old_age_pension_act</vt:lpwstr>
      </vt:variant>
      <vt:variant>
        <vt:lpwstr/>
      </vt:variant>
      <vt:variant>
        <vt:i4>5177441</vt:i4>
      </vt:variant>
      <vt:variant>
        <vt:i4>12</vt:i4>
      </vt:variant>
      <vt:variant>
        <vt:i4>0</vt:i4>
      </vt:variant>
      <vt:variant>
        <vt:i4>5</vt:i4>
      </vt:variant>
      <vt:variant>
        <vt:lpwstr>https://www.law.cornell.edu/definitions/index.php?width=840&amp;height=800&amp;iframe=true&amp;def_id=ec556483e7a555c4cfe608c2f508a1e6&amp;term_occur=999&amp;term_src=Title:42:Chapter:IV:Subchapter:B:Part:413:Subpart:J:413.360</vt:lpwstr>
      </vt:variant>
      <vt:variant>
        <vt:lpwstr/>
      </vt:variant>
      <vt:variant>
        <vt:i4>852022</vt:i4>
      </vt:variant>
      <vt:variant>
        <vt:i4>9</vt:i4>
      </vt:variant>
      <vt:variant>
        <vt:i4>0</vt:i4>
      </vt:variant>
      <vt:variant>
        <vt:i4>5</vt:i4>
      </vt:variant>
      <vt:variant>
        <vt:lpwstr>https://www.law.cornell.edu/topn/old_age_pension_act</vt:lpwstr>
      </vt:variant>
      <vt:variant>
        <vt:lpwstr/>
      </vt:variant>
      <vt:variant>
        <vt:i4>1638453</vt:i4>
      </vt:variant>
      <vt:variant>
        <vt:i4>6</vt:i4>
      </vt:variant>
      <vt:variant>
        <vt:i4>0</vt:i4>
      </vt:variant>
      <vt:variant>
        <vt:i4>5</vt:i4>
      </vt:variant>
      <vt:variant>
        <vt:lpwstr>https://www.law.cornell.edu/definitions/index.php?width=840&amp;height=800&amp;iframe=true&amp;def_id=bf357408153b566fe5915e650bfb5a49&amp;term_occur=999&amp;term_src=Title:42:Chapter:IV:Subchapter:B:Part:413:Subpart:J:413.360</vt:lpwstr>
      </vt:variant>
      <vt:variant>
        <vt:lpwstr/>
      </vt:variant>
      <vt:variant>
        <vt:i4>4391014</vt:i4>
      </vt:variant>
      <vt:variant>
        <vt:i4>3</vt:i4>
      </vt:variant>
      <vt:variant>
        <vt:i4>0</vt:i4>
      </vt:variant>
      <vt:variant>
        <vt:i4>5</vt:i4>
      </vt:variant>
      <vt:variant>
        <vt:lpwstr>https://www.law.cornell.edu/definitions/index.php?width=840&amp;height=800&amp;iframe=true&amp;def_id=1343f4820bcbb131d0d1e1cbde09dcce&amp;term_occur=999&amp;term_src=Title:42:Chapter:IV:Subchapter:B:Part:413:Subpart:J:413.360</vt:lpwstr>
      </vt:variant>
      <vt:variant>
        <vt:lpwstr/>
      </vt:variant>
      <vt:variant>
        <vt:i4>6619140</vt:i4>
      </vt:variant>
      <vt:variant>
        <vt:i4>0</vt:i4>
      </vt:variant>
      <vt:variant>
        <vt:i4>0</vt:i4>
      </vt:variant>
      <vt:variant>
        <vt:i4>5</vt:i4>
      </vt:variant>
      <vt:variant>
        <vt:lpwstr>https://www.law.cornell.edu/cfr/text/42/413.360</vt:lpwstr>
      </vt:variant>
      <vt:variant>
        <vt:lpwstr>c</vt:lpwstr>
      </vt:variant>
      <vt:variant>
        <vt:i4>524380</vt:i4>
      </vt:variant>
      <vt:variant>
        <vt:i4>0</vt:i4>
      </vt:variant>
      <vt:variant>
        <vt:i4>0</vt:i4>
      </vt:variant>
      <vt:variant>
        <vt:i4>5</vt:i4>
      </vt:variant>
      <vt:variant>
        <vt:lpwstr>http://www.cdc.gov/nhsn/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INTERMEDIARY POSITION PAPER</dc:title>
  <dc:subject/>
  <dc:creator>Tom Bruce</dc:creator>
  <cp:keywords/>
  <cp:lastModifiedBy>Jonah Smith</cp:lastModifiedBy>
  <cp:revision>5</cp:revision>
  <cp:lastPrinted>2015-03-23T16:57:00Z</cp:lastPrinted>
  <dcterms:created xsi:type="dcterms:W3CDTF">2024-06-18T15:53:00Z</dcterms:created>
  <dcterms:modified xsi:type="dcterms:W3CDTF">2024-06-19T12:28:00Z</dcterms:modified>
</cp:coreProperties>
</file>