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27FD4" w14:textId="07FC3596" w:rsidR="003F337A" w:rsidRPr="00145E4E" w:rsidRDefault="003F337A" w:rsidP="003F337A">
      <w:pPr>
        <w:tabs>
          <w:tab w:val="left" w:pos="-720"/>
        </w:tabs>
        <w:suppressAutoHyphens/>
        <w:spacing w:line="360" w:lineRule="auto"/>
        <w:ind w:left="720"/>
        <w:rPr>
          <w:rFonts w:ascii="Times New Roman" w:hAnsi="Times New Roman"/>
          <w:spacing w:val="-3"/>
          <w:szCs w:val="24"/>
        </w:rPr>
      </w:pPr>
      <w:r>
        <w:rPr>
          <w:rFonts w:ascii="Times New Roman" w:hAnsi="Times New Roman"/>
          <w:b/>
          <w:spacing w:val="-3"/>
          <w:szCs w:val="24"/>
        </w:rPr>
        <w:t>W</w:t>
      </w:r>
      <w:r w:rsidRPr="003F337A">
        <w:rPr>
          <w:rFonts w:ascii="Times New Roman" w:hAnsi="Times New Roman"/>
          <w:spacing w:val="-3"/>
          <w:szCs w:val="24"/>
        </w:rPr>
        <w:t xml:space="preserve">hether CMS acted outside its authority, or otherwise arbitrarily and capriciously, when it excluded the average hourly wage of Southwestern Medical Center from the Tulsa CBSA in calculating the wage index for Federal Fiscal Years (“FYs”) 2015 through 2018. </w:t>
      </w:r>
    </w:p>
    <w:p w14:paraId="0D0C2E85" w14:textId="403ED603" w:rsidR="00162F9F" w:rsidRPr="00247897" w:rsidRDefault="00162F9F" w:rsidP="00162F9F">
      <w:pPr>
        <w:tabs>
          <w:tab w:val="left" w:pos="-720"/>
        </w:tabs>
        <w:suppressAutoHyphens/>
        <w:spacing w:line="360" w:lineRule="auto"/>
        <w:ind w:left="720"/>
        <w:rPr>
          <w:rFonts w:ascii="Times New Roman" w:hAnsi="Times New Roman"/>
          <w:b/>
          <w:spacing w:val="-3"/>
          <w:szCs w:val="24"/>
        </w:rPr>
      </w:pPr>
    </w:p>
    <w:p w14:paraId="789F54B3" w14:textId="77777777" w:rsidR="00E12E62" w:rsidRPr="00247897" w:rsidRDefault="00E12E62" w:rsidP="007F716E">
      <w:pPr>
        <w:tabs>
          <w:tab w:val="left" w:pos="-720"/>
        </w:tabs>
        <w:suppressAutoHyphens/>
        <w:spacing w:line="360" w:lineRule="auto"/>
        <w:ind w:left="720"/>
        <w:rPr>
          <w:rFonts w:ascii="Times New Roman" w:hAnsi="Times New Roman"/>
          <w:spacing w:val="-3"/>
          <w:szCs w:val="24"/>
        </w:rPr>
      </w:pPr>
    </w:p>
    <w:p w14:paraId="13813F2E" w14:textId="77777777" w:rsidR="00CF7F5F" w:rsidRPr="00247897" w:rsidRDefault="00CF7F5F" w:rsidP="00E12E62">
      <w:pPr>
        <w:pStyle w:val="ListParagraph"/>
        <w:numPr>
          <w:ilvl w:val="0"/>
          <w:numId w:val="11"/>
        </w:numPr>
        <w:tabs>
          <w:tab w:val="left" w:pos="-720"/>
        </w:tabs>
        <w:suppressAutoHyphens/>
        <w:spacing w:line="360" w:lineRule="auto"/>
        <w:rPr>
          <w:rFonts w:ascii="Times New Roman" w:hAnsi="Times New Roman"/>
          <w:b/>
          <w:szCs w:val="24"/>
        </w:rPr>
      </w:pPr>
      <w:r w:rsidRPr="00247897">
        <w:rPr>
          <w:rFonts w:ascii="Times New Roman" w:hAnsi="Times New Roman"/>
          <w:b/>
          <w:szCs w:val="24"/>
        </w:rPr>
        <w:t>Facts</w:t>
      </w:r>
    </w:p>
    <w:p w14:paraId="60618DC4" w14:textId="77777777" w:rsidR="00CF7F5F" w:rsidRPr="00247897" w:rsidRDefault="00CF7F5F" w:rsidP="007F716E">
      <w:pPr>
        <w:widowControl/>
        <w:spacing w:line="360" w:lineRule="auto"/>
        <w:ind w:left="1440"/>
        <w:rPr>
          <w:rFonts w:ascii="Times New Roman" w:hAnsi="Times New Roman"/>
          <w:szCs w:val="24"/>
        </w:rPr>
      </w:pPr>
    </w:p>
    <w:p w14:paraId="1988920A" w14:textId="2D724A07" w:rsidR="00CF7F5F" w:rsidRPr="00E23E2E" w:rsidRDefault="00CF7F5F" w:rsidP="007F716E">
      <w:pPr>
        <w:tabs>
          <w:tab w:val="left" w:pos="-720"/>
        </w:tabs>
        <w:suppressAutoHyphens/>
        <w:spacing w:line="360" w:lineRule="auto"/>
        <w:ind w:left="720"/>
        <w:rPr>
          <w:rFonts w:ascii="Times New Roman" w:hAnsi="Times New Roman"/>
        </w:rPr>
      </w:pPr>
      <w:r w:rsidRPr="00E23E2E">
        <w:rPr>
          <w:rFonts w:ascii="Times New Roman" w:hAnsi="Times New Roman"/>
        </w:rPr>
        <w:t>The Providers in this appeal are all acute hospital reimbursed under</w:t>
      </w:r>
      <w:r w:rsidR="00B700FD" w:rsidRPr="00E23E2E">
        <w:rPr>
          <w:rFonts w:ascii="Times New Roman" w:hAnsi="Times New Roman"/>
        </w:rPr>
        <w:t xml:space="preserve"> IPPS.</w:t>
      </w:r>
      <w:r w:rsidR="00FB41E1" w:rsidRPr="00E23E2E">
        <w:rPr>
          <w:rFonts w:ascii="Times New Roman" w:hAnsi="Times New Roman"/>
        </w:rPr>
        <w:t xml:space="preserve">  </w:t>
      </w:r>
      <w:r w:rsidRPr="00E23E2E">
        <w:rPr>
          <w:rFonts w:ascii="Times New Roman" w:hAnsi="Times New Roman"/>
        </w:rPr>
        <w:t>As part of this reimbursement methodology for determining the</w:t>
      </w:r>
      <w:r w:rsidR="00B700FD" w:rsidRPr="00E23E2E">
        <w:rPr>
          <w:rFonts w:ascii="Times New Roman" w:hAnsi="Times New Roman"/>
        </w:rPr>
        <w:t xml:space="preserve"> prospective</w:t>
      </w:r>
      <w:r w:rsidRPr="00E23E2E">
        <w:rPr>
          <w:rFonts w:ascii="Times New Roman" w:hAnsi="Times New Roman"/>
        </w:rPr>
        <w:t xml:space="preserve"> payments, the Medicare statute requires that the wage portion of the diagnostic related group (“DRG”) be adjusted by a factor reflecting the relative hospital wage level in the geographical location of the hospital compared to the national hospital wage level.  A wage index is established for each Core Based Statistical Area (“CBSA”) and for each statewide area that is not within </w:t>
      </w:r>
      <w:proofErr w:type="gramStart"/>
      <w:r w:rsidRPr="00E23E2E">
        <w:rPr>
          <w:rFonts w:ascii="Times New Roman" w:hAnsi="Times New Roman"/>
        </w:rPr>
        <w:t>a CBSA</w:t>
      </w:r>
      <w:proofErr w:type="gramEnd"/>
      <w:r w:rsidRPr="00E23E2E">
        <w:rPr>
          <w:rFonts w:ascii="Times New Roman" w:hAnsi="Times New Roman"/>
        </w:rPr>
        <w:t>.  Beginning October 1, 1993, the statute required CMS to update the wage index annually.  The Centers for Medicare and Medicaid (“CMS”) bases the annual update on a survey of wages and wage-related costs taken from Worksheet S-3 of the Medicare cost reports filed annually by each hospital paid under IPPS.</w:t>
      </w:r>
    </w:p>
    <w:p w14:paraId="27574A73" w14:textId="77777777" w:rsidR="009214C6" w:rsidRPr="00247897" w:rsidRDefault="009214C6" w:rsidP="007F716E">
      <w:pPr>
        <w:tabs>
          <w:tab w:val="left" w:pos="-720"/>
        </w:tabs>
        <w:suppressAutoHyphens/>
        <w:spacing w:line="360" w:lineRule="auto"/>
        <w:ind w:left="720"/>
        <w:rPr>
          <w:rFonts w:ascii="Times New Roman" w:hAnsi="Times New Roman"/>
        </w:rPr>
      </w:pPr>
    </w:p>
    <w:p w14:paraId="28C34D4A" w14:textId="218C6439" w:rsidR="000F7A48" w:rsidRPr="00E23E2E" w:rsidRDefault="00CF7F5F" w:rsidP="007F716E">
      <w:pPr>
        <w:tabs>
          <w:tab w:val="left" w:pos="-720"/>
        </w:tabs>
        <w:suppressAutoHyphens/>
        <w:spacing w:line="360" w:lineRule="auto"/>
        <w:ind w:left="720"/>
        <w:rPr>
          <w:rFonts w:ascii="Times New Roman" w:hAnsi="Times New Roman"/>
        </w:rPr>
      </w:pPr>
      <w:r w:rsidRPr="00E23E2E">
        <w:rPr>
          <w:rFonts w:ascii="Times New Roman" w:hAnsi="Times New Roman"/>
        </w:rPr>
        <w:t>The Provider</w:t>
      </w:r>
      <w:r w:rsidR="00F21ED2" w:rsidRPr="00E23E2E">
        <w:rPr>
          <w:rFonts w:ascii="Times New Roman" w:hAnsi="Times New Roman"/>
        </w:rPr>
        <w:t>s</w:t>
      </w:r>
      <w:r w:rsidRPr="00E23E2E">
        <w:rPr>
          <w:rFonts w:ascii="Times New Roman" w:hAnsi="Times New Roman"/>
        </w:rPr>
        <w:t xml:space="preserve"> contend that </w:t>
      </w:r>
      <w:r w:rsidR="009650E1" w:rsidRPr="00E23E2E">
        <w:rPr>
          <w:rFonts w:ascii="Times New Roman" w:hAnsi="Times New Roman"/>
        </w:rPr>
        <w:t xml:space="preserve">“CMS </w:t>
      </w:r>
      <w:r w:rsidR="00525007" w:rsidRPr="00E23E2E">
        <w:rPr>
          <w:rFonts w:ascii="Times New Roman" w:hAnsi="Times New Roman"/>
        </w:rPr>
        <w:t>acted outside its authority or otherwise arbitrarily and capriciously, when it excluded the average hourly wage of Southwestern Medical Center from the Tulsa CBSA in calculating the wage index for Federal Fiscal Years (“FY”) 2015 through 2018</w:t>
      </w:r>
      <w:r w:rsidR="000F7A48" w:rsidRPr="00E23E2E">
        <w:rPr>
          <w:rFonts w:ascii="Times New Roman" w:hAnsi="Times New Roman"/>
        </w:rPr>
        <w:t>”.</w:t>
      </w:r>
    </w:p>
    <w:p w14:paraId="5ACFD5D3" w14:textId="3AF01E33" w:rsidR="009650E1" w:rsidRDefault="00525007" w:rsidP="007F716E">
      <w:pPr>
        <w:tabs>
          <w:tab w:val="left" w:pos="-720"/>
        </w:tabs>
        <w:suppressAutoHyphens/>
        <w:spacing w:line="360" w:lineRule="auto"/>
        <w:ind w:left="720"/>
        <w:rPr>
          <w:rFonts w:ascii="Times New Roman" w:hAnsi="Times New Roman"/>
          <w:color w:val="00B050"/>
        </w:rPr>
      </w:pPr>
      <w:r w:rsidRPr="002E09F4">
        <w:rPr>
          <w:rFonts w:ascii="Times New Roman" w:hAnsi="Times New Roman"/>
          <w:color w:val="00B050"/>
        </w:rPr>
        <w:t xml:space="preserve"> </w:t>
      </w:r>
    </w:p>
    <w:p w14:paraId="54FBFBE0" w14:textId="05064938" w:rsidR="00694867" w:rsidRPr="00C6430F" w:rsidRDefault="00694867" w:rsidP="007F716E">
      <w:pPr>
        <w:tabs>
          <w:tab w:val="left" w:pos="-720"/>
        </w:tabs>
        <w:suppressAutoHyphens/>
        <w:spacing w:line="360" w:lineRule="auto"/>
        <w:ind w:left="720"/>
        <w:rPr>
          <w:rFonts w:ascii="Times New Roman" w:hAnsi="Times New Roman"/>
        </w:rPr>
      </w:pPr>
      <w:r w:rsidRPr="00E23E2E">
        <w:rPr>
          <w:rFonts w:ascii="Times New Roman" w:hAnsi="Times New Roman"/>
        </w:rPr>
        <w:t>In the</w:t>
      </w:r>
      <w:r w:rsidR="00F21ED2" w:rsidRPr="00E23E2E">
        <w:rPr>
          <w:rFonts w:ascii="Times New Roman" w:hAnsi="Times New Roman"/>
        </w:rPr>
        <w:t>ir</w:t>
      </w:r>
      <w:r w:rsidRPr="00E23E2E">
        <w:rPr>
          <w:rFonts w:ascii="Times New Roman" w:hAnsi="Times New Roman"/>
        </w:rPr>
        <w:t xml:space="preserve"> appeal requests and </w:t>
      </w:r>
      <w:r w:rsidR="00F21ED2" w:rsidRPr="00E23E2E">
        <w:rPr>
          <w:rFonts w:ascii="Times New Roman" w:hAnsi="Times New Roman"/>
        </w:rPr>
        <w:t>p</w:t>
      </w:r>
      <w:r w:rsidRPr="00E23E2E">
        <w:rPr>
          <w:rFonts w:ascii="Times New Roman" w:hAnsi="Times New Roman"/>
        </w:rPr>
        <w:t xml:space="preserve">reliminary papers for the consolidated cases, the Providers refer to </w:t>
      </w:r>
      <w:r w:rsidR="00E23E2E" w:rsidRPr="00E23E2E">
        <w:rPr>
          <w:rFonts w:ascii="Times New Roman" w:hAnsi="Times New Roman"/>
        </w:rPr>
        <w:t>“</w:t>
      </w:r>
      <w:r w:rsidRPr="00E23E2E">
        <w:rPr>
          <w:rFonts w:ascii="Times New Roman" w:hAnsi="Times New Roman"/>
        </w:rPr>
        <w:t>Southwestern Regional Medical Center</w:t>
      </w:r>
      <w:r w:rsidR="00E23E2E" w:rsidRPr="00E23E2E">
        <w:rPr>
          <w:rFonts w:ascii="Times New Roman" w:hAnsi="Times New Roman"/>
        </w:rPr>
        <w:t>”</w:t>
      </w:r>
      <w:r w:rsidRPr="00E23E2E">
        <w:rPr>
          <w:rFonts w:ascii="Times New Roman" w:hAnsi="Times New Roman"/>
        </w:rPr>
        <w:t xml:space="preserve">, </w:t>
      </w:r>
      <w:r w:rsidR="00E203AA" w:rsidRPr="00E23E2E">
        <w:rPr>
          <w:rFonts w:ascii="Times New Roman" w:hAnsi="Times New Roman"/>
        </w:rPr>
        <w:t xml:space="preserve">DBA name as </w:t>
      </w:r>
      <w:r w:rsidRPr="00E23E2E">
        <w:rPr>
          <w:rFonts w:ascii="Times New Roman" w:hAnsi="Times New Roman"/>
        </w:rPr>
        <w:t>“Cancer Treatment Center</w:t>
      </w:r>
      <w:r w:rsidR="008B2895" w:rsidRPr="00E23E2E">
        <w:rPr>
          <w:rFonts w:ascii="Times New Roman" w:hAnsi="Times New Roman"/>
        </w:rPr>
        <w:t xml:space="preserve"> (CTC)</w:t>
      </w:r>
      <w:r w:rsidRPr="00E23E2E">
        <w:rPr>
          <w:rFonts w:ascii="Times New Roman" w:hAnsi="Times New Roman"/>
        </w:rPr>
        <w:t xml:space="preserve"> (Provider no. 37-0190) as the “excluded” hospital. </w:t>
      </w:r>
      <w:r w:rsidR="00E203AA" w:rsidRPr="00E23E2E">
        <w:rPr>
          <w:rFonts w:ascii="Times New Roman" w:hAnsi="Times New Roman"/>
        </w:rPr>
        <w:t xml:space="preserve">The Provider </w:t>
      </w:r>
      <w:proofErr w:type="gramStart"/>
      <w:r w:rsidR="00E203AA" w:rsidRPr="00E23E2E">
        <w:rPr>
          <w:rFonts w:ascii="Times New Roman" w:hAnsi="Times New Roman"/>
        </w:rPr>
        <w:t>tied</w:t>
      </w:r>
      <w:proofErr w:type="gramEnd"/>
      <w:r w:rsidR="00E203AA" w:rsidRPr="00E23E2E">
        <w:rPr>
          <w:rFonts w:ascii="Times New Roman" w:hAnsi="Times New Roman"/>
        </w:rPr>
        <w:t xml:space="preserve"> out on June 1,2021</w:t>
      </w:r>
      <w:r w:rsidR="00E203AA" w:rsidRPr="00C6430F">
        <w:rPr>
          <w:rFonts w:ascii="Times New Roman" w:hAnsi="Times New Roman"/>
        </w:rPr>
        <w:t xml:space="preserve">. See </w:t>
      </w:r>
      <w:r w:rsidR="00E203AA" w:rsidRPr="007766A0">
        <w:rPr>
          <w:rFonts w:ascii="Times New Roman" w:hAnsi="Times New Roman"/>
          <w:b/>
          <w:bCs/>
        </w:rPr>
        <w:t xml:space="preserve">Exhibit </w:t>
      </w:r>
      <w:r w:rsidR="00C6430F" w:rsidRPr="007766A0">
        <w:rPr>
          <w:rFonts w:ascii="Times New Roman" w:hAnsi="Times New Roman"/>
          <w:b/>
          <w:bCs/>
        </w:rPr>
        <w:t>C</w:t>
      </w:r>
      <w:r w:rsidR="00E203AA" w:rsidRPr="007766A0">
        <w:rPr>
          <w:rFonts w:ascii="Times New Roman" w:hAnsi="Times New Roman"/>
          <w:b/>
          <w:bCs/>
        </w:rPr>
        <w:t>-</w:t>
      </w:r>
      <w:r w:rsidR="00D66CCC">
        <w:rPr>
          <w:rFonts w:ascii="Times New Roman" w:hAnsi="Times New Roman"/>
          <w:b/>
          <w:bCs/>
        </w:rPr>
        <w:t>3</w:t>
      </w:r>
      <w:r w:rsidR="00645F57">
        <w:rPr>
          <w:rFonts w:ascii="Times New Roman" w:hAnsi="Times New Roman"/>
          <w:b/>
          <w:bCs/>
        </w:rPr>
        <w:t>.</w:t>
      </w:r>
    </w:p>
    <w:p w14:paraId="643BD56E" w14:textId="77777777" w:rsidR="00694867" w:rsidRPr="00E23E2E" w:rsidRDefault="00694867" w:rsidP="00694867">
      <w:pPr>
        <w:tabs>
          <w:tab w:val="left" w:pos="-720"/>
        </w:tabs>
        <w:suppressAutoHyphens/>
        <w:spacing w:line="360" w:lineRule="auto"/>
        <w:ind w:left="720"/>
        <w:rPr>
          <w:rFonts w:ascii="Times New Roman" w:hAnsi="Times New Roman"/>
        </w:rPr>
      </w:pPr>
    </w:p>
    <w:p w14:paraId="614AEEF8" w14:textId="4AD79B4C" w:rsidR="00F46EDE" w:rsidRPr="00E23E2E" w:rsidRDefault="00694867" w:rsidP="00FD3C33">
      <w:pPr>
        <w:tabs>
          <w:tab w:val="left" w:pos="-720"/>
        </w:tabs>
        <w:suppressAutoHyphens/>
        <w:spacing w:line="360" w:lineRule="auto"/>
        <w:ind w:left="720"/>
        <w:rPr>
          <w:rFonts w:ascii="Times New Roman" w:hAnsi="Times New Roman"/>
        </w:rPr>
      </w:pPr>
      <w:r w:rsidRPr="00E23E2E">
        <w:rPr>
          <w:rFonts w:ascii="Times New Roman" w:hAnsi="Times New Roman"/>
        </w:rPr>
        <w:t xml:space="preserve">In </w:t>
      </w:r>
      <w:r w:rsidR="00F21ED2" w:rsidRPr="00E23E2E">
        <w:rPr>
          <w:rFonts w:ascii="Times New Roman" w:hAnsi="Times New Roman"/>
        </w:rPr>
        <w:t>their c</w:t>
      </w:r>
      <w:r w:rsidRPr="00E23E2E">
        <w:rPr>
          <w:rFonts w:ascii="Times New Roman" w:hAnsi="Times New Roman"/>
        </w:rPr>
        <w:t xml:space="preserve">onsolidated </w:t>
      </w:r>
      <w:r w:rsidR="00F21ED2" w:rsidRPr="00E23E2E">
        <w:rPr>
          <w:rFonts w:ascii="Times New Roman" w:hAnsi="Times New Roman"/>
        </w:rPr>
        <w:t>f</w:t>
      </w:r>
      <w:r w:rsidRPr="00E23E2E">
        <w:rPr>
          <w:rFonts w:ascii="Times New Roman" w:hAnsi="Times New Roman"/>
        </w:rPr>
        <w:t xml:space="preserve">inal </w:t>
      </w:r>
      <w:r w:rsidR="00F21ED2" w:rsidRPr="00E23E2E">
        <w:rPr>
          <w:rFonts w:ascii="Times New Roman" w:hAnsi="Times New Roman"/>
        </w:rPr>
        <w:t>p</w:t>
      </w:r>
      <w:r w:rsidRPr="00E23E2E">
        <w:rPr>
          <w:rFonts w:ascii="Times New Roman" w:hAnsi="Times New Roman"/>
        </w:rPr>
        <w:t xml:space="preserve">osition </w:t>
      </w:r>
      <w:r w:rsidR="00F21ED2" w:rsidRPr="00E23E2E">
        <w:rPr>
          <w:rFonts w:ascii="Times New Roman" w:hAnsi="Times New Roman"/>
        </w:rPr>
        <w:t>p</w:t>
      </w:r>
      <w:r w:rsidRPr="00E23E2E">
        <w:rPr>
          <w:rFonts w:ascii="Times New Roman" w:hAnsi="Times New Roman"/>
        </w:rPr>
        <w:t>aper, the Providers refer to the hospital whose wage information was deleted as “aberrant” as Southwestern Medical Center (SMC). On page 4 of the</w:t>
      </w:r>
      <w:r w:rsidR="00F21ED2" w:rsidRPr="00E23E2E">
        <w:rPr>
          <w:rFonts w:ascii="Times New Roman" w:hAnsi="Times New Roman"/>
        </w:rPr>
        <w:t xml:space="preserve">ir final </w:t>
      </w:r>
      <w:r w:rsidRPr="00E23E2E">
        <w:rPr>
          <w:rFonts w:ascii="Times New Roman" w:hAnsi="Times New Roman"/>
        </w:rPr>
        <w:t>Paper, the Provider number is mistakenly listed as 37-0097. The correct number is 37-0190</w:t>
      </w:r>
      <w:r w:rsidR="008E11CB" w:rsidRPr="00E23E2E">
        <w:rPr>
          <w:rFonts w:ascii="Times New Roman" w:hAnsi="Times New Roman"/>
        </w:rPr>
        <w:t xml:space="preserve"> for Southwestern Regional Medical Center (SRMC) which is </w:t>
      </w:r>
      <w:r w:rsidR="008E11CB" w:rsidRPr="00E23E2E">
        <w:rPr>
          <w:rFonts w:ascii="Times New Roman" w:hAnsi="Times New Roman"/>
        </w:rPr>
        <w:lastRenderedPageBreak/>
        <w:t xml:space="preserve">confirmed in the MAC exhibits for this case. </w:t>
      </w:r>
    </w:p>
    <w:p w14:paraId="3540BEFB" w14:textId="77777777" w:rsidR="00F46EDE" w:rsidRPr="00E23E2E" w:rsidRDefault="00F46EDE" w:rsidP="00FD3C33">
      <w:pPr>
        <w:tabs>
          <w:tab w:val="left" w:pos="-720"/>
        </w:tabs>
        <w:suppressAutoHyphens/>
        <w:spacing w:line="360" w:lineRule="auto"/>
        <w:ind w:left="720"/>
        <w:rPr>
          <w:rFonts w:ascii="Times New Roman" w:hAnsi="Times New Roman"/>
        </w:rPr>
      </w:pPr>
    </w:p>
    <w:p w14:paraId="756A6056" w14:textId="5911CD47" w:rsidR="00FD3C33" w:rsidRPr="00E23E2E" w:rsidRDefault="00FD3C33" w:rsidP="00FD3C33">
      <w:pPr>
        <w:tabs>
          <w:tab w:val="left" w:pos="-720"/>
        </w:tabs>
        <w:suppressAutoHyphens/>
        <w:spacing w:line="360" w:lineRule="auto"/>
        <w:ind w:left="720"/>
        <w:rPr>
          <w:rFonts w:ascii="Times New Roman" w:hAnsi="Times New Roman"/>
        </w:rPr>
      </w:pPr>
      <w:r w:rsidRPr="00E23E2E">
        <w:rPr>
          <w:rFonts w:ascii="Times New Roman" w:hAnsi="Times New Roman"/>
        </w:rPr>
        <w:t xml:space="preserve">In the development of the </w:t>
      </w:r>
      <w:r w:rsidR="00F46EDE" w:rsidRPr="00E23E2E">
        <w:rPr>
          <w:rFonts w:ascii="Times New Roman" w:hAnsi="Times New Roman"/>
        </w:rPr>
        <w:t xml:space="preserve">consolidation of the </w:t>
      </w:r>
      <w:r w:rsidRPr="00E23E2E">
        <w:rPr>
          <w:rFonts w:ascii="Times New Roman" w:hAnsi="Times New Roman"/>
        </w:rPr>
        <w:t>four FFYs appeals</w:t>
      </w:r>
      <w:r w:rsidR="00F46EDE" w:rsidRPr="00E23E2E">
        <w:rPr>
          <w:rFonts w:ascii="Times New Roman" w:hAnsi="Times New Roman"/>
        </w:rPr>
        <w:t xml:space="preserve"> (see above)</w:t>
      </w:r>
      <w:r w:rsidRPr="00E23E2E">
        <w:rPr>
          <w:rFonts w:ascii="Times New Roman" w:hAnsi="Times New Roman"/>
        </w:rPr>
        <w:t>,</w:t>
      </w:r>
      <w:r w:rsidR="008B0EBE" w:rsidRPr="00E23E2E">
        <w:rPr>
          <w:rFonts w:ascii="Times New Roman" w:hAnsi="Times New Roman"/>
        </w:rPr>
        <w:t xml:space="preserve"> </w:t>
      </w:r>
      <w:r w:rsidRPr="00E23E2E">
        <w:rPr>
          <w:rFonts w:ascii="Times New Roman" w:hAnsi="Times New Roman"/>
        </w:rPr>
        <w:t>the hospital</w:t>
      </w:r>
      <w:r w:rsidR="008E11CB" w:rsidRPr="00E23E2E">
        <w:rPr>
          <w:rFonts w:ascii="Times New Roman" w:hAnsi="Times New Roman"/>
        </w:rPr>
        <w:t xml:space="preserve"> in question </w:t>
      </w:r>
      <w:r w:rsidR="00F46EDE" w:rsidRPr="00E23E2E">
        <w:rPr>
          <w:rFonts w:ascii="Times New Roman" w:hAnsi="Times New Roman"/>
        </w:rPr>
        <w:t>(37-</w:t>
      </w:r>
      <w:r w:rsidR="00AA06F5" w:rsidRPr="00E23E2E">
        <w:rPr>
          <w:rFonts w:ascii="Times New Roman" w:hAnsi="Times New Roman"/>
        </w:rPr>
        <w:t>0190</w:t>
      </w:r>
      <w:r w:rsidR="00F46EDE" w:rsidRPr="00E23E2E">
        <w:rPr>
          <w:rFonts w:ascii="Times New Roman" w:hAnsi="Times New Roman"/>
        </w:rPr>
        <w:t>)</w:t>
      </w:r>
      <w:r w:rsidRPr="00E23E2E">
        <w:rPr>
          <w:rFonts w:ascii="Times New Roman" w:hAnsi="Times New Roman"/>
        </w:rPr>
        <w:t xml:space="preserve"> was identified as Cancer Treatment Center (CTC)</w:t>
      </w:r>
      <w:r w:rsidR="00F46EDE" w:rsidRPr="00E23E2E">
        <w:rPr>
          <w:rFonts w:ascii="Times New Roman" w:hAnsi="Times New Roman"/>
        </w:rPr>
        <w:t xml:space="preserve"> in each of the </w:t>
      </w:r>
      <w:r w:rsidR="008E11CB" w:rsidRPr="00E23E2E">
        <w:rPr>
          <w:rFonts w:ascii="Times New Roman" w:hAnsi="Times New Roman"/>
        </w:rPr>
        <w:t xml:space="preserve">appeals impact </w:t>
      </w:r>
      <w:r w:rsidR="008E11CB" w:rsidRPr="00C6430F">
        <w:rPr>
          <w:rFonts w:ascii="Times New Roman" w:hAnsi="Times New Roman"/>
        </w:rPr>
        <w:t>calculation</w:t>
      </w:r>
      <w:r w:rsidR="008B0EBE" w:rsidRPr="00C6430F">
        <w:rPr>
          <w:rFonts w:ascii="Times New Roman" w:hAnsi="Times New Roman"/>
        </w:rPr>
        <w:t>s</w:t>
      </w:r>
      <w:r w:rsidRPr="00C6430F">
        <w:rPr>
          <w:rFonts w:ascii="Times New Roman" w:hAnsi="Times New Roman"/>
        </w:rPr>
        <w:t xml:space="preserve">. </w:t>
      </w:r>
      <w:r w:rsidR="00F46EDE" w:rsidRPr="00C6430F">
        <w:rPr>
          <w:rFonts w:ascii="Times New Roman" w:hAnsi="Times New Roman"/>
        </w:rPr>
        <w:t xml:space="preserve">See </w:t>
      </w:r>
      <w:r w:rsidR="00F46EDE" w:rsidRPr="007766A0">
        <w:rPr>
          <w:rFonts w:ascii="Times New Roman" w:hAnsi="Times New Roman"/>
          <w:b/>
          <w:bCs/>
        </w:rPr>
        <w:t>Exhibit C-</w:t>
      </w:r>
      <w:r w:rsidR="00645F57">
        <w:rPr>
          <w:rFonts w:ascii="Times New Roman" w:hAnsi="Times New Roman"/>
          <w:b/>
          <w:bCs/>
        </w:rPr>
        <w:t>4</w:t>
      </w:r>
      <w:r w:rsidR="008E11CB" w:rsidRPr="00C6430F">
        <w:rPr>
          <w:rFonts w:ascii="Times New Roman" w:hAnsi="Times New Roman"/>
        </w:rPr>
        <w:t xml:space="preserve">. </w:t>
      </w:r>
      <w:r w:rsidRPr="00C6430F">
        <w:rPr>
          <w:rFonts w:ascii="Times New Roman" w:hAnsi="Times New Roman"/>
        </w:rPr>
        <w:t xml:space="preserve">Objectively, a reviewer </w:t>
      </w:r>
      <w:r w:rsidRPr="00E23E2E">
        <w:rPr>
          <w:rFonts w:ascii="Times New Roman" w:hAnsi="Times New Roman"/>
        </w:rPr>
        <w:t xml:space="preserve">can see the significant difference in the </w:t>
      </w:r>
      <w:r w:rsidR="00E11524" w:rsidRPr="00E23E2E">
        <w:rPr>
          <w:rFonts w:ascii="Times New Roman" w:hAnsi="Times New Roman"/>
        </w:rPr>
        <w:t>wage data b</w:t>
      </w:r>
      <w:r w:rsidRPr="00E23E2E">
        <w:rPr>
          <w:rFonts w:ascii="Times New Roman" w:hAnsi="Times New Roman"/>
        </w:rPr>
        <w:t>etween CTC and the other hospitals</w:t>
      </w:r>
      <w:r w:rsidR="00E203AA" w:rsidRPr="00E23E2E">
        <w:rPr>
          <w:rFonts w:ascii="Times New Roman" w:hAnsi="Times New Roman"/>
        </w:rPr>
        <w:t xml:space="preserve"> in Tulsa CBSA (#46140)</w:t>
      </w:r>
      <w:r w:rsidRPr="00E23E2E">
        <w:rPr>
          <w:rFonts w:ascii="Times New Roman" w:hAnsi="Times New Roman"/>
        </w:rPr>
        <w:t>.</w:t>
      </w:r>
    </w:p>
    <w:p w14:paraId="543EFE20" w14:textId="0CFEB357" w:rsidR="00694867" w:rsidRDefault="00694867" w:rsidP="00FD3C33">
      <w:pPr>
        <w:tabs>
          <w:tab w:val="left" w:pos="-720"/>
        </w:tabs>
        <w:suppressAutoHyphens/>
        <w:spacing w:line="360" w:lineRule="auto"/>
        <w:ind w:left="1440"/>
        <w:rPr>
          <w:rFonts w:ascii="Times New Roman" w:hAnsi="Times New Roman"/>
          <w:color w:val="00B050"/>
        </w:rPr>
      </w:pPr>
    </w:p>
    <w:p w14:paraId="0AFF2C00" w14:textId="4F6CB2C3" w:rsidR="00076030" w:rsidRPr="00E23E2E" w:rsidRDefault="008B2895" w:rsidP="00076030">
      <w:pPr>
        <w:tabs>
          <w:tab w:val="left" w:pos="-720"/>
        </w:tabs>
        <w:suppressAutoHyphens/>
        <w:spacing w:line="360" w:lineRule="auto"/>
        <w:ind w:left="720"/>
        <w:rPr>
          <w:rFonts w:ascii="Times New Roman" w:hAnsi="Times New Roman"/>
        </w:rPr>
      </w:pPr>
      <w:r w:rsidRPr="00E23E2E">
        <w:rPr>
          <w:rFonts w:ascii="Times New Roman" w:hAnsi="Times New Roman"/>
        </w:rPr>
        <w:t xml:space="preserve">The Provider in question, </w:t>
      </w:r>
      <w:r w:rsidR="00E23E2E" w:rsidRPr="00E23E2E">
        <w:rPr>
          <w:rFonts w:ascii="Times New Roman" w:hAnsi="Times New Roman"/>
        </w:rPr>
        <w:t xml:space="preserve">(37-0190) </w:t>
      </w:r>
      <w:r w:rsidRPr="00E23E2E">
        <w:rPr>
          <w:rFonts w:ascii="Times New Roman" w:hAnsi="Times New Roman"/>
        </w:rPr>
        <w:t xml:space="preserve">SRMC attempted </w:t>
      </w:r>
      <w:r w:rsidR="00076030" w:rsidRPr="00E23E2E">
        <w:rPr>
          <w:rFonts w:ascii="Times New Roman" w:hAnsi="Times New Roman"/>
        </w:rPr>
        <w:t xml:space="preserve">to better its Medicare reimbursement by arguing that it should be exempted from IPPS (subject to </w:t>
      </w:r>
      <w:proofErr w:type="gramStart"/>
      <w:r w:rsidR="00076030" w:rsidRPr="00E23E2E">
        <w:rPr>
          <w:rFonts w:ascii="Times New Roman" w:hAnsi="Times New Roman"/>
        </w:rPr>
        <w:t>its  wage</w:t>
      </w:r>
      <w:proofErr w:type="gramEnd"/>
      <w:r w:rsidR="00076030" w:rsidRPr="00E23E2E">
        <w:rPr>
          <w:rFonts w:ascii="Times New Roman" w:hAnsi="Times New Roman"/>
        </w:rPr>
        <w:t xml:space="preserve"> index) and paid reasonable cost as a specialty cancer hospital. </w:t>
      </w:r>
      <w:proofErr w:type="gramStart"/>
      <w:r w:rsidR="00076030" w:rsidRPr="00E23E2E">
        <w:rPr>
          <w:rFonts w:ascii="Times New Roman" w:hAnsi="Times New Roman"/>
        </w:rPr>
        <w:t>In spite of</w:t>
      </w:r>
      <w:proofErr w:type="gramEnd"/>
      <w:r w:rsidR="00076030" w:rsidRPr="00E23E2E">
        <w:rPr>
          <w:rFonts w:ascii="Times New Roman" w:hAnsi="Times New Roman"/>
        </w:rPr>
        <w:t xml:space="preserve"> arguing that it had atypically high costs because of its patients. In PRRB Decision 2008-D44</w:t>
      </w:r>
      <w:r w:rsidRPr="00E23E2E">
        <w:rPr>
          <w:rFonts w:ascii="Times New Roman" w:hAnsi="Times New Roman"/>
        </w:rPr>
        <w:t xml:space="preserve"> (see </w:t>
      </w:r>
      <w:r w:rsidRPr="007766A0">
        <w:rPr>
          <w:rFonts w:ascii="Times New Roman" w:hAnsi="Times New Roman"/>
          <w:b/>
          <w:bCs/>
        </w:rPr>
        <w:t>Exhibit C-</w:t>
      </w:r>
      <w:r w:rsidR="00E23E2E" w:rsidRPr="007766A0">
        <w:rPr>
          <w:rFonts w:ascii="Times New Roman" w:hAnsi="Times New Roman"/>
          <w:b/>
          <w:bCs/>
        </w:rPr>
        <w:t>5</w:t>
      </w:r>
      <w:r w:rsidRPr="00C6430F">
        <w:rPr>
          <w:rFonts w:ascii="Times New Roman" w:hAnsi="Times New Roman"/>
        </w:rPr>
        <w:t>)</w:t>
      </w:r>
      <w:r w:rsidR="00076030" w:rsidRPr="00C6430F">
        <w:rPr>
          <w:rFonts w:ascii="Times New Roman" w:hAnsi="Times New Roman"/>
        </w:rPr>
        <w:t xml:space="preserve">, its effort </w:t>
      </w:r>
      <w:r w:rsidRPr="00E23E2E">
        <w:rPr>
          <w:rFonts w:ascii="Times New Roman" w:hAnsi="Times New Roman"/>
        </w:rPr>
        <w:t xml:space="preserve">for exemption </w:t>
      </w:r>
      <w:r w:rsidR="00076030" w:rsidRPr="00E23E2E">
        <w:rPr>
          <w:rFonts w:ascii="Times New Roman" w:hAnsi="Times New Roman"/>
        </w:rPr>
        <w:t>was unsuccessful and it continued to be paid as an IPPS hospital.</w:t>
      </w:r>
    </w:p>
    <w:p w14:paraId="737985EC" w14:textId="0FA8016C" w:rsidR="00694867" w:rsidRPr="008B2895" w:rsidRDefault="00694867" w:rsidP="007F716E">
      <w:pPr>
        <w:tabs>
          <w:tab w:val="left" w:pos="-720"/>
        </w:tabs>
        <w:suppressAutoHyphens/>
        <w:spacing w:line="360" w:lineRule="auto"/>
        <w:ind w:left="720"/>
        <w:rPr>
          <w:rFonts w:ascii="Times New Roman" w:hAnsi="Times New Roman"/>
          <w:color w:val="00B0F0"/>
        </w:rPr>
      </w:pPr>
    </w:p>
    <w:p w14:paraId="724AD465" w14:textId="77777777" w:rsidR="00BF52A4" w:rsidRPr="00247897" w:rsidRDefault="00BF52A4" w:rsidP="00E12E62">
      <w:pPr>
        <w:tabs>
          <w:tab w:val="left" w:pos="-720"/>
        </w:tabs>
        <w:suppressAutoHyphens/>
        <w:spacing w:line="360" w:lineRule="auto"/>
        <w:ind w:left="720"/>
        <w:rPr>
          <w:rFonts w:ascii="Arial" w:hAnsi="Arial"/>
        </w:rPr>
      </w:pPr>
    </w:p>
    <w:p w14:paraId="3BC3113D" w14:textId="77777777" w:rsidR="00CF7F5F" w:rsidRPr="00247897" w:rsidRDefault="00CF7F5F" w:rsidP="00E12E62">
      <w:pPr>
        <w:pStyle w:val="ListParagraph"/>
        <w:numPr>
          <w:ilvl w:val="0"/>
          <w:numId w:val="11"/>
        </w:numPr>
        <w:tabs>
          <w:tab w:val="left" w:pos="-720"/>
        </w:tabs>
        <w:suppressAutoHyphens/>
        <w:spacing w:line="360" w:lineRule="auto"/>
        <w:rPr>
          <w:rFonts w:ascii="Times New Roman" w:hAnsi="Times New Roman"/>
          <w:b/>
          <w:szCs w:val="24"/>
        </w:rPr>
      </w:pPr>
      <w:r w:rsidRPr="00247897">
        <w:rPr>
          <w:rFonts w:ascii="Times New Roman" w:hAnsi="Times New Roman"/>
          <w:b/>
          <w:szCs w:val="24"/>
        </w:rPr>
        <w:t>Argument</w:t>
      </w:r>
    </w:p>
    <w:p w14:paraId="45793663" w14:textId="77777777" w:rsidR="00E12E62" w:rsidRPr="00247897" w:rsidRDefault="00E12E62" w:rsidP="007F716E">
      <w:pPr>
        <w:kinsoku w:val="0"/>
        <w:spacing w:line="360" w:lineRule="auto"/>
        <w:ind w:left="1080" w:hanging="360"/>
        <w:jc w:val="both"/>
        <w:rPr>
          <w:rFonts w:ascii="Times New Roman" w:hAnsi="Times New Roman"/>
          <w:b/>
          <w:bCs/>
          <w:spacing w:val="-4"/>
          <w:w w:val="105"/>
          <w:szCs w:val="24"/>
        </w:rPr>
      </w:pPr>
    </w:p>
    <w:p w14:paraId="100C7FD5" w14:textId="77777777" w:rsidR="00907F64" w:rsidRPr="00E23E2E" w:rsidRDefault="00D9520B" w:rsidP="007F716E">
      <w:pPr>
        <w:kinsoku w:val="0"/>
        <w:spacing w:line="360" w:lineRule="auto"/>
        <w:ind w:left="1080" w:hanging="360"/>
        <w:jc w:val="both"/>
        <w:rPr>
          <w:rFonts w:ascii="Times New Roman" w:hAnsi="Times New Roman"/>
          <w:b/>
          <w:bCs/>
          <w:spacing w:val="-4"/>
          <w:w w:val="105"/>
          <w:szCs w:val="24"/>
        </w:rPr>
      </w:pPr>
      <w:r w:rsidRPr="00E23E2E">
        <w:rPr>
          <w:rFonts w:ascii="Times New Roman" w:hAnsi="Times New Roman"/>
          <w:b/>
          <w:bCs/>
          <w:spacing w:val="-4"/>
          <w:w w:val="105"/>
          <w:szCs w:val="24"/>
        </w:rPr>
        <w:t xml:space="preserve">CMS </w:t>
      </w:r>
      <w:r w:rsidR="003866AA" w:rsidRPr="00E23E2E">
        <w:rPr>
          <w:rFonts w:ascii="Times New Roman" w:hAnsi="Times New Roman"/>
          <w:b/>
          <w:bCs/>
          <w:spacing w:val="-4"/>
          <w:w w:val="105"/>
          <w:szCs w:val="24"/>
        </w:rPr>
        <w:t xml:space="preserve">properly </w:t>
      </w:r>
      <w:r w:rsidR="0054439E" w:rsidRPr="00E23E2E">
        <w:rPr>
          <w:rFonts w:ascii="Times New Roman" w:hAnsi="Times New Roman"/>
          <w:b/>
          <w:bCs/>
          <w:spacing w:val="-4"/>
          <w:w w:val="105"/>
          <w:szCs w:val="24"/>
        </w:rPr>
        <w:t>disallowed Southwestern</w:t>
      </w:r>
      <w:r w:rsidR="002E09F4" w:rsidRPr="00E23E2E">
        <w:rPr>
          <w:rFonts w:ascii="Times New Roman" w:hAnsi="Times New Roman"/>
          <w:b/>
          <w:bCs/>
          <w:spacing w:val="-4"/>
          <w:w w:val="105"/>
          <w:szCs w:val="24"/>
        </w:rPr>
        <w:t xml:space="preserve"> </w:t>
      </w:r>
      <w:r w:rsidR="00907F64" w:rsidRPr="00E23E2E">
        <w:rPr>
          <w:rFonts w:ascii="Times New Roman" w:hAnsi="Times New Roman"/>
          <w:b/>
          <w:bCs/>
          <w:spacing w:val="-4"/>
          <w:w w:val="105"/>
          <w:szCs w:val="24"/>
        </w:rPr>
        <w:t xml:space="preserve">Regional </w:t>
      </w:r>
      <w:r w:rsidR="002E09F4" w:rsidRPr="00E23E2E">
        <w:rPr>
          <w:rFonts w:ascii="Times New Roman" w:hAnsi="Times New Roman"/>
          <w:b/>
          <w:bCs/>
          <w:spacing w:val="-4"/>
          <w:w w:val="105"/>
          <w:szCs w:val="24"/>
        </w:rPr>
        <w:t>Medical Center</w:t>
      </w:r>
      <w:r w:rsidR="0054439E" w:rsidRPr="00E23E2E">
        <w:rPr>
          <w:rFonts w:ascii="Times New Roman" w:hAnsi="Times New Roman"/>
          <w:b/>
          <w:bCs/>
          <w:spacing w:val="-4"/>
          <w:w w:val="105"/>
          <w:szCs w:val="24"/>
        </w:rPr>
        <w:t xml:space="preserve">’s </w:t>
      </w:r>
      <w:r w:rsidR="00B43470" w:rsidRPr="00E23E2E">
        <w:rPr>
          <w:rFonts w:ascii="Times New Roman" w:hAnsi="Times New Roman"/>
          <w:b/>
          <w:bCs/>
          <w:spacing w:val="-4"/>
          <w:w w:val="105"/>
          <w:szCs w:val="24"/>
        </w:rPr>
        <w:t xml:space="preserve">Wage </w:t>
      </w:r>
      <w:r w:rsidR="0054439E" w:rsidRPr="00E23E2E">
        <w:rPr>
          <w:rFonts w:ascii="Times New Roman" w:hAnsi="Times New Roman"/>
          <w:b/>
          <w:bCs/>
          <w:spacing w:val="-4"/>
          <w:w w:val="105"/>
          <w:szCs w:val="24"/>
        </w:rPr>
        <w:t xml:space="preserve">Data </w:t>
      </w:r>
      <w:r w:rsidR="00C217B9" w:rsidRPr="00E23E2E">
        <w:rPr>
          <w:rFonts w:ascii="Times New Roman" w:hAnsi="Times New Roman"/>
          <w:b/>
          <w:bCs/>
          <w:spacing w:val="-4"/>
          <w:w w:val="105"/>
          <w:szCs w:val="24"/>
        </w:rPr>
        <w:t>for</w:t>
      </w:r>
    </w:p>
    <w:p w14:paraId="56285D03" w14:textId="7E676A22" w:rsidR="00D9520B" w:rsidRPr="00E23E2E" w:rsidRDefault="00245220" w:rsidP="007F716E">
      <w:pPr>
        <w:kinsoku w:val="0"/>
        <w:spacing w:line="360" w:lineRule="auto"/>
        <w:ind w:left="1080" w:hanging="360"/>
        <w:jc w:val="both"/>
        <w:rPr>
          <w:rFonts w:ascii="Times New Roman" w:hAnsi="Times New Roman"/>
          <w:b/>
          <w:bCs/>
          <w:spacing w:val="-4"/>
          <w:w w:val="105"/>
          <w:szCs w:val="24"/>
        </w:rPr>
      </w:pPr>
      <w:r w:rsidRPr="00E23E2E">
        <w:rPr>
          <w:rFonts w:ascii="Times New Roman" w:hAnsi="Times New Roman"/>
          <w:b/>
          <w:bCs/>
          <w:spacing w:val="-4"/>
          <w:w w:val="105"/>
          <w:szCs w:val="24"/>
        </w:rPr>
        <w:t>th</w:t>
      </w:r>
      <w:r w:rsidR="0054439E" w:rsidRPr="00E23E2E">
        <w:rPr>
          <w:rFonts w:ascii="Times New Roman" w:hAnsi="Times New Roman"/>
          <w:b/>
          <w:bCs/>
          <w:spacing w:val="-4"/>
          <w:w w:val="105"/>
          <w:szCs w:val="24"/>
        </w:rPr>
        <w:t xml:space="preserve">e </w:t>
      </w:r>
      <w:r w:rsidR="00545E5E" w:rsidRPr="00E23E2E">
        <w:rPr>
          <w:rFonts w:ascii="Times New Roman" w:hAnsi="Times New Roman"/>
          <w:b/>
          <w:bCs/>
          <w:spacing w:val="-4"/>
          <w:w w:val="105"/>
          <w:szCs w:val="24"/>
        </w:rPr>
        <w:t>FY</w:t>
      </w:r>
      <w:r w:rsidR="00F36898" w:rsidRPr="00E23E2E">
        <w:rPr>
          <w:rFonts w:ascii="Times New Roman" w:hAnsi="Times New Roman"/>
          <w:b/>
          <w:bCs/>
          <w:spacing w:val="-4"/>
          <w:w w:val="105"/>
          <w:szCs w:val="24"/>
        </w:rPr>
        <w:t>s</w:t>
      </w:r>
      <w:r w:rsidR="00907F64" w:rsidRPr="00E23E2E">
        <w:rPr>
          <w:rFonts w:ascii="Times New Roman" w:hAnsi="Times New Roman"/>
          <w:b/>
          <w:bCs/>
          <w:spacing w:val="-4"/>
          <w:w w:val="105"/>
          <w:szCs w:val="24"/>
        </w:rPr>
        <w:t xml:space="preserve"> </w:t>
      </w:r>
      <w:r w:rsidR="00F36898" w:rsidRPr="00E23E2E">
        <w:rPr>
          <w:rFonts w:ascii="Times New Roman" w:hAnsi="Times New Roman"/>
          <w:b/>
          <w:bCs/>
          <w:spacing w:val="-4"/>
          <w:w w:val="105"/>
          <w:szCs w:val="24"/>
        </w:rPr>
        <w:t>2015-</w:t>
      </w:r>
      <w:r w:rsidR="004E60DE" w:rsidRPr="00E23E2E">
        <w:rPr>
          <w:rFonts w:ascii="Times New Roman" w:hAnsi="Times New Roman"/>
          <w:b/>
          <w:bCs/>
          <w:spacing w:val="-4"/>
          <w:w w:val="105"/>
          <w:szCs w:val="24"/>
        </w:rPr>
        <w:t>201</w:t>
      </w:r>
      <w:r w:rsidR="00B779AF" w:rsidRPr="00E23E2E">
        <w:rPr>
          <w:rFonts w:ascii="Times New Roman" w:hAnsi="Times New Roman"/>
          <w:b/>
          <w:bCs/>
          <w:spacing w:val="-4"/>
          <w:w w:val="105"/>
          <w:szCs w:val="24"/>
        </w:rPr>
        <w:t>8</w:t>
      </w:r>
      <w:r w:rsidR="00A542D3" w:rsidRPr="00E23E2E">
        <w:rPr>
          <w:rFonts w:ascii="Times New Roman" w:hAnsi="Times New Roman"/>
          <w:b/>
          <w:bCs/>
          <w:spacing w:val="-4"/>
          <w:w w:val="105"/>
          <w:szCs w:val="24"/>
        </w:rPr>
        <w:t xml:space="preserve"> </w:t>
      </w:r>
      <w:r w:rsidR="0033008C" w:rsidRPr="00E23E2E">
        <w:rPr>
          <w:rFonts w:ascii="Times New Roman" w:hAnsi="Times New Roman"/>
          <w:b/>
          <w:bCs/>
          <w:spacing w:val="-4"/>
          <w:w w:val="105"/>
          <w:szCs w:val="24"/>
        </w:rPr>
        <w:t xml:space="preserve">Wage Index  </w:t>
      </w:r>
    </w:p>
    <w:p w14:paraId="65852F41" w14:textId="77777777" w:rsidR="00245912" w:rsidRPr="00E23E2E" w:rsidRDefault="00245912" w:rsidP="007F716E">
      <w:pPr>
        <w:kinsoku w:val="0"/>
        <w:spacing w:line="360" w:lineRule="auto"/>
        <w:ind w:left="1080" w:hanging="360"/>
        <w:jc w:val="both"/>
        <w:rPr>
          <w:rFonts w:ascii="Times New Roman" w:hAnsi="Times New Roman"/>
          <w:b/>
          <w:bCs/>
          <w:spacing w:val="-4"/>
          <w:w w:val="105"/>
          <w:szCs w:val="24"/>
        </w:rPr>
      </w:pPr>
    </w:p>
    <w:p w14:paraId="4172B16C" w14:textId="062BCC9F" w:rsidR="00D05299" w:rsidRPr="00E23E2E" w:rsidRDefault="00E86E54" w:rsidP="00145E4E">
      <w:pPr>
        <w:kinsoku w:val="0"/>
        <w:spacing w:line="360" w:lineRule="auto"/>
        <w:ind w:left="720"/>
        <w:rPr>
          <w:rFonts w:ascii="Times New Roman" w:hAnsi="Times New Roman"/>
          <w:szCs w:val="24"/>
          <w:lang w:val="en"/>
        </w:rPr>
      </w:pPr>
      <w:r w:rsidRPr="00E23E2E">
        <w:rPr>
          <w:rFonts w:ascii="Times New Roman" w:hAnsi="Times New Roman"/>
          <w:spacing w:val="1"/>
          <w:w w:val="105"/>
          <w:szCs w:val="24"/>
        </w:rPr>
        <w:t>The crux of the Providers</w:t>
      </w:r>
      <w:r w:rsidR="00F21ED2" w:rsidRPr="00E23E2E">
        <w:rPr>
          <w:rFonts w:ascii="Times New Roman" w:hAnsi="Times New Roman"/>
          <w:spacing w:val="1"/>
          <w:w w:val="105"/>
          <w:szCs w:val="24"/>
        </w:rPr>
        <w:t>’</w:t>
      </w:r>
      <w:r w:rsidRPr="00E23E2E">
        <w:rPr>
          <w:rFonts w:ascii="Times New Roman" w:hAnsi="Times New Roman"/>
          <w:spacing w:val="1"/>
          <w:w w:val="105"/>
          <w:szCs w:val="24"/>
        </w:rPr>
        <w:t xml:space="preserve"> argument is that CMS </w:t>
      </w:r>
      <w:r w:rsidR="00F36898" w:rsidRPr="00E23E2E">
        <w:rPr>
          <w:rFonts w:ascii="Times New Roman" w:hAnsi="Times New Roman"/>
          <w:spacing w:val="1"/>
          <w:w w:val="105"/>
          <w:szCs w:val="24"/>
        </w:rPr>
        <w:t>“</w:t>
      </w:r>
      <w:r w:rsidRPr="00E23E2E">
        <w:rPr>
          <w:rFonts w:ascii="Times New Roman" w:hAnsi="Times New Roman"/>
          <w:spacing w:val="1"/>
          <w:w w:val="105"/>
          <w:szCs w:val="24"/>
        </w:rPr>
        <w:t>excluded</w:t>
      </w:r>
      <w:r w:rsidR="00F36898" w:rsidRPr="00E23E2E">
        <w:rPr>
          <w:rFonts w:ascii="Times New Roman" w:hAnsi="Times New Roman"/>
          <w:spacing w:val="1"/>
          <w:w w:val="105"/>
          <w:szCs w:val="24"/>
        </w:rPr>
        <w:t>”</w:t>
      </w:r>
      <w:r w:rsidRPr="00E23E2E">
        <w:rPr>
          <w:rFonts w:ascii="Times New Roman" w:hAnsi="Times New Roman"/>
          <w:spacing w:val="1"/>
          <w:w w:val="105"/>
          <w:szCs w:val="24"/>
        </w:rPr>
        <w:t xml:space="preserve"> </w:t>
      </w:r>
      <w:r w:rsidR="00680A8B" w:rsidRPr="00E23E2E">
        <w:rPr>
          <w:rFonts w:ascii="Times New Roman" w:hAnsi="Times New Roman"/>
          <w:spacing w:val="1"/>
          <w:w w:val="105"/>
          <w:szCs w:val="24"/>
        </w:rPr>
        <w:t>SRMC’s</w:t>
      </w:r>
      <w:r w:rsidRPr="00E23E2E">
        <w:rPr>
          <w:rFonts w:ascii="Times New Roman" w:hAnsi="Times New Roman"/>
          <w:spacing w:val="1"/>
          <w:w w:val="105"/>
          <w:szCs w:val="24"/>
        </w:rPr>
        <w:t xml:space="preserve"> </w:t>
      </w:r>
      <w:r w:rsidR="00B779AF" w:rsidRPr="00E23E2E">
        <w:rPr>
          <w:rFonts w:ascii="Times New Roman" w:hAnsi="Times New Roman"/>
          <w:spacing w:val="1"/>
          <w:w w:val="105"/>
          <w:szCs w:val="24"/>
        </w:rPr>
        <w:t>2014</w:t>
      </w:r>
      <w:r w:rsidRPr="00E23E2E">
        <w:rPr>
          <w:rFonts w:ascii="Times New Roman" w:hAnsi="Times New Roman"/>
          <w:spacing w:val="1"/>
          <w:w w:val="105"/>
          <w:szCs w:val="24"/>
        </w:rPr>
        <w:t xml:space="preserve"> average hourly wage ("AHW") index from the data file to construct the </w:t>
      </w:r>
      <w:r w:rsidR="00545E5E" w:rsidRPr="00E23E2E">
        <w:rPr>
          <w:rFonts w:ascii="Times New Roman" w:hAnsi="Times New Roman"/>
          <w:spacing w:val="1"/>
          <w:w w:val="105"/>
          <w:szCs w:val="24"/>
        </w:rPr>
        <w:t>FY</w:t>
      </w:r>
      <w:r w:rsidR="00F36898" w:rsidRPr="00E23E2E">
        <w:rPr>
          <w:rFonts w:ascii="Times New Roman" w:hAnsi="Times New Roman"/>
          <w:spacing w:val="1"/>
          <w:w w:val="105"/>
          <w:szCs w:val="24"/>
        </w:rPr>
        <w:t>s 2015-</w:t>
      </w:r>
      <w:r w:rsidR="004E60DE" w:rsidRPr="00E23E2E">
        <w:rPr>
          <w:rFonts w:ascii="Times New Roman" w:hAnsi="Times New Roman"/>
          <w:spacing w:val="1"/>
          <w:w w:val="105"/>
          <w:szCs w:val="24"/>
        </w:rPr>
        <w:t>201</w:t>
      </w:r>
      <w:r w:rsidR="00B779AF" w:rsidRPr="00E23E2E">
        <w:rPr>
          <w:rFonts w:ascii="Times New Roman" w:hAnsi="Times New Roman"/>
          <w:spacing w:val="1"/>
          <w:w w:val="105"/>
          <w:szCs w:val="24"/>
        </w:rPr>
        <w:t>8</w:t>
      </w:r>
      <w:r w:rsidRPr="00E23E2E">
        <w:rPr>
          <w:rFonts w:ascii="Times New Roman" w:hAnsi="Times New Roman"/>
          <w:spacing w:val="1"/>
          <w:w w:val="105"/>
          <w:szCs w:val="24"/>
        </w:rPr>
        <w:t xml:space="preserve"> wage index and ultimately reduced the reimbursement for the </w:t>
      </w:r>
      <w:r w:rsidR="00245220" w:rsidRPr="00E23E2E">
        <w:rPr>
          <w:rFonts w:ascii="Times New Roman" w:hAnsi="Times New Roman"/>
          <w:spacing w:val="1"/>
          <w:w w:val="105"/>
          <w:szCs w:val="24"/>
        </w:rPr>
        <w:t>hospitals</w:t>
      </w:r>
      <w:r w:rsidRPr="00E23E2E">
        <w:rPr>
          <w:rFonts w:ascii="Times New Roman" w:hAnsi="Times New Roman"/>
          <w:spacing w:val="1"/>
          <w:w w:val="105"/>
          <w:szCs w:val="24"/>
        </w:rPr>
        <w:t xml:space="preserve"> listed in th</w:t>
      </w:r>
      <w:r w:rsidR="00F36898" w:rsidRPr="00E23E2E">
        <w:rPr>
          <w:rFonts w:ascii="Times New Roman" w:hAnsi="Times New Roman"/>
          <w:spacing w:val="1"/>
          <w:w w:val="105"/>
          <w:szCs w:val="24"/>
        </w:rPr>
        <w:t xml:space="preserve">e consolidated </w:t>
      </w:r>
      <w:r w:rsidRPr="00E23E2E">
        <w:rPr>
          <w:rFonts w:ascii="Times New Roman" w:hAnsi="Times New Roman"/>
          <w:spacing w:val="1"/>
          <w:w w:val="105"/>
          <w:szCs w:val="24"/>
        </w:rPr>
        <w:t>appeal case</w:t>
      </w:r>
      <w:r w:rsidR="00F36898" w:rsidRPr="00E23E2E">
        <w:rPr>
          <w:rFonts w:ascii="Times New Roman" w:hAnsi="Times New Roman"/>
          <w:spacing w:val="1"/>
          <w:w w:val="105"/>
          <w:szCs w:val="24"/>
        </w:rPr>
        <w:t>s</w:t>
      </w:r>
      <w:r w:rsidR="00A23FEC" w:rsidRPr="00E23E2E">
        <w:rPr>
          <w:rFonts w:ascii="Times New Roman" w:hAnsi="Times New Roman"/>
          <w:spacing w:val="1"/>
          <w:w w:val="105"/>
          <w:szCs w:val="24"/>
        </w:rPr>
        <w:t xml:space="preserve"> (See above).</w:t>
      </w:r>
      <w:r w:rsidR="006048C0" w:rsidRPr="00E23E2E">
        <w:rPr>
          <w:rFonts w:ascii="Times New Roman" w:hAnsi="Times New Roman"/>
          <w:spacing w:val="1"/>
          <w:w w:val="105"/>
          <w:szCs w:val="24"/>
        </w:rPr>
        <w:t xml:space="preserve"> </w:t>
      </w:r>
      <w:r w:rsidRPr="00E23E2E">
        <w:rPr>
          <w:rFonts w:ascii="Times New Roman" w:hAnsi="Times New Roman"/>
          <w:spacing w:val="1"/>
          <w:w w:val="105"/>
          <w:szCs w:val="24"/>
        </w:rPr>
        <w:t xml:space="preserve">The Provider’s argument fails because </w:t>
      </w:r>
      <w:r w:rsidR="00D9317C" w:rsidRPr="00E23E2E">
        <w:rPr>
          <w:rFonts w:ascii="Times New Roman" w:hAnsi="Times New Roman"/>
          <w:spacing w:val="1"/>
          <w:w w:val="105"/>
          <w:szCs w:val="24"/>
        </w:rPr>
        <w:t xml:space="preserve">CMS has consistently constructed the wage index per </w:t>
      </w:r>
      <w:r w:rsidR="00D9317C" w:rsidRPr="00E23E2E">
        <w:rPr>
          <w:rFonts w:ascii="Times New Roman" w:hAnsi="Times New Roman"/>
          <w:szCs w:val="24"/>
          <w:lang w:val="en"/>
        </w:rPr>
        <w:t>Section 1886(d) of the Social Security Act</w:t>
      </w:r>
      <w:r w:rsidR="00C948B8" w:rsidRPr="00E23E2E">
        <w:rPr>
          <w:rFonts w:ascii="Times New Roman" w:hAnsi="Times New Roman"/>
          <w:szCs w:val="24"/>
          <w:lang w:val="en"/>
        </w:rPr>
        <w:t xml:space="preserve">.  </w:t>
      </w:r>
      <w:r w:rsidR="0084159F" w:rsidRPr="00E23E2E">
        <w:rPr>
          <w:rFonts w:ascii="Times New Roman" w:hAnsi="Times New Roman"/>
          <w:szCs w:val="24"/>
          <w:lang w:val="en"/>
        </w:rPr>
        <w:t xml:space="preserve">In the FFY 2016 Final Rule (80 FR 49489-49491), </w:t>
      </w:r>
      <w:r w:rsidR="00996B2E" w:rsidRPr="00E23E2E">
        <w:rPr>
          <w:rFonts w:ascii="Times New Roman" w:hAnsi="Times New Roman"/>
          <w:szCs w:val="24"/>
          <w:lang w:val="en"/>
        </w:rPr>
        <w:t>CMS responded</w:t>
      </w:r>
      <w:r w:rsidR="00442C0C" w:rsidRPr="00E23E2E">
        <w:rPr>
          <w:rFonts w:ascii="Times New Roman" w:hAnsi="Times New Roman"/>
          <w:szCs w:val="24"/>
          <w:lang w:val="en"/>
        </w:rPr>
        <w:t xml:space="preserve"> to </w:t>
      </w:r>
      <w:r w:rsidR="007E1532" w:rsidRPr="00E23E2E">
        <w:rPr>
          <w:rFonts w:ascii="Times New Roman" w:hAnsi="Times New Roman"/>
          <w:szCs w:val="24"/>
          <w:lang w:val="en"/>
        </w:rPr>
        <w:t>similar</w:t>
      </w:r>
      <w:r w:rsidR="00F128B7" w:rsidRPr="00E23E2E">
        <w:rPr>
          <w:rFonts w:ascii="Times New Roman" w:hAnsi="Times New Roman"/>
          <w:szCs w:val="24"/>
          <w:lang w:val="en"/>
        </w:rPr>
        <w:t xml:space="preserve"> </w:t>
      </w:r>
      <w:r w:rsidR="00442C0C" w:rsidRPr="00E23E2E">
        <w:rPr>
          <w:rFonts w:ascii="Times New Roman" w:hAnsi="Times New Roman"/>
          <w:szCs w:val="24"/>
          <w:lang w:val="en"/>
        </w:rPr>
        <w:t>comments</w:t>
      </w:r>
      <w:r w:rsidR="0090655B" w:rsidRPr="00E23E2E">
        <w:rPr>
          <w:rFonts w:ascii="Times New Roman" w:hAnsi="Times New Roman"/>
          <w:szCs w:val="24"/>
          <w:lang w:val="en"/>
        </w:rPr>
        <w:t xml:space="preserve"> </w:t>
      </w:r>
      <w:r w:rsidR="009D196D" w:rsidRPr="00E23E2E">
        <w:rPr>
          <w:rFonts w:ascii="Times New Roman" w:hAnsi="Times New Roman"/>
          <w:szCs w:val="24"/>
          <w:lang w:val="en"/>
        </w:rPr>
        <w:t xml:space="preserve">as those </w:t>
      </w:r>
      <w:r w:rsidR="0090655B" w:rsidRPr="00E23E2E">
        <w:rPr>
          <w:rFonts w:ascii="Times New Roman" w:hAnsi="Times New Roman"/>
          <w:szCs w:val="24"/>
          <w:lang w:val="en"/>
        </w:rPr>
        <w:t xml:space="preserve">made by the Providers in this case </w:t>
      </w:r>
      <w:r w:rsidR="00145E4E" w:rsidRPr="00E23E2E">
        <w:rPr>
          <w:rFonts w:ascii="Times New Roman" w:hAnsi="Times New Roman"/>
          <w:szCs w:val="24"/>
          <w:lang w:val="en"/>
        </w:rPr>
        <w:t>(</w:t>
      </w:r>
      <w:r w:rsidR="00145E4E" w:rsidRPr="00E23E2E">
        <w:rPr>
          <w:rFonts w:ascii="Times New Roman" w:hAnsi="Times New Roman"/>
          <w:i/>
          <w:szCs w:val="24"/>
          <w:lang w:val="en"/>
        </w:rPr>
        <w:t>S</w:t>
      </w:r>
      <w:r w:rsidR="00F128B7" w:rsidRPr="00E23E2E">
        <w:rPr>
          <w:rFonts w:ascii="Times New Roman" w:hAnsi="Times New Roman"/>
          <w:i/>
          <w:szCs w:val="24"/>
          <w:lang w:val="en"/>
        </w:rPr>
        <w:t>ee</w:t>
      </w:r>
      <w:r w:rsidR="00F128B7" w:rsidRPr="00E23E2E">
        <w:rPr>
          <w:rFonts w:ascii="Times New Roman" w:hAnsi="Times New Roman"/>
          <w:szCs w:val="24"/>
          <w:lang w:val="en"/>
        </w:rPr>
        <w:t xml:space="preserve"> </w:t>
      </w:r>
      <w:r w:rsidR="00F128B7" w:rsidRPr="007766A0">
        <w:rPr>
          <w:rFonts w:ascii="Times New Roman" w:hAnsi="Times New Roman"/>
          <w:b/>
          <w:bCs/>
          <w:szCs w:val="24"/>
          <w:lang w:val="en"/>
        </w:rPr>
        <w:t xml:space="preserve">Exhibit </w:t>
      </w:r>
      <w:r w:rsidR="00CC7289" w:rsidRPr="007766A0">
        <w:rPr>
          <w:rFonts w:ascii="Times New Roman" w:hAnsi="Times New Roman"/>
          <w:b/>
          <w:bCs/>
          <w:szCs w:val="24"/>
          <w:lang w:val="en"/>
        </w:rPr>
        <w:t>C-</w:t>
      </w:r>
      <w:r w:rsidR="00545E5E" w:rsidRPr="007766A0">
        <w:rPr>
          <w:rFonts w:ascii="Times New Roman" w:hAnsi="Times New Roman"/>
          <w:b/>
          <w:bCs/>
          <w:szCs w:val="24"/>
          <w:lang w:val="en"/>
        </w:rPr>
        <w:t>2</w:t>
      </w:r>
      <w:r w:rsidR="00F128B7" w:rsidRPr="00E23E2E">
        <w:rPr>
          <w:rFonts w:ascii="Times New Roman" w:hAnsi="Times New Roman"/>
          <w:szCs w:val="24"/>
          <w:lang w:val="en"/>
        </w:rPr>
        <w:t>)</w:t>
      </w:r>
      <w:r w:rsidR="00996B2E" w:rsidRPr="00E23E2E">
        <w:rPr>
          <w:rFonts w:ascii="Times New Roman" w:hAnsi="Times New Roman"/>
          <w:szCs w:val="24"/>
          <w:lang w:val="en"/>
        </w:rPr>
        <w:t xml:space="preserve"> </w:t>
      </w:r>
      <w:r w:rsidR="007E1532" w:rsidRPr="00E23E2E">
        <w:rPr>
          <w:rFonts w:ascii="Times New Roman" w:hAnsi="Times New Roman"/>
          <w:szCs w:val="24"/>
          <w:lang w:val="en"/>
        </w:rPr>
        <w:t xml:space="preserve">by stating </w:t>
      </w:r>
      <w:r w:rsidR="00996B2E" w:rsidRPr="00E23E2E">
        <w:rPr>
          <w:rFonts w:ascii="Times New Roman" w:hAnsi="Times New Roman"/>
          <w:szCs w:val="24"/>
          <w:lang w:val="en"/>
        </w:rPr>
        <w:t xml:space="preserve">that </w:t>
      </w:r>
      <w:r w:rsidR="00D05299" w:rsidRPr="00E23E2E">
        <w:rPr>
          <w:rFonts w:ascii="Times New Roman" w:hAnsi="Times New Roman"/>
          <w:szCs w:val="24"/>
          <w:lang w:val="en"/>
        </w:rPr>
        <w:t xml:space="preserve">the MACs and CMS “evaluate the accuracy and reasonableness of hospitals’ wage index data” each year </w:t>
      </w:r>
      <w:r w:rsidR="00923F5E" w:rsidRPr="00E23E2E">
        <w:rPr>
          <w:rFonts w:ascii="Times New Roman" w:hAnsi="Times New Roman"/>
          <w:szCs w:val="24"/>
          <w:lang w:val="en"/>
        </w:rPr>
        <w:t>and “revise or verify data elements that result in specific edit failures”</w:t>
      </w:r>
      <w:r w:rsidR="00145E4E" w:rsidRPr="00E23E2E">
        <w:rPr>
          <w:rFonts w:ascii="Times New Roman" w:hAnsi="Times New Roman"/>
          <w:szCs w:val="24"/>
          <w:lang w:val="en"/>
        </w:rPr>
        <w:t xml:space="preserve">.  </w:t>
      </w:r>
      <w:r w:rsidR="005F60CB" w:rsidRPr="00E23E2E">
        <w:rPr>
          <w:rFonts w:ascii="Times New Roman" w:hAnsi="Times New Roman"/>
          <w:szCs w:val="24"/>
          <w:lang w:val="en"/>
        </w:rPr>
        <w:t>CMS has h</w:t>
      </w:r>
      <w:r w:rsidR="009D196D" w:rsidRPr="00E23E2E">
        <w:rPr>
          <w:rFonts w:ascii="Times New Roman" w:hAnsi="Times New Roman"/>
          <w:szCs w:val="24"/>
          <w:lang w:val="en"/>
        </w:rPr>
        <w:t>ist</w:t>
      </w:r>
      <w:r w:rsidR="00442C0C" w:rsidRPr="00E23E2E">
        <w:rPr>
          <w:rFonts w:ascii="Times New Roman" w:hAnsi="Times New Roman"/>
          <w:szCs w:val="24"/>
          <w:lang w:val="en"/>
        </w:rPr>
        <w:t>or</w:t>
      </w:r>
      <w:r w:rsidR="00996B2E" w:rsidRPr="00E23E2E">
        <w:rPr>
          <w:rFonts w:ascii="Times New Roman" w:hAnsi="Times New Roman"/>
          <w:szCs w:val="24"/>
          <w:lang w:val="en"/>
        </w:rPr>
        <w:t xml:space="preserve">ically </w:t>
      </w:r>
      <w:r w:rsidR="00442C0C" w:rsidRPr="00E23E2E">
        <w:rPr>
          <w:rFonts w:ascii="Times New Roman" w:hAnsi="Times New Roman"/>
          <w:szCs w:val="24"/>
          <w:lang w:val="en"/>
        </w:rPr>
        <w:t>exercised</w:t>
      </w:r>
      <w:r w:rsidR="00996B2E" w:rsidRPr="00E23E2E">
        <w:rPr>
          <w:rFonts w:ascii="Times New Roman" w:hAnsi="Times New Roman"/>
          <w:szCs w:val="24"/>
          <w:lang w:val="en"/>
        </w:rPr>
        <w:t xml:space="preserve"> its discretion in devel</w:t>
      </w:r>
      <w:r w:rsidR="00442C0C" w:rsidRPr="00E23E2E">
        <w:rPr>
          <w:rFonts w:ascii="Times New Roman" w:hAnsi="Times New Roman"/>
          <w:szCs w:val="24"/>
          <w:lang w:val="en"/>
        </w:rPr>
        <w:t>op</w:t>
      </w:r>
      <w:r w:rsidR="00996B2E" w:rsidRPr="00E23E2E">
        <w:rPr>
          <w:rFonts w:ascii="Times New Roman" w:hAnsi="Times New Roman"/>
          <w:szCs w:val="24"/>
          <w:lang w:val="en"/>
        </w:rPr>
        <w:t>ing a wage index that refl</w:t>
      </w:r>
      <w:r w:rsidR="00442C0C" w:rsidRPr="00E23E2E">
        <w:rPr>
          <w:rFonts w:ascii="Times New Roman" w:hAnsi="Times New Roman"/>
          <w:szCs w:val="24"/>
          <w:lang w:val="en"/>
        </w:rPr>
        <w:t xml:space="preserve">ects a </w:t>
      </w:r>
      <w:r w:rsidR="00442C0C" w:rsidRPr="00E23E2E">
        <w:rPr>
          <w:rFonts w:ascii="Times New Roman" w:hAnsi="Times New Roman"/>
          <w:szCs w:val="24"/>
          <w:lang w:val="en"/>
        </w:rPr>
        <w:lastRenderedPageBreak/>
        <w:t>relative measure of the value of the labor provided to a typical hospital in a particular</w:t>
      </w:r>
      <w:r w:rsidR="005F60CB" w:rsidRPr="00E23E2E">
        <w:rPr>
          <w:rFonts w:ascii="Times New Roman" w:hAnsi="Times New Roman"/>
          <w:szCs w:val="24"/>
          <w:lang w:val="en"/>
        </w:rPr>
        <w:t xml:space="preserve"> labor market area.  </w:t>
      </w:r>
      <w:r w:rsidR="005F60CB" w:rsidRPr="00E23E2E">
        <w:rPr>
          <w:rFonts w:ascii="Times New Roman" w:hAnsi="Times New Roman"/>
          <w:i/>
          <w:iCs/>
          <w:szCs w:val="24"/>
          <w:lang w:val="en"/>
        </w:rPr>
        <w:t>Id.</w:t>
      </w:r>
    </w:p>
    <w:p w14:paraId="680D49C8" w14:textId="77777777" w:rsidR="007F716E" w:rsidRPr="00A947FB" w:rsidRDefault="007F716E" w:rsidP="007F716E">
      <w:pPr>
        <w:kinsoku w:val="0"/>
        <w:spacing w:line="360" w:lineRule="auto"/>
        <w:ind w:left="720"/>
        <w:jc w:val="both"/>
        <w:rPr>
          <w:rFonts w:ascii="Times New Roman" w:hAnsi="Times New Roman"/>
          <w:color w:val="00B050"/>
          <w:szCs w:val="24"/>
          <w:lang w:val="en"/>
        </w:rPr>
      </w:pPr>
    </w:p>
    <w:p w14:paraId="60D47DC8" w14:textId="33929C76" w:rsidR="00A502F5" w:rsidRPr="00E23E2E" w:rsidRDefault="004C148D" w:rsidP="007F716E">
      <w:pPr>
        <w:kinsoku w:val="0"/>
        <w:spacing w:line="360" w:lineRule="auto"/>
        <w:ind w:left="720"/>
        <w:jc w:val="both"/>
        <w:rPr>
          <w:rFonts w:ascii="Times New Roman" w:hAnsi="Times New Roman"/>
          <w:szCs w:val="24"/>
          <w:lang w:val="en"/>
        </w:rPr>
      </w:pPr>
      <w:r w:rsidRPr="00E23E2E">
        <w:rPr>
          <w:rFonts w:ascii="Times New Roman" w:hAnsi="Times New Roman"/>
          <w:szCs w:val="24"/>
          <w:lang w:val="en"/>
        </w:rPr>
        <w:t>In the</w:t>
      </w:r>
      <w:r w:rsidR="00E70F1D" w:rsidRPr="00E23E2E">
        <w:rPr>
          <w:rFonts w:ascii="Times New Roman" w:hAnsi="Times New Roman"/>
          <w:szCs w:val="24"/>
          <w:lang w:val="en"/>
        </w:rPr>
        <w:t xml:space="preserve"> 2016 </w:t>
      </w:r>
      <w:r w:rsidRPr="00E23E2E">
        <w:rPr>
          <w:rFonts w:ascii="Times New Roman" w:hAnsi="Times New Roman"/>
          <w:szCs w:val="24"/>
          <w:lang w:val="en"/>
        </w:rPr>
        <w:t xml:space="preserve">final rule, </w:t>
      </w:r>
      <w:r w:rsidR="00C46D0E" w:rsidRPr="00E23E2E">
        <w:rPr>
          <w:rFonts w:ascii="Times New Roman" w:hAnsi="Times New Roman"/>
          <w:szCs w:val="24"/>
          <w:lang w:val="en"/>
        </w:rPr>
        <w:t>CMS agreed that S</w:t>
      </w:r>
      <w:r w:rsidR="00680A8B" w:rsidRPr="00E23E2E">
        <w:rPr>
          <w:rFonts w:ascii="Times New Roman" w:hAnsi="Times New Roman"/>
          <w:szCs w:val="24"/>
          <w:lang w:val="en"/>
        </w:rPr>
        <w:t>RMC’s</w:t>
      </w:r>
      <w:r w:rsidR="00C46D0E" w:rsidRPr="00E23E2E">
        <w:rPr>
          <w:rFonts w:ascii="Times New Roman" w:hAnsi="Times New Roman"/>
          <w:szCs w:val="24"/>
          <w:lang w:val="en"/>
        </w:rPr>
        <w:t xml:space="preserve"> wage data was "properly documented</w:t>
      </w:r>
      <w:r w:rsidR="00FB41E1" w:rsidRPr="00E23E2E">
        <w:rPr>
          <w:rFonts w:ascii="Times New Roman" w:hAnsi="Times New Roman"/>
          <w:szCs w:val="24"/>
          <w:lang w:val="en"/>
        </w:rPr>
        <w:t>" but noted that the hospital "</w:t>
      </w:r>
      <w:r w:rsidR="00C46D0E" w:rsidRPr="00E23E2E">
        <w:rPr>
          <w:rFonts w:ascii="Times New Roman" w:hAnsi="Times New Roman"/>
          <w:szCs w:val="24"/>
          <w:lang w:val="en"/>
        </w:rPr>
        <w:t>did not merely have the highest average hourly wage in the CBSA; its average hourly wage was extremely and unusually hi</w:t>
      </w:r>
      <w:r w:rsidR="000F7C03" w:rsidRPr="00E23E2E">
        <w:rPr>
          <w:rFonts w:ascii="Times New Roman" w:hAnsi="Times New Roman"/>
          <w:szCs w:val="24"/>
          <w:lang w:val="en"/>
        </w:rPr>
        <w:t>gh</w:t>
      </w:r>
      <w:r w:rsidR="00C46D0E" w:rsidRPr="00E23E2E">
        <w:rPr>
          <w:rFonts w:ascii="Times New Roman" w:hAnsi="Times New Roman"/>
          <w:szCs w:val="24"/>
          <w:lang w:val="en"/>
        </w:rPr>
        <w:t>, significantly higher tha</w:t>
      </w:r>
      <w:r w:rsidR="00245220" w:rsidRPr="00E23E2E">
        <w:rPr>
          <w:rFonts w:ascii="Times New Roman" w:hAnsi="Times New Roman"/>
          <w:szCs w:val="24"/>
          <w:lang w:val="en"/>
        </w:rPr>
        <w:t>n</w:t>
      </w:r>
      <w:r w:rsidR="00C46D0E" w:rsidRPr="00E23E2E">
        <w:rPr>
          <w:rFonts w:ascii="Times New Roman" w:hAnsi="Times New Roman"/>
          <w:szCs w:val="24"/>
          <w:lang w:val="en"/>
        </w:rPr>
        <w:t xml:space="preserve"> the next highest average hourly wage in that CBSA and in the surrounding areas</w:t>
      </w:r>
      <w:r w:rsidR="00F26119" w:rsidRPr="00E23E2E">
        <w:rPr>
          <w:rFonts w:ascii="Times New Roman" w:hAnsi="Times New Roman"/>
          <w:szCs w:val="24"/>
          <w:lang w:val="en"/>
        </w:rPr>
        <w:t>"</w:t>
      </w:r>
      <w:r w:rsidR="00A502F5" w:rsidRPr="00E23E2E">
        <w:rPr>
          <w:rFonts w:ascii="Times New Roman" w:hAnsi="Times New Roman"/>
          <w:szCs w:val="24"/>
          <w:lang w:val="en"/>
        </w:rPr>
        <w:t>.</w:t>
      </w:r>
    </w:p>
    <w:p w14:paraId="52EA52B9" w14:textId="77777777" w:rsidR="007F716E" w:rsidRPr="00E23E2E" w:rsidRDefault="007F716E" w:rsidP="007F716E">
      <w:pPr>
        <w:kinsoku w:val="0"/>
        <w:spacing w:line="360" w:lineRule="auto"/>
        <w:ind w:left="720"/>
        <w:jc w:val="both"/>
        <w:rPr>
          <w:rFonts w:ascii="Times New Roman" w:hAnsi="Times New Roman"/>
          <w:szCs w:val="24"/>
          <w:lang w:val="en"/>
        </w:rPr>
      </w:pPr>
    </w:p>
    <w:p w14:paraId="027460B9" w14:textId="082BFF54" w:rsidR="005F60CB" w:rsidRPr="00E23E2E" w:rsidRDefault="000C79F8" w:rsidP="007F716E">
      <w:pPr>
        <w:kinsoku w:val="0"/>
        <w:spacing w:line="360" w:lineRule="auto"/>
        <w:ind w:left="720"/>
        <w:jc w:val="both"/>
        <w:rPr>
          <w:rFonts w:ascii="Times New Roman" w:hAnsi="Times New Roman"/>
          <w:szCs w:val="24"/>
          <w:lang w:val="en"/>
        </w:rPr>
      </w:pPr>
      <w:r w:rsidRPr="00E23E2E">
        <w:rPr>
          <w:rFonts w:ascii="Times New Roman" w:hAnsi="Times New Roman"/>
          <w:szCs w:val="24"/>
          <w:lang w:val="en"/>
        </w:rPr>
        <w:t xml:space="preserve">CMS </w:t>
      </w:r>
      <w:r w:rsidR="002D29A9" w:rsidRPr="00E23E2E">
        <w:rPr>
          <w:rFonts w:ascii="Times New Roman" w:hAnsi="Times New Roman"/>
          <w:szCs w:val="24"/>
          <w:lang w:val="en"/>
        </w:rPr>
        <w:t>added</w:t>
      </w:r>
      <w:r w:rsidRPr="00E23E2E">
        <w:rPr>
          <w:rFonts w:ascii="Times New Roman" w:hAnsi="Times New Roman"/>
          <w:szCs w:val="24"/>
          <w:lang w:val="en"/>
        </w:rPr>
        <w:t xml:space="preserve"> "</w:t>
      </w:r>
      <w:r w:rsidR="00A6692C" w:rsidRPr="00E23E2E">
        <w:rPr>
          <w:rFonts w:ascii="Times New Roman" w:hAnsi="Times New Roman"/>
          <w:szCs w:val="24"/>
          <w:lang w:val="en"/>
        </w:rPr>
        <w:t xml:space="preserve">we do not believe that the average hourly wage of this particular hospital accurately reflects the economic conditions in its labor market area during the FY </w:t>
      </w:r>
      <w:r w:rsidR="006048C0" w:rsidRPr="00E23E2E">
        <w:rPr>
          <w:rFonts w:ascii="Times New Roman" w:hAnsi="Times New Roman"/>
          <w:szCs w:val="24"/>
          <w:lang w:val="en"/>
        </w:rPr>
        <w:t>201</w:t>
      </w:r>
      <w:r w:rsidR="009B1FFD" w:rsidRPr="00E23E2E">
        <w:rPr>
          <w:rFonts w:ascii="Times New Roman" w:hAnsi="Times New Roman"/>
          <w:szCs w:val="24"/>
          <w:lang w:val="en"/>
        </w:rPr>
        <w:t>2</w:t>
      </w:r>
      <w:r w:rsidR="00A6692C" w:rsidRPr="00E23E2E">
        <w:rPr>
          <w:rFonts w:ascii="Times New Roman" w:hAnsi="Times New Roman"/>
          <w:szCs w:val="24"/>
          <w:lang w:val="en"/>
        </w:rPr>
        <w:t xml:space="preserve"> cost reporting period</w:t>
      </w:r>
      <w:r w:rsidR="008C71CB" w:rsidRPr="00E23E2E">
        <w:rPr>
          <w:rFonts w:ascii="Times New Roman" w:hAnsi="Times New Roman"/>
          <w:szCs w:val="24"/>
          <w:lang w:val="en"/>
        </w:rPr>
        <w:t>.</w:t>
      </w:r>
      <w:r w:rsidR="00A6692C" w:rsidRPr="00E23E2E">
        <w:rPr>
          <w:rFonts w:ascii="Times New Roman" w:hAnsi="Times New Roman"/>
          <w:szCs w:val="24"/>
          <w:lang w:val="en"/>
        </w:rPr>
        <w:t xml:space="preserve"> </w:t>
      </w:r>
      <w:r w:rsidR="008C71CB" w:rsidRPr="00E23E2E">
        <w:rPr>
          <w:rFonts w:ascii="Times New Roman" w:hAnsi="Times New Roman"/>
          <w:szCs w:val="24"/>
          <w:lang w:val="en"/>
        </w:rPr>
        <w:t>T</w:t>
      </w:r>
      <w:r w:rsidR="00A6692C" w:rsidRPr="00E23E2E">
        <w:rPr>
          <w:rFonts w:ascii="Times New Roman" w:hAnsi="Times New Roman"/>
          <w:szCs w:val="24"/>
          <w:lang w:val="en"/>
        </w:rPr>
        <w:t xml:space="preserve">herefore, its inclusion in the wage index would not ensure that the FY </w:t>
      </w:r>
      <w:r w:rsidR="006048C0" w:rsidRPr="00E23E2E">
        <w:rPr>
          <w:rFonts w:ascii="Times New Roman" w:hAnsi="Times New Roman"/>
          <w:szCs w:val="24"/>
          <w:lang w:val="en"/>
        </w:rPr>
        <w:t>2016</w:t>
      </w:r>
      <w:r w:rsidR="00A6692C" w:rsidRPr="00E23E2E">
        <w:rPr>
          <w:rFonts w:ascii="Times New Roman" w:hAnsi="Times New Roman"/>
          <w:szCs w:val="24"/>
          <w:lang w:val="en"/>
        </w:rPr>
        <w:t xml:space="preserve"> wage index represents the labor market area's current wages as compared t</w:t>
      </w:r>
      <w:r w:rsidR="0065540A" w:rsidRPr="00E23E2E">
        <w:rPr>
          <w:rFonts w:ascii="Times New Roman" w:hAnsi="Times New Roman"/>
          <w:szCs w:val="24"/>
          <w:lang w:val="en"/>
        </w:rPr>
        <w:t xml:space="preserve">o the national average of wages." </w:t>
      </w:r>
      <w:r w:rsidR="007F716E" w:rsidRPr="00E23E2E">
        <w:rPr>
          <w:rFonts w:ascii="Times New Roman" w:hAnsi="Times New Roman"/>
          <w:szCs w:val="24"/>
          <w:lang w:val="en"/>
        </w:rPr>
        <w:t xml:space="preserve"> </w:t>
      </w:r>
    </w:p>
    <w:p w14:paraId="45AF40B2" w14:textId="77777777" w:rsidR="005F60CB" w:rsidRPr="00247897" w:rsidRDefault="005F60CB" w:rsidP="007F716E">
      <w:pPr>
        <w:kinsoku w:val="0"/>
        <w:spacing w:line="360" w:lineRule="auto"/>
        <w:ind w:left="720"/>
        <w:jc w:val="both"/>
        <w:rPr>
          <w:rFonts w:ascii="Times New Roman" w:hAnsi="Times New Roman"/>
          <w:szCs w:val="24"/>
          <w:lang w:val="en"/>
        </w:rPr>
      </w:pPr>
    </w:p>
    <w:p w14:paraId="6F51BBF0" w14:textId="6E400341" w:rsidR="00A6692C" w:rsidRPr="00E23E2E" w:rsidRDefault="0059581F" w:rsidP="007F716E">
      <w:pPr>
        <w:kinsoku w:val="0"/>
        <w:spacing w:line="360" w:lineRule="auto"/>
        <w:ind w:left="720"/>
        <w:jc w:val="both"/>
        <w:rPr>
          <w:rFonts w:ascii="Times New Roman" w:hAnsi="Times New Roman"/>
          <w:szCs w:val="24"/>
          <w:lang w:val="en"/>
        </w:rPr>
      </w:pPr>
      <w:r w:rsidRPr="00E23E2E">
        <w:rPr>
          <w:rFonts w:ascii="Times New Roman" w:hAnsi="Times New Roman"/>
          <w:szCs w:val="24"/>
          <w:lang w:val="en"/>
        </w:rPr>
        <w:t xml:space="preserve">CMS </w:t>
      </w:r>
      <w:r w:rsidR="00E23E2E">
        <w:rPr>
          <w:rFonts w:ascii="Times New Roman" w:hAnsi="Times New Roman"/>
          <w:szCs w:val="24"/>
          <w:lang w:val="en"/>
        </w:rPr>
        <w:t xml:space="preserve">properly </w:t>
      </w:r>
      <w:r w:rsidRPr="00E23E2E">
        <w:rPr>
          <w:rFonts w:ascii="Times New Roman" w:hAnsi="Times New Roman"/>
          <w:szCs w:val="24"/>
          <w:lang w:val="en"/>
        </w:rPr>
        <w:t xml:space="preserve">exercised </w:t>
      </w:r>
      <w:r w:rsidR="008333C6" w:rsidRPr="00E23E2E">
        <w:rPr>
          <w:rFonts w:ascii="Times New Roman" w:hAnsi="Times New Roman"/>
          <w:szCs w:val="24"/>
          <w:lang w:val="en"/>
        </w:rPr>
        <w:t xml:space="preserve">their </w:t>
      </w:r>
      <w:r w:rsidRPr="00E23E2E">
        <w:rPr>
          <w:rFonts w:ascii="Times New Roman" w:hAnsi="Times New Roman"/>
          <w:szCs w:val="24"/>
          <w:lang w:val="en"/>
        </w:rPr>
        <w:t xml:space="preserve">discretion to remove </w:t>
      </w:r>
      <w:r w:rsidR="00680A8B" w:rsidRPr="00E23E2E">
        <w:rPr>
          <w:rFonts w:ascii="Times New Roman" w:hAnsi="Times New Roman"/>
          <w:szCs w:val="24"/>
          <w:lang w:val="en"/>
        </w:rPr>
        <w:t>SRMC’</w:t>
      </w:r>
      <w:r w:rsidR="0065540A" w:rsidRPr="00E23E2E">
        <w:rPr>
          <w:rFonts w:ascii="Times New Roman" w:hAnsi="Times New Roman"/>
          <w:szCs w:val="24"/>
          <w:lang w:val="en"/>
        </w:rPr>
        <w:t xml:space="preserve">s wage data from the </w:t>
      </w:r>
      <w:r w:rsidR="006048C0" w:rsidRPr="00E23E2E">
        <w:rPr>
          <w:rFonts w:ascii="Times New Roman" w:hAnsi="Times New Roman"/>
          <w:szCs w:val="24"/>
          <w:lang w:val="en"/>
        </w:rPr>
        <w:t>2016</w:t>
      </w:r>
      <w:r w:rsidR="0065540A" w:rsidRPr="00E23E2E">
        <w:rPr>
          <w:rFonts w:ascii="Times New Roman" w:hAnsi="Times New Roman"/>
          <w:szCs w:val="24"/>
          <w:lang w:val="en"/>
        </w:rPr>
        <w:t xml:space="preserve"> FY wage index</w:t>
      </w:r>
      <w:r w:rsidR="000A1CC9" w:rsidRPr="00E23E2E">
        <w:rPr>
          <w:rFonts w:ascii="Times New Roman" w:hAnsi="Times New Roman"/>
          <w:szCs w:val="24"/>
          <w:lang w:val="en"/>
        </w:rPr>
        <w:t xml:space="preserve">. </w:t>
      </w:r>
      <w:r w:rsidR="0065540A" w:rsidRPr="00E23E2E">
        <w:rPr>
          <w:rFonts w:ascii="Times New Roman" w:hAnsi="Times New Roman"/>
          <w:szCs w:val="24"/>
          <w:lang w:val="en"/>
        </w:rPr>
        <w:t xml:space="preserve"> </w:t>
      </w:r>
    </w:p>
    <w:p w14:paraId="2DA3DDC6" w14:textId="239167EA" w:rsidR="005145F0" w:rsidRPr="00247897" w:rsidRDefault="00133EED" w:rsidP="007F716E">
      <w:pPr>
        <w:kinsoku w:val="0"/>
        <w:spacing w:line="360" w:lineRule="auto"/>
        <w:ind w:left="720"/>
        <w:jc w:val="both"/>
        <w:rPr>
          <w:rFonts w:ascii="Times New Roman" w:hAnsi="Times New Roman"/>
          <w:szCs w:val="24"/>
          <w:lang w:val="en"/>
        </w:rPr>
      </w:pPr>
      <w:r>
        <w:rPr>
          <w:rFonts w:ascii="Times New Roman" w:hAnsi="Times New Roman"/>
          <w:szCs w:val="24"/>
          <w:lang w:val="en"/>
        </w:rPr>
        <w:t xml:space="preserve">  </w:t>
      </w:r>
    </w:p>
    <w:p w14:paraId="027FCAE0" w14:textId="500BF451" w:rsidR="00BB427D" w:rsidRPr="00E23E2E" w:rsidRDefault="00861BB2" w:rsidP="007F716E">
      <w:pPr>
        <w:kinsoku w:val="0"/>
        <w:spacing w:line="360" w:lineRule="auto"/>
        <w:ind w:left="720"/>
        <w:jc w:val="both"/>
        <w:rPr>
          <w:rFonts w:ascii="Times New Roman" w:hAnsi="Times New Roman"/>
          <w:b/>
          <w:bCs/>
          <w:spacing w:val="-4"/>
          <w:w w:val="105"/>
          <w:szCs w:val="24"/>
        </w:rPr>
      </w:pPr>
      <w:r w:rsidRPr="00E23E2E">
        <w:rPr>
          <w:rFonts w:ascii="Times New Roman" w:hAnsi="Times New Roman"/>
          <w:b/>
          <w:bCs/>
          <w:spacing w:val="-4"/>
          <w:w w:val="105"/>
          <w:szCs w:val="24"/>
        </w:rPr>
        <w:t xml:space="preserve">CMS acted </w:t>
      </w:r>
      <w:r w:rsidR="009702D0" w:rsidRPr="00E23E2E">
        <w:rPr>
          <w:rFonts w:ascii="Times New Roman" w:hAnsi="Times New Roman"/>
          <w:b/>
          <w:bCs/>
          <w:spacing w:val="-4"/>
          <w:w w:val="105"/>
          <w:szCs w:val="24"/>
        </w:rPr>
        <w:t xml:space="preserve">consistently in the construction of the </w:t>
      </w:r>
      <w:r w:rsidR="006048C0" w:rsidRPr="00E23E2E">
        <w:rPr>
          <w:rFonts w:ascii="Times New Roman" w:hAnsi="Times New Roman"/>
          <w:b/>
          <w:bCs/>
          <w:spacing w:val="-4"/>
          <w:w w:val="105"/>
          <w:szCs w:val="24"/>
        </w:rPr>
        <w:t>201</w:t>
      </w:r>
      <w:r w:rsidR="00DC76D3" w:rsidRPr="00E23E2E">
        <w:rPr>
          <w:rFonts w:ascii="Times New Roman" w:hAnsi="Times New Roman"/>
          <w:b/>
          <w:bCs/>
          <w:spacing w:val="-4"/>
          <w:w w:val="105"/>
          <w:szCs w:val="24"/>
        </w:rPr>
        <w:t>8</w:t>
      </w:r>
      <w:r w:rsidR="003A6F21" w:rsidRPr="00E23E2E">
        <w:rPr>
          <w:rFonts w:ascii="Times New Roman" w:hAnsi="Times New Roman"/>
          <w:b/>
          <w:bCs/>
          <w:spacing w:val="-4"/>
          <w:w w:val="105"/>
          <w:szCs w:val="24"/>
        </w:rPr>
        <w:t xml:space="preserve"> Wage Index determination</w:t>
      </w:r>
    </w:p>
    <w:p w14:paraId="7B96B3F6" w14:textId="77777777" w:rsidR="00245912" w:rsidRPr="00247897" w:rsidRDefault="00245912" w:rsidP="007F716E">
      <w:pPr>
        <w:kinsoku w:val="0"/>
        <w:spacing w:line="360" w:lineRule="auto"/>
        <w:ind w:left="720"/>
        <w:jc w:val="both"/>
        <w:rPr>
          <w:rFonts w:ascii="Times New Roman" w:hAnsi="Times New Roman"/>
          <w:b/>
          <w:bCs/>
          <w:spacing w:val="-4"/>
          <w:w w:val="105"/>
          <w:szCs w:val="24"/>
        </w:rPr>
      </w:pPr>
    </w:p>
    <w:p w14:paraId="5F82D43C" w14:textId="26F138AC" w:rsidR="00F26119" w:rsidRPr="00EE6610" w:rsidRDefault="003A6F21" w:rsidP="007F716E">
      <w:pPr>
        <w:kinsoku w:val="0"/>
        <w:spacing w:line="360" w:lineRule="auto"/>
        <w:ind w:left="720"/>
        <w:rPr>
          <w:rFonts w:ascii="Times New Roman" w:hAnsi="Times New Roman"/>
          <w:szCs w:val="24"/>
          <w:lang w:val="en"/>
        </w:rPr>
      </w:pPr>
      <w:r w:rsidRPr="00EE6610">
        <w:rPr>
          <w:rFonts w:ascii="Times New Roman" w:hAnsi="Times New Roman"/>
          <w:spacing w:val="-1"/>
          <w:w w:val="105"/>
          <w:szCs w:val="24"/>
        </w:rPr>
        <w:t>T</w:t>
      </w:r>
      <w:r w:rsidR="00BB427D" w:rsidRPr="00EE6610">
        <w:rPr>
          <w:rFonts w:ascii="Times New Roman" w:hAnsi="Times New Roman"/>
          <w:spacing w:val="-1"/>
          <w:w w:val="105"/>
          <w:szCs w:val="24"/>
        </w:rPr>
        <w:t xml:space="preserve">he Providers argue that CMS </w:t>
      </w:r>
      <w:r w:rsidR="00861BB2" w:rsidRPr="00EE6610">
        <w:rPr>
          <w:rFonts w:ascii="Times New Roman" w:hAnsi="Times New Roman"/>
          <w:spacing w:val="-1"/>
          <w:w w:val="105"/>
          <w:szCs w:val="24"/>
        </w:rPr>
        <w:t xml:space="preserve">acted </w:t>
      </w:r>
      <w:r w:rsidR="0006075C" w:rsidRPr="00EE6610">
        <w:rPr>
          <w:rFonts w:ascii="Times New Roman" w:hAnsi="Times New Roman"/>
          <w:spacing w:val="-1"/>
          <w:w w:val="105"/>
          <w:szCs w:val="24"/>
        </w:rPr>
        <w:t>“</w:t>
      </w:r>
      <w:r w:rsidR="00BE0A8A" w:rsidRPr="00EE6610">
        <w:rPr>
          <w:rFonts w:ascii="Times New Roman" w:hAnsi="Times New Roman"/>
          <w:spacing w:val="-1"/>
          <w:w w:val="105"/>
          <w:szCs w:val="24"/>
        </w:rPr>
        <w:t>arbitrarily</w:t>
      </w:r>
      <w:r w:rsidR="00861BB2" w:rsidRPr="00EE6610">
        <w:rPr>
          <w:rFonts w:ascii="Times New Roman" w:hAnsi="Times New Roman"/>
          <w:spacing w:val="-1"/>
          <w:w w:val="105"/>
          <w:szCs w:val="24"/>
        </w:rPr>
        <w:t xml:space="preserve"> and </w:t>
      </w:r>
      <w:r w:rsidR="00BE0A8A" w:rsidRPr="00EE6610">
        <w:rPr>
          <w:rFonts w:ascii="Times New Roman" w:hAnsi="Times New Roman"/>
          <w:spacing w:val="-1"/>
          <w:w w:val="105"/>
          <w:szCs w:val="24"/>
        </w:rPr>
        <w:t>capriciously</w:t>
      </w:r>
      <w:r w:rsidR="0006075C" w:rsidRPr="00EE6610">
        <w:rPr>
          <w:rFonts w:ascii="Times New Roman" w:hAnsi="Times New Roman"/>
          <w:spacing w:val="-1"/>
          <w:w w:val="105"/>
          <w:szCs w:val="24"/>
        </w:rPr>
        <w:t>”</w:t>
      </w:r>
      <w:r w:rsidR="00FB41E1" w:rsidRPr="00EE6610">
        <w:rPr>
          <w:rFonts w:ascii="Times New Roman" w:hAnsi="Times New Roman"/>
          <w:spacing w:val="-1"/>
          <w:w w:val="105"/>
          <w:szCs w:val="24"/>
        </w:rPr>
        <w:t xml:space="preserve"> and </w:t>
      </w:r>
      <w:r w:rsidR="0006075C" w:rsidRPr="00EE6610">
        <w:rPr>
          <w:rFonts w:ascii="Times New Roman" w:hAnsi="Times New Roman"/>
          <w:spacing w:val="-1"/>
          <w:w w:val="105"/>
          <w:szCs w:val="24"/>
        </w:rPr>
        <w:t>outside its authority”</w:t>
      </w:r>
      <w:r w:rsidR="00BB427D" w:rsidRPr="00EE6610">
        <w:rPr>
          <w:rFonts w:ascii="Times New Roman" w:hAnsi="Times New Roman"/>
          <w:spacing w:val="-1"/>
          <w:w w:val="105"/>
          <w:szCs w:val="24"/>
        </w:rPr>
        <w:t xml:space="preserve"> </w:t>
      </w:r>
      <w:r w:rsidR="00BB427D" w:rsidRPr="00EE6610">
        <w:rPr>
          <w:rFonts w:ascii="Times New Roman" w:hAnsi="Times New Roman"/>
          <w:spacing w:val="-2"/>
          <w:w w:val="105"/>
          <w:szCs w:val="24"/>
        </w:rPr>
        <w:t xml:space="preserve">for </w:t>
      </w:r>
      <w:r w:rsidR="00861BB2" w:rsidRPr="00EE6610">
        <w:rPr>
          <w:rFonts w:ascii="Times New Roman" w:hAnsi="Times New Roman"/>
          <w:spacing w:val="-2"/>
          <w:w w:val="105"/>
          <w:szCs w:val="24"/>
        </w:rPr>
        <w:t>the disallowa</w:t>
      </w:r>
      <w:r w:rsidR="001B631B" w:rsidRPr="00EE6610">
        <w:rPr>
          <w:rFonts w:ascii="Times New Roman" w:hAnsi="Times New Roman"/>
          <w:spacing w:val="-2"/>
          <w:w w:val="105"/>
          <w:szCs w:val="24"/>
        </w:rPr>
        <w:t>nce of S</w:t>
      </w:r>
      <w:r w:rsidR="00745A07" w:rsidRPr="00EE6610">
        <w:rPr>
          <w:rFonts w:ascii="Times New Roman" w:hAnsi="Times New Roman"/>
          <w:spacing w:val="-2"/>
          <w:w w:val="105"/>
          <w:szCs w:val="24"/>
        </w:rPr>
        <w:t>RMC</w:t>
      </w:r>
      <w:r w:rsidR="001B631B" w:rsidRPr="00EE6610">
        <w:rPr>
          <w:rFonts w:ascii="Times New Roman" w:hAnsi="Times New Roman"/>
          <w:spacing w:val="-2"/>
          <w:w w:val="105"/>
          <w:szCs w:val="24"/>
        </w:rPr>
        <w:t>’s wage data.</w:t>
      </w:r>
      <w:r w:rsidR="00A23E19" w:rsidRPr="00EE6610">
        <w:rPr>
          <w:rFonts w:ascii="Times New Roman" w:hAnsi="Times New Roman"/>
          <w:spacing w:val="-2"/>
          <w:w w:val="105"/>
          <w:szCs w:val="24"/>
        </w:rPr>
        <w:t xml:space="preserve"> </w:t>
      </w:r>
      <w:r w:rsidR="000763C0" w:rsidRPr="00EE6610">
        <w:rPr>
          <w:rFonts w:ascii="Times New Roman" w:hAnsi="Times New Roman"/>
          <w:spacing w:val="-2"/>
          <w:w w:val="105"/>
          <w:szCs w:val="24"/>
        </w:rPr>
        <w:t xml:space="preserve">The Provider also claims that the “CMS’s Decision to Excluded” SRMC’s wage index was “Procedurally Invalid”. </w:t>
      </w:r>
      <w:r w:rsidR="00FB41E1" w:rsidRPr="00EE6610">
        <w:rPr>
          <w:rFonts w:ascii="Times New Roman" w:hAnsi="Times New Roman"/>
          <w:spacing w:val="-2"/>
          <w:w w:val="105"/>
          <w:szCs w:val="24"/>
        </w:rPr>
        <w:t xml:space="preserve"> </w:t>
      </w:r>
      <w:r w:rsidR="00A23E19" w:rsidRPr="00EE6610">
        <w:rPr>
          <w:rFonts w:ascii="Times New Roman" w:hAnsi="Times New Roman"/>
          <w:spacing w:val="-2"/>
          <w:w w:val="105"/>
          <w:szCs w:val="24"/>
        </w:rPr>
        <w:t>T</w:t>
      </w:r>
      <w:r w:rsidR="00857693" w:rsidRPr="00EE6610">
        <w:rPr>
          <w:rFonts w:ascii="Times New Roman" w:hAnsi="Times New Roman"/>
          <w:w w:val="105"/>
          <w:szCs w:val="24"/>
        </w:rPr>
        <w:t>he MAC contends this</w:t>
      </w:r>
      <w:r w:rsidR="000763C0" w:rsidRPr="00EE6610">
        <w:rPr>
          <w:rFonts w:ascii="Times New Roman" w:hAnsi="Times New Roman"/>
          <w:w w:val="105"/>
          <w:szCs w:val="24"/>
        </w:rPr>
        <w:t xml:space="preserve"> vague </w:t>
      </w:r>
      <w:r w:rsidR="00857693" w:rsidRPr="00EE6610">
        <w:rPr>
          <w:rFonts w:ascii="Times New Roman" w:hAnsi="Times New Roman"/>
          <w:w w:val="105"/>
          <w:szCs w:val="24"/>
        </w:rPr>
        <w:t xml:space="preserve">argument is </w:t>
      </w:r>
      <w:r w:rsidR="00857693" w:rsidRPr="00EE6610">
        <w:rPr>
          <w:rFonts w:ascii="Times New Roman" w:hAnsi="Times New Roman"/>
          <w:spacing w:val="-2"/>
          <w:w w:val="105"/>
          <w:szCs w:val="24"/>
        </w:rPr>
        <w:t>meritless since the method used to co</w:t>
      </w:r>
      <w:r w:rsidR="00F26119" w:rsidRPr="00EE6610">
        <w:rPr>
          <w:rFonts w:ascii="Times New Roman" w:hAnsi="Times New Roman"/>
          <w:spacing w:val="-2"/>
          <w:w w:val="105"/>
          <w:szCs w:val="24"/>
        </w:rPr>
        <w:t xml:space="preserve">nstruct </w:t>
      </w:r>
      <w:r w:rsidR="00857693" w:rsidRPr="00EE6610">
        <w:rPr>
          <w:rFonts w:ascii="Times New Roman" w:hAnsi="Times New Roman"/>
          <w:spacing w:val="-2"/>
          <w:w w:val="105"/>
          <w:szCs w:val="24"/>
        </w:rPr>
        <w:t xml:space="preserve">the FY </w:t>
      </w:r>
      <w:r w:rsidR="006048C0" w:rsidRPr="00EE6610">
        <w:rPr>
          <w:rFonts w:ascii="Times New Roman" w:hAnsi="Times New Roman"/>
          <w:spacing w:val="-2"/>
          <w:w w:val="105"/>
          <w:szCs w:val="24"/>
        </w:rPr>
        <w:t>201</w:t>
      </w:r>
      <w:r w:rsidR="001B7032" w:rsidRPr="00EE6610">
        <w:rPr>
          <w:rFonts w:ascii="Times New Roman" w:hAnsi="Times New Roman"/>
          <w:spacing w:val="-2"/>
          <w:w w:val="105"/>
          <w:szCs w:val="24"/>
        </w:rPr>
        <w:t>8</w:t>
      </w:r>
      <w:r w:rsidR="00857693" w:rsidRPr="00EE6610">
        <w:rPr>
          <w:rFonts w:ascii="Times New Roman" w:hAnsi="Times New Roman"/>
          <w:spacing w:val="-2"/>
          <w:w w:val="105"/>
          <w:szCs w:val="24"/>
        </w:rPr>
        <w:t xml:space="preserve"> wage index has been consistently used </w:t>
      </w:r>
      <w:r w:rsidR="004F3BAD" w:rsidRPr="00EE6610">
        <w:rPr>
          <w:rFonts w:ascii="Times New Roman" w:hAnsi="Times New Roman"/>
          <w:spacing w:val="-2"/>
          <w:w w:val="105"/>
          <w:szCs w:val="24"/>
        </w:rPr>
        <w:t xml:space="preserve">in </w:t>
      </w:r>
      <w:r w:rsidR="00857693" w:rsidRPr="00EE6610">
        <w:rPr>
          <w:rFonts w:ascii="Times New Roman" w:hAnsi="Times New Roman"/>
          <w:spacing w:val="-2"/>
          <w:w w:val="105"/>
          <w:szCs w:val="24"/>
        </w:rPr>
        <w:t xml:space="preserve">previous </w:t>
      </w:r>
      <w:r w:rsidR="004F3BAD" w:rsidRPr="00EE6610">
        <w:rPr>
          <w:rFonts w:ascii="Times New Roman" w:hAnsi="Times New Roman"/>
          <w:spacing w:val="-2"/>
          <w:w w:val="105"/>
          <w:szCs w:val="24"/>
        </w:rPr>
        <w:t>years</w:t>
      </w:r>
      <w:r w:rsidR="00E70F1D" w:rsidRPr="00EE6610">
        <w:rPr>
          <w:rFonts w:ascii="Times New Roman" w:hAnsi="Times New Roman"/>
          <w:spacing w:val="-2"/>
          <w:w w:val="105"/>
          <w:szCs w:val="24"/>
        </w:rPr>
        <w:t xml:space="preserve"> as noted</w:t>
      </w:r>
      <w:r w:rsidR="004F3BAD" w:rsidRPr="00EE6610">
        <w:rPr>
          <w:rFonts w:ascii="Times New Roman" w:hAnsi="Times New Roman"/>
          <w:spacing w:val="-2"/>
          <w:w w:val="105"/>
          <w:szCs w:val="24"/>
        </w:rPr>
        <w:t>.</w:t>
      </w:r>
      <w:r w:rsidR="00857693" w:rsidRPr="00EE6610">
        <w:rPr>
          <w:rFonts w:ascii="Times New Roman" w:hAnsi="Times New Roman"/>
          <w:spacing w:val="-2"/>
          <w:w w:val="105"/>
          <w:szCs w:val="24"/>
        </w:rPr>
        <w:t xml:space="preserve"> </w:t>
      </w:r>
      <w:r w:rsidR="00FB41E1" w:rsidRPr="00EE6610">
        <w:rPr>
          <w:rFonts w:ascii="Times New Roman" w:hAnsi="Times New Roman"/>
          <w:spacing w:val="-2"/>
          <w:w w:val="105"/>
          <w:szCs w:val="24"/>
        </w:rPr>
        <w:t xml:space="preserve"> </w:t>
      </w:r>
      <w:r w:rsidR="00D41F7C" w:rsidRPr="00EE6610">
        <w:rPr>
          <w:rFonts w:ascii="Times New Roman" w:hAnsi="Times New Roman"/>
          <w:spacing w:val="-2"/>
          <w:w w:val="105"/>
          <w:szCs w:val="24"/>
        </w:rPr>
        <w:t xml:space="preserve">CMS </w:t>
      </w:r>
      <w:r w:rsidR="004F3BAD" w:rsidRPr="00EE6610">
        <w:rPr>
          <w:rFonts w:ascii="Times New Roman" w:hAnsi="Times New Roman"/>
          <w:spacing w:val="-2"/>
          <w:w w:val="105"/>
          <w:szCs w:val="24"/>
        </w:rPr>
        <w:t xml:space="preserve">had </w:t>
      </w:r>
      <w:r w:rsidR="00D41F7C" w:rsidRPr="00EE6610">
        <w:rPr>
          <w:rFonts w:ascii="Times New Roman" w:hAnsi="Times New Roman"/>
          <w:spacing w:val="-2"/>
          <w:w w:val="105"/>
          <w:szCs w:val="24"/>
        </w:rPr>
        <w:t xml:space="preserve">included </w:t>
      </w:r>
      <w:r w:rsidR="00F26119" w:rsidRPr="00EE6610">
        <w:rPr>
          <w:rFonts w:ascii="Times New Roman" w:hAnsi="Times New Roman"/>
          <w:spacing w:val="-2"/>
          <w:w w:val="105"/>
          <w:szCs w:val="24"/>
        </w:rPr>
        <w:t>S</w:t>
      </w:r>
      <w:r w:rsidR="00745A07" w:rsidRPr="00EE6610">
        <w:rPr>
          <w:rFonts w:ascii="Times New Roman" w:hAnsi="Times New Roman"/>
          <w:spacing w:val="-2"/>
          <w:w w:val="105"/>
          <w:szCs w:val="24"/>
        </w:rPr>
        <w:t>RMC’</w:t>
      </w:r>
      <w:r w:rsidR="00F26119" w:rsidRPr="00EE6610">
        <w:rPr>
          <w:rFonts w:ascii="Times New Roman" w:hAnsi="Times New Roman"/>
          <w:spacing w:val="-2"/>
          <w:w w:val="105"/>
          <w:szCs w:val="24"/>
        </w:rPr>
        <w:t>s "</w:t>
      </w:r>
      <w:r w:rsidR="00D41F7C" w:rsidRPr="00EE6610">
        <w:rPr>
          <w:rFonts w:ascii="Times New Roman" w:hAnsi="Times New Roman"/>
          <w:spacing w:val="-2"/>
          <w:w w:val="105"/>
          <w:szCs w:val="24"/>
        </w:rPr>
        <w:t>data in the wage index in previous years because the hospital’s average hourly wage was lower and more reasonable relative to its</w:t>
      </w:r>
      <w:r w:rsidR="00C948B8" w:rsidRPr="00EE6610">
        <w:rPr>
          <w:rFonts w:ascii="Times New Roman" w:hAnsi="Times New Roman"/>
          <w:spacing w:val="-2"/>
          <w:w w:val="105"/>
          <w:szCs w:val="24"/>
        </w:rPr>
        <w:t xml:space="preserve"> labor market area in the prior</w:t>
      </w:r>
      <w:r w:rsidR="00D41F7C" w:rsidRPr="00EE6610">
        <w:rPr>
          <w:rFonts w:ascii="Times New Roman" w:hAnsi="Times New Roman"/>
          <w:spacing w:val="-2"/>
          <w:w w:val="105"/>
          <w:szCs w:val="24"/>
        </w:rPr>
        <w:t xml:space="preserve"> years</w:t>
      </w:r>
      <w:r w:rsidR="004F3BAD" w:rsidRPr="00EE6610">
        <w:rPr>
          <w:rFonts w:ascii="Times New Roman" w:hAnsi="Times New Roman"/>
          <w:spacing w:val="-2"/>
          <w:w w:val="105"/>
          <w:szCs w:val="24"/>
        </w:rPr>
        <w:t>.</w:t>
      </w:r>
      <w:r w:rsidR="00C948B8" w:rsidRPr="00EE6610">
        <w:rPr>
          <w:rFonts w:ascii="Times New Roman" w:hAnsi="Times New Roman"/>
          <w:spacing w:val="-2"/>
          <w:w w:val="105"/>
          <w:szCs w:val="24"/>
        </w:rPr>
        <w:t xml:space="preserve">”  </w:t>
      </w:r>
      <w:r w:rsidR="004F3BAD" w:rsidRPr="00EE6610">
        <w:rPr>
          <w:rFonts w:ascii="Times New Roman" w:hAnsi="Times New Roman"/>
          <w:spacing w:val="-2"/>
          <w:w w:val="105"/>
          <w:szCs w:val="24"/>
        </w:rPr>
        <w:t>(</w:t>
      </w:r>
      <w:r w:rsidR="00145E4E" w:rsidRPr="00EE6610">
        <w:rPr>
          <w:rFonts w:ascii="Times New Roman" w:hAnsi="Times New Roman"/>
          <w:i/>
          <w:spacing w:val="-2"/>
          <w:w w:val="105"/>
          <w:szCs w:val="24"/>
        </w:rPr>
        <w:t>See</w:t>
      </w:r>
      <w:r w:rsidR="004F3BAD" w:rsidRPr="00EE6610">
        <w:rPr>
          <w:rFonts w:ascii="Times New Roman" w:hAnsi="Times New Roman"/>
          <w:spacing w:val="-2"/>
          <w:w w:val="105"/>
          <w:szCs w:val="24"/>
        </w:rPr>
        <w:t xml:space="preserve"> </w:t>
      </w:r>
      <w:r w:rsidR="00813952" w:rsidRPr="007766A0">
        <w:rPr>
          <w:rFonts w:ascii="Times New Roman" w:hAnsi="Times New Roman"/>
          <w:b/>
          <w:bCs/>
          <w:spacing w:val="-2"/>
          <w:w w:val="105"/>
          <w:szCs w:val="24"/>
        </w:rPr>
        <w:t>E</w:t>
      </w:r>
      <w:r w:rsidR="004F3BAD" w:rsidRPr="007766A0">
        <w:rPr>
          <w:rFonts w:ascii="Times New Roman" w:hAnsi="Times New Roman"/>
          <w:b/>
          <w:bCs/>
          <w:spacing w:val="-2"/>
          <w:w w:val="105"/>
          <w:szCs w:val="24"/>
        </w:rPr>
        <w:t xml:space="preserve">xhibit </w:t>
      </w:r>
      <w:r w:rsidR="00CC7289" w:rsidRPr="007766A0">
        <w:rPr>
          <w:rFonts w:ascii="Times New Roman" w:hAnsi="Times New Roman"/>
          <w:b/>
          <w:bCs/>
          <w:spacing w:val="-2"/>
          <w:w w:val="105"/>
          <w:szCs w:val="24"/>
        </w:rPr>
        <w:t>C-</w:t>
      </w:r>
      <w:r w:rsidR="002A0D54" w:rsidRPr="007766A0">
        <w:rPr>
          <w:rFonts w:ascii="Times New Roman" w:hAnsi="Times New Roman"/>
          <w:b/>
          <w:bCs/>
          <w:spacing w:val="-2"/>
          <w:w w:val="105"/>
          <w:szCs w:val="24"/>
        </w:rPr>
        <w:t>2</w:t>
      </w:r>
      <w:r w:rsidR="004F3BAD" w:rsidRPr="00EE6610">
        <w:rPr>
          <w:rFonts w:ascii="Times New Roman" w:hAnsi="Times New Roman"/>
          <w:spacing w:val="-2"/>
          <w:w w:val="105"/>
          <w:szCs w:val="24"/>
        </w:rPr>
        <w:t xml:space="preserve">) </w:t>
      </w:r>
      <w:r w:rsidR="00976425" w:rsidRPr="00EE6610">
        <w:rPr>
          <w:rFonts w:ascii="Times New Roman" w:hAnsi="Times New Roman"/>
          <w:szCs w:val="24"/>
          <w:lang w:val="en"/>
        </w:rPr>
        <w:t xml:space="preserve">80 </w:t>
      </w:r>
      <w:r w:rsidR="009A3F74" w:rsidRPr="00EE6610">
        <w:rPr>
          <w:rFonts w:ascii="Times New Roman" w:hAnsi="Times New Roman"/>
          <w:szCs w:val="24"/>
          <w:lang w:val="en"/>
        </w:rPr>
        <w:t>FR</w:t>
      </w:r>
      <w:r w:rsidR="00976425" w:rsidRPr="00EE6610">
        <w:rPr>
          <w:rFonts w:ascii="Times New Roman" w:hAnsi="Times New Roman"/>
          <w:szCs w:val="24"/>
          <w:lang w:val="en"/>
        </w:rPr>
        <w:t xml:space="preserve"> 49489-49491</w:t>
      </w:r>
      <w:r w:rsidR="00DD1511" w:rsidRPr="00EE6610">
        <w:rPr>
          <w:rFonts w:ascii="Times New Roman" w:hAnsi="Times New Roman"/>
          <w:szCs w:val="24"/>
          <w:lang w:val="en"/>
        </w:rPr>
        <w:t xml:space="preserve">. </w:t>
      </w:r>
      <w:r w:rsidR="00976425" w:rsidRPr="00EE6610">
        <w:rPr>
          <w:rFonts w:ascii="Times New Roman" w:hAnsi="Times New Roman"/>
          <w:szCs w:val="24"/>
          <w:lang w:val="en"/>
        </w:rPr>
        <w:t xml:space="preserve"> </w:t>
      </w:r>
      <w:r w:rsidR="00F26119" w:rsidRPr="00EE6610">
        <w:rPr>
          <w:rFonts w:ascii="Times New Roman" w:hAnsi="Times New Roman"/>
          <w:szCs w:val="24"/>
          <w:lang w:val="en"/>
        </w:rPr>
        <w:t xml:space="preserve">As noted above, </w:t>
      </w:r>
      <w:r w:rsidR="007805B3" w:rsidRPr="00EE6610">
        <w:rPr>
          <w:rFonts w:ascii="Times New Roman" w:hAnsi="Times New Roman"/>
          <w:szCs w:val="24"/>
          <w:lang w:val="en"/>
        </w:rPr>
        <w:t>S</w:t>
      </w:r>
      <w:r w:rsidR="00745A07" w:rsidRPr="00EE6610">
        <w:rPr>
          <w:rFonts w:ascii="Times New Roman" w:hAnsi="Times New Roman"/>
          <w:szCs w:val="24"/>
          <w:lang w:val="en"/>
        </w:rPr>
        <w:t>RMC’</w:t>
      </w:r>
      <w:r w:rsidR="007805B3" w:rsidRPr="00EE6610">
        <w:rPr>
          <w:rFonts w:ascii="Times New Roman" w:hAnsi="Times New Roman"/>
          <w:szCs w:val="24"/>
          <w:lang w:val="en"/>
        </w:rPr>
        <w:t xml:space="preserve">s </w:t>
      </w:r>
      <w:r w:rsidR="000B0874" w:rsidRPr="00EE6610">
        <w:rPr>
          <w:rFonts w:ascii="Times New Roman" w:hAnsi="Times New Roman"/>
          <w:szCs w:val="24"/>
          <w:lang w:val="en"/>
        </w:rPr>
        <w:t>FFY 201</w:t>
      </w:r>
      <w:r w:rsidR="001B7032" w:rsidRPr="00EE6610">
        <w:rPr>
          <w:rFonts w:ascii="Times New Roman" w:hAnsi="Times New Roman"/>
          <w:szCs w:val="24"/>
          <w:lang w:val="en"/>
        </w:rPr>
        <w:t>4</w:t>
      </w:r>
      <w:r w:rsidR="000B0874" w:rsidRPr="00EE6610">
        <w:rPr>
          <w:rFonts w:ascii="Times New Roman" w:hAnsi="Times New Roman"/>
          <w:szCs w:val="24"/>
          <w:lang w:val="en"/>
        </w:rPr>
        <w:t xml:space="preserve"> </w:t>
      </w:r>
      <w:r w:rsidR="007805B3" w:rsidRPr="00EE6610">
        <w:rPr>
          <w:rFonts w:ascii="Times New Roman" w:hAnsi="Times New Roman"/>
          <w:szCs w:val="24"/>
          <w:lang w:val="en"/>
        </w:rPr>
        <w:t xml:space="preserve">"AHW" was deemed significantly </w:t>
      </w:r>
      <w:r w:rsidR="00E70F1D" w:rsidRPr="00EE6610">
        <w:rPr>
          <w:rFonts w:ascii="Times New Roman" w:hAnsi="Times New Roman"/>
          <w:szCs w:val="24"/>
          <w:lang w:val="en"/>
        </w:rPr>
        <w:t>“</w:t>
      </w:r>
      <w:r w:rsidR="007805B3" w:rsidRPr="00EE6610">
        <w:rPr>
          <w:rFonts w:ascii="Times New Roman" w:hAnsi="Times New Roman"/>
          <w:szCs w:val="24"/>
          <w:lang w:val="en"/>
        </w:rPr>
        <w:t xml:space="preserve">higher" than previous years </w:t>
      </w:r>
      <w:r w:rsidR="0096788C" w:rsidRPr="00EE6610">
        <w:rPr>
          <w:rFonts w:ascii="Times New Roman" w:hAnsi="Times New Roman"/>
          <w:szCs w:val="24"/>
          <w:lang w:val="en"/>
        </w:rPr>
        <w:t>to</w:t>
      </w:r>
      <w:r w:rsidR="007805B3" w:rsidRPr="00EE6610">
        <w:rPr>
          <w:rFonts w:ascii="Times New Roman" w:hAnsi="Times New Roman"/>
          <w:szCs w:val="24"/>
          <w:lang w:val="en"/>
        </w:rPr>
        <w:t xml:space="preserve"> which the Providers have agreed</w:t>
      </w:r>
      <w:r w:rsidR="00145E4E" w:rsidRPr="00EE6610">
        <w:rPr>
          <w:rFonts w:ascii="Times New Roman" w:hAnsi="Times New Roman"/>
          <w:szCs w:val="24"/>
          <w:lang w:val="en"/>
        </w:rPr>
        <w:t xml:space="preserve">.  </w:t>
      </w:r>
      <w:r w:rsidR="00643F89" w:rsidRPr="00EE6610">
        <w:rPr>
          <w:rFonts w:ascii="Times New Roman" w:hAnsi="Times New Roman"/>
          <w:szCs w:val="24"/>
          <w:lang w:val="en"/>
        </w:rPr>
        <w:t xml:space="preserve">The MAC </w:t>
      </w:r>
      <w:r w:rsidR="00337831" w:rsidRPr="00EE6610">
        <w:rPr>
          <w:rFonts w:ascii="Times New Roman" w:hAnsi="Times New Roman"/>
          <w:szCs w:val="24"/>
          <w:lang w:val="en"/>
        </w:rPr>
        <w:t>asserts</w:t>
      </w:r>
      <w:r w:rsidR="00643F89" w:rsidRPr="00EE6610">
        <w:rPr>
          <w:rFonts w:ascii="Times New Roman" w:hAnsi="Times New Roman"/>
          <w:szCs w:val="24"/>
          <w:lang w:val="en"/>
        </w:rPr>
        <w:t xml:space="preserve"> </w:t>
      </w:r>
      <w:r w:rsidR="004A645D" w:rsidRPr="00EE6610">
        <w:rPr>
          <w:rFonts w:ascii="Times New Roman" w:hAnsi="Times New Roman"/>
          <w:szCs w:val="24"/>
          <w:lang w:val="en"/>
        </w:rPr>
        <w:t>th</w:t>
      </w:r>
      <w:r w:rsidR="00643F89" w:rsidRPr="00EE6610">
        <w:rPr>
          <w:rFonts w:ascii="Times New Roman" w:hAnsi="Times New Roman"/>
          <w:szCs w:val="24"/>
          <w:lang w:val="en"/>
        </w:rPr>
        <w:t xml:space="preserve">ere were no </w:t>
      </w:r>
      <w:r w:rsidR="004A645D" w:rsidRPr="00EE6610">
        <w:rPr>
          <w:rFonts w:ascii="Times New Roman" w:hAnsi="Times New Roman"/>
          <w:szCs w:val="24"/>
          <w:lang w:val="en"/>
        </w:rPr>
        <w:t>substantial</w:t>
      </w:r>
      <w:r w:rsidR="00643F89" w:rsidRPr="00EE6610">
        <w:rPr>
          <w:rFonts w:ascii="Times New Roman" w:hAnsi="Times New Roman"/>
          <w:szCs w:val="24"/>
          <w:lang w:val="en"/>
        </w:rPr>
        <w:t xml:space="preserve"> changes in the </w:t>
      </w:r>
      <w:r w:rsidR="004A645D" w:rsidRPr="00EE6610">
        <w:rPr>
          <w:rFonts w:ascii="Times New Roman" w:hAnsi="Times New Roman"/>
          <w:szCs w:val="24"/>
          <w:lang w:val="en"/>
        </w:rPr>
        <w:t>rule</w:t>
      </w:r>
      <w:r w:rsidR="00FB41E1" w:rsidRPr="00EE6610">
        <w:rPr>
          <w:rFonts w:ascii="Times New Roman" w:hAnsi="Times New Roman"/>
          <w:szCs w:val="24"/>
          <w:lang w:val="en"/>
        </w:rPr>
        <w:t xml:space="preserve"> </w:t>
      </w:r>
      <w:r w:rsidR="00C217B9" w:rsidRPr="00EE6610">
        <w:rPr>
          <w:rFonts w:ascii="Times New Roman" w:hAnsi="Times New Roman"/>
          <w:szCs w:val="24"/>
          <w:lang w:val="en"/>
        </w:rPr>
        <w:t>regarding this issue</w:t>
      </w:r>
      <w:r w:rsidR="00643F89" w:rsidRPr="00EE6610">
        <w:rPr>
          <w:rFonts w:ascii="Times New Roman" w:hAnsi="Times New Roman"/>
          <w:szCs w:val="24"/>
          <w:lang w:val="en"/>
        </w:rPr>
        <w:t xml:space="preserve"> </w:t>
      </w:r>
      <w:r w:rsidR="006C0016" w:rsidRPr="00EE6610">
        <w:rPr>
          <w:rFonts w:ascii="Times New Roman" w:hAnsi="Times New Roman"/>
          <w:szCs w:val="24"/>
          <w:lang w:val="en"/>
        </w:rPr>
        <w:t xml:space="preserve">which </w:t>
      </w:r>
      <w:r w:rsidR="00643F89" w:rsidRPr="00EE6610">
        <w:rPr>
          <w:rFonts w:ascii="Times New Roman" w:hAnsi="Times New Roman"/>
          <w:szCs w:val="24"/>
          <w:lang w:val="en"/>
        </w:rPr>
        <w:t xml:space="preserve">would require a </w:t>
      </w:r>
      <w:r w:rsidR="007F716E" w:rsidRPr="00EE6610">
        <w:rPr>
          <w:rFonts w:ascii="Times New Roman" w:hAnsi="Times New Roman"/>
          <w:szCs w:val="24"/>
          <w:lang w:val="en"/>
        </w:rPr>
        <w:t>"notice to hospitals".</w:t>
      </w:r>
      <w:r w:rsidR="00F70B87" w:rsidRPr="00EE6610">
        <w:rPr>
          <w:rFonts w:ascii="Times New Roman" w:hAnsi="Times New Roman"/>
          <w:szCs w:val="24"/>
          <w:lang w:val="en"/>
        </w:rPr>
        <w:t xml:space="preserve"> </w:t>
      </w:r>
    </w:p>
    <w:p w14:paraId="3914F9E8" w14:textId="77777777" w:rsidR="005F60CB" w:rsidRPr="00EE6610" w:rsidRDefault="005F60CB" w:rsidP="007F716E">
      <w:pPr>
        <w:kinsoku w:val="0"/>
        <w:spacing w:line="360" w:lineRule="auto"/>
        <w:ind w:left="720"/>
        <w:rPr>
          <w:rFonts w:ascii="Times New Roman" w:hAnsi="Times New Roman"/>
          <w:szCs w:val="24"/>
          <w:lang w:val="en"/>
        </w:rPr>
      </w:pPr>
    </w:p>
    <w:p w14:paraId="64F74ADB" w14:textId="5B17A30A" w:rsidR="004A3EAB" w:rsidRPr="00EE6610" w:rsidRDefault="00EB09CF" w:rsidP="004A3EAB">
      <w:pPr>
        <w:kinsoku w:val="0"/>
        <w:spacing w:line="360" w:lineRule="auto"/>
        <w:ind w:left="720"/>
        <w:rPr>
          <w:rFonts w:ascii="Times New Roman" w:hAnsi="Times New Roman"/>
          <w:szCs w:val="24"/>
          <w:lang w:val="en"/>
        </w:rPr>
      </w:pPr>
      <w:r w:rsidRPr="00EE6610">
        <w:rPr>
          <w:rFonts w:ascii="Times New Roman" w:hAnsi="Times New Roman"/>
          <w:szCs w:val="24"/>
          <w:lang w:val="en"/>
        </w:rPr>
        <w:lastRenderedPageBreak/>
        <w:t xml:space="preserve">The Providers </w:t>
      </w:r>
      <w:r w:rsidR="00AE2D64" w:rsidRPr="00EE6610">
        <w:rPr>
          <w:rFonts w:ascii="Times New Roman" w:hAnsi="Times New Roman"/>
          <w:szCs w:val="24"/>
          <w:lang w:val="en"/>
        </w:rPr>
        <w:t>claims that “CMS had not held the wage data of other hospital to the same sta</w:t>
      </w:r>
      <w:r w:rsidR="006940E7" w:rsidRPr="00EE6610">
        <w:rPr>
          <w:rFonts w:ascii="Times New Roman" w:hAnsi="Times New Roman"/>
          <w:szCs w:val="24"/>
          <w:lang w:val="en"/>
        </w:rPr>
        <w:t>n</w:t>
      </w:r>
      <w:r w:rsidR="00AE2D64" w:rsidRPr="00EE6610">
        <w:rPr>
          <w:rFonts w:ascii="Times New Roman" w:hAnsi="Times New Roman"/>
          <w:szCs w:val="24"/>
          <w:lang w:val="en"/>
        </w:rPr>
        <w:t>dard as it held SMC</w:t>
      </w:r>
      <w:r w:rsidR="006940E7" w:rsidRPr="00EE6610">
        <w:rPr>
          <w:rFonts w:ascii="Times New Roman" w:hAnsi="Times New Roman"/>
          <w:szCs w:val="24"/>
          <w:lang w:val="en"/>
        </w:rPr>
        <w:t xml:space="preserve"> in FYs 2015 through 2018”</w:t>
      </w:r>
      <w:r w:rsidR="00016063" w:rsidRPr="00EE6610">
        <w:rPr>
          <w:rFonts w:ascii="Times New Roman" w:hAnsi="Times New Roman"/>
          <w:szCs w:val="24"/>
          <w:lang w:val="en"/>
        </w:rPr>
        <w:t xml:space="preserve"> </w:t>
      </w:r>
      <w:r w:rsidR="006940E7" w:rsidRPr="00EE6610">
        <w:rPr>
          <w:rFonts w:ascii="Times New Roman" w:hAnsi="Times New Roman"/>
          <w:szCs w:val="24"/>
          <w:lang w:val="en"/>
        </w:rPr>
        <w:t xml:space="preserve">and refers to “other hospitals” with “atypically high average hourly wages” which were included in the wage index calculation. </w:t>
      </w:r>
      <w:proofErr w:type="gramStart"/>
      <w:r w:rsidR="006940E7" w:rsidRPr="00EE6610">
        <w:rPr>
          <w:rFonts w:ascii="Times New Roman" w:hAnsi="Times New Roman"/>
          <w:szCs w:val="24"/>
          <w:lang w:val="en"/>
        </w:rPr>
        <w:t>( see</w:t>
      </w:r>
      <w:proofErr w:type="gramEnd"/>
      <w:r w:rsidR="006940E7" w:rsidRPr="00EE6610">
        <w:rPr>
          <w:rFonts w:ascii="Times New Roman" w:hAnsi="Times New Roman"/>
          <w:szCs w:val="24"/>
          <w:lang w:val="en"/>
        </w:rPr>
        <w:t xml:space="preserve"> Provider’s Final paper</w:t>
      </w:r>
      <w:r w:rsidR="004A3EAB" w:rsidRPr="00EE6610">
        <w:rPr>
          <w:rFonts w:ascii="Times New Roman" w:hAnsi="Times New Roman"/>
          <w:szCs w:val="24"/>
          <w:lang w:val="en"/>
        </w:rPr>
        <w:t xml:space="preserve">, page 8 &amp; Exhibit P-3). </w:t>
      </w:r>
      <w:r w:rsidR="007F716E" w:rsidRPr="00EE6610">
        <w:rPr>
          <w:rFonts w:ascii="Times New Roman" w:hAnsi="Times New Roman"/>
          <w:szCs w:val="24"/>
          <w:lang w:val="en"/>
        </w:rPr>
        <w:t xml:space="preserve"> </w:t>
      </w:r>
      <w:r w:rsidR="004A3EAB" w:rsidRPr="00EE6610">
        <w:rPr>
          <w:rFonts w:ascii="Times New Roman" w:hAnsi="Times New Roman"/>
          <w:szCs w:val="24"/>
          <w:lang w:val="en"/>
        </w:rPr>
        <w:t xml:space="preserve">The MAC maintains that the “55 instances” in the Providers misguided comparison (see Provider Exhibit P-3) are </w:t>
      </w:r>
      <w:r w:rsidR="005D0648" w:rsidRPr="00EE6610">
        <w:rPr>
          <w:rFonts w:ascii="Times New Roman" w:hAnsi="Times New Roman"/>
          <w:szCs w:val="24"/>
          <w:lang w:val="en"/>
        </w:rPr>
        <w:t xml:space="preserve">facilities </w:t>
      </w:r>
      <w:r w:rsidR="004A3EAB" w:rsidRPr="00EE6610">
        <w:rPr>
          <w:rFonts w:ascii="Times New Roman" w:hAnsi="Times New Roman"/>
          <w:szCs w:val="24"/>
          <w:lang w:val="en"/>
        </w:rPr>
        <w:t xml:space="preserve">listed in </w:t>
      </w:r>
      <w:proofErr w:type="gramStart"/>
      <w:r w:rsidR="004A3EAB" w:rsidRPr="00EE6610">
        <w:rPr>
          <w:rFonts w:ascii="Times New Roman" w:hAnsi="Times New Roman"/>
          <w:szCs w:val="24"/>
          <w:lang w:val="en"/>
        </w:rPr>
        <w:t>various different</w:t>
      </w:r>
      <w:proofErr w:type="gramEnd"/>
      <w:r w:rsidR="004A3EAB" w:rsidRPr="00EE6610">
        <w:rPr>
          <w:rFonts w:ascii="Times New Roman" w:hAnsi="Times New Roman"/>
          <w:szCs w:val="24"/>
          <w:lang w:val="en"/>
        </w:rPr>
        <w:t xml:space="preserve"> CBSAs than SRMC’s CBSA (“46140”- Tulsa, OK)</w:t>
      </w:r>
      <w:r w:rsidR="00EE6610" w:rsidRPr="00EE6610">
        <w:rPr>
          <w:rFonts w:ascii="Times New Roman" w:hAnsi="Times New Roman"/>
          <w:szCs w:val="24"/>
          <w:lang w:val="en"/>
        </w:rPr>
        <w:t xml:space="preserve">. The MAC contends that </w:t>
      </w:r>
      <w:r w:rsidR="004A3EAB" w:rsidRPr="00EE6610">
        <w:rPr>
          <w:rFonts w:ascii="Times New Roman" w:hAnsi="Times New Roman"/>
          <w:szCs w:val="24"/>
          <w:lang w:val="en"/>
        </w:rPr>
        <w:t>the comparison of the Providers in these different CBSA’s, which have very different geographic locations and labor markets, is impractical and does not support the Providers argument for the issue in this case.</w:t>
      </w:r>
    </w:p>
    <w:p w14:paraId="006E0EBF" w14:textId="19385D67" w:rsidR="00D342BE" w:rsidRDefault="00D342BE" w:rsidP="007F716E">
      <w:pPr>
        <w:kinsoku w:val="0"/>
        <w:spacing w:line="360" w:lineRule="auto"/>
        <w:ind w:left="720"/>
        <w:rPr>
          <w:rFonts w:ascii="Times New Roman" w:hAnsi="Times New Roman"/>
          <w:szCs w:val="24"/>
          <w:lang w:val="en"/>
        </w:rPr>
      </w:pPr>
    </w:p>
    <w:p w14:paraId="59AA0836" w14:textId="71221085" w:rsidR="00D342BE" w:rsidRPr="00EE6610" w:rsidRDefault="00D342BE" w:rsidP="007F716E">
      <w:pPr>
        <w:kinsoku w:val="0"/>
        <w:spacing w:line="360" w:lineRule="auto"/>
        <w:ind w:left="720"/>
        <w:rPr>
          <w:rFonts w:ascii="Times New Roman" w:hAnsi="Times New Roman"/>
          <w:b/>
          <w:bCs/>
          <w:szCs w:val="24"/>
          <w:lang w:val="en"/>
        </w:rPr>
      </w:pPr>
      <w:r w:rsidRPr="00EE6610">
        <w:rPr>
          <w:rFonts w:ascii="Times New Roman" w:hAnsi="Times New Roman"/>
          <w:b/>
          <w:bCs/>
          <w:szCs w:val="24"/>
          <w:lang w:val="en"/>
        </w:rPr>
        <w:t>Challenge of Another Provider’s Wage Index Data</w:t>
      </w:r>
    </w:p>
    <w:p w14:paraId="12B61F52" w14:textId="77777777" w:rsidR="00EE6610" w:rsidRDefault="00EE6610" w:rsidP="007F716E">
      <w:pPr>
        <w:kinsoku w:val="0"/>
        <w:spacing w:line="360" w:lineRule="auto"/>
        <w:ind w:left="720"/>
        <w:rPr>
          <w:rFonts w:ascii="Times New Roman" w:hAnsi="Times New Roman"/>
          <w:szCs w:val="24"/>
          <w:lang w:val="en"/>
        </w:rPr>
      </w:pPr>
    </w:p>
    <w:p w14:paraId="0547C419" w14:textId="3BCBC0F4" w:rsidR="00FC4A35" w:rsidRPr="00EE6610" w:rsidRDefault="004D6723" w:rsidP="007F716E">
      <w:pPr>
        <w:kinsoku w:val="0"/>
        <w:spacing w:line="360" w:lineRule="auto"/>
        <w:ind w:left="720"/>
        <w:rPr>
          <w:rFonts w:ascii="Times New Roman" w:hAnsi="Times New Roman"/>
          <w:szCs w:val="24"/>
          <w:lang w:val="en"/>
        </w:rPr>
      </w:pPr>
      <w:r w:rsidRPr="00EE6610">
        <w:rPr>
          <w:rFonts w:ascii="Times New Roman" w:hAnsi="Times New Roman"/>
          <w:szCs w:val="24"/>
          <w:lang w:val="en"/>
        </w:rPr>
        <w:t xml:space="preserve">The basis of the Providers’ </w:t>
      </w:r>
      <w:r w:rsidR="00E76E1B" w:rsidRPr="00EE6610">
        <w:rPr>
          <w:rFonts w:ascii="Times New Roman" w:hAnsi="Times New Roman"/>
          <w:szCs w:val="24"/>
          <w:lang w:val="en"/>
        </w:rPr>
        <w:t xml:space="preserve">argument </w:t>
      </w:r>
      <w:r w:rsidR="00950BE4" w:rsidRPr="00EE6610">
        <w:rPr>
          <w:rFonts w:ascii="Times New Roman" w:hAnsi="Times New Roman"/>
          <w:szCs w:val="24"/>
          <w:lang w:val="en"/>
        </w:rPr>
        <w:t>is that</w:t>
      </w:r>
      <w:r w:rsidRPr="00EE6610">
        <w:rPr>
          <w:rFonts w:ascii="Times New Roman" w:hAnsi="Times New Roman"/>
          <w:szCs w:val="24"/>
          <w:lang w:val="en"/>
        </w:rPr>
        <w:t xml:space="preserve"> another provider’s wage index data </w:t>
      </w:r>
      <w:r w:rsidR="00950BE4" w:rsidRPr="00EE6610">
        <w:rPr>
          <w:rFonts w:ascii="Times New Roman" w:hAnsi="Times New Roman"/>
          <w:szCs w:val="24"/>
          <w:lang w:val="en"/>
        </w:rPr>
        <w:t>ultimately affects</w:t>
      </w:r>
      <w:r w:rsidRPr="00EE6610">
        <w:rPr>
          <w:rFonts w:ascii="Times New Roman" w:hAnsi="Times New Roman"/>
          <w:szCs w:val="24"/>
          <w:lang w:val="en"/>
        </w:rPr>
        <w:t xml:space="preserve"> the reimbursement of other providers in the CBSA</w:t>
      </w:r>
      <w:r w:rsidR="00950BE4" w:rsidRPr="00EE6610">
        <w:rPr>
          <w:rFonts w:ascii="Times New Roman" w:hAnsi="Times New Roman"/>
          <w:szCs w:val="24"/>
          <w:lang w:val="en"/>
        </w:rPr>
        <w:t>.</w:t>
      </w:r>
      <w:r w:rsidRPr="00EE6610">
        <w:rPr>
          <w:rFonts w:ascii="Times New Roman" w:hAnsi="Times New Roman"/>
          <w:szCs w:val="24"/>
          <w:lang w:val="en"/>
        </w:rPr>
        <w:t xml:space="preserve"> </w:t>
      </w:r>
      <w:r w:rsidR="00EA27E4" w:rsidRPr="00EE6610">
        <w:rPr>
          <w:rFonts w:ascii="Times New Roman" w:hAnsi="Times New Roman"/>
          <w:szCs w:val="24"/>
          <w:lang w:val="en"/>
        </w:rPr>
        <w:t xml:space="preserve">The </w:t>
      </w:r>
      <w:r w:rsidR="00DD3D7D" w:rsidRPr="00EE6610">
        <w:rPr>
          <w:rFonts w:ascii="Times New Roman" w:hAnsi="Times New Roman"/>
          <w:szCs w:val="24"/>
          <w:lang w:val="en"/>
        </w:rPr>
        <w:t xml:space="preserve">goal of the </w:t>
      </w:r>
      <w:r w:rsidR="00EA27E4" w:rsidRPr="00EE6610">
        <w:rPr>
          <w:rFonts w:ascii="Times New Roman" w:hAnsi="Times New Roman"/>
          <w:szCs w:val="24"/>
          <w:lang w:val="en"/>
        </w:rPr>
        <w:t>Provider’s</w:t>
      </w:r>
      <w:r w:rsidR="00D42F36" w:rsidRPr="00EE6610">
        <w:rPr>
          <w:rFonts w:ascii="Times New Roman" w:hAnsi="Times New Roman"/>
          <w:szCs w:val="24"/>
          <w:lang w:val="en"/>
        </w:rPr>
        <w:t xml:space="preserve"> </w:t>
      </w:r>
      <w:r w:rsidR="00DD3D7D" w:rsidRPr="00EE6610">
        <w:rPr>
          <w:rFonts w:ascii="Times New Roman" w:hAnsi="Times New Roman"/>
          <w:szCs w:val="24"/>
          <w:lang w:val="en"/>
        </w:rPr>
        <w:t>argument in their f</w:t>
      </w:r>
      <w:r w:rsidR="00F90384" w:rsidRPr="00EE6610">
        <w:rPr>
          <w:rFonts w:ascii="Times New Roman" w:hAnsi="Times New Roman"/>
          <w:szCs w:val="24"/>
          <w:lang w:val="en"/>
        </w:rPr>
        <w:t>inal paper</w:t>
      </w:r>
      <w:r w:rsidR="00DD3D7D" w:rsidRPr="00EE6610">
        <w:rPr>
          <w:rFonts w:ascii="Times New Roman" w:hAnsi="Times New Roman"/>
          <w:szCs w:val="24"/>
          <w:lang w:val="en"/>
        </w:rPr>
        <w:t xml:space="preserve"> is to “reverse CMS’s exclusion” of SRMC’s wage data from the Tulsa </w:t>
      </w:r>
      <w:r w:rsidR="00FC4A35" w:rsidRPr="00EE6610">
        <w:rPr>
          <w:rFonts w:ascii="Times New Roman" w:hAnsi="Times New Roman"/>
          <w:szCs w:val="24"/>
          <w:lang w:val="en"/>
        </w:rPr>
        <w:t xml:space="preserve">CBSA’s wage index for the </w:t>
      </w:r>
      <w:proofErr w:type="gramStart"/>
      <w:r w:rsidR="00FC4A35" w:rsidRPr="00EE6610">
        <w:rPr>
          <w:rFonts w:ascii="Times New Roman" w:hAnsi="Times New Roman"/>
          <w:szCs w:val="24"/>
          <w:lang w:val="en"/>
        </w:rPr>
        <w:t>FY’s</w:t>
      </w:r>
      <w:proofErr w:type="gramEnd"/>
      <w:r w:rsidR="00FC4A35" w:rsidRPr="00EE6610">
        <w:rPr>
          <w:rFonts w:ascii="Times New Roman" w:hAnsi="Times New Roman"/>
          <w:szCs w:val="24"/>
          <w:lang w:val="en"/>
        </w:rPr>
        <w:t xml:space="preserve"> in question. </w:t>
      </w:r>
    </w:p>
    <w:p w14:paraId="3F1D01B9" w14:textId="77777777" w:rsidR="00FC4A35" w:rsidRPr="00EE6610" w:rsidRDefault="00FC4A35" w:rsidP="007F716E">
      <w:pPr>
        <w:kinsoku w:val="0"/>
        <w:spacing w:line="360" w:lineRule="auto"/>
        <w:ind w:left="720"/>
        <w:rPr>
          <w:rFonts w:ascii="Times New Roman" w:hAnsi="Times New Roman"/>
          <w:szCs w:val="24"/>
          <w:lang w:val="en"/>
        </w:rPr>
      </w:pPr>
    </w:p>
    <w:p w14:paraId="1400C496" w14:textId="2C295257" w:rsidR="00EA27E4" w:rsidRPr="00EE6610" w:rsidRDefault="00FC4A35" w:rsidP="007F716E">
      <w:pPr>
        <w:kinsoku w:val="0"/>
        <w:spacing w:line="360" w:lineRule="auto"/>
        <w:ind w:left="720"/>
        <w:rPr>
          <w:rFonts w:ascii="Times New Roman" w:hAnsi="Times New Roman"/>
          <w:szCs w:val="24"/>
          <w:lang w:val="en"/>
        </w:rPr>
      </w:pPr>
      <w:r w:rsidRPr="00EE6610">
        <w:rPr>
          <w:rFonts w:ascii="Times New Roman" w:hAnsi="Times New Roman"/>
          <w:szCs w:val="24"/>
          <w:lang w:val="en"/>
        </w:rPr>
        <w:t>T</w:t>
      </w:r>
      <w:r w:rsidR="00F90384" w:rsidRPr="00EE6610">
        <w:rPr>
          <w:rFonts w:ascii="Times New Roman" w:hAnsi="Times New Roman"/>
          <w:szCs w:val="24"/>
          <w:lang w:val="en"/>
        </w:rPr>
        <w:t xml:space="preserve">he MAC asserts that the Providers </w:t>
      </w:r>
      <w:r w:rsidR="00EA27E4" w:rsidRPr="00EE6610">
        <w:rPr>
          <w:rFonts w:ascii="Times New Roman" w:hAnsi="Times New Roman"/>
          <w:szCs w:val="24"/>
          <w:lang w:val="en"/>
        </w:rPr>
        <w:t>in this appeal are challenging the wage index of another Provider</w:t>
      </w:r>
      <w:r w:rsidRPr="00EE6610">
        <w:rPr>
          <w:rFonts w:ascii="Times New Roman" w:hAnsi="Times New Roman"/>
          <w:szCs w:val="24"/>
          <w:lang w:val="en"/>
        </w:rPr>
        <w:t xml:space="preserve"> which is not directly </w:t>
      </w:r>
      <w:r w:rsidR="00E16B66">
        <w:rPr>
          <w:rFonts w:ascii="Times New Roman" w:hAnsi="Times New Roman"/>
          <w:szCs w:val="24"/>
          <w:lang w:val="en"/>
        </w:rPr>
        <w:t xml:space="preserve">in </w:t>
      </w:r>
      <w:r w:rsidRPr="00EE6610">
        <w:rPr>
          <w:rFonts w:ascii="Times New Roman" w:hAnsi="Times New Roman"/>
          <w:szCs w:val="24"/>
          <w:lang w:val="en"/>
        </w:rPr>
        <w:t>this appeal</w:t>
      </w:r>
      <w:r w:rsidR="00EA27E4" w:rsidRPr="00EE6610">
        <w:rPr>
          <w:rFonts w:ascii="Times New Roman" w:hAnsi="Times New Roman"/>
          <w:szCs w:val="24"/>
          <w:lang w:val="en"/>
        </w:rPr>
        <w:t xml:space="preserve">. </w:t>
      </w:r>
    </w:p>
    <w:p w14:paraId="45BB7B88" w14:textId="1EFABBBB" w:rsidR="004D6723" w:rsidRPr="00EE6610" w:rsidRDefault="00F90384" w:rsidP="007F716E">
      <w:pPr>
        <w:kinsoku w:val="0"/>
        <w:spacing w:line="360" w:lineRule="auto"/>
        <w:ind w:left="720"/>
        <w:rPr>
          <w:rFonts w:ascii="Times New Roman" w:hAnsi="Times New Roman"/>
          <w:szCs w:val="24"/>
          <w:lang w:val="en"/>
        </w:rPr>
      </w:pPr>
      <w:r w:rsidRPr="00EE6610">
        <w:rPr>
          <w:rFonts w:ascii="Times New Roman" w:hAnsi="Times New Roman"/>
          <w:szCs w:val="24"/>
          <w:lang w:val="en"/>
        </w:rPr>
        <w:t xml:space="preserve">  </w:t>
      </w:r>
    </w:p>
    <w:p w14:paraId="1114315A" w14:textId="77777777" w:rsidR="00C7492D" w:rsidRPr="00EE6610" w:rsidRDefault="004D6723" w:rsidP="007F716E">
      <w:pPr>
        <w:kinsoku w:val="0"/>
        <w:spacing w:line="360" w:lineRule="auto"/>
        <w:ind w:left="720"/>
        <w:rPr>
          <w:rFonts w:ascii="Times New Roman" w:hAnsi="Times New Roman"/>
          <w:szCs w:val="24"/>
          <w:lang w:val="en"/>
        </w:rPr>
      </w:pPr>
      <w:r w:rsidRPr="00EE6610">
        <w:rPr>
          <w:rFonts w:ascii="Times New Roman" w:hAnsi="Times New Roman"/>
          <w:szCs w:val="24"/>
          <w:lang w:val="en"/>
        </w:rPr>
        <w:t>T</w:t>
      </w:r>
      <w:r w:rsidR="005033EC" w:rsidRPr="00EE6610">
        <w:rPr>
          <w:rFonts w:ascii="Times New Roman" w:hAnsi="Times New Roman"/>
          <w:szCs w:val="24"/>
          <w:lang w:val="en"/>
        </w:rPr>
        <w:t>he Board</w:t>
      </w:r>
      <w:r w:rsidRPr="00EE6610">
        <w:rPr>
          <w:rFonts w:ascii="Times New Roman" w:hAnsi="Times New Roman"/>
          <w:szCs w:val="24"/>
          <w:lang w:val="en"/>
        </w:rPr>
        <w:t>, District Court</w:t>
      </w:r>
      <w:r w:rsidR="005033EC" w:rsidRPr="00EE6610">
        <w:rPr>
          <w:rFonts w:ascii="Times New Roman" w:hAnsi="Times New Roman"/>
          <w:szCs w:val="24"/>
          <w:lang w:val="en"/>
        </w:rPr>
        <w:t xml:space="preserve"> and Circuit </w:t>
      </w:r>
      <w:r w:rsidRPr="00EE6610">
        <w:rPr>
          <w:rFonts w:ascii="Times New Roman" w:hAnsi="Times New Roman"/>
          <w:szCs w:val="24"/>
          <w:lang w:val="en"/>
        </w:rPr>
        <w:t>Court</w:t>
      </w:r>
      <w:r w:rsidR="005033EC" w:rsidRPr="00EE6610">
        <w:rPr>
          <w:rFonts w:ascii="Times New Roman" w:hAnsi="Times New Roman"/>
          <w:szCs w:val="24"/>
          <w:lang w:val="en"/>
        </w:rPr>
        <w:t xml:space="preserve"> have encounter circumstances where a provider or providers have attempted to challenge the wage index data of another provider in the CBSA.  </w:t>
      </w:r>
    </w:p>
    <w:p w14:paraId="392856DA" w14:textId="77777777" w:rsidR="00C7492D" w:rsidRPr="00EE6610" w:rsidRDefault="00C7492D" w:rsidP="007F716E">
      <w:pPr>
        <w:kinsoku w:val="0"/>
        <w:spacing w:line="360" w:lineRule="auto"/>
        <w:ind w:left="720"/>
        <w:rPr>
          <w:rFonts w:ascii="Times New Roman" w:hAnsi="Times New Roman"/>
          <w:szCs w:val="24"/>
          <w:lang w:val="en"/>
        </w:rPr>
      </w:pPr>
    </w:p>
    <w:p w14:paraId="7C2E0E65" w14:textId="6D0A65DA" w:rsidR="00A24ECE" w:rsidRPr="00EE6610" w:rsidRDefault="00E00AAC" w:rsidP="007F716E">
      <w:pPr>
        <w:kinsoku w:val="0"/>
        <w:spacing w:line="360" w:lineRule="auto"/>
        <w:ind w:left="720"/>
        <w:rPr>
          <w:rFonts w:ascii="Times New Roman" w:hAnsi="Times New Roman"/>
          <w:szCs w:val="24"/>
          <w:lang w:val="en"/>
        </w:rPr>
      </w:pPr>
      <w:r w:rsidRPr="00EE6610">
        <w:rPr>
          <w:rFonts w:ascii="Times New Roman" w:hAnsi="Times New Roman"/>
          <w:szCs w:val="24"/>
          <w:lang w:val="en"/>
        </w:rPr>
        <w:t>PRRB Case Nos. 15-1522, 15-1527, 15-1528 and 15-1564</w:t>
      </w:r>
      <w:r w:rsidR="00A24ECE" w:rsidRPr="00EE6610">
        <w:rPr>
          <w:rStyle w:val="FootnoteReference"/>
          <w:rFonts w:ascii="Times New Roman" w:hAnsi="Times New Roman"/>
          <w:szCs w:val="24"/>
          <w:lang w:val="en"/>
        </w:rPr>
        <w:footnoteReference w:id="1"/>
      </w:r>
      <w:r w:rsidRPr="00EE6610">
        <w:rPr>
          <w:rFonts w:ascii="Times New Roman" w:hAnsi="Times New Roman"/>
          <w:szCs w:val="24"/>
          <w:lang w:val="en"/>
        </w:rPr>
        <w:t xml:space="preserve"> concerned the collateral effect of a lower wage index for the Abilene CBSA </w:t>
      </w:r>
      <w:r w:rsidR="00A24ECE" w:rsidRPr="00EE6610">
        <w:rPr>
          <w:rFonts w:ascii="Times New Roman" w:hAnsi="Times New Roman"/>
          <w:szCs w:val="24"/>
          <w:lang w:val="en"/>
        </w:rPr>
        <w:t xml:space="preserve">for FFY 2015 </w:t>
      </w:r>
      <w:r w:rsidRPr="00EE6610">
        <w:rPr>
          <w:rFonts w:ascii="Times New Roman" w:hAnsi="Times New Roman"/>
          <w:szCs w:val="24"/>
          <w:lang w:val="en"/>
        </w:rPr>
        <w:t>due to uncorrected wage index data for a provider that was not part of any of the cases</w:t>
      </w:r>
      <w:r w:rsidR="00A24ECE" w:rsidRPr="00EE6610">
        <w:rPr>
          <w:rStyle w:val="FootnoteReference"/>
          <w:rFonts w:ascii="Times New Roman" w:hAnsi="Times New Roman"/>
          <w:szCs w:val="24"/>
          <w:lang w:val="en"/>
        </w:rPr>
        <w:footnoteReference w:id="2"/>
      </w:r>
      <w:r w:rsidRPr="00EE6610">
        <w:rPr>
          <w:rFonts w:ascii="Times New Roman" w:hAnsi="Times New Roman"/>
          <w:szCs w:val="24"/>
          <w:lang w:val="en"/>
        </w:rPr>
        <w:t xml:space="preserve">. </w:t>
      </w:r>
      <w:r w:rsidR="004D6723" w:rsidRPr="00EE6610">
        <w:rPr>
          <w:rFonts w:ascii="Times New Roman" w:hAnsi="Times New Roman"/>
          <w:szCs w:val="24"/>
          <w:lang w:val="en"/>
        </w:rPr>
        <w:t>Upon</w:t>
      </w:r>
      <w:r w:rsidRPr="00EE6610">
        <w:rPr>
          <w:rFonts w:ascii="Times New Roman" w:hAnsi="Times New Roman"/>
          <w:szCs w:val="24"/>
          <w:lang w:val="en"/>
        </w:rPr>
        <w:t xml:space="preserve"> the Board’s </w:t>
      </w:r>
      <w:r w:rsidRPr="00EE6610">
        <w:rPr>
          <w:rFonts w:ascii="Times New Roman" w:hAnsi="Times New Roman"/>
          <w:szCs w:val="24"/>
          <w:lang w:val="en"/>
        </w:rPr>
        <w:lastRenderedPageBreak/>
        <w:t>own motion</w:t>
      </w:r>
      <w:r w:rsidR="004D6723" w:rsidRPr="00EE6610">
        <w:rPr>
          <w:rFonts w:ascii="Times New Roman" w:hAnsi="Times New Roman"/>
          <w:szCs w:val="24"/>
          <w:lang w:val="en"/>
        </w:rPr>
        <w:t>,</w:t>
      </w:r>
      <w:r w:rsidRPr="00EE6610">
        <w:rPr>
          <w:rFonts w:ascii="Times New Roman" w:hAnsi="Times New Roman"/>
          <w:szCs w:val="24"/>
          <w:lang w:val="en"/>
        </w:rPr>
        <w:t xml:space="preserve"> it found that while it did have jurisdiction it was bound by the wage index published in the federal register</w:t>
      </w:r>
      <w:r w:rsidR="004D6723" w:rsidRPr="00EE6610">
        <w:rPr>
          <w:rFonts w:ascii="Times New Roman" w:hAnsi="Times New Roman"/>
          <w:szCs w:val="24"/>
          <w:lang w:val="en"/>
        </w:rPr>
        <w:t xml:space="preserve"> and</w:t>
      </w:r>
      <w:r w:rsidR="00A24ECE" w:rsidRPr="00EE6610">
        <w:rPr>
          <w:rFonts w:ascii="Times New Roman" w:hAnsi="Times New Roman"/>
          <w:szCs w:val="24"/>
          <w:lang w:val="en"/>
        </w:rPr>
        <w:t xml:space="preserve"> granted </w:t>
      </w:r>
      <w:r w:rsidR="004D6723" w:rsidRPr="00EE6610">
        <w:rPr>
          <w:rFonts w:ascii="Times New Roman" w:hAnsi="Times New Roman"/>
          <w:szCs w:val="24"/>
          <w:lang w:val="en"/>
        </w:rPr>
        <w:t>expedited judicial review (EJR).</w:t>
      </w:r>
      <w:r w:rsidR="001B1B0F" w:rsidRPr="00EE6610">
        <w:rPr>
          <w:rFonts w:ascii="Times New Roman" w:hAnsi="Times New Roman"/>
          <w:szCs w:val="24"/>
          <w:lang w:val="en"/>
        </w:rPr>
        <w:t xml:space="preserve">  </w:t>
      </w:r>
      <w:r w:rsidR="001B1B0F" w:rsidRPr="00EE6610">
        <w:rPr>
          <w:rFonts w:ascii="Times New Roman" w:hAnsi="Times New Roman"/>
          <w:i/>
          <w:iCs/>
          <w:szCs w:val="24"/>
          <w:lang w:val="en"/>
        </w:rPr>
        <w:t xml:space="preserve">See </w:t>
      </w:r>
      <w:r w:rsidR="001B1B0F" w:rsidRPr="007766A0">
        <w:rPr>
          <w:rFonts w:ascii="Times New Roman" w:hAnsi="Times New Roman"/>
          <w:b/>
          <w:bCs/>
          <w:szCs w:val="24"/>
          <w:lang w:val="en"/>
        </w:rPr>
        <w:t>Exhibit C-</w:t>
      </w:r>
      <w:r w:rsidR="006579F7">
        <w:rPr>
          <w:rFonts w:ascii="Times New Roman" w:hAnsi="Times New Roman"/>
          <w:b/>
          <w:bCs/>
          <w:szCs w:val="24"/>
          <w:lang w:val="en"/>
        </w:rPr>
        <w:t>6</w:t>
      </w:r>
      <w:r w:rsidR="001B1B0F" w:rsidRPr="00EE6610">
        <w:rPr>
          <w:rFonts w:ascii="Times New Roman" w:hAnsi="Times New Roman"/>
          <w:szCs w:val="24"/>
          <w:lang w:val="en"/>
        </w:rPr>
        <w:t>.</w:t>
      </w:r>
    </w:p>
    <w:p w14:paraId="2263EBBF" w14:textId="0D050A57" w:rsidR="00D342BE" w:rsidRPr="00247897" w:rsidRDefault="00D342BE" w:rsidP="007F716E">
      <w:pPr>
        <w:kinsoku w:val="0"/>
        <w:spacing w:line="360" w:lineRule="auto"/>
        <w:ind w:left="720"/>
        <w:rPr>
          <w:rFonts w:ascii="Times New Roman" w:hAnsi="Times New Roman"/>
          <w:szCs w:val="24"/>
          <w:lang w:val="en"/>
        </w:rPr>
      </w:pPr>
    </w:p>
    <w:p w14:paraId="13C19D37" w14:textId="4B7C14EC" w:rsidR="00A24ECE" w:rsidRDefault="003A69AA" w:rsidP="007F716E">
      <w:pPr>
        <w:kinsoku w:val="0"/>
        <w:spacing w:line="360" w:lineRule="auto"/>
        <w:ind w:left="720"/>
        <w:rPr>
          <w:rFonts w:ascii="Times New Roman" w:hAnsi="Times New Roman"/>
          <w:szCs w:val="24"/>
          <w:lang w:val="en"/>
        </w:rPr>
      </w:pPr>
      <w:r w:rsidRPr="00247897">
        <w:rPr>
          <w:rFonts w:ascii="Times New Roman" w:hAnsi="Times New Roman"/>
          <w:szCs w:val="24"/>
          <w:lang w:val="en"/>
        </w:rPr>
        <w:t>The ensuing judicial review at district court yielded a summary judgement in favor of the Secretary on grounds that its calculation of the 2015 wage index was consistent with the statute, supported by substantial evidence, and reasonable. The district court further determined that nothing in the statute or the Secretary's regulations allowed the Hospitals to challenge another provider's (Hendrick's) wage index data outside of the Secretary's established wage data correction process.</w:t>
      </w:r>
    </w:p>
    <w:p w14:paraId="6794D22C" w14:textId="77777777" w:rsidR="00F20CE2" w:rsidRDefault="00F20CE2" w:rsidP="007F716E">
      <w:pPr>
        <w:kinsoku w:val="0"/>
        <w:spacing w:line="360" w:lineRule="auto"/>
        <w:ind w:left="720"/>
        <w:rPr>
          <w:rFonts w:ascii="Times New Roman" w:hAnsi="Times New Roman"/>
          <w:szCs w:val="24"/>
          <w:lang w:val="en"/>
        </w:rPr>
      </w:pPr>
    </w:p>
    <w:p w14:paraId="350A9CDC" w14:textId="110A8344" w:rsidR="00F20CE2" w:rsidRPr="004858D5" w:rsidRDefault="00F20CE2" w:rsidP="000F40A2">
      <w:pPr>
        <w:ind w:left="720"/>
        <w:rPr>
          <w:rFonts w:ascii="Times New Roman" w:hAnsi="Times New Roman"/>
          <w:sz w:val="22"/>
        </w:rPr>
      </w:pPr>
      <w:r w:rsidRPr="004858D5">
        <w:rPr>
          <w:rFonts w:ascii="Times New Roman" w:hAnsi="Times New Roman"/>
        </w:rPr>
        <w:t xml:space="preserve">In the factual discussion, the MAC has </w:t>
      </w:r>
      <w:r w:rsidR="004858D5" w:rsidRPr="004858D5">
        <w:rPr>
          <w:rFonts w:ascii="Times New Roman" w:hAnsi="Times New Roman"/>
        </w:rPr>
        <w:t xml:space="preserve">presented </w:t>
      </w:r>
      <w:r w:rsidRPr="004858D5">
        <w:rPr>
          <w:rFonts w:ascii="Times New Roman" w:hAnsi="Times New Roman"/>
        </w:rPr>
        <w:t xml:space="preserve">to the </w:t>
      </w:r>
      <w:r w:rsidR="00803837" w:rsidRPr="004858D5">
        <w:rPr>
          <w:rFonts w:ascii="Times New Roman" w:hAnsi="Times New Roman"/>
        </w:rPr>
        <w:t>Board</w:t>
      </w:r>
      <w:r w:rsidRPr="004858D5">
        <w:rPr>
          <w:rFonts w:ascii="Times New Roman" w:hAnsi="Times New Roman"/>
        </w:rPr>
        <w:t xml:space="preserve"> the nature of the Provider whose wages were found to be aberrant and removed from establishing the Tulsa area wage index for the four FFYs under Appeal. The arithmetic aberrant is obvious irrespective of whether the Provider is referred to as Cancer Hospital of America - Tulsa or Southwestern. The data demonstrates on an objective basis that the exclusion was appropriate.</w:t>
      </w:r>
    </w:p>
    <w:p w14:paraId="73306BA0" w14:textId="77777777" w:rsidR="00F20CE2" w:rsidRPr="00080AF8" w:rsidRDefault="00F20CE2" w:rsidP="00F20CE2">
      <w:pPr>
        <w:rPr>
          <w:rFonts w:ascii="Times New Roman" w:hAnsi="Times New Roman"/>
          <w:highlight w:val="yellow"/>
        </w:rPr>
      </w:pPr>
    </w:p>
    <w:p w14:paraId="5FCC9058" w14:textId="45CA6A97" w:rsidR="00062D16" w:rsidRPr="00247897" w:rsidRDefault="00062D16" w:rsidP="007F716E">
      <w:pPr>
        <w:kinsoku w:val="0"/>
        <w:spacing w:line="360" w:lineRule="auto"/>
        <w:ind w:left="720"/>
        <w:rPr>
          <w:rFonts w:ascii="Times New Roman" w:hAnsi="Times New Roman"/>
          <w:szCs w:val="24"/>
          <w:lang w:val="en"/>
        </w:rPr>
      </w:pPr>
    </w:p>
    <w:p w14:paraId="01680EE8" w14:textId="040AE95C" w:rsidR="00062D16" w:rsidRPr="00247897" w:rsidRDefault="00062D16" w:rsidP="007F716E">
      <w:pPr>
        <w:kinsoku w:val="0"/>
        <w:spacing w:line="360" w:lineRule="auto"/>
        <w:ind w:left="720"/>
        <w:rPr>
          <w:rFonts w:ascii="Times New Roman" w:hAnsi="Times New Roman"/>
          <w:szCs w:val="24"/>
          <w:lang w:val="en"/>
        </w:rPr>
      </w:pPr>
      <w:r w:rsidRPr="00247897">
        <w:rPr>
          <w:rFonts w:ascii="Times New Roman" w:hAnsi="Times New Roman"/>
          <w:szCs w:val="24"/>
          <w:lang w:val="en"/>
        </w:rPr>
        <w:t xml:space="preserve">Finally, in the case </w:t>
      </w:r>
      <w:r w:rsidRPr="00247897">
        <w:rPr>
          <w:rFonts w:ascii="Times New Roman" w:hAnsi="Times New Roman"/>
          <w:i/>
          <w:iCs/>
          <w:szCs w:val="24"/>
          <w:lang w:val="en"/>
        </w:rPr>
        <w:t xml:space="preserve">Anson General </w:t>
      </w:r>
      <w:proofErr w:type="gramStart"/>
      <w:r w:rsidRPr="00247897">
        <w:rPr>
          <w:rFonts w:ascii="Times New Roman" w:hAnsi="Times New Roman"/>
          <w:i/>
          <w:iCs/>
          <w:szCs w:val="24"/>
          <w:lang w:val="en"/>
        </w:rPr>
        <w:t>Hospital;</w:t>
      </w:r>
      <w:proofErr w:type="gramEnd"/>
      <w:r w:rsidRPr="00247897">
        <w:rPr>
          <w:rFonts w:ascii="Times New Roman" w:hAnsi="Times New Roman"/>
          <w:i/>
          <w:iCs/>
          <w:szCs w:val="24"/>
          <w:lang w:val="en"/>
        </w:rPr>
        <w:t xml:space="preserve"> Continue Care Hospital at Hendrick Medical Center; Stamford Memorial Hospital; Southern Oaks Healthcare, Incorporated, doing business as Wisteria Place v. Azar</w:t>
      </w:r>
      <w:r w:rsidR="001B1B0F" w:rsidRPr="00247897">
        <w:rPr>
          <w:rStyle w:val="FootnoteReference"/>
          <w:rFonts w:ascii="Times New Roman" w:hAnsi="Times New Roman"/>
          <w:szCs w:val="24"/>
          <w:lang w:val="en"/>
        </w:rPr>
        <w:footnoteReference w:id="3"/>
      </w:r>
      <w:r w:rsidR="001B1B0F" w:rsidRPr="00247897">
        <w:rPr>
          <w:rFonts w:ascii="Times New Roman" w:hAnsi="Times New Roman"/>
          <w:i/>
          <w:iCs/>
          <w:szCs w:val="24"/>
          <w:lang w:val="en"/>
        </w:rPr>
        <w:t>,</w:t>
      </w:r>
      <w:r w:rsidRPr="00247897">
        <w:rPr>
          <w:rFonts w:ascii="Times New Roman" w:hAnsi="Times New Roman"/>
          <w:szCs w:val="24"/>
          <w:lang w:val="en"/>
        </w:rPr>
        <w:t xml:space="preserve"> the Fifth Circuit Court of Appeals found:</w:t>
      </w:r>
    </w:p>
    <w:p w14:paraId="3BA821E3" w14:textId="3C28E7D1" w:rsidR="00062D16" w:rsidRPr="00247897" w:rsidRDefault="00062D16" w:rsidP="007F716E">
      <w:pPr>
        <w:kinsoku w:val="0"/>
        <w:spacing w:line="360" w:lineRule="auto"/>
        <w:ind w:left="720"/>
        <w:rPr>
          <w:rFonts w:ascii="Times New Roman" w:hAnsi="Times New Roman"/>
          <w:szCs w:val="24"/>
          <w:lang w:val="en"/>
        </w:rPr>
      </w:pPr>
    </w:p>
    <w:p w14:paraId="08521B6A" w14:textId="44285447" w:rsidR="00062D16" w:rsidRPr="00247897" w:rsidRDefault="00062D16" w:rsidP="00115125">
      <w:pPr>
        <w:kinsoku w:val="0"/>
        <w:ind w:left="1440" w:right="720"/>
        <w:rPr>
          <w:rFonts w:ascii="Times New Roman" w:hAnsi="Times New Roman"/>
          <w:szCs w:val="24"/>
          <w:lang w:val="en"/>
        </w:rPr>
      </w:pPr>
      <w:r w:rsidRPr="00247897">
        <w:rPr>
          <w:rFonts w:ascii="Times New Roman" w:hAnsi="Times New Roman"/>
          <w:szCs w:val="24"/>
          <w:lang w:val="en"/>
        </w:rPr>
        <w:t xml:space="preserve">Although it is indisputable that the Hospitals were adversely affected by the negligence of Hendrick, the statute simply does not provide relief in this context. The D.C. Circuit Court explained the parameters of the statute in </w:t>
      </w:r>
      <w:r w:rsidRPr="00247897">
        <w:rPr>
          <w:rFonts w:ascii="Times New Roman" w:hAnsi="Times New Roman"/>
          <w:i/>
          <w:iCs/>
          <w:szCs w:val="24"/>
          <w:lang w:val="en"/>
        </w:rPr>
        <w:t>Anna Jacques Hospital v. Burwell</w:t>
      </w:r>
      <w:r w:rsidRPr="00247897">
        <w:rPr>
          <w:rFonts w:ascii="Times New Roman" w:hAnsi="Times New Roman"/>
          <w:szCs w:val="24"/>
          <w:lang w:val="en"/>
        </w:rPr>
        <w:t>:</w:t>
      </w:r>
    </w:p>
    <w:p w14:paraId="5A360826" w14:textId="77777777" w:rsidR="00062D16" w:rsidRPr="00247897" w:rsidRDefault="00062D16" w:rsidP="00115125">
      <w:pPr>
        <w:kinsoku w:val="0"/>
        <w:ind w:left="1440" w:right="720"/>
        <w:rPr>
          <w:rFonts w:ascii="Times New Roman" w:hAnsi="Times New Roman"/>
          <w:szCs w:val="24"/>
          <w:lang w:val="en"/>
        </w:rPr>
      </w:pPr>
    </w:p>
    <w:p w14:paraId="5817091F" w14:textId="1C9848F6" w:rsidR="00062D16" w:rsidRPr="00247897" w:rsidRDefault="00062D16" w:rsidP="00115125">
      <w:pPr>
        <w:kinsoku w:val="0"/>
        <w:ind w:left="2160" w:right="720"/>
        <w:rPr>
          <w:rFonts w:ascii="Times New Roman" w:hAnsi="Times New Roman"/>
          <w:szCs w:val="24"/>
          <w:lang w:val="en"/>
        </w:rPr>
      </w:pPr>
      <w:r w:rsidRPr="00247897">
        <w:rPr>
          <w:rFonts w:ascii="Times New Roman" w:hAnsi="Times New Roman"/>
          <w:i/>
          <w:iCs/>
          <w:szCs w:val="24"/>
          <w:lang w:val="en"/>
        </w:rPr>
        <w:t>The text of the Medicare Act largely leaves the process of defining geographic boundaries and computing the wage index to the Secretary's reasoned judgment.</w:t>
      </w:r>
      <w:r w:rsidRPr="00247897">
        <w:rPr>
          <w:rFonts w:ascii="Times New Roman" w:hAnsi="Times New Roman"/>
          <w:szCs w:val="24"/>
          <w:lang w:val="en"/>
        </w:rPr>
        <w:t xml:space="preserve"> The Act requires the Secretary to adjust the standard prospective payment rate by "a factor (established by the Secretary)" that "reflect[s]" the relative wage level "in the geographic area of the hospital compared to the national average hospital wage level." 42 U.S.C. § </w:t>
      </w:r>
      <w:r w:rsidRPr="00247897">
        <w:rPr>
          <w:rFonts w:ascii="Times New Roman" w:hAnsi="Times New Roman"/>
          <w:szCs w:val="24"/>
          <w:lang w:val="en"/>
        </w:rPr>
        <w:lastRenderedPageBreak/>
        <w:t>1395ww(d)(3)(E)(</w:t>
      </w:r>
      <w:proofErr w:type="spellStart"/>
      <w:r w:rsidRPr="00247897">
        <w:rPr>
          <w:rFonts w:ascii="Times New Roman" w:hAnsi="Times New Roman"/>
          <w:szCs w:val="24"/>
          <w:lang w:val="en"/>
        </w:rPr>
        <w:t>i</w:t>
      </w:r>
      <w:proofErr w:type="spellEnd"/>
      <w:r w:rsidRPr="00247897">
        <w:rPr>
          <w:rFonts w:ascii="Times New Roman" w:hAnsi="Times New Roman"/>
          <w:szCs w:val="24"/>
          <w:lang w:val="en"/>
        </w:rPr>
        <w:t>). The statute provides some general guidance as to how the Secretary must calculate the wage "factor," by requiring that the wage index be updated at least annually "on the basis of a survey conducted by the Secretary (and updated as appropriate) of the wages and wage-related costs of [participating] hospitals in the United States." Id. In addition, any adjustment "shall be made in a manner that assures that the aggregate payments * * are not greater or less than those that would have been made in the year without the adjustment." Id.</w:t>
      </w:r>
    </w:p>
    <w:p w14:paraId="7843A1C9" w14:textId="55A28D03" w:rsidR="00062D16" w:rsidRPr="00247897" w:rsidRDefault="00062D16" w:rsidP="00115125">
      <w:pPr>
        <w:kinsoku w:val="0"/>
        <w:ind w:left="2160" w:right="720"/>
        <w:rPr>
          <w:rFonts w:ascii="Times New Roman" w:hAnsi="Times New Roman"/>
          <w:szCs w:val="24"/>
          <w:lang w:val="en"/>
        </w:rPr>
      </w:pPr>
    </w:p>
    <w:p w14:paraId="23CB3A76" w14:textId="2E2E5000" w:rsidR="00062D16" w:rsidRPr="00247897" w:rsidRDefault="00062D16" w:rsidP="00115125">
      <w:pPr>
        <w:kinsoku w:val="0"/>
        <w:ind w:left="2160" w:right="720"/>
        <w:rPr>
          <w:rFonts w:ascii="Times New Roman" w:hAnsi="Times New Roman"/>
          <w:i/>
          <w:iCs/>
          <w:szCs w:val="24"/>
          <w:lang w:val="en"/>
        </w:rPr>
      </w:pPr>
      <w:r w:rsidRPr="00247897">
        <w:rPr>
          <w:rFonts w:ascii="Times New Roman" w:hAnsi="Times New Roman"/>
          <w:i/>
          <w:iCs/>
          <w:szCs w:val="24"/>
          <w:lang w:val="en"/>
        </w:rPr>
        <w:t xml:space="preserve">That </w:t>
      </w:r>
      <w:proofErr w:type="gramStart"/>
      <w:r w:rsidRPr="00247897">
        <w:rPr>
          <w:rFonts w:ascii="Times New Roman" w:hAnsi="Times New Roman"/>
          <w:i/>
          <w:iCs/>
          <w:szCs w:val="24"/>
          <w:lang w:val="en"/>
        </w:rPr>
        <w:t>is</w:t>
      </w:r>
      <w:proofErr w:type="gramEnd"/>
      <w:r w:rsidRPr="00247897">
        <w:rPr>
          <w:rFonts w:ascii="Times New Roman" w:hAnsi="Times New Roman"/>
          <w:i/>
          <w:iCs/>
          <w:szCs w:val="24"/>
          <w:lang w:val="en"/>
        </w:rPr>
        <w:t xml:space="preserve"> it. On all other aspects of the wage-index calculation, </w:t>
      </w:r>
    </w:p>
    <w:p w14:paraId="468E75B1" w14:textId="723B75CE" w:rsidR="00062D16" w:rsidRPr="00247897" w:rsidRDefault="00062D16" w:rsidP="00115125">
      <w:pPr>
        <w:kinsoku w:val="0"/>
        <w:ind w:left="2160" w:right="720"/>
        <w:rPr>
          <w:rFonts w:ascii="Times New Roman" w:hAnsi="Times New Roman"/>
          <w:i/>
          <w:iCs/>
          <w:szCs w:val="24"/>
          <w:lang w:val="en"/>
        </w:rPr>
      </w:pPr>
      <w:proofErr w:type="gramStart"/>
      <w:r w:rsidRPr="00247897">
        <w:rPr>
          <w:rFonts w:ascii="Times New Roman" w:hAnsi="Times New Roman"/>
          <w:i/>
          <w:iCs/>
          <w:szCs w:val="24"/>
          <w:lang w:val="en"/>
        </w:rPr>
        <w:t>the</w:t>
      </w:r>
      <w:proofErr w:type="gramEnd"/>
      <w:r w:rsidRPr="00247897">
        <w:rPr>
          <w:rFonts w:ascii="Times New Roman" w:hAnsi="Times New Roman"/>
          <w:i/>
          <w:iCs/>
          <w:szCs w:val="24"/>
          <w:lang w:val="en"/>
        </w:rPr>
        <w:t xml:space="preserve"> statute is silent</w:t>
      </w:r>
      <w:r w:rsidR="00B713F8" w:rsidRPr="00247897">
        <w:rPr>
          <w:rFonts w:ascii="Times New Roman" w:hAnsi="Times New Roman"/>
          <w:i/>
          <w:iCs/>
          <w:szCs w:val="24"/>
          <w:lang w:val="en"/>
        </w:rPr>
        <w:t>.</w:t>
      </w:r>
      <w:r w:rsidRPr="00247897">
        <w:rPr>
          <w:rFonts w:ascii="Times New Roman" w:hAnsi="Times New Roman"/>
          <w:i/>
          <w:iCs/>
          <w:szCs w:val="24"/>
          <w:lang w:val="en"/>
        </w:rPr>
        <w:t xml:space="preserve"> The statute "merely requires the Secretary to develop a mechanism to remove the effects of local wage differences': it "does not specify how the Secretary should construct the index" and, in fact, "Congress through its silence delegated these decisions to the Secretary." [Methodist Hosp. of Sacramento v. Shalala, </w:t>
      </w:r>
      <w:r w:rsidRPr="00247897">
        <w:rPr>
          <w:rFonts w:ascii="Times New Roman" w:hAnsi="Times New Roman"/>
          <w:szCs w:val="24"/>
          <w:lang w:val="en"/>
        </w:rPr>
        <w:t>38 F.3d 1225, 1230 (D.C. Cir. 1994).]</w:t>
      </w:r>
    </w:p>
    <w:p w14:paraId="1B6DEB87" w14:textId="6BDDC44D" w:rsidR="009B15EF" w:rsidRPr="00247897" w:rsidRDefault="00062D16" w:rsidP="00115125">
      <w:pPr>
        <w:kinsoku w:val="0"/>
        <w:ind w:left="2160" w:right="720"/>
        <w:rPr>
          <w:rFonts w:ascii="Times New Roman" w:hAnsi="Times New Roman"/>
          <w:szCs w:val="24"/>
          <w:lang w:val="en"/>
        </w:rPr>
      </w:pPr>
      <w:r w:rsidRPr="00247897">
        <w:rPr>
          <w:rFonts w:ascii="Times New Roman" w:hAnsi="Times New Roman"/>
          <w:szCs w:val="24"/>
          <w:lang w:val="en"/>
        </w:rPr>
        <w:t xml:space="preserve">797 F.3d at 1164 (emphasis </w:t>
      </w:r>
      <w:r w:rsidR="00115125" w:rsidRPr="00247897">
        <w:rPr>
          <w:rFonts w:ascii="Times New Roman" w:hAnsi="Times New Roman"/>
          <w:szCs w:val="24"/>
          <w:lang w:val="en"/>
        </w:rPr>
        <w:t>in original</w:t>
      </w:r>
      <w:r w:rsidRPr="00247897">
        <w:rPr>
          <w:rFonts w:ascii="Times New Roman" w:hAnsi="Times New Roman"/>
          <w:szCs w:val="24"/>
          <w:lang w:val="en"/>
        </w:rPr>
        <w:t xml:space="preserve">). </w:t>
      </w:r>
    </w:p>
    <w:p w14:paraId="5EF85052" w14:textId="77777777" w:rsidR="009B15EF" w:rsidRPr="00247897" w:rsidRDefault="009B15EF" w:rsidP="00115125">
      <w:pPr>
        <w:kinsoku w:val="0"/>
        <w:ind w:left="2160" w:right="720"/>
        <w:rPr>
          <w:rFonts w:ascii="Times New Roman" w:hAnsi="Times New Roman"/>
          <w:szCs w:val="24"/>
          <w:lang w:val="en"/>
        </w:rPr>
      </w:pPr>
    </w:p>
    <w:p w14:paraId="0B4FFC59" w14:textId="02FD18BB" w:rsidR="00062D16" w:rsidRPr="00247897" w:rsidRDefault="00062D16" w:rsidP="00115125">
      <w:pPr>
        <w:kinsoku w:val="0"/>
        <w:ind w:left="1440" w:right="720"/>
        <w:rPr>
          <w:rFonts w:ascii="Times New Roman" w:hAnsi="Times New Roman"/>
          <w:szCs w:val="24"/>
          <w:lang w:val="en"/>
        </w:rPr>
      </w:pPr>
      <w:r w:rsidRPr="00247897">
        <w:rPr>
          <w:rFonts w:ascii="Times New Roman" w:hAnsi="Times New Roman"/>
          <w:szCs w:val="24"/>
          <w:lang w:val="en"/>
        </w:rPr>
        <w:t xml:space="preserve">In other words, </w:t>
      </w:r>
      <w:r w:rsidRPr="00247897">
        <w:rPr>
          <w:rFonts w:ascii="Times New Roman" w:hAnsi="Times New Roman"/>
          <w:b/>
          <w:bCs/>
          <w:szCs w:val="24"/>
          <w:lang w:val="en"/>
        </w:rPr>
        <w:t>there is no statutory support for the notion that one healthcare provider can challenge another healthcare provider's wage index data outside of the established wage data correction process.</w:t>
      </w:r>
      <w:r w:rsidR="00115125" w:rsidRPr="00247897">
        <w:rPr>
          <w:rFonts w:ascii="Times New Roman" w:hAnsi="Times New Roman"/>
          <w:b/>
          <w:bCs/>
          <w:szCs w:val="24"/>
          <w:lang w:val="en"/>
        </w:rPr>
        <w:t xml:space="preserve"> </w:t>
      </w:r>
      <w:r w:rsidR="00115125" w:rsidRPr="00247897">
        <w:rPr>
          <w:rFonts w:ascii="Times New Roman" w:hAnsi="Times New Roman"/>
          <w:szCs w:val="24"/>
          <w:lang w:val="en"/>
        </w:rPr>
        <w:t>(Emphasis added)</w:t>
      </w:r>
    </w:p>
    <w:p w14:paraId="157276B3" w14:textId="77777777" w:rsidR="009B15EF" w:rsidRPr="00247897" w:rsidRDefault="009B15EF" w:rsidP="009B15EF">
      <w:pPr>
        <w:kinsoku w:val="0"/>
        <w:spacing w:line="360" w:lineRule="auto"/>
        <w:ind w:left="1440" w:right="720"/>
        <w:rPr>
          <w:rFonts w:ascii="Times New Roman" w:hAnsi="Times New Roman"/>
          <w:szCs w:val="24"/>
          <w:lang w:val="en"/>
        </w:rPr>
      </w:pPr>
    </w:p>
    <w:p w14:paraId="580882A2" w14:textId="28D3BABD" w:rsidR="00062D16" w:rsidRPr="00247897" w:rsidRDefault="009B15EF" w:rsidP="00062D16">
      <w:pPr>
        <w:kinsoku w:val="0"/>
        <w:spacing w:line="360" w:lineRule="auto"/>
        <w:ind w:left="720"/>
        <w:rPr>
          <w:rFonts w:ascii="Times New Roman" w:hAnsi="Times New Roman"/>
          <w:szCs w:val="24"/>
          <w:lang w:val="en"/>
        </w:rPr>
      </w:pPr>
      <w:r w:rsidRPr="00247897">
        <w:rPr>
          <w:rFonts w:ascii="Times New Roman" w:hAnsi="Times New Roman"/>
          <w:szCs w:val="24"/>
          <w:lang w:val="en"/>
        </w:rPr>
        <w:t>Exemplified in th</w:t>
      </w:r>
      <w:r w:rsidR="00757046" w:rsidRPr="00247897">
        <w:rPr>
          <w:rFonts w:ascii="Times New Roman" w:hAnsi="Times New Roman"/>
          <w:szCs w:val="24"/>
          <w:lang w:val="en"/>
        </w:rPr>
        <w:t>e</w:t>
      </w:r>
      <w:r w:rsidRPr="00247897">
        <w:rPr>
          <w:rFonts w:ascii="Times New Roman" w:hAnsi="Times New Roman"/>
          <w:szCs w:val="24"/>
          <w:lang w:val="en"/>
        </w:rPr>
        <w:t xml:space="preserve"> progression </w:t>
      </w:r>
      <w:r w:rsidR="00757046" w:rsidRPr="00247897">
        <w:rPr>
          <w:rFonts w:ascii="Times New Roman" w:hAnsi="Times New Roman"/>
          <w:szCs w:val="24"/>
          <w:lang w:val="en"/>
        </w:rPr>
        <w:t xml:space="preserve">of the Abilene </w:t>
      </w:r>
      <w:r w:rsidR="00FF57BA" w:rsidRPr="00247897">
        <w:rPr>
          <w:rFonts w:ascii="Times New Roman" w:hAnsi="Times New Roman"/>
          <w:szCs w:val="24"/>
          <w:lang w:val="en"/>
        </w:rPr>
        <w:t xml:space="preserve">CBSA </w:t>
      </w:r>
      <w:r w:rsidR="00757046" w:rsidRPr="00247897">
        <w:rPr>
          <w:rFonts w:ascii="Times New Roman" w:hAnsi="Times New Roman"/>
          <w:szCs w:val="24"/>
          <w:lang w:val="en"/>
        </w:rPr>
        <w:t xml:space="preserve">cases, </w:t>
      </w:r>
      <w:r w:rsidRPr="00247897">
        <w:rPr>
          <w:rFonts w:ascii="Times New Roman" w:hAnsi="Times New Roman"/>
          <w:szCs w:val="24"/>
          <w:lang w:val="en"/>
        </w:rPr>
        <w:t>from administrative review through judicial review to circuit court</w:t>
      </w:r>
      <w:r w:rsidR="0006514C" w:rsidRPr="00247897">
        <w:rPr>
          <w:rFonts w:ascii="Times New Roman" w:hAnsi="Times New Roman"/>
          <w:szCs w:val="24"/>
          <w:lang w:val="en"/>
        </w:rPr>
        <w:t xml:space="preserve"> decision</w:t>
      </w:r>
      <w:r w:rsidR="00757046" w:rsidRPr="00247897">
        <w:rPr>
          <w:rFonts w:ascii="Times New Roman" w:hAnsi="Times New Roman"/>
          <w:szCs w:val="24"/>
          <w:lang w:val="en"/>
        </w:rPr>
        <w:t>,</w:t>
      </w:r>
      <w:r w:rsidRPr="00247897">
        <w:rPr>
          <w:rFonts w:ascii="Times New Roman" w:hAnsi="Times New Roman"/>
          <w:szCs w:val="24"/>
          <w:lang w:val="en"/>
        </w:rPr>
        <w:t xml:space="preserve"> is that the</w:t>
      </w:r>
      <w:r w:rsidR="00FF57BA" w:rsidRPr="00247897">
        <w:rPr>
          <w:rFonts w:ascii="Times New Roman" w:hAnsi="Times New Roman"/>
          <w:szCs w:val="24"/>
          <w:lang w:val="en"/>
        </w:rPr>
        <w:t xml:space="preserve"> foundation </w:t>
      </w:r>
      <w:r w:rsidRPr="00247897">
        <w:rPr>
          <w:rFonts w:ascii="Times New Roman" w:hAnsi="Times New Roman"/>
          <w:szCs w:val="24"/>
          <w:lang w:val="en"/>
        </w:rPr>
        <w:t>of the Providers’ appeal</w:t>
      </w:r>
      <w:r w:rsidR="00FF57BA" w:rsidRPr="00247897">
        <w:rPr>
          <w:rFonts w:ascii="Times New Roman" w:hAnsi="Times New Roman"/>
          <w:szCs w:val="24"/>
          <w:lang w:val="en"/>
        </w:rPr>
        <w:t xml:space="preserve">, namely, a provider challenging </w:t>
      </w:r>
      <w:r w:rsidR="00C7492D" w:rsidRPr="00247897">
        <w:rPr>
          <w:rFonts w:ascii="Times New Roman" w:hAnsi="Times New Roman"/>
          <w:szCs w:val="24"/>
          <w:lang w:val="en"/>
        </w:rPr>
        <w:t xml:space="preserve">another provider’s </w:t>
      </w:r>
      <w:r w:rsidR="00FF57BA" w:rsidRPr="00247897">
        <w:rPr>
          <w:rFonts w:ascii="Times New Roman" w:hAnsi="Times New Roman"/>
          <w:szCs w:val="24"/>
          <w:lang w:val="en"/>
        </w:rPr>
        <w:t xml:space="preserve">wage index data outside of the established wage data correction process, </w:t>
      </w:r>
      <w:r w:rsidRPr="00247897">
        <w:rPr>
          <w:rFonts w:ascii="Times New Roman" w:hAnsi="Times New Roman"/>
          <w:szCs w:val="24"/>
          <w:lang w:val="en"/>
        </w:rPr>
        <w:t xml:space="preserve">is </w:t>
      </w:r>
      <w:r w:rsidR="00757046" w:rsidRPr="00247897">
        <w:rPr>
          <w:rFonts w:ascii="Times New Roman" w:hAnsi="Times New Roman"/>
          <w:szCs w:val="24"/>
          <w:lang w:val="en"/>
        </w:rPr>
        <w:t>unsupported by statute</w:t>
      </w:r>
      <w:r w:rsidR="008C0A67" w:rsidRPr="00247897">
        <w:rPr>
          <w:rFonts w:ascii="Times New Roman" w:hAnsi="Times New Roman"/>
          <w:szCs w:val="24"/>
          <w:lang w:val="en"/>
        </w:rPr>
        <w:t>.</w:t>
      </w:r>
    </w:p>
    <w:p w14:paraId="73C717BA" w14:textId="37E62D36" w:rsidR="0006514C" w:rsidRPr="00F4789E" w:rsidRDefault="0006514C" w:rsidP="00062D16">
      <w:pPr>
        <w:kinsoku w:val="0"/>
        <w:spacing w:line="360" w:lineRule="auto"/>
        <w:ind w:left="720"/>
        <w:rPr>
          <w:rFonts w:ascii="Times New Roman" w:hAnsi="Times New Roman"/>
          <w:szCs w:val="24"/>
          <w:lang w:val="en"/>
        </w:rPr>
      </w:pPr>
    </w:p>
    <w:p w14:paraId="1461472A" w14:textId="2C6BD878" w:rsidR="0006514C" w:rsidRPr="00247897" w:rsidRDefault="0006514C" w:rsidP="00062D16">
      <w:pPr>
        <w:kinsoku w:val="0"/>
        <w:spacing w:line="360" w:lineRule="auto"/>
        <w:ind w:left="720"/>
        <w:rPr>
          <w:rFonts w:ascii="Times New Roman" w:hAnsi="Times New Roman"/>
          <w:szCs w:val="24"/>
          <w:lang w:val="en"/>
        </w:rPr>
      </w:pPr>
      <w:r w:rsidRPr="00F4789E">
        <w:rPr>
          <w:rFonts w:ascii="Times New Roman" w:hAnsi="Times New Roman"/>
          <w:szCs w:val="24"/>
          <w:lang w:val="en"/>
        </w:rPr>
        <w:t>The MAC also notes, in a departure from the Abilene CBSA cases, the excluded provider (</w:t>
      </w:r>
      <w:r w:rsidR="00242854" w:rsidRPr="00F4789E">
        <w:rPr>
          <w:rFonts w:ascii="Times New Roman" w:hAnsi="Times New Roman"/>
          <w:szCs w:val="24"/>
          <w:lang w:val="en"/>
        </w:rPr>
        <w:t xml:space="preserve">Southwestern Regional Medical Center, aka Cancer Treatment Center, Provider No. 37-0190), which is also serviced by the present MAC, </w:t>
      </w:r>
      <w:r w:rsidR="00115125" w:rsidRPr="00F4789E">
        <w:rPr>
          <w:rFonts w:ascii="Times New Roman" w:hAnsi="Times New Roman"/>
          <w:szCs w:val="24"/>
          <w:lang w:val="en"/>
        </w:rPr>
        <w:t xml:space="preserve">has not appealed its exclusion from the wage index calculation for CBSA 46140 for </w:t>
      </w:r>
      <w:r w:rsidR="00115125" w:rsidRPr="00F4789E">
        <w:rPr>
          <w:rFonts w:ascii="Times New Roman" w:hAnsi="Times New Roman"/>
          <w:szCs w:val="24"/>
          <w:u w:val="single"/>
          <w:lang w:val="en"/>
        </w:rPr>
        <w:t>any</w:t>
      </w:r>
      <w:r w:rsidR="00115125" w:rsidRPr="00F4789E">
        <w:rPr>
          <w:rFonts w:ascii="Times New Roman" w:hAnsi="Times New Roman"/>
          <w:szCs w:val="24"/>
          <w:lang w:val="en"/>
        </w:rPr>
        <w:t xml:space="preserve"> federal fiscal year end</w:t>
      </w:r>
      <w:r w:rsidR="00FF57BA" w:rsidRPr="00F4789E">
        <w:rPr>
          <w:rFonts w:ascii="Times New Roman" w:hAnsi="Times New Roman"/>
          <w:szCs w:val="24"/>
          <w:lang w:val="en"/>
        </w:rPr>
        <w:t>,</w:t>
      </w:r>
      <w:r w:rsidR="00115125" w:rsidRPr="00F4789E">
        <w:rPr>
          <w:rFonts w:ascii="Times New Roman" w:hAnsi="Times New Roman"/>
          <w:szCs w:val="24"/>
          <w:lang w:val="en"/>
        </w:rPr>
        <w:t xml:space="preserve"> including the one at issue here.</w:t>
      </w:r>
      <w:r w:rsidR="00950BE4" w:rsidRPr="00F4789E">
        <w:rPr>
          <w:rFonts w:ascii="Times New Roman" w:hAnsi="Times New Roman"/>
          <w:szCs w:val="24"/>
          <w:lang w:val="en"/>
        </w:rPr>
        <w:t xml:space="preserve">  Additionally, </w:t>
      </w:r>
      <w:r w:rsidR="00C07608" w:rsidRPr="00F4789E">
        <w:rPr>
          <w:rFonts w:ascii="Times New Roman" w:hAnsi="Times New Roman"/>
          <w:szCs w:val="24"/>
          <w:lang w:val="en"/>
        </w:rPr>
        <w:t xml:space="preserve">the </w:t>
      </w:r>
      <w:r w:rsidR="001B1B0F" w:rsidRPr="00F4789E">
        <w:rPr>
          <w:rFonts w:ascii="Times New Roman" w:hAnsi="Times New Roman"/>
          <w:szCs w:val="24"/>
          <w:lang w:val="en"/>
        </w:rPr>
        <w:t>present group participants</w:t>
      </w:r>
      <w:r w:rsidR="00C07608" w:rsidRPr="00F4789E">
        <w:rPr>
          <w:rFonts w:ascii="Times New Roman" w:hAnsi="Times New Roman"/>
          <w:szCs w:val="24"/>
          <w:lang w:val="en"/>
        </w:rPr>
        <w:t xml:space="preserve"> off</w:t>
      </w:r>
      <w:r w:rsidR="001B1B0F" w:rsidRPr="00F4789E">
        <w:rPr>
          <w:rFonts w:ascii="Times New Roman" w:hAnsi="Times New Roman"/>
          <w:szCs w:val="24"/>
          <w:lang w:val="en"/>
        </w:rPr>
        <w:t>er</w:t>
      </w:r>
      <w:r w:rsidR="00C07608" w:rsidRPr="00F4789E">
        <w:rPr>
          <w:rFonts w:ascii="Times New Roman" w:hAnsi="Times New Roman"/>
          <w:szCs w:val="24"/>
          <w:lang w:val="en"/>
        </w:rPr>
        <w:t xml:space="preserve"> no evidence that</w:t>
      </w:r>
      <w:r w:rsidR="00757046" w:rsidRPr="00F4789E">
        <w:rPr>
          <w:rFonts w:ascii="Times New Roman" w:hAnsi="Times New Roman"/>
          <w:szCs w:val="24"/>
          <w:lang w:val="en"/>
        </w:rPr>
        <w:t xml:space="preserve"> either</w:t>
      </w:r>
      <w:r w:rsidR="00C07608" w:rsidRPr="00F4789E">
        <w:rPr>
          <w:rFonts w:ascii="Times New Roman" w:hAnsi="Times New Roman"/>
          <w:szCs w:val="24"/>
          <w:lang w:val="en"/>
        </w:rPr>
        <w:t xml:space="preserve"> </w:t>
      </w:r>
      <w:r w:rsidR="009C7C85" w:rsidRPr="00F4789E">
        <w:rPr>
          <w:rFonts w:ascii="Times New Roman" w:hAnsi="Times New Roman"/>
          <w:szCs w:val="24"/>
          <w:lang w:val="en"/>
        </w:rPr>
        <w:t xml:space="preserve">they or </w:t>
      </w:r>
      <w:r w:rsidR="00C07608" w:rsidRPr="00F4789E">
        <w:rPr>
          <w:rFonts w:ascii="Times New Roman" w:hAnsi="Times New Roman"/>
          <w:szCs w:val="24"/>
          <w:lang w:val="en"/>
        </w:rPr>
        <w:t>Southwest</w:t>
      </w:r>
      <w:r w:rsidR="00445623" w:rsidRPr="00F4789E">
        <w:rPr>
          <w:rFonts w:ascii="Times New Roman" w:hAnsi="Times New Roman"/>
          <w:szCs w:val="24"/>
          <w:lang w:val="en"/>
        </w:rPr>
        <w:t xml:space="preserve">ern Regional </w:t>
      </w:r>
      <w:r w:rsidR="00C07608" w:rsidRPr="00F4789E">
        <w:rPr>
          <w:rFonts w:ascii="Times New Roman" w:hAnsi="Times New Roman"/>
          <w:szCs w:val="24"/>
          <w:lang w:val="en"/>
        </w:rPr>
        <w:t>Medical Center</w:t>
      </w:r>
      <w:r w:rsidR="00445623" w:rsidRPr="00F4789E">
        <w:rPr>
          <w:rFonts w:ascii="Times New Roman" w:hAnsi="Times New Roman"/>
          <w:szCs w:val="24"/>
          <w:lang w:val="en"/>
        </w:rPr>
        <w:t xml:space="preserve"> (SRMC)</w:t>
      </w:r>
      <w:r w:rsidR="00C07608" w:rsidRPr="00F4789E">
        <w:rPr>
          <w:rFonts w:ascii="Times New Roman" w:hAnsi="Times New Roman"/>
          <w:szCs w:val="24"/>
          <w:lang w:val="en"/>
        </w:rPr>
        <w:t xml:space="preserve"> attempted </w:t>
      </w:r>
      <w:r w:rsidR="009C7C85" w:rsidRPr="00F4789E">
        <w:rPr>
          <w:rFonts w:ascii="Times New Roman" w:hAnsi="Times New Roman"/>
          <w:szCs w:val="24"/>
          <w:lang w:val="en"/>
        </w:rPr>
        <w:t xml:space="preserve">to </w:t>
      </w:r>
      <w:r w:rsidR="00C07608" w:rsidRPr="00F4789E">
        <w:rPr>
          <w:rFonts w:ascii="Times New Roman" w:hAnsi="Times New Roman"/>
          <w:szCs w:val="24"/>
          <w:lang w:val="en"/>
        </w:rPr>
        <w:t xml:space="preserve">utilize the </w:t>
      </w:r>
      <w:r w:rsidR="009C7C85" w:rsidRPr="00247897">
        <w:rPr>
          <w:rFonts w:ascii="Times New Roman" w:hAnsi="Times New Roman"/>
          <w:szCs w:val="24"/>
          <w:lang w:val="en"/>
        </w:rPr>
        <w:t xml:space="preserve">established </w:t>
      </w:r>
      <w:r w:rsidR="00C07608" w:rsidRPr="00247897">
        <w:rPr>
          <w:rFonts w:ascii="Times New Roman" w:hAnsi="Times New Roman"/>
          <w:szCs w:val="24"/>
          <w:lang w:val="en"/>
        </w:rPr>
        <w:t xml:space="preserve">wage index correction process, which, according to the Fifth Circuit, is the </w:t>
      </w:r>
      <w:r w:rsidR="001B1B0F" w:rsidRPr="00247897">
        <w:rPr>
          <w:rFonts w:ascii="Times New Roman" w:hAnsi="Times New Roman"/>
          <w:szCs w:val="24"/>
          <w:lang w:val="en"/>
        </w:rPr>
        <w:t>exclusive</w:t>
      </w:r>
      <w:r w:rsidR="009C7C85" w:rsidRPr="00247897">
        <w:rPr>
          <w:rFonts w:ascii="Times New Roman" w:hAnsi="Times New Roman"/>
          <w:szCs w:val="24"/>
          <w:lang w:val="en"/>
        </w:rPr>
        <w:t xml:space="preserve"> means to challenge another provider’s wage index data.</w:t>
      </w:r>
    </w:p>
    <w:p w14:paraId="10B35D7F" w14:textId="2F79FDF0" w:rsidR="009C7C85" w:rsidRPr="00247897" w:rsidRDefault="00A16F8F" w:rsidP="00062D16">
      <w:pPr>
        <w:kinsoku w:val="0"/>
        <w:spacing w:line="360" w:lineRule="auto"/>
        <w:ind w:left="720"/>
        <w:rPr>
          <w:rFonts w:ascii="Times New Roman" w:hAnsi="Times New Roman"/>
          <w:szCs w:val="24"/>
          <w:lang w:val="en"/>
        </w:rPr>
      </w:pPr>
      <w:r w:rsidRPr="00247897">
        <w:rPr>
          <w:rFonts w:ascii="Times New Roman" w:hAnsi="Times New Roman"/>
          <w:szCs w:val="24"/>
          <w:lang w:val="en"/>
        </w:rPr>
        <w:t xml:space="preserve">Based on the </w:t>
      </w:r>
      <w:r w:rsidR="00E16B66">
        <w:rPr>
          <w:rFonts w:ascii="Times New Roman" w:hAnsi="Times New Roman"/>
          <w:szCs w:val="24"/>
          <w:lang w:val="en"/>
        </w:rPr>
        <w:t xml:space="preserve">reasoning </w:t>
      </w:r>
      <w:r w:rsidRPr="00247897">
        <w:rPr>
          <w:rFonts w:ascii="Times New Roman" w:hAnsi="Times New Roman"/>
          <w:szCs w:val="24"/>
          <w:lang w:val="en"/>
        </w:rPr>
        <w:t xml:space="preserve">above, the MAC encourages the Board to follow the precedent established in previous </w:t>
      </w:r>
      <w:r w:rsidR="001B1B0F" w:rsidRPr="00247897">
        <w:rPr>
          <w:rFonts w:ascii="Times New Roman" w:hAnsi="Times New Roman"/>
          <w:szCs w:val="24"/>
          <w:lang w:val="en"/>
        </w:rPr>
        <w:t xml:space="preserve">wage index </w:t>
      </w:r>
      <w:r w:rsidRPr="00247897">
        <w:rPr>
          <w:rFonts w:ascii="Times New Roman" w:hAnsi="Times New Roman"/>
          <w:szCs w:val="24"/>
          <w:lang w:val="en"/>
        </w:rPr>
        <w:t xml:space="preserve">cases of this nature and conduct an own motion </w:t>
      </w:r>
      <w:r w:rsidRPr="00247897">
        <w:rPr>
          <w:rFonts w:ascii="Times New Roman" w:hAnsi="Times New Roman"/>
          <w:szCs w:val="24"/>
          <w:lang w:val="en"/>
        </w:rPr>
        <w:lastRenderedPageBreak/>
        <w:t xml:space="preserve">review </w:t>
      </w:r>
      <w:r w:rsidR="001B1B0F" w:rsidRPr="00247897">
        <w:rPr>
          <w:rFonts w:ascii="Times New Roman" w:hAnsi="Times New Roman"/>
          <w:szCs w:val="24"/>
          <w:lang w:val="en"/>
        </w:rPr>
        <w:t>to consider</w:t>
      </w:r>
      <w:r w:rsidRPr="00247897">
        <w:rPr>
          <w:rFonts w:ascii="Times New Roman" w:hAnsi="Times New Roman"/>
          <w:szCs w:val="24"/>
          <w:lang w:val="en"/>
        </w:rPr>
        <w:t xml:space="preserve"> expedited judicial review.</w:t>
      </w:r>
    </w:p>
    <w:p w14:paraId="7E397B1D" w14:textId="7E350423" w:rsidR="00A16F8F" w:rsidRPr="00247897" w:rsidRDefault="00A16F8F" w:rsidP="00062D16">
      <w:pPr>
        <w:kinsoku w:val="0"/>
        <w:spacing w:line="360" w:lineRule="auto"/>
        <w:ind w:left="720"/>
        <w:rPr>
          <w:rFonts w:ascii="Times New Roman" w:hAnsi="Times New Roman"/>
          <w:szCs w:val="24"/>
          <w:lang w:val="en"/>
        </w:rPr>
      </w:pPr>
    </w:p>
    <w:p w14:paraId="2270F4B8" w14:textId="77777777" w:rsidR="00CF7F5F" w:rsidRPr="00247897" w:rsidRDefault="00CF7F5F" w:rsidP="00E12E62">
      <w:pPr>
        <w:pStyle w:val="ListParagraph"/>
        <w:numPr>
          <w:ilvl w:val="0"/>
          <w:numId w:val="11"/>
        </w:numPr>
        <w:tabs>
          <w:tab w:val="left" w:pos="-720"/>
        </w:tabs>
        <w:suppressAutoHyphens/>
        <w:spacing w:line="360" w:lineRule="auto"/>
        <w:rPr>
          <w:rFonts w:ascii="Times New Roman" w:hAnsi="Times New Roman"/>
          <w:b/>
          <w:szCs w:val="24"/>
        </w:rPr>
      </w:pPr>
      <w:r w:rsidRPr="00247897">
        <w:rPr>
          <w:rFonts w:ascii="Times New Roman" w:hAnsi="Times New Roman"/>
          <w:b/>
          <w:szCs w:val="24"/>
        </w:rPr>
        <w:t>Conclusion</w:t>
      </w:r>
    </w:p>
    <w:p w14:paraId="6268FEFF" w14:textId="77777777" w:rsidR="00CF7F5F" w:rsidRPr="00247897" w:rsidRDefault="00CF7F5F" w:rsidP="007F716E">
      <w:pPr>
        <w:tabs>
          <w:tab w:val="left" w:pos="-720"/>
        </w:tabs>
        <w:suppressAutoHyphens/>
        <w:spacing w:line="360" w:lineRule="auto"/>
        <w:ind w:left="720"/>
        <w:rPr>
          <w:rFonts w:ascii="Arial" w:hAnsi="Arial"/>
          <w:spacing w:val="-3"/>
        </w:rPr>
      </w:pPr>
    </w:p>
    <w:p w14:paraId="710B79C4" w14:textId="66D8A131" w:rsidR="00CF7F5F" w:rsidRPr="00247897" w:rsidRDefault="00A16F8F" w:rsidP="007F716E">
      <w:pPr>
        <w:tabs>
          <w:tab w:val="left" w:pos="-720"/>
        </w:tabs>
        <w:suppressAutoHyphens/>
        <w:spacing w:line="360" w:lineRule="auto"/>
        <w:ind w:left="720"/>
        <w:rPr>
          <w:rFonts w:ascii="Times New Roman" w:hAnsi="Times New Roman"/>
          <w:spacing w:val="-3"/>
        </w:rPr>
      </w:pPr>
      <w:r w:rsidRPr="00247897">
        <w:rPr>
          <w:rFonts w:ascii="Times New Roman" w:hAnsi="Times New Roman"/>
          <w:spacing w:val="-3"/>
        </w:rPr>
        <w:t>Should this case proceed to hearing, t</w:t>
      </w:r>
      <w:r w:rsidR="00CF7F5F" w:rsidRPr="00247897">
        <w:rPr>
          <w:rFonts w:ascii="Times New Roman" w:hAnsi="Times New Roman"/>
          <w:spacing w:val="-3"/>
        </w:rPr>
        <w:t xml:space="preserve">he MAC requests that the </w:t>
      </w:r>
      <w:r w:rsidRPr="00247897">
        <w:rPr>
          <w:rFonts w:ascii="Times New Roman" w:hAnsi="Times New Roman"/>
          <w:spacing w:val="-3"/>
        </w:rPr>
        <w:t>Board</w:t>
      </w:r>
      <w:r w:rsidR="00CF7F5F" w:rsidRPr="00247897">
        <w:rPr>
          <w:rFonts w:ascii="Times New Roman" w:hAnsi="Times New Roman"/>
          <w:spacing w:val="-3"/>
        </w:rPr>
        <w:t xml:space="preserve"> affirm </w:t>
      </w:r>
      <w:r w:rsidR="00C5663D" w:rsidRPr="00247897">
        <w:rPr>
          <w:rFonts w:ascii="Times New Roman" w:hAnsi="Times New Roman"/>
          <w:spacing w:val="-3"/>
        </w:rPr>
        <w:t xml:space="preserve">the disallowance of the wage data for Southwestern </w:t>
      </w:r>
      <w:r w:rsidR="00BA6289" w:rsidRPr="00247897">
        <w:rPr>
          <w:rFonts w:ascii="Times New Roman" w:hAnsi="Times New Roman"/>
          <w:spacing w:val="-3"/>
        </w:rPr>
        <w:t>Regional Medical</w:t>
      </w:r>
      <w:r w:rsidR="00C5663D" w:rsidRPr="00247897">
        <w:rPr>
          <w:rFonts w:ascii="Times New Roman" w:hAnsi="Times New Roman"/>
          <w:spacing w:val="-3"/>
        </w:rPr>
        <w:t xml:space="preserve"> Center from the FY </w:t>
      </w:r>
      <w:r w:rsidR="006048C0" w:rsidRPr="00247897">
        <w:rPr>
          <w:rFonts w:ascii="Times New Roman" w:hAnsi="Times New Roman"/>
          <w:spacing w:val="-3"/>
        </w:rPr>
        <w:t>2016</w:t>
      </w:r>
      <w:r w:rsidR="00C5663D" w:rsidRPr="00247897">
        <w:rPr>
          <w:rFonts w:ascii="Times New Roman" w:hAnsi="Times New Roman"/>
          <w:spacing w:val="-3"/>
        </w:rPr>
        <w:t xml:space="preserve"> wage index</w:t>
      </w:r>
      <w:r w:rsidR="00BA6289" w:rsidRPr="00247897">
        <w:rPr>
          <w:rFonts w:ascii="Times New Roman" w:hAnsi="Times New Roman"/>
          <w:spacing w:val="-3"/>
        </w:rPr>
        <w:t>.</w:t>
      </w:r>
    </w:p>
    <w:p w14:paraId="604B3B14" w14:textId="77777777" w:rsidR="002A0D54" w:rsidRPr="00247897" w:rsidRDefault="002A0D54" w:rsidP="007F716E">
      <w:pPr>
        <w:tabs>
          <w:tab w:val="left" w:pos="-720"/>
        </w:tabs>
        <w:suppressAutoHyphens/>
        <w:spacing w:line="360" w:lineRule="auto"/>
        <w:ind w:left="720"/>
        <w:rPr>
          <w:rFonts w:ascii="Times New Roman" w:hAnsi="Times New Roman"/>
          <w:spacing w:val="-3"/>
        </w:rPr>
      </w:pPr>
    </w:p>
    <w:p w14:paraId="4126573E" w14:textId="77777777" w:rsidR="00145E4E" w:rsidRPr="0053798D" w:rsidRDefault="00145E4E">
      <w:pPr>
        <w:widowControl/>
        <w:rPr>
          <w:rFonts w:ascii="Times New Roman" w:hAnsi="Times New Roman"/>
          <w:color w:val="00B050"/>
        </w:rPr>
      </w:pPr>
      <w:r w:rsidRPr="0053798D">
        <w:rPr>
          <w:rFonts w:ascii="Times New Roman" w:hAnsi="Times New Roman"/>
          <w:color w:val="00B050"/>
        </w:rPr>
        <w:br w:type="page"/>
      </w:r>
    </w:p>
    <w:p w14:paraId="76EDAB5B" w14:textId="62D8CB8D" w:rsidR="00CF7F5F" w:rsidRPr="007809A6" w:rsidRDefault="00CF7F5F" w:rsidP="00860691">
      <w:pPr>
        <w:widowControl/>
        <w:spacing w:line="360" w:lineRule="auto"/>
        <w:rPr>
          <w:rFonts w:ascii="Times New Roman" w:hAnsi="Times New Roman"/>
          <w:b/>
          <w:szCs w:val="24"/>
        </w:rPr>
      </w:pPr>
      <w:r w:rsidRPr="007809A6">
        <w:rPr>
          <w:rFonts w:ascii="Times New Roman" w:hAnsi="Times New Roman"/>
          <w:b/>
          <w:szCs w:val="24"/>
        </w:rPr>
        <w:lastRenderedPageBreak/>
        <w:t>LAW, REGULATIONS, AND INSTRUCTIONS</w:t>
      </w:r>
    </w:p>
    <w:p w14:paraId="16D3A6FD" w14:textId="77777777" w:rsidR="00CF7F5F" w:rsidRPr="00145E4E" w:rsidRDefault="00CF7F5F" w:rsidP="00E12E62">
      <w:pPr>
        <w:tabs>
          <w:tab w:val="left" w:pos="-720"/>
        </w:tabs>
        <w:suppressAutoHyphens/>
        <w:spacing w:line="360" w:lineRule="auto"/>
        <w:rPr>
          <w:rFonts w:ascii="Times New Roman" w:hAnsi="Times New Roman"/>
        </w:rPr>
      </w:pPr>
    </w:p>
    <w:p w14:paraId="50BA0529" w14:textId="3205D111" w:rsidR="00CF7F5F" w:rsidRPr="00145E4E" w:rsidRDefault="00CF7F5F" w:rsidP="00860691">
      <w:pPr>
        <w:tabs>
          <w:tab w:val="left" w:pos="-720"/>
        </w:tabs>
        <w:suppressAutoHyphens/>
        <w:spacing w:line="360" w:lineRule="auto"/>
        <w:rPr>
          <w:rFonts w:ascii="Times New Roman" w:hAnsi="Times New Roman"/>
        </w:rPr>
      </w:pPr>
      <w:r w:rsidRPr="00145E4E">
        <w:rPr>
          <w:rFonts w:ascii="Times New Roman" w:hAnsi="Times New Roman"/>
        </w:rPr>
        <w:t>Laws</w:t>
      </w:r>
      <w:r w:rsidR="00860691">
        <w:rPr>
          <w:rFonts w:ascii="Times New Roman" w:hAnsi="Times New Roman"/>
        </w:rPr>
        <w:t>:</w:t>
      </w:r>
    </w:p>
    <w:p w14:paraId="23D3B675" w14:textId="240065FD" w:rsidR="00CF7F5F" w:rsidRPr="00860691" w:rsidRDefault="00D9137D" w:rsidP="00860691">
      <w:pPr>
        <w:tabs>
          <w:tab w:val="left" w:pos="-720"/>
        </w:tabs>
        <w:suppressAutoHyphens/>
        <w:spacing w:line="360" w:lineRule="auto"/>
        <w:rPr>
          <w:rFonts w:ascii="Times New Roman" w:hAnsi="Times New Roman"/>
          <w:szCs w:val="24"/>
          <w:lang w:val="en"/>
        </w:rPr>
      </w:pPr>
      <w:r w:rsidRPr="00145E4E">
        <w:rPr>
          <w:rFonts w:ascii="Times New Roman" w:hAnsi="Times New Roman"/>
          <w:szCs w:val="24"/>
          <w:lang w:val="en"/>
        </w:rPr>
        <w:t>Section 1886(d)</w:t>
      </w:r>
      <w:r w:rsidR="00860691">
        <w:rPr>
          <w:rFonts w:ascii="Times New Roman" w:hAnsi="Times New Roman"/>
          <w:szCs w:val="24"/>
          <w:lang w:val="en"/>
        </w:rPr>
        <w:t>;</w:t>
      </w:r>
      <w:r w:rsidR="00CF7F5F" w:rsidRPr="00145E4E">
        <w:rPr>
          <w:rFonts w:ascii="Times New Roman" w:hAnsi="Times New Roman"/>
        </w:rPr>
        <w:t>42 U.S.C. 1395ww(d)</w:t>
      </w:r>
    </w:p>
    <w:p w14:paraId="0C0B7B7A" w14:textId="77777777" w:rsidR="00CF7F5F" w:rsidRPr="00145E4E" w:rsidRDefault="00CF7F5F" w:rsidP="00E12E62">
      <w:pPr>
        <w:tabs>
          <w:tab w:val="left" w:pos="-720"/>
        </w:tabs>
        <w:suppressAutoHyphens/>
        <w:spacing w:line="360" w:lineRule="auto"/>
        <w:ind w:left="1440"/>
        <w:rPr>
          <w:rFonts w:ascii="Times New Roman" w:hAnsi="Times New Roman"/>
        </w:rPr>
      </w:pPr>
    </w:p>
    <w:p w14:paraId="2F8CAA0C" w14:textId="77777777" w:rsidR="00CF7F5F" w:rsidRPr="00145E4E" w:rsidRDefault="00CF7F5F" w:rsidP="00E12E62">
      <w:pPr>
        <w:tabs>
          <w:tab w:val="left" w:pos="-720"/>
        </w:tabs>
        <w:suppressAutoHyphens/>
        <w:spacing w:line="360" w:lineRule="auto"/>
        <w:rPr>
          <w:rFonts w:ascii="Times New Roman" w:hAnsi="Times New Roman"/>
        </w:rPr>
      </w:pPr>
      <w:r w:rsidRPr="00145E4E">
        <w:rPr>
          <w:rFonts w:ascii="Times New Roman" w:hAnsi="Times New Roman"/>
        </w:rPr>
        <w:tab/>
      </w:r>
      <w:r w:rsidRPr="00145E4E">
        <w:rPr>
          <w:rFonts w:ascii="Times New Roman" w:hAnsi="Times New Roman"/>
        </w:rPr>
        <w:tab/>
      </w:r>
      <w:r w:rsidRPr="00145E4E">
        <w:rPr>
          <w:rFonts w:ascii="Times New Roman" w:hAnsi="Times New Roman"/>
        </w:rPr>
        <w:tab/>
      </w:r>
      <w:r w:rsidRPr="00145E4E">
        <w:rPr>
          <w:rFonts w:ascii="Times New Roman" w:hAnsi="Times New Roman"/>
        </w:rPr>
        <w:tab/>
      </w:r>
    </w:p>
    <w:p w14:paraId="42646713" w14:textId="77777777" w:rsidR="00CF7F5F" w:rsidRPr="00145E4E" w:rsidRDefault="00CF7F5F" w:rsidP="00E12E62">
      <w:pPr>
        <w:tabs>
          <w:tab w:val="left" w:pos="-720"/>
        </w:tabs>
        <w:suppressAutoHyphens/>
        <w:spacing w:line="360" w:lineRule="auto"/>
        <w:ind w:left="1440"/>
        <w:rPr>
          <w:rFonts w:ascii="Times New Roman" w:hAnsi="Times New Roman"/>
        </w:rPr>
      </w:pPr>
    </w:p>
    <w:p w14:paraId="20D32024" w14:textId="57B625C2" w:rsidR="00CF7F5F" w:rsidRPr="00145E4E" w:rsidRDefault="00CF7F5F" w:rsidP="00E12E62">
      <w:pPr>
        <w:tabs>
          <w:tab w:val="left" w:pos="-720"/>
        </w:tabs>
        <w:suppressAutoHyphens/>
        <w:spacing w:line="360" w:lineRule="auto"/>
        <w:rPr>
          <w:rFonts w:ascii="Times New Roman" w:hAnsi="Times New Roman"/>
        </w:rPr>
      </w:pPr>
      <w:r w:rsidRPr="00145E4E">
        <w:rPr>
          <w:rFonts w:ascii="Times New Roman" w:hAnsi="Times New Roman"/>
        </w:rPr>
        <w:t>Federal Register</w:t>
      </w:r>
      <w:r w:rsidR="00860691">
        <w:rPr>
          <w:rFonts w:ascii="Times New Roman" w:hAnsi="Times New Roman"/>
        </w:rPr>
        <w:t>:</w:t>
      </w:r>
    </w:p>
    <w:p w14:paraId="281B698E" w14:textId="6CC950D0" w:rsidR="009B7190" w:rsidRPr="00145E4E" w:rsidRDefault="00976425" w:rsidP="00E12E62">
      <w:pPr>
        <w:tabs>
          <w:tab w:val="left" w:pos="-720"/>
        </w:tabs>
        <w:suppressAutoHyphens/>
        <w:spacing w:line="360" w:lineRule="auto"/>
        <w:rPr>
          <w:rFonts w:ascii="Times New Roman" w:hAnsi="Times New Roman"/>
        </w:rPr>
      </w:pPr>
      <w:bookmarkStart w:id="0" w:name="_Hlk80259765"/>
      <w:r w:rsidRPr="00145E4E">
        <w:rPr>
          <w:rFonts w:ascii="Times New Roman" w:hAnsi="Times New Roman"/>
          <w:szCs w:val="24"/>
          <w:lang w:val="en"/>
        </w:rPr>
        <w:t xml:space="preserve">80 </w:t>
      </w:r>
      <w:r w:rsidR="009A3F74">
        <w:rPr>
          <w:rFonts w:ascii="Times New Roman" w:hAnsi="Times New Roman"/>
          <w:szCs w:val="24"/>
          <w:lang w:val="en"/>
        </w:rPr>
        <w:t>FR</w:t>
      </w:r>
      <w:r w:rsidRPr="00145E4E">
        <w:rPr>
          <w:rFonts w:ascii="Times New Roman" w:hAnsi="Times New Roman"/>
          <w:szCs w:val="24"/>
          <w:lang w:val="en"/>
        </w:rPr>
        <w:t xml:space="preserve"> 49489-49491(August 17, 2015)</w:t>
      </w:r>
      <w:bookmarkEnd w:id="0"/>
      <w:r w:rsidR="00CF7F5F" w:rsidRPr="00145E4E">
        <w:rPr>
          <w:rFonts w:ascii="Times New Roman" w:hAnsi="Times New Roman"/>
        </w:rPr>
        <w:tab/>
      </w:r>
      <w:r w:rsidR="00CF7F5F" w:rsidRPr="00145E4E">
        <w:rPr>
          <w:rFonts w:ascii="Times New Roman" w:hAnsi="Times New Roman"/>
        </w:rPr>
        <w:tab/>
      </w:r>
    </w:p>
    <w:p w14:paraId="3EAD46CD" w14:textId="77777777" w:rsidR="007F716E" w:rsidRPr="00145E4E" w:rsidRDefault="007F716E" w:rsidP="00E12E62">
      <w:pPr>
        <w:tabs>
          <w:tab w:val="left" w:pos="-720"/>
        </w:tabs>
        <w:suppressAutoHyphens/>
        <w:spacing w:line="360" w:lineRule="auto"/>
        <w:rPr>
          <w:rFonts w:ascii="Times New Roman" w:hAnsi="Times New Roman"/>
        </w:rPr>
      </w:pPr>
    </w:p>
    <w:p w14:paraId="1881F4A0" w14:textId="3757E36D" w:rsidR="00CF7F5F" w:rsidRPr="007809A6" w:rsidRDefault="00CF7F5F" w:rsidP="00860691">
      <w:pPr>
        <w:widowControl/>
        <w:spacing w:line="360" w:lineRule="auto"/>
        <w:rPr>
          <w:rFonts w:ascii="Times New Roman" w:hAnsi="Times New Roman"/>
          <w:b/>
          <w:szCs w:val="24"/>
        </w:rPr>
      </w:pPr>
      <w:r w:rsidRPr="00145E4E">
        <w:rPr>
          <w:rFonts w:ascii="Arial" w:hAnsi="Arial"/>
        </w:rPr>
        <w:br w:type="page"/>
      </w:r>
      <w:r w:rsidRPr="007809A6">
        <w:rPr>
          <w:rFonts w:ascii="Times New Roman" w:hAnsi="Times New Roman"/>
          <w:b/>
          <w:szCs w:val="24"/>
        </w:rPr>
        <w:lastRenderedPageBreak/>
        <w:t>EXHIBITS</w:t>
      </w:r>
    </w:p>
    <w:p w14:paraId="4C9262E9" w14:textId="77777777" w:rsidR="00CF7F5F" w:rsidRPr="00452AE4" w:rsidRDefault="00CF7F5F" w:rsidP="00CF7F5F">
      <w:pPr>
        <w:rPr>
          <w:rFonts w:ascii="Times New Roman" w:hAnsi="Times New Roman"/>
          <w:spacing w:val="-3"/>
        </w:rPr>
      </w:pPr>
    </w:p>
    <w:p w14:paraId="26E954BF" w14:textId="77777777" w:rsidR="00CF7F5F" w:rsidRPr="00452AE4" w:rsidRDefault="00CF7F5F" w:rsidP="00CF7F5F">
      <w:pPr>
        <w:rPr>
          <w:rFonts w:ascii="Times New Roman" w:hAnsi="Times New Roman"/>
          <w:spacing w:val="-3"/>
        </w:rPr>
      </w:pPr>
    </w:p>
    <w:p w14:paraId="1E0D7514" w14:textId="77777777" w:rsidR="008F0297" w:rsidRDefault="008F0297" w:rsidP="00860691">
      <w:pPr>
        <w:rPr>
          <w:rFonts w:ascii="Times New Roman" w:hAnsi="Times New Roman"/>
          <w:spacing w:val="-3"/>
        </w:rPr>
      </w:pPr>
      <w:bookmarkStart w:id="1" w:name="_Hlk150246563"/>
      <w:r>
        <w:rPr>
          <w:rFonts w:ascii="Times New Roman" w:hAnsi="Times New Roman"/>
          <w:spacing w:val="-3"/>
        </w:rPr>
        <w:t>C-1</w:t>
      </w:r>
      <w:r>
        <w:rPr>
          <w:rFonts w:ascii="Times New Roman" w:hAnsi="Times New Roman"/>
          <w:spacing w:val="-3"/>
        </w:rPr>
        <w:tab/>
        <w:t>Schedule of Providers</w:t>
      </w:r>
    </w:p>
    <w:p w14:paraId="05514D72" w14:textId="77777777" w:rsidR="008F0297" w:rsidRDefault="008F0297" w:rsidP="008F0297">
      <w:pPr>
        <w:ind w:left="720"/>
        <w:rPr>
          <w:rFonts w:ascii="Times New Roman" w:hAnsi="Times New Roman"/>
          <w:spacing w:val="-3"/>
        </w:rPr>
      </w:pPr>
    </w:p>
    <w:p w14:paraId="1B14C557" w14:textId="77777777" w:rsidR="008F0297" w:rsidRDefault="008F0297" w:rsidP="00860691">
      <w:pPr>
        <w:rPr>
          <w:rFonts w:ascii="Times New Roman" w:hAnsi="Times New Roman"/>
          <w:spacing w:val="-3"/>
          <w:lang w:val="en"/>
        </w:rPr>
      </w:pPr>
      <w:r>
        <w:rPr>
          <w:rFonts w:ascii="Times New Roman" w:hAnsi="Times New Roman"/>
          <w:spacing w:val="-3"/>
        </w:rPr>
        <w:t>C-2</w:t>
      </w:r>
      <w:r>
        <w:rPr>
          <w:rFonts w:ascii="Times New Roman" w:hAnsi="Times New Roman"/>
          <w:spacing w:val="-3"/>
        </w:rPr>
        <w:tab/>
      </w:r>
      <w:r>
        <w:rPr>
          <w:rFonts w:ascii="Times New Roman" w:hAnsi="Times New Roman"/>
          <w:spacing w:val="-3"/>
          <w:lang w:val="en"/>
        </w:rPr>
        <w:t>80 FR 49489-49491 (August 17, 2015)</w:t>
      </w:r>
    </w:p>
    <w:p w14:paraId="06E3538E" w14:textId="77777777" w:rsidR="008F0297" w:rsidRDefault="008F0297" w:rsidP="008F0297">
      <w:pPr>
        <w:ind w:left="1440" w:hanging="720"/>
        <w:rPr>
          <w:rFonts w:ascii="Times New Roman" w:hAnsi="Times New Roman"/>
          <w:szCs w:val="24"/>
        </w:rPr>
      </w:pPr>
    </w:p>
    <w:p w14:paraId="5A0923DC" w14:textId="77777777" w:rsidR="008F0297" w:rsidRDefault="008F0297" w:rsidP="00860691">
      <w:pPr>
        <w:rPr>
          <w:rFonts w:ascii="Times New Roman" w:hAnsi="Times New Roman"/>
          <w:szCs w:val="24"/>
        </w:rPr>
      </w:pPr>
      <w:r>
        <w:rPr>
          <w:rFonts w:ascii="Times New Roman" w:hAnsi="Times New Roman"/>
          <w:szCs w:val="24"/>
        </w:rPr>
        <w:t>C-3      Southwestern Regional Medical Center, LLC, tie out notice</w:t>
      </w:r>
    </w:p>
    <w:p w14:paraId="2BB18E62" w14:textId="77777777" w:rsidR="008F0297" w:rsidRDefault="008F0297" w:rsidP="008F0297">
      <w:pPr>
        <w:ind w:left="1440" w:hanging="720"/>
        <w:rPr>
          <w:rFonts w:ascii="Times New Roman" w:hAnsi="Times New Roman"/>
          <w:szCs w:val="24"/>
        </w:rPr>
      </w:pPr>
    </w:p>
    <w:p w14:paraId="55B008D0" w14:textId="77777777" w:rsidR="008F0297" w:rsidRDefault="008F0297" w:rsidP="00860691">
      <w:pPr>
        <w:rPr>
          <w:rFonts w:ascii="Times New Roman" w:hAnsi="Times New Roman"/>
          <w:szCs w:val="24"/>
        </w:rPr>
      </w:pPr>
      <w:r>
        <w:rPr>
          <w:rFonts w:ascii="Times New Roman" w:hAnsi="Times New Roman"/>
          <w:szCs w:val="24"/>
        </w:rPr>
        <w:t>C-4      Tulsa CBSA (#46140) Wage data</w:t>
      </w:r>
    </w:p>
    <w:p w14:paraId="5D4EEAC7" w14:textId="77777777" w:rsidR="008F0297" w:rsidRDefault="008F0297" w:rsidP="008F0297">
      <w:pPr>
        <w:ind w:left="1440" w:hanging="720"/>
        <w:rPr>
          <w:rFonts w:ascii="Times New Roman" w:hAnsi="Times New Roman"/>
          <w:szCs w:val="24"/>
        </w:rPr>
      </w:pPr>
    </w:p>
    <w:p w14:paraId="3791BE9E" w14:textId="77777777" w:rsidR="008F0297" w:rsidRDefault="008F0297" w:rsidP="00860691">
      <w:pPr>
        <w:rPr>
          <w:rFonts w:ascii="Times New Roman" w:hAnsi="Times New Roman"/>
        </w:rPr>
      </w:pPr>
      <w:r>
        <w:rPr>
          <w:rFonts w:ascii="Times New Roman" w:hAnsi="Times New Roman"/>
          <w:szCs w:val="24"/>
        </w:rPr>
        <w:t>C-5</w:t>
      </w:r>
      <w:r>
        <w:rPr>
          <w:rFonts w:ascii="Times New Roman" w:hAnsi="Times New Roman"/>
          <w:color w:val="00B050"/>
        </w:rPr>
        <w:t xml:space="preserve"> </w:t>
      </w:r>
      <w:r>
        <w:rPr>
          <w:rFonts w:ascii="Times New Roman" w:hAnsi="Times New Roman"/>
          <w:color w:val="00B050"/>
        </w:rPr>
        <w:tab/>
      </w:r>
      <w:r>
        <w:rPr>
          <w:rFonts w:ascii="Times New Roman" w:hAnsi="Times New Roman"/>
        </w:rPr>
        <w:t>PRRB Decision 2008-D44 (June 17,2008)</w:t>
      </w:r>
    </w:p>
    <w:p w14:paraId="6D4A8392" w14:textId="77777777" w:rsidR="008F0297" w:rsidRPr="00860691" w:rsidRDefault="008F0297" w:rsidP="008F0297">
      <w:pPr>
        <w:ind w:left="720"/>
        <w:rPr>
          <w:rFonts w:ascii="Times New Roman" w:hAnsi="Times New Roman"/>
          <w:spacing w:val="-3"/>
        </w:rPr>
      </w:pPr>
    </w:p>
    <w:p w14:paraId="5EA65F83" w14:textId="77777777" w:rsidR="008F0297" w:rsidRDefault="008F0297" w:rsidP="00860691">
      <w:pPr>
        <w:rPr>
          <w:rFonts w:ascii="Times New Roman" w:hAnsi="Times New Roman"/>
          <w:spacing w:val="-3"/>
          <w:lang w:val="en"/>
        </w:rPr>
      </w:pPr>
      <w:r>
        <w:rPr>
          <w:rFonts w:ascii="Times New Roman" w:hAnsi="Times New Roman"/>
          <w:spacing w:val="-3"/>
          <w:lang w:val="en"/>
        </w:rPr>
        <w:t>C-6</w:t>
      </w:r>
      <w:r>
        <w:rPr>
          <w:rFonts w:ascii="Times New Roman" w:hAnsi="Times New Roman"/>
          <w:spacing w:val="-3"/>
          <w:lang w:val="en"/>
        </w:rPr>
        <w:tab/>
        <w:t xml:space="preserve">Board Own Motion EJR decision for </w:t>
      </w:r>
      <w:r>
        <w:rPr>
          <w:rFonts w:ascii="Times New Roman" w:hAnsi="Times New Roman"/>
          <w:szCs w:val="24"/>
          <w:lang w:val="en"/>
        </w:rPr>
        <w:t>Case Nos. 15-1522, 15-1527, 15-1528 and 15-1564, dated 11/30/2017</w:t>
      </w:r>
    </w:p>
    <w:p w14:paraId="2FAB1EF3" w14:textId="77777777" w:rsidR="008F0297" w:rsidRDefault="008F0297" w:rsidP="008F0297">
      <w:pPr>
        <w:ind w:left="720"/>
        <w:rPr>
          <w:rFonts w:ascii="Times New Roman" w:hAnsi="Times New Roman"/>
          <w:spacing w:val="-3"/>
          <w:lang w:val="en"/>
        </w:rPr>
      </w:pPr>
    </w:p>
    <w:p w14:paraId="52CF1B81" w14:textId="77777777" w:rsidR="008F0297" w:rsidRDefault="008F0297" w:rsidP="00860691">
      <w:pPr>
        <w:rPr>
          <w:rFonts w:ascii="Times New Roman" w:hAnsi="Times New Roman"/>
          <w:szCs w:val="24"/>
        </w:rPr>
      </w:pPr>
      <w:r>
        <w:rPr>
          <w:rFonts w:ascii="Times New Roman" w:hAnsi="Times New Roman"/>
          <w:spacing w:val="-3"/>
          <w:lang w:val="en"/>
        </w:rPr>
        <w:t>C-7</w:t>
      </w:r>
      <w:r>
        <w:rPr>
          <w:rFonts w:ascii="Times New Roman" w:hAnsi="Times New Roman"/>
          <w:spacing w:val="-3"/>
          <w:lang w:val="en"/>
        </w:rPr>
        <w:tab/>
      </w:r>
      <w:r>
        <w:rPr>
          <w:rFonts w:ascii="Times New Roman" w:hAnsi="Times New Roman"/>
          <w:i/>
          <w:iCs/>
          <w:szCs w:val="24"/>
          <w:lang w:val="en"/>
        </w:rPr>
        <w:t>Anson General Hospital; Continue Care Hospital at Hendrick Medical Center; Stamford Memorial Hospital; Southern Oaks Healthcare, Incorporated, doing business as Wisteria Place v. Azar</w:t>
      </w:r>
      <w:r>
        <w:rPr>
          <w:rFonts w:ascii="Times New Roman" w:hAnsi="Times New Roman"/>
          <w:szCs w:val="24"/>
          <w:lang w:val="en"/>
        </w:rPr>
        <w:t xml:space="preserve">, </w:t>
      </w:r>
      <w:r>
        <w:rPr>
          <w:rFonts w:ascii="Times New Roman" w:hAnsi="Times New Roman"/>
          <w:szCs w:val="24"/>
        </w:rPr>
        <w:t>No. 19-10470 (5th Cir. 2020)</w:t>
      </w:r>
    </w:p>
    <w:bookmarkEnd w:id="1"/>
    <w:p w14:paraId="6E5F0BC9" w14:textId="77777777" w:rsidR="008F0297" w:rsidRDefault="008F0297" w:rsidP="008F0297">
      <w:pPr>
        <w:ind w:left="1440" w:hanging="720"/>
        <w:rPr>
          <w:rFonts w:ascii="Times New Roman" w:hAnsi="Times New Roman"/>
          <w:szCs w:val="24"/>
        </w:rPr>
      </w:pPr>
    </w:p>
    <w:p w14:paraId="4F541BC0" w14:textId="77777777" w:rsidR="008F0297" w:rsidRDefault="008F0297" w:rsidP="008F0297">
      <w:pPr>
        <w:ind w:left="1440" w:hanging="720"/>
        <w:rPr>
          <w:rFonts w:ascii="Times New Roman" w:hAnsi="Times New Roman"/>
          <w:szCs w:val="24"/>
        </w:rPr>
      </w:pPr>
    </w:p>
    <w:p w14:paraId="2670510B" w14:textId="77777777" w:rsidR="00B52399" w:rsidRPr="00A41A78" w:rsidRDefault="00B52399" w:rsidP="00B52399">
      <w:pPr>
        <w:ind w:left="1440" w:hanging="720"/>
        <w:rPr>
          <w:rFonts w:ascii="Times New Roman" w:hAnsi="Times New Roman"/>
          <w:spacing w:val="-3"/>
        </w:rPr>
      </w:pPr>
    </w:p>
    <w:p w14:paraId="2E40D206" w14:textId="77777777" w:rsidR="003B0CBE" w:rsidRPr="00145E4E" w:rsidRDefault="003B0CBE" w:rsidP="003B0CBE">
      <w:pPr>
        <w:widowControl/>
        <w:tabs>
          <w:tab w:val="left" w:pos="-2088"/>
          <w:tab w:val="left" w:pos="-1368"/>
          <w:tab w:val="left" w:pos="720"/>
          <w:tab w:val="left" w:pos="1926"/>
          <w:tab w:val="left" w:pos="7500"/>
          <w:tab w:val="left" w:pos="8136"/>
        </w:tabs>
        <w:jc w:val="both"/>
        <w:rPr>
          <w:rFonts w:ascii="Times New Roman" w:hAnsi="Times New Roman"/>
          <w:szCs w:val="24"/>
        </w:rPr>
      </w:pPr>
      <w:r w:rsidRPr="00145E4E">
        <w:rPr>
          <w:rFonts w:ascii="Times New Roman" w:hAnsi="Times New Roman"/>
          <w:szCs w:val="24"/>
        </w:rPr>
        <w:t xml:space="preserve">                 </w:t>
      </w:r>
    </w:p>
    <w:p w14:paraId="07C60DEB" w14:textId="77777777" w:rsidR="00F73417" w:rsidRPr="00145E4E" w:rsidRDefault="00F73417" w:rsidP="003B0CBE">
      <w:pPr>
        <w:tabs>
          <w:tab w:val="center" w:pos="4356"/>
        </w:tabs>
        <w:suppressAutoHyphens/>
        <w:rPr>
          <w:rFonts w:ascii="Arial" w:hAnsi="Arial" w:cs="Arial"/>
          <w:sz w:val="22"/>
          <w:szCs w:val="22"/>
        </w:rPr>
      </w:pPr>
    </w:p>
    <w:sectPr w:rsidR="00F73417" w:rsidRPr="00145E4E" w:rsidSect="00BA2E09">
      <w:headerReference w:type="even" r:id="rId8"/>
      <w:headerReference w:type="default" r:id="rId9"/>
      <w:footerReference w:type="even" r:id="rId10"/>
      <w:footerReference w:type="default" r:id="rId11"/>
      <w:headerReference w:type="first" r:id="rId12"/>
      <w:footerReference w:type="first" r:id="rId13"/>
      <w:endnotePr>
        <w:numFmt w:val="decimal"/>
      </w:endnotePr>
      <w:type w:val="continuous"/>
      <w:pgSz w:w="12240" w:h="15840" w:code="1"/>
      <w:pgMar w:top="720" w:right="1440" w:bottom="1152" w:left="1440" w:header="1008" w:footer="994" w:gutter="0"/>
      <w:pgNumType w:start="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3DD504" w14:textId="77777777" w:rsidR="00616720" w:rsidRDefault="00616720">
      <w:r>
        <w:separator/>
      </w:r>
    </w:p>
  </w:endnote>
  <w:endnote w:type="continuationSeparator" w:id="0">
    <w:p w14:paraId="57583648" w14:textId="77777777" w:rsidR="00616720" w:rsidRDefault="00616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35BE0" w14:textId="77777777" w:rsidR="00274516" w:rsidRDefault="002745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187BF0" w14:textId="77777777" w:rsidR="00274516" w:rsidRDefault="002745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519A5" w14:textId="03EB666F" w:rsidR="00BA2E09" w:rsidRDefault="00BA2E09">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of </w:t>
    </w:r>
    <w:r w:rsidR="00A3613C">
      <w:rPr>
        <w:color w:val="4F81BD" w:themeColor="accent1"/>
      </w:rPr>
      <w:t>12</w:t>
    </w:r>
  </w:p>
  <w:p w14:paraId="41AA85E3" w14:textId="6DA6EE7A" w:rsidR="00402D71" w:rsidRDefault="00402D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5A4231" w14:textId="77777777" w:rsidR="007A52D4" w:rsidRDefault="007A52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73798C" w14:textId="77777777" w:rsidR="00616720" w:rsidRDefault="00616720">
      <w:r>
        <w:separator/>
      </w:r>
    </w:p>
  </w:footnote>
  <w:footnote w:type="continuationSeparator" w:id="0">
    <w:p w14:paraId="69879C22" w14:textId="77777777" w:rsidR="00616720" w:rsidRDefault="00616720">
      <w:r>
        <w:continuationSeparator/>
      </w:r>
    </w:p>
  </w:footnote>
  <w:footnote w:id="1">
    <w:p w14:paraId="65728594" w14:textId="0512D5FC" w:rsidR="00A24ECE" w:rsidRDefault="00A24ECE" w:rsidP="00A24ECE">
      <w:pPr>
        <w:pStyle w:val="FootnoteText"/>
      </w:pPr>
      <w:r>
        <w:rPr>
          <w:rStyle w:val="FootnoteReference"/>
        </w:rPr>
        <w:footnoteRef/>
      </w:r>
      <w:r>
        <w:t xml:space="preserve"> The providers in these cases were Stamford Memorial Hospital, Provider No. 45-0306, PRRB Case No. 15-1522 Anson General Hospital, Provider No. 45-0078, PRRB Case No 15-1527 Wisteria Place Retirement Living, Provider No. 67-5593, PRRB Case No. 15-1528 Continue Care Hospital at HMC. Provider No. 45-2019, PRRB Case No 15-1564 </w:t>
      </w:r>
    </w:p>
  </w:footnote>
  <w:footnote w:id="2">
    <w:p w14:paraId="66313EC5" w14:textId="3402E803" w:rsidR="00A24ECE" w:rsidRDefault="00A24ECE">
      <w:pPr>
        <w:pStyle w:val="FootnoteText"/>
      </w:pPr>
      <w:r>
        <w:rPr>
          <w:rStyle w:val="FootnoteReference"/>
        </w:rPr>
        <w:footnoteRef/>
      </w:r>
      <w:r>
        <w:t xml:space="preserve"> Hendrick Medical Center, Provider No. 45-0224, </w:t>
      </w:r>
      <w:r w:rsidR="003A69AA">
        <w:t xml:space="preserve">was the provider with the incorrect wage index data and filed </w:t>
      </w:r>
      <w:r>
        <w:t>PRRB Case No. 15-1081</w:t>
      </w:r>
      <w:r w:rsidR="003A69AA">
        <w:t xml:space="preserve"> which the Board later did not accept jurisdiction and dismissed </w:t>
      </w:r>
    </w:p>
  </w:footnote>
  <w:footnote w:id="3">
    <w:p w14:paraId="31A721D3" w14:textId="327AD3AA" w:rsidR="001B1B0F" w:rsidRPr="001B1B0F" w:rsidRDefault="005C10C2">
      <w:pPr>
        <w:pStyle w:val="FootnoteText"/>
      </w:pPr>
      <w:r>
        <w:rPr>
          <w:rStyle w:val="FootnoteReference"/>
        </w:rPr>
        <w:footnoteRef/>
      </w:r>
      <w:r w:rsidR="00BF03C3">
        <w:t xml:space="preserve"> See </w:t>
      </w:r>
      <w:r w:rsidR="00BF03C3" w:rsidRPr="00BF03C3">
        <w:rPr>
          <w:b/>
          <w:bCs/>
        </w:rPr>
        <w:t>Exhibit C-7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60B9D6" w14:textId="77777777" w:rsidR="00274516" w:rsidRDefault="0027451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14:paraId="04C63A5C" w14:textId="77777777" w:rsidR="00274516" w:rsidRDefault="002745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text1" w:themeTint="80"/>
      </w:rPr>
      <w:alias w:val="Title"/>
      <w:tag w:val=""/>
      <w:id w:val="1116400235"/>
      <w:placeholder>
        <w:docPart w:val="D9BB80415E434B848F268414C9A745DE"/>
      </w:placeholder>
      <w:dataBinding w:prefixMappings="xmlns:ns0='http://purl.org/dc/elements/1.1/' xmlns:ns1='http://schemas.openxmlformats.org/package/2006/metadata/core-properties' " w:xpath="/ns1:coreProperties[1]/ns0:title[1]" w:storeItemID="{6C3C8BC8-F283-45AE-878A-BAB7291924A1}"/>
      <w:text/>
    </w:sdtPr>
    <w:sdtContent>
      <w:p w14:paraId="49A9AC23" w14:textId="5D237F65" w:rsidR="007A52D4" w:rsidRDefault="00B0153B">
        <w:pPr>
          <w:pStyle w:val="Header"/>
          <w:jc w:val="right"/>
          <w:rPr>
            <w:color w:val="7F7F7F" w:themeColor="text1" w:themeTint="80"/>
          </w:rPr>
        </w:pPr>
        <w:r>
          <w:rPr>
            <w:color w:val="7F7F7F" w:themeColor="text1" w:themeTint="80"/>
          </w:rPr>
          <w:t>CN 15-1299G, 16</w:t>
        </w:r>
        <w:r w:rsidR="00471BD8">
          <w:rPr>
            <w:color w:val="7F7F7F" w:themeColor="text1" w:themeTint="80"/>
          </w:rPr>
          <w:t>-0809GC, 17-09</w:t>
        </w:r>
        <w:r w:rsidR="002979A7">
          <w:rPr>
            <w:color w:val="7F7F7F" w:themeColor="text1" w:themeTint="80"/>
          </w:rPr>
          <w:t>1</w:t>
        </w:r>
        <w:r w:rsidR="00471BD8">
          <w:rPr>
            <w:color w:val="7F7F7F" w:themeColor="text1" w:themeTint="80"/>
          </w:rPr>
          <w:t>3GC &amp; 1</w:t>
        </w:r>
        <w:r w:rsidR="00EB4B6D">
          <w:rPr>
            <w:color w:val="7F7F7F" w:themeColor="text1" w:themeTint="80"/>
          </w:rPr>
          <w:t>8-</w:t>
        </w:r>
        <w:r w:rsidR="00471BD8">
          <w:rPr>
            <w:color w:val="7F7F7F" w:themeColor="text1" w:themeTint="80"/>
          </w:rPr>
          <w:t>0634GC</w:t>
        </w:r>
      </w:p>
    </w:sdtContent>
  </w:sdt>
  <w:p w14:paraId="7A724246" w14:textId="7BAA2711" w:rsidR="00274516" w:rsidRDefault="00274516" w:rsidP="00DB2BC1">
    <w:pPr>
      <w:pStyle w:val="Header"/>
      <w:jc w:val="right"/>
      <w:rPr>
        <w:sz w:val="9"/>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2150B3" w14:textId="77777777" w:rsidR="007A52D4" w:rsidRDefault="007A52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C6ABF"/>
    <w:multiLevelType w:val="hybridMultilevel"/>
    <w:tmpl w:val="DB500F94"/>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03934C4C"/>
    <w:multiLevelType w:val="singleLevel"/>
    <w:tmpl w:val="04090013"/>
    <w:lvl w:ilvl="0">
      <w:start w:val="4"/>
      <w:numFmt w:val="upperRoman"/>
      <w:lvlText w:val="%1."/>
      <w:lvlJc w:val="left"/>
      <w:pPr>
        <w:tabs>
          <w:tab w:val="num" w:pos="720"/>
        </w:tabs>
        <w:ind w:left="720" w:hanging="720"/>
      </w:pPr>
      <w:rPr>
        <w:rFonts w:hint="default"/>
      </w:rPr>
    </w:lvl>
  </w:abstractNum>
  <w:abstractNum w:abstractNumId="2" w15:restartNumberingAfterBreak="0">
    <w:nsid w:val="04D05A2B"/>
    <w:multiLevelType w:val="hybridMultilevel"/>
    <w:tmpl w:val="646ABFC8"/>
    <w:lvl w:ilvl="0" w:tplc="6CCE79FE">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8CD4731"/>
    <w:multiLevelType w:val="hybridMultilevel"/>
    <w:tmpl w:val="D4C4077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1B522C"/>
    <w:multiLevelType w:val="hybridMultilevel"/>
    <w:tmpl w:val="8398E5D8"/>
    <w:lvl w:ilvl="0" w:tplc="3CD63D8E">
      <w:start w:val="1"/>
      <w:numFmt w:val="upperLetter"/>
      <w:lvlText w:val="%1."/>
      <w:lvlJc w:val="left"/>
      <w:pPr>
        <w:ind w:left="1170" w:hanging="360"/>
      </w:pPr>
      <w:rPr>
        <w:rFonts w:ascii="Arial" w:hAnsi="Arial" w:cs="Arial"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1E0A1875"/>
    <w:multiLevelType w:val="hybridMultilevel"/>
    <w:tmpl w:val="15606D5C"/>
    <w:lvl w:ilvl="0" w:tplc="85220D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42E3D80"/>
    <w:multiLevelType w:val="singleLevel"/>
    <w:tmpl w:val="4462B35C"/>
    <w:lvl w:ilvl="0">
      <w:start w:val="1"/>
      <w:numFmt w:val="upperLetter"/>
      <w:lvlText w:val="%1."/>
      <w:lvlJc w:val="left"/>
      <w:pPr>
        <w:tabs>
          <w:tab w:val="num" w:pos="1080"/>
        </w:tabs>
        <w:ind w:left="1080" w:hanging="360"/>
      </w:pPr>
      <w:rPr>
        <w:rFonts w:hint="default"/>
      </w:rPr>
    </w:lvl>
  </w:abstractNum>
  <w:abstractNum w:abstractNumId="7" w15:restartNumberingAfterBreak="0">
    <w:nsid w:val="339E6E22"/>
    <w:multiLevelType w:val="hybridMultilevel"/>
    <w:tmpl w:val="C4163278"/>
    <w:lvl w:ilvl="0" w:tplc="04090013">
      <w:start w:val="1"/>
      <w:numFmt w:val="upperRoman"/>
      <w:lvlText w:val="%1."/>
      <w:lvlJc w:val="righ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52F01A78"/>
    <w:multiLevelType w:val="hybridMultilevel"/>
    <w:tmpl w:val="82B265E6"/>
    <w:lvl w:ilvl="0" w:tplc="C93E05F8">
      <w:start w:val="1"/>
      <w:numFmt w:val="upperRoman"/>
      <w:lvlText w:val="%1."/>
      <w:lvlJc w:val="left"/>
      <w:pPr>
        <w:ind w:left="1440" w:hanging="72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52F41BF"/>
    <w:multiLevelType w:val="singleLevel"/>
    <w:tmpl w:val="21120E78"/>
    <w:lvl w:ilvl="0">
      <w:start w:val="1"/>
      <w:numFmt w:val="upperLetter"/>
      <w:lvlText w:val="%1."/>
      <w:lvlJc w:val="left"/>
      <w:pPr>
        <w:tabs>
          <w:tab w:val="num" w:pos="1440"/>
        </w:tabs>
        <w:ind w:left="1440" w:hanging="720"/>
      </w:pPr>
      <w:rPr>
        <w:rFonts w:hint="default"/>
      </w:rPr>
    </w:lvl>
  </w:abstractNum>
  <w:abstractNum w:abstractNumId="10" w15:restartNumberingAfterBreak="0">
    <w:nsid w:val="5E6F100A"/>
    <w:multiLevelType w:val="hybridMultilevel"/>
    <w:tmpl w:val="72E64B94"/>
    <w:lvl w:ilvl="0" w:tplc="04090015">
      <w:start w:val="1"/>
      <w:numFmt w:val="upperLetter"/>
      <w:lvlText w:val="%1."/>
      <w:lvlJc w:val="left"/>
      <w:pPr>
        <w:ind w:left="1170" w:hanging="36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75336D5F"/>
    <w:multiLevelType w:val="hybridMultilevel"/>
    <w:tmpl w:val="CE1EEE30"/>
    <w:lvl w:ilvl="0" w:tplc="FE2A1E6E">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A77961"/>
    <w:multiLevelType w:val="hybridMultilevel"/>
    <w:tmpl w:val="8F9AAE2E"/>
    <w:lvl w:ilvl="0" w:tplc="04090015">
      <w:start w:val="1"/>
      <w:numFmt w:val="upperLetter"/>
      <w:lvlText w:val="%1."/>
      <w:lvlJc w:val="left"/>
      <w:pPr>
        <w:ind w:left="1170" w:hanging="36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7A5B508A"/>
    <w:multiLevelType w:val="hybridMultilevel"/>
    <w:tmpl w:val="C712886C"/>
    <w:lvl w:ilvl="0" w:tplc="50F8BC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158886794">
    <w:abstractNumId w:val="11"/>
  </w:num>
  <w:num w:numId="2" w16cid:durableId="709115440">
    <w:abstractNumId w:val="2"/>
  </w:num>
  <w:num w:numId="3" w16cid:durableId="48189732">
    <w:abstractNumId w:val="8"/>
  </w:num>
  <w:num w:numId="4" w16cid:durableId="1947762423">
    <w:abstractNumId w:val="6"/>
  </w:num>
  <w:num w:numId="5" w16cid:durableId="1838424276">
    <w:abstractNumId w:val="1"/>
  </w:num>
  <w:num w:numId="6" w16cid:durableId="1212495112">
    <w:abstractNumId w:val="9"/>
  </w:num>
  <w:num w:numId="7" w16cid:durableId="1756973184">
    <w:abstractNumId w:val="5"/>
  </w:num>
  <w:num w:numId="8" w16cid:durableId="454522558">
    <w:abstractNumId w:val="13"/>
  </w:num>
  <w:num w:numId="9" w16cid:durableId="1230653129">
    <w:abstractNumId w:val="4"/>
  </w:num>
  <w:num w:numId="10" w16cid:durableId="1961766918">
    <w:abstractNumId w:val="12"/>
  </w:num>
  <w:num w:numId="11" w16cid:durableId="1957714395">
    <w:abstractNumId w:val="10"/>
  </w:num>
  <w:num w:numId="12" w16cid:durableId="1797482380">
    <w:abstractNumId w:val="0"/>
  </w:num>
  <w:num w:numId="13" w16cid:durableId="145366694">
    <w:abstractNumId w:val="7"/>
  </w:num>
  <w:num w:numId="14" w16cid:durableId="553855843">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120"/>
  <w:displayHorizontalDrawingGridEvery w:val="2"/>
  <w:displayVerticalDrawingGridEvery w:val="2"/>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4BF"/>
    <w:rsid w:val="00000370"/>
    <w:rsid w:val="00000D2F"/>
    <w:rsid w:val="00002909"/>
    <w:rsid w:val="00003719"/>
    <w:rsid w:val="00014B34"/>
    <w:rsid w:val="000157CE"/>
    <w:rsid w:val="00015CCB"/>
    <w:rsid w:val="00016063"/>
    <w:rsid w:val="0001629E"/>
    <w:rsid w:val="00017F4A"/>
    <w:rsid w:val="00021D78"/>
    <w:rsid w:val="00022B10"/>
    <w:rsid w:val="00026286"/>
    <w:rsid w:val="00026FBF"/>
    <w:rsid w:val="00027503"/>
    <w:rsid w:val="00031B5F"/>
    <w:rsid w:val="0003298B"/>
    <w:rsid w:val="00032BBF"/>
    <w:rsid w:val="00033D44"/>
    <w:rsid w:val="00034226"/>
    <w:rsid w:val="00036ECC"/>
    <w:rsid w:val="00037498"/>
    <w:rsid w:val="00037ADB"/>
    <w:rsid w:val="000403B5"/>
    <w:rsid w:val="00045906"/>
    <w:rsid w:val="00052F3A"/>
    <w:rsid w:val="00053652"/>
    <w:rsid w:val="0005427F"/>
    <w:rsid w:val="00057096"/>
    <w:rsid w:val="0006075C"/>
    <w:rsid w:val="00062123"/>
    <w:rsid w:val="00062D16"/>
    <w:rsid w:val="0006514C"/>
    <w:rsid w:val="00072ABD"/>
    <w:rsid w:val="00072B58"/>
    <w:rsid w:val="00074C2A"/>
    <w:rsid w:val="00076030"/>
    <w:rsid w:val="000763C0"/>
    <w:rsid w:val="00080AF8"/>
    <w:rsid w:val="00080EDE"/>
    <w:rsid w:val="0008491C"/>
    <w:rsid w:val="00090A53"/>
    <w:rsid w:val="0009303C"/>
    <w:rsid w:val="00094AE8"/>
    <w:rsid w:val="00097968"/>
    <w:rsid w:val="000A1CC9"/>
    <w:rsid w:val="000A1F48"/>
    <w:rsid w:val="000A4EAB"/>
    <w:rsid w:val="000B0874"/>
    <w:rsid w:val="000B0A55"/>
    <w:rsid w:val="000B1B18"/>
    <w:rsid w:val="000B2801"/>
    <w:rsid w:val="000B4383"/>
    <w:rsid w:val="000B5A8B"/>
    <w:rsid w:val="000B5C8D"/>
    <w:rsid w:val="000B6D74"/>
    <w:rsid w:val="000B7D83"/>
    <w:rsid w:val="000C4031"/>
    <w:rsid w:val="000C79F8"/>
    <w:rsid w:val="000D25F5"/>
    <w:rsid w:val="000D7364"/>
    <w:rsid w:val="000D7501"/>
    <w:rsid w:val="000D75A7"/>
    <w:rsid w:val="000D7E02"/>
    <w:rsid w:val="000E1E05"/>
    <w:rsid w:val="000E3CAB"/>
    <w:rsid w:val="000E4ACA"/>
    <w:rsid w:val="000E7DF8"/>
    <w:rsid w:val="000F40A2"/>
    <w:rsid w:val="000F4F03"/>
    <w:rsid w:val="000F636D"/>
    <w:rsid w:val="000F716F"/>
    <w:rsid w:val="000F7A48"/>
    <w:rsid w:val="000F7C03"/>
    <w:rsid w:val="00100843"/>
    <w:rsid w:val="00101EA3"/>
    <w:rsid w:val="0011021E"/>
    <w:rsid w:val="00115125"/>
    <w:rsid w:val="0011566C"/>
    <w:rsid w:val="001169A2"/>
    <w:rsid w:val="001171D5"/>
    <w:rsid w:val="001172B6"/>
    <w:rsid w:val="0012126F"/>
    <w:rsid w:val="00122189"/>
    <w:rsid w:val="00123316"/>
    <w:rsid w:val="00124315"/>
    <w:rsid w:val="00124567"/>
    <w:rsid w:val="00127167"/>
    <w:rsid w:val="00127C21"/>
    <w:rsid w:val="001311EA"/>
    <w:rsid w:val="00132035"/>
    <w:rsid w:val="001330CC"/>
    <w:rsid w:val="00133EED"/>
    <w:rsid w:val="0013531B"/>
    <w:rsid w:val="001353F5"/>
    <w:rsid w:val="00136056"/>
    <w:rsid w:val="0014268F"/>
    <w:rsid w:val="001432AA"/>
    <w:rsid w:val="00144846"/>
    <w:rsid w:val="00145E4E"/>
    <w:rsid w:val="001504B3"/>
    <w:rsid w:val="0015103F"/>
    <w:rsid w:val="00152E51"/>
    <w:rsid w:val="0015507F"/>
    <w:rsid w:val="00162F9F"/>
    <w:rsid w:val="001652F0"/>
    <w:rsid w:val="00170047"/>
    <w:rsid w:val="0017288C"/>
    <w:rsid w:val="00180D99"/>
    <w:rsid w:val="00181072"/>
    <w:rsid w:val="00181223"/>
    <w:rsid w:val="00184329"/>
    <w:rsid w:val="001846CD"/>
    <w:rsid w:val="00186C15"/>
    <w:rsid w:val="001904CB"/>
    <w:rsid w:val="00190684"/>
    <w:rsid w:val="00193B54"/>
    <w:rsid w:val="001963F8"/>
    <w:rsid w:val="001A0F7E"/>
    <w:rsid w:val="001A1F96"/>
    <w:rsid w:val="001A2605"/>
    <w:rsid w:val="001A3127"/>
    <w:rsid w:val="001A5970"/>
    <w:rsid w:val="001A716F"/>
    <w:rsid w:val="001B1AC4"/>
    <w:rsid w:val="001B1B0F"/>
    <w:rsid w:val="001B1C85"/>
    <w:rsid w:val="001B35FD"/>
    <w:rsid w:val="001B631B"/>
    <w:rsid w:val="001B7032"/>
    <w:rsid w:val="001C51DC"/>
    <w:rsid w:val="001D005C"/>
    <w:rsid w:val="001D03CE"/>
    <w:rsid w:val="001D103A"/>
    <w:rsid w:val="001D1DAD"/>
    <w:rsid w:val="001D2F68"/>
    <w:rsid w:val="001E7353"/>
    <w:rsid w:val="001E79F3"/>
    <w:rsid w:val="001F0772"/>
    <w:rsid w:val="001F3C5D"/>
    <w:rsid w:val="001F6D5D"/>
    <w:rsid w:val="001F7459"/>
    <w:rsid w:val="00201F5C"/>
    <w:rsid w:val="0020351F"/>
    <w:rsid w:val="0021017A"/>
    <w:rsid w:val="00214B04"/>
    <w:rsid w:val="00216E73"/>
    <w:rsid w:val="00220046"/>
    <w:rsid w:val="00220224"/>
    <w:rsid w:val="00220E68"/>
    <w:rsid w:val="0022187A"/>
    <w:rsid w:val="00223A23"/>
    <w:rsid w:val="00234D34"/>
    <w:rsid w:val="00234DA2"/>
    <w:rsid w:val="002353E6"/>
    <w:rsid w:val="0023565C"/>
    <w:rsid w:val="00235AAE"/>
    <w:rsid w:val="002362AC"/>
    <w:rsid w:val="002370C7"/>
    <w:rsid w:val="00242854"/>
    <w:rsid w:val="0024482D"/>
    <w:rsid w:val="00245220"/>
    <w:rsid w:val="00245912"/>
    <w:rsid w:val="00246445"/>
    <w:rsid w:val="00246E08"/>
    <w:rsid w:val="00246E65"/>
    <w:rsid w:val="00247897"/>
    <w:rsid w:val="00251FB3"/>
    <w:rsid w:val="00253986"/>
    <w:rsid w:val="00261714"/>
    <w:rsid w:val="002665C1"/>
    <w:rsid w:val="00270841"/>
    <w:rsid w:val="00274516"/>
    <w:rsid w:val="00274A46"/>
    <w:rsid w:val="00275656"/>
    <w:rsid w:val="0028213E"/>
    <w:rsid w:val="002866D5"/>
    <w:rsid w:val="002912AD"/>
    <w:rsid w:val="002954E5"/>
    <w:rsid w:val="00296016"/>
    <w:rsid w:val="002966CC"/>
    <w:rsid w:val="002979A7"/>
    <w:rsid w:val="002A0D54"/>
    <w:rsid w:val="002A1804"/>
    <w:rsid w:val="002A3F9F"/>
    <w:rsid w:val="002A46C2"/>
    <w:rsid w:val="002A4762"/>
    <w:rsid w:val="002A51E9"/>
    <w:rsid w:val="002A6164"/>
    <w:rsid w:val="002A705B"/>
    <w:rsid w:val="002B11F8"/>
    <w:rsid w:val="002B2FE8"/>
    <w:rsid w:val="002B53AE"/>
    <w:rsid w:val="002B6397"/>
    <w:rsid w:val="002C0C9B"/>
    <w:rsid w:val="002C1C9B"/>
    <w:rsid w:val="002D29A9"/>
    <w:rsid w:val="002D6624"/>
    <w:rsid w:val="002E09F4"/>
    <w:rsid w:val="002E2468"/>
    <w:rsid w:val="002E301F"/>
    <w:rsid w:val="002E3F90"/>
    <w:rsid w:val="002E7572"/>
    <w:rsid w:val="002F06E3"/>
    <w:rsid w:val="002F155E"/>
    <w:rsid w:val="002F1FCB"/>
    <w:rsid w:val="002F26D4"/>
    <w:rsid w:val="00300E31"/>
    <w:rsid w:val="00314608"/>
    <w:rsid w:val="003172C6"/>
    <w:rsid w:val="00317A3C"/>
    <w:rsid w:val="003248F0"/>
    <w:rsid w:val="0032536A"/>
    <w:rsid w:val="0033008C"/>
    <w:rsid w:val="003333FA"/>
    <w:rsid w:val="00337831"/>
    <w:rsid w:val="00344CC4"/>
    <w:rsid w:val="0034501F"/>
    <w:rsid w:val="00352286"/>
    <w:rsid w:val="00352EDC"/>
    <w:rsid w:val="003625F4"/>
    <w:rsid w:val="0036780E"/>
    <w:rsid w:val="00371986"/>
    <w:rsid w:val="00372CBA"/>
    <w:rsid w:val="00373693"/>
    <w:rsid w:val="00373C42"/>
    <w:rsid w:val="00373C79"/>
    <w:rsid w:val="0037471C"/>
    <w:rsid w:val="003807B2"/>
    <w:rsid w:val="00383957"/>
    <w:rsid w:val="00384B68"/>
    <w:rsid w:val="003866AA"/>
    <w:rsid w:val="0038674F"/>
    <w:rsid w:val="003907DE"/>
    <w:rsid w:val="00392C7F"/>
    <w:rsid w:val="00392D30"/>
    <w:rsid w:val="003943E9"/>
    <w:rsid w:val="00394582"/>
    <w:rsid w:val="00394CA3"/>
    <w:rsid w:val="003955B6"/>
    <w:rsid w:val="003A05B1"/>
    <w:rsid w:val="003A0691"/>
    <w:rsid w:val="003A10C7"/>
    <w:rsid w:val="003A1D48"/>
    <w:rsid w:val="003A2A95"/>
    <w:rsid w:val="003A4A3A"/>
    <w:rsid w:val="003A69AA"/>
    <w:rsid w:val="003A6F21"/>
    <w:rsid w:val="003A7364"/>
    <w:rsid w:val="003B0AAC"/>
    <w:rsid w:val="003B0CBE"/>
    <w:rsid w:val="003B70A8"/>
    <w:rsid w:val="003B7417"/>
    <w:rsid w:val="003C323B"/>
    <w:rsid w:val="003C3B7F"/>
    <w:rsid w:val="003C68CB"/>
    <w:rsid w:val="003C77AD"/>
    <w:rsid w:val="003D2BAD"/>
    <w:rsid w:val="003E0E1C"/>
    <w:rsid w:val="003E1081"/>
    <w:rsid w:val="003E317A"/>
    <w:rsid w:val="003E693A"/>
    <w:rsid w:val="003E6A3A"/>
    <w:rsid w:val="003E7695"/>
    <w:rsid w:val="003F01FE"/>
    <w:rsid w:val="003F30C9"/>
    <w:rsid w:val="003F337A"/>
    <w:rsid w:val="00402D71"/>
    <w:rsid w:val="004123B6"/>
    <w:rsid w:val="00421079"/>
    <w:rsid w:val="004229AF"/>
    <w:rsid w:val="00430C4D"/>
    <w:rsid w:val="004352A9"/>
    <w:rsid w:val="00437746"/>
    <w:rsid w:val="00440905"/>
    <w:rsid w:val="0044143E"/>
    <w:rsid w:val="00442C0C"/>
    <w:rsid w:val="00442D00"/>
    <w:rsid w:val="004455A9"/>
    <w:rsid w:val="00445623"/>
    <w:rsid w:val="004528EB"/>
    <w:rsid w:val="00452AE4"/>
    <w:rsid w:val="00452BEA"/>
    <w:rsid w:val="004543D1"/>
    <w:rsid w:val="00457A72"/>
    <w:rsid w:val="00457F5A"/>
    <w:rsid w:val="00465D6C"/>
    <w:rsid w:val="00467910"/>
    <w:rsid w:val="004701CD"/>
    <w:rsid w:val="00471BD8"/>
    <w:rsid w:val="00472EB7"/>
    <w:rsid w:val="00474224"/>
    <w:rsid w:val="00474417"/>
    <w:rsid w:val="00474C72"/>
    <w:rsid w:val="00480B4C"/>
    <w:rsid w:val="00484C42"/>
    <w:rsid w:val="00485484"/>
    <w:rsid w:val="004858D5"/>
    <w:rsid w:val="00486F91"/>
    <w:rsid w:val="004924C0"/>
    <w:rsid w:val="0049342A"/>
    <w:rsid w:val="0049410C"/>
    <w:rsid w:val="004947D6"/>
    <w:rsid w:val="00494C75"/>
    <w:rsid w:val="00495CB7"/>
    <w:rsid w:val="004A06CC"/>
    <w:rsid w:val="004A1267"/>
    <w:rsid w:val="004A1825"/>
    <w:rsid w:val="004A24B6"/>
    <w:rsid w:val="004A3EAB"/>
    <w:rsid w:val="004A49E7"/>
    <w:rsid w:val="004A540E"/>
    <w:rsid w:val="004A61C5"/>
    <w:rsid w:val="004A645D"/>
    <w:rsid w:val="004B06F6"/>
    <w:rsid w:val="004B11B0"/>
    <w:rsid w:val="004B1D19"/>
    <w:rsid w:val="004B6C3E"/>
    <w:rsid w:val="004C148D"/>
    <w:rsid w:val="004C1D25"/>
    <w:rsid w:val="004C50F2"/>
    <w:rsid w:val="004C5435"/>
    <w:rsid w:val="004C5BD2"/>
    <w:rsid w:val="004C690B"/>
    <w:rsid w:val="004D07BE"/>
    <w:rsid w:val="004D15B6"/>
    <w:rsid w:val="004D300C"/>
    <w:rsid w:val="004D50BB"/>
    <w:rsid w:val="004D64CE"/>
    <w:rsid w:val="004D6723"/>
    <w:rsid w:val="004E29F7"/>
    <w:rsid w:val="004E2D0C"/>
    <w:rsid w:val="004E60DE"/>
    <w:rsid w:val="004E61AE"/>
    <w:rsid w:val="004E669C"/>
    <w:rsid w:val="004E6CF4"/>
    <w:rsid w:val="004E7D14"/>
    <w:rsid w:val="004F3BAD"/>
    <w:rsid w:val="004F5056"/>
    <w:rsid w:val="005033EC"/>
    <w:rsid w:val="00504AC8"/>
    <w:rsid w:val="00510A1B"/>
    <w:rsid w:val="00511388"/>
    <w:rsid w:val="00513746"/>
    <w:rsid w:val="005145F0"/>
    <w:rsid w:val="00516677"/>
    <w:rsid w:val="00520CBA"/>
    <w:rsid w:val="00522533"/>
    <w:rsid w:val="00524592"/>
    <w:rsid w:val="0052465C"/>
    <w:rsid w:val="00525007"/>
    <w:rsid w:val="0052555A"/>
    <w:rsid w:val="00525D68"/>
    <w:rsid w:val="00532EDD"/>
    <w:rsid w:val="00534855"/>
    <w:rsid w:val="00536BD9"/>
    <w:rsid w:val="0053798D"/>
    <w:rsid w:val="00537FA6"/>
    <w:rsid w:val="00540CC8"/>
    <w:rsid w:val="0054212D"/>
    <w:rsid w:val="00542E97"/>
    <w:rsid w:val="00543137"/>
    <w:rsid w:val="0054439E"/>
    <w:rsid w:val="00545E5E"/>
    <w:rsid w:val="00547A3C"/>
    <w:rsid w:val="0055262F"/>
    <w:rsid w:val="005528E8"/>
    <w:rsid w:val="00553B78"/>
    <w:rsid w:val="00554B93"/>
    <w:rsid w:val="00555882"/>
    <w:rsid w:val="00557F37"/>
    <w:rsid w:val="005625F4"/>
    <w:rsid w:val="005636B6"/>
    <w:rsid w:val="005636CD"/>
    <w:rsid w:val="005719DD"/>
    <w:rsid w:val="00577D7C"/>
    <w:rsid w:val="005802C7"/>
    <w:rsid w:val="0058194A"/>
    <w:rsid w:val="00586545"/>
    <w:rsid w:val="005868D9"/>
    <w:rsid w:val="005929F4"/>
    <w:rsid w:val="00595234"/>
    <w:rsid w:val="0059581F"/>
    <w:rsid w:val="005A0B2D"/>
    <w:rsid w:val="005A3B96"/>
    <w:rsid w:val="005A5139"/>
    <w:rsid w:val="005A67D1"/>
    <w:rsid w:val="005C10C2"/>
    <w:rsid w:val="005C1519"/>
    <w:rsid w:val="005C7720"/>
    <w:rsid w:val="005C79D3"/>
    <w:rsid w:val="005D0648"/>
    <w:rsid w:val="005D2412"/>
    <w:rsid w:val="005D306F"/>
    <w:rsid w:val="005D3270"/>
    <w:rsid w:val="005E2782"/>
    <w:rsid w:val="005E445F"/>
    <w:rsid w:val="005F3395"/>
    <w:rsid w:val="005F4040"/>
    <w:rsid w:val="005F4A91"/>
    <w:rsid w:val="005F60CB"/>
    <w:rsid w:val="005F6F09"/>
    <w:rsid w:val="005F75CC"/>
    <w:rsid w:val="006008CE"/>
    <w:rsid w:val="00600A2B"/>
    <w:rsid w:val="00601A81"/>
    <w:rsid w:val="006025B6"/>
    <w:rsid w:val="00602A3D"/>
    <w:rsid w:val="00603276"/>
    <w:rsid w:val="006048C0"/>
    <w:rsid w:val="006055A6"/>
    <w:rsid w:val="00605701"/>
    <w:rsid w:val="00605917"/>
    <w:rsid w:val="006060A9"/>
    <w:rsid w:val="00610D5F"/>
    <w:rsid w:val="00612926"/>
    <w:rsid w:val="006136C5"/>
    <w:rsid w:val="00616720"/>
    <w:rsid w:val="00617182"/>
    <w:rsid w:val="006233A0"/>
    <w:rsid w:val="00625982"/>
    <w:rsid w:val="00630232"/>
    <w:rsid w:val="0063308D"/>
    <w:rsid w:val="00634047"/>
    <w:rsid w:val="00641B98"/>
    <w:rsid w:val="00643F89"/>
    <w:rsid w:val="006441B1"/>
    <w:rsid w:val="00645EC6"/>
    <w:rsid w:val="00645F57"/>
    <w:rsid w:val="006470EE"/>
    <w:rsid w:val="006512F2"/>
    <w:rsid w:val="0065540A"/>
    <w:rsid w:val="00655B08"/>
    <w:rsid w:val="006579F7"/>
    <w:rsid w:val="0066092E"/>
    <w:rsid w:val="00660FFA"/>
    <w:rsid w:val="00661C9A"/>
    <w:rsid w:val="00662E1B"/>
    <w:rsid w:val="00664005"/>
    <w:rsid w:val="006706FB"/>
    <w:rsid w:val="00676D24"/>
    <w:rsid w:val="006774AC"/>
    <w:rsid w:val="00677E19"/>
    <w:rsid w:val="00680A8B"/>
    <w:rsid w:val="006810CC"/>
    <w:rsid w:val="00682756"/>
    <w:rsid w:val="0068496D"/>
    <w:rsid w:val="006907C6"/>
    <w:rsid w:val="00690A15"/>
    <w:rsid w:val="00692A14"/>
    <w:rsid w:val="006940E7"/>
    <w:rsid w:val="00694867"/>
    <w:rsid w:val="00695DC8"/>
    <w:rsid w:val="006A0AD3"/>
    <w:rsid w:val="006A0C0C"/>
    <w:rsid w:val="006A0FFD"/>
    <w:rsid w:val="006A27A3"/>
    <w:rsid w:val="006A285F"/>
    <w:rsid w:val="006A54D4"/>
    <w:rsid w:val="006A5AAB"/>
    <w:rsid w:val="006A726F"/>
    <w:rsid w:val="006B004D"/>
    <w:rsid w:val="006B24B8"/>
    <w:rsid w:val="006B6DF8"/>
    <w:rsid w:val="006B7CDA"/>
    <w:rsid w:val="006C0016"/>
    <w:rsid w:val="006C2EE7"/>
    <w:rsid w:val="006D0E3C"/>
    <w:rsid w:val="006D3DD1"/>
    <w:rsid w:val="006D576B"/>
    <w:rsid w:val="006E0D06"/>
    <w:rsid w:val="006E4ED3"/>
    <w:rsid w:val="006E6126"/>
    <w:rsid w:val="006F357B"/>
    <w:rsid w:val="006F37A0"/>
    <w:rsid w:val="006F6F77"/>
    <w:rsid w:val="006F7E06"/>
    <w:rsid w:val="007020FF"/>
    <w:rsid w:val="007048BE"/>
    <w:rsid w:val="0070656E"/>
    <w:rsid w:val="00715626"/>
    <w:rsid w:val="00720B65"/>
    <w:rsid w:val="00720C35"/>
    <w:rsid w:val="00720CD9"/>
    <w:rsid w:val="00721AE3"/>
    <w:rsid w:val="007231D4"/>
    <w:rsid w:val="00723E6C"/>
    <w:rsid w:val="00725244"/>
    <w:rsid w:val="00726A9F"/>
    <w:rsid w:val="00731A5B"/>
    <w:rsid w:val="007337CA"/>
    <w:rsid w:val="00733BB8"/>
    <w:rsid w:val="0073404F"/>
    <w:rsid w:val="007341F9"/>
    <w:rsid w:val="0074288F"/>
    <w:rsid w:val="00744807"/>
    <w:rsid w:val="00745A07"/>
    <w:rsid w:val="007468C1"/>
    <w:rsid w:val="00747098"/>
    <w:rsid w:val="00752898"/>
    <w:rsid w:val="00757046"/>
    <w:rsid w:val="00760ABE"/>
    <w:rsid w:val="00766AC3"/>
    <w:rsid w:val="00770203"/>
    <w:rsid w:val="00773859"/>
    <w:rsid w:val="007752C8"/>
    <w:rsid w:val="007766A0"/>
    <w:rsid w:val="007805B3"/>
    <w:rsid w:val="007809A6"/>
    <w:rsid w:val="007815AB"/>
    <w:rsid w:val="007840D7"/>
    <w:rsid w:val="007846CF"/>
    <w:rsid w:val="00786E76"/>
    <w:rsid w:val="00787976"/>
    <w:rsid w:val="0079325C"/>
    <w:rsid w:val="00793F7A"/>
    <w:rsid w:val="00794266"/>
    <w:rsid w:val="007975C9"/>
    <w:rsid w:val="007A20EE"/>
    <w:rsid w:val="007A26EC"/>
    <w:rsid w:val="007A52D4"/>
    <w:rsid w:val="007A7BDA"/>
    <w:rsid w:val="007B2117"/>
    <w:rsid w:val="007B392B"/>
    <w:rsid w:val="007B76D1"/>
    <w:rsid w:val="007B7E87"/>
    <w:rsid w:val="007C4E26"/>
    <w:rsid w:val="007E1532"/>
    <w:rsid w:val="007E5FDA"/>
    <w:rsid w:val="007F1A46"/>
    <w:rsid w:val="007F3286"/>
    <w:rsid w:val="007F3817"/>
    <w:rsid w:val="007F60D4"/>
    <w:rsid w:val="007F716E"/>
    <w:rsid w:val="00802544"/>
    <w:rsid w:val="00802CE2"/>
    <w:rsid w:val="008030FC"/>
    <w:rsid w:val="00803837"/>
    <w:rsid w:val="00804C6C"/>
    <w:rsid w:val="0080513E"/>
    <w:rsid w:val="00805165"/>
    <w:rsid w:val="00813952"/>
    <w:rsid w:val="0081498C"/>
    <w:rsid w:val="00816B66"/>
    <w:rsid w:val="00816E22"/>
    <w:rsid w:val="00821D28"/>
    <w:rsid w:val="00821D38"/>
    <w:rsid w:val="00822CE8"/>
    <w:rsid w:val="00826329"/>
    <w:rsid w:val="00826BA7"/>
    <w:rsid w:val="00831ECA"/>
    <w:rsid w:val="008333C6"/>
    <w:rsid w:val="00833D24"/>
    <w:rsid w:val="00837897"/>
    <w:rsid w:val="0084159F"/>
    <w:rsid w:val="008416C2"/>
    <w:rsid w:val="00842412"/>
    <w:rsid w:val="00842B2A"/>
    <w:rsid w:val="00842E6C"/>
    <w:rsid w:val="00843101"/>
    <w:rsid w:val="00845854"/>
    <w:rsid w:val="00847C40"/>
    <w:rsid w:val="00852E6C"/>
    <w:rsid w:val="00855DDB"/>
    <w:rsid w:val="0085616C"/>
    <w:rsid w:val="00856AFF"/>
    <w:rsid w:val="00857693"/>
    <w:rsid w:val="008600A0"/>
    <w:rsid w:val="008602AE"/>
    <w:rsid w:val="00860548"/>
    <w:rsid w:val="00860691"/>
    <w:rsid w:val="00861BB2"/>
    <w:rsid w:val="00866779"/>
    <w:rsid w:val="00871208"/>
    <w:rsid w:val="0087389F"/>
    <w:rsid w:val="008754F4"/>
    <w:rsid w:val="00876C88"/>
    <w:rsid w:val="00877CA5"/>
    <w:rsid w:val="00882102"/>
    <w:rsid w:val="0088253C"/>
    <w:rsid w:val="008829A5"/>
    <w:rsid w:val="00887746"/>
    <w:rsid w:val="00887ADD"/>
    <w:rsid w:val="00895251"/>
    <w:rsid w:val="00896538"/>
    <w:rsid w:val="008976C5"/>
    <w:rsid w:val="008A6D2F"/>
    <w:rsid w:val="008B0EBE"/>
    <w:rsid w:val="008B1D9A"/>
    <w:rsid w:val="008B2895"/>
    <w:rsid w:val="008B365D"/>
    <w:rsid w:val="008B49C8"/>
    <w:rsid w:val="008B7C98"/>
    <w:rsid w:val="008C0A67"/>
    <w:rsid w:val="008C2088"/>
    <w:rsid w:val="008C433D"/>
    <w:rsid w:val="008C564B"/>
    <w:rsid w:val="008C57D7"/>
    <w:rsid w:val="008C71CB"/>
    <w:rsid w:val="008D0ABF"/>
    <w:rsid w:val="008D0E10"/>
    <w:rsid w:val="008D2BB7"/>
    <w:rsid w:val="008E0DFE"/>
    <w:rsid w:val="008E11CB"/>
    <w:rsid w:val="008E277E"/>
    <w:rsid w:val="008E2CD8"/>
    <w:rsid w:val="008E4184"/>
    <w:rsid w:val="008E6F7C"/>
    <w:rsid w:val="008E731A"/>
    <w:rsid w:val="008F0234"/>
    <w:rsid w:val="008F0297"/>
    <w:rsid w:val="008F2765"/>
    <w:rsid w:val="008F2A27"/>
    <w:rsid w:val="008F50D3"/>
    <w:rsid w:val="00900A0A"/>
    <w:rsid w:val="00903CC4"/>
    <w:rsid w:val="00904AF1"/>
    <w:rsid w:val="0090655B"/>
    <w:rsid w:val="00906FA3"/>
    <w:rsid w:val="00907F64"/>
    <w:rsid w:val="0091084C"/>
    <w:rsid w:val="00911E27"/>
    <w:rsid w:val="009145B4"/>
    <w:rsid w:val="009214C6"/>
    <w:rsid w:val="00922AB3"/>
    <w:rsid w:val="00922B85"/>
    <w:rsid w:val="009230F9"/>
    <w:rsid w:val="009237E6"/>
    <w:rsid w:val="00923F5E"/>
    <w:rsid w:val="00925885"/>
    <w:rsid w:val="0092734D"/>
    <w:rsid w:val="00930B11"/>
    <w:rsid w:val="00933090"/>
    <w:rsid w:val="009334C2"/>
    <w:rsid w:val="009352E9"/>
    <w:rsid w:val="00935F5C"/>
    <w:rsid w:val="00941D49"/>
    <w:rsid w:val="00942BBC"/>
    <w:rsid w:val="009470C6"/>
    <w:rsid w:val="00950BE4"/>
    <w:rsid w:val="00950D7D"/>
    <w:rsid w:val="009532C7"/>
    <w:rsid w:val="00954C9D"/>
    <w:rsid w:val="0095565B"/>
    <w:rsid w:val="009575BF"/>
    <w:rsid w:val="00963052"/>
    <w:rsid w:val="009630CE"/>
    <w:rsid w:val="009650E1"/>
    <w:rsid w:val="00966185"/>
    <w:rsid w:val="0096676B"/>
    <w:rsid w:val="0096788C"/>
    <w:rsid w:val="009702D0"/>
    <w:rsid w:val="009716E5"/>
    <w:rsid w:val="00974F33"/>
    <w:rsid w:val="00976425"/>
    <w:rsid w:val="0097745B"/>
    <w:rsid w:val="00980E92"/>
    <w:rsid w:val="00981028"/>
    <w:rsid w:val="00981D3F"/>
    <w:rsid w:val="00987683"/>
    <w:rsid w:val="00990D38"/>
    <w:rsid w:val="00993273"/>
    <w:rsid w:val="00996B2E"/>
    <w:rsid w:val="009A1F93"/>
    <w:rsid w:val="009A2297"/>
    <w:rsid w:val="009A2888"/>
    <w:rsid w:val="009A3690"/>
    <w:rsid w:val="009A3AB7"/>
    <w:rsid w:val="009A3F74"/>
    <w:rsid w:val="009A4BC5"/>
    <w:rsid w:val="009A6992"/>
    <w:rsid w:val="009B15EF"/>
    <w:rsid w:val="009B1FFD"/>
    <w:rsid w:val="009B210A"/>
    <w:rsid w:val="009B2BD8"/>
    <w:rsid w:val="009B5834"/>
    <w:rsid w:val="009B7190"/>
    <w:rsid w:val="009C066D"/>
    <w:rsid w:val="009C7C85"/>
    <w:rsid w:val="009D0913"/>
    <w:rsid w:val="009D0CCA"/>
    <w:rsid w:val="009D196D"/>
    <w:rsid w:val="009D218A"/>
    <w:rsid w:val="009D45B8"/>
    <w:rsid w:val="009D72AB"/>
    <w:rsid w:val="009D78E7"/>
    <w:rsid w:val="009D7C4A"/>
    <w:rsid w:val="009E3C71"/>
    <w:rsid w:val="009E4311"/>
    <w:rsid w:val="009E776E"/>
    <w:rsid w:val="009E7DF4"/>
    <w:rsid w:val="009F4967"/>
    <w:rsid w:val="009F6FD5"/>
    <w:rsid w:val="009F7A87"/>
    <w:rsid w:val="00A0506E"/>
    <w:rsid w:val="00A050AE"/>
    <w:rsid w:val="00A05960"/>
    <w:rsid w:val="00A05F1A"/>
    <w:rsid w:val="00A06867"/>
    <w:rsid w:val="00A07CEF"/>
    <w:rsid w:val="00A10A8B"/>
    <w:rsid w:val="00A147D6"/>
    <w:rsid w:val="00A14A68"/>
    <w:rsid w:val="00A15B4D"/>
    <w:rsid w:val="00A16433"/>
    <w:rsid w:val="00A16F8F"/>
    <w:rsid w:val="00A176F3"/>
    <w:rsid w:val="00A17CE8"/>
    <w:rsid w:val="00A20A74"/>
    <w:rsid w:val="00A22FEB"/>
    <w:rsid w:val="00A23E19"/>
    <w:rsid w:val="00A23FEC"/>
    <w:rsid w:val="00A24ECE"/>
    <w:rsid w:val="00A269FE"/>
    <w:rsid w:val="00A30599"/>
    <w:rsid w:val="00A318D2"/>
    <w:rsid w:val="00A3241D"/>
    <w:rsid w:val="00A34C57"/>
    <w:rsid w:val="00A3613C"/>
    <w:rsid w:val="00A368BE"/>
    <w:rsid w:val="00A37529"/>
    <w:rsid w:val="00A41A78"/>
    <w:rsid w:val="00A4413C"/>
    <w:rsid w:val="00A44F78"/>
    <w:rsid w:val="00A45759"/>
    <w:rsid w:val="00A45D22"/>
    <w:rsid w:val="00A502F5"/>
    <w:rsid w:val="00A52DD7"/>
    <w:rsid w:val="00A533FC"/>
    <w:rsid w:val="00A53B5C"/>
    <w:rsid w:val="00A542D3"/>
    <w:rsid w:val="00A55170"/>
    <w:rsid w:val="00A60446"/>
    <w:rsid w:val="00A62043"/>
    <w:rsid w:val="00A63AFA"/>
    <w:rsid w:val="00A65CDE"/>
    <w:rsid w:val="00A65D44"/>
    <w:rsid w:val="00A6692C"/>
    <w:rsid w:val="00A66E22"/>
    <w:rsid w:val="00A7031D"/>
    <w:rsid w:val="00A72BDD"/>
    <w:rsid w:val="00A75438"/>
    <w:rsid w:val="00A7628A"/>
    <w:rsid w:val="00A765C9"/>
    <w:rsid w:val="00A80D1B"/>
    <w:rsid w:val="00A819D6"/>
    <w:rsid w:val="00A8767A"/>
    <w:rsid w:val="00A90324"/>
    <w:rsid w:val="00A91A39"/>
    <w:rsid w:val="00A9449E"/>
    <w:rsid w:val="00A947FB"/>
    <w:rsid w:val="00AA06F5"/>
    <w:rsid w:val="00AA479F"/>
    <w:rsid w:val="00AA6AD8"/>
    <w:rsid w:val="00AA6AE2"/>
    <w:rsid w:val="00AB17F1"/>
    <w:rsid w:val="00AB1F46"/>
    <w:rsid w:val="00AB2A9A"/>
    <w:rsid w:val="00AB2D07"/>
    <w:rsid w:val="00AB3117"/>
    <w:rsid w:val="00AB65D6"/>
    <w:rsid w:val="00AB6D45"/>
    <w:rsid w:val="00AC0764"/>
    <w:rsid w:val="00AC1F4D"/>
    <w:rsid w:val="00AC4E57"/>
    <w:rsid w:val="00AD01AA"/>
    <w:rsid w:val="00AD15DF"/>
    <w:rsid w:val="00AD1DD2"/>
    <w:rsid w:val="00AD4C66"/>
    <w:rsid w:val="00AD50C8"/>
    <w:rsid w:val="00AD5EB6"/>
    <w:rsid w:val="00AD6302"/>
    <w:rsid w:val="00AD6517"/>
    <w:rsid w:val="00AE1D3D"/>
    <w:rsid w:val="00AE2010"/>
    <w:rsid w:val="00AE2499"/>
    <w:rsid w:val="00AE2D64"/>
    <w:rsid w:val="00AE629F"/>
    <w:rsid w:val="00AE64B9"/>
    <w:rsid w:val="00AE68E9"/>
    <w:rsid w:val="00AF1454"/>
    <w:rsid w:val="00AF14D5"/>
    <w:rsid w:val="00AF1BCA"/>
    <w:rsid w:val="00AF3AED"/>
    <w:rsid w:val="00AF3E03"/>
    <w:rsid w:val="00AF409C"/>
    <w:rsid w:val="00AF7ED3"/>
    <w:rsid w:val="00B0061E"/>
    <w:rsid w:val="00B0153B"/>
    <w:rsid w:val="00B12B8D"/>
    <w:rsid w:val="00B12F68"/>
    <w:rsid w:val="00B24291"/>
    <w:rsid w:val="00B252FC"/>
    <w:rsid w:val="00B254BF"/>
    <w:rsid w:val="00B25B17"/>
    <w:rsid w:val="00B26B52"/>
    <w:rsid w:val="00B312D6"/>
    <w:rsid w:val="00B317E3"/>
    <w:rsid w:val="00B32B49"/>
    <w:rsid w:val="00B337F6"/>
    <w:rsid w:val="00B3456F"/>
    <w:rsid w:val="00B40C10"/>
    <w:rsid w:val="00B43470"/>
    <w:rsid w:val="00B47136"/>
    <w:rsid w:val="00B5044C"/>
    <w:rsid w:val="00B50FD1"/>
    <w:rsid w:val="00B52399"/>
    <w:rsid w:val="00B55023"/>
    <w:rsid w:val="00B572CF"/>
    <w:rsid w:val="00B621E1"/>
    <w:rsid w:val="00B640DB"/>
    <w:rsid w:val="00B644C0"/>
    <w:rsid w:val="00B65372"/>
    <w:rsid w:val="00B66FD1"/>
    <w:rsid w:val="00B700FD"/>
    <w:rsid w:val="00B713F8"/>
    <w:rsid w:val="00B71F88"/>
    <w:rsid w:val="00B74872"/>
    <w:rsid w:val="00B75F28"/>
    <w:rsid w:val="00B779AF"/>
    <w:rsid w:val="00B80DFE"/>
    <w:rsid w:val="00B824F9"/>
    <w:rsid w:val="00B8427B"/>
    <w:rsid w:val="00B855D7"/>
    <w:rsid w:val="00B86097"/>
    <w:rsid w:val="00B90B7D"/>
    <w:rsid w:val="00B93CCD"/>
    <w:rsid w:val="00B94D1D"/>
    <w:rsid w:val="00B95304"/>
    <w:rsid w:val="00B967A7"/>
    <w:rsid w:val="00B9783A"/>
    <w:rsid w:val="00BA2E09"/>
    <w:rsid w:val="00BA6289"/>
    <w:rsid w:val="00BB1110"/>
    <w:rsid w:val="00BB14B8"/>
    <w:rsid w:val="00BB3B5B"/>
    <w:rsid w:val="00BB427D"/>
    <w:rsid w:val="00BB6EE1"/>
    <w:rsid w:val="00BB7C16"/>
    <w:rsid w:val="00BC0C83"/>
    <w:rsid w:val="00BC1CC5"/>
    <w:rsid w:val="00BC6CF3"/>
    <w:rsid w:val="00BC717E"/>
    <w:rsid w:val="00BD4F3A"/>
    <w:rsid w:val="00BD5799"/>
    <w:rsid w:val="00BD6E50"/>
    <w:rsid w:val="00BD6E99"/>
    <w:rsid w:val="00BE0A8A"/>
    <w:rsid w:val="00BE2F45"/>
    <w:rsid w:val="00BE4210"/>
    <w:rsid w:val="00BF03C3"/>
    <w:rsid w:val="00BF4BE8"/>
    <w:rsid w:val="00BF4F7D"/>
    <w:rsid w:val="00BF52A4"/>
    <w:rsid w:val="00C002E7"/>
    <w:rsid w:val="00C00D37"/>
    <w:rsid w:val="00C0540F"/>
    <w:rsid w:val="00C07608"/>
    <w:rsid w:val="00C129A9"/>
    <w:rsid w:val="00C156A7"/>
    <w:rsid w:val="00C16B5A"/>
    <w:rsid w:val="00C217B9"/>
    <w:rsid w:val="00C2183C"/>
    <w:rsid w:val="00C23A49"/>
    <w:rsid w:val="00C23BF3"/>
    <w:rsid w:val="00C3396D"/>
    <w:rsid w:val="00C356C1"/>
    <w:rsid w:val="00C36261"/>
    <w:rsid w:val="00C3771E"/>
    <w:rsid w:val="00C406DC"/>
    <w:rsid w:val="00C436E7"/>
    <w:rsid w:val="00C46D0E"/>
    <w:rsid w:val="00C51E85"/>
    <w:rsid w:val="00C54802"/>
    <w:rsid w:val="00C54F94"/>
    <w:rsid w:val="00C550FC"/>
    <w:rsid w:val="00C5600E"/>
    <w:rsid w:val="00C5663D"/>
    <w:rsid w:val="00C62D39"/>
    <w:rsid w:val="00C6430F"/>
    <w:rsid w:val="00C64638"/>
    <w:rsid w:val="00C669EE"/>
    <w:rsid w:val="00C66B57"/>
    <w:rsid w:val="00C7492D"/>
    <w:rsid w:val="00C74E0E"/>
    <w:rsid w:val="00C75201"/>
    <w:rsid w:val="00C76B5F"/>
    <w:rsid w:val="00C778BA"/>
    <w:rsid w:val="00C80CB3"/>
    <w:rsid w:val="00C80D3A"/>
    <w:rsid w:val="00C81426"/>
    <w:rsid w:val="00C81DD6"/>
    <w:rsid w:val="00C822EA"/>
    <w:rsid w:val="00C83825"/>
    <w:rsid w:val="00C83836"/>
    <w:rsid w:val="00C909AF"/>
    <w:rsid w:val="00C90F00"/>
    <w:rsid w:val="00C948B8"/>
    <w:rsid w:val="00C95467"/>
    <w:rsid w:val="00C96BC1"/>
    <w:rsid w:val="00CA1275"/>
    <w:rsid w:val="00CA1858"/>
    <w:rsid w:val="00CA1B07"/>
    <w:rsid w:val="00CA1E4B"/>
    <w:rsid w:val="00CA45B8"/>
    <w:rsid w:val="00CA4C96"/>
    <w:rsid w:val="00CA5E59"/>
    <w:rsid w:val="00CA64C6"/>
    <w:rsid w:val="00CA69A6"/>
    <w:rsid w:val="00CB094A"/>
    <w:rsid w:val="00CB4DD2"/>
    <w:rsid w:val="00CB6933"/>
    <w:rsid w:val="00CB7EED"/>
    <w:rsid w:val="00CC038D"/>
    <w:rsid w:val="00CC321E"/>
    <w:rsid w:val="00CC48A2"/>
    <w:rsid w:val="00CC7289"/>
    <w:rsid w:val="00CD4ABB"/>
    <w:rsid w:val="00CD56BF"/>
    <w:rsid w:val="00CD711C"/>
    <w:rsid w:val="00CE1E14"/>
    <w:rsid w:val="00CE57FA"/>
    <w:rsid w:val="00CF0495"/>
    <w:rsid w:val="00CF14C3"/>
    <w:rsid w:val="00CF7F5F"/>
    <w:rsid w:val="00D0427B"/>
    <w:rsid w:val="00D05299"/>
    <w:rsid w:val="00D13835"/>
    <w:rsid w:val="00D13CC7"/>
    <w:rsid w:val="00D2027F"/>
    <w:rsid w:val="00D23095"/>
    <w:rsid w:val="00D231AF"/>
    <w:rsid w:val="00D342BE"/>
    <w:rsid w:val="00D3490F"/>
    <w:rsid w:val="00D34E5F"/>
    <w:rsid w:val="00D3759E"/>
    <w:rsid w:val="00D41F7C"/>
    <w:rsid w:val="00D42F36"/>
    <w:rsid w:val="00D505D0"/>
    <w:rsid w:val="00D5187A"/>
    <w:rsid w:val="00D536FD"/>
    <w:rsid w:val="00D5463E"/>
    <w:rsid w:val="00D550EE"/>
    <w:rsid w:val="00D5769D"/>
    <w:rsid w:val="00D60680"/>
    <w:rsid w:val="00D631F4"/>
    <w:rsid w:val="00D6663C"/>
    <w:rsid w:val="00D66CCC"/>
    <w:rsid w:val="00D67AB1"/>
    <w:rsid w:val="00D70812"/>
    <w:rsid w:val="00D73B4F"/>
    <w:rsid w:val="00D8162E"/>
    <w:rsid w:val="00D871C0"/>
    <w:rsid w:val="00D87AA2"/>
    <w:rsid w:val="00D9137D"/>
    <w:rsid w:val="00D9317C"/>
    <w:rsid w:val="00D931D8"/>
    <w:rsid w:val="00D94026"/>
    <w:rsid w:val="00D9520B"/>
    <w:rsid w:val="00DA1411"/>
    <w:rsid w:val="00DA16B2"/>
    <w:rsid w:val="00DA1756"/>
    <w:rsid w:val="00DA2475"/>
    <w:rsid w:val="00DA5FAC"/>
    <w:rsid w:val="00DA6030"/>
    <w:rsid w:val="00DB2BC1"/>
    <w:rsid w:val="00DB2CF5"/>
    <w:rsid w:val="00DB4769"/>
    <w:rsid w:val="00DB5BC2"/>
    <w:rsid w:val="00DC217A"/>
    <w:rsid w:val="00DC219E"/>
    <w:rsid w:val="00DC27BF"/>
    <w:rsid w:val="00DC5C7C"/>
    <w:rsid w:val="00DC691D"/>
    <w:rsid w:val="00DC76D3"/>
    <w:rsid w:val="00DD0DAF"/>
    <w:rsid w:val="00DD1511"/>
    <w:rsid w:val="00DD2FAA"/>
    <w:rsid w:val="00DD3D7D"/>
    <w:rsid w:val="00DD7149"/>
    <w:rsid w:val="00DD7B12"/>
    <w:rsid w:val="00DE2F29"/>
    <w:rsid w:val="00DE3A04"/>
    <w:rsid w:val="00DE3D5F"/>
    <w:rsid w:val="00DE4063"/>
    <w:rsid w:val="00DE757D"/>
    <w:rsid w:val="00DF1E23"/>
    <w:rsid w:val="00DF220B"/>
    <w:rsid w:val="00DF3463"/>
    <w:rsid w:val="00DF7C2E"/>
    <w:rsid w:val="00E0061C"/>
    <w:rsid w:val="00E00AAC"/>
    <w:rsid w:val="00E010AC"/>
    <w:rsid w:val="00E01714"/>
    <w:rsid w:val="00E11524"/>
    <w:rsid w:val="00E11BE2"/>
    <w:rsid w:val="00E11E9B"/>
    <w:rsid w:val="00E12E62"/>
    <w:rsid w:val="00E14F40"/>
    <w:rsid w:val="00E168F9"/>
    <w:rsid w:val="00E16B66"/>
    <w:rsid w:val="00E203AA"/>
    <w:rsid w:val="00E21DF3"/>
    <w:rsid w:val="00E22DDE"/>
    <w:rsid w:val="00E23E2E"/>
    <w:rsid w:val="00E27D9D"/>
    <w:rsid w:val="00E33C77"/>
    <w:rsid w:val="00E3562C"/>
    <w:rsid w:val="00E41122"/>
    <w:rsid w:val="00E4562E"/>
    <w:rsid w:val="00E5050B"/>
    <w:rsid w:val="00E5177A"/>
    <w:rsid w:val="00E51968"/>
    <w:rsid w:val="00E52DA7"/>
    <w:rsid w:val="00E53633"/>
    <w:rsid w:val="00E554E1"/>
    <w:rsid w:val="00E55F8A"/>
    <w:rsid w:val="00E64729"/>
    <w:rsid w:val="00E70F1D"/>
    <w:rsid w:val="00E73ED5"/>
    <w:rsid w:val="00E75791"/>
    <w:rsid w:val="00E76E1B"/>
    <w:rsid w:val="00E83C4D"/>
    <w:rsid w:val="00E84096"/>
    <w:rsid w:val="00E853CD"/>
    <w:rsid w:val="00E86E54"/>
    <w:rsid w:val="00E94276"/>
    <w:rsid w:val="00E94377"/>
    <w:rsid w:val="00E94DC8"/>
    <w:rsid w:val="00EA27E4"/>
    <w:rsid w:val="00EA45CC"/>
    <w:rsid w:val="00EA503D"/>
    <w:rsid w:val="00EA6194"/>
    <w:rsid w:val="00EA6C0A"/>
    <w:rsid w:val="00EA792E"/>
    <w:rsid w:val="00EA7C09"/>
    <w:rsid w:val="00EB09CF"/>
    <w:rsid w:val="00EB1D94"/>
    <w:rsid w:val="00EB3B5D"/>
    <w:rsid w:val="00EB42C4"/>
    <w:rsid w:val="00EB4B6D"/>
    <w:rsid w:val="00EB5003"/>
    <w:rsid w:val="00EB7238"/>
    <w:rsid w:val="00EC0603"/>
    <w:rsid w:val="00EC4687"/>
    <w:rsid w:val="00EC7C37"/>
    <w:rsid w:val="00ED1D97"/>
    <w:rsid w:val="00ED2FFA"/>
    <w:rsid w:val="00ED3B93"/>
    <w:rsid w:val="00EE0027"/>
    <w:rsid w:val="00EE0401"/>
    <w:rsid w:val="00EE0F40"/>
    <w:rsid w:val="00EE34EA"/>
    <w:rsid w:val="00EE5FA5"/>
    <w:rsid w:val="00EE6610"/>
    <w:rsid w:val="00EF0C99"/>
    <w:rsid w:val="00EF7AA3"/>
    <w:rsid w:val="00F01F31"/>
    <w:rsid w:val="00F031D1"/>
    <w:rsid w:val="00F03681"/>
    <w:rsid w:val="00F03E17"/>
    <w:rsid w:val="00F03EF8"/>
    <w:rsid w:val="00F07C0E"/>
    <w:rsid w:val="00F11B56"/>
    <w:rsid w:val="00F128B7"/>
    <w:rsid w:val="00F14C03"/>
    <w:rsid w:val="00F14C07"/>
    <w:rsid w:val="00F16093"/>
    <w:rsid w:val="00F17E3A"/>
    <w:rsid w:val="00F20423"/>
    <w:rsid w:val="00F20BF1"/>
    <w:rsid w:val="00F20CE2"/>
    <w:rsid w:val="00F21ED2"/>
    <w:rsid w:val="00F2405B"/>
    <w:rsid w:val="00F25759"/>
    <w:rsid w:val="00F26119"/>
    <w:rsid w:val="00F320D5"/>
    <w:rsid w:val="00F3358A"/>
    <w:rsid w:val="00F3676A"/>
    <w:rsid w:val="00F36898"/>
    <w:rsid w:val="00F370D5"/>
    <w:rsid w:val="00F3732F"/>
    <w:rsid w:val="00F3778E"/>
    <w:rsid w:val="00F409B9"/>
    <w:rsid w:val="00F412A4"/>
    <w:rsid w:val="00F41D96"/>
    <w:rsid w:val="00F4296A"/>
    <w:rsid w:val="00F42CEC"/>
    <w:rsid w:val="00F4435E"/>
    <w:rsid w:val="00F45105"/>
    <w:rsid w:val="00F4540F"/>
    <w:rsid w:val="00F45C31"/>
    <w:rsid w:val="00F46EDE"/>
    <w:rsid w:val="00F4789E"/>
    <w:rsid w:val="00F51388"/>
    <w:rsid w:val="00F522DC"/>
    <w:rsid w:val="00F53D13"/>
    <w:rsid w:val="00F55091"/>
    <w:rsid w:val="00F55719"/>
    <w:rsid w:val="00F63158"/>
    <w:rsid w:val="00F6326C"/>
    <w:rsid w:val="00F63357"/>
    <w:rsid w:val="00F638C4"/>
    <w:rsid w:val="00F66434"/>
    <w:rsid w:val="00F70B87"/>
    <w:rsid w:val="00F72B1E"/>
    <w:rsid w:val="00F73417"/>
    <w:rsid w:val="00F7452F"/>
    <w:rsid w:val="00F77ED1"/>
    <w:rsid w:val="00F81A86"/>
    <w:rsid w:val="00F83766"/>
    <w:rsid w:val="00F86B45"/>
    <w:rsid w:val="00F90384"/>
    <w:rsid w:val="00F954CD"/>
    <w:rsid w:val="00F9622D"/>
    <w:rsid w:val="00FA20C8"/>
    <w:rsid w:val="00FA2967"/>
    <w:rsid w:val="00FB00B8"/>
    <w:rsid w:val="00FB41E1"/>
    <w:rsid w:val="00FB78F5"/>
    <w:rsid w:val="00FC076E"/>
    <w:rsid w:val="00FC120C"/>
    <w:rsid w:val="00FC405C"/>
    <w:rsid w:val="00FC4A35"/>
    <w:rsid w:val="00FC5CAC"/>
    <w:rsid w:val="00FD2200"/>
    <w:rsid w:val="00FD3C33"/>
    <w:rsid w:val="00FE02C0"/>
    <w:rsid w:val="00FE1461"/>
    <w:rsid w:val="00FE1994"/>
    <w:rsid w:val="00FE4800"/>
    <w:rsid w:val="00FE72A5"/>
    <w:rsid w:val="00FF3545"/>
    <w:rsid w:val="00FF547A"/>
    <w:rsid w:val="00FF57BA"/>
    <w:rsid w:val="00FF7618"/>
    <w:rsid w:val="00FF7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F3EB2B"/>
  <w15:docId w15:val="{D44DC4AA-4022-41EA-B6AB-ECDA7777D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767A"/>
    <w:pPr>
      <w:widowControl w:val="0"/>
    </w:pPr>
    <w:rPr>
      <w:rFonts w:ascii="Courier New" w:hAnsi="Courier New"/>
      <w:sz w:val="24"/>
    </w:rPr>
  </w:style>
  <w:style w:type="paragraph" w:styleId="Heading1">
    <w:name w:val="heading 1"/>
    <w:basedOn w:val="Normal"/>
    <w:next w:val="Normal"/>
    <w:link w:val="Heading1Char"/>
    <w:qFormat/>
    <w:rsid w:val="00A41A7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B254BF"/>
  </w:style>
  <w:style w:type="paragraph" w:styleId="Header">
    <w:name w:val="header"/>
    <w:basedOn w:val="Normal"/>
    <w:link w:val="HeaderChar"/>
    <w:uiPriority w:val="99"/>
    <w:rsid w:val="00B254BF"/>
    <w:pPr>
      <w:tabs>
        <w:tab w:val="center" w:pos="4320"/>
        <w:tab w:val="right" w:pos="8640"/>
      </w:tabs>
    </w:pPr>
  </w:style>
  <w:style w:type="paragraph" w:styleId="Footer">
    <w:name w:val="footer"/>
    <w:basedOn w:val="Normal"/>
    <w:link w:val="FooterChar"/>
    <w:uiPriority w:val="99"/>
    <w:rsid w:val="00B254BF"/>
    <w:pPr>
      <w:tabs>
        <w:tab w:val="center" w:pos="4320"/>
        <w:tab w:val="right" w:pos="8640"/>
      </w:tabs>
    </w:pPr>
  </w:style>
  <w:style w:type="character" w:styleId="PageNumber">
    <w:name w:val="page number"/>
    <w:basedOn w:val="DefaultParagraphFont"/>
    <w:rsid w:val="00B254BF"/>
  </w:style>
  <w:style w:type="paragraph" w:styleId="BodyTextIndent">
    <w:name w:val="Body Text Indent"/>
    <w:basedOn w:val="Normal"/>
    <w:rsid w:val="00B254BF"/>
    <w:pPr>
      <w:tabs>
        <w:tab w:val="left" w:pos="-720"/>
      </w:tabs>
      <w:suppressAutoHyphens/>
      <w:ind w:left="720"/>
      <w:jc w:val="both"/>
    </w:pPr>
    <w:rPr>
      <w:rFonts w:ascii="Century Schoolbook" w:hAnsi="Century Schoolbook"/>
      <w:spacing w:val="-3"/>
      <w:sz w:val="22"/>
    </w:rPr>
  </w:style>
  <w:style w:type="paragraph" w:styleId="BodyTextIndent2">
    <w:name w:val="Body Text Indent 2"/>
    <w:basedOn w:val="Normal"/>
    <w:rsid w:val="00B254BF"/>
    <w:pPr>
      <w:ind w:left="720" w:firstLine="240"/>
    </w:pPr>
    <w:rPr>
      <w:rFonts w:ascii="Arial" w:hAnsi="Arial"/>
      <w:snapToGrid w:val="0"/>
    </w:rPr>
  </w:style>
  <w:style w:type="character" w:customStyle="1" w:styleId="st1">
    <w:name w:val="st1"/>
    <w:rsid w:val="006060A9"/>
  </w:style>
  <w:style w:type="paragraph" w:styleId="NormalWeb">
    <w:name w:val="Normal (Web)"/>
    <w:basedOn w:val="Normal"/>
    <w:uiPriority w:val="99"/>
    <w:unhideWhenUsed/>
    <w:rsid w:val="00AE629F"/>
    <w:pPr>
      <w:widowControl/>
      <w:spacing w:before="100" w:beforeAutospacing="1" w:after="100" w:afterAutospacing="1"/>
    </w:pPr>
    <w:rPr>
      <w:rFonts w:ascii="Times New Roman" w:hAnsi="Times New Roman"/>
      <w:szCs w:val="24"/>
    </w:rPr>
  </w:style>
  <w:style w:type="paragraph" w:styleId="BalloonText">
    <w:name w:val="Balloon Text"/>
    <w:basedOn w:val="Normal"/>
    <w:link w:val="BalloonTextChar"/>
    <w:rsid w:val="005A3B96"/>
    <w:rPr>
      <w:rFonts w:ascii="Tahoma" w:hAnsi="Tahoma" w:cs="Tahoma"/>
      <w:sz w:val="16"/>
      <w:szCs w:val="16"/>
    </w:rPr>
  </w:style>
  <w:style w:type="character" w:customStyle="1" w:styleId="BalloonTextChar">
    <w:name w:val="Balloon Text Char"/>
    <w:link w:val="BalloonText"/>
    <w:rsid w:val="005A3B96"/>
    <w:rPr>
      <w:rFonts w:ascii="Tahoma" w:hAnsi="Tahoma" w:cs="Tahoma"/>
      <w:sz w:val="16"/>
      <w:szCs w:val="16"/>
    </w:rPr>
  </w:style>
  <w:style w:type="paragraph" w:styleId="ListParagraph">
    <w:name w:val="List Paragraph"/>
    <w:basedOn w:val="Normal"/>
    <w:uiPriority w:val="34"/>
    <w:qFormat/>
    <w:rsid w:val="00EA45CC"/>
    <w:pPr>
      <w:ind w:left="720"/>
      <w:contextualSpacing/>
    </w:pPr>
  </w:style>
  <w:style w:type="paragraph" w:styleId="FootnoteText">
    <w:name w:val="footnote text"/>
    <w:basedOn w:val="Normal"/>
    <w:link w:val="FootnoteTextChar"/>
    <w:rsid w:val="002C1C9B"/>
    <w:rPr>
      <w:sz w:val="20"/>
    </w:rPr>
  </w:style>
  <w:style w:type="character" w:customStyle="1" w:styleId="FootnoteTextChar">
    <w:name w:val="Footnote Text Char"/>
    <w:basedOn w:val="DefaultParagraphFont"/>
    <w:link w:val="FootnoteText"/>
    <w:rsid w:val="002C1C9B"/>
    <w:rPr>
      <w:rFonts w:ascii="Courier New" w:hAnsi="Courier New"/>
    </w:rPr>
  </w:style>
  <w:style w:type="character" w:styleId="FootnoteReference">
    <w:name w:val="footnote reference"/>
    <w:basedOn w:val="DefaultParagraphFont"/>
    <w:rsid w:val="002C1C9B"/>
    <w:rPr>
      <w:vertAlign w:val="superscript"/>
    </w:rPr>
  </w:style>
  <w:style w:type="character" w:customStyle="1" w:styleId="Heading1Char">
    <w:name w:val="Heading 1 Char"/>
    <w:basedOn w:val="DefaultParagraphFont"/>
    <w:link w:val="Heading1"/>
    <w:rsid w:val="00A41A78"/>
    <w:rPr>
      <w:rFonts w:asciiTheme="majorHAnsi" w:eastAsiaTheme="majorEastAsia" w:hAnsiTheme="majorHAnsi" w:cstheme="majorBidi"/>
      <w:color w:val="365F91" w:themeColor="accent1" w:themeShade="BF"/>
      <w:sz w:val="32"/>
      <w:szCs w:val="32"/>
    </w:rPr>
  </w:style>
  <w:style w:type="character" w:customStyle="1" w:styleId="HeaderChar">
    <w:name w:val="Header Char"/>
    <w:basedOn w:val="DefaultParagraphFont"/>
    <w:link w:val="Header"/>
    <w:uiPriority w:val="99"/>
    <w:rsid w:val="005802C7"/>
    <w:rPr>
      <w:rFonts w:ascii="Courier New" w:hAnsi="Courier New"/>
      <w:sz w:val="24"/>
    </w:rPr>
  </w:style>
  <w:style w:type="character" w:customStyle="1" w:styleId="FooterChar">
    <w:name w:val="Footer Char"/>
    <w:basedOn w:val="DefaultParagraphFont"/>
    <w:link w:val="Footer"/>
    <w:uiPriority w:val="99"/>
    <w:rsid w:val="0021017A"/>
    <w:rPr>
      <w:rFonts w:ascii="Courier New" w:hAnsi="Courier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86919">
      <w:bodyDiv w:val="1"/>
      <w:marLeft w:val="0"/>
      <w:marRight w:val="0"/>
      <w:marTop w:val="0"/>
      <w:marBottom w:val="0"/>
      <w:divBdr>
        <w:top w:val="none" w:sz="0" w:space="0" w:color="auto"/>
        <w:left w:val="none" w:sz="0" w:space="0" w:color="auto"/>
        <w:bottom w:val="none" w:sz="0" w:space="0" w:color="auto"/>
        <w:right w:val="none" w:sz="0" w:space="0" w:color="auto"/>
      </w:divBdr>
    </w:div>
    <w:div w:id="296037708">
      <w:bodyDiv w:val="1"/>
      <w:marLeft w:val="0"/>
      <w:marRight w:val="0"/>
      <w:marTop w:val="0"/>
      <w:marBottom w:val="0"/>
      <w:divBdr>
        <w:top w:val="none" w:sz="0" w:space="0" w:color="auto"/>
        <w:left w:val="none" w:sz="0" w:space="0" w:color="auto"/>
        <w:bottom w:val="none" w:sz="0" w:space="0" w:color="auto"/>
        <w:right w:val="none" w:sz="0" w:space="0" w:color="auto"/>
      </w:divBdr>
    </w:div>
    <w:div w:id="469790321">
      <w:bodyDiv w:val="1"/>
      <w:marLeft w:val="0"/>
      <w:marRight w:val="0"/>
      <w:marTop w:val="0"/>
      <w:marBottom w:val="0"/>
      <w:divBdr>
        <w:top w:val="none" w:sz="0" w:space="0" w:color="auto"/>
        <w:left w:val="none" w:sz="0" w:space="0" w:color="auto"/>
        <w:bottom w:val="none" w:sz="0" w:space="0" w:color="auto"/>
        <w:right w:val="none" w:sz="0" w:space="0" w:color="auto"/>
      </w:divBdr>
    </w:div>
    <w:div w:id="735784828">
      <w:bodyDiv w:val="1"/>
      <w:marLeft w:val="0"/>
      <w:marRight w:val="0"/>
      <w:marTop w:val="0"/>
      <w:marBottom w:val="0"/>
      <w:divBdr>
        <w:top w:val="none" w:sz="0" w:space="0" w:color="auto"/>
        <w:left w:val="none" w:sz="0" w:space="0" w:color="auto"/>
        <w:bottom w:val="none" w:sz="0" w:space="0" w:color="auto"/>
        <w:right w:val="none" w:sz="0" w:space="0" w:color="auto"/>
      </w:divBdr>
    </w:div>
    <w:div w:id="749808410">
      <w:bodyDiv w:val="1"/>
      <w:marLeft w:val="0"/>
      <w:marRight w:val="0"/>
      <w:marTop w:val="0"/>
      <w:marBottom w:val="0"/>
      <w:divBdr>
        <w:top w:val="none" w:sz="0" w:space="0" w:color="auto"/>
        <w:left w:val="none" w:sz="0" w:space="0" w:color="auto"/>
        <w:bottom w:val="none" w:sz="0" w:space="0" w:color="auto"/>
        <w:right w:val="none" w:sz="0" w:space="0" w:color="auto"/>
      </w:divBdr>
    </w:div>
    <w:div w:id="1319991379">
      <w:bodyDiv w:val="1"/>
      <w:marLeft w:val="0"/>
      <w:marRight w:val="0"/>
      <w:marTop w:val="0"/>
      <w:marBottom w:val="0"/>
      <w:divBdr>
        <w:top w:val="none" w:sz="0" w:space="0" w:color="auto"/>
        <w:left w:val="none" w:sz="0" w:space="0" w:color="auto"/>
        <w:bottom w:val="none" w:sz="0" w:space="0" w:color="auto"/>
        <w:right w:val="none" w:sz="0" w:space="0" w:color="auto"/>
      </w:divBdr>
    </w:div>
    <w:div w:id="1486315213">
      <w:bodyDiv w:val="1"/>
      <w:marLeft w:val="0"/>
      <w:marRight w:val="0"/>
      <w:marTop w:val="0"/>
      <w:marBottom w:val="0"/>
      <w:divBdr>
        <w:top w:val="none" w:sz="0" w:space="0" w:color="auto"/>
        <w:left w:val="none" w:sz="0" w:space="0" w:color="auto"/>
        <w:bottom w:val="none" w:sz="0" w:space="0" w:color="auto"/>
        <w:right w:val="none" w:sz="0" w:space="0" w:color="auto"/>
      </w:divBdr>
      <w:divsChild>
        <w:div w:id="65155298">
          <w:marLeft w:val="0"/>
          <w:marRight w:val="0"/>
          <w:marTop w:val="0"/>
          <w:marBottom w:val="0"/>
          <w:divBdr>
            <w:top w:val="none" w:sz="0" w:space="0" w:color="auto"/>
            <w:left w:val="none" w:sz="0" w:space="0" w:color="auto"/>
            <w:bottom w:val="none" w:sz="0" w:space="0" w:color="auto"/>
            <w:right w:val="none" w:sz="0" w:space="0" w:color="auto"/>
          </w:divBdr>
          <w:divsChild>
            <w:div w:id="1421215327">
              <w:marLeft w:val="0"/>
              <w:marRight w:val="0"/>
              <w:marTop w:val="0"/>
              <w:marBottom w:val="0"/>
              <w:divBdr>
                <w:top w:val="none" w:sz="0" w:space="0" w:color="auto"/>
                <w:left w:val="none" w:sz="0" w:space="0" w:color="auto"/>
                <w:bottom w:val="none" w:sz="0" w:space="0" w:color="auto"/>
                <w:right w:val="none" w:sz="0" w:space="0" w:color="auto"/>
              </w:divBdr>
              <w:divsChild>
                <w:div w:id="12339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416896">
      <w:bodyDiv w:val="1"/>
      <w:marLeft w:val="0"/>
      <w:marRight w:val="0"/>
      <w:marTop w:val="0"/>
      <w:marBottom w:val="0"/>
      <w:divBdr>
        <w:top w:val="none" w:sz="0" w:space="0" w:color="auto"/>
        <w:left w:val="none" w:sz="0" w:space="0" w:color="auto"/>
        <w:bottom w:val="none" w:sz="0" w:space="0" w:color="auto"/>
        <w:right w:val="none" w:sz="0" w:space="0" w:color="auto"/>
      </w:divBdr>
    </w:div>
    <w:div w:id="176275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9BB80415E434B848F268414C9A745DE"/>
        <w:category>
          <w:name w:val="General"/>
          <w:gallery w:val="placeholder"/>
        </w:category>
        <w:types>
          <w:type w:val="bbPlcHdr"/>
        </w:types>
        <w:behaviors>
          <w:behavior w:val="content"/>
        </w:behaviors>
        <w:guid w:val="{0CF2F9A9-6FC4-49F3-A7DB-9CDA2A7E3A7A}"/>
      </w:docPartPr>
      <w:docPartBody>
        <w:p w:rsidR="00067DD7" w:rsidRDefault="00067DD7" w:rsidP="00067DD7">
          <w:pPr>
            <w:pStyle w:val="D9BB80415E434B848F268414C9A745DE"/>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DD7"/>
    <w:rsid w:val="000321E0"/>
    <w:rsid w:val="00067DD7"/>
    <w:rsid w:val="002D6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BB80415E434B848F268414C9A745DE">
    <w:name w:val="D9BB80415E434B848F268414C9A745DE"/>
    <w:rsid w:val="00067D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36B2C0-A604-45F3-84F5-1053AA073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1926</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INTERMEDIARY’S POSITION PAPER</vt:lpstr>
    </vt:vector>
  </TitlesOfParts>
  <Company>Highmark</Company>
  <LinksUpToDate>false</LinksUpToDate>
  <CharactersWithSpaces>12880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 15-1299G, 16-0809GC, 17-0913GC &amp; 18-0634GC</dc:title>
  <dc:creator>lid2ffz</dc:creator>
  <cp:lastModifiedBy>Jonah Smith</cp:lastModifiedBy>
  <cp:revision>3</cp:revision>
  <cp:lastPrinted>2016-06-27T21:23:00Z</cp:lastPrinted>
  <dcterms:created xsi:type="dcterms:W3CDTF">2024-07-01T12:27:00Z</dcterms:created>
  <dcterms:modified xsi:type="dcterms:W3CDTF">2024-07-01T12:28:00Z</dcterms:modified>
</cp:coreProperties>
</file>