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rFonts w:ascii="Calibri" w:hAnsi="Calibri"/>
          <w:b/>
          <w:color w:val="2E74B5"/>
          <w:sz w:val="24"/>
        </w:rPr>
        <w:t>RAPPORT</w:t>
      </w:r>
    </w:p>
    <w:p>
      <w:pPr>
        <w:spacing w:after="160"/>
        <w:jc w:val="center"/>
      </w:pPr>
      <w:r>
        <w:rPr>
          <w:rFonts w:ascii="Calibri" w:hAnsi="Calibri"/>
          <w:b/>
          <w:color w:val="0B2545"/>
          <w:sz w:val="56"/>
        </w:rPr>
        <w:t>Intern webportal med</w:t>
        <w:br/>
        <w:t>høj tilgængelighed</w:t>
      </w:r>
    </w:p>
    <w:p>
      <w:pPr>
        <w:spacing w:after="560"/>
        <w:jc w:val="center"/>
      </w:pPr>
      <w:r>
        <w:rPr>
          <w:rFonts w:ascii="Calibri" w:hAnsi="Calibri"/>
          <w:color w:val="59636E"/>
          <w:sz w:val="28"/>
        </w:rPr>
        <w:t>Linux Servere - implementering, test og evaluering</w:t>
      </w:r>
    </w:p>
    <w:tbl>
      <w:tblPr>
        <w:tblW w:type="dxa" w:w="9360"/>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jc w:val="left"/>
            </w:pPr>
            <w:r>
              <w:rPr>
                <w:rFonts w:ascii="Calibri" w:hAnsi="Calibri"/>
                <w:b/>
                <w:color w:val="0B2545"/>
                <w:sz w:val="21"/>
              </w:rPr>
              <w:t>Projekt</w:t>
            </w:r>
          </w:p>
        </w:tc>
        <w:tc>
          <w:tcPr>
            <w:tcW w:type="dxa" w:w="6660"/>
            <w:tcMar>
              <w:top w:w="80" w:type="dxa"/>
              <w:start w:w="120" w:type="dxa"/>
              <w:bottom w:w="80" w:type="dxa"/>
              <w:end w:w="120" w:type="dxa"/>
            </w:tcMar>
            <w:vAlign w:val="center"/>
          </w:tcPr>
          <w:p>
            <w:r>
              <w:rPr>
                <w:rFonts w:ascii="Calibri" w:hAnsi="Calibri"/>
                <w:sz w:val="21"/>
              </w:rPr>
              <w:t>Intern webportal - HA-demo</w:t>
            </w:r>
          </w:p>
        </w:tc>
      </w:tr>
      <w:tr>
        <w:tc>
          <w:tcPr>
            <w:tcW w:type="dxa" w:w="2700"/>
            <w:tcMar>
              <w:top w:w="80" w:type="dxa"/>
              <w:start w:w="120" w:type="dxa"/>
              <w:bottom w:w="80" w:type="dxa"/>
              <w:end w:w="120" w:type="dxa"/>
            </w:tcMar>
            <w:vAlign w:val="center"/>
            <w:shd w:fill="E8EEF5"/>
          </w:tcPr>
          <w:p>
            <w:pPr>
              <w:jc w:val="left"/>
            </w:pPr>
            <w:r>
              <w:rPr>
                <w:rFonts w:ascii="Calibri" w:hAnsi="Calibri"/>
                <w:b/>
                <w:color w:val="0B2545"/>
                <w:sz w:val="21"/>
              </w:rPr>
              <w:t>Platform</w:t>
            </w:r>
          </w:p>
        </w:tc>
        <w:tc>
          <w:tcPr>
            <w:tcW w:type="dxa" w:w="6660"/>
            <w:tcMar>
              <w:top w:w="80" w:type="dxa"/>
              <w:start w:w="120" w:type="dxa"/>
              <w:bottom w:w="80" w:type="dxa"/>
              <w:end w:w="120" w:type="dxa"/>
            </w:tcMar>
            <w:vAlign w:val="center"/>
          </w:tcPr>
          <w:p>
            <w:r>
              <w:rPr>
                <w:rFonts w:ascii="Calibri" w:hAnsi="Calibri"/>
                <w:sz w:val="21"/>
              </w:rPr>
              <w:t>To Proxmox VE-værter med Debian LXC-containere</w:t>
            </w:r>
          </w:p>
        </w:tc>
      </w:tr>
      <w:tr>
        <w:tc>
          <w:tcPr>
            <w:tcW w:type="dxa" w:w="2700"/>
            <w:tcMar>
              <w:top w:w="80" w:type="dxa"/>
              <w:start w:w="120" w:type="dxa"/>
              <w:bottom w:w="80" w:type="dxa"/>
              <w:end w:w="120" w:type="dxa"/>
            </w:tcMar>
            <w:vAlign w:val="center"/>
            <w:shd w:fill="E8EEF5"/>
          </w:tcPr>
          <w:p>
            <w:pPr>
              <w:jc w:val="left"/>
            </w:pPr>
            <w:r>
              <w:rPr>
                <w:rFonts w:ascii="Calibri" w:hAnsi="Calibri"/>
                <w:b/>
                <w:color w:val="0B2545"/>
                <w:sz w:val="21"/>
              </w:rPr>
              <w:t>Dato</w:t>
            </w:r>
          </w:p>
        </w:tc>
        <w:tc>
          <w:tcPr>
            <w:tcW w:type="dxa" w:w="6660"/>
            <w:tcMar>
              <w:top w:w="80" w:type="dxa"/>
              <w:start w:w="120" w:type="dxa"/>
              <w:bottom w:w="80" w:type="dxa"/>
              <w:end w:w="120" w:type="dxa"/>
            </w:tcMar>
            <w:vAlign w:val="center"/>
          </w:tcPr>
          <w:p>
            <w:r>
              <w:rPr>
                <w:rFonts w:ascii="Calibri" w:hAnsi="Calibri"/>
                <w:sz w:val="21"/>
              </w:rPr>
              <w:t>24. august 2026</w:t>
            </w:r>
          </w:p>
        </w:tc>
      </w:tr>
      <w:tr>
        <w:tc>
          <w:tcPr>
            <w:tcW w:type="dxa" w:w="2700"/>
            <w:tcMar>
              <w:top w:w="80" w:type="dxa"/>
              <w:start w:w="120" w:type="dxa"/>
              <w:bottom w:w="80" w:type="dxa"/>
              <w:end w:w="120" w:type="dxa"/>
            </w:tcMar>
            <w:vAlign w:val="center"/>
            <w:shd w:fill="E8EEF5"/>
          </w:tcPr>
          <w:p>
            <w:pPr>
              <w:jc w:val="left"/>
            </w:pPr>
            <w:r>
              <w:rPr>
                <w:rFonts w:ascii="Calibri" w:hAnsi="Calibri"/>
                <w:b/>
                <w:color w:val="0B2545"/>
                <w:sz w:val="21"/>
              </w:rPr>
              <w:t>Status</w:t>
            </w:r>
          </w:p>
        </w:tc>
        <w:tc>
          <w:tcPr>
            <w:tcW w:type="dxa" w:w="6660"/>
            <w:tcMar>
              <w:top w:w="80" w:type="dxa"/>
              <w:start w:w="120" w:type="dxa"/>
              <w:bottom w:w="80" w:type="dxa"/>
              <w:end w:w="120" w:type="dxa"/>
            </w:tcMar>
            <w:vAlign w:val="center"/>
          </w:tcPr>
          <w:p>
            <w:r>
              <w:rPr>
                <w:rFonts w:ascii="Calibri" w:hAnsi="Calibri"/>
                <w:sz w:val="21"/>
              </w:rPr>
              <w:t>Krav om web-HA og datareplikering er opfyldt</w:t>
            </w:r>
          </w:p>
        </w:tc>
      </w:tr>
    </w:tbl>
    <w:p>
      <w:pPr>
        <w:spacing w:before="560"/>
        <w:jc w:val="center"/>
      </w:pPr>
      <w:r>
        <w:rPr>
          <w:rFonts w:ascii="Calibri" w:hAnsi="Calibri"/>
          <w:i/>
          <w:color w:val="7A5A00"/>
          <w:sz w:val="20"/>
        </w:rPr>
        <w:t>Afgrænsning: Backup/PBS og tredje server indgår ikke i denne rapport.</w:t>
      </w:r>
    </w:p>
    <w:p>
      <w:r>
        <w:br w:type="page"/>
      </w:r>
    </w:p>
    <w:p>
      <w:pPr>
        <w:pStyle w:val="Heading1"/>
      </w:pPr>
      <w:r>
        <w:t>1. Resumé</w:t>
      </w:r>
    </w:p>
    <w:p>
      <w:r>
        <w:t>Projektet har etableret en intern webportal på to fysiske Linux-baserede Proxmox VE-værter. Portalen er et mock-tidsregistreringssystem, der bruges til at demonstrere høj tilgængelighed, belastningsfordeling og datareplikering.</w:t>
      </w:r>
    </w:p>
    <w:p>
      <w:r>
        <w:t>Løsningen opfylder de centrale krav: Trafik går via én virtuel IP-adresse, fordeles mellem to webservere og fortsætter ved fejl på en proxy eller webnode. Data gemmes i PostgreSQL på en primær database og replikeres løbende til en standby-database.</w:t>
      </w:r>
    </w:p>
    <w:p>
      <w:pPr>
        <w:pStyle w:val="Heading2"/>
      </w:pPr>
      <w:r>
        <w:t>Resultat i kort form</w:t>
      </w:r>
    </w:p>
    <w:p>
      <w:pPr>
        <w:pStyle w:val="ListBullet"/>
        <w:spacing w:after="80" w:line="280" w:lineRule="auto"/>
      </w:pPr>
      <w:r>
        <w:rPr>
          <w:rFonts w:ascii="Calibri" w:hAnsi="Calibri"/>
          <w:sz w:val="22"/>
        </w:rPr>
        <w:t>To Proxmox VE-værter er samlet i clusteret portal-ha.</w:t>
      </w:r>
    </w:p>
    <w:p>
      <w:pPr>
        <w:pStyle w:val="ListBullet"/>
        <w:spacing w:after="80" w:line="280" w:lineRule="auto"/>
      </w:pPr>
      <w:r>
        <w:rPr>
          <w:rFonts w:ascii="Calibri" w:hAnsi="Calibri"/>
          <w:sz w:val="22"/>
        </w:rPr>
        <w:t>VIP 192.168.1.40 flytter automatisk mellem to HAProxy/Keepalived-noder.</w:t>
      </w:r>
    </w:p>
    <w:p>
      <w:pPr>
        <w:pStyle w:val="ListBullet"/>
        <w:spacing w:after="80" w:line="280" w:lineRule="auto"/>
      </w:pPr>
      <w:r>
        <w:rPr>
          <w:rFonts w:ascii="Calibri" w:hAnsi="Calibri"/>
          <w:sz w:val="22"/>
        </w:rPr>
        <w:t>To Flask/Gunicorn-webnoder leverer samme mock-portal.</w:t>
      </w:r>
    </w:p>
    <w:p>
      <w:pPr>
        <w:pStyle w:val="ListBullet"/>
        <w:spacing w:after="80" w:line="280" w:lineRule="auto"/>
      </w:pPr>
      <w:r>
        <w:rPr>
          <w:rFonts w:ascii="Calibri" w:hAnsi="Calibri"/>
          <w:sz w:val="22"/>
        </w:rPr>
        <w:t>PostgreSQL 17 streaming-replikering er verificeret med testdata.</w:t>
      </w:r>
    </w:p>
    <w:p>
      <w:pPr>
        <w:pStyle w:val="ListBullet"/>
        <w:spacing w:after="80" w:line="280" w:lineRule="auto"/>
      </w:pPr>
      <w:r>
        <w:rPr>
          <w:rFonts w:ascii="Calibri" w:hAnsi="Calibri"/>
          <w:sz w:val="22"/>
        </w:rPr>
        <w:t>Test viser proxy-failover, web-failover, trafikfordeling og replikerede data.</w:t>
      </w:r>
    </w:p>
    <w:p>
      <w:pPr>
        <w:pStyle w:val="Heading1"/>
      </w:pPr>
      <w:r>
        <w:t>2. Opgavens mål og afgrænsning</w:t>
      </w:r>
    </w:p>
    <w:p>
      <w:r>
        <w:t>Opgaven kræver en intern webportal leveret af to Linux-servere. Trafikken skal fordeles automatisk, løsningen skal kunne overleve fejl på én server, og data oprettet via den ene webserver skal kunne ses via den anden.</w:t>
      </w:r>
    </w:p>
    <w:p>
      <w:pPr>
        <w:pStyle w:val="Heading2"/>
      </w:pPr>
      <w:r>
        <w:t>Afgrænsning</w:t>
      </w:r>
    </w:p>
    <w:p>
      <w:r>
        <w:t>Portalen er bevidst et mock-system. Den kan oprette og vise testregistreringer, men indeholder ikke login, løn, personadministration eller integrationer. En eventuel tredje server til Proxmox Backup Server eller QDevice er en senere ekstraopgave og er ikke en del af denne rapport eller vurderingen her.</w:t>
      </w:r>
    </w:p>
    <w:p>
      <w:pPr>
        <w:pStyle w:val="Heading1"/>
      </w:pPr>
      <w:r>
        <w:t>3. Løsningsdesign</w:t>
      </w:r>
    </w:p>
    <w:p>
      <w:r>
        <w:t>De to servere er implementeret som Proxmox VE-værter. Hver vært afvikler tre LXC-containere: proxy, web og database. Løsningen er dermed opdelt i lag, så hver service kan testes og fejlfindes separat.</w:t>
      </w:r>
    </w:p>
    <w:tbl>
      <w:tblPr>
        <w:tblStyle w:val="TableGrid"/>
        <w:tblW w:type="dxa" w:w="9360"/>
        <w:tblLayout w:type="fixed"/>
        <w:tblLook w:firstColumn="1" w:firstRow="1" w:lastColumn="0" w:lastRow="0" w:noHBand="0" w:noVBand="1" w:val="04A0"/>
        <w:tblInd w:w="120" w:type="dxa"/>
      </w:tblPr>
      <w:tblGrid>
        <w:gridCol w:w="1500"/>
        <w:gridCol w:w="3300"/>
        <w:gridCol w:w="4560"/>
      </w:tblGrid>
      <w:tr>
        <w:tc>
          <w:tcPr>
            <w:tcW w:type="dxa" w:w="1500"/>
            <w:tcMar>
              <w:top w:w="80" w:type="dxa"/>
              <w:start w:w="120" w:type="dxa"/>
              <w:bottom w:w="80" w:type="dxa"/>
              <w:end w:w="120" w:type="dxa"/>
            </w:tcMar>
            <w:vAlign w:val="center"/>
            <w:shd w:fill="E8EEF5"/>
          </w:tcPr>
          <w:p>
            <w:r>
              <w:rPr>
                <w:rFonts w:ascii="Calibri" w:hAnsi="Calibri"/>
                <w:b/>
                <w:color w:val="0B2545"/>
                <w:sz w:val="20"/>
              </w:rPr>
              <w:t>Lag</w:t>
            </w:r>
          </w:p>
        </w:tc>
        <w:tc>
          <w:tcPr>
            <w:tcW w:type="dxa" w:w="3300"/>
            <w:tcMar>
              <w:top w:w="80" w:type="dxa"/>
              <w:start w:w="120" w:type="dxa"/>
              <w:bottom w:w="80" w:type="dxa"/>
              <w:end w:w="120" w:type="dxa"/>
            </w:tcMar>
            <w:vAlign w:val="center"/>
            <w:shd w:fill="E8EEF5"/>
          </w:tcPr>
          <w:p>
            <w:r>
              <w:rPr>
                <w:rFonts w:ascii="Calibri" w:hAnsi="Calibri"/>
                <w:b/>
                <w:color w:val="0B2545"/>
                <w:sz w:val="20"/>
              </w:rPr>
              <w:t>Komponenter</w:t>
            </w:r>
          </w:p>
        </w:tc>
        <w:tc>
          <w:tcPr>
            <w:tcW w:type="dxa" w:w="4560"/>
            <w:tcMar>
              <w:top w:w="80" w:type="dxa"/>
              <w:start w:w="120" w:type="dxa"/>
              <w:bottom w:w="80" w:type="dxa"/>
              <w:end w:w="120" w:type="dxa"/>
            </w:tcMar>
            <w:vAlign w:val="center"/>
            <w:shd w:fill="E8EEF5"/>
          </w:tcPr>
          <w:p>
            <w:r>
              <w:rPr>
                <w:rFonts w:ascii="Calibri" w:hAnsi="Calibri"/>
                <w:b/>
                <w:color w:val="0B2545"/>
                <w:sz w:val="20"/>
              </w:rPr>
              <w:t>Formål</w:t>
            </w:r>
          </w:p>
        </w:tc>
      </w:tr>
      <w:tr>
        <w:tc>
          <w:tcPr>
            <w:tcW w:type="dxa" w:w="1500"/>
          </w:tcPr>
          <w:p>
            <w:r>
              <w:rPr>
                <w:rFonts w:ascii="Calibri" w:hAnsi="Calibri"/>
                <w:sz w:val="19"/>
              </w:rPr>
              <w:t>Indgang</w:t>
            </w:r>
          </w:p>
        </w:tc>
        <w:tc>
          <w:tcPr>
            <w:tcW w:type="dxa" w:w="3300"/>
          </w:tcPr>
          <w:p>
            <w:r>
              <w:rPr>
                <w:rFonts w:ascii="Calibri" w:hAnsi="Calibri"/>
                <w:sz w:val="19"/>
              </w:rPr>
              <w:t>portal-vip: 192.168.1.40</w:t>
            </w:r>
          </w:p>
        </w:tc>
        <w:tc>
          <w:tcPr>
            <w:tcW w:type="dxa" w:w="4560"/>
          </w:tcPr>
          <w:p>
            <w:r>
              <w:rPr>
                <w:rFonts w:ascii="Calibri" w:hAnsi="Calibri"/>
                <w:sz w:val="19"/>
              </w:rPr>
              <w:t>Én fast adresse for brugere.</w:t>
            </w:r>
          </w:p>
        </w:tc>
      </w:tr>
      <w:tr>
        <w:tc>
          <w:tcPr>
            <w:tcW w:type="dxa" w:w="1500"/>
          </w:tcPr>
          <w:p>
            <w:r>
              <w:rPr>
                <w:rFonts w:ascii="Calibri" w:hAnsi="Calibri"/>
                <w:sz w:val="19"/>
              </w:rPr>
              <w:t>Proxy</w:t>
            </w:r>
          </w:p>
        </w:tc>
        <w:tc>
          <w:tcPr>
            <w:tcW w:type="dxa" w:w="3300"/>
          </w:tcPr>
          <w:p>
            <w:r>
              <w:rPr>
                <w:rFonts w:ascii="Calibri" w:hAnsi="Calibri"/>
                <w:sz w:val="19"/>
              </w:rPr>
              <w:t>proxy01 / proxy02</w:t>
            </w:r>
          </w:p>
        </w:tc>
        <w:tc>
          <w:tcPr>
            <w:tcW w:type="dxa" w:w="4560"/>
          </w:tcPr>
          <w:p>
            <w:r>
              <w:rPr>
                <w:rFonts w:ascii="Calibri" w:hAnsi="Calibri"/>
                <w:sz w:val="19"/>
              </w:rPr>
              <w:t>HAProxy fordeler HTTP-trafik; Keepalived flytter VIP'en.</w:t>
            </w:r>
          </w:p>
        </w:tc>
      </w:tr>
      <w:tr>
        <w:tc>
          <w:tcPr>
            <w:tcW w:type="dxa" w:w="1500"/>
          </w:tcPr>
          <w:p>
            <w:r>
              <w:rPr>
                <w:rFonts w:ascii="Calibri" w:hAnsi="Calibri"/>
                <w:sz w:val="19"/>
              </w:rPr>
              <w:t>Web</w:t>
            </w:r>
          </w:p>
        </w:tc>
        <w:tc>
          <w:tcPr>
            <w:tcW w:type="dxa" w:w="3300"/>
          </w:tcPr>
          <w:p>
            <w:r>
              <w:rPr>
                <w:rFonts w:ascii="Calibri" w:hAnsi="Calibri"/>
                <w:sz w:val="19"/>
              </w:rPr>
              <w:t>web01 / web02</w:t>
            </w:r>
          </w:p>
        </w:tc>
        <w:tc>
          <w:tcPr>
            <w:tcW w:type="dxa" w:w="4560"/>
          </w:tcPr>
          <w:p>
            <w:r>
              <w:rPr>
                <w:rFonts w:ascii="Calibri" w:hAnsi="Calibri"/>
                <w:sz w:val="19"/>
              </w:rPr>
              <w:t>Flask/Gunicorn leverer mock-tidsregistreringen.</w:t>
            </w:r>
          </w:p>
        </w:tc>
      </w:tr>
      <w:tr>
        <w:tc>
          <w:tcPr>
            <w:tcW w:type="dxa" w:w="1500"/>
          </w:tcPr>
          <w:p>
            <w:r>
              <w:rPr>
                <w:rFonts w:ascii="Calibri" w:hAnsi="Calibri"/>
                <w:sz w:val="19"/>
              </w:rPr>
              <w:t>Data</w:t>
            </w:r>
          </w:p>
        </w:tc>
        <w:tc>
          <w:tcPr>
            <w:tcW w:type="dxa" w:w="3300"/>
          </w:tcPr>
          <w:p>
            <w:r>
              <w:rPr>
                <w:rFonts w:ascii="Calibri" w:hAnsi="Calibri"/>
                <w:sz w:val="19"/>
              </w:rPr>
              <w:t>db01 / db02</w:t>
            </w:r>
          </w:p>
        </w:tc>
        <w:tc>
          <w:tcPr>
            <w:tcW w:type="dxa" w:w="4560"/>
          </w:tcPr>
          <w:p>
            <w:r>
              <w:rPr>
                <w:rFonts w:ascii="Calibri" w:hAnsi="Calibri"/>
                <w:sz w:val="19"/>
              </w:rPr>
              <w:t>PostgreSQL 17 med primær og fysisk streaming-standby.</w:t>
            </w:r>
          </w:p>
        </w:tc>
      </w:tr>
      <w:tr>
        <w:tc>
          <w:tcPr>
            <w:tcW w:type="dxa" w:w="1500"/>
          </w:tcPr>
          <w:p>
            <w:r>
              <w:rPr>
                <w:rFonts w:ascii="Calibri" w:hAnsi="Calibri"/>
                <w:sz w:val="19"/>
              </w:rPr>
              <w:t>Virtualisering</w:t>
            </w:r>
          </w:p>
        </w:tc>
        <w:tc>
          <w:tcPr>
            <w:tcW w:type="dxa" w:w="3300"/>
          </w:tcPr>
          <w:p>
            <w:r>
              <w:rPr>
                <w:rFonts w:ascii="Calibri" w:hAnsi="Calibri"/>
                <w:sz w:val="19"/>
              </w:rPr>
              <w:t>pve01 / pve02</w:t>
            </w:r>
          </w:p>
        </w:tc>
        <w:tc>
          <w:tcPr>
            <w:tcW w:type="dxa" w:w="4560"/>
          </w:tcPr>
          <w:p>
            <w:r>
              <w:rPr>
                <w:rFonts w:ascii="Calibri" w:hAnsi="Calibri"/>
                <w:sz w:val="19"/>
              </w:rPr>
              <w:t>To fysiske Proxmox VE-værter i clusteret portal-ha.</w:t>
            </w:r>
          </w:p>
        </w:tc>
      </w:tr>
    </w:tbl>
    <w:p>
      <w:pPr>
        <w:pStyle w:val="Heading2"/>
      </w:pPr>
      <w:r>
        <w:t>Netværksplan</w:t>
      </w:r>
    </w:p>
    <w:tbl>
      <w:tblPr>
        <w:tblStyle w:val="TableGrid"/>
        <w:tblW w:type="dxa" w:w="9360"/>
        <w:tblLayout w:type="fixed"/>
        <w:tblLook w:firstColumn="1" w:firstRow="1" w:lastColumn="0" w:lastRow="0" w:noHBand="0" w:noVBand="1" w:val="04A0"/>
        <w:tblInd w:w="120" w:type="dxa"/>
      </w:tblPr>
      <w:tblGrid>
        <w:gridCol w:w="2700"/>
        <w:gridCol w:w="2400"/>
        <w:gridCol w:w="4260"/>
      </w:tblGrid>
      <w:tr>
        <w:tc>
          <w:tcPr>
            <w:tcW w:type="dxa" w:w="2700"/>
            <w:tcMar>
              <w:top w:w="80" w:type="dxa"/>
              <w:start w:w="120" w:type="dxa"/>
              <w:bottom w:w="80" w:type="dxa"/>
              <w:end w:w="120" w:type="dxa"/>
            </w:tcMar>
            <w:vAlign w:val="center"/>
            <w:shd w:fill="E8EEF5"/>
          </w:tcPr>
          <w:p>
            <w:r>
              <w:rPr>
                <w:rFonts w:ascii="Calibri" w:hAnsi="Calibri"/>
                <w:b/>
                <w:color w:val="0B2545"/>
                <w:sz w:val="20"/>
              </w:rPr>
              <w:t>Navn</w:t>
            </w:r>
          </w:p>
        </w:tc>
        <w:tc>
          <w:tcPr>
            <w:tcW w:type="dxa" w:w="2400"/>
            <w:tcMar>
              <w:top w:w="80" w:type="dxa"/>
              <w:start w:w="120" w:type="dxa"/>
              <w:bottom w:w="80" w:type="dxa"/>
              <w:end w:w="120" w:type="dxa"/>
            </w:tcMar>
            <w:vAlign w:val="center"/>
            <w:shd w:fill="E8EEF5"/>
          </w:tcPr>
          <w:p>
            <w:r>
              <w:rPr>
                <w:rFonts w:ascii="Calibri" w:hAnsi="Calibri"/>
                <w:b/>
                <w:color w:val="0B2545"/>
                <w:sz w:val="20"/>
              </w:rPr>
              <w:t>IP-adresse</w:t>
            </w:r>
          </w:p>
        </w:tc>
        <w:tc>
          <w:tcPr>
            <w:tcW w:type="dxa" w:w="4260"/>
            <w:tcMar>
              <w:top w:w="80" w:type="dxa"/>
              <w:start w:w="120" w:type="dxa"/>
              <w:bottom w:w="80" w:type="dxa"/>
              <w:end w:w="120" w:type="dxa"/>
            </w:tcMar>
            <w:vAlign w:val="center"/>
            <w:shd w:fill="E8EEF5"/>
          </w:tcPr>
          <w:p>
            <w:r>
              <w:rPr>
                <w:rFonts w:ascii="Calibri" w:hAnsi="Calibri"/>
                <w:b/>
                <w:color w:val="0B2545"/>
                <w:sz w:val="20"/>
              </w:rPr>
              <w:t>Placering</w:t>
            </w:r>
          </w:p>
        </w:tc>
      </w:tr>
      <w:tr>
        <w:tc>
          <w:tcPr>
            <w:tcW w:type="dxa" w:w="2700"/>
          </w:tcPr>
          <w:p>
            <w:r>
              <w:rPr>
                <w:rFonts w:ascii="Calibri" w:hAnsi="Calibri"/>
                <w:sz w:val="19"/>
              </w:rPr>
              <w:t>pve01</w:t>
            </w:r>
          </w:p>
        </w:tc>
        <w:tc>
          <w:tcPr>
            <w:tcW w:type="dxa" w:w="2400"/>
          </w:tcPr>
          <w:p>
            <w:r>
              <w:rPr>
                <w:rFonts w:ascii="Calibri" w:hAnsi="Calibri"/>
                <w:sz w:val="19"/>
              </w:rPr>
              <w:t>192.168.1.33</w:t>
            </w:r>
          </w:p>
        </w:tc>
        <w:tc>
          <w:tcPr>
            <w:tcW w:type="dxa" w:w="4260"/>
          </w:tcPr>
          <w:p>
            <w:r>
              <w:rPr>
                <w:rFonts w:ascii="Calibri" w:hAnsi="Calibri"/>
                <w:sz w:val="19"/>
              </w:rPr>
              <w:t>Fysisk vært 1</w:t>
            </w:r>
          </w:p>
        </w:tc>
      </w:tr>
      <w:tr>
        <w:tc>
          <w:tcPr>
            <w:tcW w:type="dxa" w:w="2700"/>
          </w:tcPr>
          <w:p>
            <w:r>
              <w:rPr>
                <w:rFonts w:ascii="Calibri" w:hAnsi="Calibri"/>
                <w:sz w:val="19"/>
              </w:rPr>
              <w:t>pve02</w:t>
            </w:r>
          </w:p>
        </w:tc>
        <w:tc>
          <w:tcPr>
            <w:tcW w:type="dxa" w:w="2400"/>
          </w:tcPr>
          <w:p>
            <w:r>
              <w:rPr>
                <w:rFonts w:ascii="Calibri" w:hAnsi="Calibri"/>
                <w:sz w:val="19"/>
              </w:rPr>
              <w:t>192.168.1.34</w:t>
            </w:r>
          </w:p>
        </w:tc>
        <w:tc>
          <w:tcPr>
            <w:tcW w:type="dxa" w:w="4260"/>
          </w:tcPr>
          <w:p>
            <w:r>
              <w:rPr>
                <w:rFonts w:ascii="Calibri" w:hAnsi="Calibri"/>
                <w:sz w:val="19"/>
              </w:rPr>
              <w:t>Fysisk vært 2</w:t>
            </w:r>
          </w:p>
        </w:tc>
      </w:tr>
      <w:tr>
        <w:tc>
          <w:tcPr>
            <w:tcW w:type="dxa" w:w="2700"/>
          </w:tcPr>
          <w:p>
            <w:r>
              <w:rPr>
                <w:rFonts w:ascii="Calibri" w:hAnsi="Calibri"/>
                <w:sz w:val="19"/>
              </w:rPr>
              <w:t>proxy01 / proxy02</w:t>
            </w:r>
          </w:p>
        </w:tc>
        <w:tc>
          <w:tcPr>
            <w:tcW w:type="dxa" w:w="2400"/>
          </w:tcPr>
          <w:p>
            <w:r>
              <w:rPr>
                <w:rFonts w:ascii="Calibri" w:hAnsi="Calibri"/>
                <w:sz w:val="19"/>
              </w:rPr>
              <w:t>.41 / .42</w:t>
            </w:r>
          </w:p>
        </w:tc>
        <w:tc>
          <w:tcPr>
            <w:tcW w:type="dxa" w:w="4260"/>
          </w:tcPr>
          <w:p>
            <w:r>
              <w:rPr>
                <w:rFonts w:ascii="Calibri" w:hAnsi="Calibri"/>
                <w:sz w:val="19"/>
              </w:rPr>
              <w:t>PVE01 / PVE02</w:t>
            </w:r>
          </w:p>
        </w:tc>
      </w:tr>
      <w:tr>
        <w:tc>
          <w:tcPr>
            <w:tcW w:type="dxa" w:w="2700"/>
          </w:tcPr>
          <w:p>
            <w:r>
              <w:rPr>
                <w:rFonts w:ascii="Calibri" w:hAnsi="Calibri"/>
                <w:sz w:val="19"/>
              </w:rPr>
              <w:t>web01 / web02</w:t>
            </w:r>
          </w:p>
        </w:tc>
        <w:tc>
          <w:tcPr>
            <w:tcW w:type="dxa" w:w="2400"/>
          </w:tcPr>
          <w:p>
            <w:r>
              <w:rPr>
                <w:rFonts w:ascii="Calibri" w:hAnsi="Calibri"/>
                <w:sz w:val="19"/>
              </w:rPr>
              <w:t>.43 / .44</w:t>
            </w:r>
          </w:p>
        </w:tc>
        <w:tc>
          <w:tcPr>
            <w:tcW w:type="dxa" w:w="4260"/>
          </w:tcPr>
          <w:p>
            <w:r>
              <w:rPr>
                <w:rFonts w:ascii="Calibri" w:hAnsi="Calibri"/>
                <w:sz w:val="19"/>
              </w:rPr>
              <w:t>PVE01 / PVE02</w:t>
            </w:r>
          </w:p>
        </w:tc>
      </w:tr>
      <w:tr>
        <w:tc>
          <w:tcPr>
            <w:tcW w:type="dxa" w:w="2700"/>
          </w:tcPr>
          <w:p>
            <w:r>
              <w:rPr>
                <w:rFonts w:ascii="Calibri" w:hAnsi="Calibri"/>
                <w:sz w:val="19"/>
              </w:rPr>
              <w:t>db01 / db02</w:t>
            </w:r>
          </w:p>
        </w:tc>
        <w:tc>
          <w:tcPr>
            <w:tcW w:type="dxa" w:w="2400"/>
          </w:tcPr>
          <w:p>
            <w:r>
              <w:rPr>
                <w:rFonts w:ascii="Calibri" w:hAnsi="Calibri"/>
                <w:sz w:val="19"/>
              </w:rPr>
              <w:t>.45 / .46</w:t>
            </w:r>
          </w:p>
        </w:tc>
        <w:tc>
          <w:tcPr>
            <w:tcW w:type="dxa" w:w="4260"/>
          </w:tcPr>
          <w:p>
            <w:r>
              <w:rPr>
                <w:rFonts w:ascii="Calibri" w:hAnsi="Calibri"/>
                <w:sz w:val="19"/>
              </w:rPr>
              <w:t>PVE01 / PVE02</w:t>
            </w:r>
          </w:p>
        </w:tc>
      </w:tr>
    </w:tbl>
    <w:p>
      <w:pPr>
        <w:pStyle w:val="Heading1"/>
      </w:pPr>
      <w:r>
        <w:t>4. Implementering</w:t>
      </w:r>
    </w:p>
    <w:p>
      <w:pPr>
        <w:pStyle w:val="Heading2"/>
      </w:pPr>
      <w:r>
        <w:t>Platform og adgang</w:t>
      </w:r>
    </w:p>
    <w:p>
      <w:r>
        <w:t>Begge værter kører samme Proxmox VE-version og er medlemmer af clusteret portal-ha. SSH-adgang er konfigureret med nøglebaseret login. Alle seks LXC-containere er sat til autostart med fast opstartsorden: database, web og proxy.</w:t>
      </w:r>
    </w:p>
    <w:p>
      <w:pPr>
        <w:pStyle w:val="Heading2"/>
      </w:pPr>
      <w:r>
        <w:t>Web og proxy</w:t>
      </w:r>
    </w:p>
    <w:p>
      <w:r>
        <w:t>HAProxy kontrollerer løbende webnodernes /health-endpoint og fordeler trafik med round robin. Keepalived bruger unicast VRRP mellem proxyerne og giver den aktive proxy den virtuelle IP-adresse. Flask-applikationen viser, hvilken webserver der svarer, så belastningsfordeling kan ses direkte i browseren.</w:t>
      </w:r>
    </w:p>
    <w:p>
      <w:pPr>
        <w:pStyle w:val="Heading2"/>
      </w:pPr>
      <w:r>
        <w:t>Datareplikering</w:t>
      </w:r>
    </w:p>
    <w:p>
      <w:r>
        <w:t>db01 er PostgreSQL-primær, og db02 er fysisk standby. Standbyen modtager WAL-data løbende fra primæren. Portalens endpoint /replication viser antallet af streamende standbyer; ved test rapporterede begge webnoder værdien 1.</w:t>
      </w:r>
    </w:p>
    <w:p>
      <w:pPr>
        <w:pStyle w:val="Heading1"/>
      </w:pPr>
      <w:r>
        <w:t>5. Test og kravopfyldelse</w:t>
      </w:r>
    </w:p>
    <w:p>
      <w:r>
        <w:t>Testene er udført gennem VIP'en, så de dækker den rigtige brugervej.</w:t>
      </w:r>
    </w:p>
    <w:tbl>
      <w:tblPr>
        <w:tblStyle w:val="TableGrid"/>
        <w:tblW w:type="dxa" w:w="9360"/>
        <w:tblLayout w:type="fixed"/>
        <w:tblLook w:firstColumn="1" w:firstRow="1" w:lastColumn="0" w:lastRow="0" w:noHBand="0" w:noVBand="1" w:val="04A0"/>
        <w:tblInd w:w="120" w:type="dxa"/>
      </w:tblPr>
      <w:tblGrid>
        <w:gridCol w:w="2100"/>
        <w:gridCol w:w="5600"/>
        <w:gridCol w:w="1660"/>
      </w:tblGrid>
      <w:tr>
        <w:tc>
          <w:tcPr>
            <w:tcW w:type="dxa" w:w="2100"/>
            <w:tcMar>
              <w:top w:w="80" w:type="dxa"/>
              <w:start w:w="120" w:type="dxa"/>
              <w:bottom w:w="80" w:type="dxa"/>
              <w:end w:w="120" w:type="dxa"/>
            </w:tcMar>
            <w:vAlign w:val="center"/>
            <w:shd w:fill="E8EEF5"/>
          </w:tcPr>
          <w:p>
            <w:r>
              <w:rPr>
                <w:rFonts w:ascii="Calibri" w:hAnsi="Calibri"/>
                <w:b/>
                <w:color w:val="0B2545"/>
                <w:sz w:val="20"/>
              </w:rPr>
              <w:t>Krav</w:t>
            </w:r>
          </w:p>
        </w:tc>
        <w:tc>
          <w:tcPr>
            <w:tcW w:type="dxa" w:w="5600"/>
            <w:tcMar>
              <w:top w:w="80" w:type="dxa"/>
              <w:start w:w="120" w:type="dxa"/>
              <w:bottom w:w="80" w:type="dxa"/>
              <w:end w:w="120" w:type="dxa"/>
            </w:tcMar>
            <w:vAlign w:val="center"/>
            <w:shd w:fill="E8EEF5"/>
          </w:tcPr>
          <w:p>
            <w:r>
              <w:rPr>
                <w:rFonts w:ascii="Calibri" w:hAnsi="Calibri"/>
                <w:b/>
                <w:color w:val="0B2545"/>
                <w:sz w:val="20"/>
              </w:rPr>
              <w:t>Test / bevis</w:t>
            </w:r>
          </w:p>
        </w:tc>
        <w:tc>
          <w:tcPr>
            <w:tcW w:type="dxa" w:w="1660"/>
            <w:tcMar>
              <w:top w:w="80" w:type="dxa"/>
              <w:start w:w="120" w:type="dxa"/>
              <w:bottom w:w="80" w:type="dxa"/>
              <w:end w:w="120" w:type="dxa"/>
            </w:tcMar>
            <w:vAlign w:val="center"/>
            <w:shd w:fill="E8EEF5"/>
          </w:tcPr>
          <w:p>
            <w:r>
              <w:rPr>
                <w:rFonts w:ascii="Calibri" w:hAnsi="Calibri"/>
                <w:b/>
                <w:color w:val="0B2545"/>
                <w:sz w:val="20"/>
              </w:rPr>
              <w:t>Status</w:t>
            </w:r>
          </w:p>
        </w:tc>
      </w:tr>
      <w:tr>
        <w:tc>
          <w:tcPr>
            <w:tcW w:type="dxa" w:w="2100"/>
          </w:tcPr>
          <w:p>
            <w:r>
              <w:rPr>
                <w:rFonts w:ascii="Calibri" w:hAnsi="Calibri"/>
                <w:sz w:val="19"/>
              </w:rPr>
              <w:t>To Linux-servere leverer portal</w:t>
            </w:r>
          </w:p>
        </w:tc>
        <w:tc>
          <w:tcPr>
            <w:tcW w:type="dxa" w:w="5600"/>
          </w:tcPr>
          <w:p>
            <w:r>
              <w:rPr>
                <w:rFonts w:ascii="Calibri" w:hAnsi="Calibri"/>
                <w:sz w:val="19"/>
              </w:rPr>
              <w:t>web01 og web02 kører på hver sin PVE-vært og svarer via VIP.</w:t>
            </w:r>
          </w:p>
        </w:tc>
        <w:tc>
          <w:tcPr>
            <w:tcW w:type="dxa" w:w="1660"/>
          </w:tcPr>
          <w:p>
            <w:r>
              <w:rPr>
                <w:rFonts w:ascii="Calibri" w:hAnsi="Calibri"/>
                <w:sz w:val="19"/>
              </w:rPr>
              <w:t>Opfyldt</w:t>
            </w:r>
          </w:p>
        </w:tc>
      </w:tr>
      <w:tr>
        <w:tc>
          <w:tcPr>
            <w:tcW w:type="dxa" w:w="2100"/>
          </w:tcPr>
          <w:p>
            <w:r>
              <w:rPr>
                <w:rFonts w:ascii="Calibri" w:hAnsi="Calibri"/>
                <w:sz w:val="19"/>
              </w:rPr>
              <w:t>Automatisk trafikfordeling</w:t>
            </w:r>
          </w:p>
        </w:tc>
        <w:tc>
          <w:tcPr>
            <w:tcW w:type="dxa" w:w="5600"/>
          </w:tcPr>
          <w:p>
            <w:r>
              <w:rPr>
                <w:rFonts w:ascii="Calibri" w:hAnsi="Calibri"/>
                <w:sz w:val="19"/>
              </w:rPr>
              <w:t>To efterfølgende /health-kald ramte web01 og web02.</w:t>
            </w:r>
          </w:p>
        </w:tc>
        <w:tc>
          <w:tcPr>
            <w:tcW w:type="dxa" w:w="1660"/>
          </w:tcPr>
          <w:p>
            <w:r>
              <w:rPr>
                <w:rFonts w:ascii="Calibri" w:hAnsi="Calibri"/>
                <w:sz w:val="19"/>
              </w:rPr>
              <w:t>Opfyldt</w:t>
            </w:r>
          </w:p>
        </w:tc>
      </w:tr>
      <w:tr>
        <w:tc>
          <w:tcPr>
            <w:tcW w:type="dxa" w:w="2100"/>
          </w:tcPr>
          <w:p>
            <w:r>
              <w:rPr>
                <w:rFonts w:ascii="Calibri" w:hAnsi="Calibri"/>
                <w:sz w:val="19"/>
              </w:rPr>
              <w:t>Overtagelse ved proxyfejl</w:t>
            </w:r>
          </w:p>
        </w:tc>
        <w:tc>
          <w:tcPr>
            <w:tcW w:type="dxa" w:w="5600"/>
          </w:tcPr>
          <w:p>
            <w:r>
              <w:rPr>
                <w:rFonts w:ascii="Calibri" w:hAnsi="Calibri"/>
                <w:sz w:val="19"/>
              </w:rPr>
              <w:t>Stop af Keepalived på proxy01 flyttede VIP'en til proxy02; portalen svarede fortsat.</w:t>
            </w:r>
          </w:p>
        </w:tc>
        <w:tc>
          <w:tcPr>
            <w:tcW w:type="dxa" w:w="1660"/>
          </w:tcPr>
          <w:p>
            <w:r>
              <w:rPr>
                <w:rFonts w:ascii="Calibri" w:hAnsi="Calibri"/>
                <w:sz w:val="19"/>
              </w:rPr>
              <w:t>Opfyldt</w:t>
            </w:r>
          </w:p>
        </w:tc>
      </w:tr>
      <w:tr>
        <w:tc>
          <w:tcPr>
            <w:tcW w:type="dxa" w:w="2100"/>
          </w:tcPr>
          <w:p>
            <w:r>
              <w:rPr>
                <w:rFonts w:ascii="Calibri" w:hAnsi="Calibri"/>
                <w:sz w:val="19"/>
              </w:rPr>
              <w:t>Overtagelse ved webfejl</w:t>
            </w:r>
          </w:p>
        </w:tc>
        <w:tc>
          <w:tcPr>
            <w:tcW w:type="dxa" w:w="5600"/>
          </w:tcPr>
          <w:p>
            <w:r>
              <w:rPr>
                <w:rFonts w:ascii="Calibri" w:hAnsi="Calibri"/>
                <w:sz w:val="19"/>
              </w:rPr>
              <w:t>Efter HAProxy-health-check leverede web02 portalen, mens web01 var stoppet.</w:t>
            </w:r>
          </w:p>
        </w:tc>
        <w:tc>
          <w:tcPr>
            <w:tcW w:type="dxa" w:w="1660"/>
          </w:tcPr>
          <w:p>
            <w:r>
              <w:rPr>
                <w:rFonts w:ascii="Calibri" w:hAnsi="Calibri"/>
                <w:sz w:val="19"/>
              </w:rPr>
              <w:t>Opfyldt</w:t>
            </w:r>
          </w:p>
        </w:tc>
      </w:tr>
      <w:tr>
        <w:tc>
          <w:tcPr>
            <w:tcW w:type="dxa" w:w="2100"/>
          </w:tcPr>
          <w:p>
            <w:r>
              <w:rPr>
                <w:rFonts w:ascii="Calibri" w:hAnsi="Calibri"/>
                <w:sz w:val="19"/>
              </w:rPr>
              <w:t>Samme data via begge webservere</w:t>
            </w:r>
          </w:p>
        </w:tc>
        <w:tc>
          <w:tcPr>
            <w:tcW w:type="dxa" w:w="5600"/>
          </w:tcPr>
          <w:p>
            <w:r>
              <w:rPr>
                <w:rFonts w:ascii="Calibri" w:hAnsi="Calibri"/>
                <w:sz w:val="19"/>
              </w:rPr>
              <w:t>Testregistrering oprettet via VIP var til stede på db02-standbyen.</w:t>
            </w:r>
          </w:p>
        </w:tc>
        <w:tc>
          <w:tcPr>
            <w:tcW w:type="dxa" w:w="1660"/>
          </w:tcPr>
          <w:p>
            <w:r>
              <w:rPr>
                <w:rFonts w:ascii="Calibri" w:hAnsi="Calibri"/>
                <w:sz w:val="19"/>
              </w:rPr>
              <w:t>Opfyldt</w:t>
            </w:r>
          </w:p>
        </w:tc>
      </w:tr>
      <w:tr>
        <w:tc>
          <w:tcPr>
            <w:tcW w:type="dxa" w:w="2100"/>
          </w:tcPr>
          <w:p>
            <w:r>
              <w:rPr>
                <w:rFonts w:ascii="Calibri" w:hAnsi="Calibri"/>
                <w:sz w:val="19"/>
              </w:rPr>
              <w:t>Synlig replikering</w:t>
            </w:r>
          </w:p>
        </w:tc>
        <w:tc>
          <w:tcPr>
            <w:tcW w:type="dxa" w:w="5600"/>
          </w:tcPr>
          <w:p>
            <w:r>
              <w:rPr>
                <w:rFonts w:ascii="Calibri" w:hAnsi="Calibri"/>
                <w:sz w:val="19"/>
              </w:rPr>
              <w:t>To /replication-kald via VIP viste streaming_replicas: 1.</w:t>
            </w:r>
          </w:p>
        </w:tc>
        <w:tc>
          <w:tcPr>
            <w:tcW w:type="dxa" w:w="1660"/>
          </w:tcPr>
          <w:p>
            <w:r>
              <w:rPr>
                <w:rFonts w:ascii="Calibri" w:hAnsi="Calibri"/>
                <w:sz w:val="19"/>
              </w:rPr>
              <w:t>Opfyldt</w:t>
            </w:r>
          </w:p>
        </w:tc>
      </w:tr>
    </w:tbl>
    <w:p>
      <w:pPr>
        <w:pStyle w:val="Heading2"/>
      </w:pPr>
      <w:r>
        <w:t>Observation om failover-tid</w:t>
      </w:r>
    </w:p>
    <w:p>
      <w:r>
        <w:t>I den første web-failover-test blev der testet efter tre sekunder, hvor HAProxy endnu ikke havde markeret web01 som nede. Det gav HTTP 503. Efter ti sekunder leverede web02 korrekt svaret. Observationen dokumenterer, at health-check-intervallet har betydning for den oplevede failover-tid.</w:t>
      </w:r>
    </w:p>
    <w:p>
      <w:pPr>
        <w:pStyle w:val="Heading1"/>
      </w:pPr>
      <w:r>
        <w:t>6. Vurdering</w:t>
      </w:r>
    </w:p>
    <w:p>
      <w:r>
        <w:t>Opgavens centrale mål er nået. Systemet har ingen enkeltstående webserver eller proxy som ubearbejdet single point of failure, og datareplikering er både implementeret og synlig i applikationen. Mock-systemet er lille nok til at være overskueligt, men viser stadig den fulde tekniske kæde fra bruger til replikeret data.</w:t>
      </w:r>
    </w:p>
    <w:p>
      <w:pPr>
        <w:pStyle w:val="Heading2"/>
      </w:pPr>
      <w:r>
        <w:t>Bevidste begrænsninger</w:t>
      </w:r>
    </w:p>
    <w:p>
      <w:pPr>
        <w:pStyle w:val="ListBullet"/>
        <w:spacing w:after="80" w:line="280" w:lineRule="auto"/>
      </w:pPr>
      <w:r>
        <w:rPr>
          <w:rFonts w:ascii="Calibri" w:hAnsi="Calibri"/>
          <w:sz w:val="22"/>
        </w:rPr>
        <w:t>Automatisk databasefailover er ikke aktiveret. Det kræver et sikkert konsensus- eller witness-design for at undgå split brain.</w:t>
      </w:r>
    </w:p>
    <w:p>
      <w:pPr>
        <w:pStyle w:val="ListBullet"/>
        <w:spacing w:after="80" w:line="280" w:lineRule="auto"/>
      </w:pPr>
      <w:r>
        <w:rPr>
          <w:rFonts w:ascii="Calibri" w:hAnsi="Calibri"/>
          <w:sz w:val="22"/>
        </w:rPr>
        <w:t>Automatisk overtagelse efter tab af en hel PVE-vært er ikke testet. Et to-noders cluster bør have en tredje QDevice-stemme, før den test udføres.</w:t>
      </w:r>
    </w:p>
    <w:p>
      <w:pPr>
        <w:pStyle w:val="ListBullet"/>
        <w:spacing w:after="80" w:line="280" w:lineRule="auto"/>
      </w:pPr>
      <w:r>
        <w:rPr>
          <w:rFonts w:ascii="Calibri" w:hAnsi="Calibri"/>
          <w:sz w:val="22"/>
        </w:rPr>
        <w:t>Backup, PBS og restore-test er uden for scope i denne rapport.</w:t>
      </w:r>
    </w:p>
    <w:p>
      <w:pPr>
        <w:pStyle w:val="Heading1"/>
      </w:pPr>
      <w:r>
        <w:t>7. Konklusion</w:t>
      </w:r>
    </w:p>
    <w:p>
      <w:r>
        <w:t>Den interne webportal er implementeret og dokumenteret som en fungerende HA-demo. Portaltrafik fordeles mellem to Linux-webnoder, VIP'en flytter ved proxyfejl, og testdata replikeres fra PostgreSQL-primæren til standbyen. De oprindelige funktionskrav er dermed nået inden for den valgte afgrænsning.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8"/>
      </w:rPr>
      <w:t xml:space="preserve">Side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9636E"/>
        <w:sz w:val="18"/>
      </w:rPr>
      <w:t>Intern webportal - HA-demo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 Intern webportal med høj tilgængelighed</dc:title>
  <dc:subject>Linux Servere - HA-demo</dc:subject>
  <dc:creator>Projektgruppen</dc:creator>
  <cp:keywords/>
  <dc:description>generated by python-docx</dc:description>
  <cp:lastModifiedBy/>
  <cp:revision>1</cp:revision>
  <dcterms:created xsi:type="dcterms:W3CDTF">2013-12-23T23:15:00Z</dcterms:created>
  <dcterms:modified xsi:type="dcterms:W3CDTF">2013-12-23T23:15:00Z</dcterms:modified>
  <cp:category/>
</cp:coreProperties>
</file>