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352D" w14:textId="6510BA1D" w:rsidR="00193CF6" w:rsidRPr="00F91404" w:rsidRDefault="003A46F6" w:rsidP="000D77D5">
      <w:pPr>
        <w:ind w:left="0"/>
        <w:rPr>
          <w:rFonts w:ascii="Helvetica Light" w:hAnsi="Helvetica Light" w:cstheme="minorHAnsi"/>
          <w:sz w:val="20"/>
          <w:szCs w:val="20"/>
        </w:rPr>
      </w:pPr>
      <w:r w:rsidRPr="00F91404">
        <w:rPr>
          <w:rFonts w:ascii="Helvetica Light" w:hAnsi="Helvetica Light" w:cstheme="minorHAnsi"/>
          <w:noProof/>
          <w:color w:val="778094" w:themeColor="text1" w:themeTint="99"/>
          <w:sz w:val="21"/>
          <w:szCs w:val="21"/>
        </w:rPr>
        <w:drawing>
          <wp:anchor distT="0" distB="0" distL="114300" distR="114300" simplePos="0" relativeHeight="251658241" behindDoc="1" locked="0" layoutInCell="1" allowOverlap="1" wp14:anchorId="37306E7A" wp14:editId="577DA98A">
            <wp:simplePos x="0" y="0"/>
            <wp:positionH relativeFrom="column">
              <wp:posOffset>3768784</wp:posOffset>
            </wp:positionH>
            <wp:positionV relativeFrom="page">
              <wp:posOffset>614724</wp:posOffset>
            </wp:positionV>
            <wp:extent cx="2539625" cy="930004"/>
            <wp:effectExtent l="0" t="0" r="0" b="0"/>
            <wp:wrapNone/>
            <wp:docPr id="9" name="Picture 8" descr="A black background with blue text&#10;&#10;AI-generated content may be incorrect.">
              <a:extLst xmlns:a="http://schemas.openxmlformats.org/drawingml/2006/main">
                <a:ext uri="{FF2B5EF4-FFF2-40B4-BE49-F238E27FC236}">
                  <a16:creationId xmlns:a16="http://schemas.microsoft.com/office/drawing/2014/main" id="{7491EDAC-0B7A-9FE6-77CD-6DDCA283DB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lack background with blue text&#10;&#10;AI-generated content may be incorrect.">
                      <a:extLst>
                        <a:ext uri="{FF2B5EF4-FFF2-40B4-BE49-F238E27FC236}">
                          <a16:creationId xmlns:a16="http://schemas.microsoft.com/office/drawing/2014/main" id="{7491EDAC-0B7A-9FE6-77CD-6DDCA283DBE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6327" cy="943444"/>
                    </a:xfrm>
                    <a:prstGeom prst="rect">
                      <a:avLst/>
                    </a:prstGeom>
                  </pic:spPr>
                </pic:pic>
              </a:graphicData>
            </a:graphic>
            <wp14:sizeRelH relativeFrom="page">
              <wp14:pctWidth>0</wp14:pctWidth>
            </wp14:sizeRelH>
            <wp14:sizeRelV relativeFrom="page">
              <wp14:pctHeight>0</wp14:pctHeight>
            </wp14:sizeRelV>
          </wp:anchor>
        </w:drawing>
      </w:r>
      <w:r w:rsidR="00656E21" w:rsidRPr="00F91404">
        <w:rPr>
          <w:rFonts w:ascii="Helvetica Light" w:hAnsi="Helvetica Light" w:cstheme="minorHAnsi"/>
          <w:color w:val="778094" w:themeColor="text1" w:themeTint="99"/>
          <w:sz w:val="28"/>
          <w:szCs w:val="28"/>
        </w:rPr>
        <w:t>MEX.TO.NRHP</w:t>
      </w:r>
      <w:r w:rsidR="0088258F" w:rsidRPr="00F91404">
        <w:rPr>
          <w:rFonts w:ascii="Helvetica Light" w:hAnsi="Helvetica Light" w:cstheme="minorHAnsi"/>
          <w:color w:val="778094" w:themeColor="text1" w:themeTint="99"/>
          <w:sz w:val="13"/>
          <w:szCs w:val="13"/>
        </w:rPr>
        <w:t xml:space="preserve"> </w:t>
      </w:r>
    </w:p>
    <w:p w14:paraId="3FAD537E" w14:textId="179577EA" w:rsidR="0088258F" w:rsidRPr="00F91404" w:rsidRDefault="0088258F" w:rsidP="005932D9">
      <w:pPr>
        <w:ind w:left="-142"/>
        <w:rPr>
          <w:rFonts w:cstheme="minorHAnsi"/>
          <w:sz w:val="20"/>
          <w:szCs w:val="20"/>
        </w:rPr>
      </w:pPr>
    </w:p>
    <w:p w14:paraId="25AE4313" w14:textId="7E373FA8" w:rsidR="005E5423" w:rsidRPr="00F91404" w:rsidRDefault="005E5423" w:rsidP="005932D9">
      <w:pPr>
        <w:ind w:left="-142"/>
        <w:rPr>
          <w:rFonts w:cstheme="minorHAnsi"/>
          <w:sz w:val="20"/>
          <w:szCs w:val="20"/>
        </w:rPr>
      </w:pPr>
    </w:p>
    <w:p w14:paraId="5A6F2323" w14:textId="1609783F" w:rsidR="00193CF6" w:rsidRPr="00F91404" w:rsidRDefault="00193CF6" w:rsidP="001C05E6">
      <w:pPr>
        <w:ind w:left="0"/>
        <w:rPr>
          <w:rFonts w:cstheme="minorHAnsi"/>
          <w:color w:val="004C43"/>
          <w:sz w:val="48"/>
          <w:szCs w:val="48"/>
        </w:rPr>
      </w:pPr>
    </w:p>
    <w:p w14:paraId="57D1EAAB" w14:textId="77777777" w:rsidR="00CB58AA" w:rsidRPr="00F91404" w:rsidRDefault="00CB58AA" w:rsidP="001C05E6">
      <w:pPr>
        <w:ind w:left="0"/>
        <w:rPr>
          <w:rFonts w:cstheme="minorHAnsi"/>
          <w:color w:val="004C43"/>
          <w:sz w:val="48"/>
          <w:szCs w:val="48"/>
        </w:rPr>
      </w:pPr>
    </w:p>
    <w:p w14:paraId="3F862734" w14:textId="7CF2E4D2" w:rsidR="0088258F" w:rsidRPr="00F91404" w:rsidRDefault="00560D31" w:rsidP="005932D9">
      <w:pPr>
        <w:spacing w:after="120"/>
        <w:ind w:left="-142"/>
        <w:rPr>
          <w:rFonts w:eastAsia="Helvetica Neue Light" w:cstheme="minorHAnsi"/>
          <w:b/>
          <w:bCs/>
          <w:color w:val="004C43"/>
          <w:kern w:val="24"/>
          <w:sz w:val="72"/>
          <w:szCs w:val="72"/>
          <w:lang w:eastAsia="en-GB"/>
        </w:rPr>
      </w:pPr>
      <w:r w:rsidRPr="00F91404">
        <w:rPr>
          <w:rFonts w:eastAsia="Helvetica Neue Light" w:cstheme="minorHAnsi"/>
          <w:b/>
          <w:bCs/>
          <w:color w:val="004C43"/>
          <w:kern w:val="24"/>
          <w:sz w:val="72"/>
          <w:szCs w:val="72"/>
          <w:lang w:eastAsia="en-GB"/>
        </w:rPr>
        <w:t>International Benchmarking Assessment</w:t>
      </w:r>
    </w:p>
    <w:p w14:paraId="50574DEB" w14:textId="5B55E9AF" w:rsidR="000D77D5" w:rsidRPr="00F91404" w:rsidRDefault="00894CE6" w:rsidP="0056298C">
      <w:pPr>
        <w:spacing w:before="360" w:after="0"/>
        <w:ind w:left="-142"/>
        <w:rPr>
          <w:rFonts w:eastAsia="Arial" w:cstheme="minorHAnsi"/>
          <w:color w:val="2F333C" w:themeColor="text1"/>
          <w:sz w:val="40"/>
          <w:szCs w:val="40"/>
        </w:rPr>
      </w:pPr>
      <w:r w:rsidRPr="00F91404">
        <w:rPr>
          <w:rFonts w:eastAsia="Arial" w:cstheme="minorHAnsi"/>
          <w:color w:val="2F333C" w:themeColor="text1"/>
          <w:sz w:val="40"/>
          <w:szCs w:val="40"/>
        </w:rPr>
        <w:t>Sup</w:t>
      </w:r>
      <w:r w:rsidR="001C05E6" w:rsidRPr="00F91404">
        <w:rPr>
          <w:rFonts w:eastAsia="Arial" w:cstheme="minorHAnsi"/>
          <w:color w:val="2F333C" w:themeColor="text1"/>
          <w:sz w:val="40"/>
          <w:szCs w:val="40"/>
        </w:rPr>
        <w:t>p</w:t>
      </w:r>
      <w:r w:rsidRPr="00F91404">
        <w:rPr>
          <w:rFonts w:eastAsia="Arial" w:cstheme="minorHAnsi"/>
          <w:color w:val="2F333C" w:themeColor="text1"/>
          <w:sz w:val="40"/>
          <w:szCs w:val="40"/>
        </w:rPr>
        <w:t>orting the Development of Mexico’s Regulatory and Policy Agenda on Renewable Hydrogen</w:t>
      </w:r>
      <w:r w:rsidR="005A1190" w:rsidRPr="00F91404">
        <w:rPr>
          <w:rFonts w:cstheme="minorHAnsi"/>
          <w:noProof/>
          <w:sz w:val="20"/>
          <w:szCs w:val="20"/>
        </w:rPr>
        <mc:AlternateContent>
          <mc:Choice Requires="wpg">
            <w:drawing>
              <wp:anchor distT="0" distB="0" distL="114300" distR="114300" simplePos="0" relativeHeight="251658240" behindDoc="1" locked="0" layoutInCell="1" allowOverlap="1" wp14:anchorId="20AEF75C" wp14:editId="662D1733">
                <wp:simplePos x="0" y="0"/>
                <wp:positionH relativeFrom="column">
                  <wp:posOffset>-879475</wp:posOffset>
                </wp:positionH>
                <wp:positionV relativeFrom="page">
                  <wp:posOffset>5117401</wp:posOffset>
                </wp:positionV>
                <wp:extent cx="7665085" cy="5536565"/>
                <wp:effectExtent l="0" t="0" r="18415" b="635"/>
                <wp:wrapNone/>
                <wp:docPr id="5" name="Group 4">
                  <a:extLst xmlns:a="http://schemas.openxmlformats.org/drawingml/2006/main">
                    <a:ext uri="{FF2B5EF4-FFF2-40B4-BE49-F238E27FC236}">
                      <a16:creationId xmlns:a16="http://schemas.microsoft.com/office/drawing/2014/main" id="{2C74B8CD-2043-DB39-7CB7-3EE052E43FEF}"/>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665085" cy="5536565"/>
                          <a:chOff x="0" y="0"/>
                          <a:chExt cx="6858000" cy="4953794"/>
                        </a:xfrm>
                      </wpg:grpSpPr>
                      <wps:wsp>
                        <wps:cNvPr id="686085905" name="Rectangle 686085905">
                          <a:extLst>
                            <a:ext uri="{FF2B5EF4-FFF2-40B4-BE49-F238E27FC236}">
                              <a16:creationId xmlns:a16="http://schemas.microsoft.com/office/drawing/2014/main" id="{3F5EA8AC-3C16-F803-258E-E433022DAB5A}"/>
                            </a:ext>
                          </a:extLst>
                        </wps:cNvPr>
                        <wps:cNvSpPr>
                          <a:spLocks/>
                        </wps:cNvSpPr>
                        <wps:spPr>
                          <a:xfrm>
                            <a:off x="0" y="0"/>
                            <a:ext cx="6858000" cy="4953794"/>
                          </a:xfrm>
                          <a:prstGeom prst="rect">
                            <a:avLst/>
                          </a:prstGeom>
                          <a:pattFill prst="pct5">
                            <a:fgClr>
                              <a:srgbClr val="009193"/>
                            </a:fgClr>
                            <a:bgClr>
                              <a:srgbClr val="D9FBF2"/>
                            </a:bgClr>
                          </a:pattFill>
                          <a:ln w="12700">
                            <a:noFill/>
                          </a:ln>
                        </wps:spPr>
                        <wps:style>
                          <a:lnRef idx="2">
                            <a:schemeClr val="accent1">
                              <a:shade val="50000"/>
                            </a:schemeClr>
                          </a:lnRef>
                          <a:fillRef idx="1003">
                            <a:schemeClr val="lt2"/>
                          </a:fillRef>
                          <a:effectRef idx="0">
                            <a:schemeClr val="accent1"/>
                          </a:effectRef>
                          <a:fontRef idx="minor">
                            <a:schemeClr val="lt1"/>
                          </a:fontRef>
                        </wps:style>
                        <wps:txbx>
                          <w:txbxContent>
                            <w:p w14:paraId="25A6A10C" w14:textId="77777777" w:rsidR="0084047C" w:rsidRPr="00F91404" w:rsidRDefault="0084047C" w:rsidP="0084047C">
                              <w:pPr>
                                <w:spacing w:after="160" w:line="276" w:lineRule="auto"/>
                                <w:rPr>
                                  <w:rFonts w:ascii="Abadi" w:eastAsia="Aptos" w:hAnsi="Abadi" w:cs="Arial"/>
                                  <w:color w:val="FFFFFF" w:themeColor="light1"/>
                                  <w:kern w:val="2"/>
                                  <w:sz w:val="24"/>
                                  <w:szCs w:val="24"/>
                                </w:rPr>
                              </w:pPr>
                              <w:r w:rsidRPr="00F91404">
                                <w:rPr>
                                  <w:rFonts w:ascii="Abadi" w:eastAsia="Aptos" w:hAnsi="Abadi" w:cs="Arial"/>
                                  <w:color w:val="FFFFFF" w:themeColor="light1"/>
                                  <w:kern w:val="2"/>
                                </w:rPr>
                                <w:t> </w:t>
                              </w:r>
                            </w:p>
                            <w:p w14:paraId="047D065B"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4B697EFD"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29399703"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21632589"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73A3AB45"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68EE603D"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1BEEECD6"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38009E11"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ABCC13B"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64D99C0"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6A101FC2"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79F3A7C"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29354D5"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692A222E" w14:textId="77777777" w:rsidR="0084047C" w:rsidRPr="00F91404" w:rsidRDefault="0084047C" w:rsidP="0084047C">
                              <w:pPr>
                                <w:spacing w:after="160" w:line="276" w:lineRule="auto"/>
                                <w:rPr>
                                  <w:rFonts w:ascii="Abadi" w:eastAsia="Aptos" w:hAnsi="Abadi" w:cs="Arial"/>
                                  <w:color w:val="FFFFFF" w:themeColor="light1"/>
                                  <w:kern w:val="2"/>
                                  <w:sz w:val="100"/>
                                  <w:szCs w:val="100"/>
                                </w:rPr>
                              </w:pPr>
                              <w:r w:rsidRPr="00F91404">
                                <w:rPr>
                                  <w:rFonts w:ascii="Abadi" w:eastAsia="Aptos" w:hAnsi="Abadi" w:cs="Arial"/>
                                  <w:color w:val="FFFFFF" w:themeColor="light1"/>
                                  <w:kern w:val="2"/>
                                  <w:sz w:val="100"/>
                                  <w:szCs w:val="100"/>
                                </w:rPr>
                                <w:t> </w:t>
                              </w:r>
                            </w:p>
                            <w:p w14:paraId="106E1E66" w14:textId="77777777" w:rsidR="0084047C" w:rsidRPr="00F91404" w:rsidRDefault="0084047C" w:rsidP="0084047C">
                              <w:pPr>
                                <w:spacing w:after="160" w:line="276" w:lineRule="auto"/>
                                <w:rPr>
                                  <w:rFonts w:ascii="Abadi" w:eastAsia="Aptos" w:hAnsi="Abadi" w:cs="Arial"/>
                                  <w:color w:val="FFFFFF" w:themeColor="light1"/>
                                  <w:kern w:val="2"/>
                                  <w:sz w:val="100"/>
                                  <w:szCs w:val="100"/>
                                </w:rPr>
                              </w:pPr>
                              <w:r w:rsidRPr="00F91404">
                                <w:rPr>
                                  <w:rFonts w:ascii="Abadi" w:eastAsia="Aptos" w:hAnsi="Abadi" w:cs="Arial"/>
                                  <w:color w:val="FFFFFF" w:themeColor="light1"/>
                                  <w:kern w:val="2"/>
                                  <w:sz w:val="100"/>
                                  <w:szCs w:val="100"/>
                                </w:rPr>
                                <w:t> </w:t>
                              </w:r>
                            </w:p>
                          </w:txbxContent>
                        </wps:txbx>
                        <wps:bodyPr rot="0" spcFirstLastPara="0" vert="horz" wrap="square" lIns="274320" tIns="45720" rIns="274320" bIns="45720" numCol="1" spcCol="0" rtlCol="0" fromWordArt="0" anchor="ctr" anchorCtr="0" forceAA="0" compatLnSpc="1">
                          <a:prstTxWarp prst="textNoShape">
                            <a:avLst/>
                          </a:prstTxWarp>
                          <a:noAutofit/>
                        </wps:bodyPr>
                      </wps:wsp>
                      <wps:wsp>
                        <wps:cNvPr id="869017242" name="Rectangle 869017242">
                          <a:extLst>
                            <a:ext uri="{FF2B5EF4-FFF2-40B4-BE49-F238E27FC236}">
                              <a16:creationId xmlns:a16="http://schemas.microsoft.com/office/drawing/2014/main" id="{58FA536A-51C2-F5E6-524E-DEC9DAD7FC55}"/>
                            </a:ext>
                          </a:extLst>
                        </wps:cNvPr>
                        <wps:cNvSpPr>
                          <a:spLocks/>
                        </wps:cNvSpPr>
                        <wps:spPr>
                          <a:xfrm>
                            <a:off x="0" y="0"/>
                            <a:ext cx="6858000" cy="4953794"/>
                          </a:xfrm>
                          <a:prstGeom prst="rect">
                            <a:avLst/>
                          </a:prstGeom>
                          <a:gradFill>
                            <a:gsLst>
                              <a:gs pos="0">
                                <a:schemeClr val="bg1">
                                  <a:alpha val="70045"/>
                                </a:schemeClr>
                              </a:gs>
                              <a:gs pos="100000">
                                <a:srgbClr val="DFFFF5">
                                  <a:lumMod val="99801"/>
                                </a:srgbClr>
                              </a:gs>
                            </a:gsLst>
                            <a:lin ang="5400000" scaled="1"/>
                          </a:gradFill>
                          <a:ln w="12700">
                            <a:noFill/>
                          </a:ln>
                        </wps:spPr>
                        <wps:style>
                          <a:lnRef idx="2">
                            <a:schemeClr val="accent1">
                              <a:shade val="50000"/>
                            </a:schemeClr>
                          </a:lnRef>
                          <a:fillRef idx="1003">
                            <a:schemeClr val="lt2"/>
                          </a:fillRef>
                          <a:effectRef idx="0">
                            <a:schemeClr val="accent1"/>
                          </a:effectRef>
                          <a:fontRef idx="minor">
                            <a:schemeClr val="lt1"/>
                          </a:fontRef>
                        </wps:style>
                        <wps:txbx>
                          <w:txbxContent>
                            <w:p w14:paraId="337FA85A" w14:textId="77777777" w:rsidR="0084047C" w:rsidRPr="00F91404" w:rsidRDefault="0084047C" w:rsidP="0084047C">
                              <w:pPr>
                                <w:spacing w:after="160" w:line="276" w:lineRule="auto"/>
                                <w:rPr>
                                  <w:rFonts w:ascii="Abadi" w:eastAsia="Aptos" w:hAnsi="Abadi" w:cs="Arial"/>
                                  <w:color w:val="FFFFFF" w:themeColor="light1"/>
                                  <w:kern w:val="2"/>
                                  <w:sz w:val="24"/>
                                  <w:szCs w:val="24"/>
                                </w:rPr>
                              </w:pPr>
                              <w:r w:rsidRPr="00F91404">
                                <w:rPr>
                                  <w:rFonts w:ascii="Abadi" w:eastAsia="Aptos" w:hAnsi="Abadi" w:cs="Arial"/>
                                  <w:color w:val="FFFFFF" w:themeColor="light1"/>
                                  <w:kern w:val="2"/>
                                </w:rPr>
                                <w:t> </w:t>
                              </w:r>
                            </w:p>
                            <w:p w14:paraId="436A4A9B"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5FBCE1D7"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6C30E485"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2ABBC657"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0B4D366"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341E90B9"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13A2EA8B"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6C0C9399"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39874683"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15A8DD4B"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A3E4796"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124D07F5"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3036F9E7"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481DD9BA" w14:textId="77777777" w:rsidR="0084047C" w:rsidRPr="00F91404" w:rsidRDefault="0084047C" w:rsidP="0084047C">
                              <w:pPr>
                                <w:spacing w:after="160" w:line="276" w:lineRule="auto"/>
                                <w:rPr>
                                  <w:rFonts w:ascii="Abadi" w:eastAsia="Aptos" w:hAnsi="Abadi" w:cs="Arial"/>
                                  <w:color w:val="FFFFFF" w:themeColor="light1"/>
                                  <w:kern w:val="2"/>
                                  <w:sz w:val="100"/>
                                  <w:szCs w:val="100"/>
                                </w:rPr>
                              </w:pPr>
                              <w:r w:rsidRPr="00F91404">
                                <w:rPr>
                                  <w:rFonts w:ascii="Abadi" w:eastAsia="Aptos" w:hAnsi="Abadi" w:cs="Arial"/>
                                  <w:color w:val="FFFFFF" w:themeColor="light1"/>
                                  <w:kern w:val="2"/>
                                  <w:sz w:val="100"/>
                                  <w:szCs w:val="100"/>
                                </w:rPr>
                                <w:t> </w:t>
                              </w:r>
                            </w:p>
                            <w:p w14:paraId="3C3680FF" w14:textId="77777777" w:rsidR="0084047C" w:rsidRPr="00F91404" w:rsidRDefault="0084047C" w:rsidP="0084047C">
                              <w:pPr>
                                <w:spacing w:after="160" w:line="276" w:lineRule="auto"/>
                                <w:rPr>
                                  <w:rFonts w:ascii="Abadi" w:eastAsia="Aptos" w:hAnsi="Abadi" w:cs="Arial"/>
                                  <w:color w:val="FFFFFF" w:themeColor="light1"/>
                                  <w:kern w:val="2"/>
                                  <w:sz w:val="100"/>
                                  <w:szCs w:val="100"/>
                                </w:rPr>
                              </w:pPr>
                              <w:r w:rsidRPr="00F91404">
                                <w:rPr>
                                  <w:rFonts w:ascii="Abadi" w:eastAsia="Aptos" w:hAnsi="Abadi" w:cs="Arial"/>
                                  <w:color w:val="FFFFFF" w:themeColor="light1"/>
                                  <w:kern w:val="2"/>
                                  <w:sz w:val="100"/>
                                  <w:szCs w:val="100"/>
                                </w:rPr>
                                <w:t> </w:t>
                              </w:r>
                            </w:p>
                          </w:txbxContent>
                        </wps:txbx>
                        <wps:bodyPr rot="0" spcFirstLastPara="0" vert="horz" wrap="square" lIns="274320" tIns="45720" rIns="274320" bIns="45720" numCol="1" spcCol="0" rtlCol="0" fromWordArt="0" anchor="ctr" anchorCtr="0" forceAA="0" compatLnSpc="1">
                          <a:prstTxWarp prst="textNoShape">
                            <a:avLst/>
                          </a:prstTxWarp>
                          <a:noAutofit/>
                        </wps:bodyPr>
                      </wps:wsp>
                      <pic:pic xmlns:pic="http://schemas.openxmlformats.org/drawingml/2006/picture">
                        <pic:nvPicPr>
                          <pic:cNvPr id="121232490" name="Picture 121232490">
                            <a:extLst>
                              <a:ext uri="{FF2B5EF4-FFF2-40B4-BE49-F238E27FC236}">
                                <a16:creationId xmlns:a16="http://schemas.microsoft.com/office/drawing/2014/main" id="{756A55E6-C440-73B8-4DEB-03B8943AD587}"/>
                              </a:ext>
                            </a:extLst>
                          </pic:cNvPr>
                          <pic:cNvPicPr>
                            <a:picLocks noChangeAspect="1" noChangeArrowheads="1"/>
                          </pic:cNvPicPr>
                        </pic:nvPicPr>
                        <pic:blipFill rotWithShape="1">
                          <a:blip r:embed="rId12"/>
                          <a:srcRect l="20002" r="21476"/>
                          <a:stretch>
                            <a:fillRect/>
                          </a:stretch>
                        </pic:blipFill>
                        <pic:spPr bwMode="auto">
                          <a:xfrm>
                            <a:off x="4845329" y="3048396"/>
                            <a:ext cx="1472363" cy="1526052"/>
                          </a:xfrm>
                          <a:prstGeom prst="ellipse">
                            <a:avLst/>
                          </a:prstGeom>
                          <a:ln w="3175" cap="rnd">
                            <a:solidFill>
                              <a:srgbClr val="004C43"/>
                            </a:solidFill>
                          </a:ln>
                          <a:effectLst/>
                          <a:extLst>
                            <a:ext uri="{909E8E84-426E-40DD-AFC4-6F175D3DCCD1}">
                              <a14:hiddenFill xmlns:a14="http://schemas.microsoft.com/office/drawing/2010/main">
                                <a:solidFill>
                                  <a:srgbClr val="FFFFFF"/>
                                </a:solidFill>
                              </a14:hiddenFill>
                            </a:ext>
                          </a:extLst>
                        </pic:spPr>
                      </pic:pic>
                      <wps:wsp>
                        <wps:cNvPr id="1799247927" name="Straight Connector 1799247927">
                          <a:extLst>
                            <a:ext uri="{FF2B5EF4-FFF2-40B4-BE49-F238E27FC236}">
                              <a16:creationId xmlns:a16="http://schemas.microsoft.com/office/drawing/2014/main" id="{09A3D52F-4E2A-0407-4010-8FE1704E5046}"/>
                            </a:ext>
                          </a:extLst>
                        </wps:cNvPr>
                        <wps:cNvCnPr>
                          <a:cxnSpLocks/>
                        </wps:cNvCnPr>
                        <wps:spPr>
                          <a:xfrm flipH="1">
                            <a:off x="0" y="0"/>
                            <a:ext cx="6858000" cy="0"/>
                          </a:xfrm>
                          <a:prstGeom prst="line">
                            <a:avLst/>
                          </a:prstGeom>
                          <a:ln w="3175">
                            <a:solidFill>
                              <a:srgbClr val="B3C6C2"/>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0AEF75C" id="Group 4" o:spid="_x0000_s1026" style="position:absolute;left:0;text-align:left;margin-left:-69.25pt;margin-top:402.95pt;width:603.55pt;height:435.95pt;z-index:-251658240;mso-position-vertical-relative:page;mso-width-relative:margin;mso-height-relative:margin" coordsize="68580,49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">
                <o:lock v:ext="edit" aspectratio="t"/>
                <v:rect id="Rectangle 686085905" o:spid="_x0000_s1027" style="position:absolute;width:68580;height:49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" fillcolor="#009193" stroked="f" strokeweight="1pt">
                  <v:fill r:id="rId13" o:title="" color2="#d9fbf2" type="pattern"/>
                  <v:textbox inset="21.6pt,,21.6pt">
                    <w:txbxContent>
                      <w:p w14:paraId="25A6A10C" w14:textId="77777777" w:rsidR="0084047C" w:rsidRPr="00F91404" w:rsidRDefault="0084047C" w:rsidP="0084047C">
                        <w:pPr>
                          <w:spacing w:after="160" w:line="276" w:lineRule="auto"/>
                          <w:rPr>
                            <w:rFonts w:ascii="Abadi" w:eastAsia="Aptos" w:hAnsi="Abadi" w:cs="Arial"/>
                            <w:color w:val="FFFFFF" w:themeColor="light1"/>
                            <w:kern w:val="2"/>
                            <w:sz w:val="24"/>
                            <w:szCs w:val="24"/>
                          </w:rPr>
                        </w:pPr>
                        <w:r w:rsidRPr="00F91404">
                          <w:rPr>
                            <w:rFonts w:ascii="Abadi" w:eastAsia="Aptos" w:hAnsi="Abadi" w:cs="Arial"/>
                            <w:color w:val="FFFFFF" w:themeColor="light1"/>
                            <w:kern w:val="2"/>
                          </w:rPr>
                          <w:t> </w:t>
                        </w:r>
                      </w:p>
                      <w:p w14:paraId="047D065B"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4B697EFD"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29399703"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21632589"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73A3AB45"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68EE603D"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1BEEECD6"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38009E11"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ABCC13B"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64D99C0"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6A101FC2"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79F3A7C"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29354D5"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692A222E" w14:textId="77777777" w:rsidR="0084047C" w:rsidRPr="00F91404" w:rsidRDefault="0084047C" w:rsidP="0084047C">
                        <w:pPr>
                          <w:spacing w:after="160" w:line="276" w:lineRule="auto"/>
                          <w:rPr>
                            <w:rFonts w:ascii="Abadi" w:eastAsia="Aptos" w:hAnsi="Abadi" w:cs="Arial"/>
                            <w:color w:val="FFFFFF" w:themeColor="light1"/>
                            <w:kern w:val="2"/>
                            <w:sz w:val="100"/>
                            <w:szCs w:val="100"/>
                          </w:rPr>
                        </w:pPr>
                        <w:r w:rsidRPr="00F91404">
                          <w:rPr>
                            <w:rFonts w:ascii="Abadi" w:eastAsia="Aptos" w:hAnsi="Abadi" w:cs="Arial"/>
                            <w:color w:val="FFFFFF" w:themeColor="light1"/>
                            <w:kern w:val="2"/>
                            <w:sz w:val="100"/>
                            <w:szCs w:val="100"/>
                          </w:rPr>
                          <w:t> </w:t>
                        </w:r>
                      </w:p>
                      <w:p w14:paraId="106E1E66" w14:textId="77777777" w:rsidR="0084047C" w:rsidRPr="00F91404" w:rsidRDefault="0084047C" w:rsidP="0084047C">
                        <w:pPr>
                          <w:spacing w:after="160" w:line="276" w:lineRule="auto"/>
                          <w:rPr>
                            <w:rFonts w:ascii="Abadi" w:eastAsia="Aptos" w:hAnsi="Abadi" w:cs="Arial"/>
                            <w:color w:val="FFFFFF" w:themeColor="light1"/>
                            <w:kern w:val="2"/>
                            <w:sz w:val="100"/>
                            <w:szCs w:val="100"/>
                          </w:rPr>
                        </w:pPr>
                        <w:r w:rsidRPr="00F91404">
                          <w:rPr>
                            <w:rFonts w:ascii="Abadi" w:eastAsia="Aptos" w:hAnsi="Abadi" w:cs="Arial"/>
                            <w:color w:val="FFFFFF" w:themeColor="light1"/>
                            <w:kern w:val="2"/>
                            <w:sz w:val="100"/>
                            <w:szCs w:val="100"/>
                          </w:rPr>
                          <w:t> </w:t>
                        </w:r>
                      </w:p>
                    </w:txbxContent>
                  </v:textbox>
                </v:rect>
                <v:rect id="Rectangle 869017242" o:spid="_x0000_s1028" style="position:absolute;width:68580;height:49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" fillcolor="white [3212]" stroked="f" strokeweight="1pt">
                  <v:fill opacity="45904f" color2="#defff5" focus="100%" type="gradient"/>
                  <v:textbox inset="21.6pt,,21.6pt">
                    <w:txbxContent>
                      <w:p w14:paraId="337FA85A" w14:textId="77777777" w:rsidR="0084047C" w:rsidRPr="00F91404" w:rsidRDefault="0084047C" w:rsidP="0084047C">
                        <w:pPr>
                          <w:spacing w:after="160" w:line="276" w:lineRule="auto"/>
                          <w:rPr>
                            <w:rFonts w:ascii="Abadi" w:eastAsia="Aptos" w:hAnsi="Abadi" w:cs="Arial"/>
                            <w:color w:val="FFFFFF" w:themeColor="light1"/>
                            <w:kern w:val="2"/>
                            <w:sz w:val="24"/>
                            <w:szCs w:val="24"/>
                          </w:rPr>
                        </w:pPr>
                        <w:r w:rsidRPr="00F91404">
                          <w:rPr>
                            <w:rFonts w:ascii="Abadi" w:eastAsia="Aptos" w:hAnsi="Abadi" w:cs="Arial"/>
                            <w:color w:val="FFFFFF" w:themeColor="light1"/>
                            <w:kern w:val="2"/>
                          </w:rPr>
                          <w:t> </w:t>
                        </w:r>
                      </w:p>
                      <w:p w14:paraId="436A4A9B"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5FBCE1D7"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6C30E485"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2ABBC657"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0B4D366"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341E90B9"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13A2EA8B"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6C0C9399"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39874683"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15A8DD4B"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0A3E4796"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124D07F5"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3036F9E7" w14:textId="77777777" w:rsidR="0084047C" w:rsidRPr="00F91404" w:rsidRDefault="0084047C" w:rsidP="0084047C">
                        <w:pPr>
                          <w:spacing w:after="160" w:line="276" w:lineRule="auto"/>
                          <w:rPr>
                            <w:rFonts w:ascii="Abadi" w:eastAsia="Aptos" w:hAnsi="Abadi" w:cs="Arial"/>
                            <w:color w:val="FFFFFF" w:themeColor="light1"/>
                            <w:kern w:val="2"/>
                          </w:rPr>
                        </w:pPr>
                        <w:r w:rsidRPr="00F91404">
                          <w:rPr>
                            <w:rFonts w:ascii="Abadi" w:eastAsia="Aptos" w:hAnsi="Abadi" w:cs="Arial"/>
                            <w:color w:val="FFFFFF" w:themeColor="light1"/>
                            <w:kern w:val="2"/>
                          </w:rPr>
                          <w:t> </w:t>
                        </w:r>
                      </w:p>
                      <w:p w14:paraId="481DD9BA" w14:textId="77777777" w:rsidR="0084047C" w:rsidRPr="00F91404" w:rsidRDefault="0084047C" w:rsidP="0084047C">
                        <w:pPr>
                          <w:spacing w:after="160" w:line="276" w:lineRule="auto"/>
                          <w:rPr>
                            <w:rFonts w:ascii="Abadi" w:eastAsia="Aptos" w:hAnsi="Abadi" w:cs="Arial"/>
                            <w:color w:val="FFFFFF" w:themeColor="light1"/>
                            <w:kern w:val="2"/>
                            <w:sz w:val="100"/>
                            <w:szCs w:val="100"/>
                          </w:rPr>
                        </w:pPr>
                        <w:r w:rsidRPr="00F91404">
                          <w:rPr>
                            <w:rFonts w:ascii="Abadi" w:eastAsia="Aptos" w:hAnsi="Abadi" w:cs="Arial"/>
                            <w:color w:val="FFFFFF" w:themeColor="light1"/>
                            <w:kern w:val="2"/>
                            <w:sz w:val="100"/>
                            <w:szCs w:val="100"/>
                          </w:rPr>
                          <w:t> </w:t>
                        </w:r>
                      </w:p>
                      <w:p w14:paraId="3C3680FF" w14:textId="77777777" w:rsidR="0084047C" w:rsidRPr="00F91404" w:rsidRDefault="0084047C" w:rsidP="0084047C">
                        <w:pPr>
                          <w:spacing w:after="160" w:line="276" w:lineRule="auto"/>
                          <w:rPr>
                            <w:rFonts w:ascii="Abadi" w:eastAsia="Aptos" w:hAnsi="Abadi" w:cs="Arial"/>
                            <w:color w:val="FFFFFF" w:themeColor="light1"/>
                            <w:kern w:val="2"/>
                            <w:sz w:val="100"/>
                            <w:szCs w:val="100"/>
                          </w:rPr>
                        </w:pPr>
                        <w:r w:rsidRPr="00F91404">
                          <w:rPr>
                            <w:rFonts w:ascii="Abadi" w:eastAsia="Aptos" w:hAnsi="Abadi" w:cs="Arial"/>
                            <w:color w:val="FFFFFF" w:themeColor="light1"/>
                            <w:kern w:val="2"/>
                            <w:sz w:val="100"/>
                            <w:szCs w:val="100"/>
                          </w:rPr>
                          <w:t>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232490" o:spid="_x0000_s1029" type="#_x0000_t75" style="position:absolute;left:48453;top:30483;width:14723;height:15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" stroked="t" strokecolor="#004c43" strokeweight=".25pt">
                  <v:stroke endcap="round"/>
                  <v:imagedata r:id="rId14" o:title="" cropleft="13109f" cropright="14075f"/>
                </v:shape>
                <v:line id="Straight Connector 1799247927" o:spid="_x0000_s1030" style="position:absolute;flip:x;visibility:visible;mso-wrap-style:square" from="0,0" to="685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" strokecolor="#b3c6c2" strokeweight=".25pt">
                  <v:stroke joinstyle="miter"/>
                  <o:lock v:ext="edit" shapetype="f"/>
                </v:line>
                <w10:wrap anchory="page"/>
              </v:group>
            </w:pict>
          </mc:Fallback>
        </mc:AlternateContent>
      </w:r>
    </w:p>
    <w:p w14:paraId="5F7C1DE8" w14:textId="68C9BA1A" w:rsidR="00CB58AA" w:rsidRPr="00F91404" w:rsidRDefault="00CB58AA" w:rsidP="00CB58AA">
      <w:pPr>
        <w:ind w:left="0"/>
        <w:rPr>
          <w:rFonts w:cstheme="minorHAnsi"/>
          <w:sz w:val="20"/>
          <w:szCs w:val="20"/>
        </w:rPr>
      </w:pPr>
    </w:p>
    <w:p w14:paraId="750500F4" w14:textId="08D03F8E" w:rsidR="0088258F" w:rsidRPr="00F91404" w:rsidRDefault="0088258F" w:rsidP="005932D9">
      <w:pPr>
        <w:rPr>
          <w:rFonts w:cstheme="minorHAnsi"/>
          <w:sz w:val="20"/>
          <w:szCs w:val="20"/>
        </w:rPr>
      </w:pPr>
    </w:p>
    <w:p w14:paraId="52B3F4D1" w14:textId="2F563D3B" w:rsidR="0088258F" w:rsidRPr="00F91404" w:rsidRDefault="0088258F" w:rsidP="001C05E6">
      <w:pPr>
        <w:ind w:left="0"/>
        <w:rPr>
          <w:rFonts w:cstheme="minorHAnsi"/>
          <w:sz w:val="20"/>
          <w:szCs w:val="20"/>
        </w:rPr>
      </w:pPr>
    </w:p>
    <w:p w14:paraId="0151F463" w14:textId="4BBEF11E" w:rsidR="0088258F" w:rsidRPr="00F91404" w:rsidRDefault="0088258F" w:rsidP="005932D9">
      <w:pPr>
        <w:jc w:val="right"/>
        <w:rPr>
          <w:rFonts w:ascii="Helvetica Light" w:hAnsi="Helvetica Light" w:cstheme="minorHAnsi"/>
          <w:b/>
          <w:bCs/>
          <w:color w:val="2F333C" w:themeColor="text1"/>
          <w:sz w:val="28"/>
          <w:szCs w:val="28"/>
        </w:rPr>
      </w:pPr>
      <w:r w:rsidRPr="00F91404">
        <w:rPr>
          <w:rFonts w:ascii="Helvetica Light" w:hAnsi="Helvetica Light" w:cstheme="minorHAnsi"/>
          <w:b/>
          <w:bCs/>
          <w:color w:val="2F333C" w:themeColor="text1"/>
          <w:sz w:val="28"/>
          <w:szCs w:val="28"/>
        </w:rPr>
        <w:t>Deliverable D</w:t>
      </w:r>
      <w:r w:rsidR="00DA177D" w:rsidRPr="00F91404">
        <w:rPr>
          <w:rFonts w:ascii="Helvetica Light" w:hAnsi="Helvetica Light" w:cstheme="minorHAnsi"/>
          <w:b/>
          <w:bCs/>
          <w:color w:val="2F333C" w:themeColor="text1"/>
          <w:sz w:val="28"/>
          <w:szCs w:val="28"/>
        </w:rPr>
        <w:t>2</w:t>
      </w:r>
    </w:p>
    <w:p w14:paraId="0028F68B" w14:textId="3FACC85E" w:rsidR="00087B70" w:rsidRPr="00F91404" w:rsidRDefault="003A15D9" w:rsidP="006F1DB9">
      <w:pPr>
        <w:jc w:val="right"/>
        <w:rPr>
          <w:rFonts w:ascii="Helvetica Light" w:hAnsi="Helvetica Light" w:cstheme="minorHAnsi"/>
          <w:color w:val="004C43"/>
          <w:sz w:val="24"/>
          <w:szCs w:val="24"/>
        </w:rPr>
      </w:pPr>
      <w:r w:rsidRPr="00F91404">
        <w:rPr>
          <w:rFonts w:ascii="Helvetica Light" w:hAnsi="Helvetica Light" w:cstheme="minorHAnsi"/>
          <w:color w:val="2F333C" w:themeColor="text1"/>
          <w:sz w:val="24"/>
          <w:szCs w:val="24"/>
        </w:rPr>
        <w:t>31</w:t>
      </w:r>
      <w:r w:rsidR="00DB58E7" w:rsidRPr="00F91404">
        <w:rPr>
          <w:rFonts w:ascii="Helvetica Light" w:hAnsi="Helvetica Light" w:cstheme="minorHAnsi"/>
          <w:color w:val="2F333C" w:themeColor="text1"/>
          <w:sz w:val="24"/>
          <w:szCs w:val="24"/>
          <w:vertAlign w:val="superscript"/>
        </w:rPr>
        <w:t>st</w:t>
      </w:r>
      <w:r w:rsidR="0088258F" w:rsidRPr="00F91404">
        <w:rPr>
          <w:rFonts w:ascii="Helvetica Light" w:hAnsi="Helvetica Light" w:cstheme="minorHAnsi"/>
          <w:color w:val="2F333C" w:themeColor="text1"/>
          <w:sz w:val="24"/>
          <w:szCs w:val="24"/>
        </w:rPr>
        <w:t xml:space="preserve"> </w:t>
      </w:r>
      <w:r w:rsidR="00DA177D" w:rsidRPr="00F91404">
        <w:rPr>
          <w:rFonts w:ascii="Helvetica Light" w:hAnsi="Helvetica Light" w:cstheme="minorHAnsi"/>
          <w:color w:val="2F333C" w:themeColor="text1"/>
          <w:sz w:val="24"/>
          <w:szCs w:val="24"/>
        </w:rPr>
        <w:t>January</w:t>
      </w:r>
      <w:r w:rsidR="0088258F" w:rsidRPr="00F91404">
        <w:rPr>
          <w:rFonts w:ascii="Helvetica Light" w:hAnsi="Helvetica Light" w:cstheme="minorHAnsi"/>
          <w:color w:val="2F333C" w:themeColor="text1"/>
          <w:sz w:val="24"/>
          <w:szCs w:val="24"/>
        </w:rPr>
        <w:t xml:space="preserve"> 202</w:t>
      </w:r>
      <w:r w:rsidR="00DA177D" w:rsidRPr="00F91404">
        <w:rPr>
          <w:rFonts w:ascii="Helvetica Light" w:hAnsi="Helvetica Light" w:cstheme="minorHAnsi"/>
          <w:color w:val="2F333C" w:themeColor="text1"/>
          <w:sz w:val="24"/>
          <w:szCs w:val="24"/>
        </w:rPr>
        <w:t>6</w:t>
      </w:r>
    </w:p>
    <w:p w14:paraId="5A85E952" w14:textId="609554CE" w:rsidR="00193CF6" w:rsidRPr="00F91404" w:rsidRDefault="0006024D" w:rsidP="005932D9">
      <w:pPr>
        <w:jc w:val="right"/>
        <w:rPr>
          <w:rFonts w:cstheme="minorHAnsi"/>
          <w:color w:val="2F333C" w:themeColor="text1"/>
          <w:sz w:val="20"/>
          <w:szCs w:val="20"/>
        </w:rPr>
      </w:pPr>
      <w:r w:rsidRPr="00F91404">
        <w:rPr>
          <w:rFonts w:cstheme="minorHAnsi"/>
          <w:sz w:val="20"/>
          <w:szCs w:val="20"/>
        </w:rPr>
        <w:br w:type="page"/>
      </w:r>
    </w:p>
    <w:p w14:paraId="5E54C58E" w14:textId="77777777" w:rsidR="00193CF6" w:rsidRPr="00F91404" w:rsidRDefault="00193CF6" w:rsidP="005932D9">
      <w:pPr>
        <w:rPr>
          <w:rFonts w:cstheme="minorHAnsi"/>
          <w:sz w:val="20"/>
          <w:szCs w:val="20"/>
        </w:rPr>
      </w:pPr>
    </w:p>
    <w:tbl>
      <w:tblPr>
        <w:tblStyle w:val="TableGrid"/>
        <w:tblW w:w="9209" w:type="dxa"/>
        <w:tblLayout w:type="fixed"/>
        <w:tblLook w:val="04A0" w:firstRow="1" w:lastRow="0" w:firstColumn="1" w:lastColumn="0" w:noHBand="0" w:noVBand="1"/>
      </w:tblPr>
      <w:tblGrid>
        <w:gridCol w:w="1980"/>
        <w:gridCol w:w="7229"/>
      </w:tblGrid>
      <w:tr w:rsidR="00193CF6" w:rsidRPr="00F91404" w14:paraId="4C0D166E" w14:textId="77777777" w:rsidTr="008E1A8B">
        <w:tc>
          <w:tcPr>
            <w:tcW w:w="1980" w:type="dxa"/>
            <w:tcBorders>
              <w:top w:val="dotted" w:sz="4" w:space="0" w:color="2F333C"/>
              <w:left w:val="dotted" w:sz="4" w:space="0" w:color="2F333C"/>
              <w:bottom w:val="dotted" w:sz="4" w:space="0" w:color="2F333C"/>
              <w:right w:val="dotted" w:sz="4" w:space="0" w:color="2F333C"/>
            </w:tcBorders>
            <w:shd w:val="clear" w:color="auto" w:fill="F3F7D5" w:themeFill="accent3" w:themeFillTint="33"/>
          </w:tcPr>
          <w:p w14:paraId="752BBF76" w14:textId="714D9C24" w:rsidR="00193CF6" w:rsidRPr="00F91404" w:rsidRDefault="0006024D" w:rsidP="005932D9">
            <w:pPr>
              <w:pStyle w:val="Tablebody"/>
              <w:rPr>
                <w:rFonts w:cstheme="minorHAnsi"/>
                <w:b/>
                <w:bCs/>
                <w:sz w:val="20"/>
                <w:szCs w:val="20"/>
              </w:rPr>
            </w:pPr>
            <w:r w:rsidRPr="00F91404">
              <w:rPr>
                <w:rFonts w:cstheme="minorHAnsi"/>
                <w:b/>
                <w:bCs/>
                <w:sz w:val="20"/>
                <w:szCs w:val="20"/>
              </w:rPr>
              <w:t>Title</w:t>
            </w:r>
          </w:p>
        </w:tc>
        <w:tc>
          <w:tcPr>
            <w:tcW w:w="7229" w:type="dxa"/>
            <w:tcBorders>
              <w:top w:val="dotted" w:sz="4" w:space="0" w:color="2F333C"/>
              <w:left w:val="dotted" w:sz="4" w:space="0" w:color="2F333C"/>
              <w:bottom w:val="dotted" w:sz="4" w:space="0" w:color="2F333C"/>
              <w:right w:val="dotted" w:sz="4" w:space="0" w:color="2F333C"/>
            </w:tcBorders>
          </w:tcPr>
          <w:p w14:paraId="2A5CFAC5" w14:textId="48D32E2D" w:rsidR="00193CF6" w:rsidRPr="00F91404" w:rsidRDefault="00BA1935" w:rsidP="005932D9">
            <w:pPr>
              <w:pStyle w:val="Tablebody"/>
              <w:rPr>
                <w:rFonts w:cstheme="minorHAnsi"/>
                <w:sz w:val="20"/>
                <w:szCs w:val="20"/>
              </w:rPr>
            </w:pPr>
            <w:r w:rsidRPr="00F91404">
              <w:rPr>
                <w:rFonts w:cstheme="minorHAnsi"/>
                <w:sz w:val="20"/>
                <w:szCs w:val="20"/>
              </w:rPr>
              <w:t xml:space="preserve"> (D</w:t>
            </w:r>
            <w:r w:rsidR="00DA177D" w:rsidRPr="00F91404">
              <w:rPr>
                <w:rFonts w:cstheme="minorHAnsi"/>
                <w:sz w:val="20"/>
                <w:szCs w:val="20"/>
              </w:rPr>
              <w:t>2</w:t>
            </w:r>
            <w:r w:rsidRPr="00F91404">
              <w:rPr>
                <w:rFonts w:cstheme="minorHAnsi"/>
                <w:sz w:val="20"/>
                <w:szCs w:val="20"/>
              </w:rPr>
              <w:t xml:space="preserve">) </w:t>
            </w:r>
            <w:r w:rsidR="00DA177D" w:rsidRPr="00F91404">
              <w:rPr>
                <w:rFonts w:cstheme="minorHAnsi"/>
                <w:sz w:val="20"/>
                <w:szCs w:val="20"/>
              </w:rPr>
              <w:t>International Benchmarking Assessment</w:t>
            </w:r>
          </w:p>
        </w:tc>
      </w:tr>
      <w:tr w:rsidR="00193CF6" w:rsidRPr="00F91404" w14:paraId="166FA9A3" w14:textId="77777777" w:rsidTr="008E1A8B">
        <w:tc>
          <w:tcPr>
            <w:tcW w:w="1980" w:type="dxa"/>
            <w:tcBorders>
              <w:top w:val="dotted" w:sz="4" w:space="0" w:color="2F333C"/>
              <w:left w:val="dotted" w:sz="4" w:space="0" w:color="2F333C"/>
              <w:bottom w:val="dotted" w:sz="4" w:space="0" w:color="2F333C"/>
              <w:right w:val="dotted" w:sz="4" w:space="0" w:color="2F333C"/>
            </w:tcBorders>
            <w:shd w:val="clear" w:color="auto" w:fill="F3F7D5" w:themeFill="accent3" w:themeFillTint="33"/>
          </w:tcPr>
          <w:p w14:paraId="2D226303" w14:textId="1C572E61" w:rsidR="00193CF6" w:rsidRPr="00F91404" w:rsidRDefault="0006024D" w:rsidP="005932D9">
            <w:pPr>
              <w:pStyle w:val="Tablebody"/>
              <w:rPr>
                <w:rFonts w:cstheme="minorHAnsi"/>
                <w:b/>
                <w:bCs/>
                <w:sz w:val="20"/>
                <w:szCs w:val="20"/>
              </w:rPr>
            </w:pPr>
            <w:r w:rsidRPr="00F91404">
              <w:rPr>
                <w:rFonts w:cstheme="minorHAnsi"/>
                <w:b/>
                <w:bCs/>
                <w:sz w:val="20"/>
                <w:szCs w:val="20"/>
              </w:rPr>
              <w:t xml:space="preserve">Work </w:t>
            </w:r>
            <w:r w:rsidR="008E1A8B" w:rsidRPr="00F91404">
              <w:rPr>
                <w:rFonts w:cstheme="minorHAnsi"/>
                <w:b/>
                <w:bCs/>
                <w:sz w:val="20"/>
                <w:szCs w:val="20"/>
              </w:rPr>
              <w:t>P</w:t>
            </w:r>
            <w:r w:rsidRPr="00F91404">
              <w:rPr>
                <w:rFonts w:cstheme="minorHAnsi"/>
                <w:b/>
                <w:bCs/>
                <w:sz w:val="20"/>
                <w:szCs w:val="20"/>
              </w:rPr>
              <w:t>ackage</w:t>
            </w:r>
          </w:p>
        </w:tc>
        <w:tc>
          <w:tcPr>
            <w:tcW w:w="7229" w:type="dxa"/>
            <w:tcBorders>
              <w:top w:val="dotted" w:sz="4" w:space="0" w:color="2F333C"/>
              <w:left w:val="dotted" w:sz="4" w:space="0" w:color="2F333C"/>
              <w:bottom w:val="dotted" w:sz="4" w:space="0" w:color="2F333C"/>
              <w:right w:val="dotted" w:sz="4" w:space="0" w:color="2F333C"/>
            </w:tcBorders>
          </w:tcPr>
          <w:p w14:paraId="1B3D36E5" w14:textId="1FA591A3" w:rsidR="00193CF6" w:rsidRPr="00F91404" w:rsidRDefault="00BA1935" w:rsidP="005932D9">
            <w:pPr>
              <w:pStyle w:val="Tablebody"/>
              <w:rPr>
                <w:rFonts w:cstheme="minorHAnsi"/>
                <w:b/>
                <w:bCs/>
                <w:sz w:val="20"/>
                <w:szCs w:val="20"/>
              </w:rPr>
            </w:pPr>
            <w:r w:rsidRPr="00F91404">
              <w:rPr>
                <w:rFonts w:cstheme="minorHAnsi"/>
                <w:sz w:val="20"/>
                <w:szCs w:val="20"/>
              </w:rPr>
              <w:t>MEX.TOP.NRHP</w:t>
            </w:r>
          </w:p>
        </w:tc>
      </w:tr>
      <w:tr w:rsidR="00193CF6" w:rsidRPr="00F91404" w14:paraId="471B23CC" w14:textId="77777777" w:rsidTr="008E1A8B">
        <w:tc>
          <w:tcPr>
            <w:tcW w:w="1980" w:type="dxa"/>
            <w:tcBorders>
              <w:top w:val="dotted" w:sz="4" w:space="0" w:color="2F333C"/>
              <w:left w:val="dotted" w:sz="4" w:space="0" w:color="2F333C"/>
              <w:bottom w:val="dotted" w:sz="4" w:space="0" w:color="2F333C"/>
              <w:right w:val="dotted" w:sz="4" w:space="0" w:color="2F333C"/>
            </w:tcBorders>
            <w:shd w:val="clear" w:color="auto" w:fill="F3F7D5" w:themeFill="accent3" w:themeFillTint="33"/>
          </w:tcPr>
          <w:p w14:paraId="54CB9FC4" w14:textId="6FDC76F3" w:rsidR="00193CF6" w:rsidRPr="00F91404" w:rsidRDefault="0006024D" w:rsidP="005932D9">
            <w:pPr>
              <w:pStyle w:val="Tablebody"/>
              <w:rPr>
                <w:rFonts w:cstheme="minorHAnsi"/>
                <w:b/>
                <w:bCs/>
                <w:sz w:val="20"/>
                <w:szCs w:val="20"/>
              </w:rPr>
            </w:pPr>
            <w:r w:rsidRPr="00F91404">
              <w:rPr>
                <w:rFonts w:cstheme="minorHAnsi"/>
                <w:b/>
                <w:bCs/>
                <w:sz w:val="20"/>
                <w:szCs w:val="20"/>
              </w:rPr>
              <w:t>Country</w:t>
            </w:r>
          </w:p>
        </w:tc>
        <w:tc>
          <w:tcPr>
            <w:tcW w:w="7229" w:type="dxa"/>
            <w:tcBorders>
              <w:top w:val="dotted" w:sz="4" w:space="0" w:color="2F333C"/>
              <w:left w:val="dotted" w:sz="4" w:space="0" w:color="2F333C"/>
              <w:bottom w:val="dotted" w:sz="4" w:space="0" w:color="2F333C"/>
              <w:right w:val="dotted" w:sz="4" w:space="0" w:color="2F333C"/>
            </w:tcBorders>
          </w:tcPr>
          <w:p w14:paraId="22BCFBF8" w14:textId="7DD114F7" w:rsidR="00193CF6" w:rsidRPr="00F91404" w:rsidRDefault="00BA1935" w:rsidP="005932D9">
            <w:pPr>
              <w:pStyle w:val="Tablebody"/>
              <w:rPr>
                <w:rFonts w:cstheme="minorHAnsi"/>
                <w:b/>
                <w:bCs/>
                <w:sz w:val="20"/>
                <w:szCs w:val="20"/>
              </w:rPr>
            </w:pPr>
            <w:r w:rsidRPr="00F91404">
              <w:rPr>
                <w:rFonts w:cstheme="minorHAnsi"/>
                <w:sz w:val="20"/>
                <w:szCs w:val="20"/>
              </w:rPr>
              <w:t>Mexico</w:t>
            </w:r>
          </w:p>
        </w:tc>
      </w:tr>
    </w:tbl>
    <w:p w14:paraId="7739269E" w14:textId="77777777" w:rsidR="00193CF6" w:rsidRPr="00F91404" w:rsidRDefault="00193CF6" w:rsidP="005932D9">
      <w:pPr>
        <w:pStyle w:val="Factboxtext"/>
        <w:rPr>
          <w:rFonts w:asciiTheme="minorHAnsi" w:hAnsiTheme="minorHAnsi" w:cstheme="minorHAnsi"/>
          <w:sz w:val="20"/>
          <w:szCs w:val="20"/>
        </w:rPr>
      </w:pPr>
    </w:p>
    <w:tbl>
      <w:tblPr>
        <w:tblStyle w:val="TableGrid"/>
        <w:tblW w:w="9225" w:type="dxa"/>
        <w:tblBorders>
          <w:top w:val="single" w:sz="4" w:space="0" w:color="004C43"/>
          <w:left w:val="single" w:sz="4" w:space="0" w:color="004C43"/>
          <w:bottom w:val="single" w:sz="4" w:space="0" w:color="004C43"/>
          <w:right w:val="single" w:sz="4" w:space="0" w:color="004C43"/>
          <w:insideH w:val="single" w:sz="4" w:space="0" w:color="004C43"/>
          <w:insideV w:val="single" w:sz="4" w:space="0" w:color="004C43"/>
        </w:tblBorders>
        <w:tblLayout w:type="fixed"/>
        <w:tblLook w:val="04A0" w:firstRow="1" w:lastRow="0" w:firstColumn="1" w:lastColumn="0" w:noHBand="0" w:noVBand="1"/>
      </w:tblPr>
      <w:tblGrid>
        <w:gridCol w:w="1980"/>
        <w:gridCol w:w="2407"/>
        <w:gridCol w:w="4838"/>
      </w:tblGrid>
      <w:tr w:rsidR="00193CF6" w:rsidRPr="00F91404" w14:paraId="45F93F0E" w14:textId="77777777" w:rsidTr="48EB61D0">
        <w:trPr>
          <w:trHeight w:val="283"/>
        </w:trPr>
        <w:tc>
          <w:tcPr>
            <w:tcW w:w="1980" w:type="dxa"/>
            <w:shd w:val="clear" w:color="auto" w:fill="004C43" w:themeFill="accent1"/>
            <w:vAlign w:val="center"/>
          </w:tcPr>
          <w:p w14:paraId="668B6F9C" w14:textId="77777777" w:rsidR="00193CF6" w:rsidRPr="00F91404" w:rsidRDefault="0006024D" w:rsidP="002722F0">
            <w:pPr>
              <w:spacing w:after="0"/>
              <w:jc w:val="center"/>
              <w:rPr>
                <w:rFonts w:cstheme="minorHAnsi"/>
                <w:sz w:val="20"/>
                <w:szCs w:val="20"/>
              </w:rPr>
            </w:pPr>
            <w:r w:rsidRPr="00F91404">
              <w:rPr>
                <w:rFonts w:cstheme="minorHAnsi"/>
                <w:sz w:val="20"/>
                <w:szCs w:val="20"/>
              </w:rPr>
              <w:t>Version</w:t>
            </w:r>
          </w:p>
        </w:tc>
        <w:tc>
          <w:tcPr>
            <w:tcW w:w="2407" w:type="dxa"/>
            <w:shd w:val="clear" w:color="auto" w:fill="004C43" w:themeFill="accent1"/>
            <w:vAlign w:val="center"/>
          </w:tcPr>
          <w:p w14:paraId="0E45A963" w14:textId="77777777" w:rsidR="00193CF6" w:rsidRPr="00F91404" w:rsidRDefault="0006024D" w:rsidP="002722F0">
            <w:pPr>
              <w:spacing w:after="0"/>
              <w:jc w:val="center"/>
              <w:rPr>
                <w:rFonts w:cstheme="minorHAnsi"/>
                <w:sz w:val="20"/>
                <w:szCs w:val="20"/>
              </w:rPr>
            </w:pPr>
            <w:r w:rsidRPr="00F91404">
              <w:rPr>
                <w:rFonts w:cstheme="minorHAnsi"/>
                <w:sz w:val="20"/>
                <w:szCs w:val="20"/>
              </w:rPr>
              <w:t>Date</w:t>
            </w:r>
          </w:p>
        </w:tc>
        <w:tc>
          <w:tcPr>
            <w:tcW w:w="4838" w:type="dxa"/>
            <w:shd w:val="clear" w:color="auto" w:fill="004C43" w:themeFill="accent1"/>
            <w:vAlign w:val="center"/>
          </w:tcPr>
          <w:p w14:paraId="217FFC28" w14:textId="6BA8EDE4" w:rsidR="00193CF6" w:rsidRPr="00F91404" w:rsidRDefault="0006024D" w:rsidP="002722F0">
            <w:pPr>
              <w:spacing w:after="0"/>
              <w:jc w:val="center"/>
              <w:rPr>
                <w:rFonts w:cstheme="minorHAnsi"/>
                <w:sz w:val="20"/>
                <w:szCs w:val="20"/>
              </w:rPr>
            </w:pPr>
            <w:r w:rsidRPr="00F91404">
              <w:rPr>
                <w:rFonts w:cstheme="minorHAnsi"/>
                <w:sz w:val="20"/>
                <w:szCs w:val="20"/>
              </w:rPr>
              <w:t>Reviewer</w:t>
            </w:r>
            <w:r w:rsidR="00BA1935" w:rsidRPr="00F91404">
              <w:rPr>
                <w:rFonts w:cstheme="minorHAnsi"/>
                <w:sz w:val="20"/>
                <w:szCs w:val="20"/>
              </w:rPr>
              <w:t>(s)</w:t>
            </w:r>
          </w:p>
        </w:tc>
      </w:tr>
      <w:tr w:rsidR="008E1A8B" w:rsidRPr="00F91404" w14:paraId="1C666B26" w14:textId="77777777" w:rsidTr="008E1A8B">
        <w:trPr>
          <w:trHeight w:val="283"/>
        </w:trPr>
        <w:tc>
          <w:tcPr>
            <w:tcW w:w="1980" w:type="dxa"/>
            <w:vMerge w:val="restart"/>
            <w:shd w:val="clear" w:color="auto" w:fill="F3F7D5" w:themeFill="accent3" w:themeFillTint="33"/>
            <w:vAlign w:val="center"/>
          </w:tcPr>
          <w:p w14:paraId="4012C640" w14:textId="6A276930" w:rsidR="008E1A8B" w:rsidRPr="00F91404" w:rsidRDefault="008E1A8B" w:rsidP="002722F0">
            <w:pPr>
              <w:spacing w:after="0"/>
              <w:jc w:val="center"/>
              <w:rPr>
                <w:rFonts w:cstheme="minorHAnsi"/>
                <w:b/>
                <w:bCs/>
                <w:sz w:val="20"/>
                <w:szCs w:val="20"/>
              </w:rPr>
            </w:pPr>
            <w:r w:rsidRPr="00F91404">
              <w:rPr>
                <w:rFonts w:cstheme="minorHAnsi"/>
                <w:b/>
                <w:bCs/>
                <w:sz w:val="20"/>
                <w:szCs w:val="20"/>
              </w:rPr>
              <w:t>1</w:t>
            </w:r>
          </w:p>
        </w:tc>
        <w:tc>
          <w:tcPr>
            <w:tcW w:w="2407" w:type="dxa"/>
            <w:vMerge w:val="restart"/>
            <w:vAlign w:val="center"/>
          </w:tcPr>
          <w:p w14:paraId="2B4C555A" w14:textId="680FD97D" w:rsidR="008E1A8B" w:rsidRPr="00F91404" w:rsidRDefault="00315F96" w:rsidP="002722F0">
            <w:pPr>
              <w:spacing w:after="0"/>
              <w:jc w:val="center"/>
              <w:rPr>
                <w:rFonts w:cstheme="minorHAnsi"/>
                <w:b/>
                <w:bCs/>
                <w:sz w:val="20"/>
                <w:szCs w:val="20"/>
              </w:rPr>
            </w:pPr>
            <w:r w:rsidRPr="00F91404">
              <w:rPr>
                <w:rFonts w:cstheme="minorHAnsi"/>
                <w:b/>
                <w:bCs/>
                <w:sz w:val="20"/>
                <w:szCs w:val="20"/>
              </w:rPr>
              <w:t>28</w:t>
            </w:r>
            <w:r w:rsidR="008E1A8B" w:rsidRPr="00F91404">
              <w:rPr>
                <w:rFonts w:cstheme="minorHAnsi"/>
                <w:b/>
                <w:bCs/>
                <w:sz w:val="20"/>
                <w:szCs w:val="20"/>
              </w:rPr>
              <w:t xml:space="preserve"> January 2026</w:t>
            </w:r>
          </w:p>
        </w:tc>
        <w:tc>
          <w:tcPr>
            <w:tcW w:w="4838" w:type="dxa"/>
            <w:vAlign w:val="center"/>
          </w:tcPr>
          <w:p w14:paraId="2A7317D7" w14:textId="78339E4D" w:rsidR="008E1A8B" w:rsidRPr="00F91404" w:rsidRDefault="00315F96" w:rsidP="005932D9">
            <w:pPr>
              <w:spacing w:after="0"/>
              <w:rPr>
                <w:rFonts w:cstheme="minorHAnsi"/>
                <w:sz w:val="20"/>
                <w:szCs w:val="20"/>
              </w:rPr>
            </w:pPr>
            <w:r w:rsidRPr="00F91404">
              <w:rPr>
                <w:sz w:val="20"/>
                <w:szCs w:val="20"/>
              </w:rPr>
              <w:t>Shravya Reddy</w:t>
            </w:r>
          </w:p>
        </w:tc>
      </w:tr>
      <w:tr w:rsidR="008E1A8B" w:rsidRPr="00F91404" w14:paraId="2DF46D6A" w14:textId="77777777" w:rsidTr="48EB61D0">
        <w:trPr>
          <w:trHeight w:val="283"/>
        </w:trPr>
        <w:tc>
          <w:tcPr>
            <w:tcW w:w="1980" w:type="dxa"/>
            <w:vMerge/>
            <w:vAlign w:val="center"/>
          </w:tcPr>
          <w:p w14:paraId="202954B1" w14:textId="77777777" w:rsidR="008E1A8B" w:rsidRPr="00F91404" w:rsidRDefault="008E1A8B" w:rsidP="002722F0">
            <w:pPr>
              <w:spacing w:after="0"/>
              <w:jc w:val="center"/>
              <w:rPr>
                <w:rFonts w:cstheme="minorHAnsi"/>
                <w:b/>
                <w:bCs/>
                <w:sz w:val="20"/>
                <w:szCs w:val="20"/>
              </w:rPr>
            </w:pPr>
          </w:p>
        </w:tc>
        <w:tc>
          <w:tcPr>
            <w:tcW w:w="2407" w:type="dxa"/>
            <w:vMerge/>
            <w:vAlign w:val="center"/>
          </w:tcPr>
          <w:p w14:paraId="6CA2D381" w14:textId="77777777" w:rsidR="008E1A8B" w:rsidRPr="00F91404" w:rsidRDefault="008E1A8B" w:rsidP="002722F0">
            <w:pPr>
              <w:spacing w:after="0"/>
              <w:jc w:val="center"/>
              <w:rPr>
                <w:rFonts w:cstheme="minorHAnsi"/>
                <w:b/>
                <w:bCs/>
                <w:sz w:val="20"/>
                <w:szCs w:val="20"/>
              </w:rPr>
            </w:pPr>
          </w:p>
        </w:tc>
        <w:tc>
          <w:tcPr>
            <w:tcW w:w="4838" w:type="dxa"/>
            <w:vAlign w:val="center"/>
          </w:tcPr>
          <w:p w14:paraId="3D98E776" w14:textId="753C64F4" w:rsidR="008E1A8B" w:rsidRPr="00F91404" w:rsidRDefault="00315F96" w:rsidP="005932D9">
            <w:pPr>
              <w:spacing w:after="0"/>
              <w:rPr>
                <w:rFonts w:cstheme="minorHAnsi"/>
                <w:sz w:val="20"/>
                <w:szCs w:val="20"/>
              </w:rPr>
            </w:pPr>
            <w:r w:rsidRPr="00F91404">
              <w:rPr>
                <w:sz w:val="20"/>
                <w:szCs w:val="20"/>
              </w:rPr>
              <w:t>Teresa Durand</w:t>
            </w:r>
          </w:p>
        </w:tc>
      </w:tr>
      <w:tr w:rsidR="008E1A8B" w:rsidRPr="00F91404" w14:paraId="1BCDED79" w14:textId="77777777" w:rsidTr="48EB61D0">
        <w:trPr>
          <w:trHeight w:val="283"/>
        </w:trPr>
        <w:tc>
          <w:tcPr>
            <w:tcW w:w="1980" w:type="dxa"/>
            <w:vMerge/>
            <w:vAlign w:val="center"/>
          </w:tcPr>
          <w:p w14:paraId="1516434B" w14:textId="77777777" w:rsidR="008E1A8B" w:rsidRPr="00F91404" w:rsidRDefault="008E1A8B" w:rsidP="002722F0">
            <w:pPr>
              <w:spacing w:after="0"/>
              <w:jc w:val="center"/>
              <w:rPr>
                <w:rFonts w:cstheme="minorHAnsi"/>
                <w:b/>
                <w:bCs/>
                <w:sz w:val="20"/>
                <w:szCs w:val="20"/>
              </w:rPr>
            </w:pPr>
          </w:p>
        </w:tc>
        <w:tc>
          <w:tcPr>
            <w:tcW w:w="2407" w:type="dxa"/>
            <w:vMerge/>
            <w:vAlign w:val="center"/>
          </w:tcPr>
          <w:p w14:paraId="1220482D" w14:textId="77777777" w:rsidR="008E1A8B" w:rsidRPr="00F91404" w:rsidRDefault="008E1A8B" w:rsidP="002722F0">
            <w:pPr>
              <w:spacing w:after="0"/>
              <w:jc w:val="center"/>
              <w:rPr>
                <w:rFonts w:cstheme="minorHAnsi"/>
                <w:b/>
                <w:bCs/>
                <w:sz w:val="20"/>
                <w:szCs w:val="20"/>
              </w:rPr>
            </w:pPr>
          </w:p>
        </w:tc>
        <w:tc>
          <w:tcPr>
            <w:tcW w:w="4838" w:type="dxa"/>
            <w:vAlign w:val="center"/>
          </w:tcPr>
          <w:p w14:paraId="7B7D951A" w14:textId="28F9CB12" w:rsidR="008E1A8B" w:rsidRPr="00F91404" w:rsidRDefault="00315F96" w:rsidP="005932D9">
            <w:pPr>
              <w:spacing w:after="0"/>
              <w:rPr>
                <w:rFonts w:cstheme="minorHAnsi"/>
                <w:sz w:val="20"/>
                <w:szCs w:val="20"/>
              </w:rPr>
            </w:pPr>
            <w:r w:rsidRPr="00F91404">
              <w:rPr>
                <w:sz w:val="20"/>
                <w:szCs w:val="20"/>
              </w:rPr>
              <w:t>Ellie Nutley</w:t>
            </w:r>
          </w:p>
        </w:tc>
      </w:tr>
      <w:tr w:rsidR="00193CF6" w:rsidRPr="00F91404" w14:paraId="56CE837F" w14:textId="77777777" w:rsidTr="008E1A8B">
        <w:trPr>
          <w:trHeight w:val="283"/>
        </w:trPr>
        <w:tc>
          <w:tcPr>
            <w:tcW w:w="1980" w:type="dxa"/>
            <w:vMerge w:val="restart"/>
            <w:shd w:val="clear" w:color="auto" w:fill="F3F7D5" w:themeFill="accent3" w:themeFillTint="33"/>
            <w:vAlign w:val="center"/>
          </w:tcPr>
          <w:p w14:paraId="05F4E297" w14:textId="35D94A0C" w:rsidR="00193CF6" w:rsidRPr="00F91404" w:rsidRDefault="008E1A8B" w:rsidP="002722F0">
            <w:pPr>
              <w:spacing w:after="0"/>
              <w:jc w:val="center"/>
              <w:rPr>
                <w:rFonts w:cstheme="minorHAnsi"/>
                <w:b/>
                <w:bCs/>
                <w:sz w:val="20"/>
                <w:szCs w:val="20"/>
              </w:rPr>
            </w:pPr>
            <w:r w:rsidRPr="00F91404">
              <w:rPr>
                <w:rFonts w:cstheme="minorHAnsi"/>
                <w:b/>
                <w:bCs/>
                <w:sz w:val="20"/>
                <w:szCs w:val="20"/>
              </w:rPr>
              <w:t>2</w:t>
            </w:r>
          </w:p>
        </w:tc>
        <w:tc>
          <w:tcPr>
            <w:tcW w:w="2407" w:type="dxa"/>
            <w:vMerge w:val="restart"/>
            <w:vAlign w:val="center"/>
          </w:tcPr>
          <w:p w14:paraId="1EA580EA" w14:textId="704A54A0" w:rsidR="00193CF6" w:rsidRPr="00F91404" w:rsidRDefault="007E5269" w:rsidP="002722F0">
            <w:pPr>
              <w:spacing w:after="0"/>
              <w:jc w:val="center"/>
              <w:rPr>
                <w:rFonts w:cstheme="minorHAnsi"/>
                <w:b/>
                <w:bCs/>
                <w:sz w:val="20"/>
                <w:szCs w:val="20"/>
              </w:rPr>
            </w:pPr>
            <w:r w:rsidRPr="00F91404">
              <w:rPr>
                <w:rFonts w:cstheme="minorHAnsi"/>
                <w:b/>
                <w:bCs/>
                <w:sz w:val="20"/>
                <w:szCs w:val="20"/>
              </w:rPr>
              <w:t>30</w:t>
            </w:r>
            <w:r w:rsidR="00BA1935" w:rsidRPr="00F91404">
              <w:rPr>
                <w:rFonts w:cstheme="minorHAnsi"/>
                <w:b/>
                <w:bCs/>
                <w:sz w:val="20"/>
                <w:szCs w:val="20"/>
              </w:rPr>
              <w:t xml:space="preserve"> </w:t>
            </w:r>
            <w:r w:rsidR="00DA177D" w:rsidRPr="00F91404">
              <w:rPr>
                <w:rFonts w:cstheme="minorHAnsi"/>
                <w:b/>
                <w:bCs/>
                <w:sz w:val="20"/>
                <w:szCs w:val="20"/>
              </w:rPr>
              <w:t>January</w:t>
            </w:r>
            <w:r w:rsidR="00BA1935" w:rsidRPr="00F91404">
              <w:rPr>
                <w:rFonts w:cstheme="minorHAnsi"/>
                <w:b/>
                <w:bCs/>
                <w:sz w:val="20"/>
                <w:szCs w:val="20"/>
              </w:rPr>
              <w:t xml:space="preserve"> 202</w:t>
            </w:r>
            <w:r w:rsidR="00DA177D" w:rsidRPr="00F91404">
              <w:rPr>
                <w:rFonts w:cstheme="minorHAnsi"/>
                <w:b/>
                <w:bCs/>
                <w:sz w:val="20"/>
                <w:szCs w:val="20"/>
              </w:rPr>
              <w:t>6</w:t>
            </w:r>
          </w:p>
        </w:tc>
        <w:tc>
          <w:tcPr>
            <w:tcW w:w="4838" w:type="dxa"/>
            <w:vAlign w:val="center"/>
          </w:tcPr>
          <w:p w14:paraId="4E4F647A" w14:textId="32699DD3" w:rsidR="00193CF6" w:rsidRPr="00F91404" w:rsidRDefault="008E1A8B" w:rsidP="005932D9">
            <w:pPr>
              <w:spacing w:after="0"/>
              <w:rPr>
                <w:rFonts w:cstheme="minorHAnsi"/>
                <w:sz w:val="20"/>
                <w:szCs w:val="20"/>
              </w:rPr>
            </w:pPr>
            <w:r w:rsidRPr="00F91404">
              <w:rPr>
                <w:rFonts w:cstheme="minorHAnsi"/>
                <w:sz w:val="20"/>
                <w:szCs w:val="20"/>
              </w:rPr>
              <w:t xml:space="preserve">Jo </w:t>
            </w:r>
            <w:r w:rsidR="00315F96" w:rsidRPr="00F91404">
              <w:rPr>
                <w:rFonts w:cstheme="minorHAnsi"/>
                <w:sz w:val="20"/>
                <w:szCs w:val="20"/>
              </w:rPr>
              <w:t>K</w:t>
            </w:r>
            <w:r w:rsidRPr="00F91404">
              <w:rPr>
                <w:rFonts w:cstheme="minorHAnsi"/>
                <w:sz w:val="20"/>
                <w:szCs w:val="20"/>
              </w:rPr>
              <w:t>elly</w:t>
            </w:r>
          </w:p>
        </w:tc>
      </w:tr>
      <w:tr w:rsidR="008762DA" w:rsidRPr="00F91404" w14:paraId="5DE304DA" w14:textId="77777777" w:rsidTr="48EB61D0">
        <w:trPr>
          <w:trHeight w:val="283"/>
        </w:trPr>
        <w:tc>
          <w:tcPr>
            <w:tcW w:w="1980" w:type="dxa"/>
            <w:vMerge/>
            <w:vAlign w:val="center"/>
          </w:tcPr>
          <w:p w14:paraId="4B977D8C" w14:textId="322B4606" w:rsidR="008762DA" w:rsidRPr="00F91404" w:rsidRDefault="008762DA" w:rsidP="002722F0">
            <w:pPr>
              <w:spacing w:after="0"/>
              <w:jc w:val="center"/>
              <w:rPr>
                <w:rFonts w:cstheme="minorHAnsi"/>
                <w:b/>
                <w:bCs/>
                <w:sz w:val="20"/>
                <w:szCs w:val="20"/>
              </w:rPr>
            </w:pPr>
          </w:p>
        </w:tc>
        <w:tc>
          <w:tcPr>
            <w:tcW w:w="2407" w:type="dxa"/>
            <w:vMerge/>
            <w:vAlign w:val="center"/>
          </w:tcPr>
          <w:p w14:paraId="0DB8389B" w14:textId="64768723" w:rsidR="008762DA" w:rsidRPr="00F91404" w:rsidRDefault="008762DA" w:rsidP="002722F0">
            <w:pPr>
              <w:spacing w:after="0"/>
              <w:jc w:val="center"/>
              <w:rPr>
                <w:rFonts w:cstheme="minorHAnsi"/>
                <w:b/>
                <w:bCs/>
                <w:sz w:val="20"/>
                <w:szCs w:val="20"/>
              </w:rPr>
            </w:pPr>
          </w:p>
        </w:tc>
        <w:tc>
          <w:tcPr>
            <w:tcW w:w="4838" w:type="dxa"/>
            <w:vAlign w:val="center"/>
          </w:tcPr>
          <w:p w14:paraId="6F60567E" w14:textId="561E4D97" w:rsidR="008762DA" w:rsidRPr="00F91404" w:rsidRDefault="008E1A8B" w:rsidP="005932D9">
            <w:pPr>
              <w:spacing w:after="0"/>
              <w:rPr>
                <w:rFonts w:cstheme="minorHAnsi"/>
                <w:sz w:val="20"/>
                <w:szCs w:val="20"/>
              </w:rPr>
            </w:pPr>
            <w:r w:rsidRPr="00F91404">
              <w:rPr>
                <w:rFonts w:cstheme="minorHAnsi"/>
                <w:sz w:val="20"/>
                <w:szCs w:val="20"/>
              </w:rPr>
              <w:t>Momodou Jack</w:t>
            </w:r>
          </w:p>
        </w:tc>
      </w:tr>
      <w:tr w:rsidR="008762DA" w:rsidRPr="00F91404" w14:paraId="38BAC46D" w14:textId="77777777" w:rsidTr="48EB61D0">
        <w:trPr>
          <w:trHeight w:val="283"/>
        </w:trPr>
        <w:tc>
          <w:tcPr>
            <w:tcW w:w="1980" w:type="dxa"/>
            <w:vMerge/>
            <w:vAlign w:val="center"/>
          </w:tcPr>
          <w:p w14:paraId="693DFA61" w14:textId="412A14C5" w:rsidR="008762DA" w:rsidRPr="00F91404" w:rsidRDefault="008762DA" w:rsidP="002722F0">
            <w:pPr>
              <w:spacing w:after="0"/>
              <w:jc w:val="center"/>
              <w:rPr>
                <w:rFonts w:cstheme="minorHAnsi"/>
                <w:b/>
                <w:bCs/>
                <w:sz w:val="20"/>
                <w:szCs w:val="20"/>
              </w:rPr>
            </w:pPr>
          </w:p>
        </w:tc>
        <w:tc>
          <w:tcPr>
            <w:tcW w:w="2407" w:type="dxa"/>
            <w:vMerge/>
            <w:vAlign w:val="center"/>
          </w:tcPr>
          <w:p w14:paraId="09BB5D9E" w14:textId="2013FAA6" w:rsidR="008762DA" w:rsidRPr="00F91404" w:rsidRDefault="008762DA" w:rsidP="002722F0">
            <w:pPr>
              <w:spacing w:after="0"/>
              <w:jc w:val="center"/>
              <w:rPr>
                <w:rFonts w:cstheme="minorHAnsi"/>
                <w:b/>
                <w:bCs/>
                <w:sz w:val="20"/>
                <w:szCs w:val="20"/>
              </w:rPr>
            </w:pPr>
          </w:p>
        </w:tc>
        <w:tc>
          <w:tcPr>
            <w:tcW w:w="4838" w:type="dxa"/>
            <w:vAlign w:val="center"/>
          </w:tcPr>
          <w:p w14:paraId="74032BF8" w14:textId="0D246A96" w:rsidR="008762DA" w:rsidRPr="00F91404" w:rsidRDefault="00082EBB" w:rsidP="005932D9">
            <w:pPr>
              <w:spacing w:after="0"/>
              <w:rPr>
                <w:rFonts w:cstheme="minorHAnsi"/>
                <w:sz w:val="20"/>
                <w:szCs w:val="20"/>
              </w:rPr>
            </w:pPr>
            <w:r w:rsidRPr="00F91404">
              <w:rPr>
                <w:rFonts w:cstheme="minorHAnsi"/>
                <w:sz w:val="20"/>
                <w:szCs w:val="20"/>
              </w:rPr>
              <w:t>Ellie Nutley</w:t>
            </w:r>
          </w:p>
        </w:tc>
      </w:tr>
      <w:tr w:rsidR="008762DA" w:rsidRPr="00F91404" w14:paraId="58798AD5" w14:textId="77777777" w:rsidTr="005858E8">
        <w:trPr>
          <w:trHeight w:val="283"/>
        </w:trPr>
        <w:tc>
          <w:tcPr>
            <w:tcW w:w="1980" w:type="dxa"/>
            <w:vMerge w:val="restart"/>
            <w:shd w:val="clear" w:color="auto" w:fill="F4F8D5"/>
            <w:vAlign w:val="center"/>
          </w:tcPr>
          <w:p w14:paraId="700E62AF" w14:textId="06840FFA" w:rsidR="008762DA" w:rsidRPr="00F91404" w:rsidRDefault="008E1A8B" w:rsidP="002722F0">
            <w:pPr>
              <w:spacing w:after="0"/>
              <w:jc w:val="center"/>
              <w:rPr>
                <w:rFonts w:cstheme="minorHAnsi"/>
                <w:b/>
                <w:bCs/>
                <w:sz w:val="20"/>
                <w:szCs w:val="20"/>
              </w:rPr>
            </w:pPr>
            <w:r w:rsidRPr="00F91404">
              <w:rPr>
                <w:rFonts w:cstheme="minorHAnsi"/>
                <w:b/>
                <w:bCs/>
                <w:sz w:val="20"/>
                <w:szCs w:val="20"/>
              </w:rPr>
              <w:t>3</w:t>
            </w:r>
          </w:p>
        </w:tc>
        <w:tc>
          <w:tcPr>
            <w:tcW w:w="2407" w:type="dxa"/>
            <w:vMerge w:val="restart"/>
            <w:vAlign w:val="center"/>
          </w:tcPr>
          <w:p w14:paraId="72ECD2A6" w14:textId="46FB3341" w:rsidR="008762DA" w:rsidRPr="00F91404" w:rsidRDefault="007C4753" w:rsidP="002722F0">
            <w:pPr>
              <w:spacing w:after="0"/>
              <w:jc w:val="center"/>
              <w:rPr>
                <w:rFonts w:cstheme="minorHAnsi"/>
                <w:b/>
                <w:bCs/>
                <w:sz w:val="20"/>
                <w:szCs w:val="20"/>
              </w:rPr>
            </w:pPr>
            <w:r w:rsidRPr="00F91404">
              <w:rPr>
                <w:rFonts w:cstheme="minorHAnsi"/>
                <w:b/>
                <w:bCs/>
                <w:sz w:val="20"/>
                <w:szCs w:val="20"/>
              </w:rPr>
              <w:t>3</w:t>
            </w:r>
            <w:r w:rsidR="00315F96" w:rsidRPr="00F91404">
              <w:rPr>
                <w:rFonts w:cstheme="minorHAnsi"/>
                <w:b/>
                <w:bCs/>
                <w:sz w:val="20"/>
                <w:szCs w:val="20"/>
              </w:rPr>
              <w:t>1</w:t>
            </w:r>
            <w:r w:rsidR="00082EBB" w:rsidRPr="00F91404">
              <w:rPr>
                <w:rFonts w:cstheme="minorHAnsi"/>
                <w:b/>
                <w:bCs/>
                <w:sz w:val="20"/>
                <w:szCs w:val="20"/>
              </w:rPr>
              <w:t xml:space="preserve"> January 2026</w:t>
            </w:r>
          </w:p>
        </w:tc>
        <w:tc>
          <w:tcPr>
            <w:tcW w:w="4838" w:type="dxa"/>
            <w:vAlign w:val="center"/>
          </w:tcPr>
          <w:p w14:paraId="025A2CE9" w14:textId="50E9E7C0" w:rsidR="008762DA" w:rsidRPr="00F91404" w:rsidRDefault="00315F96" w:rsidP="00315F96">
            <w:pPr>
              <w:spacing w:after="0"/>
              <w:ind w:left="0"/>
              <w:rPr>
                <w:sz w:val="20"/>
                <w:szCs w:val="20"/>
              </w:rPr>
            </w:pPr>
            <w:r w:rsidRPr="00F91404">
              <w:rPr>
                <w:sz w:val="20"/>
                <w:szCs w:val="20"/>
              </w:rPr>
              <w:t>Momodou Jack</w:t>
            </w:r>
          </w:p>
        </w:tc>
      </w:tr>
      <w:tr w:rsidR="00082EBB" w:rsidRPr="00F91404" w14:paraId="2EA47A6D" w14:textId="77777777" w:rsidTr="005858E8">
        <w:trPr>
          <w:trHeight w:val="283"/>
        </w:trPr>
        <w:tc>
          <w:tcPr>
            <w:tcW w:w="1980" w:type="dxa"/>
            <w:vMerge/>
            <w:shd w:val="clear" w:color="auto" w:fill="F4F8D5"/>
            <w:vAlign w:val="center"/>
          </w:tcPr>
          <w:p w14:paraId="2F779DC8" w14:textId="77777777" w:rsidR="00082EBB" w:rsidRPr="00F91404" w:rsidRDefault="00082EBB" w:rsidP="00082EBB">
            <w:pPr>
              <w:spacing w:after="0"/>
              <w:rPr>
                <w:rFonts w:cstheme="minorHAnsi"/>
                <w:sz w:val="20"/>
                <w:szCs w:val="20"/>
              </w:rPr>
            </w:pPr>
          </w:p>
        </w:tc>
        <w:tc>
          <w:tcPr>
            <w:tcW w:w="2407" w:type="dxa"/>
            <w:vMerge/>
            <w:vAlign w:val="center"/>
          </w:tcPr>
          <w:p w14:paraId="1AECCB2A" w14:textId="77777777" w:rsidR="00082EBB" w:rsidRPr="00F91404" w:rsidRDefault="00082EBB" w:rsidP="00082EBB">
            <w:pPr>
              <w:spacing w:after="0"/>
              <w:rPr>
                <w:rFonts w:cstheme="minorHAnsi"/>
                <w:sz w:val="20"/>
                <w:szCs w:val="20"/>
              </w:rPr>
            </w:pPr>
          </w:p>
        </w:tc>
        <w:tc>
          <w:tcPr>
            <w:tcW w:w="4838" w:type="dxa"/>
            <w:vAlign w:val="center"/>
          </w:tcPr>
          <w:p w14:paraId="093AC501" w14:textId="5A54A4F0" w:rsidR="00082EBB" w:rsidRPr="00F91404" w:rsidRDefault="00315F96" w:rsidP="00315F96">
            <w:pPr>
              <w:spacing w:after="0"/>
              <w:ind w:left="0"/>
              <w:rPr>
                <w:sz w:val="20"/>
                <w:szCs w:val="20"/>
              </w:rPr>
            </w:pPr>
            <w:r w:rsidRPr="00F91404">
              <w:rPr>
                <w:sz w:val="20"/>
                <w:szCs w:val="20"/>
              </w:rPr>
              <w:t>Jo Kelly</w:t>
            </w:r>
            <w:r w:rsidR="2AF721AA" w:rsidRPr="00F91404">
              <w:rPr>
                <w:sz w:val="20"/>
                <w:szCs w:val="20"/>
              </w:rPr>
              <w:t xml:space="preserve"> – approved, subject to conditions set out in my email of 31</w:t>
            </w:r>
            <w:r w:rsidR="2AF721AA" w:rsidRPr="00F91404">
              <w:rPr>
                <w:sz w:val="20"/>
                <w:szCs w:val="20"/>
                <w:vertAlign w:val="superscript"/>
              </w:rPr>
              <w:t>st</w:t>
            </w:r>
            <w:r w:rsidR="2AF721AA" w:rsidRPr="00F91404">
              <w:rPr>
                <w:sz w:val="20"/>
                <w:szCs w:val="20"/>
              </w:rPr>
              <w:t xml:space="preserve"> Jan 2026</w:t>
            </w:r>
          </w:p>
        </w:tc>
      </w:tr>
      <w:tr w:rsidR="00082EBB" w:rsidRPr="00F91404" w14:paraId="2C9DE5D9" w14:textId="77777777" w:rsidTr="005858E8">
        <w:trPr>
          <w:trHeight w:val="283"/>
        </w:trPr>
        <w:tc>
          <w:tcPr>
            <w:tcW w:w="1980" w:type="dxa"/>
            <w:vMerge/>
            <w:shd w:val="clear" w:color="auto" w:fill="F4F8D5"/>
            <w:vAlign w:val="center"/>
          </w:tcPr>
          <w:p w14:paraId="76F970E0" w14:textId="14E027D7" w:rsidR="00082EBB" w:rsidRPr="00F91404" w:rsidRDefault="00082EBB" w:rsidP="00082EBB">
            <w:pPr>
              <w:spacing w:after="0"/>
              <w:rPr>
                <w:rFonts w:cstheme="minorHAnsi"/>
                <w:sz w:val="20"/>
                <w:szCs w:val="20"/>
              </w:rPr>
            </w:pPr>
          </w:p>
        </w:tc>
        <w:tc>
          <w:tcPr>
            <w:tcW w:w="2407" w:type="dxa"/>
            <w:vMerge/>
            <w:vAlign w:val="center"/>
          </w:tcPr>
          <w:p w14:paraId="5A6C33F0" w14:textId="35CD025B" w:rsidR="00082EBB" w:rsidRPr="00F91404" w:rsidRDefault="00082EBB" w:rsidP="00082EBB">
            <w:pPr>
              <w:spacing w:after="0"/>
              <w:rPr>
                <w:rFonts w:cstheme="minorHAnsi"/>
                <w:sz w:val="20"/>
                <w:szCs w:val="20"/>
              </w:rPr>
            </w:pPr>
          </w:p>
        </w:tc>
        <w:tc>
          <w:tcPr>
            <w:tcW w:w="4838" w:type="dxa"/>
            <w:vAlign w:val="center"/>
          </w:tcPr>
          <w:p w14:paraId="0411740E" w14:textId="63EDF1CD" w:rsidR="00082EBB" w:rsidRPr="00F91404" w:rsidRDefault="00082EBB" w:rsidP="00315F96">
            <w:pPr>
              <w:spacing w:after="0"/>
              <w:ind w:left="0"/>
              <w:rPr>
                <w:sz w:val="20"/>
                <w:szCs w:val="20"/>
              </w:rPr>
            </w:pPr>
          </w:p>
        </w:tc>
      </w:tr>
      <w:tr w:rsidR="005858E8" w:rsidRPr="00F91404" w14:paraId="24224B37" w14:textId="77777777" w:rsidTr="005858E8">
        <w:trPr>
          <w:trHeight w:val="283"/>
        </w:trPr>
        <w:tc>
          <w:tcPr>
            <w:tcW w:w="1980" w:type="dxa"/>
            <w:vMerge w:val="restart"/>
            <w:shd w:val="clear" w:color="auto" w:fill="F4F8D5"/>
            <w:vAlign w:val="center"/>
          </w:tcPr>
          <w:p w14:paraId="594A1E73" w14:textId="70852B4A" w:rsidR="005858E8" w:rsidRPr="00F91404" w:rsidRDefault="005858E8" w:rsidP="005858E8">
            <w:pPr>
              <w:spacing w:after="0"/>
              <w:jc w:val="center"/>
              <w:rPr>
                <w:rFonts w:cstheme="minorHAnsi"/>
                <w:sz w:val="20"/>
                <w:szCs w:val="20"/>
              </w:rPr>
            </w:pPr>
            <w:r w:rsidRPr="00F91404">
              <w:rPr>
                <w:rFonts w:cstheme="minorHAnsi"/>
                <w:b/>
                <w:bCs/>
                <w:sz w:val="20"/>
                <w:szCs w:val="20"/>
              </w:rPr>
              <w:t>4</w:t>
            </w:r>
          </w:p>
        </w:tc>
        <w:tc>
          <w:tcPr>
            <w:tcW w:w="2407" w:type="dxa"/>
            <w:vMerge w:val="restart"/>
            <w:vAlign w:val="center"/>
          </w:tcPr>
          <w:p w14:paraId="1BC08A5C" w14:textId="77777777" w:rsidR="005858E8" w:rsidRPr="00F91404" w:rsidRDefault="005858E8" w:rsidP="005858E8">
            <w:pPr>
              <w:spacing w:after="0"/>
              <w:jc w:val="center"/>
              <w:rPr>
                <w:rFonts w:cstheme="minorHAnsi"/>
                <w:b/>
                <w:bCs/>
                <w:sz w:val="20"/>
                <w:szCs w:val="20"/>
              </w:rPr>
            </w:pPr>
            <w:r w:rsidRPr="00F91404">
              <w:rPr>
                <w:rFonts w:cstheme="minorHAnsi"/>
                <w:b/>
                <w:bCs/>
                <w:sz w:val="20"/>
                <w:szCs w:val="20"/>
              </w:rPr>
              <w:t>16 February 2026</w:t>
            </w:r>
          </w:p>
          <w:p w14:paraId="0B7F02F6" w14:textId="795D678F" w:rsidR="005858E8" w:rsidRPr="00F91404" w:rsidRDefault="005858E8" w:rsidP="005858E8">
            <w:pPr>
              <w:spacing w:after="0"/>
              <w:jc w:val="center"/>
              <w:rPr>
                <w:rFonts w:cstheme="minorHAnsi"/>
                <w:i/>
                <w:iCs/>
                <w:sz w:val="20"/>
                <w:szCs w:val="20"/>
              </w:rPr>
            </w:pPr>
            <w:r w:rsidRPr="00F91404">
              <w:rPr>
                <w:rFonts w:cstheme="minorHAnsi"/>
                <w:i/>
                <w:iCs/>
                <w:sz w:val="20"/>
                <w:szCs w:val="20"/>
              </w:rPr>
              <w:t>Final Revisions</w:t>
            </w:r>
          </w:p>
        </w:tc>
        <w:tc>
          <w:tcPr>
            <w:tcW w:w="4838" w:type="dxa"/>
            <w:vAlign w:val="center"/>
          </w:tcPr>
          <w:p w14:paraId="22A16166" w14:textId="25BAABC9" w:rsidR="005858E8" w:rsidRPr="00F91404" w:rsidRDefault="005858E8" w:rsidP="005858E8">
            <w:pPr>
              <w:spacing w:after="0"/>
              <w:ind w:left="0"/>
              <w:rPr>
                <w:sz w:val="20"/>
                <w:szCs w:val="20"/>
              </w:rPr>
            </w:pPr>
            <w:r w:rsidRPr="00F91404">
              <w:rPr>
                <w:sz w:val="20"/>
                <w:szCs w:val="20"/>
              </w:rPr>
              <w:t>Momodou Jack</w:t>
            </w:r>
          </w:p>
        </w:tc>
      </w:tr>
      <w:tr w:rsidR="005858E8" w:rsidRPr="00F91404" w14:paraId="36B189D0" w14:textId="77777777" w:rsidTr="005858E8">
        <w:trPr>
          <w:trHeight w:val="283"/>
        </w:trPr>
        <w:tc>
          <w:tcPr>
            <w:tcW w:w="1980" w:type="dxa"/>
            <w:vMerge/>
            <w:shd w:val="clear" w:color="auto" w:fill="F4F8D5"/>
            <w:vAlign w:val="center"/>
          </w:tcPr>
          <w:p w14:paraId="52AC498E" w14:textId="77777777" w:rsidR="005858E8" w:rsidRPr="00F91404" w:rsidRDefault="005858E8" w:rsidP="005858E8">
            <w:pPr>
              <w:spacing w:after="0"/>
              <w:rPr>
                <w:rFonts w:cstheme="minorHAnsi"/>
                <w:sz w:val="20"/>
                <w:szCs w:val="20"/>
              </w:rPr>
            </w:pPr>
          </w:p>
        </w:tc>
        <w:tc>
          <w:tcPr>
            <w:tcW w:w="2407" w:type="dxa"/>
            <w:vMerge/>
            <w:vAlign w:val="center"/>
          </w:tcPr>
          <w:p w14:paraId="368EBEDA" w14:textId="77777777" w:rsidR="005858E8" w:rsidRPr="00F91404" w:rsidRDefault="005858E8" w:rsidP="005858E8">
            <w:pPr>
              <w:spacing w:after="0"/>
              <w:rPr>
                <w:rFonts w:cstheme="minorHAnsi"/>
                <w:sz w:val="20"/>
                <w:szCs w:val="20"/>
              </w:rPr>
            </w:pPr>
          </w:p>
        </w:tc>
        <w:tc>
          <w:tcPr>
            <w:tcW w:w="4838" w:type="dxa"/>
            <w:vAlign w:val="center"/>
          </w:tcPr>
          <w:p w14:paraId="1D3C8B1D" w14:textId="6CDD9895" w:rsidR="005858E8" w:rsidRPr="00F91404" w:rsidRDefault="005858E8" w:rsidP="005858E8">
            <w:pPr>
              <w:spacing w:after="0"/>
              <w:ind w:left="0"/>
              <w:rPr>
                <w:sz w:val="20"/>
                <w:szCs w:val="20"/>
              </w:rPr>
            </w:pPr>
          </w:p>
        </w:tc>
      </w:tr>
      <w:tr w:rsidR="005858E8" w:rsidRPr="00F91404" w14:paraId="76078B3D" w14:textId="77777777" w:rsidTr="005858E8">
        <w:trPr>
          <w:trHeight w:val="283"/>
        </w:trPr>
        <w:tc>
          <w:tcPr>
            <w:tcW w:w="1980" w:type="dxa"/>
            <w:vMerge/>
            <w:shd w:val="clear" w:color="auto" w:fill="F4F8D5"/>
            <w:vAlign w:val="center"/>
          </w:tcPr>
          <w:p w14:paraId="5400C5D4" w14:textId="77777777" w:rsidR="005858E8" w:rsidRPr="00F91404" w:rsidRDefault="005858E8" w:rsidP="005858E8">
            <w:pPr>
              <w:spacing w:after="0"/>
              <w:rPr>
                <w:rFonts w:cstheme="minorHAnsi"/>
                <w:sz w:val="20"/>
                <w:szCs w:val="20"/>
              </w:rPr>
            </w:pPr>
          </w:p>
        </w:tc>
        <w:tc>
          <w:tcPr>
            <w:tcW w:w="2407" w:type="dxa"/>
            <w:vMerge/>
            <w:vAlign w:val="center"/>
          </w:tcPr>
          <w:p w14:paraId="3CB24AFB" w14:textId="77777777" w:rsidR="005858E8" w:rsidRPr="00F91404" w:rsidRDefault="005858E8" w:rsidP="005858E8">
            <w:pPr>
              <w:spacing w:after="0"/>
              <w:rPr>
                <w:rFonts w:cstheme="minorHAnsi"/>
                <w:sz w:val="20"/>
                <w:szCs w:val="20"/>
              </w:rPr>
            </w:pPr>
          </w:p>
        </w:tc>
        <w:tc>
          <w:tcPr>
            <w:tcW w:w="4838" w:type="dxa"/>
            <w:vAlign w:val="center"/>
          </w:tcPr>
          <w:p w14:paraId="1EF3476B" w14:textId="0C3389DD" w:rsidR="005858E8" w:rsidRPr="00F91404" w:rsidRDefault="005858E8" w:rsidP="005858E8">
            <w:pPr>
              <w:spacing w:after="0"/>
              <w:ind w:left="0"/>
              <w:rPr>
                <w:sz w:val="20"/>
                <w:szCs w:val="20"/>
              </w:rPr>
            </w:pPr>
          </w:p>
        </w:tc>
      </w:tr>
    </w:tbl>
    <w:p w14:paraId="49D00351" w14:textId="77777777" w:rsidR="00193CF6" w:rsidRPr="00F91404" w:rsidRDefault="00193CF6" w:rsidP="005932D9">
      <w:pPr>
        <w:pStyle w:val="Factboxtext"/>
        <w:rPr>
          <w:rFonts w:asciiTheme="minorHAnsi" w:hAnsiTheme="minorHAnsi" w:cstheme="minorHAnsi"/>
          <w:sz w:val="20"/>
          <w:szCs w:val="20"/>
        </w:rPr>
      </w:pPr>
    </w:p>
    <w:p w14:paraId="4C1C2785" w14:textId="77777777" w:rsidR="00193CF6" w:rsidRPr="00F91404" w:rsidRDefault="00193CF6" w:rsidP="005932D9">
      <w:pPr>
        <w:pStyle w:val="Factboxtext"/>
        <w:rPr>
          <w:rFonts w:asciiTheme="minorHAnsi" w:hAnsiTheme="minorHAnsi" w:cstheme="minorHAnsi"/>
          <w:sz w:val="20"/>
          <w:szCs w:val="20"/>
        </w:rPr>
      </w:pPr>
    </w:p>
    <w:p w14:paraId="6F250523" w14:textId="77777777" w:rsidR="00193CF6" w:rsidRPr="00F91404" w:rsidRDefault="00193CF6" w:rsidP="005932D9">
      <w:pPr>
        <w:pStyle w:val="Factboxtext"/>
        <w:rPr>
          <w:rFonts w:asciiTheme="minorHAnsi" w:hAnsiTheme="minorHAnsi" w:cstheme="minorHAnsi"/>
          <w:sz w:val="20"/>
          <w:szCs w:val="20"/>
        </w:rPr>
      </w:pPr>
    </w:p>
    <w:p w14:paraId="7A42F829" w14:textId="77777777" w:rsidR="00193CF6" w:rsidRPr="00F91404" w:rsidRDefault="00193CF6" w:rsidP="005932D9">
      <w:pPr>
        <w:pStyle w:val="Factboxtext"/>
        <w:rPr>
          <w:rFonts w:asciiTheme="minorHAnsi" w:hAnsiTheme="minorHAnsi" w:cstheme="minorHAnsi"/>
          <w:sz w:val="20"/>
          <w:szCs w:val="20"/>
        </w:rPr>
      </w:pPr>
    </w:p>
    <w:p w14:paraId="76374509" w14:textId="77777777" w:rsidR="00193CF6" w:rsidRPr="00F91404" w:rsidRDefault="00193CF6" w:rsidP="005932D9">
      <w:pPr>
        <w:pStyle w:val="Factboxtext"/>
        <w:rPr>
          <w:rFonts w:asciiTheme="minorHAnsi" w:hAnsiTheme="minorHAnsi" w:cstheme="minorHAnsi"/>
          <w:sz w:val="20"/>
          <w:szCs w:val="20"/>
        </w:rPr>
      </w:pPr>
    </w:p>
    <w:p w14:paraId="41606C1F" w14:textId="77777777" w:rsidR="00193CF6" w:rsidRPr="00F91404" w:rsidRDefault="00193CF6" w:rsidP="005932D9">
      <w:pPr>
        <w:pStyle w:val="Factboxtext"/>
        <w:rPr>
          <w:rFonts w:asciiTheme="minorHAnsi" w:hAnsiTheme="minorHAnsi" w:cstheme="minorHAnsi"/>
          <w:sz w:val="20"/>
          <w:szCs w:val="20"/>
        </w:rPr>
      </w:pPr>
    </w:p>
    <w:p w14:paraId="2B20B2DC" w14:textId="77777777" w:rsidR="00193CF6" w:rsidRPr="00F91404" w:rsidRDefault="00193CF6" w:rsidP="005932D9">
      <w:pPr>
        <w:pStyle w:val="Factboxtext"/>
        <w:rPr>
          <w:rFonts w:asciiTheme="minorHAnsi" w:hAnsiTheme="minorHAnsi" w:cstheme="minorHAnsi"/>
          <w:sz w:val="20"/>
          <w:szCs w:val="20"/>
        </w:rPr>
      </w:pPr>
    </w:p>
    <w:p w14:paraId="207A7458" w14:textId="77777777" w:rsidR="00193CF6" w:rsidRPr="00F91404" w:rsidRDefault="00193CF6" w:rsidP="005932D9">
      <w:pPr>
        <w:pStyle w:val="Factboxtext"/>
        <w:rPr>
          <w:rFonts w:asciiTheme="minorHAnsi" w:hAnsiTheme="minorHAnsi" w:cstheme="minorHAnsi"/>
          <w:sz w:val="20"/>
          <w:szCs w:val="20"/>
        </w:rPr>
      </w:pPr>
    </w:p>
    <w:p w14:paraId="0877FA57" w14:textId="77777777" w:rsidR="00193CF6" w:rsidRPr="00F91404" w:rsidRDefault="00193CF6" w:rsidP="005858E8">
      <w:pPr>
        <w:pStyle w:val="Factboxtext"/>
        <w:ind w:left="0"/>
        <w:rPr>
          <w:rFonts w:asciiTheme="minorHAnsi" w:hAnsiTheme="minorHAnsi" w:cstheme="minorHAnsi"/>
          <w:sz w:val="20"/>
          <w:szCs w:val="20"/>
        </w:rPr>
      </w:pPr>
    </w:p>
    <w:p w14:paraId="7DCB845D" w14:textId="77777777" w:rsidR="00193CF6" w:rsidRPr="00F91404" w:rsidRDefault="00193CF6" w:rsidP="005932D9">
      <w:pPr>
        <w:pStyle w:val="Factboxtext"/>
        <w:rPr>
          <w:rFonts w:asciiTheme="minorHAnsi" w:hAnsiTheme="minorHAnsi" w:cstheme="minorHAnsi"/>
          <w:sz w:val="20"/>
          <w:szCs w:val="20"/>
        </w:rPr>
      </w:pPr>
    </w:p>
    <w:p w14:paraId="03A1DCCC" w14:textId="77777777" w:rsidR="00193CF6" w:rsidRPr="00F91404" w:rsidRDefault="00193CF6" w:rsidP="005932D9">
      <w:pPr>
        <w:pStyle w:val="Factboxtext"/>
        <w:rPr>
          <w:rFonts w:asciiTheme="minorHAnsi" w:hAnsiTheme="minorHAnsi" w:cstheme="minorHAnsi"/>
          <w:sz w:val="20"/>
          <w:szCs w:val="20"/>
        </w:rPr>
      </w:pPr>
    </w:p>
    <w:p w14:paraId="73A03F12" w14:textId="77777777" w:rsidR="00193CF6" w:rsidRPr="00F91404" w:rsidRDefault="00193CF6" w:rsidP="005932D9">
      <w:pPr>
        <w:pStyle w:val="Factboxtext"/>
        <w:rPr>
          <w:rFonts w:asciiTheme="minorHAnsi" w:hAnsiTheme="minorHAnsi" w:cstheme="minorHAnsi"/>
          <w:sz w:val="20"/>
          <w:szCs w:val="20"/>
        </w:rPr>
      </w:pPr>
    </w:p>
    <w:p w14:paraId="65A081E2" w14:textId="77777777" w:rsidR="00193CF6" w:rsidRPr="00F91404" w:rsidRDefault="00193CF6" w:rsidP="005932D9">
      <w:pPr>
        <w:pStyle w:val="Factboxtext"/>
        <w:rPr>
          <w:rFonts w:asciiTheme="minorHAnsi" w:hAnsiTheme="minorHAnsi" w:cstheme="minorHAnsi"/>
          <w:sz w:val="20"/>
          <w:szCs w:val="20"/>
        </w:rPr>
      </w:pPr>
    </w:p>
    <w:p w14:paraId="59A3ADF7" w14:textId="5A3B9E14" w:rsidR="00193CF6" w:rsidRPr="00F91404" w:rsidRDefault="00193CF6" w:rsidP="005932D9">
      <w:pPr>
        <w:pStyle w:val="Factboxtext"/>
        <w:rPr>
          <w:rFonts w:asciiTheme="minorHAnsi" w:hAnsiTheme="minorHAnsi" w:cstheme="minorHAnsi"/>
          <w:sz w:val="20"/>
          <w:szCs w:val="20"/>
        </w:rPr>
      </w:pPr>
    </w:p>
    <w:p w14:paraId="7028908C" w14:textId="089D396B" w:rsidR="00F100A2" w:rsidRPr="00F91404" w:rsidRDefault="00F100A2" w:rsidP="005932D9">
      <w:pPr>
        <w:pStyle w:val="Factboxtext"/>
        <w:rPr>
          <w:rFonts w:asciiTheme="minorHAnsi" w:hAnsiTheme="minorHAnsi" w:cstheme="minorHAnsi"/>
          <w:sz w:val="20"/>
          <w:szCs w:val="20"/>
        </w:rPr>
      </w:pPr>
    </w:p>
    <w:p w14:paraId="30E79294" w14:textId="77777777" w:rsidR="00193CF6" w:rsidRPr="00F91404" w:rsidRDefault="00193CF6" w:rsidP="005932D9">
      <w:pPr>
        <w:pStyle w:val="Factboxtext"/>
        <w:rPr>
          <w:rFonts w:asciiTheme="minorHAnsi" w:hAnsiTheme="minorHAnsi" w:cstheme="minorHAnsi"/>
          <w:sz w:val="20"/>
          <w:szCs w:val="20"/>
        </w:rPr>
      </w:pPr>
    </w:p>
    <w:p w14:paraId="1782EA36" w14:textId="77777777" w:rsidR="003050A6" w:rsidRPr="00F91404" w:rsidRDefault="00F100A2" w:rsidP="005932D9">
      <w:pPr>
        <w:pStyle w:val="Factboxtext"/>
        <w:rPr>
          <w:rFonts w:asciiTheme="minorHAnsi" w:hAnsiTheme="minorHAnsi" w:cstheme="minorHAnsi"/>
          <w:i/>
          <w:color w:val="1A1A1A"/>
          <w:kern w:val="22"/>
          <w:sz w:val="18"/>
          <w:szCs w:val="18"/>
          <w14:ligatures w14:val="standard"/>
        </w:rPr>
      </w:pPr>
      <w:r w:rsidRPr="00F91404">
        <w:rPr>
          <w:rFonts w:asciiTheme="minorHAnsi" w:hAnsiTheme="minorHAnsi" w:cstheme="minorHAnsi"/>
          <w:b/>
          <w:i/>
          <w:color w:val="1A1A1A"/>
          <w:kern w:val="22"/>
          <w:sz w:val="18"/>
          <w:szCs w:val="18"/>
          <w14:ligatures w14:val="standard"/>
        </w:rPr>
        <w:t>Disclaimer:</w:t>
      </w:r>
      <w:r w:rsidRPr="00F91404">
        <w:rPr>
          <w:rFonts w:asciiTheme="minorHAnsi" w:hAnsiTheme="minorHAnsi" w:cstheme="minorHAnsi"/>
          <w:i/>
          <w:color w:val="1A1A1A"/>
          <w:kern w:val="22"/>
          <w:sz w:val="18"/>
          <w:szCs w:val="18"/>
          <w14:ligatures w14:val="standard"/>
        </w:rPr>
        <w:t xml:space="preserve"> </w:t>
      </w:r>
      <w:r w:rsidR="00264F25" w:rsidRPr="00F91404">
        <w:rPr>
          <w:rFonts w:asciiTheme="minorHAnsi" w:hAnsiTheme="minorHAnsi" w:cstheme="minorHAnsi"/>
          <w:i/>
          <w:color w:val="1A1A1A"/>
          <w:kern w:val="22"/>
          <w:sz w:val="18"/>
          <w:szCs w:val="18"/>
          <w14:ligatures w14:val="standard"/>
        </w:rPr>
        <w:t xml:space="preserve">The Green Cities, Infrastructure and Energy Programme (GCIEP) is funded by the UK’s Foreign, Commonwealth and Development Office (FCDO) and is led by PricewaterhouseCoopers LLP with an alliance of sub-consultants: Mott MacDonald Ltd, Adam Smith International Ltd, Marriott Davies Yapp LLP and Engineers Against Poverty. </w:t>
      </w:r>
    </w:p>
    <w:p w14:paraId="627784CD" w14:textId="77777777" w:rsidR="00315F96" w:rsidRPr="00F91404" w:rsidRDefault="00264F25" w:rsidP="008E1A8B">
      <w:pPr>
        <w:pStyle w:val="Factboxtext"/>
        <w:rPr>
          <w:rFonts w:asciiTheme="minorHAnsi" w:hAnsiTheme="minorHAnsi" w:cstheme="minorHAnsi"/>
          <w:i/>
          <w:iCs/>
          <w:color w:val="1A1A1A"/>
          <w:kern w:val="22"/>
          <w:sz w:val="18"/>
          <w:szCs w:val="18"/>
          <w14:ligatures w14:val="standard"/>
        </w:rPr>
      </w:pPr>
      <w:r w:rsidRPr="00F91404">
        <w:rPr>
          <w:rFonts w:asciiTheme="minorHAnsi" w:hAnsiTheme="minorHAnsi" w:cstheme="minorHAnsi"/>
          <w:i/>
          <w:iCs/>
          <w:color w:val="1A1A1A"/>
          <w:kern w:val="22"/>
          <w:sz w:val="18"/>
          <w:szCs w:val="18"/>
          <w14:ligatures w14:val="standard"/>
        </w:rPr>
        <w:t xml:space="preserve">The deliverables that comprise this compendium have been prepared only for the Foreign, Commonwealth and Development Office and solely for the purpose and on the terms agreed with them. We accept no liability (including for negligence) to anyone else in connection with these deliverables, and they may not be provided to anyone else unless agreed within our contract with them. </w:t>
      </w:r>
    </w:p>
    <w:p w14:paraId="2EA87837" w14:textId="3A6226CE" w:rsidR="00D17D72" w:rsidRPr="00F91404" w:rsidRDefault="00264F25" w:rsidP="008E1A8B">
      <w:pPr>
        <w:pStyle w:val="Factboxtext"/>
        <w:rPr>
          <w:rFonts w:asciiTheme="minorHAnsi" w:hAnsiTheme="minorHAnsi" w:cstheme="minorHAnsi"/>
          <w:color w:val="auto"/>
          <w:sz w:val="18"/>
          <w:szCs w:val="18"/>
        </w:rPr>
      </w:pPr>
      <w:r w:rsidRPr="00F91404">
        <w:rPr>
          <w:rFonts w:asciiTheme="minorHAnsi" w:hAnsiTheme="minorHAnsi" w:cstheme="minorHAnsi"/>
          <w:i/>
          <w:iCs/>
          <w:color w:val="1A1A1A"/>
          <w:kern w:val="22"/>
          <w:sz w:val="18"/>
          <w:szCs w:val="18"/>
          <w14:ligatures w14:val="standard"/>
        </w:rPr>
        <w:t>If you receive a request under freedom of information legislation to disclose any information we provided to you, you will consult with us promptly before any disclosure</w:t>
      </w:r>
      <w:r w:rsidR="6DB60F7D" w:rsidRPr="00F91404">
        <w:rPr>
          <w:rFonts w:asciiTheme="minorHAnsi" w:hAnsiTheme="minorHAnsi" w:cstheme="minorHAnsi"/>
          <w:i/>
          <w:iCs/>
          <w:color w:val="1A1A1A"/>
          <w:kern w:val="22"/>
          <w:sz w:val="18"/>
          <w:szCs w:val="18"/>
          <w14:ligatures w14:val="standard"/>
        </w:rPr>
        <w:t>.</w:t>
      </w:r>
    </w:p>
    <w:p w14:paraId="6BDF91E3" w14:textId="5C67E99C" w:rsidR="13C0A17B" w:rsidRPr="00F91404" w:rsidRDefault="13C0A17B" w:rsidP="008E1A8B">
      <w:pPr>
        <w:spacing w:after="0"/>
        <w:rPr>
          <w:rFonts w:cstheme="minorHAnsi"/>
          <w:sz w:val="20"/>
          <w:szCs w:val="20"/>
        </w:rPr>
      </w:pPr>
    </w:p>
    <w:sdt>
      <w:sdtPr>
        <w:rPr>
          <w:rFonts w:asciiTheme="minorHAnsi" w:eastAsiaTheme="minorEastAsia" w:hAnsiTheme="minorHAnsi" w:cstheme="minorBidi"/>
          <w:color w:val="auto"/>
          <w:sz w:val="19"/>
          <w:szCs w:val="19"/>
          <w:lang w:val="en-GB"/>
        </w:rPr>
        <w:id w:val="-2090374133"/>
        <w:docPartObj>
          <w:docPartGallery w:val="Table of Contents"/>
          <w:docPartUnique/>
        </w:docPartObj>
      </w:sdtPr>
      <w:sdtEndPr>
        <w:rPr>
          <w:b/>
          <w:bCs/>
          <w:sz w:val="20"/>
          <w:szCs w:val="20"/>
        </w:rPr>
      </w:sdtEndPr>
      <w:sdtContent>
        <w:p w14:paraId="50F9CE9B" w14:textId="77F9B57B" w:rsidR="00077429" w:rsidRPr="00F91404" w:rsidRDefault="00077429" w:rsidP="00AA77D6">
          <w:pPr>
            <w:pStyle w:val="TOCHeading"/>
            <w:numPr>
              <w:ilvl w:val="0"/>
              <w:numId w:val="0"/>
            </w:numPr>
            <w:rPr>
              <w:sz w:val="22"/>
              <w:szCs w:val="22"/>
              <w:lang w:val="en-GB"/>
            </w:rPr>
          </w:pPr>
          <w:r w:rsidRPr="00F91404">
            <w:rPr>
              <w:lang w:val="en-GB"/>
            </w:rPr>
            <w:t>Table of Contents</w:t>
          </w:r>
        </w:p>
        <w:p w14:paraId="3163F1BA" w14:textId="08ED3315" w:rsidR="00EF76B4" w:rsidRPr="00F91404" w:rsidRDefault="00077429" w:rsidP="00EF76B4">
          <w:pPr>
            <w:pStyle w:val="TOC1"/>
            <w:tabs>
              <w:tab w:val="right" w:pos="9629"/>
            </w:tabs>
            <w:spacing w:after="240" w:line="360" w:lineRule="auto"/>
            <w:rPr>
              <w:rFonts w:eastAsiaTheme="minorEastAsia"/>
              <w:noProof/>
              <w:kern w:val="2"/>
              <w:sz w:val="36"/>
              <w:szCs w:val="36"/>
              <w:lang w:eastAsia="en-GB"/>
              <w14:ligatures w14:val="standardContextual"/>
            </w:rPr>
          </w:pPr>
          <w:r w:rsidRPr="00F91404">
            <w:rPr>
              <w:rFonts w:asciiTheme="majorHAnsi" w:hAnsiTheme="majorHAnsi" w:cstheme="majorBidi"/>
              <w:sz w:val="22"/>
            </w:rPr>
            <w:fldChar w:fldCharType="begin"/>
          </w:r>
          <w:r w:rsidRPr="00F91404">
            <w:rPr>
              <w:rFonts w:asciiTheme="majorHAnsi" w:hAnsiTheme="majorHAnsi" w:cstheme="majorBidi"/>
              <w:sz w:val="22"/>
            </w:rPr>
            <w:instrText xml:space="preserve"> TOC \o "1-3" \h \z \u </w:instrText>
          </w:r>
          <w:r w:rsidRPr="00F91404">
            <w:rPr>
              <w:rFonts w:asciiTheme="majorHAnsi" w:hAnsiTheme="majorHAnsi" w:cstheme="majorBidi"/>
              <w:sz w:val="22"/>
            </w:rPr>
            <w:fldChar w:fldCharType="separate"/>
          </w:r>
        </w:p>
        <w:p w14:paraId="623D49A1" w14:textId="4C3E2480" w:rsidR="00EF76B4" w:rsidRPr="00F91404" w:rsidRDefault="00EF76B4" w:rsidP="00EF76B4">
          <w:pPr>
            <w:pStyle w:val="TOC1"/>
            <w:tabs>
              <w:tab w:val="left" w:pos="567"/>
              <w:tab w:val="right" w:pos="9629"/>
            </w:tabs>
            <w:spacing w:after="240" w:line="360" w:lineRule="auto"/>
            <w:rPr>
              <w:rFonts w:eastAsiaTheme="minorEastAsia"/>
              <w:noProof/>
              <w:kern w:val="2"/>
              <w:sz w:val="36"/>
              <w:szCs w:val="36"/>
              <w:lang w:eastAsia="en-GB"/>
              <w14:ligatures w14:val="standardContextual"/>
            </w:rPr>
          </w:pPr>
          <w:hyperlink w:anchor="_Toc220786522" w:history="1">
            <w:r w:rsidRPr="00F91404">
              <w:rPr>
                <w:rStyle w:val="Hyperlink"/>
                <w:rFonts w:ascii="Arial Black" w:hAnsi="Arial Black"/>
                <w:noProof/>
                <w:sz w:val="22"/>
                <w:szCs w:val="32"/>
              </w:rPr>
              <w:t>1</w:t>
            </w:r>
            <w:r w:rsidRPr="00F91404">
              <w:rPr>
                <w:rFonts w:eastAsiaTheme="minorEastAsia"/>
                <w:noProof/>
                <w:kern w:val="2"/>
                <w:sz w:val="36"/>
                <w:szCs w:val="36"/>
                <w:lang w:eastAsia="en-GB"/>
                <w14:ligatures w14:val="standardContextual"/>
              </w:rPr>
              <w:tab/>
            </w:r>
            <w:r w:rsidRPr="00F91404">
              <w:rPr>
                <w:rStyle w:val="Hyperlink"/>
                <w:b/>
                <w:bCs/>
                <w:noProof/>
                <w:color w:val="004C43"/>
                <w:sz w:val="22"/>
                <w:szCs w:val="32"/>
              </w:rPr>
              <w:t>Executive Summary</w:t>
            </w:r>
            <w:r w:rsidRPr="00F91404">
              <w:rPr>
                <w:noProof/>
                <w:webHidden/>
                <w:sz w:val="22"/>
                <w:szCs w:val="32"/>
              </w:rPr>
              <w:tab/>
            </w:r>
            <w:r w:rsidRPr="00F91404">
              <w:rPr>
                <w:noProof/>
                <w:webHidden/>
                <w:sz w:val="22"/>
                <w:szCs w:val="32"/>
              </w:rPr>
              <w:fldChar w:fldCharType="begin"/>
            </w:r>
            <w:r w:rsidRPr="00F91404">
              <w:rPr>
                <w:noProof/>
                <w:webHidden/>
                <w:sz w:val="22"/>
                <w:szCs w:val="32"/>
              </w:rPr>
              <w:instrText xml:space="preserve"> PAGEREF _Toc220786522 \h </w:instrText>
            </w:r>
            <w:r w:rsidRPr="00F91404">
              <w:rPr>
                <w:noProof/>
                <w:webHidden/>
                <w:sz w:val="22"/>
                <w:szCs w:val="32"/>
              </w:rPr>
            </w:r>
            <w:r w:rsidRPr="00F91404">
              <w:rPr>
                <w:noProof/>
                <w:webHidden/>
                <w:sz w:val="22"/>
                <w:szCs w:val="32"/>
              </w:rPr>
              <w:fldChar w:fldCharType="separate"/>
            </w:r>
            <w:r w:rsidR="00DF7DF1">
              <w:rPr>
                <w:noProof/>
                <w:webHidden/>
                <w:sz w:val="22"/>
                <w:szCs w:val="32"/>
              </w:rPr>
              <w:t>5</w:t>
            </w:r>
            <w:r w:rsidRPr="00F91404">
              <w:rPr>
                <w:noProof/>
                <w:webHidden/>
                <w:sz w:val="22"/>
                <w:szCs w:val="32"/>
              </w:rPr>
              <w:fldChar w:fldCharType="end"/>
            </w:r>
          </w:hyperlink>
        </w:p>
        <w:p w14:paraId="643E9641" w14:textId="453EEB7A" w:rsidR="00EF76B4" w:rsidRPr="00F91404" w:rsidRDefault="00EF76B4" w:rsidP="00EF76B4">
          <w:pPr>
            <w:pStyle w:val="TOC1"/>
            <w:tabs>
              <w:tab w:val="left" w:pos="567"/>
              <w:tab w:val="right" w:pos="9629"/>
            </w:tabs>
            <w:spacing w:after="240" w:line="360" w:lineRule="auto"/>
            <w:rPr>
              <w:rFonts w:eastAsiaTheme="minorEastAsia"/>
              <w:noProof/>
              <w:kern w:val="2"/>
              <w:sz w:val="36"/>
              <w:szCs w:val="36"/>
              <w:lang w:eastAsia="en-GB"/>
              <w14:ligatures w14:val="standardContextual"/>
            </w:rPr>
          </w:pPr>
          <w:hyperlink w:anchor="_Toc220786523" w:history="1">
            <w:r w:rsidRPr="00F91404">
              <w:rPr>
                <w:rStyle w:val="Hyperlink"/>
                <w:rFonts w:ascii="Arial Black" w:hAnsi="Arial Black"/>
                <w:noProof/>
                <w:sz w:val="22"/>
                <w:szCs w:val="32"/>
              </w:rPr>
              <w:t>2</w:t>
            </w:r>
            <w:r w:rsidRPr="00F91404">
              <w:rPr>
                <w:rFonts w:eastAsiaTheme="minorEastAsia"/>
                <w:noProof/>
                <w:kern w:val="2"/>
                <w:sz w:val="36"/>
                <w:szCs w:val="36"/>
                <w:lang w:eastAsia="en-GB"/>
                <w14:ligatures w14:val="standardContextual"/>
              </w:rPr>
              <w:tab/>
            </w:r>
            <w:r w:rsidRPr="00F91404">
              <w:rPr>
                <w:rStyle w:val="Hyperlink"/>
                <w:b/>
                <w:bCs/>
                <w:noProof/>
                <w:color w:val="004C43"/>
                <w:sz w:val="22"/>
                <w:szCs w:val="32"/>
              </w:rPr>
              <w:t>Introduction</w:t>
            </w:r>
            <w:r w:rsidRPr="00F91404">
              <w:rPr>
                <w:noProof/>
                <w:webHidden/>
                <w:sz w:val="22"/>
                <w:szCs w:val="32"/>
              </w:rPr>
              <w:tab/>
            </w:r>
            <w:r w:rsidRPr="00F91404">
              <w:rPr>
                <w:noProof/>
                <w:webHidden/>
                <w:sz w:val="22"/>
                <w:szCs w:val="32"/>
              </w:rPr>
              <w:fldChar w:fldCharType="begin"/>
            </w:r>
            <w:r w:rsidRPr="00F91404">
              <w:rPr>
                <w:noProof/>
                <w:webHidden/>
                <w:sz w:val="22"/>
                <w:szCs w:val="32"/>
              </w:rPr>
              <w:instrText xml:space="preserve"> PAGEREF _Toc220786523 \h </w:instrText>
            </w:r>
            <w:r w:rsidRPr="00F91404">
              <w:rPr>
                <w:noProof/>
                <w:webHidden/>
                <w:sz w:val="22"/>
                <w:szCs w:val="32"/>
              </w:rPr>
            </w:r>
            <w:r w:rsidRPr="00F91404">
              <w:rPr>
                <w:noProof/>
                <w:webHidden/>
                <w:sz w:val="22"/>
                <w:szCs w:val="32"/>
              </w:rPr>
              <w:fldChar w:fldCharType="separate"/>
            </w:r>
            <w:r w:rsidR="00DF7DF1">
              <w:rPr>
                <w:noProof/>
                <w:webHidden/>
                <w:sz w:val="22"/>
                <w:szCs w:val="32"/>
              </w:rPr>
              <w:t>7</w:t>
            </w:r>
            <w:r w:rsidRPr="00F91404">
              <w:rPr>
                <w:noProof/>
                <w:webHidden/>
                <w:sz w:val="22"/>
                <w:szCs w:val="32"/>
              </w:rPr>
              <w:fldChar w:fldCharType="end"/>
            </w:r>
          </w:hyperlink>
        </w:p>
        <w:p w14:paraId="5017239D" w14:textId="3145D5FC" w:rsidR="00EF76B4" w:rsidRPr="00F91404" w:rsidRDefault="00EF76B4" w:rsidP="00EF76B4">
          <w:pPr>
            <w:pStyle w:val="TOC1"/>
            <w:tabs>
              <w:tab w:val="left" w:pos="567"/>
              <w:tab w:val="right" w:pos="9629"/>
            </w:tabs>
            <w:spacing w:after="240" w:line="360" w:lineRule="auto"/>
            <w:rPr>
              <w:rFonts w:eastAsiaTheme="minorEastAsia"/>
              <w:noProof/>
              <w:kern w:val="2"/>
              <w:sz w:val="36"/>
              <w:szCs w:val="36"/>
              <w:lang w:eastAsia="en-GB"/>
              <w14:ligatures w14:val="standardContextual"/>
            </w:rPr>
          </w:pPr>
          <w:hyperlink w:anchor="_Toc220786524" w:history="1">
            <w:r w:rsidRPr="00F91404">
              <w:rPr>
                <w:rStyle w:val="Hyperlink"/>
                <w:rFonts w:ascii="Arial Black" w:hAnsi="Arial Black"/>
                <w:noProof/>
                <w:sz w:val="22"/>
                <w:szCs w:val="32"/>
              </w:rPr>
              <w:t>3</w:t>
            </w:r>
            <w:r w:rsidRPr="00F91404">
              <w:rPr>
                <w:rFonts w:eastAsiaTheme="minorEastAsia"/>
                <w:noProof/>
                <w:kern w:val="2"/>
                <w:sz w:val="36"/>
                <w:szCs w:val="36"/>
                <w:lang w:eastAsia="en-GB"/>
                <w14:ligatures w14:val="standardContextual"/>
              </w:rPr>
              <w:tab/>
            </w:r>
            <w:r w:rsidRPr="00F91404">
              <w:rPr>
                <w:rStyle w:val="Hyperlink"/>
                <w:b/>
                <w:bCs/>
                <w:noProof/>
                <w:color w:val="004C43"/>
                <w:sz w:val="22"/>
                <w:szCs w:val="32"/>
              </w:rPr>
              <w:t>Renewable Hydrogen in Mexico</w:t>
            </w:r>
            <w:r w:rsidRPr="00F91404">
              <w:rPr>
                <w:noProof/>
                <w:webHidden/>
                <w:sz w:val="22"/>
                <w:szCs w:val="32"/>
              </w:rPr>
              <w:tab/>
            </w:r>
            <w:r w:rsidRPr="00F91404">
              <w:rPr>
                <w:noProof/>
                <w:webHidden/>
                <w:sz w:val="22"/>
                <w:szCs w:val="32"/>
              </w:rPr>
              <w:fldChar w:fldCharType="begin"/>
            </w:r>
            <w:r w:rsidRPr="00F91404">
              <w:rPr>
                <w:noProof/>
                <w:webHidden/>
                <w:sz w:val="22"/>
                <w:szCs w:val="32"/>
              </w:rPr>
              <w:instrText xml:space="preserve"> PAGEREF _Toc220786524 \h </w:instrText>
            </w:r>
            <w:r w:rsidRPr="00F91404">
              <w:rPr>
                <w:noProof/>
                <w:webHidden/>
                <w:sz w:val="22"/>
                <w:szCs w:val="32"/>
              </w:rPr>
            </w:r>
            <w:r w:rsidRPr="00F91404">
              <w:rPr>
                <w:noProof/>
                <w:webHidden/>
                <w:sz w:val="22"/>
                <w:szCs w:val="32"/>
              </w:rPr>
              <w:fldChar w:fldCharType="separate"/>
            </w:r>
            <w:r w:rsidR="00DF7DF1">
              <w:rPr>
                <w:noProof/>
                <w:webHidden/>
                <w:sz w:val="22"/>
                <w:szCs w:val="32"/>
              </w:rPr>
              <w:t>8</w:t>
            </w:r>
            <w:r w:rsidRPr="00F91404">
              <w:rPr>
                <w:noProof/>
                <w:webHidden/>
                <w:sz w:val="22"/>
                <w:szCs w:val="32"/>
              </w:rPr>
              <w:fldChar w:fldCharType="end"/>
            </w:r>
          </w:hyperlink>
        </w:p>
        <w:p w14:paraId="22BE1C5F" w14:textId="151DC28A" w:rsidR="00EF76B4" w:rsidRPr="00F91404" w:rsidRDefault="00EF76B4" w:rsidP="00EF76B4">
          <w:pPr>
            <w:pStyle w:val="TOC1"/>
            <w:tabs>
              <w:tab w:val="left" w:pos="567"/>
              <w:tab w:val="right" w:pos="9629"/>
            </w:tabs>
            <w:spacing w:after="240" w:line="360" w:lineRule="auto"/>
            <w:rPr>
              <w:rFonts w:eastAsiaTheme="minorEastAsia"/>
              <w:noProof/>
              <w:kern w:val="2"/>
              <w:sz w:val="36"/>
              <w:szCs w:val="36"/>
              <w:lang w:eastAsia="en-GB"/>
              <w14:ligatures w14:val="standardContextual"/>
            </w:rPr>
          </w:pPr>
          <w:hyperlink w:anchor="_Toc220786525" w:history="1">
            <w:r w:rsidRPr="00F91404">
              <w:rPr>
                <w:rStyle w:val="Hyperlink"/>
                <w:rFonts w:ascii="Arial Black" w:hAnsi="Arial Black"/>
                <w:noProof/>
                <w:sz w:val="22"/>
                <w:szCs w:val="32"/>
              </w:rPr>
              <w:t>4</w:t>
            </w:r>
            <w:r w:rsidRPr="00F91404">
              <w:rPr>
                <w:rFonts w:eastAsiaTheme="minorEastAsia"/>
                <w:noProof/>
                <w:kern w:val="2"/>
                <w:sz w:val="36"/>
                <w:szCs w:val="36"/>
                <w:lang w:eastAsia="en-GB"/>
                <w14:ligatures w14:val="standardContextual"/>
              </w:rPr>
              <w:tab/>
            </w:r>
            <w:r w:rsidRPr="00F91404">
              <w:rPr>
                <w:rStyle w:val="Hyperlink"/>
                <w:b/>
                <w:bCs/>
                <w:noProof/>
                <w:color w:val="004C43"/>
                <w:sz w:val="22"/>
                <w:szCs w:val="32"/>
              </w:rPr>
              <w:t>Global Sector Dynamics</w:t>
            </w:r>
            <w:r w:rsidRPr="00F91404">
              <w:rPr>
                <w:noProof/>
                <w:webHidden/>
                <w:sz w:val="22"/>
                <w:szCs w:val="32"/>
              </w:rPr>
              <w:tab/>
            </w:r>
            <w:r w:rsidRPr="00F91404">
              <w:rPr>
                <w:noProof/>
                <w:webHidden/>
                <w:sz w:val="22"/>
                <w:szCs w:val="32"/>
              </w:rPr>
              <w:fldChar w:fldCharType="begin"/>
            </w:r>
            <w:r w:rsidRPr="00F91404">
              <w:rPr>
                <w:noProof/>
                <w:webHidden/>
                <w:sz w:val="22"/>
                <w:szCs w:val="32"/>
              </w:rPr>
              <w:instrText xml:space="preserve"> PAGEREF _Toc220786525 \h </w:instrText>
            </w:r>
            <w:r w:rsidRPr="00F91404">
              <w:rPr>
                <w:noProof/>
                <w:webHidden/>
                <w:sz w:val="22"/>
                <w:szCs w:val="32"/>
              </w:rPr>
            </w:r>
            <w:r w:rsidRPr="00F91404">
              <w:rPr>
                <w:noProof/>
                <w:webHidden/>
                <w:sz w:val="22"/>
                <w:szCs w:val="32"/>
              </w:rPr>
              <w:fldChar w:fldCharType="separate"/>
            </w:r>
            <w:r w:rsidR="00DF7DF1">
              <w:rPr>
                <w:noProof/>
                <w:webHidden/>
                <w:sz w:val="22"/>
                <w:szCs w:val="32"/>
              </w:rPr>
              <w:t>12</w:t>
            </w:r>
            <w:r w:rsidRPr="00F91404">
              <w:rPr>
                <w:noProof/>
                <w:webHidden/>
                <w:sz w:val="22"/>
                <w:szCs w:val="32"/>
              </w:rPr>
              <w:fldChar w:fldCharType="end"/>
            </w:r>
          </w:hyperlink>
        </w:p>
        <w:p w14:paraId="72533649" w14:textId="27C06C36" w:rsidR="00EF76B4" w:rsidRPr="00F91404" w:rsidRDefault="00EF76B4" w:rsidP="00EF76B4">
          <w:pPr>
            <w:pStyle w:val="TOC1"/>
            <w:tabs>
              <w:tab w:val="left" w:pos="567"/>
              <w:tab w:val="right" w:pos="9629"/>
            </w:tabs>
            <w:spacing w:after="240" w:line="360" w:lineRule="auto"/>
            <w:rPr>
              <w:rFonts w:eastAsiaTheme="minorEastAsia"/>
              <w:noProof/>
              <w:kern w:val="2"/>
              <w:sz w:val="36"/>
              <w:szCs w:val="36"/>
              <w:lang w:eastAsia="en-GB"/>
              <w14:ligatures w14:val="standardContextual"/>
            </w:rPr>
          </w:pPr>
          <w:hyperlink w:anchor="_Toc220786526" w:history="1">
            <w:r w:rsidRPr="00F91404">
              <w:rPr>
                <w:rStyle w:val="Hyperlink"/>
                <w:rFonts w:ascii="Arial Black" w:hAnsi="Arial Black"/>
                <w:noProof/>
                <w:sz w:val="22"/>
                <w:szCs w:val="32"/>
              </w:rPr>
              <w:t>5</w:t>
            </w:r>
            <w:r w:rsidRPr="00F91404">
              <w:rPr>
                <w:rFonts w:eastAsiaTheme="minorEastAsia"/>
                <w:noProof/>
                <w:kern w:val="2"/>
                <w:sz w:val="36"/>
                <w:szCs w:val="36"/>
                <w:lang w:eastAsia="en-GB"/>
                <w14:ligatures w14:val="standardContextual"/>
              </w:rPr>
              <w:tab/>
            </w:r>
            <w:r w:rsidRPr="00F91404">
              <w:rPr>
                <w:rStyle w:val="Hyperlink"/>
                <w:b/>
                <w:bCs/>
                <w:noProof/>
                <w:color w:val="004C43"/>
                <w:sz w:val="22"/>
                <w:szCs w:val="32"/>
              </w:rPr>
              <w:t>Methodology and Analytical Framework</w:t>
            </w:r>
            <w:r w:rsidRPr="00F91404">
              <w:rPr>
                <w:noProof/>
                <w:webHidden/>
                <w:sz w:val="22"/>
                <w:szCs w:val="32"/>
              </w:rPr>
              <w:tab/>
            </w:r>
            <w:r w:rsidRPr="00F91404">
              <w:rPr>
                <w:noProof/>
                <w:webHidden/>
                <w:sz w:val="22"/>
                <w:szCs w:val="32"/>
              </w:rPr>
              <w:fldChar w:fldCharType="begin"/>
            </w:r>
            <w:r w:rsidRPr="00F91404">
              <w:rPr>
                <w:noProof/>
                <w:webHidden/>
                <w:sz w:val="22"/>
                <w:szCs w:val="32"/>
              </w:rPr>
              <w:instrText xml:space="preserve"> PAGEREF _Toc220786526 \h </w:instrText>
            </w:r>
            <w:r w:rsidRPr="00F91404">
              <w:rPr>
                <w:noProof/>
                <w:webHidden/>
                <w:sz w:val="22"/>
                <w:szCs w:val="32"/>
              </w:rPr>
            </w:r>
            <w:r w:rsidRPr="00F91404">
              <w:rPr>
                <w:noProof/>
                <w:webHidden/>
                <w:sz w:val="22"/>
                <w:szCs w:val="32"/>
              </w:rPr>
              <w:fldChar w:fldCharType="separate"/>
            </w:r>
            <w:r w:rsidR="00DF7DF1">
              <w:rPr>
                <w:noProof/>
                <w:webHidden/>
                <w:sz w:val="22"/>
                <w:szCs w:val="32"/>
              </w:rPr>
              <w:t>14</w:t>
            </w:r>
            <w:r w:rsidRPr="00F91404">
              <w:rPr>
                <w:noProof/>
                <w:webHidden/>
                <w:sz w:val="22"/>
                <w:szCs w:val="32"/>
              </w:rPr>
              <w:fldChar w:fldCharType="end"/>
            </w:r>
          </w:hyperlink>
        </w:p>
        <w:p w14:paraId="7D567D2F" w14:textId="09826672" w:rsidR="00EF76B4" w:rsidRPr="00F91404" w:rsidRDefault="00EF76B4" w:rsidP="00EF76B4">
          <w:pPr>
            <w:pStyle w:val="TOC1"/>
            <w:tabs>
              <w:tab w:val="left" w:pos="567"/>
              <w:tab w:val="right" w:pos="9629"/>
            </w:tabs>
            <w:spacing w:after="240" w:line="360" w:lineRule="auto"/>
            <w:rPr>
              <w:rFonts w:eastAsiaTheme="minorEastAsia"/>
              <w:noProof/>
              <w:kern w:val="2"/>
              <w:sz w:val="36"/>
              <w:szCs w:val="36"/>
              <w:lang w:eastAsia="en-GB"/>
              <w14:ligatures w14:val="standardContextual"/>
            </w:rPr>
          </w:pPr>
          <w:hyperlink w:anchor="_Toc220786527" w:history="1">
            <w:r w:rsidRPr="00F91404">
              <w:rPr>
                <w:rStyle w:val="Hyperlink"/>
                <w:rFonts w:ascii="Arial Black" w:hAnsi="Arial Black"/>
                <w:noProof/>
                <w:sz w:val="22"/>
                <w:szCs w:val="32"/>
              </w:rPr>
              <w:t>6</w:t>
            </w:r>
            <w:r w:rsidRPr="00F91404">
              <w:rPr>
                <w:rFonts w:eastAsiaTheme="minorEastAsia"/>
                <w:noProof/>
                <w:kern w:val="2"/>
                <w:sz w:val="36"/>
                <w:szCs w:val="36"/>
                <w:lang w:eastAsia="en-GB"/>
                <w14:ligatures w14:val="standardContextual"/>
              </w:rPr>
              <w:tab/>
            </w:r>
            <w:r w:rsidRPr="00F91404">
              <w:rPr>
                <w:rStyle w:val="Hyperlink"/>
                <w:b/>
                <w:bCs/>
                <w:noProof/>
                <w:color w:val="004C43"/>
                <w:sz w:val="22"/>
                <w:szCs w:val="32"/>
              </w:rPr>
              <w:t>International Benchmarking</w:t>
            </w:r>
            <w:r w:rsidRPr="00F91404">
              <w:rPr>
                <w:noProof/>
                <w:webHidden/>
                <w:sz w:val="22"/>
                <w:szCs w:val="32"/>
              </w:rPr>
              <w:tab/>
            </w:r>
            <w:r w:rsidRPr="00F91404">
              <w:rPr>
                <w:noProof/>
                <w:webHidden/>
                <w:sz w:val="22"/>
                <w:szCs w:val="32"/>
              </w:rPr>
              <w:fldChar w:fldCharType="begin"/>
            </w:r>
            <w:r w:rsidRPr="00F91404">
              <w:rPr>
                <w:noProof/>
                <w:webHidden/>
                <w:sz w:val="22"/>
                <w:szCs w:val="32"/>
              </w:rPr>
              <w:instrText xml:space="preserve"> PAGEREF _Toc220786527 \h </w:instrText>
            </w:r>
            <w:r w:rsidRPr="00F91404">
              <w:rPr>
                <w:noProof/>
                <w:webHidden/>
                <w:sz w:val="22"/>
                <w:szCs w:val="32"/>
              </w:rPr>
            </w:r>
            <w:r w:rsidRPr="00F91404">
              <w:rPr>
                <w:noProof/>
                <w:webHidden/>
                <w:sz w:val="22"/>
                <w:szCs w:val="32"/>
              </w:rPr>
              <w:fldChar w:fldCharType="separate"/>
            </w:r>
            <w:r w:rsidR="00DF7DF1">
              <w:rPr>
                <w:noProof/>
                <w:webHidden/>
                <w:sz w:val="22"/>
                <w:szCs w:val="32"/>
              </w:rPr>
              <w:t>18</w:t>
            </w:r>
            <w:r w:rsidRPr="00F91404">
              <w:rPr>
                <w:noProof/>
                <w:webHidden/>
                <w:sz w:val="22"/>
                <w:szCs w:val="32"/>
              </w:rPr>
              <w:fldChar w:fldCharType="end"/>
            </w:r>
          </w:hyperlink>
        </w:p>
        <w:p w14:paraId="7A0D7F36" w14:textId="7E02EF4E" w:rsidR="00EF76B4" w:rsidRPr="00F91404" w:rsidRDefault="00EF76B4" w:rsidP="00EF76B4">
          <w:pPr>
            <w:pStyle w:val="TOC1"/>
            <w:tabs>
              <w:tab w:val="left" w:pos="567"/>
              <w:tab w:val="right" w:pos="9629"/>
            </w:tabs>
            <w:spacing w:after="240" w:line="360" w:lineRule="auto"/>
            <w:rPr>
              <w:rFonts w:eastAsiaTheme="minorEastAsia"/>
              <w:noProof/>
              <w:kern w:val="2"/>
              <w:sz w:val="36"/>
              <w:szCs w:val="36"/>
              <w:lang w:eastAsia="en-GB"/>
              <w14:ligatures w14:val="standardContextual"/>
            </w:rPr>
          </w:pPr>
          <w:hyperlink w:anchor="_Toc220786528" w:history="1">
            <w:r w:rsidRPr="00F91404">
              <w:rPr>
                <w:rStyle w:val="Hyperlink"/>
                <w:rFonts w:ascii="Arial Black" w:hAnsi="Arial Black"/>
                <w:noProof/>
                <w:sz w:val="22"/>
                <w:szCs w:val="32"/>
              </w:rPr>
              <w:t>7</w:t>
            </w:r>
            <w:r w:rsidRPr="00F91404">
              <w:rPr>
                <w:rFonts w:eastAsiaTheme="minorEastAsia"/>
                <w:noProof/>
                <w:kern w:val="2"/>
                <w:sz w:val="36"/>
                <w:szCs w:val="36"/>
                <w:lang w:eastAsia="en-GB"/>
                <w14:ligatures w14:val="standardContextual"/>
              </w:rPr>
              <w:tab/>
            </w:r>
            <w:r w:rsidRPr="00F91404">
              <w:rPr>
                <w:rStyle w:val="Hyperlink"/>
                <w:b/>
                <w:bCs/>
                <w:noProof/>
                <w:color w:val="004C43"/>
                <w:sz w:val="22"/>
                <w:szCs w:val="32"/>
              </w:rPr>
              <w:t>Key Findings</w:t>
            </w:r>
            <w:r w:rsidRPr="00F91404">
              <w:rPr>
                <w:noProof/>
                <w:webHidden/>
                <w:sz w:val="22"/>
                <w:szCs w:val="32"/>
              </w:rPr>
              <w:tab/>
            </w:r>
            <w:r w:rsidRPr="00F91404">
              <w:rPr>
                <w:noProof/>
                <w:webHidden/>
                <w:sz w:val="22"/>
                <w:szCs w:val="32"/>
              </w:rPr>
              <w:fldChar w:fldCharType="begin"/>
            </w:r>
            <w:r w:rsidRPr="00F91404">
              <w:rPr>
                <w:noProof/>
                <w:webHidden/>
                <w:sz w:val="22"/>
                <w:szCs w:val="32"/>
              </w:rPr>
              <w:instrText xml:space="preserve"> PAGEREF _Toc220786528 \h </w:instrText>
            </w:r>
            <w:r w:rsidRPr="00F91404">
              <w:rPr>
                <w:noProof/>
                <w:webHidden/>
                <w:sz w:val="22"/>
                <w:szCs w:val="32"/>
              </w:rPr>
            </w:r>
            <w:r w:rsidRPr="00F91404">
              <w:rPr>
                <w:noProof/>
                <w:webHidden/>
                <w:sz w:val="22"/>
                <w:szCs w:val="32"/>
              </w:rPr>
              <w:fldChar w:fldCharType="separate"/>
            </w:r>
            <w:r w:rsidR="00DF7DF1">
              <w:rPr>
                <w:noProof/>
                <w:webHidden/>
                <w:sz w:val="22"/>
                <w:szCs w:val="32"/>
              </w:rPr>
              <w:t>32</w:t>
            </w:r>
            <w:r w:rsidRPr="00F91404">
              <w:rPr>
                <w:noProof/>
                <w:webHidden/>
                <w:sz w:val="22"/>
                <w:szCs w:val="32"/>
              </w:rPr>
              <w:fldChar w:fldCharType="end"/>
            </w:r>
          </w:hyperlink>
        </w:p>
        <w:p w14:paraId="72D646A8" w14:textId="35C35B64" w:rsidR="00EF76B4" w:rsidRPr="00F91404" w:rsidRDefault="00EF76B4" w:rsidP="00EF76B4">
          <w:pPr>
            <w:pStyle w:val="TOC1"/>
            <w:tabs>
              <w:tab w:val="left" w:pos="567"/>
              <w:tab w:val="right" w:pos="9629"/>
            </w:tabs>
            <w:spacing w:after="240" w:line="360" w:lineRule="auto"/>
            <w:rPr>
              <w:rFonts w:eastAsiaTheme="minorEastAsia"/>
              <w:noProof/>
              <w:kern w:val="2"/>
              <w:sz w:val="36"/>
              <w:szCs w:val="36"/>
              <w:lang w:eastAsia="en-GB"/>
              <w14:ligatures w14:val="standardContextual"/>
            </w:rPr>
          </w:pPr>
          <w:hyperlink w:anchor="_Toc220786529" w:history="1">
            <w:r w:rsidRPr="00F91404">
              <w:rPr>
                <w:rStyle w:val="Hyperlink"/>
                <w:rFonts w:ascii="Arial Black" w:hAnsi="Arial Black"/>
                <w:noProof/>
                <w:sz w:val="22"/>
                <w:szCs w:val="32"/>
              </w:rPr>
              <w:t>8</w:t>
            </w:r>
            <w:r w:rsidRPr="00F91404">
              <w:rPr>
                <w:rFonts w:eastAsiaTheme="minorEastAsia"/>
                <w:noProof/>
                <w:kern w:val="2"/>
                <w:sz w:val="36"/>
                <w:szCs w:val="36"/>
                <w:lang w:eastAsia="en-GB"/>
                <w14:ligatures w14:val="standardContextual"/>
              </w:rPr>
              <w:tab/>
            </w:r>
            <w:r w:rsidRPr="00F91404">
              <w:rPr>
                <w:rStyle w:val="Hyperlink"/>
                <w:b/>
                <w:bCs/>
                <w:noProof/>
                <w:color w:val="004C43"/>
                <w:sz w:val="22"/>
                <w:szCs w:val="32"/>
              </w:rPr>
              <w:t>Conclusion</w:t>
            </w:r>
            <w:r w:rsidRPr="00F91404">
              <w:rPr>
                <w:noProof/>
                <w:webHidden/>
                <w:sz w:val="22"/>
                <w:szCs w:val="32"/>
              </w:rPr>
              <w:tab/>
            </w:r>
            <w:r w:rsidRPr="00F91404">
              <w:rPr>
                <w:noProof/>
                <w:webHidden/>
                <w:sz w:val="22"/>
                <w:szCs w:val="32"/>
              </w:rPr>
              <w:fldChar w:fldCharType="begin"/>
            </w:r>
            <w:r w:rsidRPr="00F91404">
              <w:rPr>
                <w:noProof/>
                <w:webHidden/>
                <w:sz w:val="22"/>
                <w:szCs w:val="32"/>
              </w:rPr>
              <w:instrText xml:space="preserve"> PAGEREF _Toc220786529 \h </w:instrText>
            </w:r>
            <w:r w:rsidRPr="00F91404">
              <w:rPr>
                <w:noProof/>
                <w:webHidden/>
                <w:sz w:val="22"/>
                <w:szCs w:val="32"/>
              </w:rPr>
            </w:r>
            <w:r w:rsidRPr="00F91404">
              <w:rPr>
                <w:noProof/>
                <w:webHidden/>
                <w:sz w:val="22"/>
                <w:szCs w:val="32"/>
              </w:rPr>
              <w:fldChar w:fldCharType="separate"/>
            </w:r>
            <w:r w:rsidR="00DF7DF1">
              <w:rPr>
                <w:noProof/>
                <w:webHidden/>
                <w:sz w:val="22"/>
                <w:szCs w:val="32"/>
              </w:rPr>
              <w:t>35</w:t>
            </w:r>
            <w:r w:rsidRPr="00F91404">
              <w:rPr>
                <w:noProof/>
                <w:webHidden/>
                <w:sz w:val="22"/>
                <w:szCs w:val="32"/>
              </w:rPr>
              <w:fldChar w:fldCharType="end"/>
            </w:r>
          </w:hyperlink>
        </w:p>
        <w:p w14:paraId="2161879B" w14:textId="0A18B6B2" w:rsidR="00EF76B4" w:rsidRPr="00F91404" w:rsidRDefault="00EF76B4" w:rsidP="00EF76B4">
          <w:pPr>
            <w:pStyle w:val="TOC1"/>
            <w:tabs>
              <w:tab w:val="left" w:pos="567"/>
              <w:tab w:val="right" w:pos="9629"/>
            </w:tabs>
            <w:spacing w:after="240" w:line="360" w:lineRule="auto"/>
            <w:rPr>
              <w:rFonts w:eastAsiaTheme="minorEastAsia"/>
              <w:noProof/>
              <w:kern w:val="2"/>
              <w:sz w:val="36"/>
              <w:szCs w:val="36"/>
              <w:lang w:eastAsia="en-GB"/>
              <w14:ligatures w14:val="standardContextual"/>
            </w:rPr>
          </w:pPr>
          <w:hyperlink w:anchor="_Toc220786530" w:history="1">
            <w:r w:rsidRPr="00F91404">
              <w:rPr>
                <w:rStyle w:val="Hyperlink"/>
                <w:rFonts w:ascii="Arial Black" w:hAnsi="Arial Black"/>
                <w:noProof/>
                <w:sz w:val="22"/>
                <w:szCs w:val="32"/>
              </w:rPr>
              <w:t>9</w:t>
            </w:r>
            <w:r w:rsidRPr="00F91404">
              <w:rPr>
                <w:rFonts w:eastAsiaTheme="minorEastAsia"/>
                <w:noProof/>
                <w:kern w:val="2"/>
                <w:sz w:val="36"/>
                <w:szCs w:val="36"/>
                <w:lang w:eastAsia="en-GB"/>
                <w14:ligatures w14:val="standardContextual"/>
              </w:rPr>
              <w:tab/>
            </w:r>
            <w:r w:rsidRPr="00F91404">
              <w:rPr>
                <w:rStyle w:val="Hyperlink"/>
                <w:b/>
                <w:bCs/>
                <w:noProof/>
                <w:color w:val="004C43"/>
                <w:sz w:val="22"/>
                <w:szCs w:val="32"/>
              </w:rPr>
              <w:t>References</w:t>
            </w:r>
            <w:r w:rsidRPr="00F91404">
              <w:rPr>
                <w:noProof/>
                <w:webHidden/>
                <w:sz w:val="22"/>
                <w:szCs w:val="32"/>
              </w:rPr>
              <w:tab/>
            </w:r>
            <w:r w:rsidRPr="00F91404">
              <w:rPr>
                <w:noProof/>
                <w:webHidden/>
                <w:sz w:val="22"/>
                <w:szCs w:val="32"/>
              </w:rPr>
              <w:fldChar w:fldCharType="begin"/>
            </w:r>
            <w:r w:rsidRPr="00F91404">
              <w:rPr>
                <w:noProof/>
                <w:webHidden/>
                <w:sz w:val="22"/>
                <w:szCs w:val="32"/>
              </w:rPr>
              <w:instrText xml:space="preserve"> PAGEREF _Toc220786530 \h </w:instrText>
            </w:r>
            <w:r w:rsidRPr="00F91404">
              <w:rPr>
                <w:noProof/>
                <w:webHidden/>
                <w:sz w:val="22"/>
                <w:szCs w:val="32"/>
              </w:rPr>
            </w:r>
            <w:r w:rsidRPr="00F91404">
              <w:rPr>
                <w:noProof/>
                <w:webHidden/>
                <w:sz w:val="22"/>
                <w:szCs w:val="32"/>
              </w:rPr>
              <w:fldChar w:fldCharType="separate"/>
            </w:r>
            <w:r w:rsidR="00DF7DF1">
              <w:rPr>
                <w:noProof/>
                <w:webHidden/>
                <w:sz w:val="22"/>
                <w:szCs w:val="32"/>
              </w:rPr>
              <w:t>37</w:t>
            </w:r>
            <w:r w:rsidRPr="00F91404">
              <w:rPr>
                <w:noProof/>
                <w:webHidden/>
                <w:sz w:val="22"/>
                <w:szCs w:val="32"/>
              </w:rPr>
              <w:fldChar w:fldCharType="end"/>
            </w:r>
          </w:hyperlink>
        </w:p>
        <w:p w14:paraId="359C006E" w14:textId="3FEBDDB2" w:rsidR="00EF76B4" w:rsidRPr="00F91404" w:rsidRDefault="00EF76B4" w:rsidP="00EF76B4">
          <w:pPr>
            <w:pStyle w:val="TOC1"/>
            <w:tabs>
              <w:tab w:val="left" w:pos="567"/>
              <w:tab w:val="right" w:pos="9629"/>
            </w:tabs>
            <w:spacing w:after="240" w:line="360" w:lineRule="auto"/>
            <w:rPr>
              <w:rFonts w:eastAsiaTheme="minorEastAsia"/>
              <w:noProof/>
              <w:kern w:val="2"/>
              <w:sz w:val="36"/>
              <w:szCs w:val="36"/>
              <w:lang w:eastAsia="en-GB"/>
              <w14:ligatures w14:val="standardContextual"/>
            </w:rPr>
          </w:pPr>
          <w:hyperlink w:anchor="_Toc220786531" w:history="1">
            <w:r w:rsidRPr="00F91404">
              <w:rPr>
                <w:rStyle w:val="Hyperlink"/>
                <w:rFonts w:ascii="Arial Black" w:hAnsi="Arial Black"/>
                <w:noProof/>
                <w:sz w:val="22"/>
                <w:szCs w:val="32"/>
              </w:rPr>
              <w:t>10</w:t>
            </w:r>
            <w:r w:rsidRPr="00F91404">
              <w:rPr>
                <w:rFonts w:eastAsiaTheme="minorEastAsia"/>
                <w:noProof/>
                <w:kern w:val="2"/>
                <w:sz w:val="36"/>
                <w:szCs w:val="36"/>
                <w:lang w:eastAsia="en-GB"/>
                <w14:ligatures w14:val="standardContextual"/>
              </w:rPr>
              <w:tab/>
            </w:r>
            <w:r w:rsidRPr="00F91404">
              <w:rPr>
                <w:rStyle w:val="Hyperlink"/>
                <w:b/>
                <w:bCs/>
                <w:noProof/>
                <w:color w:val="004C43"/>
                <w:sz w:val="22"/>
                <w:szCs w:val="32"/>
              </w:rPr>
              <w:t>Annex</w:t>
            </w:r>
            <w:r w:rsidRPr="00F91404">
              <w:rPr>
                <w:noProof/>
                <w:webHidden/>
                <w:sz w:val="22"/>
                <w:szCs w:val="32"/>
              </w:rPr>
              <w:tab/>
            </w:r>
            <w:r w:rsidRPr="00F91404">
              <w:rPr>
                <w:noProof/>
                <w:webHidden/>
                <w:sz w:val="22"/>
                <w:szCs w:val="32"/>
              </w:rPr>
              <w:fldChar w:fldCharType="begin"/>
            </w:r>
            <w:r w:rsidRPr="00F91404">
              <w:rPr>
                <w:noProof/>
                <w:webHidden/>
                <w:sz w:val="22"/>
                <w:szCs w:val="32"/>
              </w:rPr>
              <w:instrText xml:space="preserve"> PAGEREF _Toc220786531 \h </w:instrText>
            </w:r>
            <w:r w:rsidRPr="00F91404">
              <w:rPr>
                <w:noProof/>
                <w:webHidden/>
                <w:sz w:val="22"/>
                <w:szCs w:val="32"/>
              </w:rPr>
            </w:r>
            <w:r w:rsidRPr="00F91404">
              <w:rPr>
                <w:noProof/>
                <w:webHidden/>
                <w:sz w:val="22"/>
                <w:szCs w:val="32"/>
              </w:rPr>
              <w:fldChar w:fldCharType="separate"/>
            </w:r>
            <w:r w:rsidR="00DF7DF1">
              <w:rPr>
                <w:noProof/>
                <w:webHidden/>
                <w:sz w:val="22"/>
                <w:szCs w:val="32"/>
              </w:rPr>
              <w:t>39</w:t>
            </w:r>
            <w:r w:rsidRPr="00F91404">
              <w:rPr>
                <w:noProof/>
                <w:webHidden/>
                <w:sz w:val="22"/>
                <w:szCs w:val="32"/>
              </w:rPr>
              <w:fldChar w:fldCharType="end"/>
            </w:r>
          </w:hyperlink>
        </w:p>
        <w:p w14:paraId="1A77EE45" w14:textId="3CC93B80" w:rsidR="4B13EF73" w:rsidRPr="00F91404" w:rsidRDefault="00077429" w:rsidP="0045250D">
          <w:pPr>
            <w:spacing w:before="240" w:line="360" w:lineRule="auto"/>
            <w:rPr>
              <w:sz w:val="20"/>
              <w:szCs w:val="20"/>
            </w:rPr>
          </w:pPr>
          <w:r w:rsidRPr="00F91404">
            <w:rPr>
              <w:rFonts w:asciiTheme="majorHAnsi" w:hAnsiTheme="majorHAnsi" w:cstheme="majorBidi"/>
              <w:b/>
              <w:bCs/>
              <w:sz w:val="22"/>
            </w:rPr>
            <w:fldChar w:fldCharType="end"/>
          </w:r>
        </w:p>
      </w:sdtContent>
    </w:sdt>
    <w:p w14:paraId="6A76782B" w14:textId="77777777" w:rsidR="00906542" w:rsidRPr="00F91404" w:rsidRDefault="00906542" w:rsidP="00077429">
      <w:pPr>
        <w:rPr>
          <w:rFonts w:cstheme="minorHAnsi"/>
          <w:sz w:val="20"/>
          <w:szCs w:val="20"/>
        </w:rPr>
      </w:pPr>
    </w:p>
    <w:p w14:paraId="5C84A626" w14:textId="77777777" w:rsidR="00C95F6E" w:rsidRPr="00F91404" w:rsidRDefault="00C95F6E" w:rsidP="00F22E1A"/>
    <w:p w14:paraId="71058AEE" w14:textId="77777777" w:rsidR="00F22E1A" w:rsidRPr="00F91404" w:rsidRDefault="00F22E1A" w:rsidP="00225DB9"/>
    <w:p w14:paraId="21B6656F" w14:textId="2E9B5F0C" w:rsidR="00193CF6" w:rsidRPr="00F91404" w:rsidRDefault="0006024D" w:rsidP="005932D9">
      <w:pPr>
        <w:rPr>
          <w:rFonts w:cstheme="minorHAnsi"/>
          <w:sz w:val="20"/>
          <w:szCs w:val="20"/>
        </w:rPr>
      </w:pPr>
      <w:r w:rsidRPr="00F91404">
        <w:rPr>
          <w:rFonts w:cstheme="minorHAnsi"/>
          <w:sz w:val="20"/>
          <w:szCs w:val="20"/>
        </w:rPr>
        <w:br w:type="page"/>
      </w:r>
    </w:p>
    <w:p w14:paraId="6D5E1F73" w14:textId="602DFCBD" w:rsidR="00193CF6" w:rsidRPr="00F91404" w:rsidRDefault="0006024D" w:rsidP="00B43EBA">
      <w:pPr>
        <w:pStyle w:val="Heading1"/>
        <w:numPr>
          <w:ilvl w:val="0"/>
          <w:numId w:val="0"/>
        </w:numPr>
        <w:ind w:left="432" w:hanging="432"/>
      </w:pPr>
      <w:bookmarkStart w:id="0" w:name="_Toc155261462"/>
      <w:bookmarkStart w:id="1" w:name="_Toc220685821"/>
      <w:bookmarkStart w:id="2" w:name="_Toc220695656"/>
      <w:bookmarkStart w:id="3" w:name="_Toc220695982"/>
      <w:bookmarkStart w:id="4" w:name="_Toc220752247"/>
      <w:bookmarkStart w:id="5" w:name="_Toc220760920"/>
      <w:bookmarkStart w:id="6" w:name="_Toc220786521"/>
      <w:r w:rsidRPr="00F91404">
        <w:lastRenderedPageBreak/>
        <w:t xml:space="preserve">Acronyms </w:t>
      </w:r>
      <w:bookmarkEnd w:id="0"/>
      <w:bookmarkEnd w:id="1"/>
      <w:r w:rsidR="00F2078F" w:rsidRPr="00F91404">
        <w:t>L</w:t>
      </w:r>
      <w:r w:rsidRPr="00F91404">
        <w:t>ist</w:t>
      </w:r>
      <w:bookmarkEnd w:id="2"/>
      <w:bookmarkEnd w:id="3"/>
      <w:bookmarkEnd w:id="4"/>
      <w:bookmarkEnd w:id="5"/>
      <w:bookmarkEnd w:id="6"/>
    </w:p>
    <w:tbl>
      <w:tblPr>
        <w:tblW w:w="5000" w:type="pct"/>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70" w:type="dxa"/>
          <w:right w:w="70" w:type="dxa"/>
        </w:tblCellMar>
        <w:tblLook w:val="04A0" w:firstRow="1" w:lastRow="0" w:firstColumn="1" w:lastColumn="0" w:noHBand="0" w:noVBand="1"/>
      </w:tblPr>
      <w:tblGrid>
        <w:gridCol w:w="2292"/>
        <w:gridCol w:w="7337"/>
      </w:tblGrid>
      <w:tr w:rsidR="00C67E5B" w:rsidRPr="004278C7" w14:paraId="3C1229A2" w14:textId="77777777" w:rsidTr="006911C4">
        <w:trPr>
          <w:trHeight w:val="340"/>
        </w:trPr>
        <w:tc>
          <w:tcPr>
            <w:tcW w:w="1190" w:type="pct"/>
            <w:shd w:val="clear" w:color="000000" w:fill="004C43"/>
            <w:vAlign w:val="center"/>
            <w:hideMark/>
          </w:tcPr>
          <w:p w14:paraId="419CCD07"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bookmarkStart w:id="7" w:name="_Toc220695657"/>
            <w:bookmarkEnd w:id="7"/>
            <w:r w:rsidRPr="00F91404">
              <w:rPr>
                <w:rFonts w:ascii="Arial" w:eastAsia="Times New Roman" w:hAnsi="Arial" w:cs="Arial"/>
                <w:b/>
                <w:bCs/>
                <w:color w:val="FFFFFF"/>
                <w:sz w:val="18"/>
                <w:szCs w:val="18"/>
                <w:lang w:eastAsia="es-MX"/>
              </w:rPr>
              <w:t>ANLA</w:t>
            </w:r>
          </w:p>
        </w:tc>
        <w:tc>
          <w:tcPr>
            <w:tcW w:w="3810" w:type="pct"/>
            <w:vAlign w:val="center"/>
            <w:hideMark/>
          </w:tcPr>
          <w:p w14:paraId="37726ED1" w14:textId="77777777" w:rsidR="00C67E5B" w:rsidRPr="004278C7" w:rsidRDefault="00C67E5B" w:rsidP="00987D47">
            <w:pPr>
              <w:spacing w:after="0"/>
              <w:ind w:left="188"/>
              <w:rPr>
                <w:rFonts w:ascii="Arial" w:eastAsia="Times New Roman" w:hAnsi="Arial" w:cs="Arial"/>
                <w:color w:val="000000"/>
                <w:sz w:val="18"/>
                <w:szCs w:val="18"/>
                <w:lang w:val="es-MX" w:eastAsia="es-MX"/>
              </w:rPr>
            </w:pPr>
            <w:r w:rsidRPr="004278C7">
              <w:rPr>
                <w:rFonts w:ascii="Arial" w:eastAsia="Times New Roman" w:hAnsi="Arial" w:cs="Arial"/>
                <w:color w:val="000000"/>
                <w:sz w:val="18"/>
                <w:szCs w:val="18"/>
                <w:lang w:val="es-MX" w:eastAsia="es-MX"/>
              </w:rPr>
              <w:t>National Environmental Licensing Authority (ANLA – Autoridad Nacional De Licencias Ambientales, Colombia)</w:t>
            </w:r>
          </w:p>
        </w:tc>
      </w:tr>
      <w:tr w:rsidR="00C67E5B" w:rsidRPr="004278C7" w14:paraId="7B5E649A" w14:textId="77777777" w:rsidTr="006911C4">
        <w:trPr>
          <w:trHeight w:val="340"/>
        </w:trPr>
        <w:tc>
          <w:tcPr>
            <w:tcW w:w="1190" w:type="pct"/>
            <w:shd w:val="clear" w:color="000000" w:fill="004C43"/>
            <w:vAlign w:val="center"/>
            <w:hideMark/>
          </w:tcPr>
          <w:p w14:paraId="29301176"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ASEA</w:t>
            </w:r>
          </w:p>
        </w:tc>
        <w:tc>
          <w:tcPr>
            <w:tcW w:w="3810" w:type="pct"/>
            <w:vAlign w:val="center"/>
            <w:hideMark/>
          </w:tcPr>
          <w:p w14:paraId="341A98A3" w14:textId="77777777" w:rsidR="00C67E5B" w:rsidRPr="004278C7" w:rsidRDefault="00C67E5B" w:rsidP="00987D47">
            <w:pPr>
              <w:spacing w:after="0"/>
              <w:ind w:left="188"/>
              <w:rPr>
                <w:rFonts w:ascii="Arial" w:eastAsia="Times New Roman" w:hAnsi="Arial" w:cs="Arial"/>
                <w:color w:val="000000"/>
                <w:sz w:val="18"/>
                <w:szCs w:val="18"/>
                <w:lang w:val="es-MX" w:eastAsia="es-MX"/>
              </w:rPr>
            </w:pPr>
            <w:r w:rsidRPr="004278C7">
              <w:rPr>
                <w:rFonts w:ascii="Arial" w:eastAsia="Times New Roman" w:hAnsi="Arial" w:cs="Arial"/>
                <w:color w:val="000000"/>
                <w:sz w:val="18"/>
                <w:szCs w:val="18"/>
                <w:lang w:val="es-MX" w:eastAsia="es-MX"/>
              </w:rPr>
              <w:t>Agency For Safety, Energy And Environment (ASEA – Agencia De Seguridad, Energía Y Ambiente, Mexico)</w:t>
            </w:r>
          </w:p>
        </w:tc>
      </w:tr>
      <w:tr w:rsidR="00C67E5B" w:rsidRPr="00F91404" w14:paraId="669AEF3E" w14:textId="77777777" w:rsidTr="006911C4">
        <w:trPr>
          <w:trHeight w:val="340"/>
        </w:trPr>
        <w:tc>
          <w:tcPr>
            <w:tcW w:w="1190" w:type="pct"/>
            <w:shd w:val="clear" w:color="000000" w:fill="004C43"/>
            <w:vAlign w:val="center"/>
            <w:hideMark/>
          </w:tcPr>
          <w:p w14:paraId="6F465B68"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BMWK</w:t>
            </w:r>
          </w:p>
        </w:tc>
        <w:tc>
          <w:tcPr>
            <w:tcW w:w="3810" w:type="pct"/>
            <w:vAlign w:val="center"/>
            <w:hideMark/>
          </w:tcPr>
          <w:p w14:paraId="792DA189"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 xml:space="preserve">Federal Ministry </w:t>
            </w:r>
            <w:proofErr w:type="gramStart"/>
            <w:r w:rsidRPr="00F91404">
              <w:rPr>
                <w:rFonts w:ascii="Arial" w:eastAsia="Times New Roman" w:hAnsi="Arial" w:cs="Arial"/>
                <w:color w:val="000000"/>
                <w:sz w:val="18"/>
                <w:szCs w:val="18"/>
                <w:lang w:eastAsia="es-MX"/>
              </w:rPr>
              <w:t>For</w:t>
            </w:r>
            <w:proofErr w:type="gramEnd"/>
            <w:r w:rsidRPr="00F91404">
              <w:rPr>
                <w:rFonts w:ascii="Arial" w:eastAsia="Times New Roman" w:hAnsi="Arial" w:cs="Arial"/>
                <w:color w:val="000000"/>
                <w:sz w:val="18"/>
                <w:szCs w:val="18"/>
                <w:lang w:eastAsia="es-MX"/>
              </w:rPr>
              <w:t xml:space="preserve"> Economic Affairs </w:t>
            </w:r>
            <w:proofErr w:type="gramStart"/>
            <w:r w:rsidRPr="00F91404">
              <w:rPr>
                <w:rFonts w:ascii="Arial" w:eastAsia="Times New Roman" w:hAnsi="Arial" w:cs="Arial"/>
                <w:color w:val="000000"/>
                <w:sz w:val="18"/>
                <w:szCs w:val="18"/>
                <w:lang w:eastAsia="es-MX"/>
              </w:rPr>
              <w:t>And</w:t>
            </w:r>
            <w:proofErr w:type="gramEnd"/>
            <w:r w:rsidRPr="00F91404">
              <w:rPr>
                <w:rFonts w:ascii="Arial" w:eastAsia="Times New Roman" w:hAnsi="Arial" w:cs="Arial"/>
                <w:color w:val="000000"/>
                <w:sz w:val="18"/>
                <w:szCs w:val="18"/>
                <w:lang w:eastAsia="es-MX"/>
              </w:rPr>
              <w:t xml:space="preserve"> Climate Action (Germany)</w:t>
            </w:r>
          </w:p>
        </w:tc>
      </w:tr>
      <w:tr w:rsidR="00C67E5B" w:rsidRPr="004278C7" w14:paraId="76FC212A" w14:textId="77777777" w:rsidTr="006911C4">
        <w:trPr>
          <w:trHeight w:val="340"/>
        </w:trPr>
        <w:tc>
          <w:tcPr>
            <w:tcW w:w="1190" w:type="pct"/>
            <w:shd w:val="clear" w:color="000000" w:fill="004C43"/>
            <w:vAlign w:val="center"/>
            <w:hideMark/>
          </w:tcPr>
          <w:p w14:paraId="6F4F997C"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CENACE</w:t>
            </w:r>
          </w:p>
        </w:tc>
        <w:tc>
          <w:tcPr>
            <w:tcW w:w="3810" w:type="pct"/>
            <w:vAlign w:val="center"/>
            <w:hideMark/>
          </w:tcPr>
          <w:p w14:paraId="5BC02FF1" w14:textId="77777777" w:rsidR="00C67E5B" w:rsidRPr="004278C7" w:rsidRDefault="00C67E5B" w:rsidP="00987D47">
            <w:pPr>
              <w:spacing w:after="0"/>
              <w:ind w:left="188"/>
              <w:rPr>
                <w:rFonts w:ascii="Arial" w:eastAsia="Times New Roman" w:hAnsi="Arial" w:cs="Arial"/>
                <w:color w:val="000000"/>
                <w:sz w:val="18"/>
                <w:szCs w:val="18"/>
                <w:lang w:val="es-MX" w:eastAsia="es-MX"/>
              </w:rPr>
            </w:pPr>
            <w:r w:rsidRPr="004278C7">
              <w:rPr>
                <w:rFonts w:ascii="Arial" w:eastAsia="Times New Roman" w:hAnsi="Arial" w:cs="Arial"/>
                <w:color w:val="000000"/>
                <w:sz w:val="18"/>
                <w:szCs w:val="18"/>
                <w:lang w:val="es-MX" w:eastAsia="es-MX"/>
              </w:rPr>
              <w:t>National Energy Control Centre (CENACE – Centro Nacional De Control De Energía, Mexico)</w:t>
            </w:r>
          </w:p>
        </w:tc>
      </w:tr>
      <w:tr w:rsidR="00C67E5B" w:rsidRPr="00F91404" w14:paraId="3B47FD7C" w14:textId="77777777" w:rsidTr="006911C4">
        <w:trPr>
          <w:trHeight w:val="340"/>
        </w:trPr>
        <w:tc>
          <w:tcPr>
            <w:tcW w:w="1190" w:type="pct"/>
            <w:shd w:val="clear" w:color="000000" w:fill="004C43"/>
            <w:vAlign w:val="center"/>
            <w:hideMark/>
          </w:tcPr>
          <w:p w14:paraId="46539A72"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proofErr w:type="spellStart"/>
            <w:r w:rsidRPr="00F91404">
              <w:rPr>
                <w:rFonts w:ascii="Arial" w:eastAsia="Times New Roman" w:hAnsi="Arial" w:cs="Arial"/>
                <w:b/>
                <w:bCs/>
                <w:color w:val="FFFFFF"/>
                <w:sz w:val="18"/>
                <w:szCs w:val="18"/>
                <w:lang w:eastAsia="es-MX"/>
              </w:rPr>
              <w:t>CfD</w:t>
            </w:r>
            <w:proofErr w:type="spellEnd"/>
          </w:p>
        </w:tc>
        <w:tc>
          <w:tcPr>
            <w:tcW w:w="3810" w:type="pct"/>
            <w:vAlign w:val="center"/>
            <w:hideMark/>
          </w:tcPr>
          <w:p w14:paraId="1058D74A"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Contract For Difference</w:t>
            </w:r>
          </w:p>
        </w:tc>
      </w:tr>
      <w:tr w:rsidR="00C67E5B" w:rsidRPr="00F91404" w14:paraId="2A9577B0" w14:textId="77777777" w:rsidTr="006911C4">
        <w:trPr>
          <w:trHeight w:val="340"/>
        </w:trPr>
        <w:tc>
          <w:tcPr>
            <w:tcW w:w="1190" w:type="pct"/>
            <w:shd w:val="clear" w:color="000000" w:fill="004C43"/>
            <w:vAlign w:val="center"/>
            <w:hideMark/>
          </w:tcPr>
          <w:p w14:paraId="53D46273"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CHPS</w:t>
            </w:r>
          </w:p>
        </w:tc>
        <w:tc>
          <w:tcPr>
            <w:tcW w:w="3810" w:type="pct"/>
            <w:vAlign w:val="center"/>
            <w:hideMark/>
          </w:tcPr>
          <w:p w14:paraId="15D1BEE8"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Clean Hydrogen Power Generation Bidding Market (South Korea)</w:t>
            </w:r>
          </w:p>
        </w:tc>
      </w:tr>
      <w:tr w:rsidR="00C67E5B" w:rsidRPr="004278C7" w14:paraId="46D323AE" w14:textId="77777777" w:rsidTr="006911C4">
        <w:trPr>
          <w:trHeight w:val="340"/>
        </w:trPr>
        <w:tc>
          <w:tcPr>
            <w:tcW w:w="1190" w:type="pct"/>
            <w:shd w:val="clear" w:color="000000" w:fill="004C43"/>
            <w:vAlign w:val="center"/>
            <w:hideMark/>
          </w:tcPr>
          <w:p w14:paraId="3A54E331"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CONAGUA</w:t>
            </w:r>
          </w:p>
        </w:tc>
        <w:tc>
          <w:tcPr>
            <w:tcW w:w="3810" w:type="pct"/>
            <w:vAlign w:val="center"/>
            <w:hideMark/>
          </w:tcPr>
          <w:p w14:paraId="659CAE2F" w14:textId="77777777" w:rsidR="00C67E5B" w:rsidRPr="004278C7" w:rsidRDefault="00C67E5B" w:rsidP="00987D47">
            <w:pPr>
              <w:spacing w:after="0"/>
              <w:ind w:left="188"/>
              <w:rPr>
                <w:rFonts w:ascii="Arial" w:eastAsia="Times New Roman" w:hAnsi="Arial" w:cs="Arial"/>
                <w:color w:val="000000"/>
                <w:sz w:val="18"/>
                <w:szCs w:val="18"/>
                <w:lang w:val="es-MX" w:eastAsia="es-MX"/>
              </w:rPr>
            </w:pPr>
            <w:r w:rsidRPr="004278C7">
              <w:rPr>
                <w:rFonts w:ascii="Arial" w:eastAsia="Times New Roman" w:hAnsi="Arial" w:cs="Arial"/>
                <w:color w:val="000000"/>
                <w:sz w:val="18"/>
                <w:szCs w:val="18"/>
                <w:lang w:val="es-MX" w:eastAsia="es-MX"/>
              </w:rPr>
              <w:t>National Water Commission (CONAGUA – Comisión Nacional Del Agua, Mexico)</w:t>
            </w:r>
          </w:p>
        </w:tc>
      </w:tr>
      <w:tr w:rsidR="00C67E5B" w:rsidRPr="004278C7" w14:paraId="4E1239E5" w14:textId="77777777" w:rsidTr="006911C4">
        <w:trPr>
          <w:trHeight w:val="340"/>
        </w:trPr>
        <w:tc>
          <w:tcPr>
            <w:tcW w:w="1190" w:type="pct"/>
            <w:shd w:val="clear" w:color="000000" w:fill="004C43"/>
            <w:vAlign w:val="center"/>
            <w:hideMark/>
          </w:tcPr>
          <w:p w14:paraId="2D0CA58D"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CORFO</w:t>
            </w:r>
          </w:p>
        </w:tc>
        <w:tc>
          <w:tcPr>
            <w:tcW w:w="3810" w:type="pct"/>
            <w:vAlign w:val="center"/>
            <w:hideMark/>
          </w:tcPr>
          <w:p w14:paraId="5937D5CF" w14:textId="77777777" w:rsidR="00C67E5B" w:rsidRPr="004278C7" w:rsidRDefault="00C67E5B" w:rsidP="00987D47">
            <w:pPr>
              <w:spacing w:after="0"/>
              <w:ind w:left="188"/>
              <w:rPr>
                <w:rFonts w:ascii="Arial" w:eastAsia="Times New Roman" w:hAnsi="Arial" w:cs="Arial"/>
                <w:color w:val="000000"/>
                <w:sz w:val="18"/>
                <w:szCs w:val="18"/>
                <w:lang w:val="es-MX" w:eastAsia="es-MX"/>
              </w:rPr>
            </w:pPr>
            <w:r w:rsidRPr="004278C7">
              <w:rPr>
                <w:rFonts w:ascii="Arial" w:eastAsia="Times New Roman" w:hAnsi="Arial" w:cs="Arial"/>
                <w:color w:val="000000"/>
                <w:sz w:val="18"/>
                <w:szCs w:val="18"/>
                <w:lang w:val="es-MX" w:eastAsia="es-MX"/>
              </w:rPr>
              <w:t>Economic Development Agency (CORFO – Corporación De Fomento De La Producción, Chile)</w:t>
            </w:r>
          </w:p>
        </w:tc>
      </w:tr>
      <w:tr w:rsidR="00C67E5B" w:rsidRPr="00F91404" w14:paraId="702FDC8E" w14:textId="77777777" w:rsidTr="006911C4">
        <w:trPr>
          <w:trHeight w:val="340"/>
        </w:trPr>
        <w:tc>
          <w:tcPr>
            <w:tcW w:w="1190" w:type="pct"/>
            <w:shd w:val="clear" w:color="000000" w:fill="004C43"/>
            <w:vAlign w:val="center"/>
            <w:hideMark/>
          </w:tcPr>
          <w:p w14:paraId="0BB9A09C"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DESNZ</w:t>
            </w:r>
          </w:p>
        </w:tc>
        <w:tc>
          <w:tcPr>
            <w:tcW w:w="3810" w:type="pct"/>
            <w:vAlign w:val="center"/>
            <w:hideMark/>
          </w:tcPr>
          <w:p w14:paraId="6B5327EF"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Department For Energy Security &amp; Net Zero (United Kingdom)</w:t>
            </w:r>
          </w:p>
        </w:tc>
      </w:tr>
      <w:tr w:rsidR="00C67E5B" w:rsidRPr="00F91404" w14:paraId="16DD546A" w14:textId="77777777" w:rsidTr="006911C4">
        <w:trPr>
          <w:trHeight w:val="340"/>
        </w:trPr>
        <w:tc>
          <w:tcPr>
            <w:tcW w:w="1190" w:type="pct"/>
            <w:shd w:val="clear" w:color="000000" w:fill="004C43"/>
            <w:vAlign w:val="center"/>
            <w:hideMark/>
          </w:tcPr>
          <w:p w14:paraId="772D209B"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FCDO</w:t>
            </w:r>
          </w:p>
        </w:tc>
        <w:tc>
          <w:tcPr>
            <w:tcW w:w="3810" w:type="pct"/>
            <w:vAlign w:val="center"/>
            <w:hideMark/>
          </w:tcPr>
          <w:p w14:paraId="1948BF3D"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 xml:space="preserve">Foreign, Commonwealth </w:t>
            </w:r>
            <w:proofErr w:type="gramStart"/>
            <w:r w:rsidRPr="00F91404">
              <w:rPr>
                <w:rFonts w:ascii="Arial" w:eastAsia="Times New Roman" w:hAnsi="Arial" w:cs="Arial"/>
                <w:color w:val="000000"/>
                <w:sz w:val="18"/>
                <w:szCs w:val="18"/>
                <w:lang w:eastAsia="es-MX"/>
              </w:rPr>
              <w:t>And</w:t>
            </w:r>
            <w:proofErr w:type="gramEnd"/>
            <w:r w:rsidRPr="00F91404">
              <w:rPr>
                <w:rFonts w:ascii="Arial" w:eastAsia="Times New Roman" w:hAnsi="Arial" w:cs="Arial"/>
                <w:color w:val="000000"/>
                <w:sz w:val="18"/>
                <w:szCs w:val="18"/>
                <w:lang w:eastAsia="es-MX"/>
              </w:rPr>
              <w:t xml:space="preserve"> Development Office (United Kingdom)</w:t>
            </w:r>
          </w:p>
        </w:tc>
      </w:tr>
      <w:tr w:rsidR="00C67E5B" w:rsidRPr="00F91404" w14:paraId="05337E8A" w14:textId="77777777" w:rsidTr="006911C4">
        <w:trPr>
          <w:trHeight w:val="340"/>
        </w:trPr>
        <w:tc>
          <w:tcPr>
            <w:tcW w:w="1190" w:type="pct"/>
            <w:shd w:val="clear" w:color="000000" w:fill="004C43"/>
            <w:vAlign w:val="center"/>
            <w:hideMark/>
          </w:tcPr>
          <w:p w14:paraId="43FC2466"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FID</w:t>
            </w:r>
          </w:p>
        </w:tc>
        <w:tc>
          <w:tcPr>
            <w:tcW w:w="3810" w:type="pct"/>
            <w:vAlign w:val="center"/>
            <w:hideMark/>
          </w:tcPr>
          <w:p w14:paraId="3B0D383E"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Final Investment Decision</w:t>
            </w:r>
          </w:p>
        </w:tc>
      </w:tr>
      <w:tr w:rsidR="00C67E5B" w:rsidRPr="00F91404" w14:paraId="65A3674B" w14:textId="77777777" w:rsidTr="006911C4">
        <w:trPr>
          <w:trHeight w:val="340"/>
        </w:trPr>
        <w:tc>
          <w:tcPr>
            <w:tcW w:w="1190" w:type="pct"/>
            <w:shd w:val="clear" w:color="000000" w:fill="004C43"/>
            <w:vAlign w:val="center"/>
            <w:hideMark/>
          </w:tcPr>
          <w:p w14:paraId="238A29B5"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GCIEP</w:t>
            </w:r>
          </w:p>
        </w:tc>
        <w:tc>
          <w:tcPr>
            <w:tcW w:w="3810" w:type="pct"/>
            <w:vAlign w:val="center"/>
            <w:hideMark/>
          </w:tcPr>
          <w:p w14:paraId="066ED9BA"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 xml:space="preserve">Green Cities, Infrastructure </w:t>
            </w:r>
            <w:proofErr w:type="gramStart"/>
            <w:r w:rsidRPr="00F91404">
              <w:rPr>
                <w:rFonts w:ascii="Arial" w:eastAsia="Times New Roman" w:hAnsi="Arial" w:cs="Arial"/>
                <w:color w:val="000000"/>
                <w:sz w:val="18"/>
                <w:szCs w:val="18"/>
                <w:lang w:eastAsia="es-MX"/>
              </w:rPr>
              <w:t>And</w:t>
            </w:r>
            <w:proofErr w:type="gramEnd"/>
            <w:r w:rsidRPr="00F91404">
              <w:rPr>
                <w:rFonts w:ascii="Arial" w:eastAsia="Times New Roman" w:hAnsi="Arial" w:cs="Arial"/>
                <w:color w:val="000000"/>
                <w:sz w:val="18"/>
                <w:szCs w:val="18"/>
                <w:lang w:eastAsia="es-MX"/>
              </w:rPr>
              <w:t xml:space="preserve"> Energy Programme</w:t>
            </w:r>
          </w:p>
        </w:tc>
      </w:tr>
      <w:tr w:rsidR="00C67E5B" w:rsidRPr="00F91404" w14:paraId="2CBE6FE0" w14:textId="77777777" w:rsidTr="006911C4">
        <w:trPr>
          <w:trHeight w:val="340"/>
        </w:trPr>
        <w:tc>
          <w:tcPr>
            <w:tcW w:w="1190" w:type="pct"/>
            <w:shd w:val="clear" w:color="000000" w:fill="004C43"/>
            <w:vAlign w:val="center"/>
            <w:hideMark/>
          </w:tcPr>
          <w:p w14:paraId="3ED0AACE"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proofErr w:type="spellStart"/>
            <w:r w:rsidRPr="00F91404">
              <w:rPr>
                <w:rFonts w:ascii="Arial" w:eastAsia="Times New Roman" w:hAnsi="Arial" w:cs="Arial"/>
                <w:b/>
                <w:bCs/>
                <w:color w:val="FFFFFF"/>
                <w:sz w:val="18"/>
                <w:szCs w:val="18"/>
                <w:lang w:eastAsia="es-MX"/>
              </w:rPr>
              <w:t>GoO</w:t>
            </w:r>
            <w:proofErr w:type="spellEnd"/>
          </w:p>
        </w:tc>
        <w:tc>
          <w:tcPr>
            <w:tcW w:w="3810" w:type="pct"/>
            <w:vAlign w:val="center"/>
            <w:hideMark/>
          </w:tcPr>
          <w:p w14:paraId="66357B0C"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Guarantees Of Origin</w:t>
            </w:r>
          </w:p>
        </w:tc>
      </w:tr>
      <w:tr w:rsidR="00C67E5B" w:rsidRPr="00F91404" w14:paraId="1B9D45C9" w14:textId="77777777" w:rsidTr="006911C4">
        <w:trPr>
          <w:trHeight w:val="340"/>
        </w:trPr>
        <w:tc>
          <w:tcPr>
            <w:tcW w:w="1190" w:type="pct"/>
            <w:shd w:val="clear" w:color="000000" w:fill="004C43"/>
            <w:vAlign w:val="center"/>
            <w:hideMark/>
          </w:tcPr>
          <w:p w14:paraId="20D6A929"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H2Global</w:t>
            </w:r>
          </w:p>
        </w:tc>
        <w:tc>
          <w:tcPr>
            <w:tcW w:w="3810" w:type="pct"/>
            <w:vAlign w:val="center"/>
            <w:hideMark/>
          </w:tcPr>
          <w:p w14:paraId="662459FE"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German Government-Backed Hydrogen Procurement Mechanism</w:t>
            </w:r>
          </w:p>
        </w:tc>
      </w:tr>
      <w:tr w:rsidR="00C67E5B" w:rsidRPr="00F91404" w14:paraId="3FFD015D" w14:textId="77777777" w:rsidTr="006911C4">
        <w:trPr>
          <w:trHeight w:val="340"/>
        </w:trPr>
        <w:tc>
          <w:tcPr>
            <w:tcW w:w="1190" w:type="pct"/>
            <w:shd w:val="clear" w:color="000000" w:fill="004C43"/>
            <w:vAlign w:val="center"/>
            <w:hideMark/>
          </w:tcPr>
          <w:p w14:paraId="7B8AE1B2"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HAR</w:t>
            </w:r>
          </w:p>
        </w:tc>
        <w:tc>
          <w:tcPr>
            <w:tcW w:w="3810" w:type="pct"/>
            <w:vAlign w:val="center"/>
            <w:hideMark/>
          </w:tcPr>
          <w:p w14:paraId="1A0153EA"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Hydrogen Allocation Rounds (United Kingdom)</w:t>
            </w:r>
          </w:p>
        </w:tc>
      </w:tr>
      <w:tr w:rsidR="00C67E5B" w:rsidRPr="00F91404" w14:paraId="5856303B" w14:textId="77777777" w:rsidTr="006911C4">
        <w:trPr>
          <w:trHeight w:val="340"/>
        </w:trPr>
        <w:tc>
          <w:tcPr>
            <w:tcW w:w="1190" w:type="pct"/>
            <w:shd w:val="clear" w:color="000000" w:fill="004C43"/>
            <w:vAlign w:val="center"/>
            <w:hideMark/>
          </w:tcPr>
          <w:p w14:paraId="682A1FF4"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HPBM</w:t>
            </w:r>
          </w:p>
        </w:tc>
        <w:tc>
          <w:tcPr>
            <w:tcW w:w="3810" w:type="pct"/>
            <w:vAlign w:val="center"/>
            <w:hideMark/>
          </w:tcPr>
          <w:p w14:paraId="3318C54F"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Hydrogen Production Business Model (United Kingdom)</w:t>
            </w:r>
          </w:p>
        </w:tc>
      </w:tr>
      <w:tr w:rsidR="00C67E5B" w:rsidRPr="00F91404" w14:paraId="75F1F49A" w14:textId="77777777" w:rsidTr="006911C4">
        <w:trPr>
          <w:trHeight w:val="340"/>
        </w:trPr>
        <w:tc>
          <w:tcPr>
            <w:tcW w:w="1190" w:type="pct"/>
            <w:shd w:val="clear" w:color="000000" w:fill="004C43"/>
            <w:vAlign w:val="center"/>
            <w:hideMark/>
          </w:tcPr>
          <w:p w14:paraId="7D851AAD"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IEA</w:t>
            </w:r>
          </w:p>
        </w:tc>
        <w:tc>
          <w:tcPr>
            <w:tcW w:w="3810" w:type="pct"/>
            <w:vAlign w:val="center"/>
            <w:hideMark/>
          </w:tcPr>
          <w:p w14:paraId="765D577B"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International Energy Agency</w:t>
            </w:r>
          </w:p>
        </w:tc>
      </w:tr>
      <w:tr w:rsidR="00C67E5B" w:rsidRPr="00F91404" w14:paraId="236F5DD3" w14:textId="77777777" w:rsidTr="006911C4">
        <w:trPr>
          <w:trHeight w:val="340"/>
        </w:trPr>
        <w:tc>
          <w:tcPr>
            <w:tcW w:w="1190" w:type="pct"/>
            <w:shd w:val="clear" w:color="000000" w:fill="004C43"/>
            <w:vAlign w:val="center"/>
            <w:hideMark/>
          </w:tcPr>
          <w:p w14:paraId="59EC8352"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IDB</w:t>
            </w:r>
          </w:p>
        </w:tc>
        <w:tc>
          <w:tcPr>
            <w:tcW w:w="3810" w:type="pct"/>
            <w:vAlign w:val="center"/>
            <w:hideMark/>
          </w:tcPr>
          <w:p w14:paraId="6176BE4C"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Inter-American Development Bank</w:t>
            </w:r>
          </w:p>
        </w:tc>
      </w:tr>
      <w:tr w:rsidR="00C67E5B" w:rsidRPr="00F91404" w14:paraId="6F1EDD81" w14:textId="77777777" w:rsidTr="006911C4">
        <w:trPr>
          <w:trHeight w:val="340"/>
        </w:trPr>
        <w:tc>
          <w:tcPr>
            <w:tcW w:w="1190" w:type="pct"/>
            <w:shd w:val="clear" w:color="000000" w:fill="004C43"/>
            <w:vAlign w:val="center"/>
            <w:hideMark/>
          </w:tcPr>
          <w:p w14:paraId="5805E043"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JOGMEC</w:t>
            </w:r>
          </w:p>
        </w:tc>
        <w:tc>
          <w:tcPr>
            <w:tcW w:w="3810" w:type="pct"/>
            <w:vAlign w:val="center"/>
            <w:hideMark/>
          </w:tcPr>
          <w:p w14:paraId="74795E2D"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 xml:space="preserve">Japan Oil, Gas </w:t>
            </w:r>
            <w:proofErr w:type="gramStart"/>
            <w:r w:rsidRPr="00F91404">
              <w:rPr>
                <w:rFonts w:ascii="Arial" w:eastAsia="Times New Roman" w:hAnsi="Arial" w:cs="Arial"/>
                <w:color w:val="000000"/>
                <w:sz w:val="18"/>
                <w:szCs w:val="18"/>
                <w:lang w:eastAsia="es-MX"/>
              </w:rPr>
              <w:t>And</w:t>
            </w:r>
            <w:proofErr w:type="gramEnd"/>
            <w:r w:rsidRPr="00F91404">
              <w:rPr>
                <w:rFonts w:ascii="Arial" w:eastAsia="Times New Roman" w:hAnsi="Arial" w:cs="Arial"/>
                <w:color w:val="000000"/>
                <w:sz w:val="18"/>
                <w:szCs w:val="18"/>
                <w:lang w:eastAsia="es-MX"/>
              </w:rPr>
              <w:t xml:space="preserve"> Metals National Corporation</w:t>
            </w:r>
          </w:p>
        </w:tc>
      </w:tr>
      <w:tr w:rsidR="00C67E5B" w:rsidRPr="00F91404" w14:paraId="7A24E774" w14:textId="77777777" w:rsidTr="006911C4">
        <w:trPr>
          <w:trHeight w:val="340"/>
        </w:trPr>
        <w:tc>
          <w:tcPr>
            <w:tcW w:w="1190" w:type="pct"/>
            <w:shd w:val="clear" w:color="000000" w:fill="004C43"/>
            <w:vAlign w:val="center"/>
            <w:hideMark/>
          </w:tcPr>
          <w:p w14:paraId="339D5171"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MNRE</w:t>
            </w:r>
          </w:p>
        </w:tc>
        <w:tc>
          <w:tcPr>
            <w:tcW w:w="3810" w:type="pct"/>
            <w:vAlign w:val="center"/>
            <w:hideMark/>
          </w:tcPr>
          <w:p w14:paraId="354A301F"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 xml:space="preserve">Ministry Of New </w:t>
            </w:r>
            <w:proofErr w:type="gramStart"/>
            <w:r w:rsidRPr="00F91404">
              <w:rPr>
                <w:rFonts w:ascii="Arial" w:eastAsia="Times New Roman" w:hAnsi="Arial" w:cs="Arial"/>
                <w:color w:val="000000"/>
                <w:sz w:val="18"/>
                <w:szCs w:val="18"/>
                <w:lang w:eastAsia="es-MX"/>
              </w:rPr>
              <w:t>And</w:t>
            </w:r>
            <w:proofErr w:type="gramEnd"/>
            <w:r w:rsidRPr="00F91404">
              <w:rPr>
                <w:rFonts w:ascii="Arial" w:eastAsia="Times New Roman" w:hAnsi="Arial" w:cs="Arial"/>
                <w:color w:val="000000"/>
                <w:sz w:val="18"/>
                <w:szCs w:val="18"/>
                <w:lang w:eastAsia="es-MX"/>
              </w:rPr>
              <w:t xml:space="preserve"> Renewable Energy (India)</w:t>
            </w:r>
          </w:p>
        </w:tc>
      </w:tr>
      <w:tr w:rsidR="00C67E5B" w:rsidRPr="00F91404" w14:paraId="0DB84281" w14:textId="77777777" w:rsidTr="006911C4">
        <w:trPr>
          <w:trHeight w:val="340"/>
        </w:trPr>
        <w:tc>
          <w:tcPr>
            <w:tcW w:w="1190" w:type="pct"/>
            <w:shd w:val="clear" w:color="000000" w:fill="004C43"/>
            <w:vAlign w:val="center"/>
            <w:hideMark/>
          </w:tcPr>
          <w:p w14:paraId="74D0574E"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MOTIE</w:t>
            </w:r>
          </w:p>
        </w:tc>
        <w:tc>
          <w:tcPr>
            <w:tcW w:w="3810" w:type="pct"/>
            <w:vAlign w:val="center"/>
            <w:hideMark/>
          </w:tcPr>
          <w:p w14:paraId="77B24970"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 xml:space="preserve">Ministry Of Trade, Industry </w:t>
            </w:r>
            <w:proofErr w:type="gramStart"/>
            <w:r w:rsidRPr="00F91404">
              <w:rPr>
                <w:rFonts w:ascii="Arial" w:eastAsia="Times New Roman" w:hAnsi="Arial" w:cs="Arial"/>
                <w:color w:val="000000"/>
                <w:sz w:val="18"/>
                <w:szCs w:val="18"/>
                <w:lang w:eastAsia="es-MX"/>
              </w:rPr>
              <w:t>And</w:t>
            </w:r>
            <w:proofErr w:type="gramEnd"/>
            <w:r w:rsidRPr="00F91404">
              <w:rPr>
                <w:rFonts w:ascii="Arial" w:eastAsia="Times New Roman" w:hAnsi="Arial" w:cs="Arial"/>
                <w:color w:val="000000"/>
                <w:sz w:val="18"/>
                <w:szCs w:val="18"/>
                <w:lang w:eastAsia="es-MX"/>
              </w:rPr>
              <w:t xml:space="preserve"> Energy (South Korea)</w:t>
            </w:r>
          </w:p>
        </w:tc>
      </w:tr>
      <w:tr w:rsidR="00C67E5B" w:rsidRPr="00F91404" w14:paraId="7383AC45" w14:textId="77777777" w:rsidTr="006911C4">
        <w:trPr>
          <w:trHeight w:val="340"/>
        </w:trPr>
        <w:tc>
          <w:tcPr>
            <w:tcW w:w="1190" w:type="pct"/>
            <w:shd w:val="clear" w:color="000000" w:fill="004C43"/>
            <w:vAlign w:val="center"/>
            <w:hideMark/>
          </w:tcPr>
          <w:p w14:paraId="70DC093B"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NDC</w:t>
            </w:r>
          </w:p>
        </w:tc>
        <w:tc>
          <w:tcPr>
            <w:tcW w:w="3810" w:type="pct"/>
            <w:vAlign w:val="center"/>
            <w:hideMark/>
          </w:tcPr>
          <w:p w14:paraId="445B0961"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Nationally Determined Contributions</w:t>
            </w:r>
          </w:p>
        </w:tc>
      </w:tr>
      <w:tr w:rsidR="00C67E5B" w:rsidRPr="00F91404" w14:paraId="24426F17" w14:textId="77777777" w:rsidTr="006911C4">
        <w:trPr>
          <w:trHeight w:val="340"/>
        </w:trPr>
        <w:tc>
          <w:tcPr>
            <w:tcW w:w="1190" w:type="pct"/>
            <w:shd w:val="clear" w:color="000000" w:fill="004C43"/>
            <w:vAlign w:val="center"/>
            <w:hideMark/>
          </w:tcPr>
          <w:p w14:paraId="1D74D1B3"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NDRC</w:t>
            </w:r>
          </w:p>
        </w:tc>
        <w:tc>
          <w:tcPr>
            <w:tcW w:w="3810" w:type="pct"/>
            <w:vAlign w:val="center"/>
            <w:hideMark/>
          </w:tcPr>
          <w:p w14:paraId="259D729B"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 xml:space="preserve">National Development </w:t>
            </w:r>
            <w:proofErr w:type="gramStart"/>
            <w:r w:rsidRPr="00F91404">
              <w:rPr>
                <w:rFonts w:ascii="Arial" w:eastAsia="Times New Roman" w:hAnsi="Arial" w:cs="Arial"/>
                <w:color w:val="000000"/>
                <w:sz w:val="18"/>
                <w:szCs w:val="18"/>
                <w:lang w:eastAsia="es-MX"/>
              </w:rPr>
              <w:t>And</w:t>
            </w:r>
            <w:proofErr w:type="gramEnd"/>
            <w:r w:rsidRPr="00F91404">
              <w:rPr>
                <w:rFonts w:ascii="Arial" w:eastAsia="Times New Roman" w:hAnsi="Arial" w:cs="Arial"/>
                <w:color w:val="000000"/>
                <w:sz w:val="18"/>
                <w:szCs w:val="18"/>
                <w:lang w:eastAsia="es-MX"/>
              </w:rPr>
              <w:t xml:space="preserve"> Reform Commission (China)</w:t>
            </w:r>
          </w:p>
        </w:tc>
      </w:tr>
      <w:tr w:rsidR="00C67E5B" w:rsidRPr="00F91404" w14:paraId="286E6997" w14:textId="77777777" w:rsidTr="006911C4">
        <w:trPr>
          <w:trHeight w:val="340"/>
        </w:trPr>
        <w:tc>
          <w:tcPr>
            <w:tcW w:w="1190" w:type="pct"/>
            <w:shd w:val="clear" w:color="000000" w:fill="004C43"/>
            <w:vAlign w:val="center"/>
            <w:hideMark/>
          </w:tcPr>
          <w:p w14:paraId="23AC8379"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NEA</w:t>
            </w:r>
          </w:p>
        </w:tc>
        <w:tc>
          <w:tcPr>
            <w:tcW w:w="3810" w:type="pct"/>
            <w:vAlign w:val="center"/>
            <w:hideMark/>
          </w:tcPr>
          <w:p w14:paraId="2C3C82B0"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National Energy Administration (China)</w:t>
            </w:r>
          </w:p>
        </w:tc>
      </w:tr>
      <w:tr w:rsidR="00C67E5B" w:rsidRPr="00F91404" w14:paraId="6B435AE9" w14:textId="77777777" w:rsidTr="006911C4">
        <w:trPr>
          <w:trHeight w:val="340"/>
        </w:trPr>
        <w:tc>
          <w:tcPr>
            <w:tcW w:w="1190" w:type="pct"/>
            <w:shd w:val="clear" w:color="000000" w:fill="004C43"/>
            <w:vAlign w:val="center"/>
            <w:hideMark/>
          </w:tcPr>
          <w:p w14:paraId="2ED57C8E"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NRHP</w:t>
            </w:r>
          </w:p>
        </w:tc>
        <w:tc>
          <w:tcPr>
            <w:tcW w:w="3810" w:type="pct"/>
            <w:vAlign w:val="center"/>
            <w:hideMark/>
          </w:tcPr>
          <w:p w14:paraId="4F181DFD"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National Renewable Hydrogen Policy</w:t>
            </w:r>
          </w:p>
        </w:tc>
      </w:tr>
      <w:tr w:rsidR="00C67E5B" w:rsidRPr="00F91404" w14:paraId="340DD18B" w14:textId="77777777" w:rsidTr="006911C4">
        <w:trPr>
          <w:trHeight w:val="340"/>
        </w:trPr>
        <w:tc>
          <w:tcPr>
            <w:tcW w:w="1190" w:type="pct"/>
            <w:shd w:val="clear" w:color="000000" w:fill="004C43"/>
            <w:vAlign w:val="center"/>
            <w:hideMark/>
          </w:tcPr>
          <w:p w14:paraId="12037AFB"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PEM</w:t>
            </w:r>
          </w:p>
        </w:tc>
        <w:tc>
          <w:tcPr>
            <w:tcW w:w="3810" w:type="pct"/>
            <w:vAlign w:val="center"/>
            <w:hideMark/>
          </w:tcPr>
          <w:p w14:paraId="2A91BD09"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Proton Exchange Membrane Electrolysis</w:t>
            </w:r>
          </w:p>
        </w:tc>
      </w:tr>
      <w:tr w:rsidR="00C67E5B" w:rsidRPr="00F91404" w14:paraId="18743B8F" w14:textId="77777777" w:rsidTr="006911C4">
        <w:trPr>
          <w:trHeight w:val="340"/>
        </w:trPr>
        <w:tc>
          <w:tcPr>
            <w:tcW w:w="1190" w:type="pct"/>
            <w:shd w:val="clear" w:color="000000" w:fill="004C43"/>
            <w:vAlign w:val="center"/>
            <w:hideMark/>
          </w:tcPr>
          <w:p w14:paraId="112CA215"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proofErr w:type="spellStart"/>
            <w:r w:rsidRPr="00F91404">
              <w:rPr>
                <w:rFonts w:ascii="Arial" w:eastAsia="Times New Roman" w:hAnsi="Arial" w:cs="Arial"/>
                <w:b/>
                <w:bCs/>
                <w:color w:val="FFFFFF"/>
                <w:sz w:val="18"/>
                <w:szCs w:val="18"/>
                <w:lang w:eastAsia="es-MX"/>
              </w:rPr>
              <w:t>ProInversión</w:t>
            </w:r>
            <w:proofErr w:type="spellEnd"/>
          </w:p>
        </w:tc>
        <w:tc>
          <w:tcPr>
            <w:tcW w:w="3810" w:type="pct"/>
            <w:vAlign w:val="center"/>
            <w:hideMark/>
          </w:tcPr>
          <w:p w14:paraId="7852B846"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Private Investment Promotion Agency (Peru)</w:t>
            </w:r>
          </w:p>
        </w:tc>
      </w:tr>
      <w:tr w:rsidR="00C67E5B" w:rsidRPr="00F91404" w14:paraId="5268DB17" w14:textId="77777777" w:rsidTr="006911C4">
        <w:trPr>
          <w:trHeight w:val="340"/>
        </w:trPr>
        <w:tc>
          <w:tcPr>
            <w:tcW w:w="1190" w:type="pct"/>
            <w:shd w:val="clear" w:color="000000" w:fill="004C43"/>
            <w:vAlign w:val="center"/>
            <w:hideMark/>
          </w:tcPr>
          <w:p w14:paraId="3E1DA69B"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RFNBO</w:t>
            </w:r>
          </w:p>
        </w:tc>
        <w:tc>
          <w:tcPr>
            <w:tcW w:w="3810" w:type="pct"/>
            <w:vAlign w:val="center"/>
            <w:hideMark/>
          </w:tcPr>
          <w:p w14:paraId="128D50FE"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 xml:space="preserve">Renewable Fuels </w:t>
            </w:r>
            <w:proofErr w:type="gramStart"/>
            <w:r w:rsidRPr="00F91404">
              <w:rPr>
                <w:rFonts w:ascii="Arial" w:eastAsia="Times New Roman" w:hAnsi="Arial" w:cs="Arial"/>
                <w:color w:val="000000"/>
                <w:sz w:val="18"/>
                <w:szCs w:val="18"/>
                <w:lang w:eastAsia="es-MX"/>
              </w:rPr>
              <w:t>Of</w:t>
            </w:r>
            <w:proofErr w:type="gramEnd"/>
            <w:r w:rsidRPr="00F91404">
              <w:rPr>
                <w:rFonts w:ascii="Arial" w:eastAsia="Times New Roman" w:hAnsi="Arial" w:cs="Arial"/>
                <w:color w:val="000000"/>
                <w:sz w:val="18"/>
                <w:szCs w:val="18"/>
                <w:lang w:eastAsia="es-MX"/>
              </w:rPr>
              <w:t xml:space="preserve"> Non-Biological Origin</w:t>
            </w:r>
          </w:p>
        </w:tc>
      </w:tr>
      <w:tr w:rsidR="00C67E5B" w:rsidRPr="004278C7" w14:paraId="04CD4523" w14:textId="77777777" w:rsidTr="006911C4">
        <w:trPr>
          <w:trHeight w:val="340"/>
        </w:trPr>
        <w:tc>
          <w:tcPr>
            <w:tcW w:w="1190" w:type="pct"/>
            <w:shd w:val="clear" w:color="000000" w:fill="004C43"/>
            <w:vAlign w:val="center"/>
            <w:hideMark/>
          </w:tcPr>
          <w:p w14:paraId="76ADE09B"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SEMARNAT</w:t>
            </w:r>
          </w:p>
        </w:tc>
        <w:tc>
          <w:tcPr>
            <w:tcW w:w="3810" w:type="pct"/>
            <w:vAlign w:val="center"/>
            <w:hideMark/>
          </w:tcPr>
          <w:p w14:paraId="078E9A97" w14:textId="3CECB686" w:rsidR="00C67E5B" w:rsidRPr="004278C7" w:rsidRDefault="00C67E5B" w:rsidP="00987D47">
            <w:pPr>
              <w:spacing w:after="0"/>
              <w:ind w:left="188"/>
              <w:rPr>
                <w:rFonts w:ascii="Arial" w:eastAsia="Times New Roman" w:hAnsi="Arial" w:cs="Arial"/>
                <w:color w:val="000000"/>
                <w:sz w:val="18"/>
                <w:szCs w:val="18"/>
                <w:lang w:val="es-MX" w:eastAsia="es-MX"/>
              </w:rPr>
            </w:pPr>
            <w:r w:rsidRPr="004278C7">
              <w:rPr>
                <w:rFonts w:ascii="Arial" w:eastAsia="Times New Roman" w:hAnsi="Arial" w:cs="Arial"/>
                <w:color w:val="000000"/>
                <w:sz w:val="18"/>
                <w:szCs w:val="18"/>
                <w:lang w:val="es-MX" w:eastAsia="es-MX"/>
              </w:rPr>
              <w:t>Ministry Of Environment And Natural Resources (SEMARNAT</w:t>
            </w:r>
            <w:r w:rsidR="00E05C49" w:rsidRPr="004278C7">
              <w:rPr>
                <w:rFonts w:ascii="Arial" w:eastAsia="Times New Roman" w:hAnsi="Arial" w:cs="Arial"/>
                <w:color w:val="000000"/>
                <w:sz w:val="18"/>
                <w:szCs w:val="18"/>
                <w:lang w:val="es-MX" w:eastAsia="es-MX"/>
              </w:rPr>
              <w:t>;</w:t>
            </w:r>
            <w:r w:rsidRPr="004278C7">
              <w:rPr>
                <w:rFonts w:ascii="Arial" w:eastAsia="Times New Roman" w:hAnsi="Arial" w:cs="Arial"/>
                <w:color w:val="000000"/>
                <w:sz w:val="18"/>
                <w:szCs w:val="18"/>
                <w:lang w:val="es-MX" w:eastAsia="es-MX"/>
              </w:rPr>
              <w:t xml:space="preserve"> Secretaría De Medio Ambiente Y Recursos Naturales, Mexico)</w:t>
            </w:r>
          </w:p>
        </w:tc>
      </w:tr>
      <w:tr w:rsidR="00C67E5B" w:rsidRPr="004278C7" w14:paraId="0C6C0005" w14:textId="77777777" w:rsidTr="006911C4">
        <w:trPr>
          <w:trHeight w:val="340"/>
        </w:trPr>
        <w:tc>
          <w:tcPr>
            <w:tcW w:w="1190" w:type="pct"/>
            <w:shd w:val="clear" w:color="000000" w:fill="004C43"/>
            <w:vAlign w:val="center"/>
            <w:hideMark/>
          </w:tcPr>
          <w:p w14:paraId="51E1FE9F"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SENER</w:t>
            </w:r>
          </w:p>
        </w:tc>
        <w:tc>
          <w:tcPr>
            <w:tcW w:w="3810" w:type="pct"/>
            <w:vAlign w:val="center"/>
            <w:hideMark/>
          </w:tcPr>
          <w:p w14:paraId="65F1E85C" w14:textId="180EEE41" w:rsidR="00C67E5B" w:rsidRPr="004278C7" w:rsidRDefault="00C67E5B" w:rsidP="00987D47">
            <w:pPr>
              <w:spacing w:after="0"/>
              <w:ind w:left="188"/>
              <w:rPr>
                <w:rFonts w:ascii="Arial" w:eastAsia="Times New Roman" w:hAnsi="Arial" w:cs="Arial"/>
                <w:color w:val="000000"/>
                <w:sz w:val="18"/>
                <w:szCs w:val="18"/>
                <w:lang w:val="es-MX" w:eastAsia="es-MX"/>
              </w:rPr>
            </w:pPr>
            <w:r w:rsidRPr="004278C7">
              <w:rPr>
                <w:rFonts w:ascii="Arial" w:eastAsia="Times New Roman" w:hAnsi="Arial" w:cs="Arial"/>
                <w:color w:val="000000"/>
                <w:sz w:val="18"/>
                <w:szCs w:val="18"/>
                <w:lang w:val="es-MX" w:eastAsia="es-MX"/>
              </w:rPr>
              <w:t>Ministry Of Energy (SENER</w:t>
            </w:r>
            <w:r w:rsidR="00E05C49" w:rsidRPr="004278C7">
              <w:rPr>
                <w:rFonts w:ascii="Arial" w:eastAsia="Times New Roman" w:hAnsi="Arial" w:cs="Arial"/>
                <w:color w:val="000000"/>
                <w:sz w:val="18"/>
                <w:szCs w:val="18"/>
                <w:lang w:val="es-MX" w:eastAsia="es-MX"/>
              </w:rPr>
              <w:t>;</w:t>
            </w:r>
            <w:r w:rsidRPr="004278C7">
              <w:rPr>
                <w:rFonts w:ascii="Arial" w:eastAsia="Times New Roman" w:hAnsi="Arial" w:cs="Arial"/>
                <w:color w:val="000000"/>
                <w:sz w:val="18"/>
                <w:szCs w:val="18"/>
                <w:lang w:val="es-MX" w:eastAsia="es-MX"/>
              </w:rPr>
              <w:t xml:space="preserve"> Secretaría De Energía, Mexico)</w:t>
            </w:r>
          </w:p>
        </w:tc>
      </w:tr>
      <w:tr w:rsidR="00C67E5B" w:rsidRPr="00F91404" w14:paraId="4B0CDD77" w14:textId="77777777" w:rsidTr="006911C4">
        <w:trPr>
          <w:trHeight w:val="340"/>
        </w:trPr>
        <w:tc>
          <w:tcPr>
            <w:tcW w:w="1190" w:type="pct"/>
            <w:shd w:val="clear" w:color="000000" w:fill="004C43"/>
            <w:vAlign w:val="center"/>
            <w:hideMark/>
          </w:tcPr>
          <w:p w14:paraId="2E005EAF"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SOE</w:t>
            </w:r>
          </w:p>
        </w:tc>
        <w:tc>
          <w:tcPr>
            <w:tcW w:w="3810" w:type="pct"/>
            <w:vAlign w:val="center"/>
            <w:hideMark/>
          </w:tcPr>
          <w:p w14:paraId="5F3D3AFD"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State-Owned Enterprise</w:t>
            </w:r>
          </w:p>
        </w:tc>
      </w:tr>
      <w:tr w:rsidR="00C67E5B" w:rsidRPr="00F91404" w14:paraId="555FAD3C" w14:textId="77777777" w:rsidTr="006911C4">
        <w:trPr>
          <w:trHeight w:val="340"/>
        </w:trPr>
        <w:tc>
          <w:tcPr>
            <w:tcW w:w="1190" w:type="pct"/>
            <w:shd w:val="clear" w:color="000000" w:fill="004C43"/>
            <w:vAlign w:val="center"/>
            <w:hideMark/>
          </w:tcPr>
          <w:p w14:paraId="47990B1A"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SOEC</w:t>
            </w:r>
          </w:p>
        </w:tc>
        <w:tc>
          <w:tcPr>
            <w:tcW w:w="3810" w:type="pct"/>
            <w:vAlign w:val="center"/>
            <w:hideMark/>
          </w:tcPr>
          <w:p w14:paraId="554BBB5C"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Solid Oxide Electrolysis Cells</w:t>
            </w:r>
          </w:p>
        </w:tc>
      </w:tr>
      <w:tr w:rsidR="00C67E5B" w:rsidRPr="00F91404" w14:paraId="7FD937E7" w14:textId="77777777" w:rsidTr="006911C4">
        <w:trPr>
          <w:trHeight w:val="340"/>
        </w:trPr>
        <w:tc>
          <w:tcPr>
            <w:tcW w:w="1190" w:type="pct"/>
            <w:shd w:val="clear" w:color="000000" w:fill="004C43"/>
            <w:vAlign w:val="center"/>
            <w:hideMark/>
          </w:tcPr>
          <w:p w14:paraId="5285B774"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ToR</w:t>
            </w:r>
          </w:p>
        </w:tc>
        <w:tc>
          <w:tcPr>
            <w:tcW w:w="3810" w:type="pct"/>
            <w:vAlign w:val="center"/>
            <w:hideMark/>
          </w:tcPr>
          <w:p w14:paraId="6EDBC31E"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Terms Of Reference</w:t>
            </w:r>
          </w:p>
        </w:tc>
      </w:tr>
      <w:tr w:rsidR="00C67E5B" w:rsidRPr="00F91404" w14:paraId="1EFED844" w14:textId="77777777" w:rsidTr="006911C4">
        <w:trPr>
          <w:trHeight w:val="340"/>
        </w:trPr>
        <w:tc>
          <w:tcPr>
            <w:tcW w:w="1190" w:type="pct"/>
            <w:shd w:val="clear" w:color="000000" w:fill="004C43"/>
            <w:vAlign w:val="center"/>
            <w:hideMark/>
          </w:tcPr>
          <w:p w14:paraId="4B42893C"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UK</w:t>
            </w:r>
          </w:p>
        </w:tc>
        <w:tc>
          <w:tcPr>
            <w:tcW w:w="3810" w:type="pct"/>
            <w:vAlign w:val="center"/>
            <w:hideMark/>
          </w:tcPr>
          <w:p w14:paraId="5297A76D"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United Kingdom</w:t>
            </w:r>
          </w:p>
        </w:tc>
      </w:tr>
      <w:tr w:rsidR="00C67E5B" w:rsidRPr="00F91404" w14:paraId="7679E9E8" w14:textId="77777777" w:rsidTr="006911C4">
        <w:trPr>
          <w:trHeight w:val="340"/>
        </w:trPr>
        <w:tc>
          <w:tcPr>
            <w:tcW w:w="1190" w:type="pct"/>
            <w:shd w:val="clear" w:color="000000" w:fill="004C43"/>
            <w:vAlign w:val="center"/>
            <w:hideMark/>
          </w:tcPr>
          <w:p w14:paraId="31BB701C" w14:textId="77777777" w:rsidR="00C67E5B" w:rsidRPr="00F91404" w:rsidRDefault="00C67E5B" w:rsidP="00C67E5B">
            <w:pPr>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UPME</w:t>
            </w:r>
          </w:p>
        </w:tc>
        <w:tc>
          <w:tcPr>
            <w:tcW w:w="3810" w:type="pct"/>
            <w:vAlign w:val="center"/>
            <w:hideMark/>
          </w:tcPr>
          <w:p w14:paraId="7EC8BFFB" w14:textId="77777777" w:rsidR="00C67E5B" w:rsidRPr="00F91404" w:rsidRDefault="00C67E5B" w:rsidP="00987D47">
            <w:pPr>
              <w:spacing w:after="0"/>
              <w:ind w:left="188"/>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Mining And Energy Planning Unit (UPME – Unidad De Planeación Minero Energética, Colombia)</w:t>
            </w:r>
          </w:p>
        </w:tc>
      </w:tr>
    </w:tbl>
    <w:p w14:paraId="78A036AC" w14:textId="77777777" w:rsidR="004369FA" w:rsidRPr="00F91404" w:rsidRDefault="004369FA">
      <w:pPr>
        <w:spacing w:after="0"/>
        <w:rPr>
          <w:rFonts w:cstheme="minorHAnsi"/>
          <w:bCs/>
          <w:color w:val="004C43"/>
          <w:sz w:val="20"/>
          <w:szCs w:val="20"/>
        </w:rPr>
      </w:pPr>
      <w:r w:rsidRPr="00F91404">
        <w:rPr>
          <w:b/>
          <w:color w:val="004C43"/>
          <w:sz w:val="20"/>
          <w:szCs w:val="20"/>
        </w:rPr>
        <w:br w:type="page"/>
      </w:r>
    </w:p>
    <w:p w14:paraId="2B2AAE83" w14:textId="30FAB118" w:rsidR="00642B54" w:rsidRPr="00F91404" w:rsidRDefault="00642B54" w:rsidP="00D14B39">
      <w:pPr>
        <w:pStyle w:val="Heading1"/>
        <w:spacing w:line="276" w:lineRule="auto"/>
      </w:pPr>
      <w:bookmarkStart w:id="8" w:name="_Toc220786522"/>
      <w:bookmarkStart w:id="9" w:name="_Toc220695658"/>
      <w:bookmarkStart w:id="10" w:name="_Toc220695983"/>
      <w:r w:rsidRPr="00F91404">
        <w:lastRenderedPageBreak/>
        <w:t>Executive Summary</w:t>
      </w:r>
      <w:bookmarkEnd w:id="8"/>
    </w:p>
    <w:p w14:paraId="18AE3613" w14:textId="77777777" w:rsidR="00D37E5A" w:rsidRPr="00F91404" w:rsidRDefault="00D37E5A" w:rsidP="00D14B39">
      <w:pPr>
        <w:spacing w:line="276" w:lineRule="auto"/>
        <w:rPr>
          <w:sz w:val="20"/>
          <w:szCs w:val="20"/>
        </w:rPr>
      </w:pPr>
      <w:r w:rsidRPr="00F91404">
        <w:rPr>
          <w:sz w:val="20"/>
          <w:szCs w:val="20"/>
        </w:rPr>
        <w:t>Mexico is at a formative stage in green hydrogen development. While the country has strong renewable resources and an established industrial base that already consumes hydrogen, most green hydrogen projects remain at concept or feasibility stage. Institutional responsibilities are dispersed and Mexico currently lacks dedicated hydrogen legislation, although initial hydrogen guidelines were issued in 2024.</w:t>
      </w:r>
    </w:p>
    <w:p w14:paraId="3750171B" w14:textId="0B7BCADD" w:rsidR="000A2989" w:rsidRPr="00F91404" w:rsidRDefault="003D00B2" w:rsidP="00D14B39">
      <w:pPr>
        <w:spacing w:line="276" w:lineRule="auto"/>
        <w:rPr>
          <w:sz w:val="20"/>
          <w:szCs w:val="20"/>
        </w:rPr>
      </w:pPr>
      <w:r w:rsidRPr="00F91404">
        <w:rPr>
          <w:sz w:val="20"/>
          <w:szCs w:val="20"/>
        </w:rPr>
        <w:t>H</w:t>
      </w:r>
      <w:r w:rsidR="000A2989" w:rsidRPr="00F91404">
        <w:rPr>
          <w:sz w:val="20"/>
          <w:szCs w:val="20"/>
        </w:rPr>
        <w:t>ydrogen markets globally are</w:t>
      </w:r>
      <w:r w:rsidRPr="00F91404">
        <w:rPr>
          <w:sz w:val="20"/>
          <w:szCs w:val="20"/>
        </w:rPr>
        <w:t xml:space="preserve"> often</w:t>
      </w:r>
      <w:r w:rsidR="000A2989" w:rsidRPr="00F91404">
        <w:rPr>
          <w:sz w:val="20"/>
          <w:szCs w:val="20"/>
        </w:rPr>
        <w:t xml:space="preserve"> constrained by common structural barriers including high production costs, revenue uncertainty, regulatory gaps, and insufficient infrastructure. Countries that have progressed beyond pilots typically do so by gradually resolving these constraints through clear leadership, coordinated regulation, and a sequenced policy mix.</w:t>
      </w:r>
    </w:p>
    <w:p w14:paraId="7C5348D5" w14:textId="5D7CE58A" w:rsidR="00BA5242" w:rsidRPr="00F91404" w:rsidRDefault="10EF16F7" w:rsidP="00D14B39">
      <w:pPr>
        <w:spacing w:line="276" w:lineRule="auto"/>
        <w:ind w:left="0"/>
        <w:rPr>
          <w:sz w:val="20"/>
          <w:szCs w:val="20"/>
        </w:rPr>
      </w:pPr>
      <w:r w:rsidRPr="00F91404">
        <w:rPr>
          <w:sz w:val="20"/>
          <w:szCs w:val="20"/>
        </w:rPr>
        <w:t>This report presents an international benchmarking assessment designed to support Mexico’s Ministry of Energy</w:t>
      </w:r>
      <w:r w:rsidR="5ED4C157" w:rsidRPr="00F91404">
        <w:rPr>
          <w:sz w:val="20"/>
          <w:szCs w:val="20"/>
        </w:rPr>
        <w:t xml:space="preserve">, SENER </w:t>
      </w:r>
      <w:r w:rsidRPr="00F91404">
        <w:rPr>
          <w:sz w:val="20"/>
          <w:szCs w:val="20"/>
        </w:rPr>
        <w:t>(</w:t>
      </w:r>
      <w:proofErr w:type="spellStart"/>
      <w:r w:rsidR="5ED4C157" w:rsidRPr="00F91404">
        <w:rPr>
          <w:i/>
          <w:iCs/>
          <w:sz w:val="20"/>
          <w:szCs w:val="20"/>
        </w:rPr>
        <w:t>Secretaría</w:t>
      </w:r>
      <w:proofErr w:type="spellEnd"/>
      <w:r w:rsidR="5ED4C157" w:rsidRPr="00F91404">
        <w:rPr>
          <w:i/>
          <w:iCs/>
          <w:sz w:val="20"/>
          <w:szCs w:val="20"/>
        </w:rPr>
        <w:t xml:space="preserve"> de Energía</w:t>
      </w:r>
      <w:r w:rsidRPr="00F91404">
        <w:rPr>
          <w:sz w:val="20"/>
          <w:szCs w:val="20"/>
        </w:rPr>
        <w:t>)</w:t>
      </w:r>
      <w:r w:rsidR="5ED4C157" w:rsidRPr="00F91404">
        <w:rPr>
          <w:sz w:val="20"/>
          <w:szCs w:val="20"/>
        </w:rPr>
        <w:t xml:space="preserve">, </w:t>
      </w:r>
      <w:r w:rsidRPr="00F91404">
        <w:rPr>
          <w:sz w:val="20"/>
          <w:szCs w:val="20"/>
        </w:rPr>
        <w:t>as it develops the country’s first National Renewable Hydrogen P</w:t>
      </w:r>
      <w:r w:rsidR="06A48AAB" w:rsidRPr="00F91404">
        <w:rPr>
          <w:sz w:val="20"/>
          <w:szCs w:val="20"/>
        </w:rPr>
        <w:t>lan</w:t>
      </w:r>
      <w:r w:rsidR="097BA03E" w:rsidRPr="00F91404">
        <w:rPr>
          <w:sz w:val="20"/>
          <w:szCs w:val="20"/>
        </w:rPr>
        <w:t xml:space="preserve"> and considers the sequencing, coordination and policy </w:t>
      </w:r>
      <w:r w:rsidR="2AEFCD08" w:rsidRPr="00F91404">
        <w:rPr>
          <w:sz w:val="20"/>
          <w:szCs w:val="20"/>
        </w:rPr>
        <w:t>alignment</w:t>
      </w:r>
      <w:r w:rsidRPr="00F91404">
        <w:rPr>
          <w:sz w:val="20"/>
          <w:szCs w:val="20"/>
        </w:rPr>
        <w:t xml:space="preserve">. </w:t>
      </w:r>
      <w:r w:rsidR="3727E62B" w:rsidRPr="00F91404">
        <w:rPr>
          <w:sz w:val="20"/>
          <w:szCs w:val="20"/>
        </w:rPr>
        <w:t>E</w:t>
      </w:r>
      <w:r w:rsidR="7D1F8D7B" w:rsidRPr="00F91404">
        <w:rPr>
          <w:sz w:val="20"/>
          <w:szCs w:val="20"/>
        </w:rPr>
        <w:t>leven markets of different maturitie</w:t>
      </w:r>
      <w:r w:rsidR="3C198901" w:rsidRPr="00F91404">
        <w:rPr>
          <w:sz w:val="20"/>
          <w:szCs w:val="20"/>
        </w:rPr>
        <w:t>s</w:t>
      </w:r>
      <w:r w:rsidR="3727E62B" w:rsidRPr="00F91404">
        <w:rPr>
          <w:sz w:val="20"/>
          <w:szCs w:val="20"/>
        </w:rPr>
        <w:t xml:space="preserve"> were assessed against</w:t>
      </w:r>
      <w:r w:rsidR="5DAEFF62" w:rsidRPr="00F91404">
        <w:rPr>
          <w:sz w:val="20"/>
          <w:szCs w:val="20"/>
        </w:rPr>
        <w:t xml:space="preserve"> a qualitative benchmarking framework </w:t>
      </w:r>
      <w:r w:rsidR="3727E62B" w:rsidRPr="00F91404">
        <w:rPr>
          <w:sz w:val="20"/>
          <w:szCs w:val="20"/>
        </w:rPr>
        <w:t xml:space="preserve">that </w:t>
      </w:r>
      <w:r w:rsidR="5DAEFF62" w:rsidRPr="00F91404">
        <w:rPr>
          <w:sz w:val="20"/>
          <w:szCs w:val="20"/>
        </w:rPr>
        <w:t>cover</w:t>
      </w:r>
      <w:r w:rsidR="3727E62B" w:rsidRPr="00F91404">
        <w:rPr>
          <w:sz w:val="20"/>
          <w:szCs w:val="20"/>
        </w:rPr>
        <w:t xml:space="preserve">ed </w:t>
      </w:r>
      <w:r w:rsidR="5DAEFF62" w:rsidRPr="00F91404">
        <w:rPr>
          <w:sz w:val="20"/>
          <w:szCs w:val="20"/>
        </w:rPr>
        <w:t>three core dimensions:</w:t>
      </w:r>
    </w:p>
    <w:p w14:paraId="221E0F16" w14:textId="1E6588A0" w:rsidR="00BA5242" w:rsidRPr="00F91404" w:rsidRDefault="00BA5242" w:rsidP="008D5DDD">
      <w:pPr>
        <w:numPr>
          <w:ilvl w:val="0"/>
          <w:numId w:val="25"/>
        </w:numPr>
        <w:spacing w:line="276" w:lineRule="auto"/>
        <w:rPr>
          <w:sz w:val="20"/>
          <w:szCs w:val="20"/>
        </w:rPr>
      </w:pPr>
      <w:r w:rsidRPr="00F91404">
        <w:rPr>
          <w:b/>
          <w:bCs/>
          <w:color w:val="004C43"/>
          <w:sz w:val="20"/>
          <w:szCs w:val="20"/>
        </w:rPr>
        <w:t>Governance &amp; Institutional Arrangements</w:t>
      </w:r>
      <w:r w:rsidR="00BB3E3F" w:rsidRPr="00F91404">
        <w:rPr>
          <w:color w:val="004C43"/>
          <w:sz w:val="20"/>
          <w:szCs w:val="20"/>
        </w:rPr>
        <w:t xml:space="preserve">: </w:t>
      </w:r>
      <w:r w:rsidR="00BB3E3F" w:rsidRPr="00F91404">
        <w:rPr>
          <w:sz w:val="20"/>
          <w:szCs w:val="20"/>
        </w:rPr>
        <w:t>L</w:t>
      </w:r>
      <w:r w:rsidRPr="00F91404">
        <w:rPr>
          <w:sz w:val="20"/>
          <w:szCs w:val="20"/>
        </w:rPr>
        <w:t>eadership structures, coordination, strategic anchoring, monitoring, and stakeholder engagement.</w:t>
      </w:r>
    </w:p>
    <w:p w14:paraId="763594A2" w14:textId="33E5AAE3" w:rsidR="00BA5242" w:rsidRPr="00F91404" w:rsidRDefault="00BA5242" w:rsidP="008D5DDD">
      <w:pPr>
        <w:numPr>
          <w:ilvl w:val="0"/>
          <w:numId w:val="25"/>
        </w:numPr>
        <w:spacing w:line="276" w:lineRule="auto"/>
        <w:rPr>
          <w:sz w:val="20"/>
          <w:szCs w:val="20"/>
        </w:rPr>
      </w:pPr>
      <w:r w:rsidRPr="00F91404">
        <w:rPr>
          <w:b/>
          <w:bCs/>
          <w:color w:val="004C43"/>
          <w:sz w:val="20"/>
          <w:szCs w:val="20"/>
        </w:rPr>
        <w:t>Legal &amp; Regulatory Foundations</w:t>
      </w:r>
      <w:r w:rsidR="00BB3E3F" w:rsidRPr="00F91404">
        <w:rPr>
          <w:color w:val="004C43"/>
          <w:sz w:val="20"/>
          <w:szCs w:val="20"/>
        </w:rPr>
        <w:t>:</w:t>
      </w:r>
      <w:r w:rsidRPr="00F91404">
        <w:rPr>
          <w:sz w:val="20"/>
          <w:szCs w:val="20"/>
        </w:rPr>
        <w:t xml:space="preserve"> </w:t>
      </w:r>
      <w:r w:rsidR="00BB3E3F" w:rsidRPr="00F91404">
        <w:rPr>
          <w:sz w:val="20"/>
          <w:szCs w:val="20"/>
        </w:rPr>
        <w:t>D</w:t>
      </w:r>
      <w:r w:rsidRPr="00F91404">
        <w:rPr>
          <w:sz w:val="20"/>
          <w:szCs w:val="20"/>
        </w:rPr>
        <w:t>efinitions, permitting frameworks, certification systems, and remaining regulatory gaps.</w:t>
      </w:r>
    </w:p>
    <w:p w14:paraId="0093FC4C" w14:textId="1138A0EB" w:rsidR="00BA5242" w:rsidRPr="00F91404" w:rsidRDefault="00BA5242" w:rsidP="008D5DDD">
      <w:pPr>
        <w:numPr>
          <w:ilvl w:val="0"/>
          <w:numId w:val="25"/>
        </w:numPr>
        <w:spacing w:after="360" w:line="276" w:lineRule="auto"/>
        <w:ind w:left="714" w:hanging="357"/>
        <w:rPr>
          <w:sz w:val="20"/>
          <w:szCs w:val="20"/>
        </w:rPr>
      </w:pPr>
      <w:r w:rsidRPr="00F91404">
        <w:rPr>
          <w:b/>
          <w:bCs/>
          <w:color w:val="004C43"/>
          <w:sz w:val="20"/>
          <w:szCs w:val="20"/>
        </w:rPr>
        <w:t>Policy Levers</w:t>
      </w:r>
      <w:r w:rsidR="00BB3E3F" w:rsidRPr="00F91404">
        <w:rPr>
          <w:color w:val="004C43"/>
          <w:sz w:val="20"/>
          <w:szCs w:val="20"/>
        </w:rPr>
        <w:t>:</w:t>
      </w:r>
      <w:r w:rsidRPr="00F91404">
        <w:rPr>
          <w:sz w:val="20"/>
          <w:szCs w:val="20"/>
        </w:rPr>
        <w:t xml:space="preserve"> </w:t>
      </w:r>
      <w:r w:rsidR="00BB3E3F" w:rsidRPr="00F91404">
        <w:rPr>
          <w:sz w:val="20"/>
          <w:szCs w:val="20"/>
        </w:rPr>
        <w:t>F</w:t>
      </w:r>
      <w:r w:rsidRPr="00F91404">
        <w:rPr>
          <w:sz w:val="20"/>
          <w:szCs w:val="20"/>
        </w:rPr>
        <w:t>iscal incentives, public funding, revenue support mechanisms, standards and certification, and infrastructure</w:t>
      </w:r>
      <w:r w:rsidRPr="00F91404">
        <w:rPr>
          <w:sz w:val="20"/>
          <w:szCs w:val="20"/>
        </w:rPr>
        <w:noBreakHyphen/>
        <w:t>enabling policies.</w:t>
      </w:r>
    </w:p>
    <w:p w14:paraId="4518FE3F" w14:textId="454AB2AC" w:rsidR="00BA22DF" w:rsidRPr="00F91404" w:rsidRDefault="00BA22DF" w:rsidP="00D14B39">
      <w:pPr>
        <w:spacing w:line="276" w:lineRule="auto"/>
        <w:rPr>
          <w:sz w:val="20"/>
          <w:szCs w:val="20"/>
        </w:rPr>
      </w:pPr>
      <w:r w:rsidRPr="00F91404">
        <w:rPr>
          <w:sz w:val="20"/>
          <w:szCs w:val="20"/>
        </w:rPr>
        <w:t xml:space="preserve">The eleven countries assessed </w:t>
      </w:r>
      <w:r w:rsidR="005A3848" w:rsidRPr="00F91404">
        <w:rPr>
          <w:sz w:val="20"/>
          <w:szCs w:val="20"/>
        </w:rPr>
        <w:t>were agreed with SENER and included</w:t>
      </w:r>
      <w:r w:rsidR="00A1524D" w:rsidRPr="00F91404">
        <w:rPr>
          <w:sz w:val="20"/>
          <w:szCs w:val="20"/>
        </w:rPr>
        <w:t>:</w:t>
      </w:r>
      <w:r w:rsidRPr="00F91404">
        <w:rPr>
          <w:sz w:val="20"/>
          <w:szCs w:val="20"/>
        </w:rPr>
        <w:t xml:space="preserve"> Germany, Netherlands and the United Kingdom</w:t>
      </w:r>
      <w:r w:rsidR="004A42ED" w:rsidRPr="00F91404">
        <w:rPr>
          <w:sz w:val="20"/>
          <w:szCs w:val="20"/>
        </w:rPr>
        <w:t xml:space="preserve">, which can generally be considered advanced hydrogen markets in the international context; </w:t>
      </w:r>
      <w:r w:rsidR="00463BCE" w:rsidRPr="00F91404">
        <w:rPr>
          <w:sz w:val="20"/>
          <w:szCs w:val="20"/>
        </w:rPr>
        <w:t xml:space="preserve">Japan, </w:t>
      </w:r>
      <w:r w:rsidR="00A44C42" w:rsidRPr="00F91404">
        <w:rPr>
          <w:sz w:val="20"/>
          <w:szCs w:val="20"/>
        </w:rPr>
        <w:t>Australia, South Korea</w:t>
      </w:r>
      <w:r w:rsidR="00AD2756" w:rsidRPr="00F91404">
        <w:rPr>
          <w:sz w:val="20"/>
          <w:szCs w:val="20"/>
        </w:rPr>
        <w:t xml:space="preserve"> and</w:t>
      </w:r>
      <w:r w:rsidR="00A44C42" w:rsidRPr="00F91404">
        <w:rPr>
          <w:sz w:val="20"/>
          <w:szCs w:val="20"/>
        </w:rPr>
        <w:t xml:space="preserve"> China which can be considered to have medium matu</w:t>
      </w:r>
      <w:r w:rsidR="000A40A6" w:rsidRPr="00F91404">
        <w:rPr>
          <w:sz w:val="20"/>
          <w:szCs w:val="20"/>
        </w:rPr>
        <w:t>rity hydrogen markets;</w:t>
      </w:r>
      <w:r w:rsidR="005A3848" w:rsidRPr="00F91404">
        <w:rPr>
          <w:sz w:val="20"/>
          <w:szCs w:val="20"/>
        </w:rPr>
        <w:t xml:space="preserve"> </w:t>
      </w:r>
      <w:r w:rsidR="00AD2756" w:rsidRPr="00F91404">
        <w:rPr>
          <w:sz w:val="20"/>
          <w:szCs w:val="20"/>
        </w:rPr>
        <w:t xml:space="preserve">India and Chile, which can be considered to have emerging </w:t>
      </w:r>
      <w:r w:rsidR="00A1524D" w:rsidRPr="00F91404">
        <w:rPr>
          <w:sz w:val="20"/>
          <w:szCs w:val="20"/>
        </w:rPr>
        <w:t xml:space="preserve">hydrogen markets; </w:t>
      </w:r>
      <w:r w:rsidR="005A3848" w:rsidRPr="00F91404">
        <w:rPr>
          <w:sz w:val="20"/>
          <w:szCs w:val="20"/>
        </w:rPr>
        <w:t>and Colombia</w:t>
      </w:r>
      <w:r w:rsidR="00A1524D" w:rsidRPr="00F91404">
        <w:rPr>
          <w:sz w:val="20"/>
          <w:szCs w:val="20"/>
        </w:rPr>
        <w:t xml:space="preserve"> and</w:t>
      </w:r>
      <w:r w:rsidR="005A3848" w:rsidRPr="00F91404">
        <w:rPr>
          <w:sz w:val="20"/>
          <w:szCs w:val="20"/>
        </w:rPr>
        <w:t xml:space="preserve"> Peru</w:t>
      </w:r>
      <w:r w:rsidR="00A1524D" w:rsidRPr="00F91404">
        <w:rPr>
          <w:sz w:val="20"/>
          <w:szCs w:val="20"/>
        </w:rPr>
        <w:t xml:space="preserve"> which are early stage</w:t>
      </w:r>
      <w:r w:rsidR="000A2989" w:rsidRPr="00F91404">
        <w:rPr>
          <w:sz w:val="20"/>
          <w:szCs w:val="20"/>
        </w:rPr>
        <w:t xml:space="preserve"> and can be considered ‘peer’ countries to Mexico.</w:t>
      </w:r>
    </w:p>
    <w:p w14:paraId="3335967F" w14:textId="6DB904B3" w:rsidR="007305D3" w:rsidRPr="00F91404" w:rsidRDefault="0085509E" w:rsidP="00D14B39">
      <w:pPr>
        <w:spacing w:line="276" w:lineRule="auto"/>
        <w:rPr>
          <w:sz w:val="20"/>
          <w:szCs w:val="20"/>
        </w:rPr>
      </w:pPr>
      <w:r w:rsidRPr="00F91404">
        <w:rPr>
          <w:sz w:val="20"/>
          <w:szCs w:val="20"/>
        </w:rPr>
        <w:t>The results of th</w:t>
      </w:r>
      <w:r w:rsidR="001D48D5" w:rsidRPr="00F91404">
        <w:rPr>
          <w:sz w:val="20"/>
          <w:szCs w:val="20"/>
        </w:rPr>
        <w:t>is</w:t>
      </w:r>
      <w:r w:rsidRPr="00F91404">
        <w:rPr>
          <w:sz w:val="20"/>
          <w:szCs w:val="20"/>
        </w:rPr>
        <w:t xml:space="preserve"> assessment </w:t>
      </w:r>
      <w:r w:rsidR="00BA22DF" w:rsidRPr="00F91404">
        <w:rPr>
          <w:sz w:val="20"/>
          <w:szCs w:val="20"/>
        </w:rPr>
        <w:t xml:space="preserve">provide a structured, </w:t>
      </w:r>
      <w:r w:rsidR="00212E28" w:rsidRPr="00F91404">
        <w:rPr>
          <w:sz w:val="20"/>
          <w:szCs w:val="20"/>
        </w:rPr>
        <w:t>evidence-based</w:t>
      </w:r>
      <w:r w:rsidR="00BA22DF" w:rsidRPr="00F91404">
        <w:rPr>
          <w:sz w:val="20"/>
          <w:szCs w:val="20"/>
        </w:rPr>
        <w:t xml:space="preserve"> overview of how </w:t>
      </w:r>
      <w:r w:rsidRPr="00F91404">
        <w:rPr>
          <w:sz w:val="20"/>
          <w:szCs w:val="20"/>
        </w:rPr>
        <w:t xml:space="preserve">these </w:t>
      </w:r>
      <w:r w:rsidR="00BA22DF" w:rsidRPr="00F91404">
        <w:rPr>
          <w:sz w:val="20"/>
          <w:szCs w:val="20"/>
        </w:rPr>
        <w:t>countries have approached the governance, regulatory, and policy foundations needed to enable renewable (green) hydrogen markets.</w:t>
      </w:r>
      <w:r w:rsidR="001D48D5" w:rsidRPr="00F91404">
        <w:rPr>
          <w:sz w:val="20"/>
          <w:szCs w:val="20"/>
        </w:rPr>
        <w:t xml:space="preserve"> Key findings include:</w:t>
      </w:r>
    </w:p>
    <w:p w14:paraId="1DBBE842" w14:textId="6B04B899" w:rsidR="00E16009" w:rsidRPr="00F91404" w:rsidRDefault="007305D3" w:rsidP="008D5DDD">
      <w:pPr>
        <w:numPr>
          <w:ilvl w:val="0"/>
          <w:numId w:val="27"/>
        </w:numPr>
        <w:spacing w:after="120" w:line="276" w:lineRule="auto"/>
        <w:ind w:left="414" w:hanging="357"/>
        <w:rPr>
          <w:b/>
          <w:bCs/>
          <w:sz w:val="20"/>
          <w:szCs w:val="20"/>
        </w:rPr>
      </w:pPr>
      <w:r w:rsidRPr="00F91404">
        <w:rPr>
          <w:b/>
          <w:bCs/>
          <w:color w:val="004C43"/>
          <w:sz w:val="20"/>
          <w:szCs w:val="20"/>
        </w:rPr>
        <w:t>Governance maturity is the strongest differentiator between pilot and scaling markets</w:t>
      </w:r>
      <w:r w:rsidR="00281772" w:rsidRPr="00F91404">
        <w:rPr>
          <w:b/>
          <w:bCs/>
          <w:color w:val="004C43"/>
          <w:sz w:val="20"/>
          <w:szCs w:val="20"/>
        </w:rPr>
        <w:t xml:space="preserve">: </w:t>
      </w:r>
      <w:r w:rsidRPr="00F91404">
        <w:rPr>
          <w:sz w:val="20"/>
          <w:szCs w:val="20"/>
        </w:rPr>
        <w:t>Countries that have moved beyond pilot projects embed hydrogen within binding national strategies, ensure clear institutional leadership, maintain formal inter</w:t>
      </w:r>
      <w:r w:rsidRPr="00F91404">
        <w:rPr>
          <w:sz w:val="20"/>
          <w:szCs w:val="20"/>
        </w:rPr>
        <w:noBreakHyphen/>
        <w:t>agency coordination</w:t>
      </w:r>
      <w:r w:rsidR="008D13FC" w:rsidRPr="00F91404">
        <w:rPr>
          <w:sz w:val="20"/>
          <w:szCs w:val="20"/>
        </w:rPr>
        <w:t xml:space="preserve"> and policy coherence.</w:t>
      </w:r>
    </w:p>
    <w:p w14:paraId="0FD14A06" w14:textId="7A1531AF" w:rsidR="00E16009" w:rsidRPr="00F91404" w:rsidRDefault="007305D3" w:rsidP="008D5DDD">
      <w:pPr>
        <w:pStyle w:val="ListParagraph"/>
        <w:numPr>
          <w:ilvl w:val="0"/>
          <w:numId w:val="26"/>
        </w:numPr>
        <w:spacing w:after="120" w:line="276" w:lineRule="auto"/>
        <w:ind w:left="1134" w:hanging="283"/>
        <w:contextualSpacing w:val="0"/>
        <w:rPr>
          <w:sz w:val="20"/>
          <w:szCs w:val="20"/>
        </w:rPr>
      </w:pPr>
      <w:r w:rsidRPr="00F91404">
        <w:rPr>
          <w:sz w:val="20"/>
          <w:szCs w:val="20"/>
        </w:rPr>
        <w:t xml:space="preserve">Mature markets (e.g., Germany, UK) </w:t>
      </w:r>
      <w:r w:rsidR="002500E6" w:rsidRPr="00F91404">
        <w:rPr>
          <w:sz w:val="20"/>
          <w:szCs w:val="20"/>
        </w:rPr>
        <w:t xml:space="preserve">integrate hydrogen comprehensively across their </w:t>
      </w:r>
      <w:r w:rsidR="002500E6" w:rsidRPr="00F91404">
        <w:rPr>
          <w:b/>
          <w:bCs/>
          <w:sz w:val="20"/>
          <w:szCs w:val="20"/>
        </w:rPr>
        <w:t>energy, climate, and industrial policies</w:t>
      </w:r>
      <w:r w:rsidR="002500E6" w:rsidRPr="00F91404">
        <w:rPr>
          <w:sz w:val="20"/>
          <w:szCs w:val="20"/>
        </w:rPr>
        <w:t xml:space="preserve">, resulting in a </w:t>
      </w:r>
      <w:r w:rsidR="002500E6" w:rsidRPr="00F91404">
        <w:rPr>
          <w:b/>
          <w:bCs/>
          <w:sz w:val="20"/>
          <w:szCs w:val="20"/>
        </w:rPr>
        <w:t>coherent and mutually reinforcing policy framework</w:t>
      </w:r>
      <w:r w:rsidR="002500E6" w:rsidRPr="00F91404">
        <w:rPr>
          <w:sz w:val="20"/>
          <w:szCs w:val="20"/>
        </w:rPr>
        <w:t>.</w:t>
      </w:r>
    </w:p>
    <w:p w14:paraId="7A140848" w14:textId="3EE62C6C" w:rsidR="007937AE" w:rsidRPr="00F91404" w:rsidRDefault="007305D3" w:rsidP="008D5DDD">
      <w:pPr>
        <w:pStyle w:val="ListParagraph"/>
        <w:numPr>
          <w:ilvl w:val="0"/>
          <w:numId w:val="26"/>
        </w:numPr>
        <w:spacing w:before="120" w:line="276" w:lineRule="auto"/>
        <w:ind w:left="1135" w:hanging="284"/>
        <w:contextualSpacing w:val="0"/>
        <w:rPr>
          <w:sz w:val="20"/>
          <w:szCs w:val="20"/>
        </w:rPr>
      </w:pPr>
      <w:r w:rsidRPr="00F91404">
        <w:rPr>
          <w:sz w:val="20"/>
          <w:szCs w:val="20"/>
        </w:rPr>
        <w:t>Early</w:t>
      </w:r>
      <w:r w:rsidRPr="00F91404">
        <w:rPr>
          <w:sz w:val="20"/>
          <w:szCs w:val="20"/>
        </w:rPr>
        <w:noBreakHyphen/>
        <w:t xml:space="preserve">stage markets (e.g., Peru, Colombia) rely on </w:t>
      </w:r>
      <w:r w:rsidRPr="00F91404">
        <w:rPr>
          <w:b/>
          <w:bCs/>
          <w:sz w:val="20"/>
          <w:szCs w:val="20"/>
        </w:rPr>
        <w:t>fragmented</w:t>
      </w:r>
      <w:r w:rsidRPr="00F91404">
        <w:rPr>
          <w:sz w:val="20"/>
          <w:szCs w:val="20"/>
        </w:rPr>
        <w:t xml:space="preserve"> </w:t>
      </w:r>
      <w:r w:rsidRPr="00F91404">
        <w:rPr>
          <w:b/>
          <w:bCs/>
          <w:sz w:val="20"/>
          <w:szCs w:val="20"/>
        </w:rPr>
        <w:t>mandates</w:t>
      </w:r>
      <w:r w:rsidRPr="00F91404">
        <w:rPr>
          <w:sz w:val="20"/>
          <w:szCs w:val="20"/>
        </w:rPr>
        <w:t xml:space="preserve"> and </w:t>
      </w:r>
      <w:r w:rsidRPr="00F91404">
        <w:rPr>
          <w:b/>
          <w:bCs/>
          <w:sz w:val="20"/>
          <w:szCs w:val="20"/>
        </w:rPr>
        <w:t>informal</w:t>
      </w:r>
      <w:r w:rsidRPr="00F91404">
        <w:rPr>
          <w:sz w:val="20"/>
          <w:szCs w:val="20"/>
        </w:rPr>
        <w:t xml:space="preserve"> </w:t>
      </w:r>
      <w:r w:rsidRPr="00F91404">
        <w:rPr>
          <w:b/>
          <w:bCs/>
          <w:sz w:val="20"/>
          <w:szCs w:val="20"/>
        </w:rPr>
        <w:t>coordination</w:t>
      </w:r>
      <w:r w:rsidRPr="00F91404">
        <w:rPr>
          <w:sz w:val="20"/>
          <w:szCs w:val="20"/>
        </w:rPr>
        <w:t>.</w:t>
      </w:r>
    </w:p>
    <w:p w14:paraId="7E64102A" w14:textId="42BA9B15" w:rsidR="00E16009" w:rsidRPr="00F91404" w:rsidRDefault="19092CA8" w:rsidP="008D5DDD">
      <w:pPr>
        <w:numPr>
          <w:ilvl w:val="0"/>
          <w:numId w:val="27"/>
        </w:numPr>
        <w:spacing w:after="120" w:line="276" w:lineRule="auto"/>
        <w:ind w:left="414" w:hanging="357"/>
        <w:rPr>
          <w:sz w:val="20"/>
          <w:szCs w:val="20"/>
        </w:rPr>
      </w:pPr>
      <w:r w:rsidRPr="00F91404">
        <w:rPr>
          <w:b/>
          <w:bCs/>
          <w:color w:val="004C43" w:themeColor="accent1"/>
          <w:sz w:val="20"/>
          <w:szCs w:val="20"/>
        </w:rPr>
        <w:t>Regulatory certainty evolves incrementally, not all at once</w:t>
      </w:r>
      <w:r w:rsidR="29705B8C" w:rsidRPr="00F91404">
        <w:rPr>
          <w:b/>
          <w:bCs/>
          <w:color w:val="004C43" w:themeColor="accent1"/>
          <w:sz w:val="20"/>
          <w:szCs w:val="20"/>
        </w:rPr>
        <w:t xml:space="preserve">: </w:t>
      </w:r>
      <w:r w:rsidR="002A02B5" w:rsidRPr="00F91404">
        <w:rPr>
          <w:sz w:val="20"/>
          <w:szCs w:val="20"/>
        </w:rPr>
        <w:t xml:space="preserve">even advanced markets </w:t>
      </w:r>
      <w:r w:rsidR="00EE0CF7" w:rsidRPr="00F91404">
        <w:rPr>
          <w:sz w:val="20"/>
          <w:szCs w:val="20"/>
        </w:rPr>
        <w:t xml:space="preserve">display </w:t>
      </w:r>
      <w:r w:rsidR="002A02B5" w:rsidRPr="00F91404">
        <w:rPr>
          <w:sz w:val="20"/>
          <w:szCs w:val="20"/>
        </w:rPr>
        <w:t>exist</w:t>
      </w:r>
      <w:r w:rsidR="00EE0CF7" w:rsidRPr="00F91404">
        <w:rPr>
          <w:sz w:val="20"/>
          <w:szCs w:val="20"/>
        </w:rPr>
        <w:t>ing gaps</w:t>
      </w:r>
      <w:r w:rsidR="002A02B5" w:rsidRPr="00F91404">
        <w:rPr>
          <w:sz w:val="20"/>
          <w:szCs w:val="20"/>
        </w:rPr>
        <w:t>. At early stages, the most critical regulations to address are those that reduce investor risk.</w:t>
      </w:r>
    </w:p>
    <w:p w14:paraId="7CD11CAC" w14:textId="6BF9C1C6" w:rsidR="00E16009" w:rsidRPr="00F91404" w:rsidRDefault="007305D3" w:rsidP="008D5DDD">
      <w:pPr>
        <w:pStyle w:val="ListParagraph"/>
        <w:numPr>
          <w:ilvl w:val="0"/>
          <w:numId w:val="26"/>
        </w:numPr>
        <w:spacing w:after="120" w:line="276" w:lineRule="auto"/>
        <w:ind w:left="1134" w:hanging="283"/>
        <w:contextualSpacing w:val="0"/>
        <w:rPr>
          <w:sz w:val="20"/>
          <w:szCs w:val="20"/>
        </w:rPr>
      </w:pPr>
      <w:r w:rsidRPr="00F91404">
        <w:rPr>
          <w:sz w:val="20"/>
          <w:szCs w:val="20"/>
        </w:rPr>
        <w:t xml:space="preserve">Advanced markets have </w:t>
      </w:r>
      <w:r w:rsidRPr="00F91404">
        <w:rPr>
          <w:b/>
          <w:bCs/>
          <w:sz w:val="20"/>
          <w:szCs w:val="20"/>
        </w:rPr>
        <w:t>clear definitions</w:t>
      </w:r>
      <w:r w:rsidRPr="00F91404">
        <w:rPr>
          <w:sz w:val="20"/>
          <w:szCs w:val="20"/>
        </w:rPr>
        <w:t xml:space="preserve">, operational certification schemes, and </w:t>
      </w:r>
      <w:r w:rsidR="12BDE4DB" w:rsidRPr="00F91404">
        <w:rPr>
          <w:sz w:val="20"/>
          <w:szCs w:val="20"/>
        </w:rPr>
        <w:t>hydrogen dedicated</w:t>
      </w:r>
      <w:r w:rsidRPr="00F91404">
        <w:rPr>
          <w:sz w:val="20"/>
          <w:szCs w:val="20"/>
        </w:rPr>
        <w:t xml:space="preserve"> regulatory structures.</w:t>
      </w:r>
    </w:p>
    <w:p w14:paraId="7335811C" w14:textId="6193D38C" w:rsidR="00954D81" w:rsidRPr="00F91404" w:rsidRDefault="007305D3" w:rsidP="008D5DDD">
      <w:pPr>
        <w:pStyle w:val="ListParagraph"/>
        <w:numPr>
          <w:ilvl w:val="0"/>
          <w:numId w:val="26"/>
        </w:numPr>
        <w:spacing w:line="276" w:lineRule="auto"/>
        <w:ind w:left="1135" w:hanging="284"/>
        <w:contextualSpacing w:val="0"/>
        <w:rPr>
          <w:sz w:val="20"/>
          <w:szCs w:val="20"/>
        </w:rPr>
      </w:pPr>
      <w:r w:rsidRPr="00F91404">
        <w:rPr>
          <w:sz w:val="20"/>
          <w:szCs w:val="20"/>
        </w:rPr>
        <w:lastRenderedPageBreak/>
        <w:t xml:space="preserve">Most countries begin by adapting existing energy and environmental laws before developing </w:t>
      </w:r>
      <w:r w:rsidR="19092CA8" w:rsidRPr="00F91404">
        <w:rPr>
          <w:sz w:val="20"/>
          <w:szCs w:val="20"/>
        </w:rPr>
        <w:t>hydrogen</w:t>
      </w:r>
      <w:r w:rsidR="5B382812" w:rsidRPr="00F91404">
        <w:rPr>
          <w:sz w:val="20"/>
          <w:szCs w:val="20"/>
        </w:rPr>
        <w:t xml:space="preserve"> </w:t>
      </w:r>
      <w:r w:rsidR="19092CA8" w:rsidRPr="00F91404">
        <w:rPr>
          <w:sz w:val="20"/>
          <w:szCs w:val="20"/>
        </w:rPr>
        <w:t>specific</w:t>
      </w:r>
      <w:r w:rsidRPr="00F91404">
        <w:rPr>
          <w:sz w:val="20"/>
          <w:szCs w:val="20"/>
        </w:rPr>
        <w:t xml:space="preserve"> regulation. </w:t>
      </w:r>
      <w:r w:rsidRPr="00F91404">
        <w:rPr>
          <w:b/>
          <w:bCs/>
          <w:sz w:val="20"/>
          <w:szCs w:val="20"/>
        </w:rPr>
        <w:t xml:space="preserve">Dedicated hydrogen </w:t>
      </w:r>
      <w:r w:rsidR="009035A3" w:rsidRPr="00F91404">
        <w:rPr>
          <w:b/>
          <w:bCs/>
          <w:sz w:val="20"/>
          <w:szCs w:val="20"/>
        </w:rPr>
        <w:t xml:space="preserve">regulation </w:t>
      </w:r>
      <w:r w:rsidRPr="00F91404">
        <w:rPr>
          <w:sz w:val="20"/>
          <w:szCs w:val="20"/>
        </w:rPr>
        <w:t xml:space="preserve">typically </w:t>
      </w:r>
      <w:proofErr w:type="gramStart"/>
      <w:r w:rsidRPr="00F91404">
        <w:rPr>
          <w:sz w:val="20"/>
          <w:szCs w:val="20"/>
        </w:rPr>
        <w:t>appear</w:t>
      </w:r>
      <w:proofErr w:type="gramEnd"/>
      <w:r w:rsidRPr="00F91404">
        <w:rPr>
          <w:sz w:val="20"/>
          <w:szCs w:val="20"/>
        </w:rPr>
        <w:t xml:space="preserve"> </w:t>
      </w:r>
      <w:r w:rsidRPr="00F91404">
        <w:rPr>
          <w:b/>
          <w:bCs/>
          <w:sz w:val="20"/>
          <w:szCs w:val="20"/>
        </w:rPr>
        <w:t>only at later stages</w:t>
      </w:r>
      <w:r w:rsidRPr="00F91404">
        <w:rPr>
          <w:sz w:val="20"/>
          <w:szCs w:val="20"/>
        </w:rPr>
        <w:t xml:space="preserve"> (e.g., South Korea).</w:t>
      </w:r>
    </w:p>
    <w:p w14:paraId="65D231B8" w14:textId="2998250D" w:rsidR="00954D81" w:rsidRPr="00F91404" w:rsidRDefault="007305D3" w:rsidP="008D5DDD">
      <w:pPr>
        <w:numPr>
          <w:ilvl w:val="0"/>
          <w:numId w:val="27"/>
        </w:numPr>
        <w:spacing w:after="120" w:line="276" w:lineRule="auto"/>
        <w:ind w:left="414" w:hanging="357"/>
        <w:rPr>
          <w:b/>
          <w:bCs/>
          <w:color w:val="004C43"/>
          <w:sz w:val="20"/>
          <w:szCs w:val="20"/>
        </w:rPr>
      </w:pPr>
      <w:r w:rsidRPr="00F91404">
        <w:rPr>
          <w:b/>
          <w:bCs/>
          <w:color w:val="004C43"/>
          <w:sz w:val="20"/>
          <w:szCs w:val="20"/>
        </w:rPr>
        <w:t>Policy levers matter less individually and more in how they are sequenced</w:t>
      </w:r>
      <w:r w:rsidR="00281772" w:rsidRPr="00F91404">
        <w:rPr>
          <w:b/>
          <w:bCs/>
          <w:color w:val="004C43"/>
          <w:sz w:val="20"/>
          <w:szCs w:val="20"/>
        </w:rPr>
        <w:t xml:space="preserve">: </w:t>
      </w:r>
      <w:r w:rsidRPr="00F91404">
        <w:rPr>
          <w:sz w:val="20"/>
          <w:szCs w:val="20"/>
        </w:rPr>
        <w:t>Successful hydrogen markets employ policy support in a staged progression:</w:t>
      </w:r>
    </w:p>
    <w:p w14:paraId="6CD463BA" w14:textId="77777777" w:rsidR="00954D81" w:rsidRPr="00F91404" w:rsidRDefault="007305D3" w:rsidP="008D5DDD">
      <w:pPr>
        <w:pStyle w:val="ListParagraph"/>
        <w:numPr>
          <w:ilvl w:val="0"/>
          <w:numId w:val="26"/>
        </w:numPr>
        <w:spacing w:after="120" w:line="276" w:lineRule="auto"/>
        <w:ind w:left="1134" w:hanging="283"/>
        <w:contextualSpacing w:val="0"/>
        <w:rPr>
          <w:sz w:val="20"/>
          <w:szCs w:val="20"/>
        </w:rPr>
      </w:pPr>
      <w:r w:rsidRPr="00F91404">
        <w:rPr>
          <w:b/>
          <w:bCs/>
          <w:color w:val="004C43"/>
          <w:sz w:val="20"/>
          <w:szCs w:val="20"/>
        </w:rPr>
        <w:t>Early</w:t>
      </w:r>
      <w:r w:rsidRPr="00F91404">
        <w:rPr>
          <w:b/>
          <w:bCs/>
          <w:color w:val="004C43"/>
          <w:sz w:val="20"/>
          <w:szCs w:val="20"/>
        </w:rPr>
        <w:noBreakHyphen/>
        <w:t>stage:</w:t>
      </w:r>
      <w:r w:rsidRPr="00F91404">
        <w:rPr>
          <w:color w:val="004C43"/>
          <w:sz w:val="20"/>
          <w:szCs w:val="20"/>
        </w:rPr>
        <w:t xml:space="preserve"> </w:t>
      </w:r>
      <w:r w:rsidRPr="00F91404">
        <w:rPr>
          <w:sz w:val="20"/>
          <w:szCs w:val="20"/>
        </w:rPr>
        <w:t>fiscal incentives, pilots, public funding.</w:t>
      </w:r>
    </w:p>
    <w:p w14:paraId="33F06576" w14:textId="41914616" w:rsidR="00954D81" w:rsidRPr="00F91404" w:rsidRDefault="007305D3" w:rsidP="008D5DDD">
      <w:pPr>
        <w:pStyle w:val="ListParagraph"/>
        <w:numPr>
          <w:ilvl w:val="0"/>
          <w:numId w:val="26"/>
        </w:numPr>
        <w:spacing w:after="120" w:line="276" w:lineRule="auto"/>
        <w:ind w:left="1134" w:hanging="283"/>
        <w:contextualSpacing w:val="0"/>
        <w:rPr>
          <w:sz w:val="20"/>
          <w:szCs w:val="20"/>
        </w:rPr>
      </w:pPr>
      <w:r w:rsidRPr="00F91404">
        <w:rPr>
          <w:b/>
          <w:bCs/>
          <w:color w:val="004C43"/>
          <w:sz w:val="20"/>
          <w:szCs w:val="20"/>
        </w:rPr>
        <w:t>Scaling stage:</w:t>
      </w:r>
      <w:r w:rsidRPr="00F91404">
        <w:rPr>
          <w:color w:val="004C43"/>
          <w:sz w:val="20"/>
          <w:szCs w:val="20"/>
        </w:rPr>
        <w:t xml:space="preserve"> </w:t>
      </w:r>
      <w:r w:rsidRPr="00F91404">
        <w:rPr>
          <w:sz w:val="20"/>
          <w:szCs w:val="20"/>
        </w:rPr>
        <w:t xml:space="preserve">revenue stabilisation mechanisms (e.g. </w:t>
      </w:r>
      <w:r w:rsidR="00F934ED" w:rsidRPr="00F91404">
        <w:rPr>
          <w:sz w:val="20"/>
          <w:szCs w:val="20"/>
        </w:rPr>
        <w:t>public tenders</w:t>
      </w:r>
      <w:r w:rsidR="008E31E6" w:rsidRPr="00F91404">
        <w:rPr>
          <w:sz w:val="20"/>
          <w:szCs w:val="20"/>
        </w:rPr>
        <w:t>, contracts for differ</w:t>
      </w:r>
      <w:r w:rsidR="00514F12" w:rsidRPr="00F91404">
        <w:rPr>
          <w:sz w:val="20"/>
          <w:szCs w:val="20"/>
        </w:rPr>
        <w:t>ences</w:t>
      </w:r>
      <w:r w:rsidRPr="00F91404">
        <w:rPr>
          <w:sz w:val="20"/>
          <w:szCs w:val="20"/>
        </w:rPr>
        <w:t>).</w:t>
      </w:r>
    </w:p>
    <w:p w14:paraId="2D63E64E" w14:textId="77777777" w:rsidR="001C3AD5" w:rsidRPr="00F91404" w:rsidRDefault="007305D3" w:rsidP="008D5DDD">
      <w:pPr>
        <w:pStyle w:val="ListParagraph"/>
        <w:numPr>
          <w:ilvl w:val="0"/>
          <w:numId w:val="26"/>
        </w:numPr>
        <w:spacing w:after="120" w:line="276" w:lineRule="auto"/>
        <w:ind w:left="1135" w:hanging="284"/>
        <w:contextualSpacing w:val="0"/>
        <w:rPr>
          <w:sz w:val="20"/>
          <w:szCs w:val="20"/>
        </w:rPr>
      </w:pPr>
      <w:r w:rsidRPr="00F91404">
        <w:rPr>
          <w:b/>
          <w:bCs/>
          <w:color w:val="004C43"/>
          <w:sz w:val="20"/>
          <w:szCs w:val="20"/>
        </w:rPr>
        <w:t>Advanced stage:</w:t>
      </w:r>
      <w:r w:rsidRPr="00F91404">
        <w:rPr>
          <w:color w:val="004C43"/>
          <w:sz w:val="20"/>
          <w:szCs w:val="20"/>
        </w:rPr>
        <w:t xml:space="preserve"> </w:t>
      </w:r>
      <w:r w:rsidRPr="00F91404">
        <w:rPr>
          <w:sz w:val="20"/>
          <w:szCs w:val="20"/>
        </w:rPr>
        <w:t>coordinated infrastructure investments and system</w:t>
      </w:r>
      <w:r w:rsidRPr="00F91404">
        <w:rPr>
          <w:sz w:val="20"/>
          <w:szCs w:val="20"/>
        </w:rPr>
        <w:noBreakHyphen/>
        <w:t>integration policies.</w:t>
      </w:r>
    </w:p>
    <w:p w14:paraId="0E714262" w14:textId="70E8C895" w:rsidR="007305D3" w:rsidRPr="00F91404" w:rsidRDefault="007305D3" w:rsidP="00D14B39">
      <w:pPr>
        <w:spacing w:before="120" w:line="276" w:lineRule="auto"/>
        <w:ind w:left="357"/>
        <w:rPr>
          <w:b/>
          <w:bCs/>
          <w:sz w:val="20"/>
          <w:szCs w:val="20"/>
        </w:rPr>
      </w:pPr>
      <w:r w:rsidRPr="00F91404">
        <w:rPr>
          <w:sz w:val="20"/>
          <w:szCs w:val="20"/>
        </w:rPr>
        <w:t>Countries that fail to progress beyond pilots often rely on isolated levers without evolving toward revenue</w:t>
      </w:r>
      <w:r w:rsidRPr="00F91404">
        <w:rPr>
          <w:sz w:val="20"/>
          <w:szCs w:val="20"/>
        </w:rPr>
        <w:noBreakHyphen/>
        <w:t>risk absorption or infrastructure coordination.</w:t>
      </w:r>
    </w:p>
    <w:p w14:paraId="79B3E424" w14:textId="5061156A" w:rsidR="007305D3" w:rsidRPr="00F91404" w:rsidRDefault="007305D3" w:rsidP="008D5DDD">
      <w:pPr>
        <w:numPr>
          <w:ilvl w:val="0"/>
          <w:numId w:val="27"/>
        </w:numPr>
        <w:spacing w:after="360" w:line="276" w:lineRule="auto"/>
        <w:ind w:left="414" w:hanging="357"/>
        <w:rPr>
          <w:b/>
          <w:bCs/>
          <w:sz w:val="20"/>
          <w:szCs w:val="20"/>
        </w:rPr>
      </w:pPr>
      <w:r w:rsidRPr="00F91404">
        <w:rPr>
          <w:b/>
          <w:bCs/>
          <w:color w:val="004C43"/>
          <w:sz w:val="20"/>
          <w:szCs w:val="20"/>
        </w:rPr>
        <w:t>Infrastructure planning becomes essential once multiple projects emerge</w:t>
      </w:r>
      <w:r w:rsidR="00281772" w:rsidRPr="00F91404">
        <w:rPr>
          <w:b/>
          <w:bCs/>
          <w:color w:val="004C43"/>
          <w:sz w:val="20"/>
          <w:szCs w:val="20"/>
        </w:rPr>
        <w:t xml:space="preserve">: </w:t>
      </w:r>
      <w:r w:rsidRPr="00F91404">
        <w:rPr>
          <w:sz w:val="20"/>
          <w:szCs w:val="20"/>
        </w:rPr>
        <w:t xml:space="preserve">Countries with industrial clusters or export ambitions prioritise </w:t>
      </w:r>
      <w:r w:rsidRPr="00F91404">
        <w:rPr>
          <w:b/>
          <w:bCs/>
          <w:sz w:val="20"/>
          <w:szCs w:val="20"/>
        </w:rPr>
        <w:t>shared hydrogen infrastructure</w:t>
      </w:r>
      <w:r w:rsidRPr="00F91404">
        <w:rPr>
          <w:sz w:val="20"/>
          <w:szCs w:val="20"/>
        </w:rPr>
        <w:t xml:space="preserve"> (pipelines, ports, hubs). Markets that do not coordinate infrastructure face cost inflation and stalled integration.</w:t>
      </w:r>
    </w:p>
    <w:p w14:paraId="2D5DFCC0" w14:textId="6135AE33" w:rsidR="00FB2202" w:rsidRPr="00F91404" w:rsidRDefault="00FA1914" w:rsidP="008D5DDD">
      <w:pPr>
        <w:numPr>
          <w:ilvl w:val="0"/>
          <w:numId w:val="27"/>
        </w:numPr>
        <w:spacing w:after="360" w:line="276" w:lineRule="auto"/>
        <w:ind w:left="414" w:hanging="357"/>
        <w:rPr>
          <w:sz w:val="20"/>
          <w:szCs w:val="20"/>
        </w:rPr>
      </w:pPr>
      <w:r w:rsidRPr="00F91404">
        <w:rPr>
          <w:b/>
          <w:bCs/>
          <w:color w:val="004C43"/>
          <w:sz w:val="20"/>
          <w:szCs w:val="20"/>
        </w:rPr>
        <w:t>P</w:t>
      </w:r>
      <w:r w:rsidR="00FB2202" w:rsidRPr="00F91404">
        <w:rPr>
          <w:b/>
          <w:bCs/>
          <w:color w:val="004C43"/>
          <w:sz w:val="20"/>
          <w:szCs w:val="20"/>
        </w:rPr>
        <w:t>olicies</w:t>
      </w:r>
      <w:r w:rsidR="00287FD8" w:rsidRPr="00F91404">
        <w:rPr>
          <w:b/>
          <w:bCs/>
          <w:color w:val="004C43"/>
          <w:sz w:val="20"/>
          <w:szCs w:val="20"/>
        </w:rPr>
        <w:t xml:space="preserve"> focussed </w:t>
      </w:r>
      <w:r w:rsidR="00140C49" w:rsidRPr="00F91404">
        <w:rPr>
          <w:b/>
          <w:bCs/>
          <w:color w:val="004C43"/>
          <w:sz w:val="20"/>
          <w:szCs w:val="20"/>
        </w:rPr>
        <w:t>exclusively</w:t>
      </w:r>
      <w:r w:rsidR="00FB2202" w:rsidRPr="00F91404">
        <w:rPr>
          <w:b/>
          <w:bCs/>
          <w:color w:val="004C43"/>
          <w:sz w:val="20"/>
          <w:szCs w:val="20"/>
        </w:rPr>
        <w:t xml:space="preserve"> on production incentives are often insufficient for scaling up</w:t>
      </w:r>
      <w:r w:rsidR="00B1347F" w:rsidRPr="00F91404">
        <w:rPr>
          <w:b/>
          <w:bCs/>
          <w:color w:val="004C43"/>
          <w:sz w:val="20"/>
          <w:szCs w:val="20"/>
        </w:rPr>
        <w:t xml:space="preserve">: </w:t>
      </w:r>
      <w:r w:rsidR="00FB2202" w:rsidRPr="00F91404">
        <w:rPr>
          <w:sz w:val="20"/>
          <w:szCs w:val="20"/>
        </w:rPr>
        <w:t xml:space="preserve">To ensure sustainable growth, </w:t>
      </w:r>
      <w:r w:rsidR="00FB2202" w:rsidRPr="00F91404">
        <w:rPr>
          <w:b/>
          <w:bCs/>
          <w:sz w:val="20"/>
          <w:szCs w:val="20"/>
        </w:rPr>
        <w:t>demand-side measures</w:t>
      </w:r>
      <w:r w:rsidR="00FB2202" w:rsidRPr="00F91404">
        <w:rPr>
          <w:sz w:val="20"/>
          <w:szCs w:val="20"/>
        </w:rPr>
        <w:t xml:space="preserve"> that guarantee offtake are </w:t>
      </w:r>
      <w:r w:rsidR="00FB2202" w:rsidRPr="00F91404">
        <w:rPr>
          <w:b/>
          <w:bCs/>
          <w:sz w:val="20"/>
          <w:szCs w:val="20"/>
        </w:rPr>
        <w:t>equally crucial</w:t>
      </w:r>
      <w:r w:rsidR="00FB2202" w:rsidRPr="00F91404">
        <w:rPr>
          <w:sz w:val="20"/>
          <w:szCs w:val="20"/>
        </w:rPr>
        <w:t>. Securing long-term demand through targeted policies helps create a stable market environment, reduces investment risks, and encourages the development of comprehensive hydrogen value chains,</w:t>
      </w:r>
    </w:p>
    <w:p w14:paraId="1C493A84" w14:textId="71D544BB" w:rsidR="007305D3" w:rsidRPr="00F91404" w:rsidRDefault="007305D3" w:rsidP="00D14B39">
      <w:pPr>
        <w:tabs>
          <w:tab w:val="num" w:pos="720"/>
        </w:tabs>
        <w:spacing w:line="276" w:lineRule="auto"/>
        <w:rPr>
          <w:sz w:val="20"/>
          <w:szCs w:val="20"/>
        </w:rPr>
      </w:pPr>
      <w:r w:rsidRPr="00F91404">
        <w:rPr>
          <w:sz w:val="20"/>
          <w:szCs w:val="20"/>
        </w:rPr>
        <w:t>Across the</w:t>
      </w:r>
      <w:r w:rsidR="002C668D" w:rsidRPr="00F91404">
        <w:rPr>
          <w:sz w:val="20"/>
          <w:szCs w:val="20"/>
        </w:rPr>
        <w:t xml:space="preserve"> </w:t>
      </w:r>
      <w:r w:rsidRPr="00F91404">
        <w:rPr>
          <w:sz w:val="20"/>
          <w:szCs w:val="20"/>
        </w:rPr>
        <w:t xml:space="preserve">benchmark countries, the central </w:t>
      </w:r>
      <w:r w:rsidR="001C3AD5" w:rsidRPr="00F91404">
        <w:rPr>
          <w:sz w:val="20"/>
          <w:szCs w:val="20"/>
        </w:rPr>
        <w:t xml:space="preserve">finding </w:t>
      </w:r>
      <w:r w:rsidRPr="00F91404">
        <w:rPr>
          <w:sz w:val="20"/>
          <w:szCs w:val="20"/>
        </w:rPr>
        <w:t>is that sequencing and alignment, rather than any single policy instrument</w:t>
      </w:r>
      <w:r w:rsidR="001C3AD5" w:rsidRPr="00F91404">
        <w:rPr>
          <w:sz w:val="20"/>
          <w:szCs w:val="20"/>
        </w:rPr>
        <w:t xml:space="preserve"> is most likely to </w:t>
      </w:r>
      <w:r w:rsidRPr="00F91404">
        <w:rPr>
          <w:sz w:val="20"/>
          <w:szCs w:val="20"/>
        </w:rPr>
        <w:t>determine whether hydrogen development advances from strategy to bankable investment. Countries that combine</w:t>
      </w:r>
      <w:r w:rsidR="001C3AD5" w:rsidRPr="00F91404">
        <w:rPr>
          <w:sz w:val="20"/>
          <w:szCs w:val="20"/>
        </w:rPr>
        <w:t xml:space="preserve"> c</w:t>
      </w:r>
      <w:r w:rsidRPr="00F91404">
        <w:rPr>
          <w:sz w:val="20"/>
          <w:szCs w:val="20"/>
        </w:rPr>
        <w:t>lear institutional leadership,</w:t>
      </w:r>
      <w:r w:rsidR="001C3AD5" w:rsidRPr="00F91404">
        <w:rPr>
          <w:sz w:val="20"/>
          <w:szCs w:val="20"/>
        </w:rPr>
        <w:t xml:space="preserve"> p</w:t>
      </w:r>
      <w:r w:rsidRPr="00F91404">
        <w:rPr>
          <w:sz w:val="20"/>
          <w:szCs w:val="20"/>
        </w:rPr>
        <w:t>rogressively refined regulatory frameworks, and</w:t>
      </w:r>
      <w:r w:rsidR="001C3AD5" w:rsidRPr="00F91404">
        <w:rPr>
          <w:sz w:val="20"/>
          <w:szCs w:val="20"/>
        </w:rPr>
        <w:t xml:space="preserve"> e</w:t>
      </w:r>
      <w:r w:rsidRPr="00F91404">
        <w:rPr>
          <w:sz w:val="20"/>
          <w:szCs w:val="20"/>
        </w:rPr>
        <w:t>volving policy support that adapts to market maturity</w:t>
      </w:r>
      <w:r w:rsidR="001C3AD5" w:rsidRPr="00F91404">
        <w:rPr>
          <w:sz w:val="20"/>
          <w:szCs w:val="20"/>
        </w:rPr>
        <w:t xml:space="preserve"> </w:t>
      </w:r>
      <w:r w:rsidRPr="00F91404">
        <w:rPr>
          <w:sz w:val="20"/>
          <w:szCs w:val="20"/>
        </w:rPr>
        <w:t>are consistently more successful in progressing beyond pilot</w:t>
      </w:r>
      <w:r w:rsidRPr="00F91404">
        <w:rPr>
          <w:sz w:val="20"/>
          <w:szCs w:val="20"/>
        </w:rPr>
        <w:noBreakHyphen/>
        <w:t>level activity.</w:t>
      </w:r>
    </w:p>
    <w:p w14:paraId="16186242" w14:textId="4238C88E" w:rsidR="00E54E67" w:rsidRPr="00F91404" w:rsidRDefault="00E54E67" w:rsidP="00397D56">
      <w:pPr>
        <w:tabs>
          <w:tab w:val="num" w:pos="720"/>
        </w:tabs>
        <w:spacing w:line="276" w:lineRule="auto"/>
        <w:rPr>
          <w:sz w:val="20"/>
          <w:szCs w:val="20"/>
        </w:rPr>
      </w:pPr>
      <w:r w:rsidRPr="00F91404">
        <w:rPr>
          <w:sz w:val="20"/>
          <w:szCs w:val="20"/>
        </w:rPr>
        <w:t xml:space="preserve">The next </w:t>
      </w:r>
      <w:r w:rsidR="002D1BC0" w:rsidRPr="00F91404">
        <w:rPr>
          <w:sz w:val="20"/>
          <w:szCs w:val="20"/>
        </w:rPr>
        <w:t>phase</w:t>
      </w:r>
      <w:r w:rsidR="00884019" w:rsidRPr="00F91404">
        <w:rPr>
          <w:sz w:val="20"/>
          <w:szCs w:val="20"/>
        </w:rPr>
        <w:t xml:space="preserve"> </w:t>
      </w:r>
      <w:r w:rsidR="002377E0" w:rsidRPr="00F91404">
        <w:rPr>
          <w:sz w:val="20"/>
          <w:szCs w:val="20"/>
        </w:rPr>
        <w:t>for</w:t>
      </w:r>
      <w:r w:rsidRPr="00F91404">
        <w:rPr>
          <w:sz w:val="20"/>
          <w:szCs w:val="20"/>
        </w:rPr>
        <w:t xml:space="preserve"> this work under the UK’s Green Cities Infrastructure and Energy Programme will assess Mexico’s existing regulatory and policy framework and examine potential models for cross-government coordination, drawing on international experience</w:t>
      </w:r>
      <w:r w:rsidR="009B7E4F" w:rsidRPr="00F91404">
        <w:rPr>
          <w:sz w:val="20"/>
          <w:szCs w:val="20"/>
        </w:rPr>
        <w:t xml:space="preserve"> and </w:t>
      </w:r>
      <w:r w:rsidR="00C0401F" w:rsidRPr="00F91404">
        <w:rPr>
          <w:sz w:val="20"/>
          <w:szCs w:val="20"/>
        </w:rPr>
        <w:t xml:space="preserve">external </w:t>
      </w:r>
      <w:r w:rsidR="00DF276C" w:rsidRPr="00F91404">
        <w:rPr>
          <w:sz w:val="20"/>
          <w:szCs w:val="20"/>
        </w:rPr>
        <w:t>stakeholder’s</w:t>
      </w:r>
      <w:r w:rsidR="00C0401F" w:rsidRPr="00F91404">
        <w:rPr>
          <w:sz w:val="20"/>
          <w:szCs w:val="20"/>
        </w:rPr>
        <w:t xml:space="preserve"> perspective</w:t>
      </w:r>
      <w:r w:rsidRPr="00F91404">
        <w:rPr>
          <w:sz w:val="20"/>
          <w:szCs w:val="20"/>
        </w:rPr>
        <w:t xml:space="preserve"> to support SENER in strengthening the governance framework for green hydrogen development in Mexico.</w:t>
      </w:r>
    </w:p>
    <w:p w14:paraId="1DFC30D0" w14:textId="641F6BD8" w:rsidR="006F3522" w:rsidRPr="00F91404" w:rsidRDefault="006F3522" w:rsidP="00E54E67">
      <w:pPr>
        <w:ind w:left="0"/>
      </w:pPr>
      <w:r w:rsidRPr="00F91404">
        <w:br w:type="page"/>
      </w:r>
    </w:p>
    <w:p w14:paraId="0E77DA47" w14:textId="5FFFA360" w:rsidR="004D7BE7" w:rsidRPr="00F91404" w:rsidRDefault="006F3522" w:rsidP="00AA77D6">
      <w:pPr>
        <w:pStyle w:val="Heading1"/>
      </w:pPr>
      <w:bookmarkStart w:id="11" w:name="_Toc220786523"/>
      <w:r w:rsidRPr="00F91404">
        <w:lastRenderedPageBreak/>
        <w:t>Introduction</w:t>
      </w:r>
      <w:bookmarkEnd w:id="11"/>
      <w:r w:rsidR="003347C4" w:rsidRPr="00F91404">
        <w:t xml:space="preserve"> </w:t>
      </w:r>
      <w:bookmarkEnd w:id="9"/>
      <w:bookmarkEnd w:id="10"/>
    </w:p>
    <w:p w14:paraId="43ECA92D" w14:textId="5308EDD8" w:rsidR="001F69E6" w:rsidRPr="00F91404" w:rsidRDefault="001F69E6" w:rsidP="001F69E6">
      <w:pPr>
        <w:suppressAutoHyphens/>
        <w:rPr>
          <w:rFonts w:cstheme="minorHAnsi"/>
          <w:sz w:val="20"/>
          <w:szCs w:val="20"/>
        </w:rPr>
      </w:pPr>
      <w:r w:rsidRPr="00F91404">
        <w:rPr>
          <w:rFonts w:cstheme="minorHAnsi"/>
          <w:sz w:val="20"/>
          <w:szCs w:val="20"/>
        </w:rPr>
        <w:t>This report presents an international benchmarking assessment of the governance, regulatory and policy frameworks that countries have applied to enable the development of renewable (green) hydrogen markets. It is intended to support the Government of Mexico, and in particular the Ministry of Energy (SENER</w:t>
      </w:r>
      <w:r w:rsidR="00280F07" w:rsidRPr="00F91404">
        <w:rPr>
          <w:rFonts w:cstheme="minorHAnsi"/>
          <w:sz w:val="20"/>
          <w:szCs w:val="20"/>
        </w:rPr>
        <w:t xml:space="preserve">, </w:t>
      </w:r>
      <w:proofErr w:type="spellStart"/>
      <w:r w:rsidR="00F82DA3" w:rsidRPr="00F91404">
        <w:rPr>
          <w:rFonts w:cstheme="minorHAnsi"/>
          <w:i/>
          <w:iCs/>
          <w:sz w:val="20"/>
          <w:szCs w:val="20"/>
        </w:rPr>
        <w:t>Secretaría</w:t>
      </w:r>
      <w:proofErr w:type="spellEnd"/>
      <w:r w:rsidR="00F82DA3" w:rsidRPr="00F91404">
        <w:rPr>
          <w:rFonts w:cstheme="minorHAnsi"/>
          <w:i/>
          <w:iCs/>
          <w:sz w:val="20"/>
          <w:szCs w:val="20"/>
        </w:rPr>
        <w:t xml:space="preserve"> de Energía</w:t>
      </w:r>
      <w:r w:rsidRPr="00F91404">
        <w:rPr>
          <w:rFonts w:cstheme="minorHAnsi"/>
          <w:sz w:val="20"/>
          <w:szCs w:val="20"/>
        </w:rPr>
        <w:t>), as it develops the institutional and policy foundations for a future National Renewable Hydrogen Policy.</w:t>
      </w:r>
    </w:p>
    <w:p w14:paraId="1B0CA74C" w14:textId="75861B34" w:rsidR="001F69E6" w:rsidRPr="00F91404" w:rsidRDefault="001F69E6" w:rsidP="001F69E6">
      <w:pPr>
        <w:suppressAutoHyphens/>
        <w:rPr>
          <w:rFonts w:cstheme="minorHAnsi"/>
          <w:sz w:val="20"/>
          <w:szCs w:val="20"/>
        </w:rPr>
      </w:pPr>
      <w:r w:rsidRPr="00F91404">
        <w:rPr>
          <w:rFonts w:cstheme="minorHAnsi"/>
          <w:sz w:val="20"/>
          <w:szCs w:val="20"/>
        </w:rPr>
        <w:t>The assessment is analytical and descriptive in nature. It does not recommend specific policy instruments or seek to replicate international models. Instead, it provides a structured, evidence-based reference on how green hydrogen markets have been organised in practice across different jurisdictions, how responsibilities and frameworks have been allocated, and how policy design and sequencing influence</w:t>
      </w:r>
      <w:r w:rsidR="000B7782" w:rsidRPr="00F91404">
        <w:rPr>
          <w:rFonts w:cstheme="minorHAnsi"/>
          <w:sz w:val="20"/>
          <w:szCs w:val="20"/>
        </w:rPr>
        <w:t>s</w:t>
      </w:r>
      <w:r w:rsidRPr="00F91404">
        <w:rPr>
          <w:rFonts w:cstheme="minorHAnsi"/>
          <w:sz w:val="20"/>
          <w:szCs w:val="20"/>
        </w:rPr>
        <w:t xml:space="preserve"> whether projects progress beyond early announcements toward investment and delivery. This positioning is fully consistent with the scope defined in the Terms of Reference and complements parallel technical work on industrial applications and project pipelines.</w:t>
      </w:r>
    </w:p>
    <w:p w14:paraId="51C33DCA" w14:textId="77777777" w:rsidR="00AB5494" w:rsidRPr="00F91404" w:rsidRDefault="00AB5494" w:rsidP="003B49ED">
      <w:pPr>
        <w:suppressAutoHyphens/>
        <w:spacing w:after="360"/>
        <w:rPr>
          <w:rFonts w:cstheme="minorHAnsi"/>
          <w:sz w:val="20"/>
          <w:szCs w:val="20"/>
        </w:rPr>
      </w:pPr>
      <w:r w:rsidRPr="00F91404">
        <w:rPr>
          <w:rFonts w:cstheme="minorHAnsi"/>
          <w:sz w:val="20"/>
          <w:szCs w:val="20"/>
        </w:rPr>
        <w:t>The report is organised in four parts. It first sets out Mexico’s current national context for renewable hydrogen, focusing on the policy, institutional and market conditions that define the starting point for development. It then examines the green hydrogen sector more broadly, drawing on international experience to outline the structural barriers that commonly constrain deployment. Building on this context, the report applies a consistent analytical framework across international benchmark countries at different stages of market maturity, from early planning through to scaling and later-stage deployment. The framework focuses on three core dimensions, while also recognising the role of infrastructure planning and system integration:</w:t>
      </w:r>
    </w:p>
    <w:p w14:paraId="4A265B67" w14:textId="0ED9BBA8" w:rsidR="00AB5494" w:rsidRPr="00F91404" w:rsidRDefault="00AB5494" w:rsidP="008D5DDD">
      <w:pPr>
        <w:pStyle w:val="ListParagraph"/>
        <w:numPr>
          <w:ilvl w:val="0"/>
          <w:numId w:val="19"/>
        </w:numPr>
        <w:suppressAutoHyphens/>
        <w:spacing w:before="240"/>
        <w:ind w:left="851" w:hanging="431"/>
        <w:contextualSpacing w:val="0"/>
        <w:rPr>
          <w:rFonts w:cstheme="minorHAnsi"/>
          <w:b/>
          <w:color w:val="004C43"/>
          <w:sz w:val="20"/>
          <w:szCs w:val="20"/>
        </w:rPr>
      </w:pPr>
      <w:r w:rsidRPr="00F91404">
        <w:rPr>
          <w:rFonts w:cstheme="minorHAnsi"/>
          <w:b/>
          <w:color w:val="004C43"/>
          <w:sz w:val="20"/>
          <w:szCs w:val="20"/>
        </w:rPr>
        <w:t xml:space="preserve">Governance and institutional arrangements, </w:t>
      </w:r>
      <w:r w:rsidRPr="00F91404">
        <w:rPr>
          <w:rFonts w:cstheme="minorHAnsi"/>
          <w:sz w:val="20"/>
          <w:szCs w:val="20"/>
        </w:rPr>
        <w:t>examining which public entities lead hydrogen policy, how responsibilities are allocated across ministries, regulators and public agencies, and how coordination is managed across the hydrogen value chain.</w:t>
      </w:r>
    </w:p>
    <w:p w14:paraId="3C8D6346" w14:textId="75AB8D02" w:rsidR="00AB5494" w:rsidRPr="00F91404" w:rsidRDefault="00AB5494" w:rsidP="008D5DDD">
      <w:pPr>
        <w:pStyle w:val="ListParagraph"/>
        <w:numPr>
          <w:ilvl w:val="0"/>
          <w:numId w:val="19"/>
        </w:numPr>
        <w:suppressAutoHyphens/>
        <w:spacing w:before="240"/>
        <w:ind w:left="851" w:hanging="431"/>
        <w:contextualSpacing w:val="0"/>
        <w:rPr>
          <w:rFonts w:cstheme="minorHAnsi"/>
          <w:b/>
          <w:color w:val="004C43"/>
          <w:sz w:val="20"/>
          <w:szCs w:val="20"/>
        </w:rPr>
      </w:pPr>
      <w:r w:rsidRPr="00F91404">
        <w:rPr>
          <w:rFonts w:cstheme="minorHAnsi"/>
          <w:b/>
          <w:color w:val="004C43"/>
          <w:sz w:val="20"/>
          <w:szCs w:val="20"/>
        </w:rPr>
        <w:t xml:space="preserve">Legal and regulatory foundations, </w:t>
      </w:r>
      <w:r w:rsidRPr="00F91404">
        <w:rPr>
          <w:rFonts w:cstheme="minorHAnsi"/>
          <w:sz w:val="20"/>
          <w:szCs w:val="20"/>
        </w:rPr>
        <w:t>assessing the development of hydrogen-specific legislation, permitting frameworks, sustainability criteria and certification systems, and the degree of regulatory clarity provided to developers and investors.</w:t>
      </w:r>
    </w:p>
    <w:p w14:paraId="30A4609F" w14:textId="284BC975" w:rsidR="00AB5494" w:rsidRPr="00F91404" w:rsidRDefault="00AB5494" w:rsidP="008D5DDD">
      <w:pPr>
        <w:pStyle w:val="ListParagraph"/>
        <w:numPr>
          <w:ilvl w:val="0"/>
          <w:numId w:val="19"/>
        </w:numPr>
        <w:suppressAutoHyphens/>
        <w:spacing w:before="240" w:after="360"/>
        <w:ind w:left="851" w:hanging="431"/>
        <w:contextualSpacing w:val="0"/>
        <w:rPr>
          <w:rFonts w:cstheme="minorHAnsi"/>
          <w:b/>
          <w:color w:val="004C43"/>
          <w:sz w:val="20"/>
          <w:szCs w:val="20"/>
        </w:rPr>
      </w:pPr>
      <w:r w:rsidRPr="00F91404">
        <w:rPr>
          <w:rFonts w:cstheme="minorHAnsi"/>
          <w:b/>
          <w:color w:val="004C43"/>
          <w:sz w:val="20"/>
          <w:szCs w:val="20"/>
        </w:rPr>
        <w:t xml:space="preserve">Policy levers, </w:t>
      </w:r>
      <w:r w:rsidRPr="00F91404">
        <w:rPr>
          <w:rFonts w:cstheme="minorHAnsi"/>
          <w:sz w:val="20"/>
          <w:szCs w:val="20"/>
        </w:rPr>
        <w:t>reviewing the range of instruments applied to support deployment, including fiscal and tax incentives, public funding and CAPEX co-financing, market and revenue support mechanisms, standards and certification, and infrastructure-enabling policies.</w:t>
      </w:r>
    </w:p>
    <w:p w14:paraId="3A0035EC" w14:textId="2D1B92B3" w:rsidR="00AB5494" w:rsidRPr="00F91404" w:rsidRDefault="00AB5494" w:rsidP="00AB5494">
      <w:pPr>
        <w:suppressAutoHyphens/>
        <w:rPr>
          <w:rFonts w:cstheme="minorHAnsi"/>
          <w:sz w:val="20"/>
          <w:szCs w:val="20"/>
        </w:rPr>
      </w:pPr>
      <w:r w:rsidRPr="00F91404">
        <w:rPr>
          <w:rFonts w:cstheme="minorHAnsi"/>
          <w:sz w:val="20"/>
          <w:szCs w:val="20"/>
        </w:rPr>
        <w:t>Using this framework, the report assesses eleven benchmark countries, selected jointly with SENER, spanning advanced, scaling and peer hydrogen markets, to compare how governance arrangements, regulatory frameworks and policy instruments differ across stages of market maturity and to identify approaches relevant to Mexico’s policy development.</w:t>
      </w:r>
    </w:p>
    <w:p w14:paraId="7A405EDE" w14:textId="56BE8B52" w:rsidR="00B820AC" w:rsidRPr="00F91404" w:rsidRDefault="00201088" w:rsidP="00B820AC">
      <w:pPr>
        <w:ind w:left="0"/>
        <w:rPr>
          <w:rFonts w:cstheme="minorHAnsi"/>
          <w:sz w:val="20"/>
          <w:szCs w:val="20"/>
        </w:rPr>
      </w:pPr>
      <w:r w:rsidRPr="00F91404">
        <w:rPr>
          <w:rFonts w:cstheme="minorHAnsi"/>
          <w:sz w:val="20"/>
          <w:szCs w:val="20"/>
        </w:rPr>
        <w:t>Drawing on this comparative analysis, the report presents a consolidated set of Key Findings and concl</w:t>
      </w:r>
      <w:r w:rsidR="00AB5494" w:rsidRPr="00F91404">
        <w:rPr>
          <w:rFonts w:cstheme="minorHAnsi"/>
          <w:sz w:val="20"/>
          <w:szCs w:val="20"/>
        </w:rPr>
        <w:t>u</w:t>
      </w:r>
      <w:r w:rsidRPr="00F91404">
        <w:rPr>
          <w:rFonts w:cstheme="minorHAnsi"/>
          <w:sz w:val="20"/>
          <w:szCs w:val="20"/>
        </w:rPr>
        <w:t xml:space="preserve">sions </w:t>
      </w:r>
      <w:r w:rsidR="00AB5494" w:rsidRPr="00F91404">
        <w:rPr>
          <w:rFonts w:cstheme="minorHAnsi"/>
          <w:sz w:val="20"/>
          <w:szCs w:val="20"/>
        </w:rPr>
        <w:t xml:space="preserve">that draw together findings across governance, regulation and policy design. </w:t>
      </w:r>
      <w:r w:rsidRPr="00F91404">
        <w:rPr>
          <w:rFonts w:cstheme="minorHAnsi"/>
          <w:sz w:val="20"/>
          <w:szCs w:val="20"/>
        </w:rPr>
        <w:t>These findings highlight how different combinations and sequencing of approaches shape market outcomes at different stages of development and clarify the conditions under which countries have moved from strategy and pilots to investable, bankable projects. The analysis provides a grounded reference to inform policy dialogue with SENER and support the next phase of decision-making as Mexico considers how international experience can inform the design and sequencing of its renewable hydrogen policy and associated enabling frameworks.</w:t>
      </w:r>
    </w:p>
    <w:p w14:paraId="73209AF7" w14:textId="77777777" w:rsidR="005773D9" w:rsidRPr="00F91404" w:rsidRDefault="005773D9" w:rsidP="00B820AC">
      <w:pPr>
        <w:ind w:left="0"/>
        <w:rPr>
          <w:rFonts w:cstheme="minorHAnsi"/>
          <w:b/>
          <w:bCs/>
          <w:sz w:val="20"/>
          <w:szCs w:val="20"/>
        </w:rPr>
      </w:pPr>
    </w:p>
    <w:p w14:paraId="61F8B9A5" w14:textId="1AD15980" w:rsidR="0045250D" w:rsidRPr="00F91404" w:rsidRDefault="0045250D">
      <w:pPr>
        <w:rPr>
          <w:rFonts w:cstheme="minorHAnsi"/>
          <w:sz w:val="20"/>
          <w:szCs w:val="20"/>
        </w:rPr>
      </w:pPr>
      <w:r w:rsidRPr="00F91404">
        <w:rPr>
          <w:rFonts w:cstheme="minorHAnsi"/>
          <w:sz w:val="20"/>
          <w:szCs w:val="20"/>
        </w:rPr>
        <w:br w:type="page"/>
      </w:r>
    </w:p>
    <w:p w14:paraId="6C633420" w14:textId="77777777" w:rsidR="00532BA2" w:rsidRPr="00F91404" w:rsidRDefault="00532BA2" w:rsidP="0045250D">
      <w:pPr>
        <w:suppressAutoHyphens/>
        <w:spacing w:after="0"/>
        <w:rPr>
          <w:rFonts w:cstheme="minorHAnsi"/>
          <w:sz w:val="2"/>
          <w:szCs w:val="2"/>
        </w:rPr>
      </w:pPr>
    </w:p>
    <w:p w14:paraId="5FAC57B8" w14:textId="08737143" w:rsidR="00AE6CC3" w:rsidRPr="00F91404" w:rsidRDefault="00D643F2" w:rsidP="00AA77D6">
      <w:pPr>
        <w:pStyle w:val="Heading1"/>
      </w:pPr>
      <w:bookmarkStart w:id="12" w:name="_Toc220786524"/>
      <w:r w:rsidRPr="00F91404">
        <w:t>Renewable Hydrogen in Mexico</w:t>
      </w:r>
      <w:bookmarkEnd w:id="12"/>
    </w:p>
    <w:p w14:paraId="0EE84ECD" w14:textId="77777777" w:rsidR="005E4784" w:rsidRPr="00F91404" w:rsidRDefault="005E4784" w:rsidP="000B6A3E">
      <w:pPr>
        <w:suppressAutoHyphens/>
        <w:rPr>
          <w:rFonts w:cstheme="minorHAnsi"/>
          <w:sz w:val="20"/>
          <w:szCs w:val="20"/>
        </w:rPr>
      </w:pPr>
      <w:r w:rsidRPr="00F91404">
        <w:rPr>
          <w:rFonts w:cstheme="minorHAnsi"/>
          <w:sz w:val="20"/>
          <w:szCs w:val="20"/>
        </w:rPr>
        <w:t>Mexico is at a formative stage in the development of a renewable (green) hydrogen sector. The country combines strong renewable resource potential with an established industrial base that already consumes hydrogen, alongside growing interest from private developers. At the same time, the current policy, regulatory and institutional environment reflects an early-stage market, where most announced projects remain at concept or feasibility level and system-level enabling conditions are still evolving.</w:t>
      </w:r>
    </w:p>
    <w:p w14:paraId="0123B6DD" w14:textId="0B113CEE" w:rsidR="005E4784" w:rsidRPr="00F91404" w:rsidRDefault="005E4784" w:rsidP="000B6A3E">
      <w:pPr>
        <w:suppressAutoHyphens/>
        <w:rPr>
          <w:rFonts w:cstheme="minorHAnsi"/>
          <w:sz w:val="20"/>
          <w:szCs w:val="20"/>
        </w:rPr>
      </w:pPr>
      <w:r w:rsidRPr="00F91404">
        <w:rPr>
          <w:rFonts w:cstheme="minorHAnsi"/>
          <w:sz w:val="20"/>
          <w:szCs w:val="20"/>
        </w:rPr>
        <w:t>This section provides an overview of Mexico’s national context relevant to green hydrogen development, focusing on the energy and climate policy landscape, the role of hydrogen in existing industrial activity, the emerging project pipeline, and the current institutional and regulatory setting.</w:t>
      </w:r>
      <w:r w:rsidR="00040779" w:rsidRPr="00F91404">
        <w:rPr>
          <w:rFonts w:cstheme="minorHAnsi"/>
          <w:sz w:val="20"/>
          <w:szCs w:val="20"/>
        </w:rPr>
        <w:t xml:space="preserve"> This section is descriptive in nature and is solely intended to establish context rather than evaluate policy effectiveness or market performance.</w:t>
      </w:r>
    </w:p>
    <w:p w14:paraId="492ED7F9" w14:textId="77777777" w:rsidR="0045250D" w:rsidRPr="00F91404" w:rsidRDefault="0045250D" w:rsidP="007C0A66">
      <w:pPr>
        <w:suppressAutoHyphens/>
        <w:spacing w:after="0"/>
        <w:rPr>
          <w:rFonts w:cstheme="minorHAnsi"/>
          <w:sz w:val="20"/>
          <w:szCs w:val="20"/>
        </w:rPr>
      </w:pPr>
    </w:p>
    <w:p w14:paraId="522AEC17" w14:textId="7FACCD1F" w:rsidR="005E4784" w:rsidRPr="00F91404" w:rsidRDefault="00B72177" w:rsidP="00AE1044">
      <w:pPr>
        <w:rPr>
          <w:b/>
          <w:color w:val="004C43" w:themeColor="accent1"/>
          <w:sz w:val="24"/>
          <w:szCs w:val="32"/>
        </w:rPr>
      </w:pPr>
      <w:bookmarkStart w:id="13" w:name="_Toc220695660"/>
      <w:bookmarkStart w:id="14" w:name="_Toc220695985"/>
      <w:r w:rsidRPr="00F91404">
        <w:rPr>
          <w:b/>
          <w:color w:val="004C43" w:themeColor="accent1"/>
          <w:sz w:val="24"/>
          <w:szCs w:val="32"/>
        </w:rPr>
        <w:t>3</w:t>
      </w:r>
      <w:r w:rsidR="00D643F2" w:rsidRPr="00F91404">
        <w:rPr>
          <w:b/>
          <w:color w:val="004C43" w:themeColor="accent1"/>
          <w:sz w:val="24"/>
          <w:szCs w:val="32"/>
        </w:rPr>
        <w:t>.1</w:t>
      </w:r>
      <w:r w:rsidR="00051D3A" w:rsidRPr="00F91404">
        <w:rPr>
          <w:b/>
          <w:color w:val="004C43" w:themeColor="accent1"/>
          <w:sz w:val="24"/>
          <w:szCs w:val="32"/>
        </w:rPr>
        <w:t xml:space="preserve"> </w:t>
      </w:r>
      <w:r w:rsidR="005E4784" w:rsidRPr="00F91404">
        <w:rPr>
          <w:b/>
          <w:color w:val="004C43" w:themeColor="accent1"/>
          <w:sz w:val="24"/>
          <w:szCs w:val="32"/>
        </w:rPr>
        <w:t xml:space="preserve">National </w:t>
      </w:r>
      <w:r w:rsidR="000F6169" w:rsidRPr="00F91404">
        <w:rPr>
          <w:b/>
          <w:color w:val="004C43" w:themeColor="accent1"/>
          <w:sz w:val="24"/>
          <w:szCs w:val="32"/>
        </w:rPr>
        <w:t>Energy and Climate Context</w:t>
      </w:r>
      <w:bookmarkEnd w:id="13"/>
      <w:bookmarkEnd w:id="14"/>
    </w:p>
    <w:p w14:paraId="53B003D9" w14:textId="523FFC77" w:rsidR="005E4784" w:rsidRPr="00F91404" w:rsidRDefault="005E4784" w:rsidP="000B6A3E">
      <w:pPr>
        <w:suppressAutoHyphens/>
        <w:rPr>
          <w:rFonts w:cstheme="minorHAnsi"/>
          <w:sz w:val="20"/>
          <w:szCs w:val="20"/>
        </w:rPr>
      </w:pPr>
      <w:r w:rsidRPr="00F91404">
        <w:rPr>
          <w:rFonts w:cstheme="minorHAnsi"/>
          <w:sz w:val="20"/>
          <w:szCs w:val="20"/>
        </w:rPr>
        <w:t>Mexico is undergoing a gradual energy transition within a system that remains heavily reliant on fossil fuels. Approximately three-quarters of electricity generation continues to be supplied by fossil sources, primarily natural gas, while low-carbon generation accounts for a significantly smaller share compared to regional and global averages. In response, the Federal Government of Mexico has articulated objectives to expand clean electricity generation through national energy planning instruments and its updated Nationally Determined Contribution (NDC 3.0), which identifies industrial decarbonisation as a priority area</w:t>
      </w:r>
      <w:r w:rsidRPr="00F91404">
        <w:rPr>
          <w:rStyle w:val="FootnoteReference"/>
          <w:rFonts w:cstheme="minorHAnsi"/>
          <w:szCs w:val="20"/>
        </w:rPr>
        <w:footnoteReference w:id="1"/>
      </w:r>
      <w:r w:rsidRPr="00F91404">
        <w:rPr>
          <w:rFonts w:cstheme="minorHAnsi"/>
          <w:sz w:val="20"/>
          <w:szCs w:val="20"/>
        </w:rPr>
        <w:t>.</w:t>
      </w:r>
    </w:p>
    <w:p w14:paraId="22908ACE" w14:textId="5ABE3C57" w:rsidR="005E4784" w:rsidRPr="00F91404" w:rsidRDefault="005E4784" w:rsidP="000B6A3E">
      <w:pPr>
        <w:suppressAutoHyphens/>
        <w:rPr>
          <w:rFonts w:cstheme="minorHAnsi"/>
          <w:sz w:val="20"/>
          <w:szCs w:val="20"/>
        </w:rPr>
      </w:pPr>
      <w:r w:rsidRPr="00F91404">
        <w:rPr>
          <w:rFonts w:cstheme="minorHAnsi"/>
          <w:sz w:val="20"/>
          <w:szCs w:val="20"/>
        </w:rPr>
        <w:t>Within this context, renewable hydrogen is increasingly considered as a potential complement to direct electrification, particularly for sectors where electrification is technically or economically challenging. International experience suggests that hydrogen deployment is most relevant in hard-to-abate sectors, such as refining, chemicals, fertilisers, mining and selected industrial processes, rather than in applications where direct electricity use is more efficient. Mexico’s exploration of green hydrogen aligns with this global pattern, positioning hydrogen as a potential long-term option rather than an immediate substitute across the energy system</w:t>
      </w:r>
      <w:r w:rsidRPr="00F91404">
        <w:rPr>
          <w:rStyle w:val="FootnoteReference"/>
          <w:rFonts w:cstheme="minorHAnsi"/>
          <w:szCs w:val="20"/>
        </w:rPr>
        <w:footnoteReference w:id="2"/>
      </w:r>
      <w:r w:rsidRPr="00F91404">
        <w:rPr>
          <w:rFonts w:cstheme="minorHAnsi"/>
          <w:sz w:val="20"/>
          <w:szCs w:val="20"/>
        </w:rPr>
        <w:t>.</w:t>
      </w:r>
    </w:p>
    <w:p w14:paraId="1E29B4B0" w14:textId="0206F986" w:rsidR="005E4784" w:rsidRPr="00F91404" w:rsidRDefault="005E4784" w:rsidP="000B6A3E">
      <w:pPr>
        <w:suppressAutoHyphens/>
        <w:rPr>
          <w:rFonts w:cstheme="minorHAnsi"/>
          <w:sz w:val="20"/>
          <w:szCs w:val="20"/>
        </w:rPr>
      </w:pPr>
      <w:r w:rsidRPr="00F91404">
        <w:rPr>
          <w:rFonts w:cstheme="minorHAnsi"/>
          <w:sz w:val="20"/>
          <w:szCs w:val="20"/>
        </w:rPr>
        <w:t>Mexico’s renewable resource endowment, particularly in solar and wind, is widely recognised as a structural advantage for potential green hydrogen production. Several regions combine high-quality renewable resources with proximity to industrial demand, transport corridors and ports, creating conditions that are commonly associated with early hydrogen clusters in other countries. However, as observed internationally, resource potential alone does not translate into deployment without supportive institutional, regulatory and market frameworks</w:t>
      </w:r>
      <w:r w:rsidRPr="00F91404">
        <w:rPr>
          <w:rStyle w:val="FootnoteReference"/>
          <w:rFonts w:cstheme="minorHAnsi"/>
          <w:szCs w:val="20"/>
        </w:rPr>
        <w:footnoteReference w:id="3"/>
      </w:r>
      <w:r w:rsidRPr="00F91404">
        <w:rPr>
          <w:rFonts w:cstheme="minorHAnsi"/>
          <w:sz w:val="20"/>
          <w:szCs w:val="20"/>
        </w:rPr>
        <w:t>.</w:t>
      </w:r>
    </w:p>
    <w:p w14:paraId="7A37356C" w14:textId="77777777" w:rsidR="0045250D" w:rsidRPr="00F91404" w:rsidRDefault="0045250D" w:rsidP="007C0A66">
      <w:pPr>
        <w:suppressAutoHyphens/>
        <w:spacing w:after="0"/>
        <w:rPr>
          <w:rFonts w:cstheme="minorHAnsi"/>
          <w:sz w:val="20"/>
          <w:szCs w:val="20"/>
        </w:rPr>
      </w:pPr>
    </w:p>
    <w:p w14:paraId="41059217" w14:textId="56E6A2A6" w:rsidR="005E4784" w:rsidRPr="00F91404" w:rsidRDefault="00B72177" w:rsidP="00AE1044">
      <w:pPr>
        <w:rPr>
          <w:b/>
        </w:rPr>
      </w:pPr>
      <w:bookmarkStart w:id="15" w:name="_Toc220695661"/>
      <w:bookmarkStart w:id="16" w:name="_Toc220695986"/>
      <w:r w:rsidRPr="00F91404">
        <w:rPr>
          <w:b/>
          <w:color w:val="004C43" w:themeColor="accent1"/>
          <w:sz w:val="24"/>
          <w:szCs w:val="32"/>
        </w:rPr>
        <w:t>3</w:t>
      </w:r>
      <w:r w:rsidR="00D643F2" w:rsidRPr="00F91404">
        <w:rPr>
          <w:b/>
          <w:color w:val="004C43" w:themeColor="accent1"/>
          <w:sz w:val="24"/>
          <w:szCs w:val="32"/>
        </w:rPr>
        <w:t xml:space="preserve">.2 </w:t>
      </w:r>
      <w:r w:rsidR="005E4784" w:rsidRPr="00F91404">
        <w:rPr>
          <w:b/>
          <w:color w:val="004C43" w:themeColor="accent1"/>
          <w:sz w:val="24"/>
          <w:szCs w:val="32"/>
        </w:rPr>
        <w:t>Role of hydrogen in Mexico’s industrial</w:t>
      </w:r>
      <w:bookmarkEnd w:id="15"/>
      <w:bookmarkEnd w:id="16"/>
      <w:r w:rsidR="00F46BA4" w:rsidRPr="00F91404">
        <w:rPr>
          <w:b/>
          <w:color w:val="004C43" w:themeColor="accent1"/>
          <w:sz w:val="24"/>
          <w:szCs w:val="32"/>
        </w:rPr>
        <w:t xml:space="preserve"> sector</w:t>
      </w:r>
    </w:p>
    <w:p w14:paraId="0DC24125" w14:textId="38327742" w:rsidR="005E4784" w:rsidRPr="00F91404" w:rsidRDefault="005E4784" w:rsidP="000B6A3E">
      <w:pPr>
        <w:suppressAutoHyphens/>
        <w:rPr>
          <w:rFonts w:cstheme="minorHAnsi"/>
          <w:sz w:val="20"/>
          <w:szCs w:val="20"/>
        </w:rPr>
      </w:pPr>
      <w:r w:rsidRPr="00F91404">
        <w:rPr>
          <w:rFonts w:cstheme="minorHAnsi"/>
          <w:sz w:val="20"/>
          <w:szCs w:val="20"/>
        </w:rPr>
        <w:t>Hydrogen is already used across several strategic industrial sectors in Mexico, most notably in oil refining, chemicals, mining, metals and fertiliser production. At present, this hydrogen is almost entirely fossil-based, produced primarily through steam methane reforming or similar conventional processes. Existing hydrogen use therefore reflects established industrial demand rather than low-carbon deployment</w:t>
      </w:r>
      <w:r w:rsidRPr="00F91404">
        <w:rPr>
          <w:rStyle w:val="FootnoteReference"/>
          <w:rFonts w:cstheme="minorHAnsi"/>
          <w:szCs w:val="20"/>
        </w:rPr>
        <w:footnoteReference w:id="4"/>
      </w:r>
      <w:r w:rsidRPr="00F91404">
        <w:rPr>
          <w:rFonts w:cstheme="minorHAnsi"/>
          <w:sz w:val="20"/>
          <w:szCs w:val="20"/>
        </w:rPr>
        <w:t>.</w:t>
      </w:r>
    </w:p>
    <w:p w14:paraId="7049D22D" w14:textId="0971414F" w:rsidR="005E4784" w:rsidRPr="00F91404" w:rsidRDefault="005E4784" w:rsidP="000B6A3E">
      <w:pPr>
        <w:suppressAutoHyphens/>
        <w:rPr>
          <w:rFonts w:cstheme="minorHAnsi"/>
          <w:sz w:val="20"/>
          <w:szCs w:val="20"/>
        </w:rPr>
      </w:pPr>
      <w:r w:rsidRPr="00F91404">
        <w:rPr>
          <w:rFonts w:cstheme="minorHAnsi"/>
          <w:sz w:val="20"/>
          <w:szCs w:val="20"/>
        </w:rPr>
        <w:t xml:space="preserve">From a green hydrogen perspective, these sectors represent natural entry points for future substitution. International experience indicates that incumbent hydrogen users are often among the first adopters of </w:t>
      </w:r>
      <w:r w:rsidRPr="00F91404">
        <w:rPr>
          <w:rFonts w:cstheme="minorHAnsi"/>
          <w:sz w:val="20"/>
          <w:szCs w:val="20"/>
        </w:rPr>
        <w:lastRenderedPageBreak/>
        <w:t>renewable hydrogen, as they possess existing technical capabilities, operational familiarity and, in some cases, concentrated demand. Recent sectoral analyses conducted as part of Mexico’s Clean Hydrogen Industrial Strategy estimate indicative, pilot-level substitution potential of over 390,000 tonnes of hydrogen per year across key sectors. This figure reflects technical potential rather than confirmed demand or committed offtake and should be interpreted accordingly</w:t>
      </w:r>
      <w:r w:rsidRPr="00F91404">
        <w:rPr>
          <w:rStyle w:val="FootnoteReference"/>
          <w:rFonts w:cstheme="minorHAnsi"/>
          <w:szCs w:val="20"/>
        </w:rPr>
        <w:footnoteReference w:id="5"/>
      </w:r>
      <w:r w:rsidRPr="00F91404">
        <w:rPr>
          <w:rFonts w:cstheme="minorHAnsi"/>
          <w:sz w:val="20"/>
          <w:szCs w:val="20"/>
        </w:rPr>
        <w:t>.</w:t>
      </w:r>
    </w:p>
    <w:p w14:paraId="5B10E8DB" w14:textId="060158CA" w:rsidR="005E4784" w:rsidRPr="00F91404" w:rsidRDefault="005E4784" w:rsidP="007C0A66">
      <w:pPr>
        <w:spacing w:after="0"/>
        <w:rPr>
          <w:rFonts w:cstheme="minorHAnsi"/>
          <w:sz w:val="20"/>
          <w:szCs w:val="20"/>
        </w:rPr>
      </w:pPr>
      <w:r w:rsidRPr="00F91404">
        <w:rPr>
          <w:rFonts w:cstheme="minorHAnsi"/>
          <w:sz w:val="20"/>
          <w:szCs w:val="20"/>
        </w:rPr>
        <w:t>Geographically, Mexico’s industrial activity and energy infrastructure are concentrated in a limited number of states, including Veracruz, Tamaulipas, Nuevo León, Sonora, Baja California and Durango. Several of these regions also exhibit strong renewable resource availability, creating opportunities for early co-location of renewable generation, electrolysis and industrial demand. International evidence suggests that such clustering can reduce integration costs and infrastructure requirements, particularly at early stages of market development</w:t>
      </w:r>
      <w:r w:rsidRPr="00F91404">
        <w:rPr>
          <w:rStyle w:val="FootnoteReference"/>
          <w:rFonts w:cstheme="minorHAnsi"/>
          <w:szCs w:val="20"/>
        </w:rPr>
        <w:footnoteReference w:id="6"/>
      </w:r>
      <w:r w:rsidRPr="00F91404">
        <w:rPr>
          <w:rFonts w:cstheme="minorHAnsi"/>
          <w:sz w:val="20"/>
          <w:szCs w:val="20"/>
        </w:rPr>
        <w:t>.</w:t>
      </w:r>
    </w:p>
    <w:p w14:paraId="37639152" w14:textId="77777777" w:rsidR="0045250D" w:rsidRPr="00F91404" w:rsidRDefault="0045250D" w:rsidP="007C0A66">
      <w:pPr>
        <w:spacing w:after="0"/>
        <w:rPr>
          <w:rFonts w:cstheme="minorHAnsi"/>
          <w:sz w:val="20"/>
          <w:szCs w:val="20"/>
        </w:rPr>
      </w:pPr>
    </w:p>
    <w:p w14:paraId="44FE8A30" w14:textId="77777777" w:rsidR="007C0A66" w:rsidRPr="00F91404" w:rsidRDefault="007C0A66" w:rsidP="007C0A66">
      <w:pPr>
        <w:spacing w:after="0"/>
        <w:rPr>
          <w:rFonts w:cstheme="minorHAnsi"/>
          <w:sz w:val="20"/>
          <w:szCs w:val="20"/>
        </w:rPr>
      </w:pPr>
    </w:p>
    <w:p w14:paraId="32C1F19A" w14:textId="71FDAAFF" w:rsidR="005E4784" w:rsidRPr="00F91404" w:rsidRDefault="00B72177" w:rsidP="00AE1044">
      <w:pPr>
        <w:rPr>
          <w:b/>
          <w:color w:val="004C43" w:themeColor="accent1"/>
          <w:sz w:val="24"/>
          <w:szCs w:val="24"/>
        </w:rPr>
      </w:pPr>
      <w:bookmarkStart w:id="17" w:name="_Toc220695662"/>
      <w:bookmarkStart w:id="18" w:name="_Toc220695987"/>
      <w:r w:rsidRPr="00F91404">
        <w:rPr>
          <w:b/>
          <w:color w:val="004C43" w:themeColor="accent1"/>
          <w:sz w:val="24"/>
          <w:szCs w:val="24"/>
        </w:rPr>
        <w:t>3</w:t>
      </w:r>
      <w:r w:rsidR="00D643F2" w:rsidRPr="00F91404">
        <w:rPr>
          <w:b/>
          <w:color w:val="004C43" w:themeColor="accent1"/>
          <w:sz w:val="24"/>
          <w:szCs w:val="24"/>
        </w:rPr>
        <w:t xml:space="preserve">.3 </w:t>
      </w:r>
      <w:r w:rsidR="005E4784" w:rsidRPr="00F91404">
        <w:rPr>
          <w:b/>
          <w:color w:val="004C43" w:themeColor="accent1"/>
          <w:sz w:val="24"/>
          <w:szCs w:val="24"/>
        </w:rPr>
        <w:t>Emerging project pipeline and current stage of development</w:t>
      </w:r>
      <w:bookmarkEnd w:id="17"/>
      <w:bookmarkEnd w:id="18"/>
    </w:p>
    <w:p w14:paraId="4477E60C" w14:textId="7CEC837C" w:rsidR="008E1A8B" w:rsidRPr="00F91404" w:rsidRDefault="005E4784" w:rsidP="00690D54">
      <w:pPr>
        <w:rPr>
          <w:rFonts w:cstheme="minorHAnsi"/>
          <w:sz w:val="20"/>
          <w:szCs w:val="20"/>
        </w:rPr>
      </w:pPr>
      <w:r w:rsidRPr="00F91404">
        <w:rPr>
          <w:rFonts w:cstheme="minorHAnsi"/>
          <w:sz w:val="20"/>
          <w:szCs w:val="20"/>
        </w:rPr>
        <w:t>Publicly available international databases, including those maintained by the International Energy Agency, indicate that interest in green hydrogen projects in Mexico is beginning to emerge across different regions and applications. Announced projects span a range of scales and end products, including hydrogen and hydrogen-derived products such as ammonia</w:t>
      </w:r>
      <w:r w:rsidRPr="00F91404">
        <w:rPr>
          <w:rStyle w:val="FootnoteReference"/>
          <w:rFonts w:cstheme="minorHAnsi"/>
          <w:szCs w:val="20"/>
        </w:rPr>
        <w:footnoteReference w:id="7"/>
      </w:r>
      <w:r w:rsidRPr="00F91404">
        <w:rPr>
          <w:rFonts w:cstheme="minorHAnsi"/>
          <w:sz w:val="20"/>
          <w:szCs w:val="20"/>
        </w:rPr>
        <w:t>.</w:t>
      </w:r>
    </w:p>
    <w:p w14:paraId="48159A61" w14:textId="53FB6F3F" w:rsidR="005E0C9D" w:rsidRPr="00F91404" w:rsidRDefault="005E0C9D" w:rsidP="005E0C9D">
      <w:pPr>
        <w:pStyle w:val="NormalWeb"/>
        <w:jc w:val="center"/>
        <w:rPr>
          <w:rFonts w:asciiTheme="minorHAnsi" w:hAnsiTheme="minorHAnsi" w:cstheme="minorHAnsi"/>
          <w:color w:val="2F333C" w:themeColor="text1"/>
          <w:sz w:val="20"/>
          <w:szCs w:val="20"/>
        </w:rPr>
      </w:pPr>
      <w:r w:rsidRPr="00F91404">
        <w:rPr>
          <w:rFonts w:asciiTheme="minorHAnsi" w:hAnsiTheme="minorHAnsi" w:cstheme="minorHAnsi"/>
          <w:b/>
          <w:sz w:val="18"/>
          <w:szCs w:val="18"/>
        </w:rPr>
        <w:t>Table 1. Indicative hydrogen project pipeline in Mexico (IEA)</w:t>
      </w:r>
      <w:r w:rsidRPr="00F91404">
        <w:rPr>
          <w:rStyle w:val="FootnoteReference"/>
          <w:rFonts w:cstheme="minorHAnsi"/>
          <w:b/>
          <w:color w:val="2F333C" w:themeColor="text1"/>
          <w:szCs w:val="20"/>
        </w:rPr>
        <w:footnoteReference w:id="8"/>
      </w:r>
    </w:p>
    <w:tbl>
      <w:tblPr>
        <w:tblStyle w:val="GridTable4-Accent2"/>
        <w:tblW w:w="0" w:type="auto"/>
        <w:tblLook w:val="04A0" w:firstRow="1" w:lastRow="0" w:firstColumn="1" w:lastColumn="0" w:noHBand="0" w:noVBand="1"/>
      </w:tblPr>
      <w:tblGrid>
        <w:gridCol w:w="3592"/>
        <w:gridCol w:w="983"/>
        <w:gridCol w:w="1090"/>
        <w:gridCol w:w="877"/>
        <w:gridCol w:w="984"/>
        <w:gridCol w:w="983"/>
        <w:gridCol w:w="984"/>
      </w:tblGrid>
      <w:tr w:rsidR="00D14B39" w:rsidRPr="00F91404" w14:paraId="7629E3D7" w14:textId="77777777" w:rsidTr="00662768">
        <w:trPr>
          <w:cnfStyle w:val="100000000000" w:firstRow="1" w:lastRow="0" w:firstColumn="0" w:lastColumn="0" w:oddVBand="0" w:evenVBand="0" w:oddHBand="0" w:evenHBand="0" w:firstRowFirstColumn="0" w:firstRowLastColumn="0" w:lastRowFirstColumn="0" w:lastRowLastColumn="0"/>
          <w:cantSplit/>
          <w:trHeight w:val="1216"/>
        </w:trPr>
        <w:tc>
          <w:tcPr>
            <w:cnfStyle w:val="001000000000" w:firstRow="0" w:lastRow="0" w:firstColumn="1" w:lastColumn="0" w:oddVBand="0" w:evenVBand="0" w:oddHBand="0" w:evenHBand="0" w:firstRowFirstColumn="0" w:firstRowLastColumn="0" w:lastRowFirstColumn="0" w:lastRowLastColumn="0"/>
            <w:tcW w:w="3592" w:type="dxa"/>
            <w:shd w:val="clear" w:color="auto" w:fill="004C43" w:themeFill="accent1"/>
            <w:textDirection w:val="tbRl"/>
            <w:vAlign w:val="center"/>
            <w:hideMark/>
          </w:tcPr>
          <w:p w14:paraId="7FD068DB" w14:textId="77777777" w:rsidR="005E0C9D" w:rsidRPr="00F91404" w:rsidRDefault="005E0C9D" w:rsidP="00662768">
            <w:pPr>
              <w:spacing w:after="0"/>
              <w:ind w:right="113"/>
              <w:jc w:val="center"/>
              <w:rPr>
                <w:rFonts w:asciiTheme="majorHAnsi" w:eastAsia="Times New Roman" w:hAnsiTheme="majorHAnsi" w:cstheme="majorHAnsi"/>
                <w:color w:val="FFFFFF"/>
                <w:sz w:val="18"/>
                <w:szCs w:val="18"/>
                <w:lang w:eastAsia="es-MX"/>
              </w:rPr>
            </w:pPr>
            <w:r w:rsidRPr="00F91404">
              <w:rPr>
                <w:rFonts w:asciiTheme="majorHAnsi" w:eastAsia="Times New Roman" w:hAnsiTheme="majorHAnsi" w:cstheme="majorHAnsi"/>
                <w:color w:val="FFFFFF"/>
                <w:sz w:val="18"/>
                <w:szCs w:val="18"/>
                <w:lang w:eastAsia="es-MX"/>
              </w:rPr>
              <w:t>Project name</w:t>
            </w:r>
          </w:p>
        </w:tc>
        <w:tc>
          <w:tcPr>
            <w:tcW w:w="983" w:type="dxa"/>
            <w:shd w:val="clear" w:color="auto" w:fill="004C43" w:themeFill="accent1"/>
            <w:textDirection w:val="tbRl"/>
            <w:vAlign w:val="center"/>
            <w:hideMark/>
          </w:tcPr>
          <w:p w14:paraId="79538FCB" w14:textId="77777777" w:rsidR="005E0C9D" w:rsidRPr="00F91404" w:rsidRDefault="005E0C9D" w:rsidP="00662768">
            <w:pPr>
              <w:spacing w:after="0"/>
              <w:ind w:right="113"/>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18"/>
                <w:szCs w:val="18"/>
                <w:lang w:eastAsia="es-MX"/>
              </w:rPr>
            </w:pPr>
            <w:r w:rsidRPr="00F91404">
              <w:rPr>
                <w:rFonts w:asciiTheme="majorHAnsi" w:eastAsia="Times New Roman" w:hAnsiTheme="majorHAnsi" w:cstheme="majorHAnsi"/>
                <w:color w:val="FFFFFF"/>
                <w:sz w:val="18"/>
                <w:szCs w:val="18"/>
                <w:lang w:eastAsia="es-MX"/>
              </w:rPr>
              <w:t>Status</w:t>
            </w:r>
          </w:p>
        </w:tc>
        <w:tc>
          <w:tcPr>
            <w:tcW w:w="1090" w:type="dxa"/>
            <w:shd w:val="clear" w:color="auto" w:fill="004C43" w:themeFill="accent1"/>
            <w:textDirection w:val="tbRl"/>
            <w:vAlign w:val="center"/>
            <w:hideMark/>
          </w:tcPr>
          <w:p w14:paraId="15C050DD" w14:textId="77777777" w:rsidR="005E0C9D" w:rsidRPr="00F91404" w:rsidRDefault="005E0C9D" w:rsidP="00662768">
            <w:pPr>
              <w:spacing w:after="0"/>
              <w:ind w:right="113"/>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18"/>
                <w:szCs w:val="18"/>
                <w:lang w:eastAsia="es-MX"/>
              </w:rPr>
            </w:pPr>
            <w:r w:rsidRPr="00F91404">
              <w:rPr>
                <w:rFonts w:asciiTheme="majorHAnsi" w:eastAsia="Times New Roman" w:hAnsiTheme="majorHAnsi" w:cstheme="majorHAnsi"/>
                <w:color w:val="FFFFFF"/>
                <w:sz w:val="18"/>
                <w:szCs w:val="18"/>
                <w:lang w:eastAsia="es-MX"/>
              </w:rPr>
              <w:t>Technology</w:t>
            </w:r>
          </w:p>
        </w:tc>
        <w:tc>
          <w:tcPr>
            <w:tcW w:w="877" w:type="dxa"/>
            <w:shd w:val="clear" w:color="auto" w:fill="004C43" w:themeFill="accent1"/>
            <w:textDirection w:val="tbRl"/>
            <w:vAlign w:val="center"/>
            <w:hideMark/>
          </w:tcPr>
          <w:p w14:paraId="0DEAFA57" w14:textId="77777777" w:rsidR="005E0C9D" w:rsidRPr="00F91404" w:rsidRDefault="005E0C9D" w:rsidP="00662768">
            <w:pPr>
              <w:spacing w:after="0"/>
              <w:ind w:right="113"/>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18"/>
                <w:szCs w:val="18"/>
                <w:lang w:eastAsia="es-MX"/>
              </w:rPr>
            </w:pPr>
            <w:r w:rsidRPr="00F91404">
              <w:rPr>
                <w:rFonts w:asciiTheme="majorHAnsi" w:eastAsia="Times New Roman" w:hAnsiTheme="majorHAnsi" w:cstheme="majorHAnsi"/>
                <w:color w:val="FFFFFF"/>
                <w:sz w:val="18"/>
                <w:szCs w:val="18"/>
                <w:lang w:eastAsia="es-MX"/>
              </w:rPr>
              <w:t>Product</w:t>
            </w:r>
          </w:p>
        </w:tc>
        <w:tc>
          <w:tcPr>
            <w:tcW w:w="984" w:type="dxa"/>
            <w:shd w:val="clear" w:color="auto" w:fill="004C43" w:themeFill="accent1"/>
            <w:textDirection w:val="tbRl"/>
            <w:vAlign w:val="center"/>
            <w:hideMark/>
          </w:tcPr>
          <w:p w14:paraId="0A929D19" w14:textId="77777777" w:rsidR="005E0C9D" w:rsidRPr="00F91404" w:rsidRDefault="005E0C9D" w:rsidP="00662768">
            <w:pPr>
              <w:spacing w:after="0"/>
              <w:ind w:right="113"/>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18"/>
                <w:szCs w:val="18"/>
                <w:lang w:eastAsia="es-MX"/>
              </w:rPr>
            </w:pPr>
            <w:r w:rsidRPr="00F91404">
              <w:rPr>
                <w:rFonts w:asciiTheme="majorHAnsi" w:eastAsia="Times New Roman" w:hAnsiTheme="majorHAnsi" w:cstheme="majorHAnsi"/>
                <w:color w:val="FFFFFF"/>
                <w:sz w:val="18"/>
                <w:szCs w:val="18"/>
                <w:lang w:eastAsia="es-MX"/>
              </w:rPr>
              <w:t>Capacity</w:t>
            </w:r>
          </w:p>
          <w:p w14:paraId="35A1721E" w14:textId="77777777" w:rsidR="005E0C9D" w:rsidRPr="00F91404" w:rsidRDefault="005E0C9D" w:rsidP="00662768">
            <w:pPr>
              <w:spacing w:after="0"/>
              <w:ind w:right="113"/>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18"/>
                <w:szCs w:val="18"/>
                <w:lang w:eastAsia="es-MX"/>
              </w:rPr>
            </w:pPr>
            <w:r w:rsidRPr="00F91404">
              <w:rPr>
                <w:rFonts w:asciiTheme="majorHAnsi" w:eastAsia="Times New Roman" w:hAnsiTheme="majorHAnsi" w:cstheme="majorHAnsi"/>
                <w:color w:val="FFFFFF"/>
                <w:sz w:val="18"/>
                <w:szCs w:val="18"/>
                <w:lang w:eastAsia="es-MX"/>
              </w:rPr>
              <w:t>(kt H</w:t>
            </w:r>
            <w:r w:rsidRPr="00F91404">
              <w:rPr>
                <w:rFonts w:ascii="Cambria Math" w:eastAsia="Times New Roman" w:hAnsi="Cambria Math" w:cs="Cambria Math"/>
                <w:color w:val="FFFFFF"/>
                <w:sz w:val="18"/>
                <w:szCs w:val="18"/>
                <w:lang w:eastAsia="es-MX"/>
              </w:rPr>
              <w:t>₂</w:t>
            </w:r>
            <w:r w:rsidRPr="00F91404">
              <w:rPr>
                <w:rFonts w:asciiTheme="majorHAnsi" w:eastAsia="Times New Roman" w:hAnsiTheme="majorHAnsi" w:cstheme="majorHAnsi"/>
                <w:color w:val="FFFFFF"/>
                <w:sz w:val="18"/>
                <w:szCs w:val="18"/>
                <w:lang w:eastAsia="es-MX"/>
              </w:rPr>
              <w:t>/y)</w:t>
            </w:r>
          </w:p>
        </w:tc>
        <w:tc>
          <w:tcPr>
            <w:tcW w:w="983" w:type="dxa"/>
            <w:shd w:val="clear" w:color="auto" w:fill="004C43" w:themeFill="accent1"/>
            <w:textDirection w:val="tbRl"/>
            <w:vAlign w:val="center"/>
            <w:hideMark/>
          </w:tcPr>
          <w:p w14:paraId="0DA3BEEB" w14:textId="77777777" w:rsidR="005E0C9D" w:rsidRPr="00F91404" w:rsidRDefault="005E0C9D" w:rsidP="00662768">
            <w:pPr>
              <w:spacing w:after="0"/>
              <w:ind w:right="113"/>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18"/>
                <w:szCs w:val="18"/>
                <w:lang w:eastAsia="es-MX"/>
              </w:rPr>
            </w:pPr>
            <w:r w:rsidRPr="00F91404">
              <w:rPr>
                <w:rFonts w:asciiTheme="majorHAnsi" w:eastAsia="Times New Roman" w:hAnsiTheme="majorHAnsi" w:cstheme="majorHAnsi"/>
                <w:color w:val="FFFFFF"/>
                <w:sz w:val="18"/>
                <w:szCs w:val="18"/>
                <w:lang w:eastAsia="es-MX"/>
              </w:rPr>
              <w:t>Location</w:t>
            </w:r>
          </w:p>
        </w:tc>
        <w:tc>
          <w:tcPr>
            <w:tcW w:w="984" w:type="dxa"/>
            <w:shd w:val="clear" w:color="auto" w:fill="004C43" w:themeFill="accent1"/>
            <w:textDirection w:val="tbRl"/>
            <w:vAlign w:val="center"/>
            <w:hideMark/>
          </w:tcPr>
          <w:p w14:paraId="5DE004ED" w14:textId="77777777" w:rsidR="005E0C9D" w:rsidRPr="00F91404" w:rsidRDefault="005E0C9D" w:rsidP="00662768">
            <w:pPr>
              <w:spacing w:after="0"/>
              <w:ind w:right="113"/>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18"/>
                <w:szCs w:val="18"/>
                <w:lang w:eastAsia="es-MX"/>
              </w:rPr>
            </w:pPr>
            <w:r w:rsidRPr="00F91404">
              <w:rPr>
                <w:rFonts w:asciiTheme="majorHAnsi" w:eastAsia="Times New Roman" w:hAnsiTheme="majorHAnsi" w:cstheme="majorHAnsi"/>
                <w:color w:val="FFFFFF"/>
                <w:sz w:val="18"/>
                <w:szCs w:val="18"/>
                <w:lang w:eastAsia="es-MX"/>
              </w:rPr>
              <w:t>Estimated date</w:t>
            </w:r>
          </w:p>
        </w:tc>
      </w:tr>
      <w:tr w:rsidR="00D14B39" w:rsidRPr="00F91404" w14:paraId="63C3E968" w14:textId="77777777" w:rsidTr="00D14B39">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4016B6F3" w14:textId="77777777"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Ikal Solar – DH2 green hydrogen project</w:t>
            </w:r>
          </w:p>
        </w:tc>
        <w:tc>
          <w:tcPr>
            <w:tcW w:w="983" w:type="dxa"/>
            <w:vAlign w:val="center"/>
            <w:hideMark/>
          </w:tcPr>
          <w:p w14:paraId="42756E41"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Concept</w:t>
            </w:r>
          </w:p>
        </w:tc>
        <w:tc>
          <w:tcPr>
            <w:tcW w:w="1090" w:type="dxa"/>
            <w:vAlign w:val="center"/>
            <w:hideMark/>
          </w:tcPr>
          <w:p w14:paraId="2E13959F"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Other </w:t>
            </w:r>
          </w:p>
          <w:p w14:paraId="405FBEB7"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34245709"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w:t>
            </w:r>
            <w:r w:rsidRPr="00F91404">
              <w:rPr>
                <w:rFonts w:ascii="Cambria Math" w:eastAsia="Times New Roman" w:hAnsi="Cambria Math" w:cs="Cambria Math"/>
                <w:color w:val="2F333C"/>
                <w:sz w:val="16"/>
                <w:szCs w:val="16"/>
                <w:lang w:eastAsia="es-MX"/>
              </w:rPr>
              <w:t>₂</w:t>
            </w:r>
          </w:p>
        </w:tc>
        <w:tc>
          <w:tcPr>
            <w:tcW w:w="984" w:type="dxa"/>
            <w:vAlign w:val="center"/>
            <w:hideMark/>
          </w:tcPr>
          <w:p w14:paraId="712BC4F7"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413</w:t>
            </w:r>
          </w:p>
        </w:tc>
        <w:tc>
          <w:tcPr>
            <w:tcW w:w="983" w:type="dxa"/>
            <w:vAlign w:val="center"/>
            <w:hideMark/>
          </w:tcPr>
          <w:p w14:paraId="3730299F"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Nuevo León</w:t>
            </w:r>
          </w:p>
        </w:tc>
        <w:tc>
          <w:tcPr>
            <w:tcW w:w="984" w:type="dxa"/>
            <w:vAlign w:val="center"/>
            <w:hideMark/>
          </w:tcPr>
          <w:p w14:paraId="4DB99632"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NA</w:t>
            </w:r>
          </w:p>
        </w:tc>
      </w:tr>
      <w:tr w:rsidR="00D14B39" w:rsidRPr="00F91404" w14:paraId="0BA34FA2" w14:textId="77777777" w:rsidTr="00D14B39">
        <w:trPr>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2A56B5BC" w14:textId="77777777" w:rsidR="00401634" w:rsidRPr="004278C7" w:rsidRDefault="005E0C9D">
            <w:pPr>
              <w:spacing w:after="0"/>
              <w:rPr>
                <w:rFonts w:asciiTheme="majorHAnsi" w:eastAsia="Times New Roman" w:hAnsiTheme="majorHAnsi" w:cstheme="majorHAnsi"/>
                <w:b w:val="0"/>
                <w:color w:val="2F333C"/>
                <w:sz w:val="16"/>
                <w:szCs w:val="16"/>
                <w:lang w:val="es-MX" w:eastAsia="es-MX"/>
              </w:rPr>
            </w:pPr>
            <w:r w:rsidRPr="004278C7">
              <w:rPr>
                <w:rFonts w:asciiTheme="majorHAnsi" w:eastAsia="Times New Roman" w:hAnsiTheme="majorHAnsi" w:cstheme="majorHAnsi"/>
                <w:color w:val="2F333C"/>
                <w:sz w:val="16"/>
                <w:szCs w:val="16"/>
                <w:lang w:val="es-MX" w:eastAsia="es-MX"/>
              </w:rPr>
              <w:t xml:space="preserve">Aslan Net-zero Energy Mexico (ANEM) – </w:t>
            </w:r>
          </w:p>
          <w:p w14:paraId="6DDE348A" w14:textId="3ADC23D0"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Phase I</w:t>
            </w:r>
          </w:p>
        </w:tc>
        <w:tc>
          <w:tcPr>
            <w:tcW w:w="983" w:type="dxa"/>
            <w:vAlign w:val="center"/>
            <w:hideMark/>
          </w:tcPr>
          <w:p w14:paraId="00927258"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Concept</w:t>
            </w:r>
          </w:p>
        </w:tc>
        <w:tc>
          <w:tcPr>
            <w:tcW w:w="1090" w:type="dxa"/>
            <w:vAlign w:val="center"/>
            <w:hideMark/>
          </w:tcPr>
          <w:p w14:paraId="0D395624"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Other </w:t>
            </w:r>
          </w:p>
          <w:p w14:paraId="6BAA5115"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7FF58C32"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w:t>
            </w:r>
            <w:r w:rsidRPr="00F91404">
              <w:rPr>
                <w:rFonts w:ascii="Cambria Math" w:eastAsia="Times New Roman" w:hAnsi="Cambria Math" w:cs="Cambria Math"/>
                <w:color w:val="2F333C"/>
                <w:sz w:val="16"/>
                <w:szCs w:val="16"/>
                <w:lang w:eastAsia="es-MX"/>
              </w:rPr>
              <w:t>₂</w:t>
            </w:r>
          </w:p>
        </w:tc>
        <w:tc>
          <w:tcPr>
            <w:tcW w:w="984" w:type="dxa"/>
            <w:vAlign w:val="center"/>
            <w:hideMark/>
          </w:tcPr>
          <w:p w14:paraId="0A10629D"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360</w:t>
            </w:r>
          </w:p>
        </w:tc>
        <w:tc>
          <w:tcPr>
            <w:tcW w:w="983" w:type="dxa"/>
            <w:vAlign w:val="center"/>
            <w:hideMark/>
          </w:tcPr>
          <w:p w14:paraId="31A3CBAC"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Sonora</w:t>
            </w:r>
          </w:p>
        </w:tc>
        <w:tc>
          <w:tcPr>
            <w:tcW w:w="984" w:type="dxa"/>
            <w:vAlign w:val="center"/>
            <w:hideMark/>
          </w:tcPr>
          <w:p w14:paraId="73C94685"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2028</w:t>
            </w:r>
          </w:p>
        </w:tc>
      </w:tr>
      <w:tr w:rsidR="00D14B39" w:rsidRPr="00F91404" w14:paraId="56F7FDA5" w14:textId="77777777" w:rsidTr="00D14B39">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5A64B47A" w14:textId="77777777" w:rsidR="00401634" w:rsidRPr="004278C7" w:rsidRDefault="005E0C9D">
            <w:pPr>
              <w:spacing w:after="0"/>
              <w:rPr>
                <w:rFonts w:asciiTheme="majorHAnsi" w:eastAsia="Times New Roman" w:hAnsiTheme="majorHAnsi" w:cstheme="majorHAnsi"/>
                <w:b w:val="0"/>
                <w:color w:val="2F333C"/>
                <w:sz w:val="16"/>
                <w:szCs w:val="16"/>
                <w:lang w:val="es-MX" w:eastAsia="es-MX"/>
              </w:rPr>
            </w:pPr>
            <w:r w:rsidRPr="004278C7">
              <w:rPr>
                <w:rFonts w:asciiTheme="majorHAnsi" w:eastAsia="Times New Roman" w:hAnsiTheme="majorHAnsi" w:cstheme="majorHAnsi"/>
                <w:color w:val="2F333C"/>
                <w:sz w:val="16"/>
                <w:szCs w:val="16"/>
                <w:lang w:val="es-MX" w:eastAsia="es-MX"/>
              </w:rPr>
              <w:t xml:space="preserve">Aslan Net-zero Energy Mexico (ANEM) – </w:t>
            </w:r>
          </w:p>
          <w:p w14:paraId="1332C24F" w14:textId="5B86B899"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Phase II</w:t>
            </w:r>
          </w:p>
        </w:tc>
        <w:tc>
          <w:tcPr>
            <w:tcW w:w="983" w:type="dxa"/>
            <w:vAlign w:val="center"/>
            <w:hideMark/>
          </w:tcPr>
          <w:p w14:paraId="1D551CFB"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Concept</w:t>
            </w:r>
          </w:p>
        </w:tc>
        <w:tc>
          <w:tcPr>
            <w:tcW w:w="1090" w:type="dxa"/>
            <w:vAlign w:val="center"/>
            <w:hideMark/>
          </w:tcPr>
          <w:p w14:paraId="65457936"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Other </w:t>
            </w:r>
          </w:p>
          <w:p w14:paraId="3547F704"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24DC2B99"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w:t>
            </w:r>
            <w:r w:rsidRPr="00F91404">
              <w:rPr>
                <w:rFonts w:ascii="Cambria Math" w:eastAsia="Times New Roman" w:hAnsi="Cambria Math" w:cs="Cambria Math"/>
                <w:color w:val="2F333C"/>
                <w:sz w:val="16"/>
                <w:szCs w:val="16"/>
                <w:lang w:eastAsia="es-MX"/>
              </w:rPr>
              <w:t>₂</w:t>
            </w:r>
          </w:p>
        </w:tc>
        <w:tc>
          <w:tcPr>
            <w:tcW w:w="984" w:type="dxa"/>
            <w:vAlign w:val="center"/>
            <w:hideMark/>
          </w:tcPr>
          <w:p w14:paraId="2D814993"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360</w:t>
            </w:r>
          </w:p>
        </w:tc>
        <w:tc>
          <w:tcPr>
            <w:tcW w:w="983" w:type="dxa"/>
            <w:vAlign w:val="center"/>
            <w:hideMark/>
          </w:tcPr>
          <w:p w14:paraId="53F060B2"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Sonora</w:t>
            </w:r>
          </w:p>
        </w:tc>
        <w:tc>
          <w:tcPr>
            <w:tcW w:w="984" w:type="dxa"/>
            <w:vAlign w:val="center"/>
            <w:hideMark/>
          </w:tcPr>
          <w:p w14:paraId="47BA73C4"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2030</w:t>
            </w:r>
          </w:p>
        </w:tc>
      </w:tr>
      <w:tr w:rsidR="00D14B39" w:rsidRPr="00F91404" w14:paraId="45603DD9" w14:textId="77777777" w:rsidTr="00D14B39">
        <w:trPr>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02CA7BCF" w14:textId="77777777"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Tango Solar Sinaloa plant</w:t>
            </w:r>
          </w:p>
        </w:tc>
        <w:tc>
          <w:tcPr>
            <w:tcW w:w="983" w:type="dxa"/>
            <w:vAlign w:val="center"/>
            <w:hideMark/>
          </w:tcPr>
          <w:p w14:paraId="2CFC7803"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Concept</w:t>
            </w:r>
          </w:p>
        </w:tc>
        <w:tc>
          <w:tcPr>
            <w:tcW w:w="1090" w:type="dxa"/>
            <w:vAlign w:val="center"/>
            <w:hideMark/>
          </w:tcPr>
          <w:p w14:paraId="6C94CD54"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Other </w:t>
            </w:r>
          </w:p>
          <w:p w14:paraId="2395EFE0"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4A202EA1"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w:t>
            </w:r>
            <w:r w:rsidRPr="00F91404">
              <w:rPr>
                <w:rFonts w:ascii="Cambria Math" w:eastAsia="Times New Roman" w:hAnsi="Cambria Math" w:cs="Cambria Math"/>
                <w:color w:val="2F333C"/>
                <w:sz w:val="16"/>
                <w:szCs w:val="16"/>
                <w:lang w:eastAsia="es-MX"/>
              </w:rPr>
              <w:t>₂</w:t>
            </w:r>
          </w:p>
        </w:tc>
        <w:tc>
          <w:tcPr>
            <w:tcW w:w="984" w:type="dxa"/>
            <w:vAlign w:val="center"/>
            <w:hideMark/>
          </w:tcPr>
          <w:p w14:paraId="4FA9B08D"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140</w:t>
            </w:r>
          </w:p>
        </w:tc>
        <w:tc>
          <w:tcPr>
            <w:tcW w:w="983" w:type="dxa"/>
            <w:vAlign w:val="center"/>
            <w:hideMark/>
          </w:tcPr>
          <w:p w14:paraId="3BE6F7CD"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Sinaloa</w:t>
            </w:r>
          </w:p>
        </w:tc>
        <w:tc>
          <w:tcPr>
            <w:tcW w:w="984" w:type="dxa"/>
            <w:vAlign w:val="center"/>
            <w:hideMark/>
          </w:tcPr>
          <w:p w14:paraId="26BD4080"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NA</w:t>
            </w:r>
          </w:p>
        </w:tc>
      </w:tr>
      <w:tr w:rsidR="00D14B39" w:rsidRPr="00F91404" w14:paraId="4724E67D" w14:textId="77777777" w:rsidTr="00D14B39">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18319563" w14:textId="77777777"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DH2 Sinaloa</w:t>
            </w:r>
          </w:p>
        </w:tc>
        <w:tc>
          <w:tcPr>
            <w:tcW w:w="983" w:type="dxa"/>
            <w:vAlign w:val="center"/>
            <w:hideMark/>
          </w:tcPr>
          <w:p w14:paraId="413CAB7D"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Concept</w:t>
            </w:r>
          </w:p>
        </w:tc>
        <w:tc>
          <w:tcPr>
            <w:tcW w:w="1090" w:type="dxa"/>
            <w:vAlign w:val="center"/>
            <w:hideMark/>
          </w:tcPr>
          <w:p w14:paraId="4F8BC0E9"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Other </w:t>
            </w:r>
          </w:p>
          <w:p w14:paraId="3F749711"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76D43AA5"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w:t>
            </w:r>
            <w:r w:rsidRPr="00F91404">
              <w:rPr>
                <w:rFonts w:ascii="Cambria Math" w:eastAsia="Times New Roman" w:hAnsi="Cambria Math" w:cs="Cambria Math"/>
                <w:color w:val="2F333C"/>
                <w:sz w:val="16"/>
                <w:szCs w:val="16"/>
                <w:lang w:eastAsia="es-MX"/>
              </w:rPr>
              <w:t>₂</w:t>
            </w:r>
          </w:p>
        </w:tc>
        <w:tc>
          <w:tcPr>
            <w:tcW w:w="984" w:type="dxa"/>
            <w:vAlign w:val="center"/>
            <w:hideMark/>
          </w:tcPr>
          <w:p w14:paraId="46DAB31E"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138</w:t>
            </w:r>
          </w:p>
        </w:tc>
        <w:tc>
          <w:tcPr>
            <w:tcW w:w="983" w:type="dxa"/>
            <w:vAlign w:val="center"/>
            <w:hideMark/>
          </w:tcPr>
          <w:p w14:paraId="4F166462"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Sinaloa</w:t>
            </w:r>
          </w:p>
        </w:tc>
        <w:tc>
          <w:tcPr>
            <w:tcW w:w="984" w:type="dxa"/>
            <w:vAlign w:val="center"/>
            <w:hideMark/>
          </w:tcPr>
          <w:p w14:paraId="2915DF51"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NA</w:t>
            </w:r>
          </w:p>
        </w:tc>
      </w:tr>
      <w:tr w:rsidR="00D14B39" w:rsidRPr="00F91404" w14:paraId="658AA646" w14:textId="77777777" w:rsidTr="00D14B39">
        <w:trPr>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6DAB2EDC" w14:textId="24ADAAE5"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Mexican Green Hydrogen Hub (Phase 1)</w:t>
            </w:r>
          </w:p>
        </w:tc>
        <w:tc>
          <w:tcPr>
            <w:tcW w:w="983" w:type="dxa"/>
            <w:vAlign w:val="center"/>
            <w:hideMark/>
          </w:tcPr>
          <w:p w14:paraId="5B31ABE0"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Feasibility study</w:t>
            </w:r>
          </w:p>
        </w:tc>
        <w:tc>
          <w:tcPr>
            <w:tcW w:w="1090" w:type="dxa"/>
            <w:vAlign w:val="center"/>
            <w:hideMark/>
          </w:tcPr>
          <w:p w14:paraId="1B9B9741"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PEM </w:t>
            </w:r>
          </w:p>
          <w:p w14:paraId="3B065B26"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7DE3A608"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Ammonia</w:t>
            </w:r>
          </w:p>
        </w:tc>
        <w:tc>
          <w:tcPr>
            <w:tcW w:w="984" w:type="dxa"/>
            <w:vAlign w:val="center"/>
            <w:hideMark/>
          </w:tcPr>
          <w:p w14:paraId="216569F5"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102.0 </w:t>
            </w:r>
            <w:r w:rsidRPr="00F91404">
              <w:rPr>
                <w:rFonts w:asciiTheme="majorHAnsi" w:eastAsia="Times New Roman" w:hAnsiTheme="majorHAnsi" w:cstheme="majorHAnsi"/>
                <w:color w:val="000000"/>
                <w:sz w:val="16"/>
                <w:szCs w:val="16"/>
                <w:lang w:eastAsia="es-MX"/>
              </w:rPr>
              <w:t> </w:t>
            </w:r>
          </w:p>
        </w:tc>
        <w:tc>
          <w:tcPr>
            <w:tcW w:w="983" w:type="dxa"/>
            <w:vAlign w:val="center"/>
            <w:hideMark/>
          </w:tcPr>
          <w:p w14:paraId="4A9EA8F4"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Durango</w:t>
            </w:r>
          </w:p>
        </w:tc>
        <w:tc>
          <w:tcPr>
            <w:tcW w:w="984" w:type="dxa"/>
            <w:vAlign w:val="center"/>
            <w:hideMark/>
          </w:tcPr>
          <w:p w14:paraId="43C48762"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2028</w:t>
            </w:r>
          </w:p>
        </w:tc>
      </w:tr>
      <w:tr w:rsidR="00D14B39" w:rsidRPr="00F91404" w14:paraId="69362FA5" w14:textId="77777777" w:rsidTr="00D14B39">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1319A5F2" w14:textId="77777777"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Neptuno Solar Green Hydrogen Project</w:t>
            </w:r>
          </w:p>
        </w:tc>
        <w:tc>
          <w:tcPr>
            <w:tcW w:w="983" w:type="dxa"/>
            <w:vAlign w:val="center"/>
            <w:hideMark/>
          </w:tcPr>
          <w:p w14:paraId="59FFF893"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Concept</w:t>
            </w:r>
          </w:p>
        </w:tc>
        <w:tc>
          <w:tcPr>
            <w:tcW w:w="1090" w:type="dxa"/>
            <w:vAlign w:val="center"/>
            <w:hideMark/>
          </w:tcPr>
          <w:p w14:paraId="4BEFFA11"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Other </w:t>
            </w:r>
          </w:p>
          <w:p w14:paraId="50592FC6"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088A915B"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w:t>
            </w:r>
            <w:r w:rsidRPr="00F91404">
              <w:rPr>
                <w:rFonts w:ascii="Cambria Math" w:eastAsia="Times New Roman" w:hAnsi="Cambria Math" w:cs="Cambria Math"/>
                <w:color w:val="2F333C"/>
                <w:sz w:val="16"/>
                <w:szCs w:val="16"/>
                <w:lang w:eastAsia="es-MX"/>
              </w:rPr>
              <w:t>₂</w:t>
            </w:r>
          </w:p>
        </w:tc>
        <w:tc>
          <w:tcPr>
            <w:tcW w:w="984" w:type="dxa"/>
            <w:vAlign w:val="center"/>
            <w:hideMark/>
          </w:tcPr>
          <w:p w14:paraId="46F6FC0B"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61</w:t>
            </w:r>
          </w:p>
        </w:tc>
        <w:tc>
          <w:tcPr>
            <w:tcW w:w="983" w:type="dxa"/>
            <w:vAlign w:val="center"/>
            <w:hideMark/>
          </w:tcPr>
          <w:p w14:paraId="0C2FFD61"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San Luis </w:t>
            </w:r>
          </w:p>
          <w:p w14:paraId="28181B60"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Potosí</w:t>
            </w:r>
          </w:p>
        </w:tc>
        <w:tc>
          <w:tcPr>
            <w:tcW w:w="984" w:type="dxa"/>
            <w:vAlign w:val="center"/>
            <w:hideMark/>
          </w:tcPr>
          <w:p w14:paraId="3FDF0100"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NA</w:t>
            </w:r>
          </w:p>
        </w:tc>
      </w:tr>
      <w:tr w:rsidR="00D14B39" w:rsidRPr="00F91404" w14:paraId="27371618" w14:textId="77777777" w:rsidTr="00D14B39">
        <w:trPr>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5ECEB431" w14:textId="77777777"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Dhamma Energy Guanajuato</w:t>
            </w:r>
          </w:p>
        </w:tc>
        <w:tc>
          <w:tcPr>
            <w:tcW w:w="983" w:type="dxa"/>
            <w:vAlign w:val="center"/>
            <w:hideMark/>
          </w:tcPr>
          <w:p w14:paraId="3AE3A12E"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Concept</w:t>
            </w:r>
          </w:p>
        </w:tc>
        <w:tc>
          <w:tcPr>
            <w:tcW w:w="1090" w:type="dxa"/>
            <w:vAlign w:val="center"/>
            <w:hideMark/>
          </w:tcPr>
          <w:p w14:paraId="49AB3255"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Other </w:t>
            </w:r>
          </w:p>
          <w:p w14:paraId="47B6D1CD"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4B9B8707"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w:t>
            </w:r>
            <w:r w:rsidRPr="00F91404">
              <w:rPr>
                <w:rFonts w:ascii="Cambria Math" w:eastAsia="Times New Roman" w:hAnsi="Cambria Math" w:cs="Cambria Math"/>
                <w:color w:val="2F333C"/>
                <w:sz w:val="16"/>
                <w:szCs w:val="16"/>
                <w:lang w:eastAsia="es-MX"/>
              </w:rPr>
              <w:t>₂</w:t>
            </w:r>
          </w:p>
        </w:tc>
        <w:tc>
          <w:tcPr>
            <w:tcW w:w="984" w:type="dxa"/>
            <w:vAlign w:val="center"/>
            <w:hideMark/>
          </w:tcPr>
          <w:p w14:paraId="2898046A"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42</w:t>
            </w:r>
          </w:p>
        </w:tc>
        <w:tc>
          <w:tcPr>
            <w:tcW w:w="983" w:type="dxa"/>
            <w:vAlign w:val="center"/>
            <w:hideMark/>
          </w:tcPr>
          <w:p w14:paraId="6AEE2D6C"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Guanajuato</w:t>
            </w:r>
          </w:p>
        </w:tc>
        <w:tc>
          <w:tcPr>
            <w:tcW w:w="984" w:type="dxa"/>
            <w:vAlign w:val="center"/>
            <w:hideMark/>
          </w:tcPr>
          <w:p w14:paraId="4E517D0C"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NA</w:t>
            </w:r>
          </w:p>
        </w:tc>
      </w:tr>
      <w:tr w:rsidR="00D14B39" w:rsidRPr="00F91404" w14:paraId="570E302F" w14:textId="77777777" w:rsidTr="00D14B39">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07575D4E" w14:textId="77777777"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Hy2gen Yucatan Marengo (1)</w:t>
            </w:r>
          </w:p>
        </w:tc>
        <w:tc>
          <w:tcPr>
            <w:tcW w:w="983" w:type="dxa"/>
            <w:vAlign w:val="center"/>
            <w:hideMark/>
          </w:tcPr>
          <w:p w14:paraId="3DA330DC"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Concept</w:t>
            </w:r>
          </w:p>
        </w:tc>
        <w:tc>
          <w:tcPr>
            <w:tcW w:w="1090" w:type="dxa"/>
            <w:vAlign w:val="center"/>
            <w:hideMark/>
          </w:tcPr>
          <w:p w14:paraId="38963240"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Alkaline </w:t>
            </w:r>
          </w:p>
          <w:p w14:paraId="7512A247"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66E8869C"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Ammonia</w:t>
            </w:r>
          </w:p>
        </w:tc>
        <w:tc>
          <w:tcPr>
            <w:tcW w:w="984" w:type="dxa"/>
            <w:vAlign w:val="center"/>
            <w:hideMark/>
          </w:tcPr>
          <w:p w14:paraId="01810297"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27.1</w:t>
            </w:r>
          </w:p>
        </w:tc>
        <w:tc>
          <w:tcPr>
            <w:tcW w:w="983" w:type="dxa"/>
            <w:vAlign w:val="center"/>
            <w:hideMark/>
          </w:tcPr>
          <w:p w14:paraId="4D4D0E41"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Yucatán</w:t>
            </w:r>
          </w:p>
        </w:tc>
        <w:tc>
          <w:tcPr>
            <w:tcW w:w="984" w:type="dxa"/>
            <w:vAlign w:val="center"/>
            <w:hideMark/>
          </w:tcPr>
          <w:p w14:paraId="2028C4AF"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2028</w:t>
            </w:r>
          </w:p>
        </w:tc>
      </w:tr>
      <w:tr w:rsidR="00D14B39" w:rsidRPr="00F91404" w14:paraId="7962880E" w14:textId="77777777" w:rsidTr="00D14B39">
        <w:trPr>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565B6745" w14:textId="77777777"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Delicias Solar</w:t>
            </w:r>
          </w:p>
        </w:tc>
        <w:tc>
          <w:tcPr>
            <w:tcW w:w="983" w:type="dxa"/>
            <w:vAlign w:val="center"/>
            <w:hideMark/>
          </w:tcPr>
          <w:p w14:paraId="0B95A700"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Feasibility study</w:t>
            </w:r>
          </w:p>
        </w:tc>
        <w:tc>
          <w:tcPr>
            <w:tcW w:w="1090" w:type="dxa"/>
            <w:vAlign w:val="center"/>
            <w:hideMark/>
          </w:tcPr>
          <w:p w14:paraId="073451D1"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Other </w:t>
            </w:r>
          </w:p>
          <w:p w14:paraId="7D3375D8"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3A3CE524"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w:t>
            </w:r>
            <w:r w:rsidRPr="00F91404">
              <w:rPr>
                <w:rFonts w:ascii="Cambria Math" w:eastAsia="Times New Roman" w:hAnsi="Cambria Math" w:cs="Cambria Math"/>
                <w:color w:val="2F333C"/>
                <w:sz w:val="16"/>
                <w:szCs w:val="16"/>
                <w:lang w:eastAsia="es-MX"/>
              </w:rPr>
              <w:t>₂</w:t>
            </w:r>
          </w:p>
        </w:tc>
        <w:tc>
          <w:tcPr>
            <w:tcW w:w="984" w:type="dxa"/>
            <w:vAlign w:val="center"/>
            <w:hideMark/>
          </w:tcPr>
          <w:p w14:paraId="4D2F71B7"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6.1</w:t>
            </w:r>
          </w:p>
        </w:tc>
        <w:tc>
          <w:tcPr>
            <w:tcW w:w="983" w:type="dxa"/>
            <w:vAlign w:val="center"/>
            <w:hideMark/>
          </w:tcPr>
          <w:p w14:paraId="302A58F1"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Guanajuato</w:t>
            </w:r>
          </w:p>
        </w:tc>
        <w:tc>
          <w:tcPr>
            <w:tcW w:w="984" w:type="dxa"/>
            <w:vAlign w:val="center"/>
            <w:hideMark/>
          </w:tcPr>
          <w:p w14:paraId="63A2D8C2"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2026</w:t>
            </w:r>
          </w:p>
        </w:tc>
      </w:tr>
      <w:tr w:rsidR="00D14B39" w:rsidRPr="00F91404" w14:paraId="0F95D3BD" w14:textId="77777777" w:rsidTr="00D14B39">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540A6B69" w14:textId="77777777"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Hy2gen Yucatan Marengo (2)</w:t>
            </w:r>
          </w:p>
        </w:tc>
        <w:tc>
          <w:tcPr>
            <w:tcW w:w="983" w:type="dxa"/>
            <w:vAlign w:val="center"/>
            <w:hideMark/>
          </w:tcPr>
          <w:p w14:paraId="2EC76B65"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Concept</w:t>
            </w:r>
          </w:p>
        </w:tc>
        <w:tc>
          <w:tcPr>
            <w:tcW w:w="1090" w:type="dxa"/>
            <w:vAlign w:val="center"/>
            <w:hideMark/>
          </w:tcPr>
          <w:p w14:paraId="336FC9C6"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PEM </w:t>
            </w:r>
          </w:p>
          <w:p w14:paraId="629C80BA"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29034A92"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Ammonia</w:t>
            </w:r>
          </w:p>
        </w:tc>
        <w:tc>
          <w:tcPr>
            <w:tcW w:w="984" w:type="dxa"/>
            <w:vAlign w:val="center"/>
            <w:hideMark/>
          </w:tcPr>
          <w:p w14:paraId="7E508533"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6</w:t>
            </w:r>
          </w:p>
        </w:tc>
        <w:tc>
          <w:tcPr>
            <w:tcW w:w="983" w:type="dxa"/>
            <w:vAlign w:val="center"/>
            <w:hideMark/>
          </w:tcPr>
          <w:p w14:paraId="7212DE46" w14:textId="77777777" w:rsidR="005E0C9D" w:rsidRPr="00F91404" w:rsidRDefault="005E0C9D">
            <w:pPr>
              <w:spacing w:after="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Yucatán</w:t>
            </w:r>
          </w:p>
        </w:tc>
        <w:tc>
          <w:tcPr>
            <w:tcW w:w="984" w:type="dxa"/>
            <w:vAlign w:val="center"/>
            <w:hideMark/>
          </w:tcPr>
          <w:p w14:paraId="58E6213C" w14:textId="77777777" w:rsidR="005E0C9D" w:rsidRPr="00F91404" w:rsidRDefault="005E0C9D">
            <w:pPr>
              <w:spacing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2028</w:t>
            </w:r>
          </w:p>
        </w:tc>
      </w:tr>
      <w:tr w:rsidR="00D14B39" w:rsidRPr="00F91404" w14:paraId="42748ED9" w14:textId="77777777" w:rsidTr="00D14B39">
        <w:trPr>
          <w:trHeight w:val="452"/>
        </w:trPr>
        <w:tc>
          <w:tcPr>
            <w:cnfStyle w:val="001000000000" w:firstRow="0" w:lastRow="0" w:firstColumn="1" w:lastColumn="0" w:oddVBand="0" w:evenVBand="0" w:oddHBand="0" w:evenHBand="0" w:firstRowFirstColumn="0" w:firstRowLastColumn="0" w:lastRowFirstColumn="0" w:lastRowLastColumn="0"/>
            <w:tcW w:w="3592" w:type="dxa"/>
            <w:vAlign w:val="center"/>
            <w:hideMark/>
          </w:tcPr>
          <w:p w14:paraId="01E8C471" w14:textId="77777777" w:rsidR="005E0C9D" w:rsidRPr="00F91404" w:rsidRDefault="005E0C9D">
            <w:pPr>
              <w:spacing w:after="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Energía Los Cabos</w:t>
            </w:r>
          </w:p>
        </w:tc>
        <w:tc>
          <w:tcPr>
            <w:tcW w:w="983" w:type="dxa"/>
            <w:vAlign w:val="center"/>
            <w:hideMark/>
          </w:tcPr>
          <w:p w14:paraId="59C4E12A"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Feasibility study</w:t>
            </w:r>
          </w:p>
        </w:tc>
        <w:tc>
          <w:tcPr>
            <w:tcW w:w="1090" w:type="dxa"/>
            <w:vAlign w:val="center"/>
            <w:hideMark/>
          </w:tcPr>
          <w:p w14:paraId="70FEF85A"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 xml:space="preserve">PEM </w:t>
            </w:r>
          </w:p>
          <w:p w14:paraId="008A7B5A"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electrolysis</w:t>
            </w:r>
          </w:p>
        </w:tc>
        <w:tc>
          <w:tcPr>
            <w:tcW w:w="877" w:type="dxa"/>
            <w:vAlign w:val="center"/>
            <w:hideMark/>
          </w:tcPr>
          <w:p w14:paraId="5BAAD97A"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H</w:t>
            </w:r>
            <w:r w:rsidRPr="00F91404">
              <w:rPr>
                <w:rFonts w:ascii="Cambria Math" w:eastAsia="Times New Roman" w:hAnsi="Cambria Math" w:cs="Cambria Math"/>
                <w:color w:val="2F333C"/>
                <w:sz w:val="16"/>
                <w:szCs w:val="16"/>
                <w:lang w:eastAsia="es-MX"/>
              </w:rPr>
              <w:t>₂</w:t>
            </w:r>
          </w:p>
        </w:tc>
        <w:tc>
          <w:tcPr>
            <w:tcW w:w="984" w:type="dxa"/>
            <w:vAlign w:val="center"/>
            <w:hideMark/>
          </w:tcPr>
          <w:p w14:paraId="4465F67C"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color w:val="2F333C"/>
                <w:sz w:val="16"/>
                <w:szCs w:val="16"/>
                <w:lang w:eastAsia="es-MX"/>
              </w:rPr>
            </w:pPr>
            <w:r w:rsidRPr="00F91404">
              <w:rPr>
                <w:rFonts w:asciiTheme="majorHAnsi" w:eastAsia="Times New Roman" w:hAnsiTheme="majorHAnsi" w:cstheme="majorHAnsi"/>
                <w:b/>
                <w:color w:val="2F333C"/>
                <w:sz w:val="16"/>
                <w:szCs w:val="16"/>
                <w:lang w:eastAsia="es-MX"/>
              </w:rPr>
              <w:t>5</w:t>
            </w:r>
          </w:p>
        </w:tc>
        <w:tc>
          <w:tcPr>
            <w:tcW w:w="983" w:type="dxa"/>
            <w:vAlign w:val="center"/>
            <w:hideMark/>
          </w:tcPr>
          <w:p w14:paraId="16ADDE32" w14:textId="77777777" w:rsidR="005E0C9D" w:rsidRPr="00F91404" w:rsidRDefault="005E0C9D">
            <w:pPr>
              <w:spacing w:after="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Los Cabos</w:t>
            </w:r>
          </w:p>
        </w:tc>
        <w:tc>
          <w:tcPr>
            <w:tcW w:w="984" w:type="dxa"/>
            <w:vAlign w:val="center"/>
            <w:hideMark/>
          </w:tcPr>
          <w:p w14:paraId="2731F444" w14:textId="77777777" w:rsidR="005E0C9D" w:rsidRPr="00F91404" w:rsidRDefault="005E0C9D">
            <w:pPr>
              <w:spacing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333C"/>
                <w:sz w:val="16"/>
                <w:szCs w:val="16"/>
                <w:lang w:eastAsia="es-MX"/>
              </w:rPr>
            </w:pPr>
            <w:r w:rsidRPr="00F91404">
              <w:rPr>
                <w:rFonts w:asciiTheme="majorHAnsi" w:eastAsia="Times New Roman" w:hAnsiTheme="majorHAnsi" w:cstheme="majorHAnsi"/>
                <w:color w:val="2F333C"/>
                <w:sz w:val="16"/>
                <w:szCs w:val="16"/>
                <w:lang w:eastAsia="es-MX"/>
              </w:rPr>
              <w:t>NA</w:t>
            </w:r>
          </w:p>
        </w:tc>
      </w:tr>
    </w:tbl>
    <w:p w14:paraId="214F0896" w14:textId="4F4793C3" w:rsidR="005E4784" w:rsidRPr="00F91404" w:rsidRDefault="005E4784" w:rsidP="005E4784">
      <w:pPr>
        <w:rPr>
          <w:rFonts w:cstheme="minorHAnsi"/>
          <w:sz w:val="20"/>
          <w:szCs w:val="20"/>
        </w:rPr>
      </w:pPr>
      <w:r w:rsidRPr="00F91404">
        <w:rPr>
          <w:rFonts w:cstheme="minorHAnsi"/>
          <w:sz w:val="20"/>
          <w:szCs w:val="20"/>
        </w:rPr>
        <w:lastRenderedPageBreak/>
        <w:t xml:space="preserve">At this stage, </w:t>
      </w:r>
      <w:r w:rsidR="003E37DF" w:rsidRPr="00F91404">
        <w:rPr>
          <w:rFonts w:cstheme="minorHAnsi"/>
          <w:sz w:val="20"/>
          <w:szCs w:val="20"/>
        </w:rPr>
        <w:t>most</w:t>
      </w:r>
      <w:r w:rsidRPr="00F91404">
        <w:rPr>
          <w:rFonts w:cstheme="minorHAnsi"/>
          <w:sz w:val="20"/>
          <w:szCs w:val="20"/>
        </w:rPr>
        <w:t xml:space="preserve"> identified projects remain at concept or feasibility-study phase. No projects have yet reached final investment decision or construction. While some announced capacities are large, these initiatives should be understood primarily as expressions of strategic intent rather than as evidence of a bankable project pipeline</w:t>
      </w:r>
      <w:r w:rsidRPr="00F91404">
        <w:rPr>
          <w:rStyle w:val="FootnoteReference"/>
          <w:rFonts w:cstheme="minorHAnsi"/>
          <w:szCs w:val="20"/>
        </w:rPr>
        <w:footnoteReference w:id="9"/>
      </w:r>
      <w:r w:rsidRPr="00F91404">
        <w:rPr>
          <w:rFonts w:cstheme="minorHAnsi"/>
          <w:sz w:val="20"/>
          <w:szCs w:val="20"/>
        </w:rPr>
        <w:t>.</w:t>
      </w:r>
    </w:p>
    <w:p w14:paraId="700927B9" w14:textId="73F0B174" w:rsidR="005E4784" w:rsidRPr="00F91404" w:rsidRDefault="005E4784" w:rsidP="005E4784">
      <w:pPr>
        <w:rPr>
          <w:rFonts w:cstheme="minorHAnsi"/>
          <w:sz w:val="20"/>
          <w:szCs w:val="20"/>
        </w:rPr>
      </w:pPr>
      <w:r w:rsidRPr="00F91404">
        <w:rPr>
          <w:rFonts w:cstheme="minorHAnsi"/>
          <w:sz w:val="20"/>
          <w:szCs w:val="20"/>
        </w:rPr>
        <w:t>This early-stage profile is consistent with international experience in countries that are still in the formative phase of hydrogen market development. The diversity of proposed locations, technologies and end uses reflects broad interest, but the lack of progression toward execution suggests that key enabling conditions, such as revenue certainty, regulatory clarity, coordinated infrastructure planning and institutional alignment, are not yet fully in place</w:t>
      </w:r>
      <w:r w:rsidRPr="00F91404">
        <w:rPr>
          <w:rStyle w:val="FootnoteReference"/>
          <w:rFonts w:cstheme="minorHAnsi"/>
          <w:szCs w:val="20"/>
        </w:rPr>
        <w:footnoteReference w:id="10"/>
      </w:r>
      <w:r w:rsidRPr="00F91404">
        <w:rPr>
          <w:rFonts w:cstheme="minorHAnsi"/>
          <w:sz w:val="20"/>
          <w:szCs w:val="20"/>
        </w:rPr>
        <w:t>.</w:t>
      </w:r>
    </w:p>
    <w:p w14:paraId="349C81F9" w14:textId="77777777" w:rsidR="005E0C9D" w:rsidRPr="00F91404" w:rsidRDefault="005E0C9D" w:rsidP="007C0A66">
      <w:pPr>
        <w:spacing w:after="0"/>
        <w:ind w:left="0"/>
        <w:rPr>
          <w:rFonts w:cstheme="minorHAnsi"/>
          <w:sz w:val="20"/>
          <w:szCs w:val="20"/>
        </w:rPr>
      </w:pPr>
    </w:p>
    <w:p w14:paraId="2A45DE1E" w14:textId="31479AFF" w:rsidR="005E4784" w:rsidRPr="00F91404" w:rsidRDefault="00B72177" w:rsidP="00AE1044">
      <w:pPr>
        <w:rPr>
          <w:b/>
        </w:rPr>
      </w:pPr>
      <w:bookmarkStart w:id="19" w:name="_Toc220695663"/>
      <w:bookmarkStart w:id="20" w:name="_Toc220695988"/>
      <w:r w:rsidRPr="00F91404">
        <w:rPr>
          <w:b/>
          <w:color w:val="004C43" w:themeColor="accent1"/>
          <w:sz w:val="24"/>
          <w:szCs w:val="32"/>
        </w:rPr>
        <w:t>3</w:t>
      </w:r>
      <w:r w:rsidR="00D643F2" w:rsidRPr="00F91404">
        <w:rPr>
          <w:b/>
          <w:color w:val="004C43" w:themeColor="accent1"/>
          <w:sz w:val="24"/>
          <w:szCs w:val="32"/>
        </w:rPr>
        <w:t xml:space="preserve">.4 </w:t>
      </w:r>
      <w:r w:rsidR="005E4784" w:rsidRPr="00F91404">
        <w:rPr>
          <w:b/>
          <w:color w:val="004C43" w:themeColor="accent1"/>
          <w:sz w:val="24"/>
          <w:szCs w:val="32"/>
        </w:rPr>
        <w:t>Institutional and regulatory context for hydrogen</w:t>
      </w:r>
      <w:bookmarkEnd w:id="19"/>
      <w:bookmarkEnd w:id="20"/>
    </w:p>
    <w:p w14:paraId="007DECC0" w14:textId="2B475373" w:rsidR="004401CE" w:rsidRPr="00F91404" w:rsidRDefault="004401CE" w:rsidP="004401CE">
      <w:pPr>
        <w:rPr>
          <w:rFonts w:cstheme="minorHAnsi"/>
          <w:sz w:val="20"/>
          <w:szCs w:val="20"/>
        </w:rPr>
      </w:pPr>
      <w:r w:rsidRPr="00F91404">
        <w:rPr>
          <w:rFonts w:cstheme="minorHAnsi"/>
          <w:sz w:val="20"/>
          <w:szCs w:val="20"/>
        </w:rPr>
        <w:t>Mexico does not currently have a hydrogen-specific legal or regulatory framework</w:t>
      </w:r>
      <w:r w:rsidRPr="00F91404">
        <w:rPr>
          <w:rStyle w:val="FootnoteReference"/>
          <w:rFonts w:cstheme="minorHAnsi"/>
          <w:szCs w:val="20"/>
        </w:rPr>
        <w:footnoteReference w:id="11"/>
      </w:r>
      <w:r w:rsidRPr="00F91404">
        <w:rPr>
          <w:rFonts w:cstheme="minorHAnsi"/>
          <w:sz w:val="20"/>
          <w:szCs w:val="20"/>
        </w:rPr>
        <w:t>. Hydrogen-related activities are instead governed through existing sectoral laws and cross-cutting regulatory regimes, depending on project configuration, production pathways and end uses.</w:t>
      </w:r>
    </w:p>
    <w:p w14:paraId="79F03A78" w14:textId="4F56DF8F" w:rsidR="004401CE" w:rsidRPr="00F91404" w:rsidRDefault="004401CE" w:rsidP="004401CE">
      <w:pPr>
        <w:rPr>
          <w:rFonts w:cstheme="minorHAnsi"/>
          <w:sz w:val="20"/>
          <w:szCs w:val="20"/>
        </w:rPr>
      </w:pPr>
      <w:r w:rsidRPr="00F91404">
        <w:rPr>
          <w:rFonts w:cstheme="minorHAnsi"/>
          <w:sz w:val="20"/>
          <w:szCs w:val="20"/>
        </w:rPr>
        <w:t>In the absence of dedicated hydrogen legislation, green hydrogen projects in Mexico may be subject to a combination of the following legal frameworks</w:t>
      </w:r>
      <w:r w:rsidRPr="00F91404">
        <w:rPr>
          <w:rStyle w:val="FootnoteReference"/>
          <w:rFonts w:cstheme="minorHAnsi"/>
          <w:szCs w:val="20"/>
        </w:rPr>
        <w:footnoteReference w:id="12"/>
      </w:r>
      <w:r w:rsidRPr="00F91404">
        <w:rPr>
          <w:rFonts w:cstheme="minorHAnsi"/>
          <w:sz w:val="20"/>
          <w:szCs w:val="20"/>
        </w:rPr>
        <w:t>:</w:t>
      </w:r>
    </w:p>
    <w:p w14:paraId="60DA3002" w14:textId="58987EFF" w:rsidR="004401CE" w:rsidRPr="00F91404" w:rsidRDefault="004401CE" w:rsidP="008D5DDD">
      <w:pPr>
        <w:pStyle w:val="ListParagraph"/>
        <w:numPr>
          <w:ilvl w:val="0"/>
          <w:numId w:val="23"/>
        </w:numPr>
        <w:contextualSpacing w:val="0"/>
        <w:rPr>
          <w:rFonts w:cstheme="minorHAnsi"/>
          <w:sz w:val="20"/>
          <w:szCs w:val="20"/>
        </w:rPr>
      </w:pPr>
      <w:r w:rsidRPr="00F91404">
        <w:rPr>
          <w:rFonts w:cstheme="minorHAnsi"/>
          <w:b/>
          <w:bCs/>
          <w:color w:val="004C43"/>
          <w:sz w:val="20"/>
          <w:szCs w:val="20"/>
        </w:rPr>
        <w:t xml:space="preserve">Hydrocarbons Law (Ley de </w:t>
      </w:r>
      <w:proofErr w:type="spellStart"/>
      <w:r w:rsidRPr="00F91404">
        <w:rPr>
          <w:rFonts w:cstheme="minorHAnsi"/>
          <w:b/>
          <w:bCs/>
          <w:color w:val="004C43"/>
          <w:sz w:val="20"/>
          <w:szCs w:val="20"/>
        </w:rPr>
        <w:t>Hidrocarburos</w:t>
      </w:r>
      <w:proofErr w:type="spellEnd"/>
      <w:r w:rsidRPr="00F91404">
        <w:rPr>
          <w:rFonts w:cstheme="minorHAnsi"/>
          <w:b/>
          <w:bCs/>
          <w:color w:val="004C43"/>
          <w:sz w:val="20"/>
          <w:szCs w:val="20"/>
        </w:rPr>
        <w:t xml:space="preserve">): </w:t>
      </w:r>
      <w:r w:rsidRPr="00F91404">
        <w:rPr>
          <w:rFonts w:cstheme="minorHAnsi"/>
          <w:sz w:val="20"/>
          <w:szCs w:val="20"/>
        </w:rPr>
        <w:t>Applies where hydrogen is integrated into refining, fuel processing or activities linked to regulated hydrocarbon value chains.</w:t>
      </w:r>
    </w:p>
    <w:p w14:paraId="4317748C" w14:textId="3E2AC4AC" w:rsidR="004401CE" w:rsidRPr="00F91404" w:rsidRDefault="004401CE" w:rsidP="008D5DDD">
      <w:pPr>
        <w:pStyle w:val="ListParagraph"/>
        <w:numPr>
          <w:ilvl w:val="0"/>
          <w:numId w:val="23"/>
        </w:numPr>
        <w:contextualSpacing w:val="0"/>
        <w:rPr>
          <w:rFonts w:cstheme="minorHAnsi"/>
          <w:sz w:val="20"/>
          <w:szCs w:val="20"/>
        </w:rPr>
      </w:pPr>
      <w:r w:rsidRPr="00F91404">
        <w:rPr>
          <w:rFonts w:cstheme="minorHAnsi"/>
          <w:b/>
          <w:bCs/>
          <w:color w:val="004C43"/>
          <w:sz w:val="20"/>
          <w:szCs w:val="20"/>
        </w:rPr>
        <w:t xml:space="preserve">Electricity Industry Law (Ley de la Industria </w:t>
      </w:r>
      <w:proofErr w:type="spellStart"/>
      <w:r w:rsidRPr="00F91404">
        <w:rPr>
          <w:rFonts w:cstheme="minorHAnsi"/>
          <w:b/>
          <w:bCs/>
          <w:color w:val="004C43"/>
          <w:sz w:val="20"/>
          <w:szCs w:val="20"/>
        </w:rPr>
        <w:t>Eléctrica</w:t>
      </w:r>
      <w:proofErr w:type="spellEnd"/>
      <w:r w:rsidRPr="00F91404">
        <w:rPr>
          <w:rFonts w:cstheme="minorHAnsi"/>
          <w:b/>
          <w:bCs/>
          <w:color w:val="004C43"/>
          <w:sz w:val="20"/>
          <w:szCs w:val="20"/>
        </w:rPr>
        <w:t xml:space="preserve">): </w:t>
      </w:r>
      <w:r w:rsidRPr="00F91404">
        <w:rPr>
          <w:rFonts w:cstheme="minorHAnsi"/>
          <w:sz w:val="20"/>
          <w:szCs w:val="20"/>
        </w:rPr>
        <w:t>Governs renewable electricity generation, grid interconnection and electricity supply arrangements relevant to electrolysis-based hydrogen production.</w:t>
      </w:r>
    </w:p>
    <w:p w14:paraId="530EA0CA" w14:textId="05124B6E" w:rsidR="004401CE" w:rsidRPr="00F91404" w:rsidRDefault="004401CE" w:rsidP="008D5DDD">
      <w:pPr>
        <w:pStyle w:val="ListParagraph"/>
        <w:numPr>
          <w:ilvl w:val="0"/>
          <w:numId w:val="23"/>
        </w:numPr>
        <w:contextualSpacing w:val="0"/>
        <w:rPr>
          <w:rFonts w:cstheme="minorHAnsi"/>
          <w:sz w:val="20"/>
          <w:szCs w:val="20"/>
        </w:rPr>
      </w:pPr>
      <w:r w:rsidRPr="00F91404">
        <w:rPr>
          <w:rFonts w:cstheme="minorHAnsi"/>
          <w:b/>
          <w:bCs/>
          <w:color w:val="004C43"/>
          <w:sz w:val="20"/>
          <w:szCs w:val="20"/>
        </w:rPr>
        <w:t xml:space="preserve">General Law on Climate Change (Ley General de Cambio </w:t>
      </w:r>
      <w:proofErr w:type="spellStart"/>
      <w:r w:rsidRPr="00F91404">
        <w:rPr>
          <w:rFonts w:cstheme="minorHAnsi"/>
          <w:b/>
          <w:bCs/>
          <w:color w:val="004C43"/>
          <w:sz w:val="20"/>
          <w:szCs w:val="20"/>
        </w:rPr>
        <w:t>Climático</w:t>
      </w:r>
      <w:proofErr w:type="spellEnd"/>
      <w:r w:rsidRPr="00F91404">
        <w:rPr>
          <w:rFonts w:cstheme="minorHAnsi"/>
          <w:b/>
          <w:bCs/>
          <w:color w:val="004C43"/>
          <w:sz w:val="20"/>
          <w:szCs w:val="20"/>
        </w:rPr>
        <w:t xml:space="preserve">): </w:t>
      </w:r>
      <w:r w:rsidRPr="00F91404">
        <w:rPr>
          <w:rFonts w:cstheme="minorHAnsi"/>
          <w:sz w:val="20"/>
          <w:szCs w:val="20"/>
        </w:rPr>
        <w:t>Provides the overarching climate policy context and frames national mitigation objectives relevant to low-carbon hydrogen development.</w:t>
      </w:r>
    </w:p>
    <w:p w14:paraId="470010D2" w14:textId="16572EB9" w:rsidR="004401CE" w:rsidRPr="00F91404" w:rsidRDefault="004401CE" w:rsidP="004401CE">
      <w:pPr>
        <w:rPr>
          <w:rFonts w:cstheme="minorHAnsi"/>
          <w:sz w:val="20"/>
          <w:szCs w:val="20"/>
        </w:rPr>
      </w:pPr>
      <w:r w:rsidRPr="00F91404">
        <w:rPr>
          <w:rFonts w:cstheme="minorHAnsi"/>
          <w:sz w:val="20"/>
          <w:szCs w:val="20"/>
        </w:rPr>
        <w:t>Environmental, water-use and industrial safety requirements are addressed through cross-cutting regulatory regimes rather than hydrogen-specific rules. As a result, developers must comply with multiple legal and administrative processes in parallel, increasing regulatory complexity at early stages of project development. This reliance on existing legislation is consistent with international experience in early-stage hydrogen markets, where dedicated legal frameworks typically emerge only as deployment begins to scale</w:t>
      </w:r>
      <w:r w:rsidRPr="00F91404">
        <w:rPr>
          <w:rStyle w:val="FootnoteReference"/>
          <w:rFonts w:cstheme="minorHAnsi"/>
          <w:szCs w:val="20"/>
        </w:rPr>
        <w:footnoteReference w:id="13"/>
      </w:r>
      <w:r w:rsidRPr="00F91404">
        <w:rPr>
          <w:rFonts w:cstheme="minorHAnsi"/>
          <w:sz w:val="20"/>
          <w:szCs w:val="20"/>
        </w:rPr>
        <w:t>.</w:t>
      </w:r>
    </w:p>
    <w:p w14:paraId="6895895E" w14:textId="55C80F7F" w:rsidR="005E4784" w:rsidRPr="00F91404" w:rsidRDefault="004401CE" w:rsidP="004401CE">
      <w:pPr>
        <w:rPr>
          <w:rFonts w:cstheme="minorHAnsi"/>
          <w:sz w:val="20"/>
          <w:szCs w:val="20"/>
        </w:rPr>
      </w:pPr>
      <w:r w:rsidRPr="00F91404">
        <w:rPr>
          <w:rFonts w:cstheme="minorHAnsi"/>
          <w:sz w:val="20"/>
          <w:szCs w:val="20"/>
        </w:rPr>
        <w:t>In 2024, the Ministry of Energy issued Hydrogen Guidelines (</w:t>
      </w:r>
      <w:proofErr w:type="spellStart"/>
      <w:r w:rsidRPr="00F91404">
        <w:rPr>
          <w:rFonts w:cstheme="minorHAnsi"/>
          <w:sz w:val="20"/>
          <w:szCs w:val="20"/>
        </w:rPr>
        <w:t>Lineamientos</w:t>
      </w:r>
      <w:proofErr w:type="spellEnd"/>
      <w:r w:rsidRPr="00F91404">
        <w:rPr>
          <w:rFonts w:cstheme="minorHAnsi"/>
          <w:sz w:val="20"/>
          <w:szCs w:val="20"/>
        </w:rPr>
        <w:t xml:space="preserve"> </w:t>
      </w:r>
      <w:proofErr w:type="spellStart"/>
      <w:r w:rsidRPr="00F91404">
        <w:rPr>
          <w:rFonts w:cstheme="minorHAnsi"/>
          <w:sz w:val="20"/>
          <w:szCs w:val="20"/>
        </w:rPr>
        <w:t>en</w:t>
      </w:r>
      <w:proofErr w:type="spellEnd"/>
      <w:r w:rsidRPr="00F91404">
        <w:rPr>
          <w:rFonts w:cstheme="minorHAnsi"/>
          <w:sz w:val="20"/>
          <w:szCs w:val="20"/>
        </w:rPr>
        <w:t xml:space="preserve"> Materia de </w:t>
      </w:r>
      <w:proofErr w:type="spellStart"/>
      <w:r w:rsidRPr="00F91404">
        <w:rPr>
          <w:rFonts w:cstheme="minorHAnsi"/>
          <w:sz w:val="20"/>
          <w:szCs w:val="20"/>
        </w:rPr>
        <w:t>Hidrógeno</w:t>
      </w:r>
      <w:proofErr w:type="spellEnd"/>
      <w:r w:rsidRPr="00F91404">
        <w:rPr>
          <w:rFonts w:cstheme="minorHAnsi"/>
          <w:sz w:val="20"/>
          <w:szCs w:val="20"/>
        </w:rPr>
        <w:t>), which outline general principles for sector development and represent an initial step toward a more dedicated framework. At present, however, hydrogen-specific permitting regimes, sustainability criteria and certification systems are not yet in place, and projects must navigate multiple regulatory processes depending on their design</w:t>
      </w:r>
      <w:r w:rsidR="005E4784" w:rsidRPr="00F91404">
        <w:rPr>
          <w:rStyle w:val="FootnoteReference"/>
          <w:rFonts w:cstheme="minorHAnsi"/>
          <w:szCs w:val="20"/>
        </w:rPr>
        <w:footnoteReference w:id="14"/>
      </w:r>
      <w:r w:rsidR="005E4784" w:rsidRPr="00F91404">
        <w:rPr>
          <w:rFonts w:cstheme="minorHAnsi"/>
          <w:sz w:val="20"/>
          <w:szCs w:val="20"/>
        </w:rPr>
        <w:t>.</w:t>
      </w:r>
    </w:p>
    <w:p w14:paraId="306A0E9F" w14:textId="77777777" w:rsidR="003E37DF" w:rsidRPr="00F91404" w:rsidRDefault="003E37DF" w:rsidP="003E37DF">
      <w:pPr>
        <w:rPr>
          <w:rFonts w:cstheme="minorHAnsi"/>
          <w:sz w:val="20"/>
          <w:szCs w:val="20"/>
        </w:rPr>
      </w:pPr>
      <w:r w:rsidRPr="00F91404">
        <w:rPr>
          <w:rFonts w:cstheme="minorHAnsi"/>
          <w:sz w:val="20"/>
          <w:szCs w:val="20"/>
        </w:rPr>
        <w:t>From an institutional perspective, responsibility for hydrogen-related activities in Mexico is distributed across multiple federal, state and local authorities, reflecting the cross-sectoral nature of the hydrogen value chain.</w:t>
      </w:r>
    </w:p>
    <w:p w14:paraId="6B92CEFE" w14:textId="77777777" w:rsidR="0045250D" w:rsidRPr="00F91404" w:rsidRDefault="0045250D" w:rsidP="00690D54">
      <w:pPr>
        <w:spacing w:after="0"/>
        <w:rPr>
          <w:rFonts w:cstheme="minorHAnsi"/>
          <w:sz w:val="20"/>
          <w:szCs w:val="20"/>
        </w:rPr>
      </w:pPr>
    </w:p>
    <w:p w14:paraId="1870B5D1" w14:textId="48E7B5D0" w:rsidR="005E282C" w:rsidRPr="00F91404" w:rsidRDefault="00FB0DC0" w:rsidP="00FB0DC0">
      <w:pPr>
        <w:jc w:val="center"/>
        <w:rPr>
          <w:rFonts w:cstheme="minorHAnsi"/>
          <w:sz w:val="20"/>
          <w:szCs w:val="20"/>
        </w:rPr>
      </w:pPr>
      <w:r w:rsidRPr="00F91404">
        <w:rPr>
          <w:rFonts w:cstheme="minorHAnsi"/>
          <w:b/>
          <w:sz w:val="18"/>
          <w:szCs w:val="18"/>
        </w:rPr>
        <w:lastRenderedPageBreak/>
        <w:t>Table 2. Mexico Governance Institutions</w:t>
      </w:r>
    </w:p>
    <w:tbl>
      <w:tblPr>
        <w:tblStyle w:val="GridTable4-Accent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984"/>
        <w:gridCol w:w="5240"/>
      </w:tblGrid>
      <w:tr w:rsidR="007604A8" w:rsidRPr="00F91404" w14:paraId="726A8CBD" w14:textId="77777777" w:rsidTr="004E4464">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1249" w:type="pct"/>
            <w:tcBorders>
              <w:right w:val="dashed" w:sz="4" w:space="0" w:color="FFFFFF" w:themeColor="background1"/>
            </w:tcBorders>
            <w:shd w:val="clear" w:color="auto" w:fill="004C43" w:themeFill="accent1"/>
            <w:vAlign w:val="center"/>
            <w:hideMark/>
          </w:tcPr>
          <w:p w14:paraId="3B238E04" w14:textId="17D5CE4F" w:rsidR="004401CE" w:rsidRPr="00F91404" w:rsidRDefault="004401CE" w:rsidP="005D0AB8">
            <w:pPr>
              <w:spacing w:after="0"/>
              <w:jc w:val="center"/>
              <w:rPr>
                <w:rFonts w:cstheme="minorHAnsi"/>
                <w:sz w:val="20"/>
                <w:szCs w:val="20"/>
              </w:rPr>
            </w:pPr>
            <w:r w:rsidRPr="00F91404">
              <w:rPr>
                <w:rFonts w:cstheme="minorHAnsi"/>
                <w:sz w:val="20"/>
                <w:szCs w:val="20"/>
              </w:rPr>
              <w:t>Institution</w:t>
            </w:r>
          </w:p>
        </w:tc>
        <w:tc>
          <w:tcPr>
            <w:tcW w:w="1030" w:type="pct"/>
            <w:tcBorders>
              <w:left w:val="dashed" w:sz="4" w:space="0" w:color="FFFFFF" w:themeColor="background1"/>
              <w:right w:val="dashed" w:sz="4" w:space="0" w:color="FFFFFF" w:themeColor="background1"/>
            </w:tcBorders>
            <w:shd w:val="clear" w:color="auto" w:fill="004C43" w:themeFill="accent1"/>
            <w:vAlign w:val="center"/>
            <w:hideMark/>
          </w:tcPr>
          <w:p w14:paraId="5E0BFF07" w14:textId="77777777" w:rsidR="004401CE" w:rsidRPr="00F91404" w:rsidRDefault="004401CE" w:rsidP="005D0AB8">
            <w:pPr>
              <w:spacing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91404">
              <w:rPr>
                <w:rFonts w:cstheme="minorHAnsi"/>
                <w:sz w:val="20"/>
                <w:szCs w:val="20"/>
              </w:rPr>
              <w:t>Role</w:t>
            </w:r>
          </w:p>
        </w:tc>
        <w:tc>
          <w:tcPr>
            <w:tcW w:w="2721" w:type="pct"/>
            <w:tcBorders>
              <w:left w:val="dashed" w:sz="4" w:space="0" w:color="FFFFFF" w:themeColor="background1"/>
            </w:tcBorders>
            <w:shd w:val="clear" w:color="auto" w:fill="004C43" w:themeFill="accent1"/>
            <w:vAlign w:val="center"/>
            <w:hideMark/>
          </w:tcPr>
          <w:p w14:paraId="0D4385A4" w14:textId="77777777" w:rsidR="004401CE" w:rsidRPr="00F91404" w:rsidRDefault="004401CE" w:rsidP="005D0AB8">
            <w:pPr>
              <w:spacing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91404">
              <w:rPr>
                <w:rFonts w:cstheme="minorHAnsi"/>
                <w:sz w:val="20"/>
                <w:szCs w:val="20"/>
              </w:rPr>
              <w:t>Responsibilities</w:t>
            </w:r>
          </w:p>
        </w:tc>
      </w:tr>
      <w:tr w:rsidR="00701E7E" w:rsidRPr="00F91404" w14:paraId="4AB2552C" w14:textId="77777777" w:rsidTr="00297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Borders>
              <w:right w:val="dashed" w:sz="4" w:space="0" w:color="808080" w:themeColor="background1" w:themeShade="80"/>
            </w:tcBorders>
            <w:vAlign w:val="center"/>
            <w:hideMark/>
          </w:tcPr>
          <w:p w14:paraId="790D7A0E" w14:textId="395D2682" w:rsidR="0030148E" w:rsidRPr="00F91404" w:rsidRDefault="004401CE" w:rsidP="004E4464">
            <w:pPr>
              <w:suppressAutoHyphens/>
              <w:spacing w:before="60" w:after="60"/>
              <w:rPr>
                <w:rFonts w:cstheme="minorHAnsi"/>
                <w:b w:val="0"/>
                <w:sz w:val="18"/>
                <w:szCs w:val="18"/>
              </w:rPr>
            </w:pPr>
            <w:r w:rsidRPr="00F91404">
              <w:rPr>
                <w:rFonts w:cstheme="minorHAnsi"/>
                <w:sz w:val="18"/>
                <w:szCs w:val="18"/>
              </w:rPr>
              <w:t>Ministry of Energy</w:t>
            </w:r>
          </w:p>
          <w:p w14:paraId="7CA61648" w14:textId="5A8ED9E5" w:rsidR="004401CE" w:rsidRPr="00F91404" w:rsidRDefault="004401CE" w:rsidP="004E4464">
            <w:pPr>
              <w:suppressAutoHyphens/>
              <w:spacing w:before="60" w:after="60"/>
              <w:rPr>
                <w:rFonts w:cstheme="minorHAnsi"/>
                <w:b w:val="0"/>
                <w:bCs w:val="0"/>
                <w:sz w:val="18"/>
                <w:szCs w:val="18"/>
              </w:rPr>
            </w:pPr>
            <w:r w:rsidRPr="00F91404">
              <w:rPr>
                <w:rFonts w:cstheme="minorHAnsi"/>
                <w:b w:val="0"/>
                <w:bCs w:val="0"/>
                <w:i/>
                <w:iCs/>
                <w:sz w:val="18"/>
                <w:szCs w:val="18"/>
              </w:rPr>
              <w:t>(SENER)</w:t>
            </w:r>
          </w:p>
        </w:tc>
        <w:tc>
          <w:tcPr>
            <w:tcW w:w="1030" w:type="pct"/>
            <w:tcBorders>
              <w:left w:val="dashed" w:sz="4" w:space="0" w:color="808080" w:themeColor="background1" w:themeShade="80"/>
              <w:right w:val="dashed" w:sz="4" w:space="0" w:color="808080" w:themeColor="background1" w:themeShade="80"/>
            </w:tcBorders>
            <w:vAlign w:val="center"/>
            <w:hideMark/>
          </w:tcPr>
          <w:p w14:paraId="0AB1D074" w14:textId="77777777" w:rsidR="004401CE" w:rsidRPr="00F91404" w:rsidRDefault="004401CE" w:rsidP="004E4464">
            <w:pPr>
              <w:suppressAutoHyphens/>
              <w:spacing w:before="60" w:after="6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National energy policy leadership and strategic planning</w:t>
            </w:r>
          </w:p>
        </w:tc>
        <w:tc>
          <w:tcPr>
            <w:tcW w:w="0" w:type="auto"/>
            <w:tcBorders>
              <w:left w:val="dashed" w:sz="4" w:space="0" w:color="808080" w:themeColor="background1" w:themeShade="80"/>
            </w:tcBorders>
            <w:vAlign w:val="center"/>
            <w:hideMark/>
          </w:tcPr>
          <w:p w14:paraId="7C1F98E3" w14:textId="77777777" w:rsidR="00701E7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Define overall energy policy orientation and priorities</w:t>
            </w:r>
          </w:p>
          <w:p w14:paraId="53AA2F87" w14:textId="77777777" w:rsidR="00701E7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Lead the development of the Renewable Hydrogen Roadmap and National Plan</w:t>
            </w:r>
          </w:p>
          <w:p w14:paraId="6296B533" w14:textId="56ECC0B8" w:rsidR="004401C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Coordinate hydrogen-related activities across federal institutions</w:t>
            </w:r>
          </w:p>
        </w:tc>
      </w:tr>
      <w:tr w:rsidR="00701E7E" w:rsidRPr="00F91404" w14:paraId="46EDACD1" w14:textId="77777777" w:rsidTr="00297E8A">
        <w:tc>
          <w:tcPr>
            <w:cnfStyle w:val="001000000000" w:firstRow="0" w:lastRow="0" w:firstColumn="1" w:lastColumn="0" w:oddVBand="0" w:evenVBand="0" w:oddHBand="0" w:evenHBand="0" w:firstRowFirstColumn="0" w:firstRowLastColumn="0" w:lastRowFirstColumn="0" w:lastRowLastColumn="0"/>
            <w:tcW w:w="1249" w:type="pct"/>
            <w:tcBorders>
              <w:right w:val="dashed" w:sz="4" w:space="0" w:color="808080" w:themeColor="background1" w:themeShade="80"/>
            </w:tcBorders>
            <w:vAlign w:val="center"/>
            <w:hideMark/>
          </w:tcPr>
          <w:p w14:paraId="2F89A34F" w14:textId="459B12E2" w:rsidR="0030148E" w:rsidRPr="00F91404" w:rsidRDefault="004401CE" w:rsidP="004E4464">
            <w:pPr>
              <w:suppressAutoHyphens/>
              <w:spacing w:before="60" w:after="60"/>
              <w:rPr>
                <w:rFonts w:cstheme="minorHAnsi"/>
                <w:b w:val="0"/>
                <w:sz w:val="18"/>
                <w:szCs w:val="18"/>
              </w:rPr>
            </w:pPr>
            <w:r w:rsidRPr="00F91404">
              <w:rPr>
                <w:rFonts w:cstheme="minorHAnsi"/>
                <w:sz w:val="18"/>
                <w:szCs w:val="18"/>
              </w:rPr>
              <w:t>Ministry of Environment and Natural Resources</w:t>
            </w:r>
          </w:p>
          <w:p w14:paraId="367A4530" w14:textId="155E1B24" w:rsidR="004401CE" w:rsidRPr="00F91404" w:rsidRDefault="004401CE" w:rsidP="004E4464">
            <w:pPr>
              <w:suppressAutoHyphens/>
              <w:spacing w:before="60" w:after="60"/>
              <w:rPr>
                <w:rFonts w:cstheme="minorHAnsi"/>
                <w:sz w:val="18"/>
                <w:szCs w:val="18"/>
              </w:rPr>
            </w:pPr>
            <w:r w:rsidRPr="00F91404">
              <w:rPr>
                <w:rFonts w:cstheme="minorHAnsi"/>
                <w:b w:val="0"/>
                <w:bCs w:val="0"/>
                <w:i/>
                <w:iCs/>
                <w:sz w:val="18"/>
                <w:szCs w:val="18"/>
              </w:rPr>
              <w:t>(SEMARNAT)</w:t>
            </w:r>
          </w:p>
        </w:tc>
        <w:tc>
          <w:tcPr>
            <w:tcW w:w="1030" w:type="pct"/>
            <w:tcBorders>
              <w:left w:val="dashed" w:sz="4" w:space="0" w:color="808080" w:themeColor="background1" w:themeShade="80"/>
              <w:right w:val="dashed" w:sz="4" w:space="0" w:color="808080" w:themeColor="background1" w:themeShade="80"/>
            </w:tcBorders>
            <w:vAlign w:val="center"/>
            <w:hideMark/>
          </w:tcPr>
          <w:p w14:paraId="0BBD11DD" w14:textId="77777777" w:rsidR="004401CE" w:rsidRPr="00F91404" w:rsidRDefault="004401CE" w:rsidP="004E4464">
            <w:pPr>
              <w:suppressAutoHyphens/>
              <w:spacing w:before="60" w:after="6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Environmental policy and regulation</w:t>
            </w:r>
          </w:p>
        </w:tc>
        <w:tc>
          <w:tcPr>
            <w:tcW w:w="0" w:type="auto"/>
            <w:tcBorders>
              <w:left w:val="dashed" w:sz="4" w:space="0" w:color="808080" w:themeColor="background1" w:themeShade="80"/>
            </w:tcBorders>
            <w:vAlign w:val="center"/>
            <w:hideMark/>
          </w:tcPr>
          <w:p w14:paraId="0BC1FB14" w14:textId="77777777" w:rsidR="00701E7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Conduct environmental impact assessments</w:t>
            </w:r>
          </w:p>
          <w:p w14:paraId="70C734D3" w14:textId="77777777" w:rsidR="00701E7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Issue environmental permits applicable to hydrogen, renewable energy and related infrastructure</w:t>
            </w:r>
          </w:p>
          <w:p w14:paraId="6F631370" w14:textId="51C43F8F" w:rsidR="004401C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Oversee compliance with environmental regulations</w:t>
            </w:r>
          </w:p>
        </w:tc>
      </w:tr>
      <w:tr w:rsidR="00701E7E" w:rsidRPr="00F91404" w14:paraId="6F7BC61D" w14:textId="77777777" w:rsidTr="00297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Borders>
              <w:right w:val="dashed" w:sz="4" w:space="0" w:color="808080" w:themeColor="background1" w:themeShade="80"/>
            </w:tcBorders>
            <w:vAlign w:val="center"/>
            <w:hideMark/>
          </w:tcPr>
          <w:p w14:paraId="25CA828C" w14:textId="693030C8" w:rsidR="0030148E" w:rsidRPr="00F91404" w:rsidRDefault="004401CE" w:rsidP="004E4464">
            <w:pPr>
              <w:suppressAutoHyphens/>
              <w:spacing w:before="60" w:after="60"/>
              <w:rPr>
                <w:rFonts w:cstheme="minorHAnsi"/>
                <w:b w:val="0"/>
                <w:sz w:val="18"/>
                <w:szCs w:val="18"/>
              </w:rPr>
            </w:pPr>
            <w:r w:rsidRPr="00F91404">
              <w:rPr>
                <w:rFonts w:cstheme="minorHAnsi"/>
                <w:sz w:val="18"/>
                <w:szCs w:val="18"/>
              </w:rPr>
              <w:t>National Water Commission</w:t>
            </w:r>
          </w:p>
          <w:p w14:paraId="270BB4F4" w14:textId="5643E29C" w:rsidR="004401CE" w:rsidRPr="00F91404" w:rsidRDefault="004401CE" w:rsidP="004E4464">
            <w:pPr>
              <w:suppressAutoHyphens/>
              <w:spacing w:before="60" w:after="60"/>
              <w:rPr>
                <w:rFonts w:cstheme="minorHAnsi"/>
                <w:sz w:val="18"/>
                <w:szCs w:val="18"/>
              </w:rPr>
            </w:pPr>
            <w:r w:rsidRPr="00F91404">
              <w:rPr>
                <w:rFonts w:cstheme="minorHAnsi"/>
                <w:b w:val="0"/>
                <w:bCs w:val="0"/>
                <w:i/>
                <w:iCs/>
                <w:sz w:val="18"/>
                <w:szCs w:val="18"/>
              </w:rPr>
              <w:t>(CONAGUA)</w:t>
            </w:r>
          </w:p>
        </w:tc>
        <w:tc>
          <w:tcPr>
            <w:tcW w:w="1030" w:type="pct"/>
            <w:tcBorders>
              <w:left w:val="dashed" w:sz="4" w:space="0" w:color="808080" w:themeColor="background1" w:themeShade="80"/>
              <w:right w:val="dashed" w:sz="4" w:space="0" w:color="808080" w:themeColor="background1" w:themeShade="80"/>
            </w:tcBorders>
            <w:vAlign w:val="center"/>
            <w:hideMark/>
          </w:tcPr>
          <w:p w14:paraId="0729C51E" w14:textId="77777777" w:rsidR="004401CE" w:rsidRPr="00F91404" w:rsidRDefault="004401CE" w:rsidP="004E4464">
            <w:pPr>
              <w:suppressAutoHyphens/>
              <w:spacing w:before="60" w:after="6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Water resource management and permitting</w:t>
            </w:r>
          </w:p>
        </w:tc>
        <w:tc>
          <w:tcPr>
            <w:tcW w:w="0" w:type="auto"/>
            <w:tcBorders>
              <w:left w:val="dashed" w:sz="4" w:space="0" w:color="808080" w:themeColor="background1" w:themeShade="80"/>
            </w:tcBorders>
            <w:vAlign w:val="center"/>
            <w:hideMark/>
          </w:tcPr>
          <w:p w14:paraId="21D8EAAC" w14:textId="77777777" w:rsidR="00701E7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Issue water-use permits relevant to electrolysis projects</w:t>
            </w:r>
          </w:p>
          <w:p w14:paraId="7EC22C82" w14:textId="77777777" w:rsidR="00701E7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Authorise water abstraction and discharge</w:t>
            </w:r>
          </w:p>
          <w:p w14:paraId="687BC685" w14:textId="2E013104" w:rsidR="004401C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Ensure compliance with water availability and resource management regulations</w:t>
            </w:r>
          </w:p>
        </w:tc>
      </w:tr>
      <w:tr w:rsidR="00701E7E" w:rsidRPr="00F91404" w14:paraId="75BA98B5" w14:textId="77777777" w:rsidTr="00297E8A">
        <w:tc>
          <w:tcPr>
            <w:cnfStyle w:val="001000000000" w:firstRow="0" w:lastRow="0" w:firstColumn="1" w:lastColumn="0" w:oddVBand="0" w:evenVBand="0" w:oddHBand="0" w:evenHBand="0" w:firstRowFirstColumn="0" w:firstRowLastColumn="0" w:lastRowFirstColumn="0" w:lastRowLastColumn="0"/>
            <w:tcW w:w="1249" w:type="pct"/>
            <w:tcBorders>
              <w:right w:val="dashed" w:sz="4" w:space="0" w:color="808080" w:themeColor="background1" w:themeShade="80"/>
            </w:tcBorders>
            <w:vAlign w:val="center"/>
            <w:hideMark/>
          </w:tcPr>
          <w:p w14:paraId="23CA89E8" w14:textId="78CC49D6" w:rsidR="0030148E" w:rsidRPr="00F91404" w:rsidRDefault="004401CE" w:rsidP="004E4464">
            <w:pPr>
              <w:suppressAutoHyphens/>
              <w:spacing w:before="60" w:after="60"/>
              <w:rPr>
                <w:rFonts w:cstheme="minorHAnsi"/>
                <w:b w:val="0"/>
                <w:sz w:val="18"/>
                <w:szCs w:val="18"/>
              </w:rPr>
            </w:pPr>
            <w:r w:rsidRPr="00F91404">
              <w:rPr>
                <w:rFonts w:cstheme="minorHAnsi"/>
                <w:sz w:val="18"/>
                <w:szCs w:val="18"/>
              </w:rPr>
              <w:t>Agency for Safety, Energy and Environment</w:t>
            </w:r>
          </w:p>
          <w:p w14:paraId="7A6C32A7" w14:textId="05594CCC" w:rsidR="004401CE" w:rsidRPr="00F91404" w:rsidRDefault="004401CE" w:rsidP="004E4464">
            <w:pPr>
              <w:suppressAutoHyphens/>
              <w:spacing w:before="60" w:after="60"/>
              <w:rPr>
                <w:rFonts w:cstheme="minorHAnsi"/>
                <w:sz w:val="18"/>
                <w:szCs w:val="18"/>
              </w:rPr>
            </w:pPr>
            <w:r w:rsidRPr="00F91404">
              <w:rPr>
                <w:rFonts w:cstheme="minorHAnsi"/>
                <w:b w:val="0"/>
                <w:bCs w:val="0"/>
                <w:i/>
                <w:iCs/>
                <w:sz w:val="18"/>
                <w:szCs w:val="18"/>
              </w:rPr>
              <w:t>(ASEA)</w:t>
            </w:r>
          </w:p>
        </w:tc>
        <w:tc>
          <w:tcPr>
            <w:tcW w:w="1030" w:type="pct"/>
            <w:tcBorders>
              <w:left w:val="dashed" w:sz="4" w:space="0" w:color="808080" w:themeColor="background1" w:themeShade="80"/>
              <w:right w:val="dashed" w:sz="4" w:space="0" w:color="808080" w:themeColor="background1" w:themeShade="80"/>
            </w:tcBorders>
            <w:vAlign w:val="center"/>
            <w:hideMark/>
          </w:tcPr>
          <w:p w14:paraId="23E03511" w14:textId="77777777" w:rsidR="004401CE" w:rsidRPr="00F91404" w:rsidRDefault="004401CE" w:rsidP="004E4464">
            <w:pPr>
              <w:suppressAutoHyphens/>
              <w:spacing w:before="60" w:after="6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Industrial and environmental safety regulation</w:t>
            </w:r>
          </w:p>
        </w:tc>
        <w:tc>
          <w:tcPr>
            <w:tcW w:w="0" w:type="auto"/>
            <w:tcBorders>
              <w:left w:val="dashed" w:sz="4" w:space="0" w:color="808080" w:themeColor="background1" w:themeShade="80"/>
            </w:tcBorders>
            <w:vAlign w:val="center"/>
            <w:hideMark/>
          </w:tcPr>
          <w:p w14:paraId="1D6D7FA1" w14:textId="77777777" w:rsidR="00701E7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Regulate safety and environmental standards for energy-related activities</w:t>
            </w:r>
          </w:p>
          <w:p w14:paraId="054D77E7" w14:textId="77777777" w:rsidR="00701E7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Oversee facilities where hydrogen production, storage or handling intersects with regulated energy or fuel activities</w:t>
            </w:r>
          </w:p>
          <w:p w14:paraId="6B60A584" w14:textId="34FDBD21" w:rsidR="004401C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Enforce industrial and environmental safety requirements</w:t>
            </w:r>
          </w:p>
        </w:tc>
      </w:tr>
      <w:tr w:rsidR="00701E7E" w:rsidRPr="00F91404" w14:paraId="161753E1" w14:textId="77777777" w:rsidTr="00297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Borders>
              <w:right w:val="dashed" w:sz="4" w:space="0" w:color="808080" w:themeColor="background1" w:themeShade="80"/>
            </w:tcBorders>
            <w:vAlign w:val="center"/>
            <w:hideMark/>
          </w:tcPr>
          <w:p w14:paraId="605F0316" w14:textId="50398722" w:rsidR="0030148E" w:rsidRPr="00F91404" w:rsidRDefault="004401CE" w:rsidP="004E4464">
            <w:pPr>
              <w:suppressAutoHyphens/>
              <w:spacing w:before="60" w:after="60"/>
              <w:rPr>
                <w:rFonts w:cstheme="minorHAnsi"/>
                <w:b w:val="0"/>
                <w:sz w:val="18"/>
                <w:szCs w:val="18"/>
              </w:rPr>
            </w:pPr>
            <w:r w:rsidRPr="00F91404">
              <w:rPr>
                <w:rFonts w:cstheme="minorHAnsi"/>
                <w:sz w:val="18"/>
                <w:szCs w:val="18"/>
              </w:rPr>
              <w:t>Energy Regulatory Commission</w:t>
            </w:r>
          </w:p>
          <w:p w14:paraId="12815D5B" w14:textId="7E047AEA" w:rsidR="004401CE" w:rsidRPr="00F91404" w:rsidRDefault="004401CE" w:rsidP="004E4464">
            <w:pPr>
              <w:suppressAutoHyphens/>
              <w:spacing w:before="60" w:after="60"/>
              <w:rPr>
                <w:rFonts w:cstheme="minorHAnsi"/>
                <w:sz w:val="18"/>
                <w:szCs w:val="18"/>
              </w:rPr>
            </w:pPr>
            <w:r w:rsidRPr="00F91404">
              <w:rPr>
                <w:rFonts w:cstheme="minorHAnsi"/>
                <w:b w:val="0"/>
                <w:bCs w:val="0"/>
                <w:i/>
                <w:iCs/>
                <w:sz w:val="18"/>
                <w:szCs w:val="18"/>
              </w:rPr>
              <w:t>(CRE)</w:t>
            </w:r>
          </w:p>
        </w:tc>
        <w:tc>
          <w:tcPr>
            <w:tcW w:w="1030" w:type="pct"/>
            <w:tcBorders>
              <w:left w:val="dashed" w:sz="4" w:space="0" w:color="808080" w:themeColor="background1" w:themeShade="80"/>
              <w:right w:val="dashed" w:sz="4" w:space="0" w:color="808080" w:themeColor="background1" w:themeShade="80"/>
            </w:tcBorders>
            <w:vAlign w:val="center"/>
            <w:hideMark/>
          </w:tcPr>
          <w:p w14:paraId="07E71A71" w14:textId="77777777" w:rsidR="004401CE" w:rsidRPr="00F91404" w:rsidRDefault="004401CE" w:rsidP="004E4464">
            <w:pPr>
              <w:suppressAutoHyphens/>
              <w:spacing w:before="60" w:after="6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Energy market regulation</w:t>
            </w:r>
          </w:p>
        </w:tc>
        <w:tc>
          <w:tcPr>
            <w:tcW w:w="0" w:type="auto"/>
            <w:tcBorders>
              <w:left w:val="dashed" w:sz="4" w:space="0" w:color="808080" w:themeColor="background1" w:themeShade="80"/>
            </w:tcBorders>
            <w:vAlign w:val="center"/>
            <w:hideMark/>
          </w:tcPr>
          <w:p w14:paraId="77C67747" w14:textId="77777777" w:rsidR="00701E7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Regulate electricity and fuel-related activities</w:t>
            </w:r>
          </w:p>
          <w:p w14:paraId="3545BD57" w14:textId="77777777" w:rsidR="00701E7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Approve regulatory requirements relevant to electricity supply for electrolysis</w:t>
            </w:r>
          </w:p>
          <w:p w14:paraId="47EE253C" w14:textId="352DB356" w:rsidR="004401C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Oversee compliance with applicable energy regulations</w:t>
            </w:r>
          </w:p>
        </w:tc>
      </w:tr>
      <w:tr w:rsidR="00701E7E" w:rsidRPr="00F91404" w14:paraId="17AE6220" w14:textId="77777777" w:rsidTr="00297E8A">
        <w:tc>
          <w:tcPr>
            <w:cnfStyle w:val="001000000000" w:firstRow="0" w:lastRow="0" w:firstColumn="1" w:lastColumn="0" w:oddVBand="0" w:evenVBand="0" w:oddHBand="0" w:evenHBand="0" w:firstRowFirstColumn="0" w:firstRowLastColumn="0" w:lastRowFirstColumn="0" w:lastRowLastColumn="0"/>
            <w:tcW w:w="1249" w:type="pct"/>
            <w:tcBorders>
              <w:right w:val="dashed" w:sz="4" w:space="0" w:color="808080" w:themeColor="background1" w:themeShade="80"/>
            </w:tcBorders>
            <w:vAlign w:val="center"/>
            <w:hideMark/>
          </w:tcPr>
          <w:p w14:paraId="63249FDE" w14:textId="4A020EE0" w:rsidR="0030148E" w:rsidRPr="00F91404" w:rsidRDefault="004401CE" w:rsidP="004E4464">
            <w:pPr>
              <w:suppressAutoHyphens/>
              <w:spacing w:before="60" w:after="60"/>
              <w:rPr>
                <w:rFonts w:cstheme="minorHAnsi"/>
                <w:b w:val="0"/>
                <w:sz w:val="18"/>
                <w:szCs w:val="18"/>
              </w:rPr>
            </w:pPr>
            <w:r w:rsidRPr="00F91404">
              <w:rPr>
                <w:rFonts w:cstheme="minorHAnsi"/>
                <w:sz w:val="18"/>
                <w:szCs w:val="18"/>
              </w:rPr>
              <w:t>National Energy Control Centre</w:t>
            </w:r>
          </w:p>
          <w:p w14:paraId="17F9937E" w14:textId="1BB7BD61" w:rsidR="004401CE" w:rsidRPr="00F91404" w:rsidRDefault="004401CE" w:rsidP="004E4464">
            <w:pPr>
              <w:suppressAutoHyphens/>
              <w:spacing w:before="60" w:after="60"/>
              <w:rPr>
                <w:rFonts w:cstheme="minorHAnsi"/>
                <w:i/>
                <w:sz w:val="18"/>
                <w:szCs w:val="18"/>
              </w:rPr>
            </w:pPr>
            <w:r w:rsidRPr="00F91404">
              <w:rPr>
                <w:rFonts w:cstheme="minorHAnsi"/>
                <w:b w:val="0"/>
                <w:bCs w:val="0"/>
                <w:i/>
                <w:iCs/>
                <w:sz w:val="18"/>
                <w:szCs w:val="18"/>
              </w:rPr>
              <w:t>(CENACE)</w:t>
            </w:r>
          </w:p>
        </w:tc>
        <w:tc>
          <w:tcPr>
            <w:tcW w:w="1030" w:type="pct"/>
            <w:tcBorders>
              <w:left w:val="dashed" w:sz="4" w:space="0" w:color="808080" w:themeColor="background1" w:themeShade="80"/>
              <w:right w:val="dashed" w:sz="4" w:space="0" w:color="808080" w:themeColor="background1" w:themeShade="80"/>
            </w:tcBorders>
            <w:vAlign w:val="center"/>
            <w:hideMark/>
          </w:tcPr>
          <w:p w14:paraId="5C9BF774" w14:textId="77777777" w:rsidR="004401CE" w:rsidRPr="00F91404" w:rsidRDefault="004401CE" w:rsidP="004E4464">
            <w:pPr>
              <w:suppressAutoHyphens/>
              <w:spacing w:before="60" w:after="6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Electricity system operation</w:t>
            </w:r>
          </w:p>
        </w:tc>
        <w:tc>
          <w:tcPr>
            <w:tcW w:w="0" w:type="auto"/>
            <w:tcBorders>
              <w:left w:val="dashed" w:sz="4" w:space="0" w:color="808080" w:themeColor="background1" w:themeShade="80"/>
            </w:tcBorders>
            <w:vAlign w:val="center"/>
            <w:hideMark/>
          </w:tcPr>
          <w:p w14:paraId="6491B065" w14:textId="77777777" w:rsidR="00701E7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Operate the national electricity system</w:t>
            </w:r>
          </w:p>
          <w:p w14:paraId="16CB5BE6" w14:textId="77777777" w:rsidR="00701E7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Manage system dispatch and balancing</w:t>
            </w:r>
          </w:p>
          <w:p w14:paraId="6670FD32" w14:textId="2BFCA825" w:rsidR="004401C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Oversee grid interconnection processes for grid-connected renewable energy and electrolysis projects</w:t>
            </w:r>
          </w:p>
        </w:tc>
      </w:tr>
      <w:tr w:rsidR="00701E7E" w:rsidRPr="00F91404" w14:paraId="3C12A0C3" w14:textId="77777777" w:rsidTr="00297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Borders>
              <w:right w:val="dashed" w:sz="4" w:space="0" w:color="808080" w:themeColor="background1" w:themeShade="80"/>
            </w:tcBorders>
            <w:vAlign w:val="center"/>
            <w:hideMark/>
          </w:tcPr>
          <w:p w14:paraId="17F71BE0" w14:textId="77777777" w:rsidR="004401CE" w:rsidRPr="00F91404" w:rsidRDefault="004401CE" w:rsidP="004E4464">
            <w:pPr>
              <w:suppressAutoHyphens/>
              <w:spacing w:before="60" w:after="60"/>
              <w:rPr>
                <w:rFonts w:cstheme="minorHAnsi"/>
                <w:sz w:val="18"/>
                <w:szCs w:val="18"/>
              </w:rPr>
            </w:pPr>
            <w:r w:rsidRPr="00F91404">
              <w:rPr>
                <w:rFonts w:cstheme="minorHAnsi"/>
                <w:sz w:val="18"/>
                <w:szCs w:val="18"/>
              </w:rPr>
              <w:t>State and municipal authorities</w:t>
            </w:r>
          </w:p>
        </w:tc>
        <w:tc>
          <w:tcPr>
            <w:tcW w:w="1030" w:type="pct"/>
            <w:tcBorders>
              <w:left w:val="dashed" w:sz="4" w:space="0" w:color="808080" w:themeColor="background1" w:themeShade="80"/>
              <w:right w:val="dashed" w:sz="4" w:space="0" w:color="808080" w:themeColor="background1" w:themeShade="80"/>
            </w:tcBorders>
            <w:vAlign w:val="center"/>
            <w:hideMark/>
          </w:tcPr>
          <w:p w14:paraId="7DF52754" w14:textId="77777777" w:rsidR="004401CE" w:rsidRPr="00F91404" w:rsidRDefault="004401CE" w:rsidP="004E4464">
            <w:pPr>
              <w:suppressAutoHyphens/>
              <w:spacing w:before="60" w:after="6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Local planning and permitting</w:t>
            </w:r>
          </w:p>
        </w:tc>
        <w:tc>
          <w:tcPr>
            <w:tcW w:w="0" w:type="auto"/>
            <w:tcBorders>
              <w:left w:val="dashed" w:sz="4" w:space="0" w:color="808080" w:themeColor="background1" w:themeShade="80"/>
            </w:tcBorders>
            <w:vAlign w:val="center"/>
            <w:hideMark/>
          </w:tcPr>
          <w:p w14:paraId="4A151071" w14:textId="77777777" w:rsidR="00701E7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Approve land-use planning and zoning</w:t>
            </w:r>
          </w:p>
          <w:p w14:paraId="493C2289" w14:textId="77777777" w:rsidR="00701E7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Issue construction and local operating permits</w:t>
            </w:r>
          </w:p>
          <w:p w14:paraId="40F2C23E" w14:textId="2305CBF2" w:rsidR="004401CE" w:rsidRPr="00F91404" w:rsidRDefault="004401CE" w:rsidP="004E4464">
            <w:pPr>
              <w:pStyle w:val="ListParagraph"/>
              <w:numPr>
                <w:ilvl w:val="0"/>
                <w:numId w:val="4"/>
              </w:numPr>
              <w:suppressAutoHyphens/>
              <w:spacing w:before="60" w:after="60"/>
              <w:ind w:left="284" w:hanging="227"/>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91404">
              <w:rPr>
                <w:rFonts w:cstheme="minorHAnsi"/>
                <w:sz w:val="18"/>
                <w:szCs w:val="18"/>
              </w:rPr>
              <w:t>Ensure compliance with subnational planning regulations</w:t>
            </w:r>
          </w:p>
        </w:tc>
      </w:tr>
      <w:tr w:rsidR="00701E7E" w:rsidRPr="00F91404" w14:paraId="2F79EF6F" w14:textId="77777777" w:rsidTr="00297E8A">
        <w:tc>
          <w:tcPr>
            <w:cnfStyle w:val="001000000000" w:firstRow="0" w:lastRow="0" w:firstColumn="1" w:lastColumn="0" w:oddVBand="0" w:evenVBand="0" w:oddHBand="0" w:evenHBand="0" w:firstRowFirstColumn="0" w:firstRowLastColumn="0" w:lastRowFirstColumn="0" w:lastRowLastColumn="0"/>
            <w:tcW w:w="1249" w:type="pct"/>
            <w:tcBorders>
              <w:right w:val="dashed" w:sz="4" w:space="0" w:color="808080" w:themeColor="background1" w:themeShade="80"/>
            </w:tcBorders>
            <w:vAlign w:val="center"/>
            <w:hideMark/>
          </w:tcPr>
          <w:p w14:paraId="31AE2352" w14:textId="77777777" w:rsidR="004401CE" w:rsidRPr="00F91404" w:rsidRDefault="004401CE" w:rsidP="004E4464">
            <w:pPr>
              <w:suppressAutoHyphens/>
              <w:spacing w:before="60" w:after="60"/>
              <w:rPr>
                <w:rFonts w:cstheme="minorHAnsi"/>
                <w:sz w:val="18"/>
                <w:szCs w:val="18"/>
              </w:rPr>
            </w:pPr>
            <w:r w:rsidRPr="00F91404">
              <w:rPr>
                <w:rFonts w:cstheme="minorHAnsi"/>
                <w:sz w:val="18"/>
                <w:szCs w:val="18"/>
              </w:rPr>
              <w:t>Port and transport authorities</w:t>
            </w:r>
          </w:p>
        </w:tc>
        <w:tc>
          <w:tcPr>
            <w:tcW w:w="1030" w:type="pct"/>
            <w:tcBorders>
              <w:left w:val="dashed" w:sz="4" w:space="0" w:color="808080" w:themeColor="background1" w:themeShade="80"/>
              <w:right w:val="dashed" w:sz="4" w:space="0" w:color="808080" w:themeColor="background1" w:themeShade="80"/>
            </w:tcBorders>
            <w:vAlign w:val="center"/>
            <w:hideMark/>
          </w:tcPr>
          <w:p w14:paraId="008DC966" w14:textId="77777777" w:rsidR="004401CE" w:rsidRPr="00F91404" w:rsidRDefault="004401CE" w:rsidP="004E4464">
            <w:pPr>
              <w:suppressAutoHyphens/>
              <w:spacing w:before="60" w:after="6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Logistics and transport oversight</w:t>
            </w:r>
          </w:p>
        </w:tc>
        <w:tc>
          <w:tcPr>
            <w:tcW w:w="0" w:type="auto"/>
            <w:tcBorders>
              <w:left w:val="dashed" w:sz="4" w:space="0" w:color="808080" w:themeColor="background1" w:themeShade="80"/>
            </w:tcBorders>
            <w:vAlign w:val="center"/>
            <w:hideMark/>
          </w:tcPr>
          <w:p w14:paraId="63E5861C" w14:textId="77777777" w:rsidR="00701E7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Regulate port operations and terminals</w:t>
            </w:r>
          </w:p>
          <w:p w14:paraId="029515EC" w14:textId="77777777" w:rsidR="00701E7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Authorise transport and logistics infrastructure</w:t>
            </w:r>
          </w:p>
          <w:p w14:paraId="5A7401E7" w14:textId="726AB455" w:rsidR="004401CE" w:rsidRPr="00F91404" w:rsidRDefault="004401CE" w:rsidP="004E4464">
            <w:pPr>
              <w:pStyle w:val="ListParagraph"/>
              <w:numPr>
                <w:ilvl w:val="0"/>
                <w:numId w:val="4"/>
              </w:numPr>
              <w:suppressAutoHyphens/>
              <w:spacing w:before="60" w:after="60"/>
              <w:ind w:left="284" w:hanging="227"/>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91404">
              <w:rPr>
                <w:rFonts w:cstheme="minorHAnsi"/>
                <w:sz w:val="18"/>
                <w:szCs w:val="18"/>
              </w:rPr>
              <w:t>Support hydrogen and hydrogen-derived product import and export activities</w:t>
            </w:r>
          </w:p>
        </w:tc>
      </w:tr>
    </w:tbl>
    <w:p w14:paraId="3E71DED7" w14:textId="77777777" w:rsidR="00AE6CC3" w:rsidRPr="00F91404" w:rsidRDefault="00AE6CC3" w:rsidP="00AE6CC3">
      <w:pPr>
        <w:rPr>
          <w:rFonts w:cstheme="minorHAnsi"/>
          <w:sz w:val="20"/>
          <w:szCs w:val="20"/>
        </w:rPr>
      </w:pPr>
    </w:p>
    <w:p w14:paraId="7117A722" w14:textId="69BDA137" w:rsidR="00987D47" w:rsidRPr="00F91404" w:rsidRDefault="00701E7E" w:rsidP="0045250D">
      <w:pPr>
        <w:rPr>
          <w:rFonts w:cstheme="minorHAnsi"/>
          <w:sz w:val="20"/>
          <w:szCs w:val="20"/>
        </w:rPr>
      </w:pPr>
      <w:r w:rsidRPr="00F91404">
        <w:rPr>
          <w:rFonts w:cstheme="minorHAnsi"/>
          <w:sz w:val="20"/>
          <w:szCs w:val="20"/>
        </w:rPr>
        <w:t>As observed in benchmark countries, governance arrangements typically evolve as hydrogen markets mature. Early-stage markets often rely on existing institutional structures, with more formalised coordination mechanisms emerging as deployment scales. Mexico’s current institutional landscape reflects this early-stage profile, providing the baseline against which international experience is examined in the sections that follow.</w:t>
      </w:r>
      <w:r w:rsidR="00987D47" w:rsidRPr="00F91404">
        <w:rPr>
          <w:rFonts w:cstheme="minorHAnsi"/>
          <w:sz w:val="20"/>
          <w:szCs w:val="20"/>
        </w:rPr>
        <w:br w:type="page"/>
      </w:r>
    </w:p>
    <w:p w14:paraId="4A7A2103" w14:textId="0A390554" w:rsidR="00AE6CC3" w:rsidRPr="00F91404" w:rsidRDefault="00D643F2" w:rsidP="00AA77D6">
      <w:pPr>
        <w:pStyle w:val="Heading1"/>
      </w:pPr>
      <w:bookmarkStart w:id="21" w:name="_Toc220786525"/>
      <w:r w:rsidRPr="00F91404">
        <w:lastRenderedPageBreak/>
        <w:t>Global Sector Dynamics</w:t>
      </w:r>
      <w:bookmarkEnd w:id="21"/>
      <w:r w:rsidRPr="00F91404">
        <w:t xml:space="preserve"> </w:t>
      </w:r>
    </w:p>
    <w:p w14:paraId="5B330F56" w14:textId="504A351D" w:rsidR="00D37C57" w:rsidRPr="00F91404" w:rsidRDefault="00B14763" w:rsidP="00401634">
      <w:pPr>
        <w:spacing w:line="276" w:lineRule="auto"/>
        <w:rPr>
          <w:rFonts w:cstheme="minorHAnsi"/>
          <w:sz w:val="20"/>
          <w:szCs w:val="20"/>
        </w:rPr>
      </w:pPr>
      <w:r w:rsidRPr="00F91404">
        <w:rPr>
          <w:rFonts w:cstheme="minorHAnsi"/>
          <w:sz w:val="20"/>
          <w:szCs w:val="20"/>
        </w:rPr>
        <w:t>Green hydrogen is at an early stage of development globally, with deployment concentrated in pilot projects, demonstration initiatives and a limited number of early commercial applications</w:t>
      </w:r>
      <w:r w:rsidR="00F324DC" w:rsidRPr="00F91404">
        <w:rPr>
          <w:rStyle w:val="FootnoteReference"/>
          <w:rFonts w:cstheme="minorHAnsi"/>
          <w:szCs w:val="20"/>
        </w:rPr>
        <w:footnoteReference w:id="15"/>
      </w:r>
      <w:r w:rsidRPr="00F91404">
        <w:rPr>
          <w:rFonts w:cstheme="minorHAnsi"/>
          <w:sz w:val="20"/>
          <w:szCs w:val="20"/>
        </w:rPr>
        <w:t>. While interest in hydrogen has grown rapidly across regions, progress has been uneven, reflecting differences in sectoral demand, infrastructure readiness and the maturity of enabling policy and regulatory frameworks. Mexico’s hydrogen sector exhibits many of the characteristics observed in other early-stage markets, providing a relevant reference point for examining global deployment patterns and constraints</w:t>
      </w:r>
      <w:r w:rsidR="00D37C57" w:rsidRPr="00F91404">
        <w:rPr>
          <w:rFonts w:cstheme="minorHAnsi"/>
          <w:sz w:val="20"/>
          <w:szCs w:val="20"/>
        </w:rPr>
        <w:t>.</w:t>
      </w:r>
    </w:p>
    <w:p w14:paraId="3DDF6A53" w14:textId="77777777" w:rsidR="0045250D" w:rsidRPr="00F91404" w:rsidRDefault="0045250D" w:rsidP="0070541F">
      <w:pPr>
        <w:spacing w:after="0" w:line="276" w:lineRule="auto"/>
        <w:rPr>
          <w:rFonts w:cstheme="minorHAnsi"/>
          <w:sz w:val="20"/>
          <w:szCs w:val="20"/>
        </w:rPr>
      </w:pPr>
    </w:p>
    <w:p w14:paraId="60D4A248" w14:textId="0496F844" w:rsidR="00D37C57" w:rsidRPr="00F91404" w:rsidRDefault="00B72177" w:rsidP="001F69E6">
      <w:pPr>
        <w:rPr>
          <w:b/>
        </w:rPr>
      </w:pPr>
      <w:bookmarkStart w:id="22" w:name="_Toc220695666"/>
      <w:bookmarkStart w:id="23" w:name="_Toc220695991"/>
      <w:r w:rsidRPr="00F91404">
        <w:rPr>
          <w:b/>
          <w:color w:val="004C43" w:themeColor="accent1"/>
          <w:sz w:val="24"/>
          <w:szCs w:val="32"/>
        </w:rPr>
        <w:t>4</w:t>
      </w:r>
      <w:r w:rsidR="00D643F2" w:rsidRPr="00F91404">
        <w:rPr>
          <w:b/>
          <w:color w:val="004C43" w:themeColor="accent1"/>
          <w:sz w:val="24"/>
          <w:szCs w:val="32"/>
        </w:rPr>
        <w:t xml:space="preserve">.1 </w:t>
      </w:r>
      <w:r w:rsidR="00D37C57" w:rsidRPr="00F91404">
        <w:rPr>
          <w:b/>
          <w:color w:val="004C43" w:themeColor="accent1"/>
          <w:sz w:val="24"/>
          <w:szCs w:val="32"/>
        </w:rPr>
        <w:t xml:space="preserve">Global </w:t>
      </w:r>
      <w:r w:rsidR="00D643F2" w:rsidRPr="00F91404">
        <w:rPr>
          <w:b/>
          <w:color w:val="004C43" w:themeColor="accent1"/>
          <w:sz w:val="24"/>
          <w:szCs w:val="32"/>
        </w:rPr>
        <w:t>h</w:t>
      </w:r>
      <w:r w:rsidR="00D564F6" w:rsidRPr="00F91404">
        <w:rPr>
          <w:b/>
          <w:color w:val="004C43" w:themeColor="accent1"/>
          <w:sz w:val="24"/>
          <w:szCs w:val="32"/>
        </w:rPr>
        <w:t xml:space="preserve">ydrogen </w:t>
      </w:r>
      <w:r w:rsidR="00D643F2" w:rsidRPr="00F91404">
        <w:rPr>
          <w:b/>
          <w:color w:val="004C43" w:themeColor="accent1"/>
          <w:sz w:val="24"/>
          <w:szCs w:val="32"/>
        </w:rPr>
        <w:t>v</w:t>
      </w:r>
      <w:r w:rsidR="00D564F6" w:rsidRPr="00F91404">
        <w:rPr>
          <w:b/>
          <w:color w:val="004C43" w:themeColor="accent1"/>
          <w:sz w:val="24"/>
          <w:szCs w:val="32"/>
        </w:rPr>
        <w:t xml:space="preserve">alue </w:t>
      </w:r>
      <w:r w:rsidR="00D643F2" w:rsidRPr="00F91404">
        <w:rPr>
          <w:b/>
          <w:color w:val="004C43" w:themeColor="accent1"/>
          <w:sz w:val="24"/>
          <w:szCs w:val="32"/>
        </w:rPr>
        <w:t>c</w:t>
      </w:r>
      <w:r w:rsidR="00D564F6" w:rsidRPr="00F91404">
        <w:rPr>
          <w:b/>
          <w:color w:val="004C43" w:themeColor="accent1"/>
          <w:sz w:val="24"/>
          <w:szCs w:val="32"/>
        </w:rPr>
        <w:t xml:space="preserve">hain and </w:t>
      </w:r>
      <w:r w:rsidR="00D643F2" w:rsidRPr="00F91404">
        <w:rPr>
          <w:b/>
          <w:color w:val="004C43" w:themeColor="accent1"/>
          <w:sz w:val="24"/>
          <w:szCs w:val="32"/>
        </w:rPr>
        <w:t>d</w:t>
      </w:r>
      <w:r w:rsidR="00D564F6" w:rsidRPr="00F91404">
        <w:rPr>
          <w:b/>
          <w:color w:val="004C43" w:themeColor="accent1"/>
          <w:sz w:val="24"/>
          <w:szCs w:val="32"/>
        </w:rPr>
        <w:t xml:space="preserve">eployment </w:t>
      </w:r>
      <w:r w:rsidR="00D643F2" w:rsidRPr="00F91404">
        <w:rPr>
          <w:b/>
          <w:color w:val="004C43" w:themeColor="accent1"/>
          <w:sz w:val="24"/>
          <w:szCs w:val="32"/>
        </w:rPr>
        <w:t>p</w:t>
      </w:r>
      <w:r w:rsidR="00D564F6" w:rsidRPr="00F91404">
        <w:rPr>
          <w:b/>
          <w:color w:val="004C43" w:themeColor="accent1"/>
          <w:sz w:val="24"/>
          <w:szCs w:val="32"/>
        </w:rPr>
        <w:t>atterns</w:t>
      </w:r>
      <w:bookmarkEnd w:id="22"/>
      <w:bookmarkEnd w:id="23"/>
    </w:p>
    <w:p w14:paraId="55CA8E55" w14:textId="7C8BCDC8" w:rsidR="00D37C57" w:rsidRPr="00F91404" w:rsidRDefault="00D37C57" w:rsidP="00D72183">
      <w:pPr>
        <w:spacing w:line="276" w:lineRule="auto"/>
        <w:rPr>
          <w:rFonts w:cstheme="minorHAnsi"/>
          <w:sz w:val="20"/>
          <w:szCs w:val="24"/>
        </w:rPr>
      </w:pPr>
      <w:r w:rsidRPr="00F91404">
        <w:rPr>
          <w:rFonts w:cstheme="minorHAnsi"/>
          <w:sz w:val="20"/>
          <w:szCs w:val="24"/>
        </w:rPr>
        <w:t>Globally, the green hydrogen value chain spans renewable electricity generation, hydrogen production through electrolysis, storage and transport, and end-use applications across industry, energy and transport. International experience shows that these elements rarely develop simultaneously, particularly in early markets.</w:t>
      </w:r>
    </w:p>
    <w:p w14:paraId="1B911E3F" w14:textId="03BF224D" w:rsidR="00D37C57" w:rsidRPr="00F91404" w:rsidRDefault="00D37C57" w:rsidP="00D72183">
      <w:pPr>
        <w:spacing w:line="276" w:lineRule="auto"/>
        <w:rPr>
          <w:rFonts w:cstheme="minorHAnsi"/>
          <w:sz w:val="20"/>
          <w:szCs w:val="24"/>
        </w:rPr>
      </w:pPr>
      <w:r w:rsidRPr="00F91404">
        <w:rPr>
          <w:rFonts w:cstheme="minorHAnsi"/>
          <w:sz w:val="20"/>
          <w:szCs w:val="24"/>
        </w:rPr>
        <w:t>Deployment has typically begun with pilot and demonstration projects focused on hydrogen production and limited end-use applications. As markets mature, attention shifts toward system integration, shared infrastructure and coordinated development across multiple projects and users. Countries that have progressed beyond pilots have generally addressed value-chain constraints through coordinated approaches rather than isolated, project-level interventions</w:t>
      </w:r>
      <w:r w:rsidR="00756C2E" w:rsidRPr="00F91404">
        <w:rPr>
          <w:rStyle w:val="FootnoteReference"/>
          <w:rFonts w:cstheme="minorHAnsi"/>
          <w:sz w:val="20"/>
          <w:szCs w:val="20"/>
        </w:rPr>
        <w:footnoteReference w:id="16"/>
      </w:r>
      <w:r w:rsidRPr="00F91404">
        <w:rPr>
          <w:rFonts w:cstheme="minorHAnsi"/>
          <w:sz w:val="20"/>
          <w:szCs w:val="24"/>
        </w:rPr>
        <w:t>.</w:t>
      </w:r>
    </w:p>
    <w:p w14:paraId="7BA62434" w14:textId="01B4122A" w:rsidR="00D37C57" w:rsidRPr="00F91404" w:rsidRDefault="00D37C57" w:rsidP="00D72183">
      <w:pPr>
        <w:spacing w:line="276" w:lineRule="auto"/>
        <w:rPr>
          <w:rFonts w:cstheme="minorHAnsi"/>
          <w:sz w:val="20"/>
          <w:szCs w:val="24"/>
        </w:rPr>
      </w:pPr>
      <w:r w:rsidRPr="00F91404">
        <w:rPr>
          <w:rFonts w:cstheme="minorHAnsi"/>
          <w:sz w:val="20"/>
          <w:szCs w:val="24"/>
        </w:rPr>
        <w:t>In terms of applications, green hydrogen is primarily targeted at sectors where direct electrification is not technically feasible or economically efficient</w:t>
      </w:r>
      <w:r w:rsidR="000D6650" w:rsidRPr="00F91404">
        <w:rPr>
          <w:rStyle w:val="FootnoteReference"/>
          <w:rFonts w:cstheme="minorHAnsi"/>
          <w:szCs w:val="24"/>
        </w:rPr>
        <w:footnoteReference w:id="17"/>
      </w:r>
      <w:r w:rsidRPr="00F91404">
        <w:rPr>
          <w:rFonts w:cstheme="minorHAnsi"/>
          <w:sz w:val="20"/>
          <w:szCs w:val="24"/>
        </w:rPr>
        <w:t>. These include existing hydrogen-consuming industries such as refining, ammonia and chemicals, selected industrial processes, heavy transport and, in some cases, power system balancing. International experience consistently indicates that hydrogen functions as a targeted decarbonisation option rather than a universal solution.</w:t>
      </w:r>
    </w:p>
    <w:p w14:paraId="4F06BC22" w14:textId="77777777" w:rsidR="0045250D" w:rsidRPr="00F91404" w:rsidRDefault="0045250D" w:rsidP="0070541F">
      <w:pPr>
        <w:spacing w:after="0" w:line="276" w:lineRule="auto"/>
        <w:rPr>
          <w:rFonts w:cstheme="minorHAnsi"/>
          <w:sz w:val="20"/>
          <w:szCs w:val="24"/>
        </w:rPr>
      </w:pPr>
    </w:p>
    <w:p w14:paraId="0C28C9B4" w14:textId="7EB09717" w:rsidR="00D37C57" w:rsidRPr="00F91404" w:rsidRDefault="00B72177" w:rsidP="0070541F">
      <w:pPr>
        <w:rPr>
          <w:b/>
        </w:rPr>
      </w:pPr>
      <w:bookmarkStart w:id="24" w:name="_Toc220695667"/>
      <w:bookmarkStart w:id="25" w:name="_Toc220695992"/>
      <w:r w:rsidRPr="00F91404">
        <w:rPr>
          <w:b/>
          <w:color w:val="004C43" w:themeColor="accent1"/>
          <w:sz w:val="24"/>
          <w:szCs w:val="32"/>
        </w:rPr>
        <w:t>4</w:t>
      </w:r>
      <w:r w:rsidR="00D643F2" w:rsidRPr="00F91404">
        <w:rPr>
          <w:b/>
          <w:color w:val="004C43" w:themeColor="accent1"/>
          <w:sz w:val="24"/>
          <w:szCs w:val="32"/>
        </w:rPr>
        <w:t xml:space="preserve">.2 </w:t>
      </w:r>
      <w:r w:rsidR="00D37C57" w:rsidRPr="00F91404">
        <w:rPr>
          <w:b/>
          <w:color w:val="004C43" w:themeColor="accent1"/>
          <w:sz w:val="24"/>
          <w:szCs w:val="32"/>
        </w:rPr>
        <w:t>Common barriers to green hydrogen deployment</w:t>
      </w:r>
      <w:bookmarkEnd w:id="24"/>
      <w:bookmarkEnd w:id="25"/>
    </w:p>
    <w:p w14:paraId="39F9A11F" w14:textId="4E3DF0AA" w:rsidR="00D37C57" w:rsidRPr="00F91404" w:rsidRDefault="00D37C57" w:rsidP="00D72183">
      <w:pPr>
        <w:spacing w:line="276" w:lineRule="auto"/>
        <w:rPr>
          <w:rFonts w:cstheme="minorHAnsi"/>
          <w:sz w:val="20"/>
          <w:szCs w:val="24"/>
        </w:rPr>
      </w:pPr>
      <w:r w:rsidRPr="00F91404">
        <w:rPr>
          <w:rFonts w:cstheme="minorHAnsi"/>
          <w:sz w:val="20"/>
          <w:szCs w:val="24"/>
        </w:rPr>
        <w:t>Across countries and regions, green hydrogen deployment is constrained by a consistent set of structural barriers. These barriers have been observed across markets with varying resource endowments, policy ambition and stages of development.</w:t>
      </w:r>
    </w:p>
    <w:p w14:paraId="4DD0D6D3" w14:textId="32519C2B" w:rsidR="00D37C57" w:rsidRPr="00F91404" w:rsidRDefault="00D37C57" w:rsidP="008D5DDD">
      <w:pPr>
        <w:pStyle w:val="ListParagraph"/>
        <w:numPr>
          <w:ilvl w:val="0"/>
          <w:numId w:val="24"/>
        </w:numPr>
        <w:spacing w:before="120" w:line="276" w:lineRule="auto"/>
        <w:contextualSpacing w:val="0"/>
        <w:rPr>
          <w:rFonts w:cstheme="minorHAnsi"/>
          <w:sz w:val="20"/>
          <w:szCs w:val="24"/>
        </w:rPr>
      </w:pPr>
      <w:r w:rsidRPr="00F91404">
        <w:rPr>
          <w:rFonts w:cstheme="minorHAnsi"/>
          <w:b/>
          <w:color w:val="004C43"/>
          <w:sz w:val="20"/>
          <w:szCs w:val="24"/>
        </w:rPr>
        <w:t>Revenue uncertainty and demand risk</w:t>
      </w:r>
      <w:r w:rsidR="002D44BC" w:rsidRPr="00F91404">
        <w:rPr>
          <w:rFonts w:cstheme="minorHAnsi"/>
          <w:b/>
          <w:sz w:val="20"/>
          <w:szCs w:val="24"/>
        </w:rPr>
        <w:br/>
      </w:r>
      <w:r w:rsidRPr="00F91404">
        <w:rPr>
          <w:rFonts w:cstheme="minorHAnsi"/>
          <w:sz w:val="20"/>
          <w:szCs w:val="24"/>
        </w:rPr>
        <w:t>Green hydrogen remains materially more expensive than fossil-based alternatives in most applications. In the absence of predictable long-term revenues or committed offtake, projects face high market risk, limiting bankability and access to project finance. Where demand and revenue risks are not addressed, project pipelines tend to stall at announcement or feasibility stage.</w:t>
      </w:r>
    </w:p>
    <w:p w14:paraId="0CB901E8" w14:textId="29D8C60E" w:rsidR="004401CE" w:rsidRPr="00F91404" w:rsidRDefault="00D37C57" w:rsidP="008D5DDD">
      <w:pPr>
        <w:pStyle w:val="ListParagraph"/>
        <w:numPr>
          <w:ilvl w:val="0"/>
          <w:numId w:val="24"/>
        </w:numPr>
        <w:spacing w:before="120" w:line="276" w:lineRule="auto"/>
        <w:contextualSpacing w:val="0"/>
        <w:rPr>
          <w:rFonts w:cstheme="minorHAnsi"/>
          <w:sz w:val="20"/>
          <w:szCs w:val="24"/>
        </w:rPr>
      </w:pPr>
      <w:r w:rsidRPr="00F91404">
        <w:rPr>
          <w:rFonts w:cstheme="minorHAnsi"/>
          <w:b/>
          <w:color w:val="004C43"/>
          <w:sz w:val="20"/>
          <w:szCs w:val="24"/>
        </w:rPr>
        <w:t>Regulatory uncertainty and evolving standards</w:t>
      </w:r>
      <w:r w:rsidR="002D44BC" w:rsidRPr="00F91404">
        <w:rPr>
          <w:rFonts w:cstheme="minorHAnsi"/>
          <w:b/>
          <w:sz w:val="20"/>
          <w:szCs w:val="24"/>
        </w:rPr>
        <w:br/>
      </w:r>
      <w:r w:rsidRPr="00F91404">
        <w:rPr>
          <w:rFonts w:cstheme="minorHAnsi"/>
          <w:sz w:val="20"/>
          <w:szCs w:val="24"/>
        </w:rPr>
        <w:t xml:space="preserve">In many jurisdictions, hydrogen-specific definitions, certification systems and permitting regimes are either absent or still evolving. This creates regulatory and compliance uncertainty for </w:t>
      </w:r>
      <w:r w:rsidRPr="00F91404">
        <w:rPr>
          <w:rFonts w:cstheme="minorHAnsi"/>
          <w:sz w:val="20"/>
          <w:szCs w:val="24"/>
        </w:rPr>
        <w:lastRenderedPageBreak/>
        <w:t>developers and financiers, increases transaction costs and slows project development, particularly for first-of-a-kind initiatives.</w:t>
      </w:r>
    </w:p>
    <w:p w14:paraId="320ABA25" w14:textId="76E6BBA1" w:rsidR="00D37C57" w:rsidRPr="00F91404" w:rsidRDefault="00D37C57" w:rsidP="008D5DDD">
      <w:pPr>
        <w:pStyle w:val="ListParagraph"/>
        <w:numPr>
          <w:ilvl w:val="0"/>
          <w:numId w:val="24"/>
        </w:numPr>
        <w:spacing w:before="120" w:line="276" w:lineRule="auto"/>
        <w:contextualSpacing w:val="0"/>
        <w:rPr>
          <w:rFonts w:cstheme="minorHAnsi"/>
          <w:b/>
          <w:sz w:val="20"/>
          <w:szCs w:val="24"/>
        </w:rPr>
      </w:pPr>
      <w:r w:rsidRPr="00F91404">
        <w:rPr>
          <w:rFonts w:cstheme="minorHAnsi"/>
          <w:b/>
          <w:color w:val="004C43"/>
          <w:sz w:val="20"/>
          <w:szCs w:val="24"/>
        </w:rPr>
        <w:t>High production costs and capital intensity</w:t>
      </w:r>
      <w:r w:rsidR="002D44BC" w:rsidRPr="00F91404">
        <w:rPr>
          <w:rFonts w:cstheme="minorHAnsi"/>
          <w:b/>
          <w:sz w:val="20"/>
          <w:szCs w:val="24"/>
        </w:rPr>
        <w:br/>
      </w:r>
      <w:r w:rsidRPr="00F91404">
        <w:rPr>
          <w:rFonts w:cstheme="minorHAnsi"/>
          <w:sz w:val="20"/>
          <w:szCs w:val="24"/>
        </w:rPr>
        <w:t>Green hydrogen production requires substantial upfront investment in electrolysers, renewable generation and associated infrastructure. Under current market conditions, production costs typically exceed those of conventional hydrogen by a significant margin. High capital intensity constrains early deployment and increases reliance on public support or balance-sheet financing.</w:t>
      </w:r>
    </w:p>
    <w:p w14:paraId="3DAD2D13" w14:textId="5A7421A8" w:rsidR="00D37C57" w:rsidRPr="00F91404" w:rsidRDefault="00D37C57" w:rsidP="008D5DDD">
      <w:pPr>
        <w:pStyle w:val="ListParagraph"/>
        <w:numPr>
          <w:ilvl w:val="0"/>
          <w:numId w:val="24"/>
        </w:numPr>
        <w:spacing w:before="120" w:line="276" w:lineRule="auto"/>
        <w:contextualSpacing w:val="0"/>
        <w:rPr>
          <w:rFonts w:cstheme="minorHAnsi"/>
          <w:sz w:val="20"/>
          <w:szCs w:val="24"/>
        </w:rPr>
      </w:pPr>
      <w:r w:rsidRPr="00F91404">
        <w:rPr>
          <w:rFonts w:cstheme="minorHAnsi"/>
          <w:b/>
          <w:color w:val="004C43"/>
          <w:sz w:val="20"/>
          <w:szCs w:val="24"/>
        </w:rPr>
        <w:t>Infrastructure gaps and system integration challenges</w:t>
      </w:r>
      <w:r w:rsidR="002D44BC" w:rsidRPr="00F91404">
        <w:rPr>
          <w:rFonts w:cstheme="minorHAnsi"/>
          <w:b/>
          <w:sz w:val="20"/>
          <w:szCs w:val="24"/>
        </w:rPr>
        <w:br/>
      </w:r>
      <w:r w:rsidRPr="00F91404">
        <w:rPr>
          <w:rFonts w:cstheme="minorHAnsi"/>
          <w:sz w:val="20"/>
          <w:szCs w:val="24"/>
        </w:rPr>
        <w:t>Hydrogen deployment depends on dedicated infrastructure for production, storage, transport and distribution. In early markets, the absence of shared infrastructure forces projects to rely on bespoke, project-specific solutions, increasing costs and execution risk. As multiple projects emerge, system integration and infrastructure planning become increasingly critical.</w:t>
      </w:r>
    </w:p>
    <w:p w14:paraId="3C94029A" w14:textId="1E8F32E3" w:rsidR="00D37C57" w:rsidRPr="00F91404" w:rsidRDefault="00D37C57" w:rsidP="008D5DDD">
      <w:pPr>
        <w:pStyle w:val="ListParagraph"/>
        <w:numPr>
          <w:ilvl w:val="0"/>
          <w:numId w:val="24"/>
        </w:numPr>
        <w:spacing w:before="120" w:line="276" w:lineRule="auto"/>
        <w:contextualSpacing w:val="0"/>
        <w:rPr>
          <w:rFonts w:cstheme="minorHAnsi"/>
          <w:sz w:val="20"/>
          <w:szCs w:val="24"/>
        </w:rPr>
      </w:pPr>
      <w:r w:rsidRPr="00F91404">
        <w:rPr>
          <w:rFonts w:cstheme="minorHAnsi"/>
          <w:b/>
          <w:color w:val="004C43"/>
          <w:sz w:val="20"/>
          <w:szCs w:val="24"/>
        </w:rPr>
        <w:t>Coordination and execution challenges</w:t>
      </w:r>
      <w:r w:rsidR="002D44BC" w:rsidRPr="00F91404">
        <w:rPr>
          <w:rFonts w:cstheme="minorHAnsi"/>
          <w:b/>
          <w:sz w:val="20"/>
          <w:szCs w:val="24"/>
        </w:rPr>
        <w:br/>
      </w:r>
      <w:r w:rsidRPr="00F91404">
        <w:rPr>
          <w:rFonts w:cstheme="minorHAnsi"/>
          <w:sz w:val="20"/>
          <w:szCs w:val="24"/>
        </w:rPr>
        <w:t>Hydrogen value chains involve multiple actors across energy, industry, environment, water, transport and trade. Where institutional roles are unclear or coordination mechanisms are weak, decision-making can be delayed, permitting processes can become fragmented and project timelines can be extended.</w:t>
      </w:r>
    </w:p>
    <w:p w14:paraId="44174518" w14:textId="0156101D" w:rsidR="00AE6CC3" w:rsidRPr="00F91404" w:rsidRDefault="00D37C57" w:rsidP="00D72183">
      <w:pPr>
        <w:spacing w:line="276" w:lineRule="auto"/>
        <w:rPr>
          <w:rFonts w:cstheme="minorHAnsi"/>
        </w:rPr>
      </w:pPr>
      <w:r w:rsidRPr="00F91404">
        <w:rPr>
          <w:rFonts w:cstheme="minorHAnsi"/>
          <w:sz w:val="20"/>
          <w:szCs w:val="24"/>
        </w:rPr>
        <w:t>These sectoral barriers provide a common reference point for understanding green hydrogen development across countries. International experience shows that differences in deployment outcomes are shaped less by the presence of individual instruments and more by how governance arrangements, regulatory foundations and policy levers are structured and sequenced to address these constraints. The analytical framework applied in the sections that follow examines how different countries have responded to these barriers through alternative institutional, regulatory and policy approaches</w:t>
      </w:r>
      <w:r w:rsidR="00445DF4" w:rsidRPr="00F91404">
        <w:rPr>
          <w:rStyle w:val="FootnoteReference"/>
          <w:rFonts w:cstheme="minorHAnsi"/>
          <w:szCs w:val="24"/>
        </w:rPr>
        <w:footnoteReference w:id="18"/>
      </w:r>
      <w:r w:rsidRPr="00F91404">
        <w:rPr>
          <w:rFonts w:cstheme="minorHAnsi"/>
          <w:sz w:val="20"/>
          <w:szCs w:val="24"/>
        </w:rPr>
        <w:t>.</w:t>
      </w:r>
    </w:p>
    <w:p w14:paraId="4B72CA08" w14:textId="5F61D765" w:rsidR="002E0ADF" w:rsidRPr="00F91404" w:rsidRDefault="002E0ADF">
      <w:pPr>
        <w:rPr>
          <w:rFonts w:cstheme="minorHAnsi"/>
          <w:sz w:val="20"/>
          <w:szCs w:val="20"/>
        </w:rPr>
      </w:pPr>
      <w:r w:rsidRPr="00F91404">
        <w:rPr>
          <w:rFonts w:cstheme="minorHAnsi"/>
          <w:sz w:val="20"/>
          <w:szCs w:val="20"/>
        </w:rPr>
        <w:br w:type="page"/>
      </w:r>
    </w:p>
    <w:p w14:paraId="5F8108AA" w14:textId="0AF14EE8" w:rsidR="00AE6CC3" w:rsidRPr="00F91404" w:rsidRDefault="00AE6CC3" w:rsidP="00AA77D6">
      <w:pPr>
        <w:pStyle w:val="Heading1"/>
      </w:pPr>
      <w:bookmarkStart w:id="26" w:name="_Toc220695668"/>
      <w:bookmarkStart w:id="27" w:name="_Toc220695993"/>
      <w:bookmarkStart w:id="28" w:name="_Toc220786526"/>
      <w:r w:rsidRPr="00F91404">
        <w:lastRenderedPageBreak/>
        <w:t xml:space="preserve">Methodology </w:t>
      </w:r>
      <w:r w:rsidR="002E0ADF" w:rsidRPr="00F91404">
        <w:t xml:space="preserve">and </w:t>
      </w:r>
      <w:r w:rsidRPr="00F91404">
        <w:t xml:space="preserve">Analytical </w:t>
      </w:r>
      <w:bookmarkEnd w:id="26"/>
      <w:bookmarkEnd w:id="27"/>
      <w:r w:rsidR="001F69E6" w:rsidRPr="00F91404">
        <w:t>Framework</w:t>
      </w:r>
      <w:bookmarkEnd w:id="28"/>
    </w:p>
    <w:p w14:paraId="36A0951B" w14:textId="0B748D74" w:rsidR="48EB61D0" w:rsidRPr="00F91404" w:rsidRDefault="0062515C" w:rsidP="00490881">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Bidi"/>
          <w:sz w:val="20"/>
          <w:szCs w:val="20"/>
        </w:rPr>
        <w:t xml:space="preserve">This assessment applies a structured qualitative benchmarking methodology to compare how different countries have designed and implemented governance arrangements, legal and regulatory frameworks, and policy instruments to support the development of renewable hydrogen markets. The methodology is based on a systematic review of publicly available primary sources, including national strategies, legislation, regulatory instruments, official guidance, programme documentation and government publications, complemented by secondary analysis from international organisations and rigorous analytical literature. </w:t>
      </w:r>
    </w:p>
    <w:p w14:paraId="445F5AE7" w14:textId="78E9E7DA" w:rsidR="0062515C" w:rsidRPr="00F91404" w:rsidRDefault="0062515C" w:rsidP="00490881">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 xml:space="preserve">A common analytical framework </w:t>
      </w:r>
      <w:r w:rsidR="0045250D" w:rsidRPr="00F91404">
        <w:rPr>
          <w:rFonts w:asciiTheme="majorHAnsi" w:hAnsiTheme="majorHAnsi" w:cstheme="majorHAnsi"/>
          <w:sz w:val="20"/>
          <w:szCs w:val="20"/>
        </w:rPr>
        <w:t xml:space="preserve">was designed and </w:t>
      </w:r>
      <w:r w:rsidRPr="00F91404">
        <w:rPr>
          <w:rFonts w:asciiTheme="majorHAnsi" w:hAnsiTheme="majorHAnsi" w:cstheme="majorHAnsi"/>
          <w:sz w:val="20"/>
          <w:szCs w:val="20"/>
        </w:rPr>
        <w:t>applied consistently across all benchmark countries to enable comparison across the different stages of market maturity. The approach is descriptive and comparative rather than evaluative: it documents how policy frameworks are structured and sequenced in practice and how these evolve as markets develop, without scoring, ranking or assessing the effectiveness of individual policies.</w:t>
      </w:r>
    </w:p>
    <w:p w14:paraId="37CB6359" w14:textId="78CF41F1" w:rsidR="0045250D" w:rsidRPr="00F91404" w:rsidRDefault="00490881" w:rsidP="00490881">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The rationale for the selection of the analytical dimensions applied in this framework is set out below.</w:t>
      </w:r>
    </w:p>
    <w:p w14:paraId="0B14763D" w14:textId="77777777" w:rsidR="00490881" w:rsidRPr="00F91404" w:rsidRDefault="00490881" w:rsidP="00490881">
      <w:pPr>
        <w:rPr>
          <w:b/>
          <w:color w:val="004C43" w:themeColor="accent1"/>
          <w:sz w:val="24"/>
          <w:szCs w:val="32"/>
        </w:rPr>
      </w:pPr>
    </w:p>
    <w:p w14:paraId="5ACA360F" w14:textId="4E4A1781" w:rsidR="00490881" w:rsidRPr="00F91404" w:rsidRDefault="00490881" w:rsidP="00490881">
      <w:pPr>
        <w:rPr>
          <w:b/>
        </w:rPr>
      </w:pPr>
      <w:r w:rsidRPr="00F91404">
        <w:rPr>
          <w:b/>
          <w:color w:val="004C43" w:themeColor="accent1"/>
          <w:sz w:val="24"/>
          <w:szCs w:val="32"/>
        </w:rPr>
        <w:t>5.1 Rationale for the Analytical Framework</w:t>
      </w:r>
    </w:p>
    <w:p w14:paraId="0A45C432" w14:textId="77777777" w:rsidR="00490881" w:rsidRPr="00F91404" w:rsidRDefault="00490881" w:rsidP="00490881">
      <w:pPr>
        <w:pStyle w:val="NormalWeb"/>
        <w:spacing w:after="0" w:afterAutospacing="0" w:line="276" w:lineRule="auto"/>
        <w:rPr>
          <w:rFonts w:asciiTheme="majorHAnsi" w:hAnsiTheme="majorHAnsi" w:cstheme="majorHAnsi"/>
          <w:b/>
          <w:bCs/>
          <w:sz w:val="20"/>
          <w:szCs w:val="20"/>
        </w:rPr>
      </w:pPr>
      <w:r w:rsidRPr="00F91404">
        <w:rPr>
          <w:rFonts w:asciiTheme="majorHAnsi" w:hAnsiTheme="majorHAnsi" w:cstheme="majorHAnsi"/>
          <w:b/>
          <w:bCs/>
          <w:sz w:val="20"/>
          <w:szCs w:val="20"/>
        </w:rPr>
        <w:t>Alignment with the Terms of Reference</w:t>
      </w:r>
    </w:p>
    <w:p w14:paraId="318463FE" w14:textId="77777777" w:rsidR="00490881" w:rsidRPr="00F91404" w:rsidRDefault="00490881" w:rsidP="00490881">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The analytical framework applied in this assessment is directly aligned with the scope and objectives defined in the Terms of Reference (ToR) for Deliverable 2.1. The ToR explicitly require an international benchmarking assessment examining institutional arrangements, regulatory structures, and policy mechanisms relevant to renewable hydrogen market development.</w:t>
      </w:r>
    </w:p>
    <w:p w14:paraId="3EFCD918" w14:textId="236E294A" w:rsidR="00490881" w:rsidRPr="00F91404" w:rsidRDefault="00490881" w:rsidP="00490881">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The three-dimensional framework adopted in this report, (</w:t>
      </w:r>
      <w:proofErr w:type="spellStart"/>
      <w:r w:rsidRPr="00F91404">
        <w:rPr>
          <w:rFonts w:asciiTheme="majorHAnsi" w:hAnsiTheme="majorHAnsi" w:cstheme="majorHAnsi"/>
          <w:sz w:val="20"/>
          <w:szCs w:val="20"/>
        </w:rPr>
        <w:t>i</w:t>
      </w:r>
      <w:proofErr w:type="spellEnd"/>
      <w:r w:rsidRPr="00F91404">
        <w:rPr>
          <w:rFonts w:asciiTheme="majorHAnsi" w:hAnsiTheme="majorHAnsi" w:cstheme="majorHAnsi"/>
          <w:sz w:val="20"/>
          <w:szCs w:val="20"/>
        </w:rPr>
        <w:t>) Governance and Institutional Arrangements, (ii) Legal and Regulatory Foundations, and (iii) Policy Levers, provides a structured approach to systematically address these requirements.</w:t>
      </w:r>
    </w:p>
    <w:p w14:paraId="0521550C" w14:textId="77777777" w:rsidR="00490881" w:rsidRPr="00F91404" w:rsidRDefault="00490881" w:rsidP="00BF62ED">
      <w:pPr>
        <w:pStyle w:val="NormalWeb"/>
        <w:numPr>
          <w:ilvl w:val="0"/>
          <w:numId w:val="66"/>
        </w:numPr>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b/>
          <w:bCs/>
          <w:sz w:val="20"/>
          <w:szCs w:val="20"/>
        </w:rPr>
        <w:t>Governance and Institutional Arrangements</w:t>
      </w:r>
      <w:r w:rsidRPr="00F91404">
        <w:rPr>
          <w:rFonts w:asciiTheme="majorHAnsi" w:hAnsiTheme="majorHAnsi" w:cstheme="majorHAnsi"/>
          <w:sz w:val="20"/>
          <w:szCs w:val="20"/>
        </w:rPr>
        <w:t xml:space="preserve"> respond to the ToR requirement to analyse leadership models, inter-agency coordination and institutional responsibilities across the hydrogen value chain.</w:t>
      </w:r>
    </w:p>
    <w:p w14:paraId="6AC87357" w14:textId="77777777" w:rsidR="00490881" w:rsidRPr="00F91404" w:rsidRDefault="00490881" w:rsidP="00BF62ED">
      <w:pPr>
        <w:pStyle w:val="NormalWeb"/>
        <w:numPr>
          <w:ilvl w:val="0"/>
          <w:numId w:val="66"/>
        </w:numPr>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b/>
          <w:bCs/>
          <w:sz w:val="20"/>
          <w:szCs w:val="20"/>
        </w:rPr>
        <w:t>Legal and Regulatory Foundations</w:t>
      </w:r>
      <w:r w:rsidRPr="00F91404">
        <w:rPr>
          <w:rFonts w:asciiTheme="majorHAnsi" w:hAnsiTheme="majorHAnsi" w:cstheme="majorHAnsi"/>
          <w:sz w:val="20"/>
          <w:szCs w:val="20"/>
        </w:rPr>
        <w:t xml:space="preserve"> address the need to assess regulatory clarity, permitting regimes, sustainability criteria and certification systems relevant to hydrogen deployment.</w:t>
      </w:r>
    </w:p>
    <w:p w14:paraId="26FDC379" w14:textId="77777777" w:rsidR="00490881" w:rsidRPr="00F91404" w:rsidRDefault="00490881" w:rsidP="00BF62ED">
      <w:pPr>
        <w:pStyle w:val="NormalWeb"/>
        <w:numPr>
          <w:ilvl w:val="0"/>
          <w:numId w:val="66"/>
        </w:numPr>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b/>
          <w:bCs/>
          <w:sz w:val="20"/>
          <w:szCs w:val="20"/>
        </w:rPr>
        <w:t>Policy Levers</w:t>
      </w:r>
      <w:r w:rsidRPr="00F91404">
        <w:rPr>
          <w:rFonts w:asciiTheme="majorHAnsi" w:hAnsiTheme="majorHAnsi" w:cstheme="majorHAnsi"/>
          <w:sz w:val="20"/>
          <w:szCs w:val="20"/>
        </w:rPr>
        <w:t xml:space="preserve"> respond to the requirement to examine the economic and market instruments used internationally to enable renewable hydrogen development.</w:t>
      </w:r>
    </w:p>
    <w:p w14:paraId="7040BDF7" w14:textId="77777777" w:rsidR="00490881" w:rsidRPr="00F91404" w:rsidRDefault="00490881" w:rsidP="00490881">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By structuring the benchmarking assessment across these three dimensions, the framework ensures comprehensive coverage of the institutional, regulatory and economic conditions specified in the ToR, while enabling consistent cross-country comparison across different stages of market maturity.</w:t>
      </w:r>
    </w:p>
    <w:p w14:paraId="1F9B0724" w14:textId="77777777" w:rsidR="00490881" w:rsidRPr="00F91404" w:rsidRDefault="00490881" w:rsidP="00490881">
      <w:pPr>
        <w:pStyle w:val="NormalWeb"/>
        <w:spacing w:after="0" w:afterAutospacing="0" w:line="276" w:lineRule="auto"/>
        <w:rPr>
          <w:rFonts w:asciiTheme="majorHAnsi" w:hAnsiTheme="majorHAnsi" w:cstheme="majorHAnsi"/>
          <w:b/>
          <w:bCs/>
          <w:sz w:val="20"/>
          <w:szCs w:val="20"/>
        </w:rPr>
      </w:pPr>
      <w:r w:rsidRPr="00F91404">
        <w:rPr>
          <w:rFonts w:asciiTheme="majorHAnsi" w:hAnsiTheme="majorHAnsi" w:cstheme="majorHAnsi"/>
          <w:b/>
          <w:bCs/>
          <w:sz w:val="20"/>
          <w:szCs w:val="20"/>
        </w:rPr>
        <w:t>Methodological and Theoretical Rationale for the Three-Dimensional Framework</w:t>
      </w:r>
    </w:p>
    <w:p w14:paraId="196DABA6" w14:textId="2AC7A80B" w:rsidR="00490881" w:rsidRPr="00F91404" w:rsidRDefault="00490881" w:rsidP="00490881">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The selection of these three dimensions is grounded in established economic theory, technology deployment literature, and methodological approaches used by leading international energy institutions.</w:t>
      </w:r>
    </w:p>
    <w:p w14:paraId="3CABEBF6" w14:textId="77777777" w:rsidR="00E7089C" w:rsidRPr="00F91404" w:rsidRDefault="00E7089C" w:rsidP="00E7089C">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lastRenderedPageBreak/>
        <w:t>International analyses of emerging clean technology markets, including those conducted by the International Energy Agency (IEA)</w:t>
      </w:r>
      <w:r w:rsidRPr="00F91404">
        <w:rPr>
          <w:rStyle w:val="FootnoteReference"/>
          <w:rFonts w:cstheme="majorHAnsi"/>
          <w:szCs w:val="20"/>
        </w:rPr>
        <w:footnoteReference w:id="19"/>
      </w:r>
      <w:r w:rsidRPr="00F91404">
        <w:rPr>
          <w:rFonts w:asciiTheme="majorHAnsi" w:hAnsiTheme="majorHAnsi" w:cstheme="majorHAnsi"/>
          <w:sz w:val="20"/>
          <w:szCs w:val="20"/>
        </w:rPr>
        <w:t>, the International Renewable Energy Agency (IRENA)</w:t>
      </w:r>
      <w:r w:rsidRPr="00F91404">
        <w:rPr>
          <w:rStyle w:val="FootnoteReference"/>
          <w:rFonts w:cstheme="majorHAnsi"/>
          <w:szCs w:val="20"/>
        </w:rPr>
        <w:footnoteReference w:id="20"/>
      </w:r>
      <w:r w:rsidRPr="00F91404">
        <w:rPr>
          <w:rFonts w:asciiTheme="majorHAnsi" w:hAnsiTheme="majorHAnsi" w:cstheme="majorHAnsi"/>
          <w:sz w:val="20"/>
          <w:szCs w:val="20"/>
        </w:rPr>
        <w:t>, the World Bank</w:t>
      </w:r>
      <w:r w:rsidRPr="00F91404">
        <w:rPr>
          <w:rStyle w:val="FootnoteReference"/>
          <w:rFonts w:cstheme="majorHAnsi"/>
          <w:szCs w:val="20"/>
        </w:rPr>
        <w:footnoteReference w:id="21"/>
      </w:r>
      <w:r w:rsidRPr="00F91404">
        <w:rPr>
          <w:rFonts w:asciiTheme="majorHAnsi" w:hAnsiTheme="majorHAnsi" w:cstheme="majorHAnsi"/>
          <w:sz w:val="20"/>
          <w:szCs w:val="20"/>
        </w:rPr>
        <w:t>, and the OECD</w:t>
      </w:r>
      <w:r w:rsidRPr="00F91404">
        <w:rPr>
          <w:rStyle w:val="FootnoteReference"/>
          <w:rFonts w:cstheme="majorHAnsi"/>
          <w:szCs w:val="20"/>
        </w:rPr>
        <w:footnoteReference w:id="22"/>
      </w:r>
      <w:r w:rsidRPr="00F91404">
        <w:rPr>
          <w:rFonts w:asciiTheme="majorHAnsi" w:hAnsiTheme="majorHAnsi" w:cstheme="majorHAnsi"/>
          <w:sz w:val="20"/>
          <w:szCs w:val="20"/>
        </w:rPr>
        <w:t xml:space="preserve">, consistently identify a recurring set of structural barriers that determine whether technologies progress from pilot phases to large-scale deployment. Across these assessments, three categories of constraints are repeatedly highlighted: coordination and institutional fragmentation; cost gaps and capital intensity; and revenue, demand and market-formation risks. </w:t>
      </w:r>
    </w:p>
    <w:p w14:paraId="1F5EC24B" w14:textId="3C4BA2A8" w:rsidR="00490881" w:rsidRPr="00F91404" w:rsidRDefault="00E7089C" w:rsidP="00E7089C">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These barriers are particularly acute in hydrogen markets, where multi-actor value chains, infrastructure interdependencies and regulatory uncertainty interact to delay investment and scale-up. Drawing on this body of international evidence, the benchmarking framework applied in this section organises the enabling conditions around the following three barrier categories</w:t>
      </w:r>
      <w:r w:rsidR="00490881" w:rsidRPr="00F91404">
        <w:rPr>
          <w:rFonts w:asciiTheme="majorHAnsi" w:hAnsiTheme="majorHAnsi" w:cstheme="majorHAnsi"/>
          <w:sz w:val="20"/>
          <w:szCs w:val="20"/>
        </w:rPr>
        <w:t>:</w:t>
      </w:r>
    </w:p>
    <w:p w14:paraId="11507990" w14:textId="77777777" w:rsidR="00490881" w:rsidRPr="00F91404" w:rsidRDefault="00490881" w:rsidP="00BF62ED">
      <w:pPr>
        <w:pStyle w:val="NormalWeb"/>
        <w:numPr>
          <w:ilvl w:val="0"/>
          <w:numId w:val="67"/>
        </w:numPr>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b/>
          <w:bCs/>
          <w:sz w:val="20"/>
          <w:szCs w:val="20"/>
        </w:rPr>
        <w:t>Coordination and Institutional Barriers</w:t>
      </w:r>
      <w:r w:rsidRPr="00F91404">
        <w:rPr>
          <w:rFonts w:asciiTheme="majorHAnsi" w:hAnsiTheme="majorHAnsi" w:cstheme="majorHAnsi"/>
          <w:sz w:val="20"/>
          <w:szCs w:val="20"/>
        </w:rPr>
        <w:br/>
        <w:t>Emerging sectors such as renewable hydrogen involve multiple ministries, regulators, system operators and industrial actors. Economic theory recognises coordination failures and fragmented mandates as key barriers in multi-actor markets. Governance clarity and institutional alignment reduce transaction costs, accelerate permitting, and improve policy coherence.</w:t>
      </w:r>
    </w:p>
    <w:p w14:paraId="57543345" w14:textId="77777777" w:rsidR="00490881" w:rsidRPr="00F91404" w:rsidRDefault="00490881" w:rsidP="00BF62ED">
      <w:pPr>
        <w:pStyle w:val="NormalWeb"/>
        <w:numPr>
          <w:ilvl w:val="0"/>
          <w:numId w:val="67"/>
        </w:numPr>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b/>
          <w:bCs/>
          <w:sz w:val="20"/>
          <w:szCs w:val="20"/>
        </w:rPr>
        <w:t>Regulatory Uncertainty and Investment Risk</w:t>
      </w:r>
      <w:r w:rsidRPr="00F91404">
        <w:rPr>
          <w:rFonts w:asciiTheme="majorHAnsi" w:hAnsiTheme="majorHAnsi" w:cstheme="majorHAnsi"/>
          <w:sz w:val="20"/>
          <w:szCs w:val="20"/>
        </w:rPr>
        <w:br/>
        <w:t>Investment theory emphasises that regulatory uncertainty increases risk premiums and delays capital allocation. Clear definitions, permitting regimes, safety standards and certification systems reduce uncertainty, improve predictability, and enable access to finance. International hydrogen assessments consistently identify regulatory clarity as a precondition for bankability.</w:t>
      </w:r>
    </w:p>
    <w:p w14:paraId="543FD37A" w14:textId="6C7C8EB5" w:rsidR="00490881" w:rsidRPr="00F91404" w:rsidRDefault="00490881" w:rsidP="00BF62ED">
      <w:pPr>
        <w:pStyle w:val="NormalWeb"/>
        <w:numPr>
          <w:ilvl w:val="0"/>
          <w:numId w:val="67"/>
        </w:numPr>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b/>
          <w:bCs/>
          <w:sz w:val="20"/>
          <w:szCs w:val="20"/>
        </w:rPr>
        <w:t>Economic and Market Failures</w:t>
      </w:r>
      <w:r w:rsidRPr="00F91404">
        <w:rPr>
          <w:rFonts w:asciiTheme="majorHAnsi" w:hAnsiTheme="majorHAnsi" w:cstheme="majorHAnsi"/>
          <w:sz w:val="20"/>
          <w:szCs w:val="20"/>
        </w:rPr>
        <w:br/>
        <w:t>Renewable hydrogen markets face cost gaps relative to incumbent fossil alternatives, demand uncertainty, and infrastructure externalities. Economic theory on market failures, including learning-by-doing, positive externalities and network effects, demonstrates the need for targeted public intervention through fiscal instruments, revenue stabilisation mechanisms and infrastructure coordination.</w:t>
      </w:r>
    </w:p>
    <w:p w14:paraId="30E935D1" w14:textId="1162A8E6" w:rsidR="00BF62ED" w:rsidRPr="00F91404" w:rsidRDefault="00490881" w:rsidP="00BF62ED">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These three barrier categories map directly onto the three analytical dimensions applied in this report:</w:t>
      </w:r>
    </w:p>
    <w:p w14:paraId="531B8888" w14:textId="77777777" w:rsidR="00BF62ED" w:rsidRPr="00F91404" w:rsidRDefault="00BF62ED" w:rsidP="00BF62ED">
      <w:pPr>
        <w:pStyle w:val="NormalWeb"/>
        <w:spacing w:after="0" w:afterAutospacing="0" w:line="276" w:lineRule="auto"/>
        <w:rPr>
          <w:rFonts w:asciiTheme="majorHAnsi" w:hAnsiTheme="majorHAnsi" w:cstheme="majorHAnsi"/>
          <w:sz w:val="20"/>
          <w:szCs w:val="20"/>
        </w:rPr>
      </w:pPr>
    </w:p>
    <w:tbl>
      <w:tblPr>
        <w:tblStyle w:val="GridTable4-Accent2"/>
        <w:tblW w:w="722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4820"/>
      </w:tblGrid>
      <w:tr w:rsidR="00BF62ED" w:rsidRPr="00F91404" w14:paraId="5797F258" w14:textId="77777777" w:rsidTr="00E7089C">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409" w:type="dxa"/>
            <w:tcBorders>
              <w:top w:val="none" w:sz="0" w:space="0" w:color="auto"/>
              <w:left w:val="none" w:sz="0" w:space="0" w:color="auto"/>
              <w:bottom w:val="none" w:sz="0" w:space="0" w:color="auto"/>
              <w:right w:val="none" w:sz="0" w:space="0" w:color="auto"/>
            </w:tcBorders>
            <w:shd w:val="clear" w:color="auto" w:fill="004C43" w:themeFill="accent1"/>
            <w:vAlign w:val="center"/>
            <w:hideMark/>
          </w:tcPr>
          <w:p w14:paraId="1FEAB697" w14:textId="77777777" w:rsidR="00BF62ED" w:rsidRPr="00F91404" w:rsidRDefault="00BF62ED" w:rsidP="00BF62ED">
            <w:pPr>
              <w:pStyle w:val="NormalWeb"/>
              <w:spacing w:line="276" w:lineRule="auto"/>
              <w:jc w:val="center"/>
              <w:rPr>
                <w:rFonts w:asciiTheme="majorHAnsi" w:hAnsiTheme="majorHAnsi" w:cstheme="majorHAnsi"/>
                <w:sz w:val="18"/>
                <w:szCs w:val="18"/>
              </w:rPr>
            </w:pPr>
            <w:r w:rsidRPr="00F91404">
              <w:rPr>
                <w:rFonts w:asciiTheme="majorHAnsi" w:hAnsiTheme="majorHAnsi" w:cstheme="majorHAnsi"/>
                <w:sz w:val="18"/>
                <w:szCs w:val="18"/>
              </w:rPr>
              <w:t>Barrier Category</w:t>
            </w:r>
          </w:p>
        </w:tc>
        <w:tc>
          <w:tcPr>
            <w:tcW w:w="4820" w:type="dxa"/>
            <w:tcBorders>
              <w:top w:val="none" w:sz="0" w:space="0" w:color="auto"/>
              <w:left w:val="none" w:sz="0" w:space="0" w:color="auto"/>
              <w:bottom w:val="none" w:sz="0" w:space="0" w:color="auto"/>
              <w:right w:val="none" w:sz="0" w:space="0" w:color="auto"/>
            </w:tcBorders>
            <w:shd w:val="clear" w:color="auto" w:fill="004C43" w:themeFill="accent1"/>
            <w:vAlign w:val="center"/>
            <w:hideMark/>
          </w:tcPr>
          <w:p w14:paraId="0A6B75EE" w14:textId="77777777" w:rsidR="00BF62ED" w:rsidRPr="00F91404" w:rsidRDefault="00BF62ED" w:rsidP="00BF62ED">
            <w:pPr>
              <w:pStyle w:val="NormalWeb"/>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F91404">
              <w:rPr>
                <w:rFonts w:asciiTheme="majorHAnsi" w:hAnsiTheme="majorHAnsi" w:cstheme="majorHAnsi"/>
                <w:sz w:val="18"/>
                <w:szCs w:val="18"/>
              </w:rPr>
              <w:t>Analytical Dimension</w:t>
            </w:r>
          </w:p>
        </w:tc>
      </w:tr>
      <w:tr w:rsidR="00BF62ED" w:rsidRPr="00F91404" w14:paraId="08553ACF" w14:textId="77777777" w:rsidTr="00E7089C">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409" w:type="dxa"/>
            <w:shd w:val="clear" w:color="auto" w:fill="F2F2F2" w:themeFill="background1" w:themeFillShade="F2"/>
            <w:vAlign w:val="center"/>
            <w:hideMark/>
          </w:tcPr>
          <w:p w14:paraId="7B38ED5C" w14:textId="77777777" w:rsidR="00BF62ED" w:rsidRPr="00F91404" w:rsidRDefault="00BF62ED" w:rsidP="009E4004">
            <w:pPr>
              <w:pStyle w:val="NormalWeb"/>
              <w:spacing w:line="276" w:lineRule="auto"/>
              <w:rPr>
                <w:rFonts w:asciiTheme="majorHAnsi" w:hAnsiTheme="majorHAnsi" w:cstheme="majorHAnsi"/>
                <w:sz w:val="18"/>
                <w:szCs w:val="18"/>
              </w:rPr>
            </w:pPr>
            <w:r w:rsidRPr="00F91404">
              <w:rPr>
                <w:rFonts w:asciiTheme="majorHAnsi" w:hAnsiTheme="majorHAnsi" w:cstheme="majorHAnsi"/>
                <w:sz w:val="18"/>
                <w:szCs w:val="18"/>
              </w:rPr>
              <w:t>Coordination failures</w:t>
            </w:r>
          </w:p>
        </w:tc>
        <w:tc>
          <w:tcPr>
            <w:tcW w:w="4820" w:type="dxa"/>
            <w:vAlign w:val="center"/>
            <w:hideMark/>
          </w:tcPr>
          <w:p w14:paraId="51F6E8FE" w14:textId="77777777" w:rsidR="00BF62ED" w:rsidRPr="00F91404" w:rsidRDefault="00BF62ED" w:rsidP="009E4004">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F91404">
              <w:rPr>
                <w:rFonts w:asciiTheme="majorHAnsi" w:hAnsiTheme="majorHAnsi" w:cstheme="majorHAnsi"/>
                <w:sz w:val="18"/>
                <w:szCs w:val="18"/>
              </w:rPr>
              <w:t>Governance &amp; Institutional Arrangements</w:t>
            </w:r>
          </w:p>
        </w:tc>
      </w:tr>
      <w:tr w:rsidR="00BF62ED" w:rsidRPr="00F91404" w14:paraId="377935B0" w14:textId="77777777" w:rsidTr="00E7089C">
        <w:trPr>
          <w:trHeight w:val="465"/>
        </w:trPr>
        <w:tc>
          <w:tcPr>
            <w:cnfStyle w:val="001000000000" w:firstRow="0" w:lastRow="0" w:firstColumn="1" w:lastColumn="0" w:oddVBand="0" w:evenVBand="0" w:oddHBand="0" w:evenHBand="0" w:firstRowFirstColumn="0" w:firstRowLastColumn="0" w:lastRowFirstColumn="0" w:lastRowLastColumn="0"/>
            <w:tcW w:w="2409" w:type="dxa"/>
            <w:shd w:val="clear" w:color="auto" w:fill="F2F2F2" w:themeFill="background1" w:themeFillShade="F2"/>
            <w:vAlign w:val="center"/>
            <w:hideMark/>
          </w:tcPr>
          <w:p w14:paraId="48BDC534" w14:textId="77777777" w:rsidR="00BF62ED" w:rsidRPr="00F91404" w:rsidRDefault="00BF62ED" w:rsidP="009E4004">
            <w:pPr>
              <w:pStyle w:val="NormalWeb"/>
              <w:spacing w:line="276" w:lineRule="auto"/>
              <w:rPr>
                <w:rFonts w:asciiTheme="majorHAnsi" w:hAnsiTheme="majorHAnsi" w:cstheme="majorHAnsi"/>
                <w:sz w:val="18"/>
                <w:szCs w:val="18"/>
              </w:rPr>
            </w:pPr>
            <w:r w:rsidRPr="00F91404">
              <w:rPr>
                <w:rFonts w:asciiTheme="majorHAnsi" w:hAnsiTheme="majorHAnsi" w:cstheme="majorHAnsi"/>
                <w:sz w:val="18"/>
                <w:szCs w:val="18"/>
              </w:rPr>
              <w:t>Regulatory uncertainty</w:t>
            </w:r>
          </w:p>
        </w:tc>
        <w:tc>
          <w:tcPr>
            <w:tcW w:w="4820" w:type="dxa"/>
            <w:vAlign w:val="center"/>
            <w:hideMark/>
          </w:tcPr>
          <w:p w14:paraId="334349F6" w14:textId="77777777" w:rsidR="00BF62ED" w:rsidRPr="00F91404" w:rsidRDefault="00BF62ED" w:rsidP="009E4004">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F91404">
              <w:rPr>
                <w:rFonts w:asciiTheme="majorHAnsi" w:hAnsiTheme="majorHAnsi" w:cstheme="majorHAnsi"/>
                <w:sz w:val="18"/>
                <w:szCs w:val="18"/>
              </w:rPr>
              <w:t>Legal &amp; Regulatory Foundations</w:t>
            </w:r>
          </w:p>
        </w:tc>
      </w:tr>
      <w:tr w:rsidR="00BF62ED" w:rsidRPr="00F91404" w14:paraId="1F548EFF" w14:textId="77777777" w:rsidTr="00E7089C">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2409" w:type="dxa"/>
            <w:shd w:val="clear" w:color="auto" w:fill="F2F2F2" w:themeFill="background1" w:themeFillShade="F2"/>
            <w:vAlign w:val="center"/>
            <w:hideMark/>
          </w:tcPr>
          <w:p w14:paraId="400D7A2D" w14:textId="0E92E85D" w:rsidR="00BF62ED" w:rsidRPr="00F91404" w:rsidRDefault="00BF62ED" w:rsidP="009E4004">
            <w:pPr>
              <w:pStyle w:val="NormalWeb"/>
              <w:spacing w:line="276" w:lineRule="auto"/>
              <w:rPr>
                <w:rFonts w:asciiTheme="majorHAnsi" w:hAnsiTheme="majorHAnsi" w:cstheme="majorHAnsi"/>
                <w:sz w:val="18"/>
                <w:szCs w:val="18"/>
              </w:rPr>
            </w:pPr>
            <w:r w:rsidRPr="00F91404">
              <w:rPr>
                <w:rFonts w:asciiTheme="majorHAnsi" w:hAnsiTheme="majorHAnsi" w:cstheme="majorHAnsi"/>
                <w:sz w:val="18"/>
                <w:szCs w:val="18"/>
              </w:rPr>
              <w:t xml:space="preserve">Economic &amp; market </w:t>
            </w:r>
            <w:r w:rsidR="009E4004" w:rsidRPr="00F91404">
              <w:rPr>
                <w:rFonts w:asciiTheme="majorHAnsi" w:hAnsiTheme="majorHAnsi" w:cstheme="majorHAnsi"/>
                <w:sz w:val="18"/>
                <w:szCs w:val="18"/>
              </w:rPr>
              <w:br/>
            </w:r>
            <w:r w:rsidRPr="00F91404">
              <w:rPr>
                <w:rFonts w:asciiTheme="majorHAnsi" w:hAnsiTheme="majorHAnsi" w:cstheme="majorHAnsi"/>
                <w:sz w:val="18"/>
                <w:szCs w:val="18"/>
              </w:rPr>
              <w:t>failures</w:t>
            </w:r>
          </w:p>
        </w:tc>
        <w:tc>
          <w:tcPr>
            <w:tcW w:w="4820" w:type="dxa"/>
            <w:vAlign w:val="center"/>
            <w:hideMark/>
          </w:tcPr>
          <w:p w14:paraId="6014F6FF" w14:textId="77777777" w:rsidR="00BF62ED" w:rsidRPr="00F91404" w:rsidRDefault="00BF62ED" w:rsidP="009E4004">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F91404">
              <w:rPr>
                <w:rFonts w:asciiTheme="majorHAnsi" w:hAnsiTheme="majorHAnsi" w:cstheme="majorHAnsi"/>
                <w:sz w:val="18"/>
                <w:szCs w:val="18"/>
              </w:rPr>
              <w:t>Policy Levers</w:t>
            </w:r>
          </w:p>
        </w:tc>
      </w:tr>
    </w:tbl>
    <w:p w14:paraId="76C93110" w14:textId="3E9154BF" w:rsidR="00490881" w:rsidRPr="00F91404" w:rsidRDefault="009E4004" w:rsidP="00490881">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This structure reflects the “enabling environment” approach commonly applied by international organisations in assessing clean energy transitions. Rather than focusing exclusively on techno-economic performance, these institutions analyse hydrogen development through governance capacity, regulatory readiness and targeted policy intervention frameworks. For example</w:t>
      </w:r>
      <w:r w:rsidR="00490881" w:rsidRPr="00F91404">
        <w:rPr>
          <w:rFonts w:asciiTheme="majorHAnsi" w:hAnsiTheme="majorHAnsi" w:cstheme="majorHAnsi"/>
          <w:sz w:val="20"/>
          <w:szCs w:val="20"/>
        </w:rPr>
        <w:t>:</w:t>
      </w:r>
    </w:p>
    <w:p w14:paraId="4600135A" w14:textId="327EF45A" w:rsidR="009E4004" w:rsidRPr="00F91404" w:rsidRDefault="009E4004" w:rsidP="009E4004">
      <w:pPr>
        <w:pStyle w:val="NormalWeb"/>
        <w:numPr>
          <w:ilvl w:val="0"/>
          <w:numId w:val="69"/>
        </w:numPr>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lastRenderedPageBreak/>
        <w:t>The IEA’s hydrogen market analyses, including Global Hydrogen Review 2023, emphasise regulatory frameworks, infrastructure readiness and demand-support mechanisms as core determinants of deployment outcomes.</w:t>
      </w:r>
    </w:p>
    <w:p w14:paraId="0BF346FB" w14:textId="49C44F48" w:rsidR="009E4004" w:rsidRPr="00F91404" w:rsidRDefault="009E4004" w:rsidP="009E4004">
      <w:pPr>
        <w:pStyle w:val="NormalWeb"/>
        <w:numPr>
          <w:ilvl w:val="0"/>
          <w:numId w:val="69"/>
        </w:numPr>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IRENA’s policy guidance in Geopolitics of the Energy Transformation: The Hydrogen Factor highlights coordinated governance, regulatory clarity and sequenced policy packages as critical to unlocking green hydrogen investment.</w:t>
      </w:r>
    </w:p>
    <w:p w14:paraId="39E963BE" w14:textId="77777777" w:rsidR="009E4004" w:rsidRPr="00F91404" w:rsidRDefault="009E4004" w:rsidP="009E4004">
      <w:pPr>
        <w:pStyle w:val="NormalWeb"/>
        <w:numPr>
          <w:ilvl w:val="0"/>
          <w:numId w:val="69"/>
        </w:numPr>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 xml:space="preserve">The World Bank’s Scaling Up Green Hydrogen for Development focuses on institutional capacity, regulatory certainty and financial de-risking instruments as principal drivers of hydrogen market </w:t>
      </w:r>
      <w:r w:rsidRPr="00F91404">
        <w:rPr>
          <w:rFonts w:asciiTheme="majorHAnsi" w:hAnsiTheme="majorHAnsi" w:cstheme="majorHAnsi"/>
          <w:sz w:val="20"/>
          <w:szCs w:val="20"/>
        </w:rPr>
        <w:br/>
        <w:t>formation.</w:t>
      </w:r>
    </w:p>
    <w:p w14:paraId="4C0B1730" w14:textId="1BE1641E" w:rsidR="00490881" w:rsidRPr="00F91404" w:rsidRDefault="009E4004" w:rsidP="009E4004">
      <w:pPr>
        <w:pStyle w:val="NormalWeb"/>
        <w:numPr>
          <w:ilvl w:val="0"/>
          <w:numId w:val="69"/>
        </w:numPr>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OECD analysis in OECD Policy Responses to Hydrogen stresses the importance of coherent policy mixes addressing cost gaps, standards and infrastructure simultaneously.</w:t>
      </w:r>
    </w:p>
    <w:p w14:paraId="60855AD0" w14:textId="77777777" w:rsidR="00490881" w:rsidRPr="00F91404" w:rsidRDefault="00490881" w:rsidP="009E4004">
      <w:pPr>
        <w:pStyle w:val="NormalWeb"/>
        <w:spacing w:before="240" w:beforeAutospacing="0"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By structuring the benchmarking analysis across governance, regulation and policy levers, this framework captures the full set of enabling conditions required for hydrogen market development. It therefore provides a comprehensive diagnostic lens that allows comparison across countries at different maturity levels, while avoiding normative scoring or prescriptive judgments.</w:t>
      </w:r>
    </w:p>
    <w:p w14:paraId="3812917D" w14:textId="7C9DE683" w:rsidR="00F76537" w:rsidRPr="00F91404" w:rsidRDefault="00490881" w:rsidP="00803CFE">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sz w:val="20"/>
          <w:szCs w:val="20"/>
        </w:rPr>
        <w:t>Together, these three dimensions reflect not only the scope of the project but also internationally recognised methodological practice for assessing emerging clean energy markets.</w:t>
      </w:r>
    </w:p>
    <w:p w14:paraId="369B665A" w14:textId="5C781698" w:rsidR="00321515" w:rsidRPr="00F91404" w:rsidRDefault="00321515" w:rsidP="00BF62ED">
      <w:pPr>
        <w:pStyle w:val="NormalWeb"/>
        <w:spacing w:after="0" w:afterAutospacing="0" w:line="276" w:lineRule="auto"/>
        <w:rPr>
          <w:rFonts w:asciiTheme="majorHAnsi" w:hAnsiTheme="majorHAnsi" w:cstheme="majorHAnsi"/>
          <w:sz w:val="20"/>
          <w:szCs w:val="20"/>
        </w:rPr>
      </w:pPr>
      <w:r w:rsidRPr="00F91404">
        <w:rPr>
          <w:rFonts w:asciiTheme="majorHAnsi" w:hAnsiTheme="majorHAnsi" w:cstheme="majorHAnsi"/>
          <w:b/>
          <w:bCs/>
          <w:sz w:val="20"/>
          <w:szCs w:val="20"/>
        </w:rPr>
        <w:t>Scope clarification</w:t>
      </w:r>
      <w:r w:rsidRPr="00F91404">
        <w:rPr>
          <w:rFonts w:asciiTheme="majorHAnsi" w:hAnsiTheme="majorHAnsi" w:cstheme="majorHAnsi"/>
          <w:sz w:val="20"/>
          <w:szCs w:val="20"/>
        </w:rPr>
        <w:br/>
        <w:t xml:space="preserve">The benchmarking presented in this section focuses specifically on institutional, regulatory and policy enabling conditions for green hydrogen market development. It does not include detailed techno-economic modelling (e.g., </w:t>
      </w:r>
      <w:proofErr w:type="spellStart"/>
      <w:r w:rsidRPr="00F91404">
        <w:rPr>
          <w:rFonts w:asciiTheme="majorHAnsi" w:hAnsiTheme="majorHAnsi" w:cstheme="majorHAnsi"/>
          <w:sz w:val="20"/>
          <w:szCs w:val="20"/>
        </w:rPr>
        <w:t>levelised</w:t>
      </w:r>
      <w:proofErr w:type="spellEnd"/>
      <w:r w:rsidRPr="00F91404">
        <w:rPr>
          <w:rFonts w:asciiTheme="majorHAnsi" w:hAnsiTheme="majorHAnsi" w:cstheme="majorHAnsi"/>
          <w:sz w:val="20"/>
          <w:szCs w:val="20"/>
        </w:rPr>
        <w:t xml:space="preserve"> cost of hydrogen – LCOH analysis), project-by-project bankability assessments, or quantitative scoring and ranking of countries. These dimensions fall outside the scope of this deliverable and are either addressed through other analytical workstreams or require separate, dedicated modelling exercises. The objective of this section is therefore descriptive and comparative, rather than financial or prescriptive.</w:t>
      </w:r>
    </w:p>
    <w:p w14:paraId="31202D3A" w14:textId="10E5CA26" w:rsidR="00BF62ED" w:rsidRPr="00F91404" w:rsidRDefault="00BF62ED" w:rsidP="00F16C35">
      <w:pPr>
        <w:pStyle w:val="NormalWeb"/>
        <w:spacing w:after="0" w:afterAutospacing="0" w:line="276" w:lineRule="auto"/>
        <w:jc w:val="center"/>
        <w:rPr>
          <w:rFonts w:asciiTheme="majorHAnsi" w:hAnsiTheme="majorHAnsi" w:cstheme="majorHAnsi"/>
          <w:sz w:val="20"/>
          <w:szCs w:val="20"/>
        </w:rPr>
      </w:pPr>
    </w:p>
    <w:p w14:paraId="65E40307" w14:textId="77777777" w:rsidR="009E4004" w:rsidRPr="00F91404" w:rsidRDefault="009E4004" w:rsidP="00BF62ED">
      <w:pPr>
        <w:pStyle w:val="NormalWeb"/>
        <w:spacing w:after="0" w:afterAutospacing="0" w:line="276" w:lineRule="auto"/>
        <w:rPr>
          <w:rFonts w:asciiTheme="majorHAnsi" w:hAnsiTheme="majorHAnsi" w:cstheme="majorHAnsi"/>
          <w:sz w:val="20"/>
          <w:szCs w:val="20"/>
        </w:rPr>
      </w:pPr>
    </w:p>
    <w:p w14:paraId="1643BF57" w14:textId="77777777" w:rsidR="009E4004" w:rsidRPr="00F91404" w:rsidRDefault="009E4004" w:rsidP="00BF62ED">
      <w:pPr>
        <w:pStyle w:val="NormalWeb"/>
        <w:spacing w:after="0" w:afterAutospacing="0" w:line="276" w:lineRule="auto"/>
        <w:rPr>
          <w:rFonts w:asciiTheme="majorHAnsi" w:hAnsiTheme="majorHAnsi" w:cstheme="majorHAnsi"/>
          <w:sz w:val="20"/>
          <w:szCs w:val="20"/>
        </w:rPr>
      </w:pPr>
    </w:p>
    <w:p w14:paraId="531ACBD6" w14:textId="77777777" w:rsidR="00803CFE" w:rsidRPr="00F91404" w:rsidRDefault="00803CFE" w:rsidP="00BF62ED">
      <w:pPr>
        <w:pStyle w:val="NormalWeb"/>
        <w:spacing w:after="0" w:afterAutospacing="0" w:line="276" w:lineRule="auto"/>
        <w:rPr>
          <w:rFonts w:asciiTheme="majorHAnsi" w:hAnsiTheme="majorHAnsi" w:cstheme="majorHAnsi"/>
          <w:sz w:val="20"/>
          <w:szCs w:val="20"/>
        </w:rPr>
      </w:pPr>
    </w:p>
    <w:p w14:paraId="23FC73C2" w14:textId="77777777" w:rsidR="00803CFE" w:rsidRPr="00F91404" w:rsidRDefault="00803CFE" w:rsidP="00BF62ED">
      <w:pPr>
        <w:pStyle w:val="NormalWeb"/>
        <w:spacing w:after="0" w:afterAutospacing="0" w:line="276" w:lineRule="auto"/>
        <w:rPr>
          <w:rFonts w:asciiTheme="majorHAnsi" w:hAnsiTheme="majorHAnsi" w:cstheme="majorHAnsi"/>
          <w:sz w:val="20"/>
          <w:szCs w:val="20"/>
        </w:rPr>
      </w:pPr>
    </w:p>
    <w:p w14:paraId="1DAA87F1" w14:textId="77777777" w:rsidR="00803CFE" w:rsidRPr="00F91404" w:rsidRDefault="00803CFE" w:rsidP="00BF62ED">
      <w:pPr>
        <w:pStyle w:val="NormalWeb"/>
        <w:spacing w:after="0" w:afterAutospacing="0" w:line="276" w:lineRule="auto"/>
        <w:rPr>
          <w:rFonts w:asciiTheme="majorHAnsi" w:hAnsiTheme="majorHAnsi" w:cstheme="majorHAnsi"/>
          <w:sz w:val="20"/>
          <w:szCs w:val="20"/>
        </w:rPr>
      </w:pPr>
    </w:p>
    <w:p w14:paraId="26B1CF72" w14:textId="77777777" w:rsidR="00803CFE" w:rsidRPr="00F91404" w:rsidRDefault="00803CFE" w:rsidP="00BF62ED">
      <w:pPr>
        <w:pStyle w:val="NormalWeb"/>
        <w:spacing w:after="0" w:afterAutospacing="0" w:line="276" w:lineRule="auto"/>
        <w:rPr>
          <w:rFonts w:asciiTheme="majorHAnsi" w:hAnsiTheme="majorHAnsi" w:cstheme="majorHAnsi"/>
          <w:sz w:val="20"/>
          <w:szCs w:val="20"/>
        </w:rPr>
      </w:pPr>
    </w:p>
    <w:p w14:paraId="7D71D9B5" w14:textId="77777777" w:rsidR="00803CFE" w:rsidRPr="00F91404" w:rsidRDefault="00803CFE" w:rsidP="00BF62ED">
      <w:pPr>
        <w:pStyle w:val="NormalWeb"/>
        <w:spacing w:after="0" w:afterAutospacing="0" w:line="276" w:lineRule="auto"/>
        <w:rPr>
          <w:rFonts w:asciiTheme="majorHAnsi" w:hAnsiTheme="majorHAnsi" w:cstheme="majorHAnsi"/>
          <w:sz w:val="20"/>
          <w:szCs w:val="20"/>
        </w:rPr>
      </w:pPr>
    </w:p>
    <w:p w14:paraId="5DD7E544" w14:textId="77777777" w:rsidR="00803CFE" w:rsidRPr="00F91404" w:rsidRDefault="00803CFE" w:rsidP="00BF62ED">
      <w:pPr>
        <w:pStyle w:val="NormalWeb"/>
        <w:spacing w:after="0" w:afterAutospacing="0" w:line="276" w:lineRule="auto"/>
        <w:rPr>
          <w:rFonts w:asciiTheme="majorHAnsi" w:hAnsiTheme="majorHAnsi" w:cstheme="majorHAnsi"/>
          <w:sz w:val="20"/>
          <w:szCs w:val="20"/>
        </w:rPr>
      </w:pPr>
    </w:p>
    <w:p w14:paraId="4F5309D8" w14:textId="77777777" w:rsidR="00803CFE" w:rsidRPr="00F91404" w:rsidRDefault="00803CFE" w:rsidP="00BF62ED">
      <w:pPr>
        <w:pStyle w:val="NormalWeb"/>
        <w:spacing w:after="0" w:afterAutospacing="0" w:line="276" w:lineRule="auto"/>
        <w:rPr>
          <w:rFonts w:asciiTheme="majorHAnsi" w:hAnsiTheme="majorHAnsi" w:cstheme="majorHAnsi"/>
          <w:sz w:val="20"/>
          <w:szCs w:val="20"/>
        </w:rPr>
      </w:pPr>
    </w:p>
    <w:p w14:paraId="384BC361" w14:textId="77777777" w:rsidR="009E4004" w:rsidRPr="00F91404" w:rsidRDefault="009E4004" w:rsidP="00AE1044">
      <w:pPr>
        <w:rPr>
          <w:b/>
          <w:color w:val="004C43" w:themeColor="accent1"/>
          <w:sz w:val="24"/>
          <w:szCs w:val="32"/>
        </w:rPr>
      </w:pPr>
    </w:p>
    <w:p w14:paraId="00F64CC6" w14:textId="3C342A69" w:rsidR="00B347B9" w:rsidRPr="00F91404" w:rsidRDefault="00B72177" w:rsidP="00AE1044">
      <w:pPr>
        <w:rPr>
          <w:b/>
        </w:rPr>
      </w:pPr>
      <w:r w:rsidRPr="00F91404">
        <w:rPr>
          <w:b/>
          <w:color w:val="004C43" w:themeColor="accent1"/>
          <w:sz w:val="24"/>
          <w:szCs w:val="32"/>
        </w:rPr>
        <w:lastRenderedPageBreak/>
        <w:t>5</w:t>
      </w:r>
      <w:r w:rsidR="00D643F2" w:rsidRPr="00F91404">
        <w:rPr>
          <w:b/>
          <w:color w:val="004C43" w:themeColor="accent1"/>
          <w:sz w:val="24"/>
          <w:szCs w:val="32"/>
        </w:rPr>
        <w:t>.</w:t>
      </w:r>
      <w:r w:rsidR="00490881" w:rsidRPr="00F91404">
        <w:rPr>
          <w:b/>
          <w:color w:val="004C43" w:themeColor="accent1"/>
          <w:sz w:val="24"/>
          <w:szCs w:val="32"/>
        </w:rPr>
        <w:t>2</w:t>
      </w:r>
      <w:r w:rsidR="00D643F2" w:rsidRPr="00F91404">
        <w:rPr>
          <w:b/>
          <w:color w:val="004C43" w:themeColor="accent1"/>
          <w:sz w:val="24"/>
          <w:szCs w:val="32"/>
        </w:rPr>
        <w:t xml:space="preserve"> </w:t>
      </w:r>
      <w:r w:rsidR="00B347B9" w:rsidRPr="00F91404">
        <w:rPr>
          <w:b/>
          <w:color w:val="004C43" w:themeColor="accent1"/>
          <w:sz w:val="24"/>
          <w:szCs w:val="32"/>
        </w:rPr>
        <w:t xml:space="preserve">Analytical </w:t>
      </w:r>
      <w:r w:rsidR="00F2078F" w:rsidRPr="00F91404">
        <w:rPr>
          <w:b/>
          <w:color w:val="004C43" w:themeColor="accent1"/>
          <w:sz w:val="24"/>
          <w:szCs w:val="32"/>
        </w:rPr>
        <w:t>F</w:t>
      </w:r>
      <w:r w:rsidR="00B347B9" w:rsidRPr="00F91404">
        <w:rPr>
          <w:b/>
          <w:color w:val="004C43" w:themeColor="accent1"/>
          <w:sz w:val="24"/>
          <w:szCs w:val="32"/>
        </w:rPr>
        <w:t>ramework</w:t>
      </w:r>
    </w:p>
    <w:p w14:paraId="0FDFF2C7" w14:textId="3697454A" w:rsidR="48EB61D0" w:rsidRPr="00F91404" w:rsidRDefault="0062515C" w:rsidP="002F6998">
      <w:pPr>
        <w:pStyle w:val="NormalWeb"/>
        <w:spacing w:before="100" w:after="480" w:afterAutospacing="0"/>
        <w:rPr>
          <w:rFonts w:asciiTheme="majorHAnsi" w:hAnsiTheme="majorHAnsi" w:cstheme="majorBidi"/>
          <w:sz w:val="20"/>
          <w:szCs w:val="20"/>
        </w:rPr>
      </w:pPr>
      <w:r w:rsidRPr="00F91404">
        <w:rPr>
          <w:rFonts w:asciiTheme="majorHAnsi" w:hAnsiTheme="majorHAnsi" w:cstheme="majorBidi"/>
          <w:sz w:val="20"/>
          <w:szCs w:val="20"/>
        </w:rPr>
        <w:t>Countries have adopted a wide range of approaches to enable the development of renewable (green) hydrogen markets, reflecting differences in institutional arrangements, regulatory foundations and policy priorities</w:t>
      </w:r>
      <w:r w:rsidRPr="00F91404">
        <w:rPr>
          <w:rStyle w:val="FootnoteReference"/>
          <w:rFonts w:cstheme="majorBidi"/>
        </w:rPr>
        <w:footnoteReference w:id="23"/>
      </w:r>
      <w:r w:rsidRPr="00F91404">
        <w:rPr>
          <w:rFonts w:asciiTheme="majorHAnsi" w:hAnsiTheme="majorHAnsi" w:cstheme="majorBidi"/>
          <w:sz w:val="20"/>
          <w:szCs w:val="20"/>
        </w:rPr>
        <w:t>. These approaches have evolved as markets have moved from early planning and pilots toward deployment at scale. A structured comparative framework is therefore required to examine how governance, regulation and policy design differ across jurisdictions and how these differences relate to observed market outcomes.</w:t>
      </w:r>
      <w:r w:rsidR="0045250D" w:rsidRPr="00F91404">
        <w:rPr>
          <w:rFonts w:asciiTheme="majorHAnsi" w:hAnsiTheme="majorHAnsi" w:cstheme="majorBidi"/>
          <w:sz w:val="20"/>
          <w:szCs w:val="20"/>
        </w:rPr>
        <w:t xml:space="preserve"> </w:t>
      </w:r>
      <w:proofErr w:type="gramStart"/>
      <w:r w:rsidR="0045250D" w:rsidRPr="00F91404">
        <w:rPr>
          <w:rFonts w:asciiTheme="majorHAnsi" w:hAnsiTheme="majorHAnsi" w:cstheme="majorBidi"/>
          <w:sz w:val="20"/>
          <w:szCs w:val="20"/>
        </w:rPr>
        <w:t>For the purpose of</w:t>
      </w:r>
      <w:proofErr w:type="gramEnd"/>
      <w:r w:rsidR="0045250D" w:rsidRPr="00F91404">
        <w:rPr>
          <w:rFonts w:asciiTheme="majorHAnsi" w:hAnsiTheme="majorHAnsi" w:cstheme="majorBidi"/>
          <w:sz w:val="20"/>
          <w:szCs w:val="20"/>
        </w:rPr>
        <w:t xml:space="preserve"> this assessment,</w:t>
      </w:r>
      <w:r w:rsidR="008E1A8B" w:rsidRPr="00F91404">
        <w:rPr>
          <w:rFonts w:asciiTheme="majorHAnsi" w:hAnsiTheme="majorHAnsi" w:cstheme="majorBidi"/>
          <w:sz w:val="20"/>
          <w:szCs w:val="20"/>
        </w:rPr>
        <w:t xml:space="preserve"> the</w:t>
      </w:r>
      <w:r w:rsidR="007F2B1E" w:rsidRPr="00F91404">
        <w:rPr>
          <w:rFonts w:asciiTheme="majorHAnsi" w:hAnsiTheme="majorHAnsi" w:cstheme="majorBidi"/>
          <w:sz w:val="20"/>
          <w:szCs w:val="20"/>
        </w:rPr>
        <w:t> </w:t>
      </w:r>
      <w:r w:rsidR="007F2B1E" w:rsidRPr="00F91404">
        <w:rPr>
          <w:rFonts w:asciiTheme="majorHAnsi" w:hAnsiTheme="majorHAnsi" w:cstheme="majorBidi"/>
          <w:b/>
          <w:sz w:val="20"/>
          <w:szCs w:val="20"/>
        </w:rPr>
        <w:t>three</w:t>
      </w:r>
      <w:r w:rsidR="008E1A8B" w:rsidRPr="00F91404">
        <w:rPr>
          <w:rFonts w:asciiTheme="majorHAnsi" w:hAnsiTheme="majorHAnsi" w:cstheme="majorBidi"/>
          <w:b/>
          <w:sz w:val="20"/>
          <w:szCs w:val="20"/>
        </w:rPr>
        <w:t xml:space="preserve"> following</w:t>
      </w:r>
      <w:r w:rsidR="007F2B1E" w:rsidRPr="00F91404">
        <w:rPr>
          <w:rFonts w:asciiTheme="majorHAnsi" w:hAnsiTheme="majorHAnsi" w:cstheme="majorBidi"/>
          <w:b/>
          <w:sz w:val="20"/>
          <w:szCs w:val="20"/>
        </w:rPr>
        <w:t xml:space="preserve"> core dimensions</w:t>
      </w:r>
      <w:r w:rsidR="007F2B1E" w:rsidRPr="00F91404">
        <w:rPr>
          <w:rFonts w:asciiTheme="majorHAnsi" w:hAnsiTheme="majorHAnsi" w:cstheme="majorBidi"/>
          <w:sz w:val="20"/>
          <w:szCs w:val="20"/>
        </w:rPr>
        <w:t> </w:t>
      </w:r>
      <w:r w:rsidR="0045250D" w:rsidRPr="00F91404">
        <w:rPr>
          <w:rFonts w:asciiTheme="majorHAnsi" w:hAnsiTheme="majorHAnsi" w:cstheme="majorBidi"/>
          <w:sz w:val="20"/>
          <w:szCs w:val="20"/>
        </w:rPr>
        <w:t>were considered.</w:t>
      </w:r>
      <w:r w:rsidR="007F2B1E" w:rsidRPr="00F91404">
        <w:rPr>
          <w:rFonts w:cstheme="minorBidi"/>
          <w:sz w:val="20"/>
          <w:szCs w:val="20"/>
        </w:rPr>
        <w:t>  </w:t>
      </w:r>
    </w:p>
    <w:tbl>
      <w:tblPr>
        <w:tblW w:w="96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6"/>
        <w:gridCol w:w="284"/>
        <w:gridCol w:w="8135"/>
      </w:tblGrid>
      <w:tr w:rsidR="007F2B1E" w:rsidRPr="00F91404" w14:paraId="3F6DDD22" w14:textId="77777777" w:rsidTr="001F69E6">
        <w:trPr>
          <w:trHeight w:val="1557"/>
        </w:trPr>
        <w:tc>
          <w:tcPr>
            <w:tcW w:w="1276" w:type="dxa"/>
            <w:tcBorders>
              <w:top w:val="nil"/>
              <w:left w:val="nil"/>
              <w:bottom w:val="single" w:sz="48" w:space="0" w:color="FFFFFF" w:themeColor="background1"/>
              <w:right w:val="single" w:sz="6" w:space="0" w:color="BFBFBF"/>
            </w:tcBorders>
            <w:shd w:val="clear" w:color="auto" w:fill="004F26"/>
            <w:vAlign w:val="center"/>
            <w:hideMark/>
          </w:tcPr>
          <w:p w14:paraId="43125465" w14:textId="037757A7" w:rsidR="007F2B1E" w:rsidRPr="00F91404" w:rsidRDefault="007F2B1E" w:rsidP="001F69E6">
            <w:pPr>
              <w:spacing w:after="0"/>
              <w:jc w:val="center"/>
              <w:rPr>
                <w:rFonts w:cstheme="minorHAnsi"/>
                <w:sz w:val="20"/>
                <w:szCs w:val="20"/>
              </w:rPr>
            </w:pPr>
            <w:r w:rsidRPr="00F91404">
              <w:rPr>
                <w:rFonts w:cstheme="minorHAnsi"/>
                <w:noProof/>
                <w:sz w:val="20"/>
                <w:szCs w:val="20"/>
              </w:rPr>
              <w:drawing>
                <wp:inline distT="0" distB="0" distL="0" distR="0" wp14:anchorId="460BF1E4" wp14:editId="7B178935">
                  <wp:extent cx="510988" cy="510988"/>
                  <wp:effectExtent l="0" t="0" r="0" b="0"/>
                  <wp:docPr id="135319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30169" name=""/>
                          <pic:cNvPicPr/>
                        </pic:nvPicPr>
                        <pic:blipFill>
                          <a:blip r:embed="rId15">
                            <a:lum bright="70000" contrast="-70000"/>
                            <a:extLst>
                              <a:ext uri="{BEBA8EAE-BF5A-486C-A8C5-ECC9F3942E4B}">
                                <a14:imgProps xmlns:a14="http://schemas.microsoft.com/office/drawing/2010/main">
                                  <a14:imgLayer r:embed="rId16">
                                    <a14:imgEffect>
                                      <a14:artisticPhotocopy/>
                                    </a14:imgEffect>
                                  </a14:imgLayer>
                                </a14:imgProps>
                              </a:ext>
                            </a:extLst>
                          </a:blip>
                          <a:stretch>
                            <a:fillRect/>
                          </a:stretch>
                        </pic:blipFill>
                        <pic:spPr>
                          <a:xfrm>
                            <a:off x="0" y="0"/>
                            <a:ext cx="517063" cy="517063"/>
                          </a:xfrm>
                          <a:prstGeom prst="rect">
                            <a:avLst/>
                          </a:prstGeom>
                        </pic:spPr>
                      </pic:pic>
                    </a:graphicData>
                  </a:graphic>
                </wp:inline>
              </w:drawing>
            </w:r>
          </w:p>
        </w:tc>
        <w:tc>
          <w:tcPr>
            <w:tcW w:w="284" w:type="dxa"/>
            <w:tcBorders>
              <w:top w:val="nil"/>
              <w:bottom w:val="single" w:sz="48" w:space="0" w:color="FFFFFF" w:themeColor="background1"/>
              <w:right w:val="single" w:sz="18" w:space="0" w:color="004F26"/>
            </w:tcBorders>
            <w:vAlign w:val="center"/>
          </w:tcPr>
          <w:p w14:paraId="313C6E53" w14:textId="77777777" w:rsidR="007F2B1E" w:rsidRPr="00F91404" w:rsidRDefault="007F2B1E">
            <w:pPr>
              <w:jc w:val="center"/>
              <w:rPr>
                <w:rFonts w:cstheme="minorHAnsi"/>
                <w:b/>
                <w:bCs/>
                <w:sz w:val="20"/>
                <w:szCs w:val="20"/>
              </w:rPr>
            </w:pPr>
          </w:p>
        </w:tc>
        <w:tc>
          <w:tcPr>
            <w:tcW w:w="8135" w:type="dxa"/>
            <w:tcBorders>
              <w:top w:val="nil"/>
              <w:left w:val="single" w:sz="18" w:space="0" w:color="004F26"/>
              <w:bottom w:val="single" w:sz="48" w:space="0" w:color="FFFFFF" w:themeColor="background1"/>
              <w:right w:val="nil"/>
            </w:tcBorders>
            <w:vAlign w:val="center"/>
            <w:hideMark/>
          </w:tcPr>
          <w:p w14:paraId="76613280" w14:textId="77777777" w:rsidR="007F2B1E" w:rsidRPr="00F91404" w:rsidRDefault="007F2B1E" w:rsidP="001F69E6">
            <w:pPr>
              <w:spacing w:before="240"/>
              <w:ind w:left="170"/>
              <w:rPr>
                <w:rFonts w:cstheme="minorHAnsi"/>
                <w:color w:val="004C43"/>
                <w:sz w:val="20"/>
                <w:szCs w:val="20"/>
              </w:rPr>
            </w:pPr>
            <w:r w:rsidRPr="00F91404">
              <w:rPr>
                <w:rFonts w:cstheme="minorHAnsi"/>
                <w:b/>
                <w:bCs/>
                <w:color w:val="004C43"/>
                <w:sz w:val="20"/>
                <w:szCs w:val="20"/>
              </w:rPr>
              <w:t>Dimension 1: </w:t>
            </w:r>
            <w:r w:rsidRPr="00F91404">
              <w:rPr>
                <w:rFonts w:cstheme="minorHAnsi"/>
                <w:color w:val="004C43"/>
                <w:sz w:val="20"/>
                <w:szCs w:val="20"/>
              </w:rPr>
              <w:t>Governance and Institutional Arrangements</w:t>
            </w:r>
          </w:p>
          <w:p w14:paraId="09DB5C3A" w14:textId="77777777" w:rsidR="007F2B1E" w:rsidRPr="00F91404" w:rsidRDefault="007F2B1E">
            <w:pPr>
              <w:ind w:left="170"/>
              <w:rPr>
                <w:rFonts w:cstheme="minorHAnsi"/>
                <w:sz w:val="20"/>
                <w:szCs w:val="20"/>
              </w:rPr>
            </w:pPr>
            <w:r w:rsidRPr="00F91404">
              <w:rPr>
                <w:rFonts w:cstheme="minorHAnsi"/>
                <w:sz w:val="20"/>
                <w:szCs w:val="20"/>
              </w:rPr>
              <w:t>Considers which public entities lead hydrogen policy, how responsibilities are distributed across ministries, regulators and public agencies, and how coordination is managed across the value chain.</w:t>
            </w:r>
          </w:p>
        </w:tc>
      </w:tr>
      <w:tr w:rsidR="007F2B1E" w:rsidRPr="00F91404" w14:paraId="77B728C9" w14:textId="77777777" w:rsidTr="001F69E6">
        <w:trPr>
          <w:trHeight w:val="1219"/>
        </w:trPr>
        <w:tc>
          <w:tcPr>
            <w:tcW w:w="1276" w:type="dxa"/>
            <w:tcBorders>
              <w:top w:val="single" w:sz="48" w:space="0" w:color="FFFFFF" w:themeColor="background1"/>
              <w:left w:val="nil"/>
              <w:bottom w:val="single" w:sz="48" w:space="0" w:color="FFFFFF" w:themeColor="background1"/>
              <w:right w:val="single" w:sz="6" w:space="0" w:color="BFBFBF"/>
            </w:tcBorders>
            <w:shd w:val="clear" w:color="auto" w:fill="00763A"/>
            <w:vAlign w:val="center"/>
            <w:hideMark/>
          </w:tcPr>
          <w:p w14:paraId="74C946CD" w14:textId="77777777" w:rsidR="007F2B1E" w:rsidRPr="00F91404" w:rsidRDefault="007F2B1E" w:rsidP="001F69E6">
            <w:pPr>
              <w:spacing w:after="0"/>
              <w:jc w:val="center"/>
              <w:rPr>
                <w:rFonts w:cstheme="minorHAnsi"/>
                <w:sz w:val="20"/>
                <w:szCs w:val="20"/>
              </w:rPr>
            </w:pPr>
            <w:r w:rsidRPr="00F91404">
              <w:rPr>
                <w:rFonts w:cstheme="minorHAnsi"/>
                <w:noProof/>
                <w:sz w:val="20"/>
                <w:szCs w:val="20"/>
              </w:rPr>
              <w:drawing>
                <wp:inline distT="0" distB="0" distL="0" distR="0" wp14:anchorId="13965083" wp14:editId="443A2465">
                  <wp:extent cx="466165" cy="466165"/>
                  <wp:effectExtent l="0" t="0" r="3810" b="3810"/>
                  <wp:docPr id="2983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00133" name=""/>
                          <pic:cNvPicPr/>
                        </pic:nvPicPr>
                        <pic:blipFill>
                          <a:blip r:embed="rId17">
                            <a:lum bright="70000" contrast="-70000"/>
                            <a:extLst>
                              <a:ext uri="{BEBA8EAE-BF5A-486C-A8C5-ECC9F3942E4B}">
                                <a14:imgProps xmlns:a14="http://schemas.microsoft.com/office/drawing/2010/main">
                                  <a14:imgLayer r:embed="rId18">
                                    <a14:imgEffect>
                                      <a14:artisticPhotocopy/>
                                    </a14:imgEffect>
                                  </a14:imgLayer>
                                </a14:imgProps>
                              </a:ext>
                            </a:extLst>
                          </a:blip>
                          <a:stretch>
                            <a:fillRect/>
                          </a:stretch>
                        </pic:blipFill>
                        <pic:spPr>
                          <a:xfrm>
                            <a:off x="0" y="0"/>
                            <a:ext cx="475264" cy="475264"/>
                          </a:xfrm>
                          <a:prstGeom prst="rect">
                            <a:avLst/>
                          </a:prstGeom>
                        </pic:spPr>
                      </pic:pic>
                    </a:graphicData>
                  </a:graphic>
                </wp:inline>
              </w:drawing>
            </w:r>
          </w:p>
        </w:tc>
        <w:tc>
          <w:tcPr>
            <w:tcW w:w="284" w:type="dxa"/>
            <w:tcBorders>
              <w:top w:val="single" w:sz="48" w:space="0" w:color="FFFFFF" w:themeColor="background1"/>
              <w:bottom w:val="single" w:sz="48" w:space="0" w:color="FFFFFF" w:themeColor="background1"/>
              <w:right w:val="single" w:sz="18" w:space="0" w:color="00763A"/>
            </w:tcBorders>
            <w:vAlign w:val="center"/>
          </w:tcPr>
          <w:p w14:paraId="68AE246D" w14:textId="77777777" w:rsidR="007F2B1E" w:rsidRPr="00F91404" w:rsidRDefault="007F2B1E">
            <w:pPr>
              <w:jc w:val="center"/>
              <w:rPr>
                <w:rFonts w:cstheme="minorHAnsi"/>
                <w:b/>
                <w:bCs/>
                <w:sz w:val="20"/>
                <w:szCs w:val="20"/>
              </w:rPr>
            </w:pPr>
          </w:p>
        </w:tc>
        <w:tc>
          <w:tcPr>
            <w:tcW w:w="8135" w:type="dxa"/>
            <w:tcBorders>
              <w:top w:val="single" w:sz="48" w:space="0" w:color="FFFFFF" w:themeColor="background1"/>
              <w:left w:val="single" w:sz="18" w:space="0" w:color="00763A"/>
              <w:bottom w:val="single" w:sz="48" w:space="0" w:color="FFFFFF" w:themeColor="background1"/>
              <w:right w:val="nil"/>
            </w:tcBorders>
            <w:vAlign w:val="center"/>
            <w:hideMark/>
          </w:tcPr>
          <w:p w14:paraId="7BB85079" w14:textId="77777777" w:rsidR="007F2B1E" w:rsidRPr="00F91404" w:rsidRDefault="007F2B1E" w:rsidP="001F69E6">
            <w:pPr>
              <w:spacing w:before="240"/>
              <w:ind w:left="170"/>
              <w:rPr>
                <w:rFonts w:cstheme="minorHAnsi"/>
                <w:color w:val="004C43"/>
                <w:sz w:val="20"/>
                <w:szCs w:val="20"/>
              </w:rPr>
            </w:pPr>
            <w:r w:rsidRPr="00F91404">
              <w:rPr>
                <w:rFonts w:cstheme="minorHAnsi"/>
                <w:b/>
                <w:bCs/>
                <w:color w:val="004C43"/>
                <w:sz w:val="20"/>
                <w:szCs w:val="20"/>
              </w:rPr>
              <w:t>Dimension 2: </w:t>
            </w:r>
            <w:r w:rsidRPr="00F91404">
              <w:rPr>
                <w:rFonts w:cstheme="minorHAnsi"/>
                <w:color w:val="004C43"/>
                <w:sz w:val="20"/>
                <w:szCs w:val="20"/>
              </w:rPr>
              <w:t>Legal and Regulatory Foundations</w:t>
            </w:r>
          </w:p>
          <w:p w14:paraId="68F41ADB" w14:textId="77777777" w:rsidR="007F2B1E" w:rsidRPr="00F91404" w:rsidRDefault="007F2B1E">
            <w:pPr>
              <w:ind w:left="170"/>
              <w:rPr>
                <w:rFonts w:cstheme="minorHAnsi"/>
                <w:sz w:val="20"/>
                <w:szCs w:val="20"/>
              </w:rPr>
            </w:pPr>
            <w:r w:rsidRPr="00F91404">
              <w:rPr>
                <w:rFonts w:cstheme="minorHAnsi"/>
                <w:sz w:val="20"/>
                <w:szCs w:val="20"/>
              </w:rPr>
              <w:t>Examines the presence or absence of hydrogen-specific legislation, permitting regimes, sustainability criteria and certification systems.</w:t>
            </w:r>
          </w:p>
        </w:tc>
      </w:tr>
      <w:tr w:rsidR="007F2B1E" w:rsidRPr="00F91404" w14:paraId="10232E5D" w14:textId="77777777" w:rsidTr="001F69E6">
        <w:trPr>
          <w:trHeight w:val="2091"/>
        </w:trPr>
        <w:tc>
          <w:tcPr>
            <w:tcW w:w="1276" w:type="dxa"/>
            <w:tcBorders>
              <w:top w:val="single" w:sz="48" w:space="0" w:color="FFFFFF" w:themeColor="background1"/>
              <w:left w:val="nil"/>
              <w:bottom w:val="nil"/>
              <w:right w:val="single" w:sz="6" w:space="0" w:color="BFBFBF"/>
            </w:tcBorders>
            <w:shd w:val="clear" w:color="auto" w:fill="009E4E"/>
            <w:vAlign w:val="center"/>
            <w:hideMark/>
          </w:tcPr>
          <w:p w14:paraId="48A49012" w14:textId="77777777" w:rsidR="007F2B1E" w:rsidRPr="00F91404" w:rsidRDefault="007F2B1E" w:rsidP="001F69E6">
            <w:pPr>
              <w:spacing w:after="0"/>
              <w:jc w:val="center"/>
              <w:rPr>
                <w:rFonts w:cstheme="minorHAnsi"/>
                <w:sz w:val="20"/>
                <w:szCs w:val="20"/>
              </w:rPr>
            </w:pPr>
            <w:r w:rsidRPr="00F91404">
              <w:rPr>
                <w:rFonts w:cstheme="minorHAnsi"/>
                <w:noProof/>
                <w:sz w:val="20"/>
                <w:szCs w:val="20"/>
              </w:rPr>
              <w:drawing>
                <wp:inline distT="0" distB="0" distL="0" distR="0" wp14:anchorId="508EC029" wp14:editId="10DFBE46">
                  <wp:extent cx="501949" cy="501949"/>
                  <wp:effectExtent l="0" t="0" r="6350" b="6350"/>
                  <wp:docPr id="187133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37132" name=""/>
                          <pic:cNvPicPr/>
                        </pic:nvPicPr>
                        <pic:blipFill>
                          <a:blip r:embed="rId19">
                            <a:lum bright="70000" contrast="-70000"/>
                            <a:extLst>
                              <a:ext uri="{BEBA8EAE-BF5A-486C-A8C5-ECC9F3942E4B}">
                                <a14:imgProps xmlns:a14="http://schemas.microsoft.com/office/drawing/2010/main">
                                  <a14:imgLayer r:embed="rId20">
                                    <a14:imgEffect>
                                      <a14:artisticPhotocopy/>
                                    </a14:imgEffect>
                                  </a14:imgLayer>
                                </a14:imgProps>
                              </a:ext>
                            </a:extLst>
                          </a:blip>
                          <a:stretch>
                            <a:fillRect/>
                          </a:stretch>
                        </pic:blipFill>
                        <pic:spPr>
                          <a:xfrm>
                            <a:off x="0" y="0"/>
                            <a:ext cx="514676" cy="514676"/>
                          </a:xfrm>
                          <a:prstGeom prst="rect">
                            <a:avLst/>
                          </a:prstGeom>
                        </pic:spPr>
                      </pic:pic>
                    </a:graphicData>
                  </a:graphic>
                </wp:inline>
              </w:drawing>
            </w:r>
          </w:p>
        </w:tc>
        <w:tc>
          <w:tcPr>
            <w:tcW w:w="284" w:type="dxa"/>
            <w:tcBorders>
              <w:top w:val="single" w:sz="48" w:space="0" w:color="FFFFFF" w:themeColor="background1"/>
              <w:bottom w:val="nil"/>
              <w:right w:val="single" w:sz="18" w:space="0" w:color="009E4E"/>
            </w:tcBorders>
            <w:vAlign w:val="center"/>
          </w:tcPr>
          <w:p w14:paraId="6C37CF7D" w14:textId="77777777" w:rsidR="007F2B1E" w:rsidRPr="00F91404" w:rsidRDefault="007F2B1E">
            <w:pPr>
              <w:jc w:val="center"/>
              <w:rPr>
                <w:rFonts w:cstheme="minorHAnsi"/>
                <w:b/>
                <w:bCs/>
                <w:sz w:val="20"/>
                <w:szCs w:val="20"/>
              </w:rPr>
            </w:pPr>
          </w:p>
        </w:tc>
        <w:tc>
          <w:tcPr>
            <w:tcW w:w="8135" w:type="dxa"/>
            <w:tcBorders>
              <w:top w:val="single" w:sz="48" w:space="0" w:color="FFFFFF" w:themeColor="background1"/>
              <w:left w:val="single" w:sz="18" w:space="0" w:color="009E4E"/>
              <w:bottom w:val="nil"/>
              <w:right w:val="nil"/>
            </w:tcBorders>
            <w:vAlign w:val="center"/>
            <w:hideMark/>
          </w:tcPr>
          <w:p w14:paraId="341FDD28" w14:textId="4053B933" w:rsidR="007F2B1E" w:rsidRPr="00F91404" w:rsidRDefault="007F2B1E" w:rsidP="001F69E6">
            <w:pPr>
              <w:spacing w:before="240"/>
              <w:ind w:left="170"/>
              <w:rPr>
                <w:rFonts w:cstheme="minorHAnsi"/>
                <w:color w:val="004C43"/>
                <w:sz w:val="20"/>
                <w:szCs w:val="20"/>
              </w:rPr>
            </w:pPr>
            <w:r w:rsidRPr="00F91404">
              <w:rPr>
                <w:rFonts w:cstheme="minorHAnsi"/>
                <w:b/>
                <w:bCs/>
                <w:color w:val="004C43"/>
                <w:sz w:val="20"/>
                <w:szCs w:val="20"/>
              </w:rPr>
              <w:t>Dimension 3: </w:t>
            </w:r>
            <w:r w:rsidRPr="00F91404">
              <w:rPr>
                <w:rFonts w:cstheme="minorHAnsi"/>
                <w:color w:val="004C43"/>
                <w:sz w:val="20"/>
                <w:szCs w:val="20"/>
              </w:rPr>
              <w:t>Policy Levers</w:t>
            </w:r>
          </w:p>
          <w:p w14:paraId="284E6A81" w14:textId="77777777" w:rsidR="001F69E6" w:rsidRPr="00F91404" w:rsidRDefault="007F2B1E">
            <w:pPr>
              <w:ind w:left="170"/>
              <w:rPr>
                <w:rFonts w:cstheme="minorHAnsi"/>
                <w:sz w:val="18"/>
                <w:szCs w:val="18"/>
              </w:rPr>
            </w:pPr>
            <w:r w:rsidRPr="00F91404">
              <w:rPr>
                <w:rFonts w:cstheme="minorHAnsi"/>
                <w:sz w:val="20"/>
                <w:szCs w:val="20"/>
              </w:rPr>
              <w:t>Assesses the potential effectiveness of five core policy levers</w:t>
            </w:r>
            <w:r w:rsidR="002E0ADF" w:rsidRPr="00F91404">
              <w:rPr>
                <w:rFonts w:cstheme="minorHAnsi"/>
                <w:sz w:val="20"/>
                <w:szCs w:val="20"/>
              </w:rPr>
              <w:t>*</w:t>
            </w:r>
            <w:r w:rsidRPr="00F91404">
              <w:rPr>
                <w:rFonts w:cstheme="minorHAnsi"/>
                <w:sz w:val="20"/>
                <w:szCs w:val="20"/>
              </w:rPr>
              <w:t> that international experience and relevant literature have traditionally maintained are central to green hydrogen deployment</w:t>
            </w:r>
            <w:r w:rsidR="002E0ADF" w:rsidRPr="00F91404">
              <w:rPr>
                <w:rFonts w:cstheme="minorHAnsi"/>
                <w:sz w:val="20"/>
                <w:szCs w:val="20"/>
              </w:rPr>
              <w:t xml:space="preserve">. </w:t>
            </w:r>
          </w:p>
          <w:p w14:paraId="45740CFD" w14:textId="40AD4292" w:rsidR="007F2B1E" w:rsidRPr="00F91404" w:rsidRDefault="002E0ADF">
            <w:pPr>
              <w:ind w:left="170"/>
              <w:rPr>
                <w:rFonts w:cstheme="minorHAnsi"/>
                <w:i/>
                <w:iCs/>
                <w:sz w:val="20"/>
                <w:szCs w:val="20"/>
              </w:rPr>
            </w:pPr>
            <w:r w:rsidRPr="00F91404">
              <w:rPr>
                <w:rFonts w:cstheme="minorHAnsi"/>
                <w:i/>
                <w:iCs/>
                <w:sz w:val="18"/>
                <w:szCs w:val="18"/>
              </w:rPr>
              <w:t>The policy levers</w:t>
            </w:r>
            <w:r w:rsidR="001F69E6" w:rsidRPr="00F91404">
              <w:rPr>
                <w:rFonts w:cstheme="minorHAnsi"/>
                <w:i/>
                <w:iCs/>
                <w:sz w:val="18"/>
                <w:szCs w:val="18"/>
              </w:rPr>
              <w:t xml:space="preserve"> that have been assessed in this report are (1) </w:t>
            </w:r>
            <w:r w:rsidR="007F2B1E" w:rsidRPr="00F91404">
              <w:rPr>
                <w:rFonts w:cstheme="minorHAnsi"/>
                <w:i/>
                <w:iCs/>
                <w:sz w:val="18"/>
                <w:szCs w:val="18"/>
              </w:rPr>
              <w:t xml:space="preserve">fiscal and tax incentives; </w:t>
            </w:r>
            <w:r w:rsidR="001F69E6" w:rsidRPr="00F91404">
              <w:rPr>
                <w:rFonts w:cstheme="minorHAnsi"/>
                <w:i/>
                <w:iCs/>
                <w:sz w:val="18"/>
                <w:szCs w:val="18"/>
              </w:rPr>
              <w:t xml:space="preserve">(2) </w:t>
            </w:r>
            <w:r w:rsidR="007F2B1E" w:rsidRPr="00F91404">
              <w:rPr>
                <w:rFonts w:cstheme="minorHAnsi"/>
                <w:i/>
                <w:iCs/>
                <w:sz w:val="18"/>
                <w:szCs w:val="18"/>
              </w:rPr>
              <w:t xml:space="preserve">direct public funding and CAPEX co-financing; </w:t>
            </w:r>
            <w:r w:rsidR="001F69E6" w:rsidRPr="00F91404">
              <w:rPr>
                <w:rFonts w:cstheme="minorHAnsi"/>
                <w:i/>
                <w:iCs/>
                <w:sz w:val="18"/>
                <w:szCs w:val="18"/>
              </w:rPr>
              <w:t xml:space="preserve">(3) </w:t>
            </w:r>
            <w:r w:rsidR="007F2B1E" w:rsidRPr="00F91404">
              <w:rPr>
                <w:rFonts w:cstheme="minorHAnsi"/>
                <w:i/>
                <w:iCs/>
                <w:sz w:val="18"/>
                <w:szCs w:val="18"/>
              </w:rPr>
              <w:t xml:space="preserve">market and revenue support mechanisms; </w:t>
            </w:r>
            <w:r w:rsidR="001F69E6" w:rsidRPr="00F91404">
              <w:rPr>
                <w:rFonts w:cstheme="minorHAnsi"/>
                <w:i/>
                <w:iCs/>
                <w:sz w:val="18"/>
                <w:szCs w:val="18"/>
              </w:rPr>
              <w:t xml:space="preserve">(4) </w:t>
            </w:r>
            <w:r w:rsidR="007F2B1E" w:rsidRPr="00F91404">
              <w:rPr>
                <w:rFonts w:cstheme="minorHAnsi"/>
                <w:i/>
                <w:iCs/>
                <w:sz w:val="18"/>
                <w:szCs w:val="18"/>
              </w:rPr>
              <w:t xml:space="preserve">standards, certification and regulation; and </w:t>
            </w:r>
            <w:r w:rsidR="001F69E6" w:rsidRPr="00F91404">
              <w:rPr>
                <w:rFonts w:cstheme="minorHAnsi"/>
                <w:i/>
                <w:iCs/>
                <w:sz w:val="18"/>
                <w:szCs w:val="18"/>
              </w:rPr>
              <w:t xml:space="preserve">(5) </w:t>
            </w:r>
            <w:r w:rsidR="007F2B1E" w:rsidRPr="00F91404">
              <w:rPr>
                <w:rFonts w:cstheme="minorHAnsi"/>
                <w:i/>
                <w:iCs/>
                <w:sz w:val="18"/>
                <w:szCs w:val="18"/>
              </w:rPr>
              <w:t>infrastructure-enabling policie</w:t>
            </w:r>
            <w:r w:rsidR="001F69E6" w:rsidRPr="00F91404">
              <w:rPr>
                <w:rFonts w:cstheme="minorHAnsi"/>
                <w:i/>
                <w:iCs/>
                <w:sz w:val="18"/>
                <w:szCs w:val="18"/>
              </w:rPr>
              <w:t>s</w:t>
            </w:r>
            <w:r w:rsidR="007F2B1E" w:rsidRPr="00F91404">
              <w:rPr>
                <w:rFonts w:cstheme="minorHAnsi"/>
                <w:i/>
                <w:iCs/>
                <w:sz w:val="20"/>
                <w:szCs w:val="20"/>
              </w:rPr>
              <w:t>.</w:t>
            </w:r>
          </w:p>
        </w:tc>
      </w:tr>
    </w:tbl>
    <w:p w14:paraId="1DA787EE" w14:textId="3BE097CA" w:rsidR="005E2D93" w:rsidRPr="00F91404" w:rsidRDefault="0062515C" w:rsidP="005C525B">
      <w:pPr>
        <w:rPr>
          <w:rFonts w:cstheme="minorHAnsi"/>
          <w:sz w:val="20"/>
          <w:szCs w:val="20"/>
        </w:rPr>
      </w:pPr>
      <w:r w:rsidRPr="00F91404">
        <w:rPr>
          <w:rFonts w:cstheme="minorHAnsi"/>
          <w:sz w:val="20"/>
          <w:szCs w:val="20"/>
        </w:rPr>
        <w:br w:type="page"/>
      </w:r>
    </w:p>
    <w:p w14:paraId="68901E96" w14:textId="686DE3F1" w:rsidR="005E2D93" w:rsidRPr="00F91404" w:rsidRDefault="005E2D93" w:rsidP="00AA77D6">
      <w:pPr>
        <w:pStyle w:val="Heading1"/>
      </w:pPr>
      <w:bookmarkStart w:id="29" w:name="_Toc220695669"/>
      <w:bookmarkStart w:id="30" w:name="_Toc220695994"/>
      <w:bookmarkStart w:id="31" w:name="_Toc220786527"/>
      <w:r w:rsidRPr="00F91404">
        <w:lastRenderedPageBreak/>
        <w:t>International Benchmarking</w:t>
      </w:r>
      <w:bookmarkEnd w:id="29"/>
      <w:bookmarkEnd w:id="30"/>
      <w:bookmarkEnd w:id="31"/>
    </w:p>
    <w:p w14:paraId="173A80BC" w14:textId="1835D111" w:rsidR="00A66B44" w:rsidRPr="00F91404" w:rsidRDefault="00B72177" w:rsidP="00D643F2">
      <w:pPr>
        <w:rPr>
          <w:b/>
          <w:color w:val="004C43" w:themeColor="accent1"/>
          <w:sz w:val="24"/>
          <w:szCs w:val="32"/>
        </w:rPr>
      </w:pPr>
      <w:bookmarkStart w:id="32" w:name="_Toc220695670"/>
      <w:bookmarkStart w:id="33" w:name="_Toc220695995"/>
      <w:r w:rsidRPr="00F91404">
        <w:rPr>
          <w:b/>
          <w:color w:val="004C43" w:themeColor="accent1"/>
          <w:sz w:val="24"/>
          <w:szCs w:val="32"/>
        </w:rPr>
        <w:t>6</w:t>
      </w:r>
      <w:r w:rsidR="00D643F2" w:rsidRPr="00F91404">
        <w:rPr>
          <w:b/>
          <w:color w:val="004C43" w:themeColor="accent1"/>
          <w:sz w:val="24"/>
          <w:szCs w:val="32"/>
        </w:rPr>
        <w:t xml:space="preserve">.1 </w:t>
      </w:r>
      <w:r w:rsidR="00A66B44" w:rsidRPr="00F91404">
        <w:rPr>
          <w:b/>
          <w:color w:val="004C43" w:themeColor="accent1"/>
          <w:sz w:val="24"/>
          <w:szCs w:val="32"/>
        </w:rPr>
        <w:t xml:space="preserve">Benchmarking </w:t>
      </w:r>
      <w:r w:rsidR="00F2078F" w:rsidRPr="00F91404">
        <w:rPr>
          <w:b/>
          <w:color w:val="004C43" w:themeColor="accent1"/>
          <w:sz w:val="24"/>
          <w:szCs w:val="32"/>
        </w:rPr>
        <w:t>S</w:t>
      </w:r>
      <w:r w:rsidR="00A66B44" w:rsidRPr="00F91404">
        <w:rPr>
          <w:b/>
          <w:color w:val="004C43" w:themeColor="accent1"/>
          <w:sz w:val="24"/>
          <w:szCs w:val="32"/>
        </w:rPr>
        <w:t>cope</w:t>
      </w:r>
      <w:bookmarkEnd w:id="32"/>
      <w:bookmarkEnd w:id="33"/>
    </w:p>
    <w:p w14:paraId="3A695E20" w14:textId="34D8ED46" w:rsidR="00A66B44" w:rsidRPr="00F91404" w:rsidRDefault="00A66B44" w:rsidP="00520871">
      <w:pPr>
        <w:spacing w:line="276" w:lineRule="auto"/>
        <w:rPr>
          <w:rFonts w:cstheme="minorHAnsi"/>
          <w:sz w:val="20"/>
          <w:szCs w:val="20"/>
        </w:rPr>
      </w:pPr>
      <w:r w:rsidRPr="00F91404">
        <w:rPr>
          <w:rFonts w:cstheme="minorHAnsi"/>
          <w:sz w:val="20"/>
          <w:szCs w:val="20"/>
        </w:rPr>
        <w:t>The selection of benchmark countries and the analytical approach were developed jointly with the Ministry of Energy (SENER</w:t>
      </w:r>
      <w:r w:rsidR="0045250D" w:rsidRPr="00F91404">
        <w:rPr>
          <w:rFonts w:cstheme="minorHAnsi"/>
          <w:sz w:val="20"/>
          <w:szCs w:val="20"/>
        </w:rPr>
        <w:t xml:space="preserve">; </w:t>
      </w:r>
      <w:proofErr w:type="spellStart"/>
      <w:r w:rsidRPr="00F91404">
        <w:rPr>
          <w:rFonts w:cstheme="minorHAnsi"/>
          <w:i/>
          <w:iCs/>
          <w:sz w:val="20"/>
          <w:szCs w:val="20"/>
        </w:rPr>
        <w:t>Secretaría</w:t>
      </w:r>
      <w:proofErr w:type="spellEnd"/>
      <w:r w:rsidRPr="00F91404">
        <w:rPr>
          <w:rFonts w:cstheme="minorHAnsi"/>
          <w:i/>
          <w:iCs/>
          <w:sz w:val="20"/>
          <w:szCs w:val="20"/>
        </w:rPr>
        <w:t xml:space="preserve"> de Energía</w:t>
      </w:r>
      <w:r w:rsidRPr="00F91404">
        <w:rPr>
          <w:rFonts w:cstheme="minorHAnsi"/>
          <w:sz w:val="20"/>
          <w:szCs w:val="20"/>
        </w:rPr>
        <w:t>) to ensure that the international comparison reflects relevant and diverse experiences in green hydrogen development aligned with Mexico’s policy context and strategic interests, including:</w:t>
      </w:r>
    </w:p>
    <w:p w14:paraId="662D6556" w14:textId="07BF040A" w:rsidR="000F49E5" w:rsidRPr="00F91404" w:rsidRDefault="000F49E5" w:rsidP="00520871">
      <w:pPr>
        <w:spacing w:line="276" w:lineRule="auto"/>
        <w:rPr>
          <w:rFonts w:cstheme="minorHAnsi"/>
          <w:sz w:val="20"/>
          <w:szCs w:val="20"/>
        </w:rPr>
      </w:pPr>
      <w:r w:rsidRPr="00F91404">
        <w:rPr>
          <w:rFonts w:cstheme="minorHAnsi"/>
          <w:sz w:val="20"/>
          <w:szCs w:val="20"/>
        </w:rPr>
        <w:t>The benchmark sample was designed to capture the full range of policy and market conditions relevant to Mexico’s current stage of renewable hydrogen development. It therefore includes advanced markets where hydrogen is already moving toward scale, emerging and scaling markets that are actively transitioning from policy definition to deployment, and peer countries with comparable industrial structures or development trajectories. This breadth is necessary to assess how governance arrangements, regulatory frameworks and policy instruments evolve across different stages of market maturity and to ensure that lessons drawn are applicable across multiple potential development pathways.</w:t>
      </w:r>
    </w:p>
    <w:p w14:paraId="774CC372" w14:textId="355B03DF" w:rsidR="00A66B44" w:rsidRPr="00F91404" w:rsidRDefault="00A66B44" w:rsidP="00520871">
      <w:pPr>
        <w:numPr>
          <w:ilvl w:val="0"/>
          <w:numId w:val="3"/>
        </w:numPr>
        <w:spacing w:line="276" w:lineRule="auto"/>
        <w:rPr>
          <w:rFonts w:cstheme="minorHAnsi"/>
          <w:sz w:val="20"/>
          <w:szCs w:val="20"/>
        </w:rPr>
      </w:pPr>
      <w:r w:rsidRPr="00F91404">
        <w:rPr>
          <w:rFonts w:cstheme="minorHAnsi"/>
          <w:b/>
          <w:bCs/>
          <w:sz w:val="20"/>
          <w:szCs w:val="20"/>
        </w:rPr>
        <w:t>Advanced hydrogen markets</w:t>
      </w:r>
      <w:r w:rsidRPr="00F91404">
        <w:rPr>
          <w:rFonts w:cstheme="minorHAnsi"/>
          <w:sz w:val="20"/>
          <w:szCs w:val="20"/>
        </w:rPr>
        <w:t>, where policy frameworks, infrastructure development and financing mechanisms are already supporting large-scale deployment</w:t>
      </w:r>
    </w:p>
    <w:p w14:paraId="56F2D3BD" w14:textId="77777777" w:rsidR="00A66B44" w:rsidRPr="00F91404" w:rsidRDefault="00A66B44" w:rsidP="00520871">
      <w:pPr>
        <w:numPr>
          <w:ilvl w:val="0"/>
          <w:numId w:val="3"/>
        </w:numPr>
        <w:spacing w:line="276" w:lineRule="auto"/>
        <w:rPr>
          <w:rFonts w:cstheme="minorHAnsi"/>
          <w:sz w:val="20"/>
          <w:szCs w:val="20"/>
        </w:rPr>
      </w:pPr>
      <w:r w:rsidRPr="00F91404">
        <w:rPr>
          <w:rFonts w:cstheme="minorHAnsi"/>
          <w:b/>
          <w:bCs/>
          <w:sz w:val="20"/>
          <w:szCs w:val="20"/>
        </w:rPr>
        <w:t>Scaling and emerging markets</w:t>
      </w:r>
      <w:r w:rsidRPr="00F91404">
        <w:rPr>
          <w:rFonts w:cstheme="minorHAnsi"/>
          <w:sz w:val="20"/>
          <w:szCs w:val="20"/>
        </w:rPr>
        <w:t>, where governments are transitioning from policy definition to early deployment and market creation</w:t>
      </w:r>
    </w:p>
    <w:p w14:paraId="3CB1E615" w14:textId="77777777" w:rsidR="00A66B44" w:rsidRPr="00F91404" w:rsidRDefault="00A66B44" w:rsidP="00520871">
      <w:pPr>
        <w:numPr>
          <w:ilvl w:val="0"/>
          <w:numId w:val="3"/>
        </w:numPr>
        <w:spacing w:line="276" w:lineRule="auto"/>
        <w:rPr>
          <w:rFonts w:cstheme="minorHAnsi"/>
          <w:sz w:val="20"/>
          <w:szCs w:val="20"/>
        </w:rPr>
      </w:pPr>
      <w:r w:rsidRPr="00F91404">
        <w:rPr>
          <w:rFonts w:cstheme="minorHAnsi"/>
          <w:b/>
          <w:bCs/>
          <w:sz w:val="20"/>
          <w:szCs w:val="20"/>
        </w:rPr>
        <w:t>Peer countries with comparable industrial structures or development stages</w:t>
      </w:r>
      <w:r w:rsidRPr="00F91404">
        <w:rPr>
          <w:rFonts w:cstheme="minorHAnsi"/>
          <w:sz w:val="20"/>
          <w:szCs w:val="20"/>
        </w:rPr>
        <w:t>, which provide relevant reference points for sequencing and policy design</w:t>
      </w:r>
    </w:p>
    <w:p w14:paraId="4D01920A" w14:textId="337870C1" w:rsidR="005C525B" w:rsidRPr="00F91404" w:rsidRDefault="00A66B44" w:rsidP="00AB3E70">
      <w:pPr>
        <w:spacing w:line="276" w:lineRule="auto"/>
        <w:rPr>
          <w:rFonts w:ascii="Inter" w:hAnsi="Inter"/>
          <w:color w:val="424242"/>
          <w:shd w:val="clear" w:color="auto" w:fill="FFFFFF"/>
        </w:rPr>
      </w:pPr>
      <w:r w:rsidRPr="00F91404">
        <w:rPr>
          <w:rFonts w:cstheme="minorHAnsi"/>
          <w:sz w:val="20"/>
          <w:szCs w:val="20"/>
        </w:rPr>
        <w:t>Based on these criteria, the benchmarking covers eleven countries across Latin America, Europe and Asia–Pacific</w:t>
      </w:r>
      <w:r w:rsidR="00A266E3" w:rsidRPr="00F91404">
        <w:rPr>
          <w:rFonts w:cstheme="minorHAnsi"/>
          <w:sz w:val="20"/>
          <w:szCs w:val="20"/>
        </w:rPr>
        <w:t xml:space="preserve"> </w:t>
      </w:r>
      <w:r w:rsidRPr="00F91404">
        <w:rPr>
          <w:rFonts w:cstheme="minorHAnsi"/>
          <w:sz w:val="20"/>
          <w:szCs w:val="20"/>
        </w:rPr>
        <w:t>provid</w:t>
      </w:r>
      <w:r w:rsidR="00A266E3" w:rsidRPr="00F91404">
        <w:rPr>
          <w:rFonts w:cstheme="minorHAnsi"/>
          <w:sz w:val="20"/>
          <w:szCs w:val="20"/>
        </w:rPr>
        <w:t>ing</w:t>
      </w:r>
      <w:r w:rsidRPr="00F91404">
        <w:rPr>
          <w:rFonts w:cstheme="minorHAnsi"/>
          <w:sz w:val="20"/>
          <w:szCs w:val="20"/>
        </w:rPr>
        <w:t xml:space="preserve"> a balanced reference for understanding how green hydrogen markets are being enabled under different institutional, regulatory and economic conditions.</w:t>
      </w:r>
      <w:r w:rsidR="00362311" w:rsidRPr="00F91404">
        <w:rPr>
          <w:rFonts w:ascii="Inter" w:hAnsi="Inter"/>
          <w:color w:val="424242"/>
          <w:shd w:val="clear" w:color="auto" w:fill="FFFFFF"/>
        </w:rPr>
        <w:t xml:space="preserve"> </w:t>
      </w:r>
    </w:p>
    <w:p w14:paraId="37020A54" w14:textId="23068AA5" w:rsidR="008E1A8B" w:rsidRPr="00F91404" w:rsidRDefault="00362311" w:rsidP="00AB3E70">
      <w:pPr>
        <w:spacing w:line="276" w:lineRule="auto"/>
        <w:rPr>
          <w:rFonts w:cstheme="minorHAnsi"/>
          <w:sz w:val="20"/>
          <w:szCs w:val="20"/>
        </w:rPr>
      </w:pPr>
      <w:r w:rsidRPr="00F91404">
        <w:rPr>
          <w:rFonts w:cstheme="minorHAnsi"/>
          <w:sz w:val="20"/>
          <w:szCs w:val="20"/>
        </w:rPr>
        <w:t>The main body of the report highlights selected insights from the country analyses as illustrative examples, with the full country profiles and detailed assessments available in the Annex.</w:t>
      </w:r>
    </w:p>
    <w:p w14:paraId="33F65886" w14:textId="683BD4B0" w:rsidR="008E1A8B" w:rsidRPr="00F91404" w:rsidRDefault="00A66B44" w:rsidP="008E1A8B">
      <w:pPr>
        <w:jc w:val="center"/>
        <w:rPr>
          <w:rStyle w:val="Strong"/>
          <w:rFonts w:cstheme="minorHAnsi"/>
          <w:sz w:val="18"/>
          <w:szCs w:val="18"/>
        </w:rPr>
      </w:pPr>
      <w:r w:rsidRPr="00F91404">
        <w:rPr>
          <w:rStyle w:val="Strong"/>
          <w:rFonts w:cstheme="minorHAnsi"/>
          <w:sz w:val="18"/>
          <w:szCs w:val="18"/>
        </w:rPr>
        <w:t xml:space="preserve">Figure 1. </w:t>
      </w:r>
      <w:r w:rsidR="008E1A8B" w:rsidRPr="00F91404">
        <w:rPr>
          <w:rStyle w:val="Strong"/>
          <w:rFonts w:cstheme="minorHAnsi"/>
          <w:sz w:val="18"/>
          <w:szCs w:val="18"/>
        </w:rPr>
        <w:t>Map</w:t>
      </w:r>
      <w:r w:rsidRPr="00F91404">
        <w:rPr>
          <w:rStyle w:val="Strong"/>
          <w:rFonts w:cstheme="minorHAnsi"/>
          <w:sz w:val="18"/>
          <w:szCs w:val="18"/>
        </w:rPr>
        <w:t xml:space="preserve"> of benchmark countries</w:t>
      </w:r>
    </w:p>
    <w:p w14:paraId="77500F62" w14:textId="77777777" w:rsidR="00A66B44" w:rsidRPr="00F91404" w:rsidRDefault="00A66B44" w:rsidP="00A66B44">
      <w:pPr>
        <w:jc w:val="center"/>
        <w:rPr>
          <w:rFonts w:cstheme="minorHAnsi"/>
          <w:sz w:val="20"/>
          <w:szCs w:val="20"/>
        </w:rPr>
      </w:pPr>
      <w:r w:rsidRPr="00F91404">
        <w:rPr>
          <w:rFonts w:cstheme="minorHAnsi"/>
          <w:noProof/>
          <w:sz w:val="20"/>
          <w:szCs w:val="20"/>
        </w:rPr>
        <w:drawing>
          <wp:inline distT="0" distB="0" distL="0" distR="0" wp14:anchorId="1A40F5BB" wp14:editId="212EA198">
            <wp:extent cx="5969000" cy="2818537"/>
            <wp:effectExtent l="19050" t="19050" r="12700" b="20320"/>
            <wp:docPr id="609075974" name="Picture 7" descr="A map of the world with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5974" name="Picture 7" descr="A map of the world with countries/regions&#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l="868" t="8054"/>
                    <a:stretch>
                      <a:fillRect/>
                    </a:stretch>
                  </pic:blipFill>
                  <pic:spPr bwMode="auto">
                    <a:xfrm>
                      <a:off x="0" y="0"/>
                      <a:ext cx="5981342" cy="2824365"/>
                    </a:xfrm>
                    <a:prstGeom prst="rect">
                      <a:avLst/>
                    </a:prstGeom>
                    <a:ln w="19050">
                      <a:solidFill>
                        <a:srgbClr val="004C43"/>
                      </a:solidFill>
                    </a:ln>
                    <a:effectLst/>
                    <a:extLst>
                      <a:ext uri="{53640926-AAD7-44D8-BBD7-CCE9431645EC}">
                        <a14:shadowObscured xmlns:a14="http://schemas.microsoft.com/office/drawing/2010/main"/>
                      </a:ext>
                    </a:extLst>
                  </pic:spPr>
                </pic:pic>
              </a:graphicData>
            </a:graphic>
          </wp:inline>
        </w:drawing>
      </w:r>
    </w:p>
    <w:p w14:paraId="2A6AF848" w14:textId="5F86951D" w:rsidR="00113567" w:rsidRPr="00F91404" w:rsidRDefault="00B72177" w:rsidP="00D643F2">
      <w:pPr>
        <w:rPr>
          <w:b/>
          <w:color w:val="004C43" w:themeColor="accent1"/>
          <w:sz w:val="24"/>
          <w:szCs w:val="32"/>
        </w:rPr>
      </w:pPr>
      <w:bookmarkStart w:id="34" w:name="_Toc220695671"/>
      <w:bookmarkStart w:id="35" w:name="_Toc220695996"/>
      <w:r w:rsidRPr="00F91404">
        <w:rPr>
          <w:b/>
          <w:color w:val="004C43" w:themeColor="accent1"/>
          <w:sz w:val="24"/>
          <w:szCs w:val="32"/>
        </w:rPr>
        <w:lastRenderedPageBreak/>
        <w:t>6</w:t>
      </w:r>
      <w:r w:rsidR="00D643F2" w:rsidRPr="00F91404">
        <w:rPr>
          <w:b/>
          <w:color w:val="004C43" w:themeColor="accent1"/>
          <w:sz w:val="24"/>
          <w:szCs w:val="32"/>
        </w:rPr>
        <w:t xml:space="preserve">.2 </w:t>
      </w:r>
      <w:r w:rsidR="00113567" w:rsidRPr="00F91404">
        <w:rPr>
          <w:b/>
          <w:color w:val="004C43" w:themeColor="accent1"/>
          <w:sz w:val="24"/>
          <w:szCs w:val="32"/>
        </w:rPr>
        <w:t>Governance and Institutional Arrangements</w:t>
      </w:r>
      <w:bookmarkEnd w:id="34"/>
      <w:bookmarkEnd w:id="35"/>
    </w:p>
    <w:p w14:paraId="38C44CFC" w14:textId="4E0398F6" w:rsidR="007C0EAF" w:rsidRPr="00F91404" w:rsidRDefault="007C0EAF" w:rsidP="00B97181">
      <w:pPr>
        <w:spacing w:before="240" w:line="276" w:lineRule="auto"/>
        <w:rPr>
          <w:rFonts w:asciiTheme="majorHAnsi" w:hAnsiTheme="majorHAnsi" w:cstheme="majorHAnsi"/>
          <w:bCs/>
          <w:sz w:val="20"/>
          <w:szCs w:val="20"/>
        </w:rPr>
      </w:pPr>
      <w:r w:rsidRPr="00F91404">
        <w:rPr>
          <w:rFonts w:asciiTheme="majorHAnsi" w:hAnsiTheme="majorHAnsi" w:cstheme="majorHAnsi"/>
          <w:bCs/>
          <w:sz w:val="20"/>
          <w:szCs w:val="20"/>
        </w:rPr>
        <w:t>Across the sa</w:t>
      </w:r>
      <w:r w:rsidR="00F15C65" w:rsidRPr="00F91404">
        <w:rPr>
          <w:rFonts w:asciiTheme="majorHAnsi" w:hAnsiTheme="majorHAnsi" w:cstheme="majorHAnsi"/>
          <w:bCs/>
          <w:sz w:val="20"/>
          <w:szCs w:val="20"/>
        </w:rPr>
        <w:t>mple of eleven</w:t>
      </w:r>
      <w:r w:rsidRPr="00F91404">
        <w:rPr>
          <w:rFonts w:asciiTheme="majorHAnsi" w:hAnsiTheme="majorHAnsi" w:cstheme="majorHAnsi"/>
          <w:bCs/>
          <w:sz w:val="20"/>
          <w:szCs w:val="20"/>
        </w:rPr>
        <w:t xml:space="preserve"> benchmark countries, differences in hydrogen deployment outcomes are strongly associated with how governance arrangements are structured and coordinated. Countries that have progressed beyond pilot stages tend to exhibit clearer institutional leadership, formal coordination mechanisms and explicit strategic anchoring for hydrogen within broader energy and industrial policy. By contrast, early-stage markets typically rely on fragmented mandates and informal coordination, which constrains delivery even where policy ambition exists.</w:t>
      </w:r>
    </w:p>
    <w:p w14:paraId="311F871D" w14:textId="78AD21B2" w:rsidR="007C0EAF" w:rsidRPr="00F91404" w:rsidRDefault="007C0EAF" w:rsidP="00B97181">
      <w:pPr>
        <w:spacing w:before="240" w:line="276" w:lineRule="auto"/>
        <w:rPr>
          <w:rFonts w:asciiTheme="majorHAnsi" w:hAnsiTheme="majorHAnsi" w:cstheme="majorHAnsi"/>
          <w:bCs/>
          <w:sz w:val="20"/>
          <w:szCs w:val="20"/>
        </w:rPr>
      </w:pPr>
      <w:r w:rsidRPr="00F91404">
        <w:rPr>
          <w:rFonts w:asciiTheme="majorHAnsi" w:hAnsiTheme="majorHAnsi" w:cstheme="majorHAnsi"/>
          <w:bCs/>
          <w:sz w:val="20"/>
          <w:szCs w:val="20"/>
        </w:rPr>
        <w:t>In this assessment, ‘governance’ refers to the institutional framework that underpins hydrogen development, including how responsibilities are allocated across public bodies and how coordination is managed across the value chain. While institutional setups and lead authorities vary across jurisdictions, international experience points to a set of recurring governance practices that support strategic alignment, investment confidence and coordinated delivery.</w:t>
      </w:r>
    </w:p>
    <w:p w14:paraId="4B2E3BAA" w14:textId="77777777" w:rsidR="007C0EAF" w:rsidRPr="00F91404" w:rsidRDefault="007C0EAF" w:rsidP="00B97181">
      <w:pPr>
        <w:spacing w:before="240" w:line="276" w:lineRule="auto"/>
        <w:rPr>
          <w:rFonts w:asciiTheme="majorHAnsi" w:hAnsiTheme="majorHAnsi" w:cstheme="majorHAnsi"/>
          <w:bCs/>
          <w:sz w:val="20"/>
          <w:szCs w:val="20"/>
        </w:rPr>
      </w:pPr>
      <w:r w:rsidRPr="00F91404">
        <w:rPr>
          <w:rFonts w:asciiTheme="majorHAnsi" w:hAnsiTheme="majorHAnsi" w:cstheme="majorHAnsi"/>
          <w:bCs/>
          <w:sz w:val="20"/>
          <w:szCs w:val="20"/>
        </w:rPr>
        <w:t>This section therefore examines the governance models and institutional arrangements observed across the benchmark countries, focusing on the presence of formal strategic anchors, institutional leadership, inter-agency coordination mechanisms, and approaches to oversight, monitoring and stakeholder engagement.</w:t>
      </w:r>
    </w:p>
    <w:p w14:paraId="04BD53FE" w14:textId="59A28752" w:rsidR="00791C24" w:rsidRPr="00F91404" w:rsidRDefault="007C0EAF" w:rsidP="007C0EAF">
      <w:pPr>
        <w:spacing w:line="276" w:lineRule="auto"/>
        <w:jc w:val="center"/>
        <w:rPr>
          <w:sz w:val="20"/>
          <w:szCs w:val="24"/>
        </w:rPr>
      </w:pPr>
      <w:r w:rsidRPr="00F91404">
        <w:rPr>
          <w:rFonts w:asciiTheme="majorHAnsi" w:hAnsiTheme="majorHAnsi" w:cstheme="majorHAnsi"/>
          <w:b/>
          <w:bCs/>
          <w:sz w:val="20"/>
          <w:szCs w:val="20"/>
        </w:rPr>
        <w:t xml:space="preserve"> </w:t>
      </w:r>
      <w:r w:rsidR="00791C24" w:rsidRPr="00F91404">
        <w:rPr>
          <w:rFonts w:cstheme="minorHAnsi"/>
          <w:b/>
          <w:sz w:val="18"/>
          <w:szCs w:val="18"/>
        </w:rPr>
        <w:t xml:space="preserve">Table 3. </w:t>
      </w:r>
      <w:r w:rsidR="00FA4E10" w:rsidRPr="00F91404">
        <w:rPr>
          <w:rFonts w:cstheme="minorHAnsi"/>
          <w:b/>
          <w:sz w:val="18"/>
          <w:szCs w:val="18"/>
        </w:rPr>
        <w:t>Governance and Institutional Arrangements</w:t>
      </w:r>
      <w:r w:rsidR="00E20E9F" w:rsidRPr="00F91404">
        <w:rPr>
          <w:rFonts w:cstheme="minorHAnsi"/>
          <w:b/>
          <w:sz w:val="18"/>
          <w:szCs w:val="18"/>
        </w:rPr>
        <w:t xml:space="preserve"> Framework</w:t>
      </w:r>
    </w:p>
    <w:tbl>
      <w:tblPr>
        <w:tblW w:w="5015" w:type="pct"/>
        <w:tblCellMar>
          <w:left w:w="70" w:type="dxa"/>
          <w:right w:w="70" w:type="dxa"/>
        </w:tblCellMar>
        <w:tblLook w:val="04A0" w:firstRow="1" w:lastRow="0" w:firstColumn="1" w:lastColumn="0" w:noHBand="0" w:noVBand="1"/>
      </w:tblPr>
      <w:tblGrid>
        <w:gridCol w:w="1561"/>
        <w:gridCol w:w="1843"/>
        <w:gridCol w:w="3132"/>
        <w:gridCol w:w="3132"/>
      </w:tblGrid>
      <w:tr w:rsidR="00407FA7" w:rsidRPr="00F91404" w14:paraId="67A010C4" w14:textId="77777777" w:rsidTr="007F009A">
        <w:trPr>
          <w:trHeight w:val="746"/>
        </w:trPr>
        <w:tc>
          <w:tcPr>
            <w:tcW w:w="807" w:type="pct"/>
            <w:tcBorders>
              <w:bottom w:val="dashed" w:sz="4" w:space="0" w:color="808080"/>
            </w:tcBorders>
            <w:shd w:val="clear" w:color="auto" w:fill="FFFFFF" w:themeFill="background1"/>
            <w:vAlign w:val="center"/>
            <w:hideMark/>
          </w:tcPr>
          <w:p w14:paraId="41C8079E" w14:textId="04203D4B" w:rsidR="00407FA7" w:rsidRPr="00F91404" w:rsidRDefault="00407FA7" w:rsidP="007F009A">
            <w:pPr>
              <w:suppressAutoHyphens/>
              <w:spacing w:after="0"/>
              <w:ind w:left="0"/>
              <w:jc w:val="center"/>
              <w:rPr>
                <w:rFonts w:ascii="Arial" w:eastAsia="Times New Roman" w:hAnsi="Arial" w:cs="Arial"/>
                <w:b/>
                <w:bCs/>
                <w:color w:val="FFFFFF"/>
                <w:sz w:val="16"/>
                <w:szCs w:val="16"/>
                <w:lang w:eastAsia="es-MX"/>
              </w:rPr>
            </w:pPr>
          </w:p>
        </w:tc>
        <w:tc>
          <w:tcPr>
            <w:tcW w:w="953" w:type="pct"/>
            <w:tcBorders>
              <w:bottom w:val="dashed" w:sz="4" w:space="0" w:color="808080"/>
            </w:tcBorders>
            <w:shd w:val="clear" w:color="auto" w:fill="004C43" w:themeFill="accent1"/>
            <w:vAlign w:val="center"/>
            <w:hideMark/>
          </w:tcPr>
          <w:p w14:paraId="31D912EA" w14:textId="364A9BF8" w:rsidR="00407FA7" w:rsidRPr="00F91404" w:rsidRDefault="00407FA7" w:rsidP="007F009A">
            <w:pPr>
              <w:suppressAutoHyphens/>
              <w:spacing w:after="0"/>
              <w:ind w:left="0"/>
              <w:jc w:val="center"/>
              <w:rPr>
                <w:rFonts w:ascii="Arial" w:eastAsia="Times New Roman" w:hAnsi="Arial" w:cs="Arial"/>
                <w:b/>
                <w:color w:val="FFFFFF"/>
                <w:sz w:val="20"/>
                <w:szCs w:val="20"/>
                <w:lang w:eastAsia="es-MX"/>
              </w:rPr>
            </w:pPr>
            <w:r w:rsidRPr="00F91404">
              <w:rPr>
                <w:rFonts w:ascii="Arial" w:eastAsia="Times New Roman" w:hAnsi="Arial" w:cs="Arial"/>
                <w:b/>
                <w:color w:val="FFFFFF"/>
                <w:sz w:val="20"/>
                <w:szCs w:val="20"/>
                <w:lang w:eastAsia="es-MX"/>
              </w:rPr>
              <w:t>Category</w:t>
            </w:r>
          </w:p>
        </w:tc>
        <w:tc>
          <w:tcPr>
            <w:tcW w:w="1620" w:type="pct"/>
            <w:tcBorders>
              <w:bottom w:val="dashed" w:sz="4" w:space="0" w:color="808080"/>
            </w:tcBorders>
            <w:shd w:val="clear" w:color="auto" w:fill="004C43" w:themeFill="accent1"/>
            <w:vAlign w:val="center"/>
            <w:hideMark/>
          </w:tcPr>
          <w:p w14:paraId="6FB75EAA" w14:textId="10059B2A" w:rsidR="00407FA7" w:rsidRPr="00F91404" w:rsidRDefault="0046203C" w:rsidP="007F009A">
            <w:pPr>
              <w:suppressAutoHyphens/>
              <w:spacing w:after="0"/>
              <w:ind w:left="0"/>
              <w:jc w:val="center"/>
              <w:rPr>
                <w:rFonts w:ascii="Arial" w:eastAsia="Times New Roman" w:hAnsi="Arial" w:cs="Arial"/>
                <w:b/>
                <w:color w:val="FFFFFF"/>
                <w:sz w:val="20"/>
                <w:szCs w:val="20"/>
                <w:lang w:eastAsia="es-MX"/>
              </w:rPr>
            </w:pPr>
            <w:r w:rsidRPr="00F91404">
              <w:rPr>
                <w:rFonts w:ascii="Arial" w:eastAsia="Times New Roman" w:hAnsi="Arial" w:cs="Arial"/>
                <w:b/>
                <w:color w:val="FFFFFF"/>
                <w:sz w:val="20"/>
                <w:szCs w:val="20"/>
                <w:lang w:eastAsia="es-MX"/>
              </w:rPr>
              <w:t>Scope</w:t>
            </w:r>
          </w:p>
        </w:tc>
        <w:tc>
          <w:tcPr>
            <w:tcW w:w="1620" w:type="pct"/>
            <w:tcBorders>
              <w:bottom w:val="dashed" w:sz="4" w:space="0" w:color="808080"/>
            </w:tcBorders>
            <w:shd w:val="clear" w:color="auto" w:fill="004C43" w:themeFill="accent1"/>
            <w:vAlign w:val="center"/>
            <w:hideMark/>
          </w:tcPr>
          <w:p w14:paraId="68B7A0C8" w14:textId="2F0594D6" w:rsidR="00407FA7" w:rsidRPr="00F91404" w:rsidRDefault="00407FA7" w:rsidP="007F009A">
            <w:pPr>
              <w:suppressAutoHyphens/>
              <w:spacing w:after="0"/>
              <w:ind w:left="0"/>
              <w:jc w:val="center"/>
              <w:rPr>
                <w:rFonts w:ascii="Arial" w:eastAsia="Times New Roman" w:hAnsi="Arial" w:cs="Arial"/>
                <w:b/>
                <w:color w:val="FFFFFF"/>
                <w:sz w:val="20"/>
                <w:szCs w:val="20"/>
                <w:lang w:eastAsia="es-MX"/>
              </w:rPr>
            </w:pPr>
            <w:r w:rsidRPr="00F91404">
              <w:rPr>
                <w:rFonts w:ascii="Arial" w:eastAsia="Times New Roman" w:hAnsi="Arial" w:cs="Arial"/>
                <w:b/>
                <w:color w:val="FFFFFF"/>
                <w:sz w:val="20"/>
                <w:szCs w:val="20"/>
                <w:lang w:eastAsia="es-MX"/>
              </w:rPr>
              <w:t xml:space="preserve">Evaluation </w:t>
            </w:r>
            <w:r w:rsidR="003441A9" w:rsidRPr="00F91404">
              <w:rPr>
                <w:rFonts w:ascii="Arial" w:eastAsia="Times New Roman" w:hAnsi="Arial" w:cs="Arial"/>
                <w:b/>
                <w:color w:val="FFFFFF"/>
                <w:sz w:val="20"/>
                <w:szCs w:val="20"/>
                <w:lang w:eastAsia="es-MX"/>
              </w:rPr>
              <w:t>A</w:t>
            </w:r>
            <w:r w:rsidRPr="00F91404">
              <w:rPr>
                <w:rFonts w:ascii="Arial" w:eastAsia="Times New Roman" w:hAnsi="Arial" w:cs="Arial"/>
                <w:b/>
                <w:color w:val="FFFFFF"/>
                <w:sz w:val="20"/>
                <w:szCs w:val="20"/>
                <w:lang w:eastAsia="es-MX"/>
              </w:rPr>
              <w:t>pproach</w:t>
            </w:r>
          </w:p>
        </w:tc>
      </w:tr>
      <w:tr w:rsidR="00407FA7" w:rsidRPr="00F91404" w14:paraId="18AAC715" w14:textId="77777777" w:rsidTr="007F009A">
        <w:trPr>
          <w:trHeight w:val="746"/>
        </w:trPr>
        <w:tc>
          <w:tcPr>
            <w:tcW w:w="807" w:type="pct"/>
            <w:vMerge w:val="restart"/>
            <w:tcBorders>
              <w:top w:val="dashed" w:sz="4" w:space="0" w:color="808080"/>
            </w:tcBorders>
            <w:shd w:val="clear" w:color="auto" w:fill="F2F2F2" w:themeFill="background1" w:themeFillShade="F2"/>
            <w:vAlign w:val="center"/>
            <w:hideMark/>
          </w:tcPr>
          <w:p w14:paraId="02B00F91"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Strategic policy framework</w:t>
            </w:r>
          </w:p>
        </w:tc>
        <w:tc>
          <w:tcPr>
            <w:tcW w:w="953" w:type="pct"/>
            <w:tcBorders>
              <w:top w:val="dashed" w:sz="4" w:space="0" w:color="808080"/>
            </w:tcBorders>
            <w:vAlign w:val="center"/>
            <w:hideMark/>
          </w:tcPr>
          <w:p w14:paraId="3751D16B"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National hydrogen policy / strategy</w:t>
            </w:r>
          </w:p>
        </w:tc>
        <w:tc>
          <w:tcPr>
            <w:tcW w:w="1620" w:type="pct"/>
            <w:tcBorders>
              <w:top w:val="dashed" w:sz="4" w:space="0" w:color="808080"/>
            </w:tcBorders>
            <w:vAlign w:val="center"/>
            <w:hideMark/>
          </w:tcPr>
          <w:p w14:paraId="58DBC200" w14:textId="77777777" w:rsidR="00407FA7" w:rsidRPr="00F91404" w:rsidRDefault="00407FA7" w:rsidP="007F009A">
            <w:pPr>
              <w:suppressAutoHyphens/>
              <w:spacing w:before="40" w:after="40"/>
              <w:ind w:left="0"/>
              <w:rPr>
                <w:rFonts w:ascii="Arial" w:eastAsia="Times New Roman" w:hAnsi="Arial" w:cs="Arial"/>
                <w:color w:val="000000"/>
                <w:sz w:val="16"/>
                <w:szCs w:val="16"/>
                <w:lang w:eastAsia="es-MX"/>
              </w:rPr>
            </w:pPr>
            <w:r w:rsidRPr="00F91404">
              <w:rPr>
                <w:rFonts w:ascii="Arial" w:eastAsia="Times New Roman" w:hAnsi="Arial" w:cs="Arial"/>
                <w:color w:val="000000"/>
                <w:sz w:val="16"/>
                <w:szCs w:val="16"/>
                <w:lang w:eastAsia="es-MX"/>
              </w:rPr>
              <w:t>Existence of a formally adopted, government-issued national hydrogen strategy, roadmap or mission that sets objectives and direction for hydrogen development.</w:t>
            </w:r>
          </w:p>
        </w:tc>
        <w:tc>
          <w:tcPr>
            <w:tcW w:w="1620" w:type="pct"/>
            <w:tcBorders>
              <w:top w:val="dashed" w:sz="4" w:space="0" w:color="808080"/>
            </w:tcBorders>
            <w:vAlign w:val="center"/>
            <w:hideMark/>
          </w:tcPr>
          <w:p w14:paraId="01AE5976" w14:textId="77777777" w:rsidR="00407FA7" w:rsidRPr="00F91404" w:rsidRDefault="00407FA7"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Yes:</w:t>
            </w:r>
            <w:r w:rsidRPr="00F91404">
              <w:rPr>
                <w:rFonts w:ascii="Arial" w:eastAsia="Times New Roman" w:hAnsi="Arial" w:cs="Arial"/>
                <w:color w:val="000000"/>
                <w:sz w:val="16"/>
                <w:szCs w:val="16"/>
                <w:lang w:eastAsia="es-MX"/>
              </w:rPr>
              <w:t xml:space="preserve"> strategy or roadmap formally issued or adopted by government</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No:</w:t>
            </w:r>
            <w:r w:rsidRPr="00F91404">
              <w:rPr>
                <w:rFonts w:ascii="Arial" w:eastAsia="Times New Roman" w:hAnsi="Arial" w:cs="Arial"/>
                <w:color w:val="000000"/>
                <w:sz w:val="16"/>
                <w:szCs w:val="16"/>
                <w:lang w:eastAsia="es-MX"/>
              </w:rPr>
              <w:t xml:space="preserve"> hydrogen addressed only indirectly or informally.</w:t>
            </w:r>
          </w:p>
        </w:tc>
      </w:tr>
      <w:tr w:rsidR="00407FA7" w:rsidRPr="00F91404" w14:paraId="60436213" w14:textId="77777777" w:rsidTr="007F009A">
        <w:trPr>
          <w:trHeight w:val="746"/>
        </w:trPr>
        <w:tc>
          <w:tcPr>
            <w:tcW w:w="807" w:type="pct"/>
            <w:vMerge/>
            <w:tcBorders>
              <w:bottom w:val="dashed" w:sz="4" w:space="0" w:color="808080" w:themeColor="background1" w:themeShade="80"/>
            </w:tcBorders>
            <w:shd w:val="clear" w:color="auto" w:fill="F2F2F2" w:themeFill="background1" w:themeFillShade="F2"/>
            <w:vAlign w:val="center"/>
            <w:hideMark/>
          </w:tcPr>
          <w:p w14:paraId="6AA4217B" w14:textId="77777777" w:rsidR="00407FA7" w:rsidRPr="00F91404" w:rsidRDefault="00407FA7" w:rsidP="007F009A">
            <w:pPr>
              <w:suppressAutoHyphens/>
              <w:spacing w:before="40" w:after="40"/>
              <w:ind w:left="0"/>
              <w:rPr>
                <w:rFonts w:ascii="Arial" w:eastAsia="Times New Roman" w:hAnsi="Arial" w:cs="Arial"/>
                <w:b/>
                <w:color w:val="000000"/>
                <w:sz w:val="18"/>
                <w:szCs w:val="18"/>
                <w:lang w:eastAsia="es-MX"/>
              </w:rPr>
            </w:pPr>
          </w:p>
        </w:tc>
        <w:tc>
          <w:tcPr>
            <w:tcW w:w="953" w:type="pct"/>
            <w:tcBorders>
              <w:bottom w:val="dashed" w:sz="4" w:space="0" w:color="808080" w:themeColor="background1" w:themeShade="80"/>
            </w:tcBorders>
            <w:shd w:val="clear" w:color="auto" w:fill="E0F1DF" w:themeFill="accent2" w:themeFillTint="33"/>
            <w:vAlign w:val="center"/>
            <w:hideMark/>
          </w:tcPr>
          <w:p w14:paraId="35A56D03"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Integration into energy, climate and industrial policy</w:t>
            </w:r>
          </w:p>
        </w:tc>
        <w:tc>
          <w:tcPr>
            <w:tcW w:w="1620" w:type="pct"/>
            <w:tcBorders>
              <w:bottom w:val="dashed" w:sz="4" w:space="0" w:color="808080" w:themeColor="background1" w:themeShade="80"/>
            </w:tcBorders>
            <w:shd w:val="clear" w:color="auto" w:fill="E0F1DF" w:themeFill="accent2" w:themeFillTint="33"/>
            <w:vAlign w:val="center"/>
            <w:hideMark/>
          </w:tcPr>
          <w:p w14:paraId="2653D333" w14:textId="77777777" w:rsidR="00407FA7" w:rsidRPr="00F91404" w:rsidRDefault="00407FA7" w:rsidP="007F009A">
            <w:pPr>
              <w:suppressAutoHyphens/>
              <w:spacing w:before="40" w:after="40"/>
              <w:ind w:left="0"/>
              <w:rPr>
                <w:rFonts w:ascii="Arial" w:eastAsia="Times New Roman" w:hAnsi="Arial" w:cs="Arial"/>
                <w:color w:val="000000"/>
                <w:sz w:val="16"/>
                <w:szCs w:val="16"/>
                <w:lang w:eastAsia="es-MX"/>
              </w:rPr>
            </w:pPr>
            <w:r w:rsidRPr="00F91404">
              <w:rPr>
                <w:rFonts w:ascii="Arial" w:eastAsia="Times New Roman" w:hAnsi="Arial" w:cs="Arial"/>
                <w:color w:val="000000"/>
                <w:sz w:val="16"/>
                <w:szCs w:val="16"/>
                <w:lang w:eastAsia="es-MX"/>
              </w:rPr>
              <w:t>Degree to which hydrogen is explicitly integrated into core national policy frameworks, including energy transition plans, climate targets and industrial development strategies.</w:t>
            </w:r>
          </w:p>
        </w:tc>
        <w:tc>
          <w:tcPr>
            <w:tcW w:w="1620" w:type="pct"/>
            <w:tcBorders>
              <w:bottom w:val="dashed" w:sz="4" w:space="0" w:color="808080" w:themeColor="background1" w:themeShade="80"/>
            </w:tcBorders>
            <w:shd w:val="clear" w:color="auto" w:fill="E0F1DF" w:themeFill="accent2" w:themeFillTint="33"/>
            <w:vAlign w:val="center"/>
            <w:hideMark/>
          </w:tcPr>
          <w:p w14:paraId="78DA0D76" w14:textId="77777777" w:rsidR="00407FA7" w:rsidRPr="00F91404" w:rsidRDefault="00407FA7"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High:</w:t>
            </w:r>
            <w:r w:rsidRPr="00F91404">
              <w:rPr>
                <w:rFonts w:ascii="Arial" w:eastAsia="Times New Roman" w:hAnsi="Arial" w:cs="Arial"/>
                <w:color w:val="000000"/>
                <w:sz w:val="16"/>
                <w:szCs w:val="16"/>
                <w:lang w:eastAsia="es-MX"/>
              </w:rPr>
              <w:t xml:space="preserve"> hydrogen embedded across multiple policy domains</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Medium:</w:t>
            </w:r>
            <w:r w:rsidRPr="00F91404">
              <w:rPr>
                <w:rFonts w:ascii="Arial" w:eastAsia="Times New Roman" w:hAnsi="Arial" w:cs="Arial"/>
                <w:color w:val="000000"/>
                <w:sz w:val="16"/>
                <w:szCs w:val="16"/>
                <w:lang w:eastAsia="es-MX"/>
              </w:rPr>
              <w:t xml:space="preserve"> referenced in some policy areas</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Low:</w:t>
            </w:r>
            <w:r w:rsidRPr="00F91404">
              <w:rPr>
                <w:rFonts w:ascii="Arial" w:eastAsia="Times New Roman" w:hAnsi="Arial" w:cs="Arial"/>
                <w:color w:val="000000"/>
                <w:sz w:val="16"/>
                <w:szCs w:val="16"/>
                <w:lang w:eastAsia="es-MX"/>
              </w:rPr>
              <w:t xml:space="preserve"> limited or ad hoc integration.</w:t>
            </w:r>
          </w:p>
        </w:tc>
      </w:tr>
      <w:tr w:rsidR="00407FA7" w:rsidRPr="00F91404" w14:paraId="31187486" w14:textId="77777777" w:rsidTr="007F009A">
        <w:trPr>
          <w:trHeight w:val="739"/>
        </w:trPr>
        <w:tc>
          <w:tcPr>
            <w:tcW w:w="807" w:type="pct"/>
            <w:vMerge w:val="restart"/>
            <w:tcBorders>
              <w:top w:val="dashed" w:sz="4" w:space="0" w:color="808080" w:themeColor="background1" w:themeShade="80"/>
            </w:tcBorders>
            <w:shd w:val="clear" w:color="auto" w:fill="F2F2F2" w:themeFill="background1" w:themeFillShade="F2"/>
            <w:vAlign w:val="center"/>
            <w:hideMark/>
          </w:tcPr>
          <w:p w14:paraId="141656A3"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Institutional arrangements</w:t>
            </w:r>
          </w:p>
        </w:tc>
        <w:tc>
          <w:tcPr>
            <w:tcW w:w="953" w:type="pct"/>
            <w:tcBorders>
              <w:top w:val="dashed" w:sz="4" w:space="0" w:color="808080" w:themeColor="background1" w:themeShade="80"/>
            </w:tcBorders>
            <w:vAlign w:val="center"/>
            <w:hideMark/>
          </w:tcPr>
          <w:p w14:paraId="380655A0"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Institutional leadership for hydrogen development</w:t>
            </w:r>
          </w:p>
        </w:tc>
        <w:tc>
          <w:tcPr>
            <w:tcW w:w="1620" w:type="pct"/>
            <w:tcBorders>
              <w:top w:val="dashed" w:sz="4" w:space="0" w:color="808080" w:themeColor="background1" w:themeShade="80"/>
            </w:tcBorders>
            <w:vAlign w:val="center"/>
            <w:hideMark/>
          </w:tcPr>
          <w:p w14:paraId="660FAD9E" w14:textId="26A3392E" w:rsidR="00407FA7" w:rsidRPr="00F91404" w:rsidRDefault="007D6867" w:rsidP="007F009A">
            <w:pPr>
              <w:suppressAutoHyphens/>
              <w:spacing w:before="40" w:after="40"/>
              <w:ind w:left="0"/>
              <w:rPr>
                <w:rFonts w:ascii="Arial" w:eastAsia="Times New Roman" w:hAnsi="Arial" w:cs="Arial"/>
                <w:color w:val="000000"/>
                <w:sz w:val="16"/>
                <w:szCs w:val="16"/>
                <w:lang w:eastAsia="es-MX"/>
              </w:rPr>
            </w:pPr>
            <w:r w:rsidRPr="00F91404">
              <w:rPr>
                <w:rFonts w:ascii="Arial" w:eastAsia="Times New Roman" w:hAnsi="Arial" w:cs="Arial"/>
                <w:color w:val="000000"/>
                <w:sz w:val="16"/>
                <w:szCs w:val="16"/>
                <w:lang w:eastAsia="es-MX"/>
              </w:rPr>
              <w:t xml:space="preserve">The type of public institution that leads hydrogen development </w:t>
            </w:r>
            <w:r w:rsidR="00D64301" w:rsidRPr="00F91404">
              <w:rPr>
                <w:rFonts w:ascii="Arial" w:eastAsia="Times New Roman" w:hAnsi="Arial" w:cs="Arial"/>
                <w:color w:val="000000"/>
                <w:sz w:val="16"/>
                <w:szCs w:val="16"/>
                <w:lang w:eastAsia="es-MX"/>
              </w:rPr>
              <w:t>and where hydrogen is institutionally anchored within government (e.g.</w:t>
            </w:r>
            <w:r w:rsidRPr="00F91404">
              <w:rPr>
                <w:rFonts w:ascii="Arial" w:eastAsia="Times New Roman" w:hAnsi="Arial" w:cs="Arial"/>
                <w:color w:val="000000"/>
                <w:sz w:val="16"/>
                <w:szCs w:val="16"/>
                <w:lang w:eastAsia="es-MX"/>
              </w:rPr>
              <w:t xml:space="preserve"> energy-focused, economy/industry-focused, technology/innovation-focused, </w:t>
            </w:r>
            <w:r w:rsidR="00D64301" w:rsidRPr="00F91404">
              <w:rPr>
                <w:rFonts w:ascii="Arial" w:eastAsia="Times New Roman" w:hAnsi="Arial" w:cs="Arial"/>
                <w:color w:val="000000"/>
                <w:sz w:val="16"/>
                <w:szCs w:val="16"/>
                <w:lang w:eastAsia="es-MX"/>
              </w:rPr>
              <w:t>central planning-led, or hybrid models).</w:t>
            </w:r>
          </w:p>
        </w:tc>
        <w:tc>
          <w:tcPr>
            <w:tcW w:w="1620" w:type="pct"/>
            <w:tcBorders>
              <w:top w:val="dashed" w:sz="4" w:space="0" w:color="808080" w:themeColor="background1" w:themeShade="80"/>
            </w:tcBorders>
            <w:vAlign w:val="center"/>
            <w:hideMark/>
          </w:tcPr>
          <w:p w14:paraId="63A7E603" w14:textId="11A1A6A6" w:rsidR="009D407E" w:rsidRPr="00F91404" w:rsidRDefault="009D407E"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Energy-led</w:t>
            </w:r>
          </w:p>
          <w:p w14:paraId="394FE735" w14:textId="37AD3D3C" w:rsidR="009D407E" w:rsidRPr="00F91404" w:rsidRDefault="009D407E"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Economy / industry-led</w:t>
            </w:r>
          </w:p>
          <w:p w14:paraId="5C0ABF48" w14:textId="654D0097" w:rsidR="009D407E" w:rsidRPr="00F91404" w:rsidRDefault="009D407E"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Technology / innovation-led</w:t>
            </w:r>
          </w:p>
          <w:p w14:paraId="2971162E" w14:textId="248B3153" w:rsidR="009D407E" w:rsidRPr="00F91404" w:rsidRDefault="009D407E"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Central planning / state-led</w:t>
            </w:r>
          </w:p>
          <w:p w14:paraId="02848615" w14:textId="726CB7FA" w:rsidR="00407FA7" w:rsidRPr="00F91404" w:rsidRDefault="009D407E"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Hybrid model (e.g. energy–industry, federal–state)</w:t>
            </w:r>
          </w:p>
        </w:tc>
      </w:tr>
      <w:tr w:rsidR="00407FA7" w:rsidRPr="00F91404" w14:paraId="55191A53" w14:textId="77777777" w:rsidTr="007F009A">
        <w:trPr>
          <w:trHeight w:val="746"/>
        </w:trPr>
        <w:tc>
          <w:tcPr>
            <w:tcW w:w="807" w:type="pct"/>
            <w:vMerge/>
            <w:tcBorders>
              <w:bottom w:val="dashed" w:sz="4" w:space="0" w:color="808080" w:themeColor="background1" w:themeShade="80"/>
            </w:tcBorders>
            <w:shd w:val="clear" w:color="auto" w:fill="F2F2F2" w:themeFill="background1" w:themeFillShade="F2"/>
            <w:vAlign w:val="center"/>
            <w:hideMark/>
          </w:tcPr>
          <w:p w14:paraId="123B088F" w14:textId="77777777" w:rsidR="00407FA7" w:rsidRPr="00F91404" w:rsidRDefault="00407FA7" w:rsidP="007F009A">
            <w:pPr>
              <w:suppressAutoHyphens/>
              <w:spacing w:before="40" w:after="40"/>
              <w:ind w:left="0"/>
              <w:rPr>
                <w:rFonts w:ascii="Arial" w:eastAsia="Times New Roman" w:hAnsi="Arial" w:cs="Arial"/>
                <w:b/>
                <w:color w:val="000000"/>
                <w:sz w:val="18"/>
                <w:szCs w:val="18"/>
                <w:lang w:eastAsia="es-MX"/>
              </w:rPr>
            </w:pPr>
          </w:p>
        </w:tc>
        <w:tc>
          <w:tcPr>
            <w:tcW w:w="953" w:type="pct"/>
            <w:tcBorders>
              <w:bottom w:val="dashed" w:sz="4" w:space="0" w:color="808080" w:themeColor="background1" w:themeShade="80"/>
            </w:tcBorders>
            <w:shd w:val="clear" w:color="auto" w:fill="E0F1DF" w:themeFill="accent2" w:themeFillTint="33"/>
            <w:vAlign w:val="center"/>
            <w:hideMark/>
          </w:tcPr>
          <w:p w14:paraId="7DC41230"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Inter-institutional coordination</w:t>
            </w:r>
          </w:p>
        </w:tc>
        <w:tc>
          <w:tcPr>
            <w:tcW w:w="1620" w:type="pct"/>
            <w:tcBorders>
              <w:bottom w:val="dashed" w:sz="4" w:space="0" w:color="808080" w:themeColor="background1" w:themeShade="80"/>
            </w:tcBorders>
            <w:shd w:val="clear" w:color="auto" w:fill="E0F1DF" w:themeFill="accent2" w:themeFillTint="33"/>
            <w:vAlign w:val="center"/>
            <w:hideMark/>
          </w:tcPr>
          <w:p w14:paraId="65FABD23" w14:textId="77777777" w:rsidR="00407FA7" w:rsidRPr="00F91404" w:rsidRDefault="00407FA7" w:rsidP="007F009A">
            <w:pPr>
              <w:suppressAutoHyphens/>
              <w:spacing w:before="40" w:after="40"/>
              <w:ind w:left="0"/>
              <w:rPr>
                <w:rFonts w:ascii="Arial" w:eastAsia="Times New Roman" w:hAnsi="Arial" w:cs="Arial"/>
                <w:color w:val="000000"/>
                <w:sz w:val="16"/>
                <w:szCs w:val="16"/>
                <w:lang w:eastAsia="es-MX"/>
              </w:rPr>
            </w:pPr>
            <w:r w:rsidRPr="00F91404">
              <w:rPr>
                <w:rFonts w:ascii="Arial" w:eastAsia="Times New Roman" w:hAnsi="Arial" w:cs="Arial"/>
                <w:color w:val="000000"/>
                <w:sz w:val="16"/>
                <w:szCs w:val="16"/>
                <w:lang w:eastAsia="es-MX"/>
              </w:rPr>
              <w:t>Existence and effectiveness of coordination mechanisms across ministries, regulators and levels of government involved in hydrogen development.</w:t>
            </w:r>
          </w:p>
        </w:tc>
        <w:tc>
          <w:tcPr>
            <w:tcW w:w="1620" w:type="pct"/>
            <w:tcBorders>
              <w:bottom w:val="dashed" w:sz="4" w:space="0" w:color="808080" w:themeColor="background1" w:themeShade="80"/>
            </w:tcBorders>
            <w:shd w:val="clear" w:color="auto" w:fill="E0F1DF" w:themeFill="accent2" w:themeFillTint="33"/>
            <w:vAlign w:val="center"/>
            <w:hideMark/>
          </w:tcPr>
          <w:p w14:paraId="5F36D1BD" w14:textId="77777777" w:rsidR="00407FA7" w:rsidRPr="00F91404" w:rsidRDefault="00407FA7"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High:</w:t>
            </w:r>
            <w:r w:rsidRPr="00F91404">
              <w:rPr>
                <w:rFonts w:ascii="Arial" w:eastAsia="Times New Roman" w:hAnsi="Arial" w:cs="Arial"/>
                <w:color w:val="000000"/>
                <w:sz w:val="16"/>
                <w:szCs w:val="16"/>
                <w:lang w:eastAsia="es-MX"/>
              </w:rPr>
              <w:t xml:space="preserve"> formal coordination mechanisms in place</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Medium:</w:t>
            </w:r>
            <w:r w:rsidRPr="00F91404">
              <w:rPr>
                <w:rFonts w:ascii="Arial" w:eastAsia="Times New Roman" w:hAnsi="Arial" w:cs="Arial"/>
                <w:color w:val="000000"/>
                <w:sz w:val="16"/>
                <w:szCs w:val="16"/>
                <w:lang w:eastAsia="es-MX"/>
              </w:rPr>
              <w:t xml:space="preserve"> coordination occurs but is informal or ad hoc</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Low:</w:t>
            </w:r>
            <w:r w:rsidRPr="00F91404">
              <w:rPr>
                <w:rFonts w:ascii="Arial" w:eastAsia="Times New Roman" w:hAnsi="Arial" w:cs="Arial"/>
                <w:color w:val="000000"/>
                <w:sz w:val="16"/>
                <w:szCs w:val="16"/>
                <w:lang w:eastAsia="es-MX"/>
              </w:rPr>
              <w:t xml:space="preserve"> limited coordination.</w:t>
            </w:r>
          </w:p>
        </w:tc>
      </w:tr>
      <w:tr w:rsidR="00407FA7" w:rsidRPr="00F91404" w14:paraId="05BA505A" w14:textId="77777777" w:rsidTr="007F009A">
        <w:trPr>
          <w:trHeight w:val="746"/>
        </w:trPr>
        <w:tc>
          <w:tcPr>
            <w:tcW w:w="807" w:type="pct"/>
            <w:tcBorders>
              <w:top w:val="dashed" w:sz="4" w:space="0" w:color="808080" w:themeColor="background1" w:themeShade="80"/>
              <w:bottom w:val="dashed" w:sz="4" w:space="0" w:color="808080" w:themeColor="background1" w:themeShade="80"/>
            </w:tcBorders>
            <w:shd w:val="clear" w:color="auto" w:fill="F2F2F2" w:themeFill="background1" w:themeFillShade="F2"/>
            <w:vAlign w:val="center"/>
            <w:hideMark/>
          </w:tcPr>
          <w:p w14:paraId="3F13B3C0"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Implementation capacity</w:t>
            </w:r>
          </w:p>
        </w:tc>
        <w:tc>
          <w:tcPr>
            <w:tcW w:w="953" w:type="pct"/>
            <w:tcBorders>
              <w:top w:val="dashed" w:sz="4" w:space="0" w:color="808080" w:themeColor="background1" w:themeShade="80"/>
              <w:bottom w:val="dashed" w:sz="4" w:space="0" w:color="808080" w:themeColor="background1" w:themeShade="80"/>
            </w:tcBorders>
            <w:vAlign w:val="center"/>
            <w:hideMark/>
          </w:tcPr>
          <w:p w14:paraId="71E39F2B"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Oversight, monitoring and evaluation</w:t>
            </w:r>
          </w:p>
        </w:tc>
        <w:tc>
          <w:tcPr>
            <w:tcW w:w="1620" w:type="pct"/>
            <w:tcBorders>
              <w:top w:val="dashed" w:sz="4" w:space="0" w:color="808080" w:themeColor="background1" w:themeShade="80"/>
              <w:bottom w:val="dashed" w:sz="4" w:space="0" w:color="808080" w:themeColor="background1" w:themeShade="80"/>
            </w:tcBorders>
            <w:vAlign w:val="center"/>
            <w:hideMark/>
          </w:tcPr>
          <w:p w14:paraId="445E2D55" w14:textId="77777777" w:rsidR="00407FA7" w:rsidRPr="00F91404" w:rsidRDefault="00407FA7" w:rsidP="007F009A">
            <w:pPr>
              <w:suppressAutoHyphens/>
              <w:spacing w:before="40" w:after="40"/>
              <w:ind w:left="0"/>
              <w:rPr>
                <w:rFonts w:ascii="Arial" w:eastAsia="Times New Roman" w:hAnsi="Arial" w:cs="Arial"/>
                <w:color w:val="000000"/>
                <w:sz w:val="16"/>
                <w:szCs w:val="16"/>
                <w:lang w:eastAsia="es-MX"/>
              </w:rPr>
            </w:pPr>
            <w:r w:rsidRPr="00F91404">
              <w:rPr>
                <w:rFonts w:ascii="Arial" w:eastAsia="Times New Roman" w:hAnsi="Arial" w:cs="Arial"/>
                <w:color w:val="000000"/>
                <w:sz w:val="16"/>
                <w:szCs w:val="16"/>
                <w:lang w:eastAsia="es-MX"/>
              </w:rPr>
              <w:t>Presence of mechanisms to monitor implementation, track progress and review outcomes of hydrogen-related policies and programmes.</w:t>
            </w:r>
          </w:p>
        </w:tc>
        <w:tc>
          <w:tcPr>
            <w:tcW w:w="1620" w:type="pct"/>
            <w:tcBorders>
              <w:top w:val="dashed" w:sz="4" w:space="0" w:color="808080" w:themeColor="background1" w:themeShade="80"/>
              <w:bottom w:val="dashed" w:sz="4" w:space="0" w:color="808080" w:themeColor="background1" w:themeShade="80"/>
            </w:tcBorders>
            <w:vAlign w:val="center"/>
            <w:hideMark/>
          </w:tcPr>
          <w:p w14:paraId="6BFDE154" w14:textId="77777777" w:rsidR="00407FA7" w:rsidRPr="00F91404" w:rsidRDefault="00407FA7"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High:</w:t>
            </w:r>
            <w:r w:rsidRPr="00F91404">
              <w:rPr>
                <w:rFonts w:ascii="Arial" w:eastAsia="Times New Roman" w:hAnsi="Arial" w:cs="Arial"/>
                <w:color w:val="000000"/>
                <w:sz w:val="16"/>
                <w:szCs w:val="16"/>
                <w:lang w:eastAsia="es-MX"/>
              </w:rPr>
              <w:t xml:space="preserve"> structured monitoring and reporting frameworks</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Medium:</w:t>
            </w:r>
            <w:r w:rsidRPr="00F91404">
              <w:rPr>
                <w:rFonts w:ascii="Arial" w:eastAsia="Times New Roman" w:hAnsi="Arial" w:cs="Arial"/>
                <w:color w:val="000000"/>
                <w:sz w:val="16"/>
                <w:szCs w:val="16"/>
                <w:lang w:eastAsia="es-MX"/>
              </w:rPr>
              <w:t xml:space="preserve"> programme-level monitoring only</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Low:</w:t>
            </w:r>
            <w:r w:rsidRPr="00F91404">
              <w:rPr>
                <w:rFonts w:ascii="Arial" w:eastAsia="Times New Roman" w:hAnsi="Arial" w:cs="Arial"/>
                <w:color w:val="000000"/>
                <w:sz w:val="16"/>
                <w:szCs w:val="16"/>
                <w:lang w:eastAsia="es-MX"/>
              </w:rPr>
              <w:t xml:space="preserve"> limited or no systematic monitoring.</w:t>
            </w:r>
          </w:p>
        </w:tc>
      </w:tr>
      <w:tr w:rsidR="00407FA7" w:rsidRPr="00F91404" w14:paraId="72AE824B" w14:textId="77777777" w:rsidTr="007F009A">
        <w:trPr>
          <w:trHeight w:val="574"/>
        </w:trPr>
        <w:tc>
          <w:tcPr>
            <w:tcW w:w="807" w:type="pct"/>
            <w:tcBorders>
              <w:top w:val="dashed" w:sz="4" w:space="0" w:color="808080" w:themeColor="background1" w:themeShade="80"/>
              <w:bottom w:val="dashed" w:sz="4" w:space="0" w:color="808080" w:themeColor="background1" w:themeShade="80"/>
            </w:tcBorders>
            <w:shd w:val="clear" w:color="auto" w:fill="F2F2F2" w:themeFill="background1" w:themeFillShade="F2"/>
            <w:vAlign w:val="center"/>
            <w:hideMark/>
          </w:tcPr>
          <w:p w14:paraId="57A9317C"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Stakeholder engagement</w:t>
            </w:r>
          </w:p>
        </w:tc>
        <w:tc>
          <w:tcPr>
            <w:tcW w:w="953" w:type="pct"/>
            <w:tcBorders>
              <w:top w:val="dashed" w:sz="4" w:space="0" w:color="808080" w:themeColor="background1" w:themeShade="80"/>
              <w:bottom w:val="dashed" w:sz="4" w:space="0" w:color="808080" w:themeColor="background1" w:themeShade="80"/>
            </w:tcBorders>
            <w:shd w:val="clear" w:color="auto" w:fill="E0F1DF" w:themeFill="accent2" w:themeFillTint="33"/>
            <w:vAlign w:val="center"/>
            <w:hideMark/>
          </w:tcPr>
          <w:p w14:paraId="10DC4302"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Stakeholder participation</w:t>
            </w:r>
          </w:p>
        </w:tc>
        <w:tc>
          <w:tcPr>
            <w:tcW w:w="1620" w:type="pct"/>
            <w:tcBorders>
              <w:top w:val="dashed" w:sz="4" w:space="0" w:color="808080" w:themeColor="background1" w:themeShade="80"/>
              <w:bottom w:val="dashed" w:sz="4" w:space="0" w:color="808080" w:themeColor="background1" w:themeShade="80"/>
            </w:tcBorders>
            <w:shd w:val="clear" w:color="auto" w:fill="E0F1DF" w:themeFill="accent2" w:themeFillTint="33"/>
            <w:vAlign w:val="center"/>
            <w:hideMark/>
          </w:tcPr>
          <w:p w14:paraId="6D0358D9" w14:textId="77777777" w:rsidR="00407FA7" w:rsidRPr="00F91404" w:rsidRDefault="00407FA7" w:rsidP="007F009A">
            <w:pPr>
              <w:suppressAutoHyphens/>
              <w:spacing w:before="40" w:after="40"/>
              <w:ind w:left="0"/>
              <w:rPr>
                <w:rFonts w:ascii="Arial" w:eastAsia="Times New Roman" w:hAnsi="Arial" w:cs="Arial"/>
                <w:color w:val="000000"/>
                <w:sz w:val="16"/>
                <w:szCs w:val="16"/>
                <w:lang w:eastAsia="es-MX"/>
              </w:rPr>
            </w:pPr>
            <w:r w:rsidRPr="00F91404">
              <w:rPr>
                <w:rFonts w:ascii="Arial" w:eastAsia="Times New Roman" w:hAnsi="Arial" w:cs="Arial"/>
                <w:color w:val="000000"/>
                <w:sz w:val="16"/>
                <w:szCs w:val="16"/>
                <w:lang w:eastAsia="es-MX"/>
              </w:rPr>
              <w:t>Degree of structured engagement with industry, academia, research institutions, civil society and local communities in hydrogen policy development and delivery.</w:t>
            </w:r>
          </w:p>
        </w:tc>
        <w:tc>
          <w:tcPr>
            <w:tcW w:w="1620" w:type="pct"/>
            <w:tcBorders>
              <w:top w:val="dashed" w:sz="4" w:space="0" w:color="808080" w:themeColor="background1" w:themeShade="80"/>
              <w:bottom w:val="dashed" w:sz="4" w:space="0" w:color="808080" w:themeColor="background1" w:themeShade="80"/>
            </w:tcBorders>
            <w:shd w:val="clear" w:color="auto" w:fill="E0F1DF" w:themeFill="accent2" w:themeFillTint="33"/>
            <w:vAlign w:val="center"/>
            <w:hideMark/>
          </w:tcPr>
          <w:p w14:paraId="347474B8" w14:textId="77777777" w:rsidR="00407FA7" w:rsidRPr="00F91404" w:rsidRDefault="00407FA7"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High:</w:t>
            </w:r>
            <w:r w:rsidRPr="00F91404">
              <w:rPr>
                <w:rFonts w:ascii="Arial" w:eastAsia="Times New Roman" w:hAnsi="Arial" w:cs="Arial"/>
                <w:color w:val="000000"/>
                <w:sz w:val="16"/>
                <w:szCs w:val="16"/>
                <w:lang w:eastAsia="es-MX"/>
              </w:rPr>
              <w:t xml:space="preserve"> strong, ongoing engagement</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Medium:</w:t>
            </w:r>
            <w:r w:rsidRPr="00F91404">
              <w:rPr>
                <w:rFonts w:ascii="Arial" w:eastAsia="Times New Roman" w:hAnsi="Arial" w:cs="Arial"/>
                <w:color w:val="000000"/>
                <w:sz w:val="16"/>
                <w:szCs w:val="16"/>
                <w:lang w:eastAsia="es-MX"/>
              </w:rPr>
              <w:t xml:space="preserve"> consultation at specific stages</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Low:</w:t>
            </w:r>
            <w:r w:rsidRPr="00F91404">
              <w:rPr>
                <w:rFonts w:ascii="Arial" w:eastAsia="Times New Roman" w:hAnsi="Arial" w:cs="Arial"/>
                <w:color w:val="000000"/>
                <w:sz w:val="16"/>
                <w:szCs w:val="16"/>
                <w:lang w:eastAsia="es-MX"/>
              </w:rPr>
              <w:t xml:space="preserve"> limited engagement.</w:t>
            </w:r>
          </w:p>
        </w:tc>
      </w:tr>
      <w:tr w:rsidR="00407FA7" w:rsidRPr="00F91404" w14:paraId="3B10DD76" w14:textId="77777777" w:rsidTr="007F009A">
        <w:trPr>
          <w:trHeight w:val="595"/>
        </w:trPr>
        <w:tc>
          <w:tcPr>
            <w:tcW w:w="807" w:type="pct"/>
            <w:tcBorders>
              <w:top w:val="dashed" w:sz="4" w:space="0" w:color="808080" w:themeColor="background1" w:themeShade="80"/>
              <w:bottom w:val="dashed" w:sz="4" w:space="0" w:color="808080" w:themeColor="background1" w:themeShade="80"/>
            </w:tcBorders>
            <w:shd w:val="clear" w:color="auto" w:fill="F2F2F2" w:themeFill="background1" w:themeFillShade="F2"/>
            <w:vAlign w:val="center"/>
            <w:hideMark/>
          </w:tcPr>
          <w:p w14:paraId="2BC97414"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External engagement</w:t>
            </w:r>
          </w:p>
        </w:tc>
        <w:tc>
          <w:tcPr>
            <w:tcW w:w="953" w:type="pct"/>
            <w:tcBorders>
              <w:top w:val="dashed" w:sz="4" w:space="0" w:color="808080" w:themeColor="background1" w:themeShade="80"/>
              <w:bottom w:val="dashed" w:sz="4" w:space="0" w:color="808080" w:themeColor="background1" w:themeShade="80"/>
            </w:tcBorders>
            <w:vAlign w:val="center"/>
            <w:hideMark/>
          </w:tcPr>
          <w:p w14:paraId="6A76EE6B" w14:textId="77777777" w:rsidR="00407FA7" w:rsidRPr="00F91404" w:rsidRDefault="00407FA7" w:rsidP="007F009A">
            <w:pPr>
              <w:suppressAutoHyphens/>
              <w:spacing w:before="40" w:after="40"/>
              <w:ind w:left="0"/>
              <w:jc w:val="center"/>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International cooperation</w:t>
            </w:r>
          </w:p>
        </w:tc>
        <w:tc>
          <w:tcPr>
            <w:tcW w:w="1620" w:type="pct"/>
            <w:tcBorders>
              <w:top w:val="dashed" w:sz="4" w:space="0" w:color="808080" w:themeColor="background1" w:themeShade="80"/>
              <w:bottom w:val="dashed" w:sz="4" w:space="0" w:color="808080" w:themeColor="background1" w:themeShade="80"/>
            </w:tcBorders>
            <w:vAlign w:val="center"/>
            <w:hideMark/>
          </w:tcPr>
          <w:p w14:paraId="6FA55FD3" w14:textId="77777777" w:rsidR="00407FA7" w:rsidRPr="00F91404" w:rsidRDefault="00407FA7" w:rsidP="007F009A">
            <w:pPr>
              <w:suppressAutoHyphens/>
              <w:spacing w:before="40" w:after="40"/>
              <w:ind w:left="0"/>
              <w:rPr>
                <w:rFonts w:ascii="Arial" w:eastAsia="Times New Roman" w:hAnsi="Arial" w:cs="Arial"/>
                <w:color w:val="000000"/>
                <w:sz w:val="16"/>
                <w:szCs w:val="16"/>
                <w:lang w:eastAsia="es-MX"/>
              </w:rPr>
            </w:pPr>
            <w:r w:rsidRPr="00F91404">
              <w:rPr>
                <w:rFonts w:ascii="Arial" w:eastAsia="Times New Roman" w:hAnsi="Arial" w:cs="Arial"/>
                <w:color w:val="000000"/>
                <w:sz w:val="16"/>
                <w:szCs w:val="16"/>
                <w:lang w:eastAsia="es-MX"/>
              </w:rPr>
              <w:t>Extent of participation in bilateral, regional or multilateral hydrogen cooperation frameworks that support learning, trade or deployment.</w:t>
            </w:r>
          </w:p>
        </w:tc>
        <w:tc>
          <w:tcPr>
            <w:tcW w:w="1620" w:type="pct"/>
            <w:tcBorders>
              <w:top w:val="dashed" w:sz="4" w:space="0" w:color="808080" w:themeColor="background1" w:themeShade="80"/>
              <w:bottom w:val="dashed" w:sz="4" w:space="0" w:color="808080" w:themeColor="background1" w:themeShade="80"/>
            </w:tcBorders>
            <w:vAlign w:val="center"/>
            <w:hideMark/>
          </w:tcPr>
          <w:p w14:paraId="365A2381" w14:textId="77777777" w:rsidR="00407FA7" w:rsidRPr="00F91404" w:rsidRDefault="00407FA7" w:rsidP="007F009A">
            <w:pPr>
              <w:suppressAutoHyphens/>
              <w:spacing w:before="40" w:after="40"/>
              <w:ind w:left="0"/>
              <w:rPr>
                <w:rFonts w:ascii="Arial" w:eastAsia="Times New Roman" w:hAnsi="Arial" w:cs="Arial"/>
                <w:b/>
                <w:color w:val="000000"/>
                <w:sz w:val="16"/>
                <w:szCs w:val="16"/>
                <w:lang w:eastAsia="es-MX"/>
              </w:rPr>
            </w:pPr>
            <w:r w:rsidRPr="00F91404">
              <w:rPr>
                <w:rFonts w:ascii="Arial" w:eastAsia="Times New Roman" w:hAnsi="Arial" w:cs="Arial"/>
                <w:b/>
                <w:color w:val="000000"/>
                <w:sz w:val="16"/>
                <w:szCs w:val="16"/>
                <w:lang w:eastAsia="es-MX"/>
              </w:rPr>
              <w:t>High:</w:t>
            </w:r>
            <w:r w:rsidRPr="00F91404">
              <w:rPr>
                <w:rFonts w:ascii="Arial" w:eastAsia="Times New Roman" w:hAnsi="Arial" w:cs="Arial"/>
                <w:color w:val="000000"/>
                <w:sz w:val="16"/>
                <w:szCs w:val="16"/>
                <w:lang w:eastAsia="es-MX"/>
              </w:rPr>
              <w:t xml:space="preserve"> active participation in structured cooperation frameworks</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Medium:</w:t>
            </w:r>
            <w:r w:rsidRPr="00F91404">
              <w:rPr>
                <w:rFonts w:ascii="Arial" w:eastAsia="Times New Roman" w:hAnsi="Arial" w:cs="Arial"/>
                <w:color w:val="000000"/>
                <w:sz w:val="16"/>
                <w:szCs w:val="16"/>
                <w:lang w:eastAsia="es-MX"/>
              </w:rPr>
              <w:t xml:space="preserve"> selective bilateral engagement</w:t>
            </w:r>
            <w:r w:rsidRPr="00F91404">
              <w:rPr>
                <w:rFonts w:ascii="Arial" w:eastAsia="Times New Roman" w:hAnsi="Arial" w:cs="Arial"/>
                <w:color w:val="000000"/>
                <w:sz w:val="16"/>
                <w:szCs w:val="16"/>
                <w:lang w:eastAsia="es-MX"/>
              </w:rPr>
              <w:br/>
            </w:r>
            <w:r w:rsidRPr="00F91404">
              <w:rPr>
                <w:rFonts w:ascii="Arial" w:eastAsia="Times New Roman" w:hAnsi="Arial" w:cs="Arial"/>
                <w:b/>
                <w:color w:val="000000"/>
                <w:sz w:val="16"/>
                <w:szCs w:val="16"/>
                <w:lang w:eastAsia="es-MX"/>
              </w:rPr>
              <w:t>Low:</w:t>
            </w:r>
            <w:r w:rsidRPr="00F91404">
              <w:rPr>
                <w:rFonts w:ascii="Arial" w:eastAsia="Times New Roman" w:hAnsi="Arial" w:cs="Arial"/>
                <w:color w:val="000000"/>
                <w:sz w:val="16"/>
                <w:szCs w:val="16"/>
                <w:lang w:eastAsia="es-MX"/>
              </w:rPr>
              <w:t xml:space="preserve"> limited cooperation.</w:t>
            </w:r>
          </w:p>
        </w:tc>
      </w:tr>
    </w:tbl>
    <w:p w14:paraId="13C0A08F" w14:textId="77777777" w:rsidR="00520871" w:rsidRPr="00F91404" w:rsidRDefault="00520871" w:rsidP="00507A8C">
      <w:pPr>
        <w:ind w:left="0"/>
      </w:pPr>
    </w:p>
    <w:p w14:paraId="6AA4342F" w14:textId="489C7AA1" w:rsidR="00E20E9F" w:rsidRPr="00F91404" w:rsidRDefault="00E20E9F" w:rsidP="00E20E9F">
      <w:pPr>
        <w:spacing w:line="276" w:lineRule="auto"/>
        <w:jc w:val="center"/>
        <w:rPr>
          <w:sz w:val="20"/>
          <w:szCs w:val="24"/>
        </w:rPr>
      </w:pPr>
      <w:r w:rsidRPr="00F91404">
        <w:rPr>
          <w:rFonts w:cstheme="minorHAnsi"/>
          <w:b/>
          <w:sz w:val="18"/>
          <w:szCs w:val="18"/>
        </w:rPr>
        <w:lastRenderedPageBreak/>
        <w:t>Table 4. Governance and Institutional Arrangements Analysis</w:t>
      </w:r>
    </w:p>
    <w:tbl>
      <w:tblPr>
        <w:tblW w:w="5147" w:type="pct"/>
        <w:tblInd w:w="-142" w:type="dxa"/>
        <w:tblCellMar>
          <w:left w:w="70" w:type="dxa"/>
          <w:right w:w="70" w:type="dxa"/>
        </w:tblCellMar>
        <w:tblLook w:val="04A0" w:firstRow="1" w:lastRow="0" w:firstColumn="1" w:lastColumn="0" w:noHBand="0" w:noVBand="1"/>
      </w:tblPr>
      <w:tblGrid>
        <w:gridCol w:w="623"/>
        <w:gridCol w:w="1512"/>
        <w:gridCol w:w="1018"/>
        <w:gridCol w:w="1609"/>
        <w:gridCol w:w="1054"/>
        <w:gridCol w:w="994"/>
        <w:gridCol w:w="1278"/>
        <w:gridCol w:w="1834"/>
      </w:tblGrid>
      <w:tr w:rsidR="00FD4AF3" w:rsidRPr="00F91404" w14:paraId="4540B436" w14:textId="77777777" w:rsidTr="00077B1D">
        <w:trPr>
          <w:cantSplit/>
          <w:trHeight w:val="1843"/>
        </w:trPr>
        <w:tc>
          <w:tcPr>
            <w:tcW w:w="314" w:type="pct"/>
            <w:tcBorders>
              <w:top w:val="nil"/>
              <w:left w:val="nil"/>
              <w:bottom w:val="dashed" w:sz="4" w:space="0" w:color="004C43"/>
              <w:right w:val="single" w:sz="2" w:space="0" w:color="004C43"/>
            </w:tcBorders>
            <w:vAlign w:val="center"/>
            <w:hideMark/>
          </w:tcPr>
          <w:p w14:paraId="053A9FF4" w14:textId="77777777" w:rsidR="0001320B" w:rsidRPr="00F91404" w:rsidRDefault="0001320B" w:rsidP="0001320B">
            <w:pPr>
              <w:spacing w:after="0"/>
              <w:ind w:left="0"/>
              <w:rPr>
                <w:rFonts w:ascii="Times New Roman" w:eastAsia="Times New Roman" w:hAnsi="Times New Roman" w:cs="Times New Roman"/>
                <w:sz w:val="18"/>
                <w:szCs w:val="18"/>
                <w:lang w:eastAsia="es-MX"/>
              </w:rPr>
            </w:pPr>
          </w:p>
        </w:tc>
        <w:tc>
          <w:tcPr>
            <w:tcW w:w="762" w:type="pct"/>
            <w:tcBorders>
              <w:top w:val="single" w:sz="2" w:space="0" w:color="004C43"/>
              <w:left w:val="single" w:sz="2" w:space="0" w:color="004C43"/>
              <w:bottom w:val="single" w:sz="2" w:space="0" w:color="004C43"/>
              <w:right w:val="single" w:sz="4" w:space="0" w:color="FFFFFF" w:themeColor="background1"/>
            </w:tcBorders>
            <w:shd w:val="clear" w:color="auto" w:fill="004C43" w:themeFill="accent1"/>
            <w:textDirection w:val="btLr"/>
            <w:vAlign w:val="center"/>
            <w:hideMark/>
          </w:tcPr>
          <w:p w14:paraId="3516FC07" w14:textId="77777777" w:rsidR="0001320B" w:rsidRPr="00F91404" w:rsidRDefault="0001320B" w:rsidP="00D92BEF">
            <w:pPr>
              <w:suppressAutoHyphens/>
              <w:spacing w:after="0"/>
              <w:ind w:left="113" w:right="113"/>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National hydrogen policy / strategy</w:t>
            </w:r>
          </w:p>
        </w:tc>
        <w:tc>
          <w:tcPr>
            <w:tcW w:w="513" w:type="pct"/>
            <w:tcBorders>
              <w:top w:val="single" w:sz="2" w:space="0" w:color="004C43"/>
              <w:left w:val="single" w:sz="4" w:space="0" w:color="FFFFFF" w:themeColor="background1"/>
              <w:bottom w:val="single" w:sz="2" w:space="0" w:color="004C43"/>
              <w:right w:val="single" w:sz="4" w:space="0" w:color="FFFFFF" w:themeColor="background1"/>
            </w:tcBorders>
            <w:shd w:val="clear" w:color="auto" w:fill="004C43" w:themeFill="accent1"/>
            <w:textDirection w:val="btLr"/>
            <w:vAlign w:val="center"/>
            <w:hideMark/>
          </w:tcPr>
          <w:p w14:paraId="4DCF6EB6" w14:textId="77777777" w:rsidR="0001320B" w:rsidRPr="00F91404" w:rsidRDefault="0001320B" w:rsidP="00D92BEF">
            <w:pPr>
              <w:suppressAutoHyphens/>
              <w:spacing w:after="0"/>
              <w:ind w:left="113" w:right="113"/>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Integration into energy, climate and industrial policy</w:t>
            </w:r>
          </w:p>
        </w:tc>
        <w:tc>
          <w:tcPr>
            <w:tcW w:w="811" w:type="pct"/>
            <w:tcBorders>
              <w:top w:val="single" w:sz="2" w:space="0" w:color="004C43"/>
              <w:left w:val="single" w:sz="4" w:space="0" w:color="FFFFFF" w:themeColor="background1"/>
              <w:bottom w:val="single" w:sz="2" w:space="0" w:color="004C43"/>
              <w:right w:val="single" w:sz="4" w:space="0" w:color="FFFFFF" w:themeColor="background1"/>
            </w:tcBorders>
            <w:shd w:val="clear" w:color="auto" w:fill="004C43" w:themeFill="accent1"/>
            <w:textDirection w:val="btLr"/>
            <w:vAlign w:val="center"/>
            <w:hideMark/>
          </w:tcPr>
          <w:p w14:paraId="29D7119D" w14:textId="77777777" w:rsidR="0001320B" w:rsidRPr="00F91404" w:rsidRDefault="0001320B" w:rsidP="00D92BEF">
            <w:pPr>
              <w:suppressAutoHyphens/>
              <w:spacing w:after="0"/>
              <w:ind w:left="113" w:right="113"/>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Institutional Leadership for Hydrogen Development</w:t>
            </w:r>
          </w:p>
        </w:tc>
        <w:tc>
          <w:tcPr>
            <w:tcW w:w="531" w:type="pct"/>
            <w:tcBorders>
              <w:top w:val="single" w:sz="2" w:space="0" w:color="004C43"/>
              <w:left w:val="single" w:sz="4" w:space="0" w:color="FFFFFF" w:themeColor="background1"/>
              <w:bottom w:val="single" w:sz="2" w:space="0" w:color="004C43"/>
              <w:right w:val="single" w:sz="4" w:space="0" w:color="FFFFFF" w:themeColor="background1"/>
            </w:tcBorders>
            <w:shd w:val="clear" w:color="auto" w:fill="004C43" w:themeFill="accent1"/>
            <w:textDirection w:val="btLr"/>
            <w:vAlign w:val="center"/>
            <w:hideMark/>
          </w:tcPr>
          <w:p w14:paraId="3ACB712D" w14:textId="77777777" w:rsidR="0001320B" w:rsidRPr="00F91404" w:rsidRDefault="0001320B" w:rsidP="00D92BEF">
            <w:pPr>
              <w:suppressAutoHyphens/>
              <w:spacing w:after="0"/>
              <w:ind w:left="113" w:right="113"/>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Inter-institutional coordination</w:t>
            </w:r>
          </w:p>
        </w:tc>
        <w:tc>
          <w:tcPr>
            <w:tcW w:w="501" w:type="pct"/>
            <w:tcBorders>
              <w:top w:val="single" w:sz="2" w:space="0" w:color="004C43"/>
              <w:left w:val="single" w:sz="4" w:space="0" w:color="FFFFFF" w:themeColor="background1"/>
              <w:bottom w:val="single" w:sz="2" w:space="0" w:color="004C43"/>
              <w:right w:val="single" w:sz="4" w:space="0" w:color="FFFFFF" w:themeColor="background1"/>
            </w:tcBorders>
            <w:shd w:val="clear" w:color="auto" w:fill="004C43" w:themeFill="accent1"/>
            <w:textDirection w:val="btLr"/>
            <w:vAlign w:val="center"/>
            <w:hideMark/>
          </w:tcPr>
          <w:p w14:paraId="29C1AD95" w14:textId="77777777" w:rsidR="0001320B" w:rsidRPr="00F91404" w:rsidRDefault="0001320B" w:rsidP="00D92BEF">
            <w:pPr>
              <w:suppressAutoHyphens/>
              <w:spacing w:after="0"/>
              <w:ind w:left="113" w:right="113"/>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Oversight, monitoring and evaluation</w:t>
            </w:r>
          </w:p>
        </w:tc>
        <w:tc>
          <w:tcPr>
            <w:tcW w:w="644" w:type="pct"/>
            <w:tcBorders>
              <w:top w:val="single" w:sz="2" w:space="0" w:color="004C43"/>
              <w:left w:val="single" w:sz="4" w:space="0" w:color="FFFFFF" w:themeColor="background1"/>
              <w:bottom w:val="single" w:sz="2" w:space="0" w:color="004C43"/>
              <w:right w:val="single" w:sz="4" w:space="0" w:color="FFFFFF" w:themeColor="background1"/>
            </w:tcBorders>
            <w:shd w:val="clear" w:color="auto" w:fill="004C43" w:themeFill="accent1"/>
            <w:textDirection w:val="btLr"/>
            <w:vAlign w:val="center"/>
            <w:hideMark/>
          </w:tcPr>
          <w:p w14:paraId="062CE5A1" w14:textId="77777777" w:rsidR="0001320B" w:rsidRPr="00F91404" w:rsidRDefault="0001320B" w:rsidP="00D92BEF">
            <w:pPr>
              <w:suppressAutoHyphens/>
              <w:spacing w:after="0"/>
              <w:ind w:left="113" w:right="113"/>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Stakeholder participation</w:t>
            </w:r>
          </w:p>
        </w:tc>
        <w:tc>
          <w:tcPr>
            <w:tcW w:w="924" w:type="pct"/>
            <w:tcBorders>
              <w:top w:val="single" w:sz="2" w:space="0" w:color="004C43"/>
              <w:left w:val="single" w:sz="4" w:space="0" w:color="FFFFFF" w:themeColor="background1"/>
              <w:bottom w:val="single" w:sz="2" w:space="0" w:color="004C43"/>
            </w:tcBorders>
            <w:shd w:val="clear" w:color="auto" w:fill="004C43" w:themeFill="accent1"/>
            <w:textDirection w:val="btLr"/>
            <w:vAlign w:val="center"/>
            <w:hideMark/>
          </w:tcPr>
          <w:p w14:paraId="03720352" w14:textId="77777777" w:rsidR="0001320B" w:rsidRPr="00F91404" w:rsidRDefault="0001320B" w:rsidP="00D92BEF">
            <w:pPr>
              <w:suppressAutoHyphens/>
              <w:spacing w:after="0"/>
              <w:ind w:left="113" w:right="113"/>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International cooperation</w:t>
            </w:r>
          </w:p>
        </w:tc>
      </w:tr>
      <w:tr w:rsidR="008B2721" w:rsidRPr="00F91404" w14:paraId="13965A0F" w14:textId="77777777" w:rsidTr="00077B1D">
        <w:trPr>
          <w:cantSplit/>
          <w:trHeight w:val="940"/>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5E4E67F6" w14:textId="77777777" w:rsidR="0001320B" w:rsidRPr="00F91404" w:rsidRDefault="0001320B" w:rsidP="00EB31F0">
            <w:pPr>
              <w:suppressAutoHyphens/>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Germany</w:t>
            </w:r>
          </w:p>
        </w:tc>
        <w:tc>
          <w:tcPr>
            <w:tcW w:w="762" w:type="pct"/>
            <w:tcBorders>
              <w:top w:val="single" w:sz="2" w:space="0" w:color="004C43"/>
              <w:left w:val="single" w:sz="2" w:space="0" w:color="004C43"/>
              <w:bottom w:val="dashed" w:sz="4" w:space="0" w:color="808080"/>
              <w:right w:val="single" w:sz="4" w:space="0" w:color="004C43" w:themeColor="accent1"/>
            </w:tcBorders>
            <w:vAlign w:val="center"/>
            <w:hideMark/>
          </w:tcPr>
          <w:p w14:paraId="00F73B3D"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National Hydrogen Strategy</w:t>
            </w:r>
          </w:p>
        </w:tc>
        <w:tc>
          <w:tcPr>
            <w:tcW w:w="513" w:type="pct"/>
            <w:tcBorders>
              <w:top w:val="single" w:sz="2" w:space="0" w:color="004C43"/>
              <w:left w:val="single" w:sz="4" w:space="0" w:color="004C43" w:themeColor="accent1"/>
              <w:bottom w:val="dashed" w:sz="4" w:space="0" w:color="808080"/>
              <w:right w:val="single" w:sz="4" w:space="0" w:color="004C43" w:themeColor="accent1"/>
            </w:tcBorders>
            <w:vAlign w:val="center"/>
            <w:hideMark/>
          </w:tcPr>
          <w:p w14:paraId="27A831BC"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811" w:type="pct"/>
            <w:tcBorders>
              <w:top w:val="single" w:sz="2" w:space="0" w:color="004C43"/>
              <w:left w:val="single" w:sz="4" w:space="0" w:color="004C43" w:themeColor="accent1"/>
              <w:bottom w:val="dashed" w:sz="4" w:space="0" w:color="808080"/>
              <w:right w:val="single" w:sz="4" w:space="0" w:color="004C43" w:themeColor="accent1"/>
            </w:tcBorders>
            <w:vAlign w:val="center"/>
            <w:hideMark/>
          </w:tcPr>
          <w:p w14:paraId="7A88B0F7" w14:textId="6919B3F1" w:rsidR="0001320B" w:rsidRPr="00F91404" w:rsidRDefault="00586EC1"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Hybrid: energy and industry-led</w:t>
            </w:r>
          </w:p>
        </w:tc>
        <w:tc>
          <w:tcPr>
            <w:tcW w:w="531" w:type="pct"/>
            <w:tcBorders>
              <w:top w:val="single" w:sz="2" w:space="0" w:color="004C43"/>
              <w:left w:val="single" w:sz="4" w:space="0" w:color="004C43" w:themeColor="accent1"/>
              <w:bottom w:val="dashed" w:sz="4" w:space="0" w:color="808080"/>
              <w:right w:val="single" w:sz="4" w:space="0" w:color="004C43" w:themeColor="accent1"/>
            </w:tcBorders>
            <w:vAlign w:val="center"/>
            <w:hideMark/>
          </w:tcPr>
          <w:p w14:paraId="68F9FDDC"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501" w:type="pct"/>
            <w:tcBorders>
              <w:top w:val="single" w:sz="2" w:space="0" w:color="004C43"/>
              <w:left w:val="single" w:sz="4" w:space="0" w:color="004C43" w:themeColor="accent1"/>
              <w:bottom w:val="dashed" w:sz="4" w:space="0" w:color="808080"/>
              <w:right w:val="single" w:sz="4" w:space="0" w:color="004C43" w:themeColor="accent1"/>
            </w:tcBorders>
            <w:vAlign w:val="center"/>
            <w:hideMark/>
          </w:tcPr>
          <w:p w14:paraId="598CC866"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644" w:type="pct"/>
            <w:tcBorders>
              <w:top w:val="single" w:sz="2" w:space="0" w:color="004C43"/>
              <w:left w:val="single" w:sz="4" w:space="0" w:color="004C43" w:themeColor="accent1"/>
              <w:bottom w:val="dashed" w:sz="4" w:space="0" w:color="808080"/>
              <w:right w:val="single" w:sz="4" w:space="0" w:color="004C43" w:themeColor="accent1"/>
            </w:tcBorders>
            <w:vAlign w:val="center"/>
            <w:hideMark/>
          </w:tcPr>
          <w:p w14:paraId="08F0C4FA" w14:textId="77777777" w:rsidR="0001320B" w:rsidRPr="00F91404" w:rsidRDefault="0001320B" w:rsidP="00EB31F0">
            <w:pPr>
              <w:suppressAutoHyphens/>
              <w:spacing w:after="0"/>
              <w:ind w:left="0"/>
              <w:rPr>
                <w:rFonts w:ascii="Aptos Narrow" w:eastAsia="Times New Roman" w:hAnsi="Aptos Narrow" w:cs="Times New Roman"/>
                <w:b/>
                <w:bCs/>
                <w:color w:val="000000"/>
                <w:sz w:val="18"/>
                <w:szCs w:val="18"/>
                <w:lang w:eastAsia="es-MX"/>
              </w:rPr>
            </w:pPr>
            <w:r w:rsidRPr="00F91404">
              <w:rPr>
                <w:rFonts w:ascii="Aptos Narrow" w:eastAsia="Times New Roman" w:hAnsi="Aptos Narrow" w:cs="Times New Roman"/>
                <w:b/>
                <w:bCs/>
                <w:color w:val="000000"/>
                <w:sz w:val="18"/>
                <w:szCs w:val="18"/>
                <w:lang w:eastAsia="es-MX"/>
              </w:rPr>
              <w:t>Strong industry and research engagement</w:t>
            </w:r>
          </w:p>
        </w:tc>
        <w:tc>
          <w:tcPr>
            <w:tcW w:w="924" w:type="pct"/>
            <w:tcBorders>
              <w:top w:val="single" w:sz="2" w:space="0" w:color="004C43"/>
              <w:left w:val="single" w:sz="4" w:space="0" w:color="004C43" w:themeColor="accent1"/>
              <w:bottom w:val="dashed" w:sz="4" w:space="0" w:color="808080"/>
            </w:tcBorders>
            <w:vAlign w:val="center"/>
            <w:hideMark/>
          </w:tcPr>
          <w:p w14:paraId="17C16F15"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 – EU frameworks and bilateral EU partnerships</w:t>
            </w:r>
          </w:p>
        </w:tc>
      </w:tr>
      <w:tr w:rsidR="00FD4AF3" w:rsidRPr="00F91404" w14:paraId="3BE340D3" w14:textId="77777777" w:rsidTr="00077B1D">
        <w:trPr>
          <w:cantSplit/>
          <w:trHeight w:val="1128"/>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0A09A095" w14:textId="77777777" w:rsidR="0001320B" w:rsidRPr="00F91404" w:rsidRDefault="0001320B" w:rsidP="00EB31F0">
            <w:pPr>
              <w:suppressAutoHyphens/>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Netherlands</w:t>
            </w:r>
          </w:p>
        </w:tc>
        <w:tc>
          <w:tcPr>
            <w:tcW w:w="762" w:type="pct"/>
            <w:tcBorders>
              <w:top w:val="dashed" w:sz="4" w:space="0" w:color="808080"/>
              <w:left w:val="single" w:sz="2" w:space="0" w:color="004C43"/>
              <w:bottom w:val="dashed" w:sz="4" w:space="0" w:color="808080"/>
              <w:right w:val="single" w:sz="4" w:space="0" w:color="004C43" w:themeColor="accent1"/>
            </w:tcBorders>
            <w:shd w:val="clear" w:color="auto" w:fill="E0F1DF" w:themeFill="accent2" w:themeFillTint="33"/>
            <w:vAlign w:val="center"/>
            <w:hideMark/>
          </w:tcPr>
          <w:p w14:paraId="2E623146"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National Hydrogen Strategy</w:t>
            </w:r>
          </w:p>
        </w:tc>
        <w:tc>
          <w:tcPr>
            <w:tcW w:w="513"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0809064D"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81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5D437078" w14:textId="1A192282" w:rsidR="0001320B" w:rsidRPr="00F91404" w:rsidRDefault="000E7464"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Energy and infrastructure-led</w:t>
            </w:r>
          </w:p>
        </w:tc>
        <w:tc>
          <w:tcPr>
            <w:tcW w:w="53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7F3E83C8"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50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1C5287D8"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644"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25322A6F" w14:textId="77777777" w:rsidR="0001320B" w:rsidRPr="00F91404" w:rsidRDefault="0001320B" w:rsidP="00EB31F0">
            <w:pPr>
              <w:suppressAutoHyphens/>
              <w:spacing w:after="0"/>
              <w:ind w:left="0"/>
              <w:rPr>
                <w:rFonts w:ascii="Aptos Narrow" w:eastAsia="Times New Roman" w:hAnsi="Aptos Narrow" w:cs="Times New Roman"/>
                <w:b/>
                <w:bCs/>
                <w:color w:val="000000"/>
                <w:sz w:val="18"/>
                <w:szCs w:val="18"/>
                <w:lang w:eastAsia="es-MX"/>
              </w:rPr>
            </w:pPr>
            <w:r w:rsidRPr="00F91404">
              <w:rPr>
                <w:rFonts w:ascii="Aptos Narrow" w:eastAsia="Times New Roman" w:hAnsi="Aptos Narrow" w:cs="Times New Roman"/>
                <w:b/>
                <w:bCs/>
                <w:color w:val="000000"/>
                <w:sz w:val="18"/>
                <w:szCs w:val="18"/>
                <w:lang w:eastAsia="es-MX"/>
              </w:rPr>
              <w:t>Strong industry and port authority engagement</w:t>
            </w:r>
          </w:p>
        </w:tc>
        <w:tc>
          <w:tcPr>
            <w:tcW w:w="924" w:type="pct"/>
            <w:tcBorders>
              <w:top w:val="dashed" w:sz="4" w:space="0" w:color="808080"/>
              <w:left w:val="single" w:sz="4" w:space="0" w:color="004C43" w:themeColor="accent1"/>
              <w:bottom w:val="dashed" w:sz="4" w:space="0" w:color="808080"/>
            </w:tcBorders>
            <w:shd w:val="clear" w:color="auto" w:fill="E0F1DF" w:themeFill="accent2" w:themeFillTint="33"/>
            <w:vAlign w:val="center"/>
            <w:hideMark/>
          </w:tcPr>
          <w:p w14:paraId="1092AA4F"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 – EU frameworks and North Sea cooperation</w:t>
            </w:r>
          </w:p>
        </w:tc>
      </w:tr>
      <w:tr w:rsidR="008B2721" w:rsidRPr="00F91404" w14:paraId="1253F4D3" w14:textId="77777777" w:rsidTr="00077B1D">
        <w:trPr>
          <w:cantSplit/>
          <w:trHeight w:val="997"/>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183ABCB1" w14:textId="77777777" w:rsidR="0001320B" w:rsidRPr="00F91404" w:rsidRDefault="0001320B" w:rsidP="00EB31F0">
            <w:pPr>
              <w:suppressAutoHyphens/>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United Kingdom</w:t>
            </w:r>
          </w:p>
        </w:tc>
        <w:tc>
          <w:tcPr>
            <w:tcW w:w="762" w:type="pct"/>
            <w:tcBorders>
              <w:top w:val="dashed" w:sz="4" w:space="0" w:color="808080"/>
              <w:left w:val="single" w:sz="2" w:space="0" w:color="004C43"/>
              <w:bottom w:val="dashed" w:sz="4" w:space="0" w:color="808080"/>
              <w:right w:val="single" w:sz="4" w:space="0" w:color="004C43" w:themeColor="accent1"/>
            </w:tcBorders>
            <w:vAlign w:val="center"/>
            <w:hideMark/>
          </w:tcPr>
          <w:p w14:paraId="20658435"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UK Hydrogen Strategy</w:t>
            </w:r>
          </w:p>
        </w:tc>
        <w:tc>
          <w:tcPr>
            <w:tcW w:w="513"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718D97AE"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81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6000D16A" w14:textId="7F33E019" w:rsidR="0001320B" w:rsidRPr="00F91404" w:rsidRDefault="000E7464"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Energy-led with delivery focus</w:t>
            </w:r>
          </w:p>
        </w:tc>
        <w:tc>
          <w:tcPr>
            <w:tcW w:w="53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1A6EBC3B"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50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2537EC6A"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644"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6D757533" w14:textId="77777777" w:rsidR="0001320B" w:rsidRPr="00F91404" w:rsidRDefault="0001320B" w:rsidP="00EB31F0">
            <w:pPr>
              <w:suppressAutoHyphens/>
              <w:spacing w:after="0"/>
              <w:ind w:left="0"/>
              <w:rPr>
                <w:rFonts w:ascii="Aptos Narrow" w:eastAsia="Times New Roman" w:hAnsi="Aptos Narrow" w:cs="Times New Roman"/>
                <w:b/>
                <w:bCs/>
                <w:color w:val="000000"/>
                <w:sz w:val="18"/>
                <w:szCs w:val="18"/>
                <w:lang w:eastAsia="es-MX"/>
              </w:rPr>
            </w:pPr>
            <w:r w:rsidRPr="00F91404">
              <w:rPr>
                <w:rFonts w:ascii="Aptos Narrow" w:eastAsia="Times New Roman" w:hAnsi="Aptos Narrow" w:cs="Times New Roman"/>
                <w:b/>
                <w:bCs/>
                <w:color w:val="000000"/>
                <w:sz w:val="18"/>
                <w:szCs w:val="18"/>
                <w:lang w:eastAsia="es-MX"/>
              </w:rPr>
              <w:t>Industry clusters and academic engagement</w:t>
            </w:r>
          </w:p>
        </w:tc>
        <w:tc>
          <w:tcPr>
            <w:tcW w:w="924" w:type="pct"/>
            <w:tcBorders>
              <w:top w:val="dashed" w:sz="4" w:space="0" w:color="808080"/>
              <w:left w:val="single" w:sz="4" w:space="0" w:color="004C43" w:themeColor="accent1"/>
              <w:bottom w:val="dashed" w:sz="4" w:space="0" w:color="808080"/>
            </w:tcBorders>
            <w:vAlign w:val="center"/>
            <w:hideMark/>
          </w:tcPr>
          <w:p w14:paraId="4E1E056F"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 – EU, North Sea and US cooperation</w:t>
            </w:r>
          </w:p>
        </w:tc>
      </w:tr>
      <w:tr w:rsidR="00FD4AF3" w:rsidRPr="00F91404" w14:paraId="619465A7" w14:textId="77777777" w:rsidTr="00077B1D">
        <w:trPr>
          <w:cantSplit/>
          <w:trHeight w:val="972"/>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39E40903" w14:textId="77777777" w:rsidR="0001320B" w:rsidRPr="00F91404" w:rsidRDefault="0001320B" w:rsidP="00EB31F0">
            <w:pPr>
              <w:suppressAutoHyphens/>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Japan</w:t>
            </w:r>
          </w:p>
        </w:tc>
        <w:tc>
          <w:tcPr>
            <w:tcW w:w="762" w:type="pct"/>
            <w:tcBorders>
              <w:top w:val="dashed" w:sz="4" w:space="0" w:color="808080"/>
              <w:left w:val="single" w:sz="2" w:space="0" w:color="004C43"/>
              <w:bottom w:val="dashed" w:sz="4" w:space="0" w:color="808080"/>
              <w:right w:val="single" w:sz="4" w:space="0" w:color="004C43" w:themeColor="accent1"/>
            </w:tcBorders>
            <w:shd w:val="clear" w:color="auto" w:fill="E0F1DF" w:themeFill="accent2" w:themeFillTint="33"/>
            <w:vAlign w:val="center"/>
            <w:hideMark/>
          </w:tcPr>
          <w:p w14:paraId="7C3A8111"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Hydrogen Strategy</w:t>
            </w:r>
          </w:p>
        </w:tc>
        <w:tc>
          <w:tcPr>
            <w:tcW w:w="513"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6B76663B"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81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383CC56B" w14:textId="50B76A7F" w:rsidR="0001320B" w:rsidRPr="00F91404" w:rsidRDefault="000E7464"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Economy and trade-led</w:t>
            </w:r>
          </w:p>
        </w:tc>
        <w:tc>
          <w:tcPr>
            <w:tcW w:w="53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0E6E6793"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50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3C8833BE"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644"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5035C27C" w14:textId="77777777" w:rsidR="0001320B" w:rsidRPr="00F91404" w:rsidRDefault="0001320B" w:rsidP="00EB31F0">
            <w:pPr>
              <w:suppressAutoHyphens/>
              <w:spacing w:after="0"/>
              <w:ind w:left="0"/>
              <w:rPr>
                <w:rFonts w:ascii="Aptos Narrow" w:eastAsia="Times New Roman" w:hAnsi="Aptos Narrow" w:cs="Times New Roman"/>
                <w:b/>
                <w:color w:val="000000"/>
                <w:sz w:val="18"/>
                <w:szCs w:val="18"/>
                <w:lang w:eastAsia="es-MX"/>
              </w:rPr>
            </w:pPr>
            <w:r w:rsidRPr="00F91404">
              <w:rPr>
                <w:rFonts w:ascii="Aptos Narrow" w:eastAsia="Times New Roman" w:hAnsi="Aptos Narrow" w:cs="Times New Roman"/>
                <w:b/>
                <w:color w:val="000000"/>
                <w:sz w:val="18"/>
                <w:szCs w:val="18"/>
                <w:lang w:eastAsia="es-MX"/>
              </w:rPr>
              <w:t>Industry-led participation</w:t>
            </w:r>
          </w:p>
        </w:tc>
        <w:tc>
          <w:tcPr>
            <w:tcW w:w="924" w:type="pct"/>
            <w:tcBorders>
              <w:top w:val="dashed" w:sz="4" w:space="0" w:color="808080"/>
              <w:left w:val="single" w:sz="4" w:space="0" w:color="004C43" w:themeColor="accent1"/>
              <w:bottom w:val="dashed" w:sz="4" w:space="0" w:color="808080"/>
            </w:tcBorders>
            <w:shd w:val="clear" w:color="auto" w:fill="E0F1DF" w:themeFill="accent2" w:themeFillTint="33"/>
            <w:vAlign w:val="center"/>
            <w:hideMark/>
          </w:tcPr>
          <w:p w14:paraId="3972ED4F"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 – supply-chain partnerships (Australia, Middle East)</w:t>
            </w:r>
          </w:p>
        </w:tc>
      </w:tr>
      <w:tr w:rsidR="008B2721" w:rsidRPr="00F91404" w14:paraId="5BF063B5" w14:textId="77777777" w:rsidTr="00077B1D">
        <w:trPr>
          <w:cantSplit/>
          <w:trHeight w:val="973"/>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150C9C00" w14:textId="77777777" w:rsidR="0001320B" w:rsidRPr="00F91404" w:rsidRDefault="0001320B" w:rsidP="00EB31F0">
            <w:pPr>
              <w:suppressAutoHyphens/>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Australia</w:t>
            </w:r>
          </w:p>
        </w:tc>
        <w:tc>
          <w:tcPr>
            <w:tcW w:w="762" w:type="pct"/>
            <w:tcBorders>
              <w:top w:val="nil"/>
              <w:left w:val="single" w:sz="2" w:space="0" w:color="004C43"/>
              <w:bottom w:val="dashed" w:sz="4" w:space="0" w:color="808080"/>
              <w:right w:val="single" w:sz="4" w:space="0" w:color="004C43" w:themeColor="accent1"/>
            </w:tcBorders>
            <w:vAlign w:val="center"/>
            <w:hideMark/>
          </w:tcPr>
          <w:p w14:paraId="1FC967CC"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National Hydrogen Strategy</w:t>
            </w:r>
          </w:p>
        </w:tc>
        <w:tc>
          <w:tcPr>
            <w:tcW w:w="513"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0C9FAEA4"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Medium–High</w:t>
            </w:r>
          </w:p>
        </w:tc>
        <w:tc>
          <w:tcPr>
            <w:tcW w:w="81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64FB7F86" w14:textId="4786DAC3" w:rsidR="0001320B" w:rsidRPr="00F91404" w:rsidRDefault="00B90CE8"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Hybrid: federal–state, energy and industry-led</w:t>
            </w:r>
          </w:p>
        </w:tc>
        <w:tc>
          <w:tcPr>
            <w:tcW w:w="53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1F582F7E"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w:t>
            </w:r>
          </w:p>
        </w:tc>
        <w:tc>
          <w:tcPr>
            <w:tcW w:w="50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1522B943"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w:t>
            </w:r>
          </w:p>
        </w:tc>
        <w:tc>
          <w:tcPr>
            <w:tcW w:w="644"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7029F390" w14:textId="77777777" w:rsidR="0001320B" w:rsidRPr="00F91404" w:rsidRDefault="0001320B" w:rsidP="00EB31F0">
            <w:pPr>
              <w:suppressAutoHyphens/>
              <w:spacing w:after="0"/>
              <w:ind w:left="0"/>
              <w:rPr>
                <w:rFonts w:ascii="Aptos Narrow" w:eastAsia="Times New Roman" w:hAnsi="Aptos Narrow" w:cs="Times New Roman"/>
                <w:b/>
                <w:color w:val="000000"/>
                <w:sz w:val="18"/>
                <w:szCs w:val="18"/>
                <w:lang w:eastAsia="es-MX"/>
              </w:rPr>
            </w:pPr>
            <w:r w:rsidRPr="00F91404">
              <w:rPr>
                <w:rFonts w:ascii="Aptos Narrow" w:eastAsia="Times New Roman" w:hAnsi="Aptos Narrow" w:cs="Times New Roman"/>
                <w:b/>
                <w:color w:val="000000"/>
                <w:sz w:val="18"/>
                <w:szCs w:val="18"/>
                <w:lang w:eastAsia="es-MX"/>
              </w:rPr>
              <w:t>Industry-led hub participation</w:t>
            </w:r>
          </w:p>
        </w:tc>
        <w:tc>
          <w:tcPr>
            <w:tcW w:w="924" w:type="pct"/>
            <w:tcBorders>
              <w:top w:val="dashed" w:sz="4" w:space="0" w:color="808080"/>
              <w:left w:val="single" w:sz="4" w:space="0" w:color="004C43" w:themeColor="accent1"/>
              <w:bottom w:val="dashed" w:sz="4" w:space="0" w:color="808080"/>
            </w:tcBorders>
            <w:vAlign w:val="center"/>
            <w:hideMark/>
          </w:tcPr>
          <w:p w14:paraId="1471CC4F"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 – export partnerships (Japan, Korea, EU)</w:t>
            </w:r>
          </w:p>
        </w:tc>
      </w:tr>
      <w:tr w:rsidR="00FD4AF3" w:rsidRPr="00F91404" w14:paraId="22F9BE01" w14:textId="77777777" w:rsidTr="00077B1D">
        <w:trPr>
          <w:cantSplit/>
          <w:trHeight w:val="1140"/>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302E0C2B" w14:textId="77777777" w:rsidR="0001320B" w:rsidRPr="00F91404" w:rsidRDefault="0001320B" w:rsidP="00EB31F0">
            <w:pPr>
              <w:suppressAutoHyphens/>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South Korea</w:t>
            </w:r>
          </w:p>
        </w:tc>
        <w:tc>
          <w:tcPr>
            <w:tcW w:w="762" w:type="pct"/>
            <w:tcBorders>
              <w:top w:val="dashed" w:sz="4" w:space="0" w:color="808080"/>
              <w:left w:val="single" w:sz="2" w:space="0" w:color="004C43"/>
              <w:bottom w:val="dashed" w:sz="4" w:space="0" w:color="808080"/>
              <w:right w:val="single" w:sz="4" w:space="0" w:color="004C43" w:themeColor="accent1"/>
            </w:tcBorders>
            <w:shd w:val="clear" w:color="auto" w:fill="E0F1DF" w:themeFill="accent2" w:themeFillTint="33"/>
            <w:vAlign w:val="center"/>
            <w:hideMark/>
          </w:tcPr>
          <w:p w14:paraId="7195994C"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Hydrogen Economy Roadmap</w:t>
            </w:r>
          </w:p>
        </w:tc>
        <w:tc>
          <w:tcPr>
            <w:tcW w:w="513"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1326E3FC"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81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5604F943" w14:textId="18186D9D" w:rsidR="0001320B" w:rsidRPr="00F91404" w:rsidRDefault="00377F43"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Industry and energy-led (legislated)</w:t>
            </w:r>
          </w:p>
        </w:tc>
        <w:tc>
          <w:tcPr>
            <w:tcW w:w="53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17DB5A75"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50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5529E92F"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644"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43E39022" w14:textId="77777777" w:rsidR="0001320B" w:rsidRPr="00F91404" w:rsidRDefault="0001320B" w:rsidP="00EB31F0">
            <w:pPr>
              <w:suppressAutoHyphens/>
              <w:spacing w:after="0"/>
              <w:ind w:left="0"/>
              <w:rPr>
                <w:rFonts w:ascii="Aptos Narrow" w:eastAsia="Times New Roman" w:hAnsi="Aptos Narrow" w:cs="Times New Roman"/>
                <w:b/>
                <w:bCs/>
                <w:color w:val="000000"/>
                <w:sz w:val="18"/>
                <w:szCs w:val="18"/>
                <w:lang w:eastAsia="es-MX"/>
              </w:rPr>
            </w:pPr>
            <w:r w:rsidRPr="00F91404">
              <w:rPr>
                <w:rFonts w:ascii="Aptos Narrow" w:eastAsia="Times New Roman" w:hAnsi="Aptos Narrow" w:cs="Times New Roman"/>
                <w:b/>
                <w:bCs/>
                <w:color w:val="000000"/>
                <w:sz w:val="18"/>
                <w:szCs w:val="18"/>
                <w:lang w:eastAsia="es-MX"/>
              </w:rPr>
              <w:t>Industry participation via power sector</w:t>
            </w:r>
          </w:p>
        </w:tc>
        <w:tc>
          <w:tcPr>
            <w:tcW w:w="924" w:type="pct"/>
            <w:tcBorders>
              <w:top w:val="dashed" w:sz="4" w:space="0" w:color="808080"/>
              <w:left w:val="single" w:sz="4" w:space="0" w:color="004C43" w:themeColor="accent1"/>
              <w:bottom w:val="dashed" w:sz="4" w:space="0" w:color="808080"/>
            </w:tcBorders>
            <w:shd w:val="clear" w:color="auto" w:fill="E0F1DF" w:themeFill="accent2" w:themeFillTint="33"/>
            <w:vAlign w:val="center"/>
            <w:hideMark/>
          </w:tcPr>
          <w:p w14:paraId="0C1D3CF3"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Medium–High – Asia-Pacific bilateral cooperation</w:t>
            </w:r>
          </w:p>
        </w:tc>
      </w:tr>
      <w:tr w:rsidR="008B2721" w:rsidRPr="00F91404" w14:paraId="5404DFFC" w14:textId="77777777" w:rsidTr="00077B1D">
        <w:trPr>
          <w:cantSplit/>
          <w:trHeight w:val="1140"/>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61FAE05D" w14:textId="77777777" w:rsidR="0001320B" w:rsidRPr="00F91404" w:rsidRDefault="0001320B" w:rsidP="00EB31F0">
            <w:pPr>
              <w:suppressAutoHyphens/>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China</w:t>
            </w:r>
          </w:p>
        </w:tc>
        <w:tc>
          <w:tcPr>
            <w:tcW w:w="762" w:type="pct"/>
            <w:tcBorders>
              <w:top w:val="dashed" w:sz="4" w:space="0" w:color="808080"/>
              <w:left w:val="single" w:sz="2" w:space="0" w:color="004C43"/>
              <w:bottom w:val="dashed" w:sz="4" w:space="0" w:color="808080"/>
              <w:right w:val="single" w:sz="4" w:space="0" w:color="004C43" w:themeColor="accent1"/>
            </w:tcBorders>
            <w:vAlign w:val="center"/>
            <w:hideMark/>
          </w:tcPr>
          <w:p w14:paraId="707E2BDF"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national planning guidance</w:t>
            </w:r>
          </w:p>
        </w:tc>
        <w:tc>
          <w:tcPr>
            <w:tcW w:w="513"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3365ECEB"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81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683EC437" w14:textId="6313A55E" w:rsidR="0001320B" w:rsidRPr="00F91404" w:rsidRDefault="0001320B" w:rsidP="00EB31F0">
            <w:pPr>
              <w:suppressAutoHyphens/>
              <w:spacing w:after="0"/>
              <w:ind w:left="0"/>
              <w:jc w:val="center"/>
              <w:rPr>
                <w:rFonts w:ascii="Aptos Narrow" w:eastAsia="Times New Roman" w:hAnsi="Aptos Narrow" w:cs="Times New Roman"/>
                <w:b/>
                <w:bCs/>
                <w:color w:val="000000"/>
                <w:sz w:val="18"/>
                <w:szCs w:val="18"/>
                <w:lang w:eastAsia="es-MX"/>
              </w:rPr>
            </w:pPr>
            <w:r w:rsidRPr="00F91404">
              <w:rPr>
                <w:rFonts w:ascii="Aptos Narrow" w:eastAsia="Times New Roman" w:hAnsi="Aptos Narrow" w:cs="Times New Roman"/>
                <w:b/>
                <w:bCs/>
                <w:color w:val="000000"/>
                <w:sz w:val="18"/>
                <w:szCs w:val="18"/>
                <w:lang w:eastAsia="es-MX"/>
              </w:rPr>
              <w:t xml:space="preserve">Central planning and </w:t>
            </w:r>
            <w:r w:rsidR="00377F43" w:rsidRPr="00F91404">
              <w:rPr>
                <w:rFonts w:ascii="Aptos Narrow" w:eastAsia="Times New Roman" w:hAnsi="Aptos Narrow" w:cs="Times New Roman"/>
                <w:b/>
                <w:color w:val="000000"/>
                <w:sz w:val="18"/>
                <w:szCs w:val="18"/>
                <w:lang w:eastAsia="es-MX"/>
              </w:rPr>
              <w:t>state-led</w:t>
            </w:r>
          </w:p>
        </w:tc>
        <w:tc>
          <w:tcPr>
            <w:tcW w:w="53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4AFA71CF"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High</w:t>
            </w:r>
          </w:p>
        </w:tc>
        <w:tc>
          <w:tcPr>
            <w:tcW w:w="50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04ECE766"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Medium–High</w:t>
            </w:r>
          </w:p>
        </w:tc>
        <w:tc>
          <w:tcPr>
            <w:tcW w:w="644"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0F75D553" w14:textId="77777777" w:rsidR="0001320B" w:rsidRPr="00F91404" w:rsidRDefault="0001320B" w:rsidP="00EB31F0">
            <w:pPr>
              <w:suppressAutoHyphens/>
              <w:spacing w:after="0"/>
              <w:ind w:left="0"/>
              <w:rPr>
                <w:rFonts w:ascii="Aptos Narrow" w:eastAsia="Times New Roman" w:hAnsi="Aptos Narrow" w:cs="Times New Roman"/>
                <w:b/>
                <w:color w:val="000000"/>
                <w:sz w:val="18"/>
                <w:szCs w:val="18"/>
                <w:lang w:eastAsia="es-MX"/>
              </w:rPr>
            </w:pPr>
            <w:r w:rsidRPr="00F91404">
              <w:rPr>
                <w:rFonts w:ascii="Aptos Narrow" w:eastAsia="Times New Roman" w:hAnsi="Aptos Narrow" w:cs="Times New Roman"/>
                <w:b/>
                <w:color w:val="000000"/>
                <w:sz w:val="18"/>
                <w:szCs w:val="18"/>
                <w:lang w:eastAsia="es-MX"/>
              </w:rPr>
              <w:t>State-led industrial participation</w:t>
            </w:r>
          </w:p>
        </w:tc>
        <w:tc>
          <w:tcPr>
            <w:tcW w:w="924" w:type="pct"/>
            <w:tcBorders>
              <w:top w:val="dashed" w:sz="4" w:space="0" w:color="808080"/>
              <w:left w:val="single" w:sz="4" w:space="0" w:color="004C43" w:themeColor="accent1"/>
              <w:bottom w:val="dashed" w:sz="4" w:space="0" w:color="808080"/>
            </w:tcBorders>
            <w:vAlign w:val="center"/>
            <w:hideMark/>
          </w:tcPr>
          <w:p w14:paraId="36859D81"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Low – selective bilateral cooperation</w:t>
            </w:r>
          </w:p>
        </w:tc>
      </w:tr>
      <w:tr w:rsidR="00FD4AF3" w:rsidRPr="00F91404" w14:paraId="6993E4AE" w14:textId="77777777" w:rsidTr="00077B1D">
        <w:trPr>
          <w:cantSplit/>
          <w:trHeight w:val="960"/>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5A119E10" w14:textId="77777777" w:rsidR="0001320B" w:rsidRPr="00F91404" w:rsidRDefault="0001320B" w:rsidP="00EB31F0">
            <w:pPr>
              <w:suppressAutoHyphens/>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India</w:t>
            </w:r>
          </w:p>
        </w:tc>
        <w:tc>
          <w:tcPr>
            <w:tcW w:w="762" w:type="pct"/>
            <w:tcBorders>
              <w:top w:val="dashed" w:sz="4" w:space="0" w:color="808080"/>
              <w:left w:val="single" w:sz="2" w:space="0" w:color="004C43"/>
              <w:bottom w:val="dashed" w:sz="4" w:space="0" w:color="808080"/>
              <w:right w:val="single" w:sz="4" w:space="0" w:color="004C43" w:themeColor="accent1"/>
            </w:tcBorders>
            <w:shd w:val="clear" w:color="auto" w:fill="E0F1DF" w:themeFill="accent2" w:themeFillTint="33"/>
            <w:vAlign w:val="center"/>
            <w:hideMark/>
          </w:tcPr>
          <w:p w14:paraId="70E9ABA5"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National Green Hydrogen Mission</w:t>
            </w:r>
          </w:p>
        </w:tc>
        <w:tc>
          <w:tcPr>
            <w:tcW w:w="513"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4F6ABEFE"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w:t>
            </w:r>
          </w:p>
        </w:tc>
        <w:tc>
          <w:tcPr>
            <w:tcW w:w="81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4D2DFF66" w14:textId="514D95AA" w:rsidR="0001320B" w:rsidRPr="00F91404" w:rsidRDefault="00377F43"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Energy-led, mission-based</w:t>
            </w:r>
          </w:p>
        </w:tc>
        <w:tc>
          <w:tcPr>
            <w:tcW w:w="53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78ABBFD2"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w:t>
            </w:r>
          </w:p>
        </w:tc>
        <w:tc>
          <w:tcPr>
            <w:tcW w:w="50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6FEADE56"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w:t>
            </w:r>
          </w:p>
        </w:tc>
        <w:tc>
          <w:tcPr>
            <w:tcW w:w="644"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20607D9C" w14:textId="77777777" w:rsidR="0001320B" w:rsidRPr="00F91404" w:rsidRDefault="0001320B" w:rsidP="00EB31F0">
            <w:pPr>
              <w:suppressAutoHyphens/>
              <w:spacing w:after="0"/>
              <w:ind w:left="0"/>
              <w:rPr>
                <w:rFonts w:ascii="Aptos Narrow" w:eastAsia="Times New Roman" w:hAnsi="Aptos Narrow" w:cs="Times New Roman"/>
                <w:b/>
                <w:color w:val="000000"/>
                <w:sz w:val="18"/>
                <w:szCs w:val="18"/>
                <w:lang w:eastAsia="es-MX"/>
              </w:rPr>
            </w:pPr>
            <w:r w:rsidRPr="00F91404">
              <w:rPr>
                <w:rFonts w:ascii="Aptos Narrow" w:eastAsia="Times New Roman" w:hAnsi="Aptos Narrow" w:cs="Times New Roman"/>
                <w:b/>
                <w:color w:val="000000"/>
                <w:sz w:val="18"/>
                <w:szCs w:val="18"/>
                <w:lang w:eastAsia="es-MX"/>
              </w:rPr>
              <w:t>Growing industry engagement</w:t>
            </w:r>
          </w:p>
        </w:tc>
        <w:tc>
          <w:tcPr>
            <w:tcW w:w="924" w:type="pct"/>
            <w:tcBorders>
              <w:top w:val="dashed" w:sz="4" w:space="0" w:color="808080"/>
              <w:left w:val="single" w:sz="4" w:space="0" w:color="004C43" w:themeColor="accent1"/>
              <w:bottom w:val="dashed" w:sz="4" w:space="0" w:color="808080"/>
            </w:tcBorders>
            <w:shd w:val="clear" w:color="auto" w:fill="E0F1DF" w:themeFill="accent2" w:themeFillTint="33"/>
            <w:vAlign w:val="center"/>
            <w:hideMark/>
          </w:tcPr>
          <w:p w14:paraId="30BF8098"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 – EU and bilateral partnerships</w:t>
            </w:r>
          </w:p>
        </w:tc>
      </w:tr>
      <w:tr w:rsidR="008B2721" w:rsidRPr="00F91404" w14:paraId="08E9E66C" w14:textId="77777777" w:rsidTr="00077B1D">
        <w:trPr>
          <w:cantSplit/>
          <w:trHeight w:val="1140"/>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69B8C6AB" w14:textId="77777777" w:rsidR="0001320B" w:rsidRPr="00F91404" w:rsidRDefault="0001320B" w:rsidP="00EB31F0">
            <w:pPr>
              <w:suppressAutoHyphens/>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Chile</w:t>
            </w:r>
          </w:p>
        </w:tc>
        <w:tc>
          <w:tcPr>
            <w:tcW w:w="762" w:type="pct"/>
            <w:tcBorders>
              <w:top w:val="dashed" w:sz="4" w:space="0" w:color="808080"/>
              <w:left w:val="single" w:sz="2" w:space="0" w:color="004C43"/>
              <w:bottom w:val="dashed" w:sz="4" w:space="0" w:color="808080"/>
              <w:right w:val="single" w:sz="4" w:space="0" w:color="004C43" w:themeColor="accent1"/>
            </w:tcBorders>
            <w:vAlign w:val="center"/>
            <w:hideMark/>
          </w:tcPr>
          <w:p w14:paraId="70AA77B1"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National Green Hydrogen Strategy</w:t>
            </w:r>
          </w:p>
        </w:tc>
        <w:tc>
          <w:tcPr>
            <w:tcW w:w="513"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56BEBEE1"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w:t>
            </w:r>
          </w:p>
        </w:tc>
        <w:tc>
          <w:tcPr>
            <w:tcW w:w="81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6EADA80F" w14:textId="6796EEB6" w:rsidR="0001320B" w:rsidRPr="00F91404" w:rsidRDefault="00ED2E28"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Energy-led with export orientation</w:t>
            </w:r>
          </w:p>
        </w:tc>
        <w:tc>
          <w:tcPr>
            <w:tcW w:w="53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17153DFD"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w:t>
            </w:r>
          </w:p>
        </w:tc>
        <w:tc>
          <w:tcPr>
            <w:tcW w:w="501"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24F7D42D" w14:textId="77777777" w:rsidR="0001320B" w:rsidRPr="00F91404" w:rsidRDefault="0001320B" w:rsidP="00EB31F0">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w:t>
            </w:r>
          </w:p>
        </w:tc>
        <w:tc>
          <w:tcPr>
            <w:tcW w:w="644" w:type="pct"/>
            <w:tcBorders>
              <w:top w:val="dashed" w:sz="4" w:space="0" w:color="808080"/>
              <w:left w:val="single" w:sz="4" w:space="0" w:color="004C43" w:themeColor="accent1"/>
              <w:bottom w:val="dashed" w:sz="4" w:space="0" w:color="808080"/>
              <w:right w:val="single" w:sz="4" w:space="0" w:color="004C43" w:themeColor="accent1"/>
            </w:tcBorders>
            <w:vAlign w:val="center"/>
            <w:hideMark/>
          </w:tcPr>
          <w:p w14:paraId="52937DD7" w14:textId="77777777" w:rsidR="0001320B" w:rsidRPr="00F91404" w:rsidRDefault="0001320B" w:rsidP="00EB31F0">
            <w:pPr>
              <w:suppressAutoHyphens/>
              <w:spacing w:after="0"/>
              <w:ind w:left="0"/>
              <w:rPr>
                <w:rFonts w:ascii="Aptos Narrow" w:eastAsia="Times New Roman" w:hAnsi="Aptos Narrow" w:cs="Times New Roman"/>
                <w:b/>
                <w:color w:val="000000"/>
                <w:sz w:val="18"/>
                <w:szCs w:val="18"/>
                <w:lang w:eastAsia="es-MX"/>
              </w:rPr>
            </w:pPr>
            <w:r w:rsidRPr="00F91404">
              <w:rPr>
                <w:rFonts w:ascii="Aptos Narrow" w:eastAsia="Times New Roman" w:hAnsi="Aptos Narrow" w:cs="Times New Roman"/>
                <w:b/>
                <w:color w:val="000000"/>
                <w:sz w:val="18"/>
                <w:szCs w:val="18"/>
                <w:lang w:eastAsia="es-MX"/>
              </w:rPr>
              <w:t>Pilot-focused industry engagement</w:t>
            </w:r>
          </w:p>
        </w:tc>
        <w:tc>
          <w:tcPr>
            <w:tcW w:w="924" w:type="pct"/>
            <w:tcBorders>
              <w:top w:val="dashed" w:sz="4" w:space="0" w:color="808080"/>
              <w:left w:val="single" w:sz="4" w:space="0" w:color="004C43" w:themeColor="accent1"/>
              <w:bottom w:val="dashed" w:sz="4" w:space="0" w:color="808080"/>
            </w:tcBorders>
            <w:vAlign w:val="center"/>
            <w:hideMark/>
          </w:tcPr>
          <w:p w14:paraId="7F4F837C" w14:textId="77777777" w:rsidR="0001320B" w:rsidRPr="00F91404" w:rsidRDefault="0001320B" w:rsidP="00EB31F0">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 – EU and export-oriented cooperation</w:t>
            </w:r>
          </w:p>
        </w:tc>
      </w:tr>
      <w:tr w:rsidR="00FD4AF3" w:rsidRPr="00F91404" w14:paraId="76B2AD85" w14:textId="77777777" w:rsidTr="00077B1D">
        <w:trPr>
          <w:cantSplit/>
          <w:trHeight w:val="1094"/>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10396972" w14:textId="77777777" w:rsidR="0001320B" w:rsidRPr="00F91404" w:rsidRDefault="0001320B" w:rsidP="00EB31F0">
            <w:pPr>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Colombia</w:t>
            </w:r>
          </w:p>
        </w:tc>
        <w:tc>
          <w:tcPr>
            <w:tcW w:w="762" w:type="pct"/>
            <w:tcBorders>
              <w:top w:val="dashed" w:sz="4" w:space="0" w:color="808080"/>
              <w:left w:val="single" w:sz="2" w:space="0" w:color="004C43"/>
              <w:bottom w:val="dashed" w:sz="4" w:space="0" w:color="808080"/>
              <w:right w:val="single" w:sz="4" w:space="0" w:color="004C43" w:themeColor="accent1"/>
            </w:tcBorders>
            <w:shd w:val="clear" w:color="auto" w:fill="E0F1DF" w:themeFill="accent2" w:themeFillTint="33"/>
            <w:vAlign w:val="center"/>
            <w:hideMark/>
          </w:tcPr>
          <w:p w14:paraId="058EF456" w14:textId="77777777" w:rsidR="0001320B" w:rsidRPr="00F91404" w:rsidRDefault="0001320B" w:rsidP="00F62AB2">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Hydrogen Roadmap</w:t>
            </w:r>
          </w:p>
        </w:tc>
        <w:tc>
          <w:tcPr>
            <w:tcW w:w="513"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58404A60" w14:textId="77777777" w:rsidR="0001320B" w:rsidRPr="00F91404" w:rsidRDefault="0001320B" w:rsidP="0043502E">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Low–Medium</w:t>
            </w:r>
          </w:p>
        </w:tc>
        <w:tc>
          <w:tcPr>
            <w:tcW w:w="81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35723B7D" w14:textId="799279BC" w:rsidR="0001320B" w:rsidRPr="00F91404" w:rsidRDefault="0001320B" w:rsidP="00F62AB2">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 xml:space="preserve"> </w:t>
            </w:r>
            <w:r w:rsidR="00ED2E28" w:rsidRPr="00F91404">
              <w:rPr>
                <w:rFonts w:ascii="Aptos Narrow" w:eastAsia="Times New Roman" w:hAnsi="Aptos Narrow" w:cs="Times New Roman"/>
                <w:color w:val="000000"/>
                <w:sz w:val="18"/>
                <w:szCs w:val="18"/>
                <w:lang w:eastAsia="es-MX"/>
              </w:rPr>
              <w:t>Energy-led, early-stage</w:t>
            </w:r>
          </w:p>
        </w:tc>
        <w:tc>
          <w:tcPr>
            <w:tcW w:w="53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7A60F27D" w14:textId="77777777" w:rsidR="0001320B" w:rsidRPr="00F91404" w:rsidRDefault="0001320B" w:rsidP="0043502E">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Low–Medium</w:t>
            </w:r>
          </w:p>
        </w:tc>
        <w:tc>
          <w:tcPr>
            <w:tcW w:w="501"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74439B92" w14:textId="77777777" w:rsidR="0001320B" w:rsidRPr="00F91404" w:rsidRDefault="0001320B" w:rsidP="0043502E">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Low</w:t>
            </w:r>
          </w:p>
        </w:tc>
        <w:tc>
          <w:tcPr>
            <w:tcW w:w="644" w:type="pct"/>
            <w:tcBorders>
              <w:top w:val="dashed" w:sz="4" w:space="0" w:color="808080"/>
              <w:left w:val="single" w:sz="4" w:space="0" w:color="004C43" w:themeColor="accent1"/>
              <w:bottom w:val="dashed" w:sz="4" w:space="0" w:color="808080"/>
              <w:right w:val="single" w:sz="4" w:space="0" w:color="004C43" w:themeColor="accent1"/>
            </w:tcBorders>
            <w:shd w:val="clear" w:color="auto" w:fill="E0F1DF" w:themeFill="accent2" w:themeFillTint="33"/>
            <w:vAlign w:val="center"/>
            <w:hideMark/>
          </w:tcPr>
          <w:p w14:paraId="60B41B1C" w14:textId="77777777" w:rsidR="0001320B" w:rsidRPr="00F91404" w:rsidRDefault="0001320B" w:rsidP="00F62AB2">
            <w:pPr>
              <w:suppressAutoHyphens/>
              <w:spacing w:after="0"/>
              <w:ind w:left="0"/>
              <w:rPr>
                <w:rFonts w:ascii="Aptos Narrow" w:eastAsia="Times New Roman" w:hAnsi="Aptos Narrow" w:cs="Times New Roman"/>
                <w:b/>
                <w:color w:val="000000"/>
                <w:sz w:val="18"/>
                <w:szCs w:val="18"/>
                <w:lang w:eastAsia="es-MX"/>
              </w:rPr>
            </w:pPr>
            <w:r w:rsidRPr="00F91404">
              <w:rPr>
                <w:rFonts w:ascii="Aptos Narrow" w:eastAsia="Times New Roman" w:hAnsi="Aptos Narrow" w:cs="Times New Roman"/>
                <w:b/>
                <w:color w:val="000000"/>
                <w:sz w:val="18"/>
                <w:szCs w:val="18"/>
                <w:lang w:eastAsia="es-MX"/>
              </w:rPr>
              <w:t>Early multi-stakeholder engagement</w:t>
            </w:r>
          </w:p>
        </w:tc>
        <w:tc>
          <w:tcPr>
            <w:tcW w:w="924" w:type="pct"/>
            <w:tcBorders>
              <w:top w:val="dashed" w:sz="4" w:space="0" w:color="808080"/>
              <w:left w:val="single" w:sz="4" w:space="0" w:color="004C43" w:themeColor="accent1"/>
              <w:bottom w:val="dashed" w:sz="4" w:space="0" w:color="808080"/>
            </w:tcBorders>
            <w:shd w:val="clear" w:color="auto" w:fill="E0F1DF" w:themeFill="accent2" w:themeFillTint="33"/>
            <w:vAlign w:val="center"/>
            <w:hideMark/>
          </w:tcPr>
          <w:p w14:paraId="7880F0BD" w14:textId="77777777" w:rsidR="0001320B" w:rsidRPr="00F91404" w:rsidRDefault="0001320B" w:rsidP="00F62AB2">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Medium – regional and EU cooperation</w:t>
            </w:r>
          </w:p>
        </w:tc>
      </w:tr>
      <w:tr w:rsidR="008B2721" w:rsidRPr="00F91404" w14:paraId="2B9705A4" w14:textId="77777777" w:rsidTr="00077B1D">
        <w:trPr>
          <w:cantSplit/>
          <w:trHeight w:val="982"/>
        </w:trPr>
        <w:tc>
          <w:tcPr>
            <w:tcW w:w="314" w:type="pct"/>
            <w:tcBorders>
              <w:top w:val="dashed" w:sz="4" w:space="0" w:color="004C43"/>
              <w:bottom w:val="dashed" w:sz="4" w:space="0" w:color="004C43"/>
              <w:right w:val="single" w:sz="2" w:space="0" w:color="004C43"/>
            </w:tcBorders>
            <w:shd w:val="clear" w:color="auto" w:fill="F2F2F2" w:themeFill="background1" w:themeFillShade="F2"/>
            <w:textDirection w:val="btLr"/>
            <w:vAlign w:val="center"/>
            <w:hideMark/>
          </w:tcPr>
          <w:p w14:paraId="3FB7B576" w14:textId="77777777" w:rsidR="0001320B" w:rsidRPr="00F91404" w:rsidRDefault="0001320B" w:rsidP="00EB31F0">
            <w:pPr>
              <w:spacing w:after="0"/>
              <w:ind w:left="113" w:right="113"/>
              <w:jc w:val="center"/>
              <w:rPr>
                <w:rFonts w:ascii="Aptos Narrow" w:eastAsia="Times New Roman" w:hAnsi="Aptos Narrow" w:cs="Times New Roman"/>
                <w:b/>
                <w:color w:val="000000"/>
                <w:sz w:val="16"/>
                <w:szCs w:val="16"/>
                <w:lang w:eastAsia="es-MX"/>
              </w:rPr>
            </w:pPr>
            <w:r w:rsidRPr="00F91404">
              <w:rPr>
                <w:rFonts w:ascii="Aptos Narrow" w:eastAsia="Times New Roman" w:hAnsi="Aptos Narrow" w:cs="Times New Roman"/>
                <w:b/>
                <w:color w:val="000000"/>
                <w:sz w:val="16"/>
                <w:szCs w:val="16"/>
                <w:lang w:eastAsia="es-MX"/>
              </w:rPr>
              <w:t>Peru</w:t>
            </w:r>
          </w:p>
        </w:tc>
        <w:tc>
          <w:tcPr>
            <w:tcW w:w="762" w:type="pct"/>
            <w:tcBorders>
              <w:top w:val="dashed" w:sz="4" w:space="0" w:color="808080"/>
              <w:left w:val="single" w:sz="2" w:space="0" w:color="004C43"/>
              <w:bottom w:val="dashed" w:sz="4" w:space="0" w:color="004C43"/>
              <w:right w:val="single" w:sz="4" w:space="0" w:color="004C43" w:themeColor="accent1"/>
            </w:tcBorders>
            <w:vAlign w:val="center"/>
            <w:hideMark/>
          </w:tcPr>
          <w:p w14:paraId="05B94A4F" w14:textId="77777777" w:rsidR="0001320B" w:rsidRPr="00F91404" w:rsidRDefault="0001320B" w:rsidP="00F62AB2">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Yes – government-issued Hydrogen Roadmap</w:t>
            </w:r>
          </w:p>
        </w:tc>
        <w:tc>
          <w:tcPr>
            <w:tcW w:w="513" w:type="pct"/>
            <w:tcBorders>
              <w:top w:val="dashed" w:sz="4" w:space="0" w:color="808080"/>
              <w:left w:val="single" w:sz="4" w:space="0" w:color="004C43" w:themeColor="accent1"/>
              <w:bottom w:val="dashed" w:sz="4" w:space="0" w:color="004C43"/>
              <w:right w:val="single" w:sz="4" w:space="0" w:color="004C43" w:themeColor="accent1"/>
            </w:tcBorders>
            <w:vAlign w:val="center"/>
            <w:hideMark/>
          </w:tcPr>
          <w:p w14:paraId="30647564" w14:textId="77777777" w:rsidR="0001320B" w:rsidRPr="00F91404" w:rsidRDefault="0001320B" w:rsidP="0043502E">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Low</w:t>
            </w:r>
          </w:p>
        </w:tc>
        <w:tc>
          <w:tcPr>
            <w:tcW w:w="811" w:type="pct"/>
            <w:tcBorders>
              <w:top w:val="dashed" w:sz="4" w:space="0" w:color="808080"/>
              <w:left w:val="single" w:sz="4" w:space="0" w:color="004C43" w:themeColor="accent1"/>
              <w:bottom w:val="dashed" w:sz="4" w:space="0" w:color="004C43"/>
              <w:right w:val="single" w:sz="4" w:space="0" w:color="004C43" w:themeColor="accent1"/>
            </w:tcBorders>
            <w:vAlign w:val="center"/>
            <w:hideMark/>
          </w:tcPr>
          <w:p w14:paraId="18F85C1D" w14:textId="34D2AA3C" w:rsidR="0001320B" w:rsidRPr="00F91404" w:rsidRDefault="0001320B" w:rsidP="00F62AB2">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 xml:space="preserve"> </w:t>
            </w:r>
            <w:r w:rsidR="002320BE" w:rsidRPr="00F91404">
              <w:rPr>
                <w:rFonts w:ascii="Aptos Narrow" w:eastAsia="Times New Roman" w:hAnsi="Aptos Narrow" w:cs="Times New Roman"/>
                <w:color w:val="000000"/>
                <w:sz w:val="18"/>
                <w:szCs w:val="18"/>
                <w:lang w:eastAsia="es-MX"/>
              </w:rPr>
              <w:t>Energy-led, planning-stage</w:t>
            </w:r>
          </w:p>
        </w:tc>
        <w:tc>
          <w:tcPr>
            <w:tcW w:w="531" w:type="pct"/>
            <w:tcBorders>
              <w:top w:val="dashed" w:sz="4" w:space="0" w:color="808080"/>
              <w:left w:val="single" w:sz="4" w:space="0" w:color="004C43" w:themeColor="accent1"/>
              <w:bottom w:val="dashed" w:sz="4" w:space="0" w:color="004C43"/>
              <w:right w:val="single" w:sz="4" w:space="0" w:color="004C43" w:themeColor="accent1"/>
            </w:tcBorders>
            <w:vAlign w:val="center"/>
            <w:hideMark/>
          </w:tcPr>
          <w:p w14:paraId="0AF295C3" w14:textId="77777777" w:rsidR="0001320B" w:rsidRPr="00F91404" w:rsidRDefault="0001320B" w:rsidP="0043502E">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Low</w:t>
            </w:r>
          </w:p>
        </w:tc>
        <w:tc>
          <w:tcPr>
            <w:tcW w:w="501" w:type="pct"/>
            <w:tcBorders>
              <w:top w:val="dashed" w:sz="4" w:space="0" w:color="808080"/>
              <w:left w:val="single" w:sz="4" w:space="0" w:color="004C43" w:themeColor="accent1"/>
              <w:bottom w:val="dashed" w:sz="4" w:space="0" w:color="004C43"/>
              <w:right w:val="single" w:sz="4" w:space="0" w:color="004C43" w:themeColor="accent1"/>
            </w:tcBorders>
            <w:vAlign w:val="center"/>
            <w:hideMark/>
          </w:tcPr>
          <w:p w14:paraId="1768096C" w14:textId="77777777" w:rsidR="0001320B" w:rsidRPr="00F91404" w:rsidRDefault="0001320B" w:rsidP="0043502E">
            <w:pPr>
              <w:suppressAutoHyphens/>
              <w:spacing w:after="0"/>
              <w:ind w:left="0"/>
              <w:jc w:val="center"/>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Low</w:t>
            </w:r>
          </w:p>
        </w:tc>
        <w:tc>
          <w:tcPr>
            <w:tcW w:w="644" w:type="pct"/>
            <w:tcBorders>
              <w:top w:val="dashed" w:sz="4" w:space="0" w:color="808080"/>
              <w:left w:val="single" w:sz="4" w:space="0" w:color="004C43" w:themeColor="accent1"/>
              <w:bottom w:val="dashed" w:sz="4" w:space="0" w:color="004C43"/>
              <w:right w:val="single" w:sz="4" w:space="0" w:color="004C43" w:themeColor="accent1"/>
            </w:tcBorders>
            <w:vAlign w:val="center"/>
            <w:hideMark/>
          </w:tcPr>
          <w:p w14:paraId="0D3E34D3" w14:textId="77777777" w:rsidR="0001320B" w:rsidRPr="00F91404" w:rsidRDefault="0001320B" w:rsidP="00F62AB2">
            <w:pPr>
              <w:suppressAutoHyphens/>
              <w:spacing w:after="0"/>
              <w:ind w:left="0"/>
              <w:rPr>
                <w:rFonts w:ascii="Aptos Narrow" w:eastAsia="Times New Roman" w:hAnsi="Aptos Narrow" w:cs="Times New Roman"/>
                <w:b/>
                <w:color w:val="000000"/>
                <w:sz w:val="18"/>
                <w:szCs w:val="18"/>
                <w:lang w:eastAsia="es-MX"/>
              </w:rPr>
            </w:pPr>
            <w:r w:rsidRPr="00F91404">
              <w:rPr>
                <w:rFonts w:ascii="Aptos Narrow" w:eastAsia="Times New Roman" w:hAnsi="Aptos Narrow" w:cs="Times New Roman"/>
                <w:b/>
                <w:color w:val="000000"/>
                <w:sz w:val="18"/>
                <w:szCs w:val="18"/>
                <w:lang w:eastAsia="es-MX"/>
              </w:rPr>
              <w:t>Limited stakeholder engagement</w:t>
            </w:r>
          </w:p>
        </w:tc>
        <w:tc>
          <w:tcPr>
            <w:tcW w:w="924" w:type="pct"/>
            <w:tcBorders>
              <w:top w:val="dashed" w:sz="4" w:space="0" w:color="808080"/>
              <w:left w:val="single" w:sz="4" w:space="0" w:color="004C43" w:themeColor="accent1"/>
              <w:bottom w:val="dashed" w:sz="4" w:space="0" w:color="004C43"/>
            </w:tcBorders>
            <w:vAlign w:val="center"/>
            <w:hideMark/>
          </w:tcPr>
          <w:p w14:paraId="267D4C29" w14:textId="77777777" w:rsidR="0001320B" w:rsidRPr="00F91404" w:rsidRDefault="0001320B" w:rsidP="00F62AB2">
            <w:pPr>
              <w:suppressAutoHyphens/>
              <w:spacing w:after="0"/>
              <w:ind w:left="0"/>
              <w:rPr>
                <w:rFonts w:ascii="Aptos Narrow" w:eastAsia="Times New Roman" w:hAnsi="Aptos Narrow" w:cs="Times New Roman"/>
                <w:color w:val="000000"/>
                <w:sz w:val="18"/>
                <w:szCs w:val="18"/>
                <w:lang w:eastAsia="es-MX"/>
              </w:rPr>
            </w:pPr>
            <w:r w:rsidRPr="00F91404">
              <w:rPr>
                <w:rFonts w:ascii="Aptos Narrow" w:eastAsia="Times New Roman" w:hAnsi="Aptos Narrow" w:cs="Times New Roman"/>
                <w:color w:val="000000"/>
                <w:sz w:val="18"/>
                <w:szCs w:val="18"/>
                <w:lang w:eastAsia="es-MX"/>
              </w:rPr>
              <w:t>Low – multilateral support only</w:t>
            </w:r>
          </w:p>
        </w:tc>
      </w:tr>
    </w:tbl>
    <w:p w14:paraId="1D2AF69E" w14:textId="3EC24C72" w:rsidR="00EE7FE7" w:rsidRPr="00F91404" w:rsidRDefault="00EE7FE7" w:rsidP="005D1120">
      <w:pPr>
        <w:spacing w:after="0"/>
        <w:ind w:left="0"/>
        <w:rPr>
          <w:rFonts w:ascii="Arial Black" w:hAnsi="Arial Black" w:cstheme="majorHAnsi"/>
          <w:b/>
          <w:bCs/>
          <w:color w:val="002738" w:themeColor="text2" w:themeShade="80"/>
          <w:sz w:val="2"/>
          <w:szCs w:val="2"/>
        </w:rPr>
      </w:pPr>
    </w:p>
    <w:p w14:paraId="5BB8C424" w14:textId="46C9A933" w:rsidR="003120A8" w:rsidRPr="00F91404" w:rsidRDefault="000827C0" w:rsidP="004D35F7">
      <w:pPr>
        <w:spacing w:after="120" w:line="276" w:lineRule="auto"/>
        <w:rPr>
          <w:rFonts w:asciiTheme="majorHAnsi" w:hAnsiTheme="majorHAnsi" w:cstheme="majorHAnsi"/>
          <w:bCs/>
          <w:color w:val="004E71" w:themeColor="text2"/>
          <w:sz w:val="22"/>
        </w:rPr>
      </w:pPr>
      <w:r w:rsidRPr="00F91404">
        <w:rPr>
          <w:rFonts w:ascii="Arial Black" w:hAnsi="Arial Black" w:cstheme="majorHAnsi"/>
          <w:b/>
          <w:bCs/>
          <w:color w:val="002738" w:themeColor="text2" w:themeShade="80"/>
          <w:sz w:val="22"/>
        </w:rPr>
        <w:lastRenderedPageBreak/>
        <w:t>Illustrative Examples:</w:t>
      </w:r>
      <w:r w:rsidR="004D35F7" w:rsidRPr="00F91404">
        <w:rPr>
          <w:rFonts w:asciiTheme="majorHAnsi" w:hAnsiTheme="majorHAnsi" w:cstheme="majorHAnsi"/>
          <w:b/>
          <w:color w:val="004E71" w:themeColor="text2"/>
          <w:sz w:val="22"/>
        </w:rPr>
        <w:t xml:space="preserve"> Governance and Institutional Arrangements</w:t>
      </w:r>
      <w:r w:rsidRPr="00F91404">
        <w:rPr>
          <w:rFonts w:asciiTheme="majorHAnsi" w:hAnsiTheme="majorHAnsi" w:cstheme="majorHAnsi"/>
          <w:bCs/>
          <w:color w:val="004E71" w:themeColor="text2"/>
          <w:sz w:val="22"/>
        </w:rPr>
        <w:t xml:space="preserve"> (Dimension 1)</w:t>
      </w:r>
    </w:p>
    <w:p w14:paraId="3507FDB9" w14:textId="4C36EE41" w:rsidR="00135DD9" w:rsidRPr="00F91404" w:rsidRDefault="00135DD9" w:rsidP="008D5DDD">
      <w:pPr>
        <w:pStyle w:val="ListParagraph"/>
        <w:numPr>
          <w:ilvl w:val="0"/>
          <w:numId w:val="9"/>
        </w:numPr>
        <w:spacing w:before="240" w:line="276" w:lineRule="auto"/>
        <w:ind w:left="417"/>
        <w:rPr>
          <w:rFonts w:asciiTheme="majorHAnsi" w:hAnsiTheme="majorHAnsi" w:cstheme="majorHAnsi"/>
          <w:b/>
          <w:bCs/>
          <w:color w:val="005E5A" w:themeColor="accent5" w:themeShade="80"/>
          <w:sz w:val="21"/>
          <w:szCs w:val="21"/>
        </w:rPr>
      </w:pPr>
      <w:r w:rsidRPr="00F91404">
        <w:rPr>
          <w:rFonts w:asciiTheme="majorHAnsi" w:hAnsiTheme="majorHAnsi" w:cstheme="majorHAnsi"/>
          <w:b/>
          <w:bCs/>
          <w:color w:val="005E5A" w:themeColor="accent5" w:themeShade="80"/>
          <w:sz w:val="21"/>
          <w:szCs w:val="21"/>
        </w:rPr>
        <w:t xml:space="preserve">National hydrogen </w:t>
      </w:r>
      <w:r w:rsidR="00B16FAA" w:rsidRPr="00F91404">
        <w:rPr>
          <w:rFonts w:asciiTheme="majorHAnsi" w:hAnsiTheme="majorHAnsi" w:cstheme="majorHAnsi"/>
          <w:b/>
          <w:bCs/>
          <w:color w:val="005E5A" w:themeColor="accent5" w:themeShade="80"/>
          <w:sz w:val="21"/>
          <w:szCs w:val="21"/>
        </w:rPr>
        <w:t>strategy</w:t>
      </w:r>
      <w:r w:rsidRPr="00F91404">
        <w:rPr>
          <w:rFonts w:asciiTheme="majorHAnsi" w:hAnsiTheme="majorHAnsi" w:cstheme="majorHAnsi"/>
          <w:b/>
          <w:bCs/>
          <w:color w:val="005E5A" w:themeColor="accent5" w:themeShade="80"/>
          <w:sz w:val="21"/>
          <w:szCs w:val="21"/>
        </w:rPr>
        <w:t xml:space="preserve"> as an institutional anchor</w:t>
      </w:r>
    </w:p>
    <w:p w14:paraId="0E9D7A07" w14:textId="39865B42" w:rsidR="00135DD9" w:rsidRPr="00F91404" w:rsidRDefault="008123E6" w:rsidP="000827C0">
      <w:pPr>
        <w:spacing w:after="120" w:line="276" w:lineRule="auto"/>
        <w:rPr>
          <w:rFonts w:asciiTheme="majorHAnsi" w:hAnsiTheme="majorHAnsi" w:cstheme="majorHAnsi"/>
          <w:sz w:val="20"/>
          <w:szCs w:val="20"/>
        </w:rPr>
      </w:pPr>
      <w:r w:rsidRPr="00F91404">
        <w:rPr>
          <w:rFonts w:asciiTheme="majorHAnsi" w:hAnsiTheme="majorHAnsi" w:cstheme="majorHAnsi"/>
          <w:sz w:val="20"/>
          <w:szCs w:val="20"/>
        </w:rPr>
        <w:t>When the sample of</w:t>
      </w:r>
      <w:r w:rsidR="00135DD9" w:rsidRPr="00F91404">
        <w:rPr>
          <w:rFonts w:asciiTheme="majorHAnsi" w:hAnsiTheme="majorHAnsi" w:cstheme="majorHAnsi"/>
          <w:sz w:val="20"/>
          <w:szCs w:val="20"/>
        </w:rPr>
        <w:t xml:space="preserve"> benchmark countries</w:t>
      </w:r>
      <w:r w:rsidRPr="00F91404">
        <w:rPr>
          <w:rFonts w:asciiTheme="majorHAnsi" w:hAnsiTheme="majorHAnsi" w:cstheme="majorHAnsi"/>
          <w:sz w:val="20"/>
          <w:szCs w:val="20"/>
        </w:rPr>
        <w:t xml:space="preserve"> is considered</w:t>
      </w:r>
      <w:r w:rsidR="00135DD9" w:rsidRPr="00F91404">
        <w:rPr>
          <w:rFonts w:asciiTheme="majorHAnsi" w:hAnsiTheme="majorHAnsi" w:cstheme="majorHAnsi"/>
          <w:sz w:val="20"/>
          <w:szCs w:val="20"/>
        </w:rPr>
        <w:t>, national hydrogen strategies or roadmaps issued by government authorities serve as the primary institutional anchor for hydrogen development. These instruments establish a shared reference point for public institutions and provide an organising framework for subsequent regulatory, funding and planning activities.</w:t>
      </w:r>
    </w:p>
    <w:p w14:paraId="2C565902" w14:textId="37DDEDC8" w:rsidR="00AE1533" w:rsidRPr="00F91404" w:rsidRDefault="00135DD9" w:rsidP="007E7920">
      <w:pPr>
        <w:spacing w:after="120" w:line="276" w:lineRule="auto"/>
        <w:rPr>
          <w:rFonts w:asciiTheme="majorHAnsi" w:hAnsiTheme="majorHAnsi" w:cstheme="majorHAnsi"/>
          <w:sz w:val="20"/>
          <w:szCs w:val="20"/>
        </w:rPr>
      </w:pPr>
      <w:r w:rsidRPr="00F91404">
        <w:rPr>
          <w:rFonts w:asciiTheme="majorHAnsi" w:hAnsiTheme="majorHAnsi" w:cstheme="majorHAnsi"/>
          <w:sz w:val="20"/>
          <w:szCs w:val="20"/>
        </w:rPr>
        <w:t>Differences are observed in the extent to which these strategies function as binding institutional reference documents versus high-level policy statements. In more mature governance settings, strategies are embedded within formal policy cycles and referenced across institutions. In early-stage settings, strategies tend to play a signalling and coordination role while institutional responsibilities continue to evolve.</w:t>
      </w:r>
    </w:p>
    <w:p w14:paraId="3B96A340" w14:textId="64E06ECB" w:rsidR="00135DD9" w:rsidRPr="00F91404" w:rsidRDefault="00135DD9"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Germany</w:t>
      </w:r>
    </w:p>
    <w:p w14:paraId="1D01925D"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Institutional approach: </w:t>
      </w:r>
      <w:r w:rsidRPr="00F91404">
        <w:rPr>
          <w:rFonts w:asciiTheme="majorHAnsi" w:hAnsiTheme="majorHAnsi" w:cstheme="majorHAnsi"/>
          <w:sz w:val="20"/>
          <w:szCs w:val="20"/>
        </w:rPr>
        <w:t>A government-issued National Hydrogen Strategy functions as a formal reference for public institutions involved in hydrogen development.</w:t>
      </w:r>
    </w:p>
    <w:p w14:paraId="6058B188"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The strategy is used to align mandates across ministries and public agencies and to structure subsequent regulatory and funding initiatives.</w:t>
      </w:r>
    </w:p>
    <w:p w14:paraId="459F8DA4"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institutional outcome: </w:t>
      </w:r>
      <w:r w:rsidRPr="00F91404">
        <w:rPr>
          <w:rFonts w:asciiTheme="majorHAnsi" w:hAnsiTheme="majorHAnsi" w:cstheme="majorHAnsi"/>
          <w:sz w:val="20"/>
          <w:szCs w:val="20"/>
        </w:rPr>
        <w:t xml:space="preserve">High institutional consistency in how hydrogen-related responsibilities </w:t>
      </w:r>
      <w:proofErr w:type="gramStart"/>
      <w:r w:rsidRPr="00F91404">
        <w:rPr>
          <w:rFonts w:asciiTheme="majorHAnsi" w:hAnsiTheme="majorHAnsi" w:cstheme="majorHAnsi"/>
          <w:sz w:val="20"/>
          <w:szCs w:val="20"/>
        </w:rPr>
        <w:t>are</w:t>
      </w:r>
      <w:proofErr w:type="gramEnd"/>
      <w:r w:rsidRPr="00F91404">
        <w:rPr>
          <w:rFonts w:asciiTheme="majorHAnsi" w:hAnsiTheme="majorHAnsi" w:cstheme="majorHAnsi"/>
          <w:sz w:val="20"/>
          <w:szCs w:val="20"/>
        </w:rPr>
        <w:t xml:space="preserve"> defined and coordinated.</w:t>
      </w:r>
    </w:p>
    <w:p w14:paraId="1509A140" w14:textId="11075E81" w:rsidR="00135DD9" w:rsidRPr="00F91404" w:rsidRDefault="00135DD9"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India</w:t>
      </w:r>
    </w:p>
    <w:p w14:paraId="2D7BD178" w14:textId="77777777" w:rsidR="00135DD9" w:rsidRPr="00F91404" w:rsidRDefault="00135DD9"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Institutional approach: </w:t>
      </w:r>
      <w:r w:rsidRPr="00F91404">
        <w:rPr>
          <w:rFonts w:asciiTheme="majorHAnsi" w:hAnsiTheme="majorHAnsi" w:cstheme="majorHAnsi"/>
          <w:sz w:val="20"/>
          <w:szCs w:val="20"/>
        </w:rPr>
        <w:t>A mission-based national framework provides a central institutional reference for hydrogen development.</w:t>
      </w:r>
    </w:p>
    <w:p w14:paraId="021FAB6F"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The mission establishes objectives and assigns responsibilities, with detailed institutional arrangements introduced progressively.</w:t>
      </w:r>
    </w:p>
    <w:p w14:paraId="140075B4"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institutional outcome: </w:t>
      </w:r>
      <w:r w:rsidRPr="00F91404">
        <w:rPr>
          <w:rFonts w:asciiTheme="majorHAnsi" w:hAnsiTheme="majorHAnsi" w:cstheme="majorHAnsi"/>
          <w:sz w:val="20"/>
          <w:szCs w:val="20"/>
        </w:rPr>
        <w:t>Clear strategic reference, with institutional roles and coordination mechanisms still consolidating.</w:t>
      </w:r>
    </w:p>
    <w:p w14:paraId="0FAD0CEF" w14:textId="77777777" w:rsidR="00E97F3C" w:rsidRPr="00F91404" w:rsidRDefault="00E97F3C" w:rsidP="007A0D61">
      <w:pPr>
        <w:pStyle w:val="ListParagraph"/>
        <w:spacing w:line="276" w:lineRule="auto"/>
        <w:ind w:left="1080"/>
        <w:rPr>
          <w:rFonts w:asciiTheme="majorHAnsi" w:hAnsiTheme="majorHAnsi" w:cstheme="majorHAnsi"/>
          <w:b/>
          <w:bCs/>
          <w:sz w:val="20"/>
          <w:szCs w:val="20"/>
        </w:rPr>
      </w:pPr>
    </w:p>
    <w:p w14:paraId="31ABA886" w14:textId="561DDF83" w:rsidR="00135DD9" w:rsidRPr="00F91404" w:rsidRDefault="00DF6F5B" w:rsidP="008D5DDD">
      <w:pPr>
        <w:pStyle w:val="ListParagraph"/>
        <w:numPr>
          <w:ilvl w:val="0"/>
          <w:numId w:val="9"/>
        </w:numPr>
        <w:spacing w:line="276" w:lineRule="auto"/>
        <w:ind w:left="360"/>
        <w:rPr>
          <w:rFonts w:asciiTheme="majorHAnsi" w:hAnsiTheme="majorHAnsi" w:cstheme="majorHAnsi"/>
          <w:b/>
          <w:bCs/>
          <w:color w:val="005E5A" w:themeColor="accent5" w:themeShade="80"/>
          <w:sz w:val="21"/>
          <w:szCs w:val="21"/>
        </w:rPr>
      </w:pPr>
      <w:r w:rsidRPr="00F91404">
        <w:rPr>
          <w:rFonts w:asciiTheme="majorHAnsi" w:hAnsiTheme="majorHAnsi" w:cstheme="majorHAnsi"/>
          <w:b/>
          <w:bCs/>
          <w:color w:val="005E5A" w:themeColor="accent5" w:themeShade="80"/>
          <w:sz w:val="21"/>
          <w:szCs w:val="21"/>
        </w:rPr>
        <w:t>I</w:t>
      </w:r>
      <w:r w:rsidR="00135DD9" w:rsidRPr="00F91404">
        <w:rPr>
          <w:rFonts w:asciiTheme="majorHAnsi" w:hAnsiTheme="majorHAnsi" w:cstheme="majorHAnsi"/>
          <w:b/>
          <w:bCs/>
          <w:color w:val="005E5A" w:themeColor="accent5" w:themeShade="80"/>
          <w:sz w:val="21"/>
          <w:szCs w:val="21"/>
        </w:rPr>
        <w:t>ntegration into energy, climate and industrial governance frameworks</w:t>
      </w:r>
    </w:p>
    <w:p w14:paraId="216CE656" w14:textId="77777777" w:rsidR="00135DD9" w:rsidRPr="00F91404" w:rsidRDefault="00135DD9" w:rsidP="006B32A6">
      <w:pPr>
        <w:spacing w:after="120" w:line="276" w:lineRule="auto"/>
        <w:ind w:left="0"/>
        <w:rPr>
          <w:rFonts w:asciiTheme="majorHAnsi" w:hAnsiTheme="majorHAnsi" w:cstheme="majorHAnsi"/>
          <w:sz w:val="20"/>
          <w:szCs w:val="20"/>
        </w:rPr>
      </w:pPr>
      <w:r w:rsidRPr="00F91404">
        <w:rPr>
          <w:rFonts w:asciiTheme="majorHAnsi" w:hAnsiTheme="majorHAnsi" w:cstheme="majorHAnsi"/>
          <w:sz w:val="20"/>
          <w:szCs w:val="20"/>
        </w:rPr>
        <w:t>The degree to which hydrogen is integrated into core energy, climate and industrial policy frameworks shapes how institutions engage with hydrogen development. Higher levels of integration indicate that hydrogen-related responsibilities are embedded within existing governance structures rather than treated as a standalone policy topic.</w:t>
      </w:r>
    </w:p>
    <w:p w14:paraId="69CD39EC" w14:textId="77777777" w:rsidR="00135DD9" w:rsidRPr="00F91404" w:rsidRDefault="00135DD9" w:rsidP="006B32A6">
      <w:pPr>
        <w:spacing w:after="120" w:line="276" w:lineRule="auto"/>
        <w:ind w:left="0"/>
        <w:rPr>
          <w:rFonts w:asciiTheme="majorHAnsi" w:hAnsiTheme="majorHAnsi" w:cstheme="majorHAnsi"/>
          <w:sz w:val="20"/>
          <w:szCs w:val="20"/>
        </w:rPr>
      </w:pPr>
      <w:r w:rsidRPr="00F91404">
        <w:rPr>
          <w:rFonts w:asciiTheme="majorHAnsi" w:hAnsiTheme="majorHAnsi" w:cstheme="majorHAnsi"/>
          <w:sz w:val="20"/>
          <w:szCs w:val="20"/>
        </w:rPr>
        <w:t>In practice, integration affects how institutions prioritise hydrogen relative to other policy objectives and how coordination occurs across sectors. Where integration is limited, hydrogen governance often relies on ad hoc coordination mechanisms.</w:t>
      </w:r>
    </w:p>
    <w:p w14:paraId="0133F3EC" w14:textId="62C13EE5" w:rsidR="00135DD9" w:rsidRPr="00F91404" w:rsidRDefault="00135DD9"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United Kingdom</w:t>
      </w:r>
    </w:p>
    <w:p w14:paraId="41214867"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Institutional approach: </w:t>
      </w:r>
      <w:r w:rsidRPr="00F91404">
        <w:rPr>
          <w:rFonts w:asciiTheme="majorHAnsi" w:hAnsiTheme="majorHAnsi" w:cstheme="majorHAnsi"/>
          <w:sz w:val="20"/>
          <w:szCs w:val="20"/>
        </w:rPr>
        <w:t>Hydrogen governance is embedded within broader energy transition and industrial decarbonisation frameworks.</w:t>
      </w:r>
    </w:p>
    <w:p w14:paraId="34E35C94"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Responsibilities for hydrogen are linked to existing institutional structures managing net zero and industrial clusters.</w:t>
      </w:r>
    </w:p>
    <w:p w14:paraId="116371CF"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lastRenderedPageBreak/>
        <w:t xml:space="preserve">Observed institutional outcome: </w:t>
      </w:r>
      <w:r w:rsidRPr="00F91404">
        <w:rPr>
          <w:rFonts w:asciiTheme="majorHAnsi" w:hAnsiTheme="majorHAnsi" w:cstheme="majorHAnsi"/>
          <w:sz w:val="20"/>
          <w:szCs w:val="20"/>
        </w:rPr>
        <w:t>Clear alignment between hydrogen-related mandates and existing governance processes.</w:t>
      </w:r>
    </w:p>
    <w:p w14:paraId="2F11D616" w14:textId="4EBD581C" w:rsidR="00135DD9" w:rsidRPr="00F91404" w:rsidRDefault="00135DD9"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Chile</w:t>
      </w:r>
    </w:p>
    <w:p w14:paraId="5A4ED332" w14:textId="77777777" w:rsidR="00135DD9" w:rsidRPr="00F91404" w:rsidRDefault="00135DD9"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Institutional approach: </w:t>
      </w:r>
      <w:r w:rsidRPr="00F91404">
        <w:rPr>
          <w:rFonts w:asciiTheme="majorHAnsi" w:hAnsiTheme="majorHAnsi" w:cstheme="majorHAnsi"/>
          <w:sz w:val="20"/>
          <w:szCs w:val="20"/>
        </w:rPr>
        <w:t>Hydrogen governance is linked to national energy policy and export-oriented industrial objectives.</w:t>
      </w:r>
    </w:p>
    <w:p w14:paraId="1D0910C3"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Integration into industrial governance is evolving alongside early project development.</w:t>
      </w:r>
    </w:p>
    <w:p w14:paraId="7FD4DC62"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institutional outcome: </w:t>
      </w:r>
      <w:r w:rsidRPr="00F91404">
        <w:rPr>
          <w:rFonts w:asciiTheme="majorHAnsi" w:hAnsiTheme="majorHAnsi" w:cstheme="majorHAnsi"/>
          <w:sz w:val="20"/>
          <w:szCs w:val="20"/>
        </w:rPr>
        <w:t>Growing coherence across institutions, with integration strengthening over time.</w:t>
      </w:r>
    </w:p>
    <w:p w14:paraId="241789C0" w14:textId="5A349260" w:rsidR="00135DD9" w:rsidRPr="00F91404" w:rsidRDefault="00135DD9" w:rsidP="006B32A6">
      <w:pPr>
        <w:spacing w:after="120" w:line="276" w:lineRule="auto"/>
        <w:ind w:left="0"/>
        <w:rPr>
          <w:rFonts w:asciiTheme="majorHAnsi" w:hAnsiTheme="majorHAnsi" w:cstheme="majorHAnsi"/>
          <w:sz w:val="20"/>
          <w:szCs w:val="20"/>
        </w:rPr>
      </w:pPr>
    </w:p>
    <w:p w14:paraId="6DD7E0E8" w14:textId="01C4CAB6" w:rsidR="00D31E1C" w:rsidRPr="00F91404" w:rsidRDefault="002D3A1E" w:rsidP="008D5DDD">
      <w:pPr>
        <w:pStyle w:val="ListParagraph"/>
        <w:numPr>
          <w:ilvl w:val="0"/>
          <w:numId w:val="9"/>
        </w:numPr>
        <w:spacing w:line="276" w:lineRule="auto"/>
        <w:ind w:left="360"/>
        <w:rPr>
          <w:rFonts w:asciiTheme="majorHAnsi" w:hAnsiTheme="majorHAnsi" w:cstheme="majorHAnsi"/>
          <w:b/>
          <w:bCs/>
          <w:color w:val="005E5A" w:themeColor="accent5" w:themeShade="80"/>
          <w:sz w:val="21"/>
          <w:szCs w:val="21"/>
        </w:rPr>
      </w:pPr>
      <w:r w:rsidRPr="00F91404">
        <w:rPr>
          <w:rFonts w:asciiTheme="majorHAnsi" w:hAnsiTheme="majorHAnsi" w:cstheme="majorHAnsi"/>
          <w:b/>
          <w:bCs/>
          <w:color w:val="005E5A" w:themeColor="accent5" w:themeShade="80"/>
          <w:sz w:val="21"/>
          <w:szCs w:val="21"/>
        </w:rPr>
        <w:t xml:space="preserve">Energy and </w:t>
      </w:r>
      <w:r w:rsidR="00776143" w:rsidRPr="00F91404">
        <w:rPr>
          <w:rFonts w:asciiTheme="majorHAnsi" w:hAnsiTheme="majorHAnsi" w:cstheme="majorHAnsi"/>
          <w:b/>
          <w:bCs/>
          <w:color w:val="005E5A" w:themeColor="accent5" w:themeShade="80"/>
          <w:sz w:val="21"/>
          <w:szCs w:val="21"/>
        </w:rPr>
        <w:t>i</w:t>
      </w:r>
      <w:r w:rsidRPr="00F91404">
        <w:rPr>
          <w:rFonts w:asciiTheme="majorHAnsi" w:hAnsiTheme="majorHAnsi" w:cstheme="majorHAnsi"/>
          <w:b/>
          <w:bCs/>
          <w:color w:val="005E5A" w:themeColor="accent5" w:themeShade="80"/>
          <w:sz w:val="21"/>
          <w:szCs w:val="21"/>
        </w:rPr>
        <w:t xml:space="preserve">ndustry </w:t>
      </w:r>
      <w:r w:rsidR="00776143" w:rsidRPr="00F91404">
        <w:rPr>
          <w:rFonts w:asciiTheme="majorHAnsi" w:hAnsiTheme="majorHAnsi" w:cstheme="majorHAnsi"/>
          <w:b/>
          <w:bCs/>
          <w:color w:val="005E5A" w:themeColor="accent5" w:themeShade="80"/>
          <w:sz w:val="21"/>
          <w:szCs w:val="21"/>
        </w:rPr>
        <w:t>m</w:t>
      </w:r>
      <w:r w:rsidRPr="00F91404">
        <w:rPr>
          <w:rFonts w:asciiTheme="majorHAnsi" w:hAnsiTheme="majorHAnsi" w:cstheme="majorHAnsi"/>
          <w:b/>
          <w:bCs/>
          <w:color w:val="005E5A" w:themeColor="accent5" w:themeShade="80"/>
          <w:sz w:val="21"/>
          <w:szCs w:val="21"/>
        </w:rPr>
        <w:t xml:space="preserve">inistries at the </w:t>
      </w:r>
      <w:r w:rsidR="00776143" w:rsidRPr="00F91404">
        <w:rPr>
          <w:rFonts w:asciiTheme="majorHAnsi" w:hAnsiTheme="majorHAnsi" w:cstheme="majorHAnsi"/>
          <w:b/>
          <w:bCs/>
          <w:color w:val="005E5A" w:themeColor="accent5" w:themeShade="80"/>
          <w:sz w:val="21"/>
          <w:szCs w:val="21"/>
        </w:rPr>
        <w:t>h</w:t>
      </w:r>
      <w:r w:rsidRPr="00F91404">
        <w:rPr>
          <w:rFonts w:asciiTheme="majorHAnsi" w:hAnsiTheme="majorHAnsi" w:cstheme="majorHAnsi"/>
          <w:b/>
          <w:bCs/>
          <w:color w:val="005E5A" w:themeColor="accent5" w:themeShade="80"/>
          <w:sz w:val="21"/>
          <w:szCs w:val="21"/>
        </w:rPr>
        <w:t xml:space="preserve">elm with </w:t>
      </w:r>
      <w:r w:rsidR="00776143" w:rsidRPr="00F91404">
        <w:rPr>
          <w:rFonts w:asciiTheme="majorHAnsi" w:hAnsiTheme="majorHAnsi" w:cstheme="majorHAnsi"/>
          <w:b/>
          <w:bCs/>
          <w:color w:val="005E5A" w:themeColor="accent5" w:themeShade="80"/>
          <w:sz w:val="21"/>
          <w:szCs w:val="21"/>
        </w:rPr>
        <w:t>c</w:t>
      </w:r>
      <w:r w:rsidRPr="00F91404">
        <w:rPr>
          <w:rFonts w:asciiTheme="majorHAnsi" w:hAnsiTheme="majorHAnsi" w:cstheme="majorHAnsi"/>
          <w:b/>
          <w:bCs/>
          <w:color w:val="005E5A" w:themeColor="accent5" w:themeShade="80"/>
          <w:sz w:val="21"/>
          <w:szCs w:val="21"/>
        </w:rPr>
        <w:t>ross-</w:t>
      </w:r>
      <w:r w:rsidR="00776143" w:rsidRPr="00F91404">
        <w:rPr>
          <w:rFonts w:asciiTheme="majorHAnsi" w:hAnsiTheme="majorHAnsi" w:cstheme="majorHAnsi"/>
          <w:b/>
          <w:bCs/>
          <w:color w:val="005E5A" w:themeColor="accent5" w:themeShade="80"/>
          <w:sz w:val="21"/>
          <w:szCs w:val="21"/>
        </w:rPr>
        <w:t>s</w:t>
      </w:r>
      <w:r w:rsidRPr="00F91404">
        <w:rPr>
          <w:rFonts w:asciiTheme="majorHAnsi" w:hAnsiTheme="majorHAnsi" w:cstheme="majorHAnsi"/>
          <w:b/>
          <w:bCs/>
          <w:color w:val="005E5A" w:themeColor="accent5" w:themeShade="80"/>
          <w:sz w:val="21"/>
          <w:szCs w:val="21"/>
        </w:rPr>
        <w:t xml:space="preserve">ector </w:t>
      </w:r>
      <w:r w:rsidR="00776143" w:rsidRPr="00F91404">
        <w:rPr>
          <w:rFonts w:asciiTheme="majorHAnsi" w:hAnsiTheme="majorHAnsi" w:cstheme="majorHAnsi"/>
          <w:b/>
          <w:bCs/>
          <w:color w:val="005E5A" w:themeColor="accent5" w:themeShade="80"/>
          <w:sz w:val="21"/>
          <w:szCs w:val="21"/>
        </w:rPr>
        <w:t>c</w:t>
      </w:r>
      <w:r w:rsidRPr="00F91404">
        <w:rPr>
          <w:rFonts w:asciiTheme="majorHAnsi" w:hAnsiTheme="majorHAnsi" w:cstheme="majorHAnsi"/>
          <w:b/>
          <w:bCs/>
          <w:color w:val="005E5A" w:themeColor="accent5" w:themeShade="80"/>
          <w:sz w:val="21"/>
          <w:szCs w:val="21"/>
        </w:rPr>
        <w:t>ollaboration</w:t>
      </w:r>
    </w:p>
    <w:p w14:paraId="2C85F195" w14:textId="09CF0234" w:rsidR="00383521" w:rsidRPr="00F91404" w:rsidRDefault="00383521" w:rsidP="007E7920">
      <w:pPr>
        <w:spacing w:after="120" w:line="276" w:lineRule="auto"/>
        <w:ind w:left="0"/>
        <w:rPr>
          <w:rFonts w:asciiTheme="majorHAnsi" w:hAnsiTheme="majorHAnsi" w:cstheme="majorHAnsi"/>
          <w:sz w:val="20"/>
          <w:szCs w:val="20"/>
        </w:rPr>
      </w:pPr>
      <w:r w:rsidRPr="00F91404">
        <w:rPr>
          <w:rFonts w:asciiTheme="majorHAnsi" w:hAnsiTheme="majorHAnsi" w:cstheme="majorHAnsi"/>
          <w:sz w:val="20"/>
          <w:szCs w:val="20"/>
        </w:rPr>
        <w:t>Both</w:t>
      </w:r>
      <w:r w:rsidR="002D6393" w:rsidRPr="00F91404">
        <w:rPr>
          <w:rFonts w:asciiTheme="majorHAnsi" w:hAnsiTheme="majorHAnsi" w:cstheme="majorHAnsi"/>
          <w:sz w:val="20"/>
          <w:szCs w:val="20"/>
        </w:rPr>
        <w:t xml:space="preserve"> Energy and Industrial authorities</w:t>
      </w:r>
      <w:r w:rsidRPr="00F91404">
        <w:rPr>
          <w:rFonts w:asciiTheme="majorHAnsi" w:hAnsiTheme="majorHAnsi" w:cstheme="majorHAnsi"/>
          <w:sz w:val="20"/>
          <w:szCs w:val="20"/>
        </w:rPr>
        <w:t xml:space="preserve"> are fundamental to the development and scaling of green hydrogen: the energy sector oversees production and infrastructure, while the industrial sector represents a significant area of demand and utilization. This alignment underscores the importance of strong collaboration between these ministries to effectively coordinate strategies, investments, and policies for the successful advancement of the green hydrogen economy</w:t>
      </w:r>
    </w:p>
    <w:p w14:paraId="1138445C" w14:textId="3DFAF711" w:rsidR="00135DD9" w:rsidRPr="00F91404" w:rsidRDefault="000107EE"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Germany</w:t>
      </w:r>
    </w:p>
    <w:p w14:paraId="541C70B9" w14:textId="1D357850" w:rsidR="000107EE" w:rsidRPr="00F91404" w:rsidRDefault="0039406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Leadership model</w:t>
      </w:r>
      <w:r w:rsidR="000107EE" w:rsidRPr="00F91404">
        <w:rPr>
          <w:rFonts w:asciiTheme="majorHAnsi" w:hAnsiTheme="majorHAnsi" w:cstheme="majorHAnsi"/>
          <w:b/>
          <w:bCs/>
          <w:sz w:val="20"/>
          <w:szCs w:val="20"/>
        </w:rPr>
        <w:t xml:space="preserve">: </w:t>
      </w:r>
      <w:r w:rsidRPr="00F91404">
        <w:rPr>
          <w:rFonts w:asciiTheme="majorHAnsi" w:hAnsiTheme="majorHAnsi" w:cstheme="majorHAnsi"/>
          <w:sz w:val="20"/>
          <w:szCs w:val="20"/>
        </w:rPr>
        <w:t>Hybrid energy–industry</w:t>
      </w:r>
      <w:r w:rsidR="000107EE" w:rsidRPr="00F91404">
        <w:rPr>
          <w:rFonts w:asciiTheme="majorHAnsi" w:hAnsiTheme="majorHAnsi" w:cstheme="majorHAnsi"/>
          <w:sz w:val="20"/>
          <w:szCs w:val="20"/>
        </w:rPr>
        <w:t>.</w:t>
      </w:r>
    </w:p>
    <w:p w14:paraId="621D406C" w14:textId="15AFCB5A" w:rsidR="000107EE" w:rsidRPr="00F91404" w:rsidRDefault="000107EE"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00394069" w:rsidRPr="00F91404">
        <w:rPr>
          <w:rFonts w:asciiTheme="majorHAnsi" w:hAnsiTheme="majorHAnsi" w:cstheme="majorHAnsi"/>
          <w:sz w:val="20"/>
          <w:szCs w:val="20"/>
        </w:rPr>
        <w:t>Hydrogen leadership is institutionally anchored at the intersection of energy transition and industrial policy</w:t>
      </w:r>
      <w:r w:rsidRPr="00F91404">
        <w:rPr>
          <w:rFonts w:asciiTheme="majorHAnsi" w:hAnsiTheme="majorHAnsi" w:cstheme="majorHAnsi"/>
          <w:sz w:val="20"/>
          <w:szCs w:val="20"/>
        </w:rPr>
        <w:t>.</w:t>
      </w:r>
    </w:p>
    <w:p w14:paraId="173D598F" w14:textId="23215DBD" w:rsidR="000107EE" w:rsidRPr="00F91404" w:rsidRDefault="000107EE"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institutional outcome: </w:t>
      </w:r>
      <w:r w:rsidR="00394069" w:rsidRPr="00F91404">
        <w:rPr>
          <w:rFonts w:asciiTheme="majorHAnsi" w:hAnsiTheme="majorHAnsi" w:cstheme="majorHAnsi"/>
          <w:sz w:val="20"/>
          <w:szCs w:val="20"/>
        </w:rPr>
        <w:t>Responsibilities are distributed across energy and industrial governance structures</w:t>
      </w:r>
      <w:r w:rsidRPr="00F91404">
        <w:rPr>
          <w:rFonts w:asciiTheme="majorHAnsi" w:hAnsiTheme="majorHAnsi" w:cstheme="majorHAnsi"/>
          <w:sz w:val="20"/>
          <w:szCs w:val="20"/>
        </w:rPr>
        <w:t>.</w:t>
      </w:r>
    </w:p>
    <w:p w14:paraId="4FA2958C" w14:textId="5FE51F24" w:rsidR="00135DD9" w:rsidRPr="00F91404" w:rsidRDefault="00AB1525"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Japan</w:t>
      </w:r>
    </w:p>
    <w:p w14:paraId="0A47AC03" w14:textId="466BA8B9" w:rsidR="0036249F" w:rsidRPr="00F91404" w:rsidRDefault="0036249F"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Leadership model: </w:t>
      </w:r>
      <w:r w:rsidRPr="00F91404">
        <w:rPr>
          <w:rFonts w:asciiTheme="majorHAnsi" w:hAnsiTheme="majorHAnsi" w:cstheme="majorHAnsi"/>
          <w:sz w:val="20"/>
          <w:szCs w:val="20"/>
        </w:rPr>
        <w:t xml:space="preserve">Economy and </w:t>
      </w:r>
      <w:proofErr w:type="gramStart"/>
      <w:r w:rsidRPr="00F91404">
        <w:rPr>
          <w:rFonts w:asciiTheme="majorHAnsi" w:hAnsiTheme="majorHAnsi" w:cstheme="majorHAnsi"/>
          <w:sz w:val="20"/>
          <w:szCs w:val="20"/>
        </w:rPr>
        <w:t>trade-led</w:t>
      </w:r>
      <w:proofErr w:type="gramEnd"/>
      <w:r w:rsidRPr="00F91404">
        <w:rPr>
          <w:rFonts w:asciiTheme="majorHAnsi" w:hAnsiTheme="majorHAnsi" w:cstheme="majorHAnsi"/>
          <w:sz w:val="20"/>
          <w:szCs w:val="20"/>
        </w:rPr>
        <w:t>.</w:t>
      </w:r>
    </w:p>
    <w:p w14:paraId="7A9EA6AF" w14:textId="626721CF" w:rsidR="0036249F" w:rsidRPr="00F91404" w:rsidRDefault="0036249F"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 xml:space="preserve">Hydrogen </w:t>
      </w:r>
      <w:r w:rsidR="00C32A0F" w:rsidRPr="00F91404">
        <w:rPr>
          <w:rFonts w:asciiTheme="majorHAnsi" w:hAnsiTheme="majorHAnsi" w:cstheme="majorHAnsi"/>
          <w:sz w:val="20"/>
          <w:szCs w:val="20"/>
        </w:rPr>
        <w:t>governance</w:t>
      </w:r>
      <w:r w:rsidRPr="00F91404">
        <w:rPr>
          <w:rFonts w:asciiTheme="majorHAnsi" w:hAnsiTheme="majorHAnsi" w:cstheme="majorHAnsi"/>
          <w:sz w:val="20"/>
          <w:szCs w:val="20"/>
        </w:rPr>
        <w:t xml:space="preserve"> is anchored </w:t>
      </w:r>
      <w:r w:rsidR="00C32A0F" w:rsidRPr="00F91404">
        <w:rPr>
          <w:rFonts w:asciiTheme="majorHAnsi" w:hAnsiTheme="majorHAnsi" w:cstheme="majorHAnsi"/>
          <w:sz w:val="20"/>
          <w:szCs w:val="20"/>
        </w:rPr>
        <w:t>within economic</w:t>
      </w:r>
      <w:r w:rsidRPr="00F91404">
        <w:rPr>
          <w:rFonts w:asciiTheme="majorHAnsi" w:hAnsiTheme="majorHAnsi" w:cstheme="majorHAnsi"/>
          <w:sz w:val="20"/>
          <w:szCs w:val="20"/>
        </w:rPr>
        <w:t xml:space="preserve"> and </w:t>
      </w:r>
      <w:r w:rsidR="00C32A0F" w:rsidRPr="00F91404">
        <w:rPr>
          <w:rFonts w:asciiTheme="majorHAnsi" w:hAnsiTheme="majorHAnsi" w:cstheme="majorHAnsi"/>
          <w:sz w:val="20"/>
          <w:szCs w:val="20"/>
        </w:rPr>
        <w:t>trade</w:t>
      </w:r>
      <w:r w:rsidRPr="00F91404">
        <w:rPr>
          <w:rFonts w:asciiTheme="majorHAnsi" w:hAnsiTheme="majorHAnsi" w:cstheme="majorHAnsi"/>
          <w:sz w:val="20"/>
          <w:szCs w:val="20"/>
        </w:rPr>
        <w:t xml:space="preserve"> policy</w:t>
      </w:r>
      <w:r w:rsidR="00C32A0F" w:rsidRPr="00F91404">
        <w:rPr>
          <w:rFonts w:asciiTheme="majorHAnsi" w:hAnsiTheme="majorHAnsi" w:cstheme="majorHAnsi"/>
          <w:sz w:val="20"/>
          <w:szCs w:val="20"/>
        </w:rPr>
        <w:t>, with a strong focus on supply chains</w:t>
      </w:r>
      <w:r w:rsidRPr="00F91404">
        <w:rPr>
          <w:rFonts w:asciiTheme="majorHAnsi" w:hAnsiTheme="majorHAnsi" w:cstheme="majorHAnsi"/>
          <w:sz w:val="20"/>
          <w:szCs w:val="20"/>
        </w:rPr>
        <w:t>.</w:t>
      </w:r>
    </w:p>
    <w:p w14:paraId="48C4A6AD" w14:textId="5BE178CB" w:rsidR="00135DD9" w:rsidRPr="00F91404" w:rsidRDefault="0036249F"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institutional outcome: </w:t>
      </w:r>
      <w:r w:rsidR="00C32A0F" w:rsidRPr="00F91404">
        <w:rPr>
          <w:rFonts w:asciiTheme="majorHAnsi" w:hAnsiTheme="majorHAnsi" w:cstheme="majorHAnsi"/>
          <w:sz w:val="20"/>
          <w:szCs w:val="20"/>
        </w:rPr>
        <w:t>Institutional alignment between hydrogen policy and international trade engagement</w:t>
      </w:r>
      <w:r w:rsidRPr="00F91404">
        <w:rPr>
          <w:rFonts w:asciiTheme="majorHAnsi" w:hAnsiTheme="majorHAnsi" w:cstheme="majorHAnsi"/>
          <w:sz w:val="20"/>
          <w:szCs w:val="20"/>
        </w:rPr>
        <w:t>.</w:t>
      </w:r>
    </w:p>
    <w:p w14:paraId="2D58983F" w14:textId="2DACB147" w:rsidR="00135DD9" w:rsidRPr="00F91404" w:rsidRDefault="00135DD9" w:rsidP="006B32A6">
      <w:pPr>
        <w:spacing w:after="120" w:line="276" w:lineRule="auto"/>
        <w:ind w:left="0"/>
        <w:rPr>
          <w:rFonts w:asciiTheme="majorHAnsi" w:hAnsiTheme="majorHAnsi" w:cstheme="majorHAnsi"/>
          <w:sz w:val="20"/>
          <w:szCs w:val="20"/>
        </w:rPr>
      </w:pPr>
    </w:p>
    <w:p w14:paraId="138CB5B4" w14:textId="71C77289" w:rsidR="00135DD9" w:rsidRPr="00F91404" w:rsidRDefault="00135DD9" w:rsidP="008D5DDD">
      <w:pPr>
        <w:pStyle w:val="ListParagraph"/>
        <w:numPr>
          <w:ilvl w:val="0"/>
          <w:numId w:val="9"/>
        </w:numPr>
        <w:spacing w:line="276" w:lineRule="auto"/>
        <w:ind w:left="360"/>
        <w:rPr>
          <w:rFonts w:asciiTheme="majorHAnsi" w:hAnsiTheme="majorHAnsi" w:cstheme="majorHAnsi"/>
          <w:b/>
          <w:bCs/>
          <w:color w:val="005E5A" w:themeColor="accent5" w:themeShade="80"/>
          <w:sz w:val="21"/>
          <w:szCs w:val="21"/>
        </w:rPr>
      </w:pPr>
      <w:r w:rsidRPr="00F91404">
        <w:rPr>
          <w:rFonts w:asciiTheme="majorHAnsi" w:hAnsiTheme="majorHAnsi" w:cstheme="majorHAnsi"/>
          <w:b/>
          <w:bCs/>
          <w:color w:val="005E5A" w:themeColor="accent5" w:themeShade="80"/>
          <w:sz w:val="21"/>
          <w:szCs w:val="21"/>
        </w:rPr>
        <w:t>International cooperation as an institutionalised function</w:t>
      </w:r>
    </w:p>
    <w:p w14:paraId="18237A75" w14:textId="77777777" w:rsidR="00135DD9" w:rsidRPr="00F91404" w:rsidRDefault="00135DD9" w:rsidP="006B32A6">
      <w:pPr>
        <w:spacing w:after="120" w:line="276" w:lineRule="auto"/>
        <w:ind w:left="0"/>
        <w:rPr>
          <w:rFonts w:asciiTheme="majorHAnsi" w:hAnsiTheme="majorHAnsi" w:cstheme="majorHAnsi"/>
          <w:sz w:val="20"/>
          <w:szCs w:val="20"/>
        </w:rPr>
      </w:pPr>
      <w:r w:rsidRPr="00F91404">
        <w:rPr>
          <w:rFonts w:asciiTheme="majorHAnsi" w:hAnsiTheme="majorHAnsi" w:cstheme="majorHAnsi"/>
          <w:sz w:val="20"/>
          <w:szCs w:val="20"/>
        </w:rPr>
        <w:t>International cooperation reflects the extent to which cross-border engagement on hydrogen is embedded within institutional arrangements. This includes participation in bilateral agreements, regional initiatives and multilateral platforms.</w:t>
      </w:r>
    </w:p>
    <w:p w14:paraId="241D9998" w14:textId="77777777" w:rsidR="00135DD9" w:rsidRPr="00F91404" w:rsidRDefault="00135DD9" w:rsidP="006B32A6">
      <w:pPr>
        <w:spacing w:after="120" w:line="276" w:lineRule="auto"/>
        <w:ind w:left="0"/>
        <w:rPr>
          <w:rFonts w:asciiTheme="majorHAnsi" w:hAnsiTheme="majorHAnsi" w:cstheme="majorHAnsi"/>
          <w:sz w:val="20"/>
          <w:szCs w:val="20"/>
        </w:rPr>
      </w:pPr>
      <w:r w:rsidRPr="00F91404">
        <w:rPr>
          <w:rFonts w:asciiTheme="majorHAnsi" w:hAnsiTheme="majorHAnsi" w:cstheme="majorHAnsi"/>
          <w:sz w:val="20"/>
          <w:szCs w:val="20"/>
        </w:rPr>
        <w:t>The institutionalisation of international cooperation varies across countries, depending on whether hydrogen development is oriented toward domestic use, exports or international supply chains.</w:t>
      </w:r>
    </w:p>
    <w:p w14:paraId="1E9A33D0" w14:textId="7E6FB4F7" w:rsidR="00135DD9" w:rsidRPr="00F91404" w:rsidRDefault="00135DD9"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Netherlands</w:t>
      </w:r>
    </w:p>
    <w:p w14:paraId="1CC27301"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lastRenderedPageBreak/>
        <w:t xml:space="preserve">Institutional approach: </w:t>
      </w:r>
      <w:r w:rsidRPr="00F91404">
        <w:rPr>
          <w:rFonts w:asciiTheme="majorHAnsi" w:hAnsiTheme="majorHAnsi" w:cstheme="majorHAnsi"/>
          <w:sz w:val="20"/>
          <w:szCs w:val="20"/>
        </w:rPr>
        <w:t>Regional cooperation is embedded within European energy governance frameworks.</w:t>
      </w:r>
    </w:p>
    <w:p w14:paraId="6AC2A8EE"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Participation in EU and North Sea initiatives provides structured channels for coordination.</w:t>
      </w:r>
    </w:p>
    <w:p w14:paraId="48D79BCF" w14:textId="77777777" w:rsidR="00135DD9" w:rsidRPr="00F91404" w:rsidRDefault="00135DD9"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Observed institutional outcome: </w:t>
      </w:r>
      <w:r w:rsidRPr="00F91404">
        <w:rPr>
          <w:rFonts w:asciiTheme="majorHAnsi" w:hAnsiTheme="majorHAnsi" w:cstheme="majorHAnsi"/>
          <w:sz w:val="20"/>
          <w:szCs w:val="20"/>
        </w:rPr>
        <w:t>Institutionalised cross-border engagement linked to infrastructure and regulatory coordination.</w:t>
      </w:r>
    </w:p>
    <w:p w14:paraId="12813CE1" w14:textId="0A73256E" w:rsidR="00135DD9" w:rsidRPr="00F91404" w:rsidRDefault="00135DD9"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Japan</w:t>
      </w:r>
    </w:p>
    <w:p w14:paraId="03092DB4" w14:textId="373C75F1"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Institutional approach: </w:t>
      </w:r>
      <w:r w:rsidRPr="00F91404">
        <w:rPr>
          <w:rFonts w:asciiTheme="majorHAnsi" w:hAnsiTheme="majorHAnsi" w:cstheme="majorHAnsi"/>
          <w:sz w:val="20"/>
          <w:szCs w:val="20"/>
        </w:rPr>
        <w:t xml:space="preserve">Bilateral cooperation </w:t>
      </w:r>
      <w:r w:rsidR="00FD4AF3" w:rsidRPr="00F91404">
        <w:rPr>
          <w:rFonts w:asciiTheme="majorHAnsi" w:hAnsiTheme="majorHAnsi" w:cstheme="majorHAnsi"/>
          <w:sz w:val="20"/>
          <w:szCs w:val="20"/>
        </w:rPr>
        <w:t>and international institutions are</w:t>
      </w:r>
      <w:r w:rsidRPr="00F91404">
        <w:rPr>
          <w:rFonts w:asciiTheme="majorHAnsi" w:hAnsiTheme="majorHAnsi" w:cstheme="majorHAnsi"/>
          <w:sz w:val="20"/>
          <w:szCs w:val="20"/>
        </w:rPr>
        <w:t xml:space="preserve"> central to hydrogen governance.</w:t>
      </w:r>
    </w:p>
    <w:p w14:paraId="122AFB14" w14:textId="77777777" w:rsidR="00135DD9"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Government-led agreements structure engagement with international supply partners.</w:t>
      </w:r>
    </w:p>
    <w:p w14:paraId="5E2C9AB6" w14:textId="33394D1B" w:rsidR="00D61E0D" w:rsidRPr="00F91404" w:rsidRDefault="00135DD9"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institutional outcome: </w:t>
      </w:r>
      <w:r w:rsidRPr="00F91404">
        <w:rPr>
          <w:rFonts w:asciiTheme="majorHAnsi" w:hAnsiTheme="majorHAnsi" w:cstheme="majorHAnsi"/>
          <w:sz w:val="20"/>
          <w:szCs w:val="20"/>
        </w:rPr>
        <w:t>Formalised international cooperation aligned with domestic governance arrangements</w:t>
      </w:r>
      <w:r w:rsidR="00FD4AF3" w:rsidRPr="00F91404">
        <w:rPr>
          <w:rFonts w:asciiTheme="majorHAnsi" w:hAnsiTheme="majorHAnsi" w:cstheme="majorHAnsi"/>
          <w:sz w:val="20"/>
          <w:szCs w:val="20"/>
        </w:rPr>
        <w:t xml:space="preserve"> (fo</w:t>
      </w:r>
      <w:r w:rsidR="00C10CB4" w:rsidRPr="00F91404">
        <w:rPr>
          <w:rFonts w:asciiTheme="majorHAnsi" w:hAnsiTheme="majorHAnsi" w:cstheme="majorHAnsi"/>
          <w:sz w:val="20"/>
          <w:szCs w:val="20"/>
        </w:rPr>
        <w:t xml:space="preserve">r example </w:t>
      </w:r>
      <w:r w:rsidR="00A366ED" w:rsidRPr="00F91404">
        <w:rPr>
          <w:rFonts w:asciiTheme="majorHAnsi" w:hAnsiTheme="majorHAnsi" w:cstheme="majorHAnsi"/>
          <w:sz w:val="20"/>
          <w:szCs w:val="20"/>
        </w:rPr>
        <w:t>Japan is a founding member of Mission Innovation’s Hydrogen Mission focuses on scaling up hydrogen technologies through international cooperation and shared R&amp;D efforts</w:t>
      </w:r>
      <w:r w:rsidR="00423520" w:rsidRPr="00F91404">
        <w:rPr>
          <w:rFonts w:asciiTheme="majorHAnsi" w:hAnsiTheme="majorHAnsi" w:cstheme="majorHAnsi"/>
          <w:sz w:val="20"/>
          <w:szCs w:val="20"/>
        </w:rPr>
        <w:t>, other collaborations include IRENA and IFC.</w:t>
      </w:r>
    </w:p>
    <w:p w14:paraId="15B9BC79" w14:textId="77777777" w:rsidR="00D643F2" w:rsidRPr="00F91404" w:rsidRDefault="00D643F2" w:rsidP="00D643F2">
      <w:pPr>
        <w:spacing w:after="120" w:line="276" w:lineRule="auto"/>
        <w:ind w:left="2160"/>
        <w:rPr>
          <w:rFonts w:asciiTheme="majorHAnsi" w:hAnsiTheme="majorHAnsi" w:cstheme="majorHAnsi"/>
          <w:sz w:val="20"/>
          <w:szCs w:val="20"/>
        </w:rPr>
      </w:pPr>
    </w:p>
    <w:p w14:paraId="2D20B66C" w14:textId="0915B1A6" w:rsidR="00113567" w:rsidRPr="00F91404" w:rsidRDefault="00B72177" w:rsidP="00D643F2">
      <w:pPr>
        <w:rPr>
          <w:b/>
          <w:color w:val="004C43" w:themeColor="accent1"/>
          <w:sz w:val="24"/>
          <w:szCs w:val="32"/>
        </w:rPr>
      </w:pPr>
      <w:bookmarkStart w:id="36" w:name="_Toc220695672"/>
      <w:bookmarkStart w:id="37" w:name="_Toc220695997"/>
      <w:r w:rsidRPr="00F91404">
        <w:rPr>
          <w:b/>
          <w:color w:val="004C43" w:themeColor="accent1"/>
          <w:sz w:val="24"/>
          <w:szCs w:val="32"/>
        </w:rPr>
        <w:t>6</w:t>
      </w:r>
      <w:r w:rsidR="00D643F2" w:rsidRPr="00F91404">
        <w:rPr>
          <w:b/>
          <w:color w:val="004C43" w:themeColor="accent1"/>
          <w:sz w:val="24"/>
          <w:szCs w:val="32"/>
        </w:rPr>
        <w:t xml:space="preserve">.3 </w:t>
      </w:r>
      <w:r w:rsidR="00113567" w:rsidRPr="00F91404">
        <w:rPr>
          <w:b/>
          <w:color w:val="004C43" w:themeColor="accent1"/>
          <w:sz w:val="24"/>
          <w:szCs w:val="32"/>
        </w:rPr>
        <w:t>Legal and Regulatory Foundations</w:t>
      </w:r>
      <w:bookmarkEnd w:id="36"/>
      <w:bookmarkEnd w:id="37"/>
    </w:p>
    <w:p w14:paraId="0C6CD8BE" w14:textId="4E98A1F9" w:rsidR="00AC732B" w:rsidRPr="00F91404" w:rsidRDefault="00AC732B" w:rsidP="00223680">
      <w:pPr>
        <w:spacing w:line="276" w:lineRule="auto"/>
        <w:rPr>
          <w:sz w:val="20"/>
          <w:szCs w:val="24"/>
        </w:rPr>
      </w:pPr>
      <w:r w:rsidRPr="00F91404">
        <w:rPr>
          <w:sz w:val="20"/>
          <w:szCs w:val="24"/>
        </w:rPr>
        <w:t>Legal and regulatory frameworks for hydrogen tend to evolve incrementally as markets mature. International experience indicates that early deployment is shaped less by the existence of comprehensive hydrogen-specific legislation than by whether core regulatory issues, particularly those affecting safety, permitting and eligibility, are sufficiently resolved to provide confidence for early investment. Differences observed across countries therefore reflect sequencing choices and regulatory prioritisation, rather than the simple presence or absence of regulation.</w:t>
      </w:r>
    </w:p>
    <w:p w14:paraId="55BEF895" w14:textId="401F50D5" w:rsidR="00223680" w:rsidRPr="00F91404" w:rsidRDefault="00336EEB" w:rsidP="00223680">
      <w:pPr>
        <w:spacing w:line="276" w:lineRule="auto"/>
        <w:rPr>
          <w:sz w:val="20"/>
          <w:szCs w:val="24"/>
        </w:rPr>
      </w:pPr>
      <w:proofErr w:type="gramStart"/>
      <w:r w:rsidRPr="00F91404">
        <w:rPr>
          <w:sz w:val="20"/>
          <w:szCs w:val="24"/>
        </w:rPr>
        <w:t>For the purpose of</w:t>
      </w:r>
      <w:proofErr w:type="gramEnd"/>
      <w:r w:rsidRPr="00F91404">
        <w:rPr>
          <w:sz w:val="20"/>
          <w:szCs w:val="24"/>
        </w:rPr>
        <w:t xml:space="preserve"> this assessment, </w:t>
      </w:r>
      <w:r w:rsidR="00D91533" w:rsidRPr="00F91404">
        <w:rPr>
          <w:sz w:val="20"/>
          <w:szCs w:val="24"/>
        </w:rPr>
        <w:t>we define</w:t>
      </w:r>
      <w:r w:rsidRPr="00F91404">
        <w:rPr>
          <w:sz w:val="20"/>
          <w:szCs w:val="24"/>
        </w:rPr>
        <w:t xml:space="preserve"> </w:t>
      </w:r>
      <w:r w:rsidRPr="00F91404">
        <w:rPr>
          <w:i/>
          <w:iCs/>
          <w:sz w:val="20"/>
          <w:szCs w:val="24"/>
        </w:rPr>
        <w:t>‘l</w:t>
      </w:r>
      <w:r w:rsidR="00223680" w:rsidRPr="00F91404">
        <w:rPr>
          <w:i/>
          <w:iCs/>
          <w:sz w:val="20"/>
          <w:szCs w:val="24"/>
        </w:rPr>
        <w:t>egal and regulatory foundations</w:t>
      </w:r>
      <w:r w:rsidRPr="00F91404">
        <w:rPr>
          <w:i/>
          <w:iCs/>
          <w:sz w:val="20"/>
          <w:szCs w:val="24"/>
        </w:rPr>
        <w:t>’</w:t>
      </w:r>
      <w:r w:rsidR="00223680" w:rsidRPr="00F91404">
        <w:rPr>
          <w:i/>
          <w:iCs/>
          <w:sz w:val="20"/>
          <w:szCs w:val="24"/>
        </w:rPr>
        <w:t xml:space="preserve"> </w:t>
      </w:r>
      <w:r w:rsidR="0007495A" w:rsidRPr="00F91404">
        <w:rPr>
          <w:sz w:val="20"/>
          <w:szCs w:val="24"/>
        </w:rPr>
        <w:t>as</w:t>
      </w:r>
      <w:r w:rsidR="00223680" w:rsidRPr="00F91404">
        <w:rPr>
          <w:sz w:val="20"/>
          <w:szCs w:val="24"/>
        </w:rPr>
        <w:t xml:space="preserve"> the regulatory architecture that </w:t>
      </w:r>
      <w:r w:rsidR="0007495A" w:rsidRPr="00F91404">
        <w:rPr>
          <w:sz w:val="20"/>
          <w:szCs w:val="24"/>
        </w:rPr>
        <w:t>underpins</w:t>
      </w:r>
      <w:r w:rsidR="00223680" w:rsidRPr="00F91404">
        <w:rPr>
          <w:sz w:val="20"/>
          <w:szCs w:val="24"/>
        </w:rPr>
        <w:t xml:space="preserve"> how hydrogen projects are classified, permitted, certified and supervised. This includes the existence of usable definitions for green hydrogen, the presence or absence of hydrogen-specific regulation, the development of certification and sustainability standards, and the identification of regulatory gaps that affect project development.</w:t>
      </w:r>
    </w:p>
    <w:p w14:paraId="27E31D72" w14:textId="5D1D67BD" w:rsidR="00FF7CB0" w:rsidRPr="00F91404" w:rsidRDefault="00223680" w:rsidP="00A82577">
      <w:pPr>
        <w:spacing w:after="360" w:line="276" w:lineRule="auto"/>
        <w:rPr>
          <w:sz w:val="20"/>
          <w:szCs w:val="24"/>
        </w:rPr>
      </w:pPr>
      <w:r w:rsidRPr="00F91404">
        <w:rPr>
          <w:sz w:val="20"/>
          <w:szCs w:val="24"/>
        </w:rPr>
        <w:t>Th</w:t>
      </w:r>
      <w:r w:rsidR="00643EAC" w:rsidRPr="00F91404">
        <w:rPr>
          <w:sz w:val="20"/>
          <w:szCs w:val="24"/>
        </w:rPr>
        <w:t>is assessment</w:t>
      </w:r>
      <w:r w:rsidRPr="00F91404">
        <w:rPr>
          <w:sz w:val="20"/>
          <w:szCs w:val="24"/>
        </w:rPr>
        <w:t xml:space="preserve"> examines how countries have structured their legal and regulatory frameworks for hydrogen, and how these frameworks differ in terms of clarity, maturity and alignment with international practices.</w:t>
      </w:r>
    </w:p>
    <w:p w14:paraId="4FD744DE" w14:textId="0ADBC145" w:rsidR="00CC0CFB" w:rsidRPr="00F91404" w:rsidRDefault="00CC0CFB" w:rsidP="00FF7CB0">
      <w:pPr>
        <w:spacing w:before="240"/>
        <w:jc w:val="center"/>
      </w:pPr>
      <w:r w:rsidRPr="00F91404">
        <w:rPr>
          <w:rFonts w:cstheme="minorHAnsi"/>
          <w:b/>
          <w:sz w:val="18"/>
          <w:szCs w:val="18"/>
        </w:rPr>
        <w:t>Table 5. Legal and Regulatory Foundations Framework</w:t>
      </w:r>
    </w:p>
    <w:tbl>
      <w:tblPr>
        <w:tblW w:w="10626" w:type="dxa"/>
        <w:tblInd w:w="-426" w:type="dxa"/>
        <w:tblCellMar>
          <w:left w:w="70" w:type="dxa"/>
          <w:right w:w="70" w:type="dxa"/>
        </w:tblCellMar>
        <w:tblLook w:val="04A0" w:firstRow="1" w:lastRow="0" w:firstColumn="1" w:lastColumn="0" w:noHBand="0" w:noVBand="1"/>
      </w:tblPr>
      <w:tblGrid>
        <w:gridCol w:w="1844"/>
        <w:gridCol w:w="1701"/>
        <w:gridCol w:w="3260"/>
        <w:gridCol w:w="3821"/>
      </w:tblGrid>
      <w:tr w:rsidR="003D4ED3" w:rsidRPr="00F91404" w14:paraId="30FA0569" w14:textId="77777777" w:rsidTr="00F9442E">
        <w:trPr>
          <w:trHeight w:val="690"/>
        </w:trPr>
        <w:tc>
          <w:tcPr>
            <w:tcW w:w="1844" w:type="dxa"/>
            <w:shd w:val="clear" w:color="auto" w:fill="004C43" w:themeFill="accent1"/>
            <w:vAlign w:val="center"/>
            <w:hideMark/>
          </w:tcPr>
          <w:p w14:paraId="4C9D6707" w14:textId="77777777" w:rsidR="003D4ED3" w:rsidRPr="00F91404" w:rsidRDefault="003D4ED3" w:rsidP="003D4ED3">
            <w:pPr>
              <w:spacing w:after="0"/>
              <w:ind w:left="0"/>
              <w:jc w:val="center"/>
              <w:rPr>
                <w:rFonts w:asciiTheme="majorHAnsi" w:eastAsia="Times New Roman" w:hAnsiTheme="majorHAnsi" w:cstheme="majorHAnsi"/>
                <w:b/>
                <w:bCs/>
                <w:color w:val="FFFFFF"/>
                <w:sz w:val="18"/>
                <w:szCs w:val="18"/>
                <w:lang w:eastAsia="es-MX"/>
              </w:rPr>
            </w:pPr>
            <w:r w:rsidRPr="00F91404">
              <w:rPr>
                <w:rFonts w:asciiTheme="majorHAnsi" w:eastAsia="Times New Roman" w:hAnsiTheme="majorHAnsi" w:cstheme="majorHAnsi"/>
                <w:b/>
                <w:bCs/>
                <w:color w:val="FFFFFF"/>
                <w:sz w:val="18"/>
                <w:szCs w:val="18"/>
                <w:lang w:eastAsia="es-MX"/>
              </w:rPr>
              <w:t>Dimension area</w:t>
            </w:r>
          </w:p>
        </w:tc>
        <w:tc>
          <w:tcPr>
            <w:tcW w:w="1701" w:type="dxa"/>
            <w:shd w:val="clear" w:color="auto" w:fill="004C43" w:themeFill="accent1"/>
            <w:vAlign w:val="center"/>
            <w:hideMark/>
          </w:tcPr>
          <w:p w14:paraId="4D866430" w14:textId="77777777" w:rsidR="003D4ED3" w:rsidRPr="00F91404" w:rsidRDefault="003D4ED3" w:rsidP="003D4ED3">
            <w:pPr>
              <w:spacing w:after="0"/>
              <w:ind w:left="0"/>
              <w:jc w:val="center"/>
              <w:rPr>
                <w:rFonts w:asciiTheme="majorHAnsi" w:eastAsia="Times New Roman" w:hAnsiTheme="majorHAnsi" w:cstheme="majorHAnsi"/>
                <w:b/>
                <w:bCs/>
                <w:color w:val="FFFFFF"/>
                <w:sz w:val="18"/>
                <w:szCs w:val="18"/>
                <w:lang w:eastAsia="es-MX"/>
              </w:rPr>
            </w:pPr>
            <w:r w:rsidRPr="00F91404">
              <w:rPr>
                <w:rFonts w:asciiTheme="majorHAnsi" w:eastAsia="Times New Roman" w:hAnsiTheme="majorHAnsi" w:cstheme="majorHAnsi"/>
                <w:b/>
                <w:bCs/>
                <w:color w:val="FFFFFF"/>
                <w:sz w:val="18"/>
                <w:szCs w:val="18"/>
                <w:lang w:eastAsia="es-MX"/>
              </w:rPr>
              <w:t>Category</w:t>
            </w:r>
          </w:p>
        </w:tc>
        <w:tc>
          <w:tcPr>
            <w:tcW w:w="3260" w:type="dxa"/>
            <w:shd w:val="clear" w:color="auto" w:fill="004C43" w:themeFill="accent1"/>
            <w:vAlign w:val="center"/>
            <w:hideMark/>
          </w:tcPr>
          <w:p w14:paraId="37BE6DD0" w14:textId="77777777" w:rsidR="003D4ED3" w:rsidRPr="00F91404" w:rsidRDefault="003D4ED3" w:rsidP="003D4ED3">
            <w:pPr>
              <w:spacing w:after="0"/>
              <w:ind w:left="0"/>
              <w:jc w:val="center"/>
              <w:rPr>
                <w:rFonts w:asciiTheme="majorHAnsi" w:eastAsia="Times New Roman" w:hAnsiTheme="majorHAnsi" w:cstheme="majorHAnsi"/>
                <w:b/>
                <w:bCs/>
                <w:color w:val="FFFFFF"/>
                <w:sz w:val="18"/>
                <w:szCs w:val="18"/>
                <w:lang w:eastAsia="es-MX"/>
              </w:rPr>
            </w:pPr>
            <w:r w:rsidRPr="00F91404">
              <w:rPr>
                <w:rFonts w:asciiTheme="majorHAnsi" w:eastAsia="Times New Roman" w:hAnsiTheme="majorHAnsi" w:cstheme="majorHAnsi"/>
                <w:b/>
                <w:bCs/>
                <w:color w:val="FFFFFF"/>
                <w:sz w:val="18"/>
                <w:szCs w:val="18"/>
                <w:lang w:eastAsia="es-MX"/>
              </w:rPr>
              <w:t>What is assessed</w:t>
            </w:r>
          </w:p>
        </w:tc>
        <w:tc>
          <w:tcPr>
            <w:tcW w:w="3821" w:type="dxa"/>
            <w:shd w:val="clear" w:color="auto" w:fill="004C43" w:themeFill="accent1"/>
            <w:vAlign w:val="center"/>
            <w:hideMark/>
          </w:tcPr>
          <w:p w14:paraId="1F879F61" w14:textId="77777777" w:rsidR="003D4ED3" w:rsidRPr="00F91404" w:rsidRDefault="003D4ED3" w:rsidP="003D4ED3">
            <w:pPr>
              <w:spacing w:after="0"/>
              <w:ind w:left="0"/>
              <w:jc w:val="center"/>
              <w:rPr>
                <w:rFonts w:asciiTheme="majorHAnsi" w:eastAsia="Times New Roman" w:hAnsiTheme="majorHAnsi" w:cstheme="majorHAnsi"/>
                <w:b/>
                <w:bCs/>
                <w:color w:val="FFFFFF"/>
                <w:sz w:val="18"/>
                <w:szCs w:val="18"/>
                <w:lang w:eastAsia="es-MX"/>
              </w:rPr>
            </w:pPr>
            <w:r w:rsidRPr="00F91404">
              <w:rPr>
                <w:rFonts w:asciiTheme="majorHAnsi" w:eastAsia="Times New Roman" w:hAnsiTheme="majorHAnsi" w:cstheme="majorHAnsi"/>
                <w:b/>
                <w:bCs/>
                <w:color w:val="FFFFFF"/>
                <w:sz w:val="18"/>
                <w:szCs w:val="18"/>
                <w:lang w:eastAsia="es-MX"/>
              </w:rPr>
              <w:t>Evaluation approach</w:t>
            </w:r>
          </w:p>
        </w:tc>
      </w:tr>
      <w:tr w:rsidR="003D4ED3" w:rsidRPr="00F91404" w14:paraId="13CB4A8F" w14:textId="77777777" w:rsidTr="00F9442E">
        <w:trPr>
          <w:trHeight w:val="1440"/>
        </w:trPr>
        <w:tc>
          <w:tcPr>
            <w:tcW w:w="1844" w:type="dxa"/>
            <w:tcBorders>
              <w:bottom w:val="dashed" w:sz="4" w:space="0" w:color="808080"/>
            </w:tcBorders>
            <w:shd w:val="clear" w:color="auto" w:fill="F2F2F2" w:themeFill="background1" w:themeFillShade="F2"/>
            <w:vAlign w:val="center"/>
            <w:hideMark/>
          </w:tcPr>
          <w:p w14:paraId="02AE5754" w14:textId="77777777"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Regulatory framework for production</w:t>
            </w:r>
          </w:p>
        </w:tc>
        <w:tc>
          <w:tcPr>
            <w:tcW w:w="1701" w:type="dxa"/>
            <w:tcBorders>
              <w:bottom w:val="dashed" w:sz="4" w:space="0" w:color="808080"/>
            </w:tcBorders>
            <w:vAlign w:val="center"/>
            <w:hideMark/>
          </w:tcPr>
          <w:p w14:paraId="7558DE3F" w14:textId="77777777"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Definitions and criteria for “green hydrogen”</w:t>
            </w:r>
          </w:p>
        </w:tc>
        <w:tc>
          <w:tcPr>
            <w:tcW w:w="3260" w:type="dxa"/>
            <w:tcBorders>
              <w:bottom w:val="dashed" w:sz="4" w:space="0" w:color="808080"/>
            </w:tcBorders>
            <w:vAlign w:val="center"/>
            <w:hideMark/>
          </w:tcPr>
          <w:p w14:paraId="6D530196" w14:textId="77777777" w:rsidR="003D4ED3"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Whether “green hydrogen” (or equivalent: renewable / clean / low-carbon hydrogen) is defined with usable criteria (e.g., emissions thresholds, electricity sourcing rules, accounting approach) and whether it is applied in policy instruments.</w:t>
            </w:r>
          </w:p>
        </w:tc>
        <w:tc>
          <w:tcPr>
            <w:tcW w:w="3821" w:type="dxa"/>
            <w:tcBorders>
              <w:bottom w:val="dashed" w:sz="4" w:space="0" w:color="808080"/>
            </w:tcBorders>
            <w:vAlign w:val="center"/>
            <w:hideMark/>
          </w:tcPr>
          <w:p w14:paraId="04226144" w14:textId="77777777" w:rsidR="002504BB"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bCs/>
                <w:color w:val="000000"/>
                <w:sz w:val="18"/>
                <w:szCs w:val="18"/>
                <w:lang w:eastAsia="es-MX"/>
              </w:rPr>
              <w:t>High:</w:t>
            </w:r>
            <w:r w:rsidRPr="00F91404">
              <w:rPr>
                <w:rFonts w:asciiTheme="majorHAnsi" w:eastAsia="Times New Roman" w:hAnsiTheme="majorHAnsi" w:cstheme="majorHAnsi"/>
                <w:color w:val="000000"/>
                <w:sz w:val="18"/>
                <w:szCs w:val="18"/>
                <w:lang w:eastAsia="es-MX"/>
              </w:rPr>
              <w:t xml:space="preserve"> clear, operational definition used for eligibility and/or permitting</w:t>
            </w:r>
          </w:p>
          <w:p w14:paraId="54594217" w14:textId="77777777" w:rsidR="002504BB"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bCs/>
                <w:color w:val="000000"/>
                <w:sz w:val="18"/>
                <w:szCs w:val="18"/>
                <w:lang w:eastAsia="es-MX"/>
              </w:rPr>
              <w:t>Medium:</w:t>
            </w:r>
            <w:r w:rsidRPr="00F91404">
              <w:rPr>
                <w:rFonts w:asciiTheme="majorHAnsi" w:eastAsia="Times New Roman" w:hAnsiTheme="majorHAnsi" w:cstheme="majorHAnsi"/>
                <w:color w:val="000000"/>
                <w:sz w:val="18"/>
                <w:szCs w:val="18"/>
                <w:lang w:eastAsia="es-MX"/>
              </w:rPr>
              <w:t xml:space="preserve"> definition exists but remains partial or evolving</w:t>
            </w:r>
          </w:p>
          <w:p w14:paraId="2470BB39" w14:textId="54F4F49E"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Low:</w:t>
            </w:r>
            <w:r w:rsidRPr="00F91404">
              <w:rPr>
                <w:rFonts w:asciiTheme="majorHAnsi" w:eastAsia="Times New Roman" w:hAnsiTheme="majorHAnsi" w:cstheme="majorHAnsi"/>
                <w:color w:val="000000"/>
                <w:sz w:val="18"/>
                <w:szCs w:val="18"/>
                <w:lang w:eastAsia="es-MX"/>
              </w:rPr>
              <w:t xml:space="preserve"> no usable definition beyond general references.</w:t>
            </w:r>
          </w:p>
        </w:tc>
      </w:tr>
      <w:tr w:rsidR="003D4ED3" w:rsidRPr="00F91404" w14:paraId="55722ABB" w14:textId="77777777" w:rsidTr="00F9442E">
        <w:trPr>
          <w:trHeight w:val="1680"/>
        </w:trPr>
        <w:tc>
          <w:tcPr>
            <w:tcW w:w="1844" w:type="dxa"/>
            <w:tcBorders>
              <w:top w:val="dashed" w:sz="4" w:space="0" w:color="808080"/>
              <w:bottom w:val="dashed" w:sz="4" w:space="0" w:color="808080"/>
            </w:tcBorders>
            <w:shd w:val="clear" w:color="auto" w:fill="F2F2F2" w:themeFill="background1" w:themeFillShade="F2"/>
            <w:vAlign w:val="center"/>
            <w:hideMark/>
          </w:tcPr>
          <w:p w14:paraId="78F8030C" w14:textId="77777777"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lastRenderedPageBreak/>
              <w:t>Regulatory framework for production</w:t>
            </w:r>
          </w:p>
        </w:tc>
        <w:tc>
          <w:tcPr>
            <w:tcW w:w="1701" w:type="dxa"/>
            <w:tcBorders>
              <w:top w:val="dashed" w:sz="4" w:space="0" w:color="808080"/>
              <w:bottom w:val="dashed" w:sz="4" w:space="0" w:color="808080"/>
            </w:tcBorders>
            <w:shd w:val="clear" w:color="auto" w:fill="E0F1DF" w:themeFill="accent2" w:themeFillTint="33"/>
            <w:vAlign w:val="center"/>
            <w:hideMark/>
          </w:tcPr>
          <w:p w14:paraId="5D99DEEA" w14:textId="77777777"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Dedicated regulation for green hydrogen</w:t>
            </w:r>
          </w:p>
        </w:tc>
        <w:tc>
          <w:tcPr>
            <w:tcW w:w="3260" w:type="dxa"/>
            <w:tcBorders>
              <w:top w:val="dashed" w:sz="4" w:space="0" w:color="808080"/>
              <w:bottom w:val="dashed" w:sz="4" w:space="0" w:color="808080"/>
            </w:tcBorders>
            <w:shd w:val="clear" w:color="auto" w:fill="E0F1DF" w:themeFill="accent2" w:themeFillTint="33"/>
            <w:vAlign w:val="center"/>
            <w:hideMark/>
          </w:tcPr>
          <w:p w14:paraId="7309A513" w14:textId="77777777" w:rsidR="003D4ED3"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Whether hydrogen is governed by a hydrogen-specific legal or regulatory framework (e.g., hydrogen law, hydrogen safety act, dedicated permitting regime), versus being handled under existing energy, fuels, industrial and environmental rules.</w:t>
            </w:r>
          </w:p>
        </w:tc>
        <w:tc>
          <w:tcPr>
            <w:tcW w:w="3821" w:type="dxa"/>
            <w:tcBorders>
              <w:top w:val="dashed" w:sz="4" w:space="0" w:color="808080"/>
              <w:bottom w:val="dashed" w:sz="4" w:space="0" w:color="808080"/>
            </w:tcBorders>
            <w:shd w:val="clear" w:color="auto" w:fill="E0F1DF" w:themeFill="accent2" w:themeFillTint="33"/>
            <w:vAlign w:val="center"/>
            <w:hideMark/>
          </w:tcPr>
          <w:p w14:paraId="014C7DCA" w14:textId="77777777" w:rsidR="002504BB"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bCs/>
                <w:color w:val="000000"/>
                <w:sz w:val="18"/>
                <w:szCs w:val="18"/>
                <w:lang w:eastAsia="es-MX"/>
              </w:rPr>
              <w:t>Dedicated:</w:t>
            </w:r>
            <w:r w:rsidRPr="00F91404">
              <w:rPr>
                <w:rFonts w:asciiTheme="majorHAnsi" w:eastAsia="Times New Roman" w:hAnsiTheme="majorHAnsi" w:cstheme="majorHAnsi"/>
                <w:color w:val="000000"/>
                <w:sz w:val="18"/>
                <w:szCs w:val="18"/>
                <w:lang w:eastAsia="es-MX"/>
              </w:rPr>
              <w:t xml:space="preserve"> hydrogen-specific regulation or law in place</w:t>
            </w:r>
          </w:p>
          <w:p w14:paraId="331779EF" w14:textId="77777777" w:rsidR="002504BB"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bCs/>
                <w:color w:val="000000"/>
                <w:sz w:val="18"/>
                <w:szCs w:val="18"/>
                <w:lang w:eastAsia="es-MX"/>
              </w:rPr>
              <w:t>Embedded:</w:t>
            </w:r>
            <w:r w:rsidRPr="00F91404">
              <w:rPr>
                <w:rFonts w:asciiTheme="majorHAnsi" w:eastAsia="Times New Roman" w:hAnsiTheme="majorHAnsi" w:cstheme="majorHAnsi"/>
                <w:color w:val="000000"/>
                <w:sz w:val="18"/>
                <w:szCs w:val="18"/>
                <w:lang w:eastAsia="es-MX"/>
              </w:rPr>
              <w:t xml:space="preserve"> regulated via existing laws with some hydrogen-specific guidance/secondary instruments</w:t>
            </w:r>
          </w:p>
          <w:p w14:paraId="540EC396" w14:textId="3B046806"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None:</w:t>
            </w:r>
            <w:r w:rsidRPr="00F91404">
              <w:rPr>
                <w:rFonts w:asciiTheme="majorHAnsi" w:eastAsia="Times New Roman" w:hAnsiTheme="majorHAnsi" w:cstheme="majorHAnsi"/>
                <w:color w:val="000000"/>
                <w:sz w:val="18"/>
                <w:szCs w:val="18"/>
                <w:lang w:eastAsia="es-MX"/>
              </w:rPr>
              <w:t xml:space="preserve"> no meaningful hydrogen-specific regulatory instruments beyond planning statements.</w:t>
            </w:r>
          </w:p>
        </w:tc>
      </w:tr>
      <w:tr w:rsidR="003D4ED3" w:rsidRPr="00F91404" w14:paraId="15746773" w14:textId="77777777" w:rsidTr="00F9442E">
        <w:trPr>
          <w:trHeight w:val="1200"/>
        </w:trPr>
        <w:tc>
          <w:tcPr>
            <w:tcW w:w="1844" w:type="dxa"/>
            <w:tcBorders>
              <w:top w:val="dashed" w:sz="4" w:space="0" w:color="808080"/>
              <w:bottom w:val="dashed" w:sz="4" w:space="0" w:color="808080"/>
            </w:tcBorders>
            <w:shd w:val="clear" w:color="auto" w:fill="F2F2F2" w:themeFill="background1" w:themeFillShade="F2"/>
            <w:vAlign w:val="center"/>
            <w:hideMark/>
          </w:tcPr>
          <w:p w14:paraId="17DE2E97" w14:textId="77777777"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Certification and sustainability standards</w:t>
            </w:r>
          </w:p>
        </w:tc>
        <w:tc>
          <w:tcPr>
            <w:tcW w:w="1701" w:type="dxa"/>
            <w:tcBorders>
              <w:top w:val="dashed" w:sz="4" w:space="0" w:color="808080"/>
              <w:bottom w:val="dashed" w:sz="4" w:space="0" w:color="808080"/>
            </w:tcBorders>
            <w:vAlign w:val="center"/>
            <w:hideMark/>
          </w:tcPr>
          <w:p w14:paraId="41AE047D" w14:textId="77777777"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Certification schemes for green hydrogen</w:t>
            </w:r>
          </w:p>
        </w:tc>
        <w:tc>
          <w:tcPr>
            <w:tcW w:w="3260" w:type="dxa"/>
            <w:tcBorders>
              <w:top w:val="dashed" w:sz="4" w:space="0" w:color="808080"/>
              <w:bottom w:val="dashed" w:sz="4" w:space="0" w:color="808080"/>
            </w:tcBorders>
            <w:vAlign w:val="center"/>
            <w:hideMark/>
          </w:tcPr>
          <w:p w14:paraId="4BEEFAA3" w14:textId="77777777" w:rsidR="003D4ED3"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Whether a certification scheme exists and is operational (e.g., Guarantees of Origin, national certification), including sustainability criteria and verification processes.</w:t>
            </w:r>
          </w:p>
        </w:tc>
        <w:tc>
          <w:tcPr>
            <w:tcW w:w="3821" w:type="dxa"/>
            <w:tcBorders>
              <w:top w:val="dashed" w:sz="4" w:space="0" w:color="808080"/>
              <w:bottom w:val="dashed" w:sz="4" w:space="0" w:color="808080"/>
            </w:tcBorders>
            <w:vAlign w:val="center"/>
            <w:hideMark/>
          </w:tcPr>
          <w:p w14:paraId="6B463468" w14:textId="77777777" w:rsidR="002504BB"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bCs/>
                <w:color w:val="000000"/>
                <w:sz w:val="18"/>
                <w:szCs w:val="18"/>
                <w:lang w:eastAsia="es-MX"/>
              </w:rPr>
              <w:t>High:</w:t>
            </w:r>
            <w:r w:rsidRPr="00F91404">
              <w:rPr>
                <w:rFonts w:asciiTheme="majorHAnsi" w:eastAsia="Times New Roman" w:hAnsiTheme="majorHAnsi" w:cstheme="majorHAnsi"/>
                <w:color w:val="000000"/>
                <w:sz w:val="18"/>
                <w:szCs w:val="18"/>
                <w:lang w:eastAsia="es-MX"/>
              </w:rPr>
              <w:t xml:space="preserve"> operational and used for eligibility and/or trade</w:t>
            </w:r>
          </w:p>
          <w:p w14:paraId="7DDAA316" w14:textId="77777777" w:rsidR="002504BB"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bCs/>
                <w:color w:val="000000"/>
                <w:sz w:val="18"/>
                <w:szCs w:val="18"/>
                <w:lang w:eastAsia="es-MX"/>
              </w:rPr>
              <w:t>Medium:</w:t>
            </w:r>
            <w:r w:rsidRPr="00F91404">
              <w:rPr>
                <w:rFonts w:asciiTheme="majorHAnsi" w:eastAsia="Times New Roman" w:hAnsiTheme="majorHAnsi" w:cstheme="majorHAnsi"/>
                <w:color w:val="000000"/>
                <w:sz w:val="18"/>
                <w:szCs w:val="18"/>
                <w:lang w:eastAsia="es-MX"/>
              </w:rPr>
              <w:t xml:space="preserve"> under development or partially operational</w:t>
            </w:r>
          </w:p>
          <w:p w14:paraId="2A122724" w14:textId="0AFF43D9"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Low:</w:t>
            </w:r>
            <w:r w:rsidRPr="00F91404">
              <w:rPr>
                <w:rFonts w:asciiTheme="majorHAnsi" w:eastAsia="Times New Roman" w:hAnsiTheme="majorHAnsi" w:cstheme="majorHAnsi"/>
                <w:color w:val="000000"/>
                <w:sz w:val="18"/>
                <w:szCs w:val="18"/>
                <w:lang w:eastAsia="es-MX"/>
              </w:rPr>
              <w:t xml:space="preserve"> absent or not operational.</w:t>
            </w:r>
          </w:p>
        </w:tc>
      </w:tr>
      <w:tr w:rsidR="003D4ED3" w:rsidRPr="00F91404" w14:paraId="0B75F7A7" w14:textId="77777777" w:rsidTr="00F9442E">
        <w:trPr>
          <w:trHeight w:val="1200"/>
        </w:trPr>
        <w:tc>
          <w:tcPr>
            <w:tcW w:w="1844" w:type="dxa"/>
            <w:tcBorders>
              <w:top w:val="dashed" w:sz="4" w:space="0" w:color="808080"/>
              <w:bottom w:val="dashed" w:sz="4" w:space="0" w:color="808080"/>
            </w:tcBorders>
            <w:shd w:val="clear" w:color="auto" w:fill="F2F2F2" w:themeFill="background1" w:themeFillShade="F2"/>
            <w:vAlign w:val="center"/>
            <w:hideMark/>
          </w:tcPr>
          <w:p w14:paraId="2DB15250" w14:textId="77777777"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Certification and sustainability standards</w:t>
            </w:r>
          </w:p>
        </w:tc>
        <w:tc>
          <w:tcPr>
            <w:tcW w:w="1701" w:type="dxa"/>
            <w:tcBorders>
              <w:top w:val="dashed" w:sz="4" w:space="0" w:color="808080"/>
              <w:bottom w:val="dashed" w:sz="4" w:space="0" w:color="808080"/>
            </w:tcBorders>
            <w:shd w:val="clear" w:color="auto" w:fill="E0F1DF" w:themeFill="accent2" w:themeFillTint="33"/>
            <w:vAlign w:val="center"/>
            <w:hideMark/>
          </w:tcPr>
          <w:p w14:paraId="06AF8EFF" w14:textId="77777777"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Alignment with international certification frameworks</w:t>
            </w:r>
          </w:p>
        </w:tc>
        <w:tc>
          <w:tcPr>
            <w:tcW w:w="3260" w:type="dxa"/>
            <w:tcBorders>
              <w:top w:val="dashed" w:sz="4" w:space="0" w:color="808080"/>
              <w:bottom w:val="dashed" w:sz="4" w:space="0" w:color="808080"/>
            </w:tcBorders>
            <w:shd w:val="clear" w:color="auto" w:fill="E0F1DF" w:themeFill="accent2" w:themeFillTint="33"/>
            <w:vAlign w:val="center"/>
            <w:hideMark/>
          </w:tcPr>
          <w:p w14:paraId="180D8E80" w14:textId="77777777" w:rsidR="003D4ED3"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Degree of explicit alignment with recognised external frameworks used for market access and/or trade (e.g., EU RFNBO criteria, Guarantees of Origin, other internationally recognised schemes).</w:t>
            </w:r>
          </w:p>
        </w:tc>
        <w:tc>
          <w:tcPr>
            <w:tcW w:w="3821" w:type="dxa"/>
            <w:tcBorders>
              <w:top w:val="dashed" w:sz="4" w:space="0" w:color="808080"/>
              <w:bottom w:val="dashed" w:sz="4" w:space="0" w:color="808080"/>
            </w:tcBorders>
            <w:shd w:val="clear" w:color="auto" w:fill="E0F1DF" w:themeFill="accent2" w:themeFillTint="33"/>
            <w:vAlign w:val="center"/>
            <w:hideMark/>
          </w:tcPr>
          <w:p w14:paraId="7B370463" w14:textId="77777777" w:rsidR="002504BB"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bCs/>
                <w:color w:val="000000"/>
                <w:sz w:val="18"/>
                <w:szCs w:val="18"/>
                <w:lang w:eastAsia="es-MX"/>
              </w:rPr>
              <w:t>High:</w:t>
            </w:r>
            <w:r w:rsidRPr="00F91404">
              <w:rPr>
                <w:rFonts w:asciiTheme="majorHAnsi" w:eastAsia="Times New Roman" w:hAnsiTheme="majorHAnsi" w:cstheme="majorHAnsi"/>
                <w:color w:val="000000"/>
                <w:sz w:val="18"/>
                <w:szCs w:val="18"/>
                <w:lang w:eastAsia="es-MX"/>
              </w:rPr>
              <w:t xml:space="preserve"> explicit alignment and practical pathway for recognition</w:t>
            </w:r>
          </w:p>
          <w:p w14:paraId="668E2965" w14:textId="77777777" w:rsidR="002504BB"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bCs/>
                <w:color w:val="000000"/>
                <w:sz w:val="18"/>
                <w:szCs w:val="18"/>
                <w:lang w:eastAsia="es-MX"/>
              </w:rPr>
              <w:t>Medium:</w:t>
            </w:r>
            <w:r w:rsidRPr="00F91404">
              <w:rPr>
                <w:rFonts w:asciiTheme="majorHAnsi" w:eastAsia="Times New Roman" w:hAnsiTheme="majorHAnsi" w:cstheme="majorHAnsi"/>
                <w:color w:val="000000"/>
                <w:sz w:val="18"/>
                <w:szCs w:val="18"/>
                <w:lang w:eastAsia="es-MX"/>
              </w:rPr>
              <w:t xml:space="preserve"> alignment intent exists but mechanisms still developing</w:t>
            </w:r>
          </w:p>
          <w:p w14:paraId="5B209160" w14:textId="6D4E0E79"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Low:</w:t>
            </w:r>
            <w:r w:rsidRPr="00F91404">
              <w:rPr>
                <w:rFonts w:asciiTheme="majorHAnsi" w:eastAsia="Times New Roman" w:hAnsiTheme="majorHAnsi" w:cstheme="majorHAnsi"/>
                <w:color w:val="000000"/>
                <w:sz w:val="18"/>
                <w:szCs w:val="18"/>
                <w:lang w:eastAsia="es-MX"/>
              </w:rPr>
              <w:t xml:space="preserve"> limited or no alignment.</w:t>
            </w:r>
          </w:p>
        </w:tc>
      </w:tr>
      <w:tr w:rsidR="003D4ED3" w:rsidRPr="00F91404" w14:paraId="7CDC13C2" w14:textId="77777777" w:rsidTr="00F9442E">
        <w:trPr>
          <w:trHeight w:val="1440"/>
        </w:trPr>
        <w:tc>
          <w:tcPr>
            <w:tcW w:w="1844" w:type="dxa"/>
            <w:tcBorders>
              <w:top w:val="dashed" w:sz="4" w:space="0" w:color="808080"/>
              <w:bottom w:val="dashed" w:sz="4" w:space="0" w:color="808080"/>
            </w:tcBorders>
            <w:shd w:val="clear" w:color="auto" w:fill="F2F2F2" w:themeFill="background1" w:themeFillShade="F2"/>
            <w:vAlign w:val="center"/>
            <w:hideMark/>
          </w:tcPr>
          <w:p w14:paraId="47AA8B19" w14:textId="77777777"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Regulatory gaps</w:t>
            </w:r>
          </w:p>
        </w:tc>
        <w:tc>
          <w:tcPr>
            <w:tcW w:w="1701" w:type="dxa"/>
            <w:tcBorders>
              <w:top w:val="dashed" w:sz="4" w:space="0" w:color="808080"/>
              <w:bottom w:val="dashed" w:sz="4" w:space="0" w:color="808080"/>
            </w:tcBorders>
            <w:vAlign w:val="center"/>
            <w:hideMark/>
          </w:tcPr>
          <w:p w14:paraId="74A71838" w14:textId="77777777"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Main regulatory gaps (safety, environmental, administrative)</w:t>
            </w:r>
          </w:p>
        </w:tc>
        <w:tc>
          <w:tcPr>
            <w:tcW w:w="3260" w:type="dxa"/>
            <w:tcBorders>
              <w:top w:val="dashed" w:sz="4" w:space="0" w:color="808080"/>
              <w:bottom w:val="dashed" w:sz="4" w:space="0" w:color="808080"/>
            </w:tcBorders>
            <w:vAlign w:val="center"/>
            <w:hideMark/>
          </w:tcPr>
          <w:p w14:paraId="495909E4" w14:textId="77777777" w:rsidR="003D4ED3"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The main gaps that create uncertainty or delays (e.g., hydrogen safety codes, environmental permitting clarity, fragmentation across agencies, transport and storage rules, grid integration rules for electrolysis).</w:t>
            </w:r>
          </w:p>
        </w:tc>
        <w:tc>
          <w:tcPr>
            <w:tcW w:w="3821" w:type="dxa"/>
            <w:tcBorders>
              <w:top w:val="dashed" w:sz="4" w:space="0" w:color="808080"/>
              <w:bottom w:val="dashed" w:sz="4" w:space="0" w:color="808080"/>
            </w:tcBorders>
            <w:vAlign w:val="center"/>
            <w:hideMark/>
          </w:tcPr>
          <w:p w14:paraId="71814B9F" w14:textId="77777777" w:rsidR="002504BB"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bCs/>
                <w:color w:val="000000"/>
                <w:sz w:val="18"/>
                <w:szCs w:val="18"/>
                <w:lang w:eastAsia="es-MX"/>
              </w:rPr>
              <w:t>Limited:</w:t>
            </w:r>
            <w:r w:rsidRPr="00F91404">
              <w:rPr>
                <w:rFonts w:asciiTheme="majorHAnsi" w:eastAsia="Times New Roman" w:hAnsiTheme="majorHAnsi" w:cstheme="majorHAnsi"/>
                <w:color w:val="000000"/>
                <w:sz w:val="18"/>
                <w:szCs w:val="18"/>
                <w:lang w:eastAsia="es-MX"/>
              </w:rPr>
              <w:t xml:space="preserve"> gaps mostly operational/implementation-level</w:t>
            </w:r>
          </w:p>
          <w:p w14:paraId="695A409D" w14:textId="77777777" w:rsidR="002504BB" w:rsidRPr="00F91404" w:rsidRDefault="003D4ED3" w:rsidP="003D4ED3">
            <w:pPr>
              <w:spacing w:after="0"/>
              <w:ind w:left="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bCs/>
                <w:color w:val="000000"/>
                <w:sz w:val="18"/>
                <w:szCs w:val="18"/>
                <w:lang w:eastAsia="es-MX"/>
              </w:rPr>
              <w:t>Moderate:</w:t>
            </w:r>
            <w:r w:rsidRPr="00F91404">
              <w:rPr>
                <w:rFonts w:asciiTheme="majorHAnsi" w:eastAsia="Times New Roman" w:hAnsiTheme="majorHAnsi" w:cstheme="majorHAnsi"/>
                <w:color w:val="000000"/>
                <w:sz w:val="18"/>
                <w:szCs w:val="18"/>
                <w:lang w:eastAsia="es-MX"/>
              </w:rPr>
              <w:t xml:space="preserve"> several missing or incomplete elements</w:t>
            </w:r>
          </w:p>
          <w:p w14:paraId="77DD38E1" w14:textId="7717DBDA" w:rsidR="003D4ED3" w:rsidRPr="00F91404" w:rsidRDefault="003D4ED3" w:rsidP="003D4ED3">
            <w:pPr>
              <w:spacing w:after="0"/>
              <w:ind w:left="0"/>
              <w:rPr>
                <w:rFonts w:asciiTheme="majorHAnsi" w:eastAsia="Times New Roman" w:hAnsiTheme="majorHAnsi" w:cstheme="majorHAnsi"/>
                <w:b/>
                <w:bCs/>
                <w:color w:val="000000"/>
                <w:sz w:val="18"/>
                <w:szCs w:val="18"/>
                <w:lang w:eastAsia="es-MX"/>
              </w:rPr>
            </w:pPr>
            <w:r w:rsidRPr="00F91404">
              <w:rPr>
                <w:rFonts w:asciiTheme="majorHAnsi" w:eastAsia="Times New Roman" w:hAnsiTheme="majorHAnsi" w:cstheme="majorHAnsi"/>
                <w:b/>
                <w:bCs/>
                <w:color w:val="000000"/>
                <w:sz w:val="18"/>
                <w:szCs w:val="18"/>
                <w:lang w:eastAsia="es-MX"/>
              </w:rPr>
              <w:t>Significant:</w:t>
            </w:r>
            <w:r w:rsidRPr="00F91404">
              <w:rPr>
                <w:rFonts w:asciiTheme="majorHAnsi" w:eastAsia="Times New Roman" w:hAnsiTheme="majorHAnsi" w:cstheme="majorHAnsi"/>
                <w:color w:val="000000"/>
                <w:sz w:val="18"/>
                <w:szCs w:val="18"/>
                <w:lang w:eastAsia="es-MX"/>
              </w:rPr>
              <w:t xml:space="preserve"> core elements largely missing or not yet established.</w:t>
            </w:r>
          </w:p>
        </w:tc>
      </w:tr>
    </w:tbl>
    <w:p w14:paraId="595F2DCC" w14:textId="77777777" w:rsidR="003D4ED3" w:rsidRPr="00F91404" w:rsidRDefault="003D4ED3" w:rsidP="003D4ED3"/>
    <w:p w14:paraId="5AFD09F9" w14:textId="3DE16D25" w:rsidR="003D4ED3" w:rsidRPr="00F91404" w:rsidRDefault="00CC0CFB" w:rsidP="00CC0CFB">
      <w:pPr>
        <w:jc w:val="center"/>
      </w:pPr>
      <w:r w:rsidRPr="00F91404">
        <w:rPr>
          <w:rFonts w:cstheme="minorHAnsi"/>
          <w:b/>
          <w:sz w:val="18"/>
          <w:szCs w:val="18"/>
        </w:rPr>
        <w:t>Table 6. Legal and Regulatory Foundations Analysis</w:t>
      </w:r>
    </w:p>
    <w:tbl>
      <w:tblPr>
        <w:tblW w:w="5515" w:type="pct"/>
        <w:jc w:val="center"/>
        <w:tblCellMar>
          <w:left w:w="70" w:type="dxa"/>
          <w:right w:w="70" w:type="dxa"/>
        </w:tblCellMar>
        <w:tblLook w:val="04A0" w:firstRow="1" w:lastRow="0" w:firstColumn="1" w:lastColumn="0" w:noHBand="0" w:noVBand="1"/>
      </w:tblPr>
      <w:tblGrid>
        <w:gridCol w:w="1585"/>
        <w:gridCol w:w="1585"/>
        <w:gridCol w:w="1585"/>
        <w:gridCol w:w="1584"/>
        <w:gridCol w:w="1584"/>
        <w:gridCol w:w="2709"/>
      </w:tblGrid>
      <w:tr w:rsidR="00FA0D65" w:rsidRPr="00F91404" w14:paraId="7E73D460" w14:textId="77777777" w:rsidTr="00CC4B87">
        <w:trPr>
          <w:trHeight w:val="1169"/>
          <w:jc w:val="center"/>
        </w:trPr>
        <w:tc>
          <w:tcPr>
            <w:tcW w:w="745" w:type="pct"/>
            <w:shd w:val="clear" w:color="auto" w:fill="004C43" w:themeFill="accent1"/>
            <w:vAlign w:val="center"/>
            <w:hideMark/>
          </w:tcPr>
          <w:p w14:paraId="56919975" w14:textId="77777777" w:rsidR="00FA0D65" w:rsidRPr="00F91404" w:rsidRDefault="00FA0D65" w:rsidP="00B16DDF">
            <w:pPr>
              <w:suppressAutoHyphens/>
              <w:spacing w:after="0"/>
              <w:ind w:left="0"/>
              <w:jc w:val="center"/>
              <w:rPr>
                <w:rFonts w:ascii="Arial" w:eastAsia="Times New Roman" w:hAnsi="Arial" w:cs="Arial"/>
                <w:b/>
                <w:color w:val="FFFFFF"/>
                <w:sz w:val="18"/>
                <w:szCs w:val="18"/>
                <w:lang w:eastAsia="es-MX"/>
              </w:rPr>
            </w:pPr>
            <w:r w:rsidRPr="00F91404">
              <w:rPr>
                <w:rFonts w:ascii="Arial" w:eastAsia="Times New Roman" w:hAnsi="Arial" w:cs="Arial"/>
                <w:b/>
                <w:color w:val="FFFFFF"/>
                <w:sz w:val="18"/>
                <w:szCs w:val="18"/>
                <w:lang w:eastAsia="es-MX"/>
              </w:rPr>
              <w:t>Country</w:t>
            </w:r>
          </w:p>
        </w:tc>
        <w:tc>
          <w:tcPr>
            <w:tcW w:w="745" w:type="pct"/>
            <w:shd w:val="clear" w:color="auto" w:fill="004C43" w:themeFill="accent1"/>
            <w:vAlign w:val="center"/>
            <w:hideMark/>
          </w:tcPr>
          <w:p w14:paraId="2AB8F76B" w14:textId="77777777" w:rsidR="00FA0D65" w:rsidRPr="00F91404" w:rsidRDefault="00FA0D65" w:rsidP="00B16DDF">
            <w:pPr>
              <w:suppressAutoHyphens/>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Definitions and criteria for “green hydrogen”</w:t>
            </w:r>
          </w:p>
        </w:tc>
        <w:tc>
          <w:tcPr>
            <w:tcW w:w="745" w:type="pct"/>
            <w:shd w:val="clear" w:color="auto" w:fill="004C43" w:themeFill="accent1"/>
            <w:vAlign w:val="center"/>
            <w:hideMark/>
          </w:tcPr>
          <w:p w14:paraId="14F89C84" w14:textId="77777777" w:rsidR="00FA0D65" w:rsidRPr="00F91404" w:rsidRDefault="00FA0D65" w:rsidP="00B16DDF">
            <w:pPr>
              <w:suppressAutoHyphens/>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Dedicated regulation for green hydrogen</w:t>
            </w:r>
          </w:p>
        </w:tc>
        <w:tc>
          <w:tcPr>
            <w:tcW w:w="745" w:type="pct"/>
            <w:shd w:val="clear" w:color="auto" w:fill="004C43" w:themeFill="accent1"/>
            <w:vAlign w:val="center"/>
            <w:hideMark/>
          </w:tcPr>
          <w:p w14:paraId="209922DC" w14:textId="77777777" w:rsidR="00FA0D65" w:rsidRPr="00F91404" w:rsidRDefault="00FA0D65" w:rsidP="00B16DDF">
            <w:pPr>
              <w:suppressAutoHyphens/>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Certification schemes for green hydrogen</w:t>
            </w:r>
          </w:p>
        </w:tc>
        <w:tc>
          <w:tcPr>
            <w:tcW w:w="745" w:type="pct"/>
            <w:shd w:val="clear" w:color="auto" w:fill="004C43" w:themeFill="accent1"/>
            <w:vAlign w:val="center"/>
            <w:hideMark/>
          </w:tcPr>
          <w:p w14:paraId="2DDB2086" w14:textId="77777777" w:rsidR="00FA0D65" w:rsidRPr="00F91404" w:rsidRDefault="00FA0D65" w:rsidP="00B16DDF">
            <w:pPr>
              <w:suppressAutoHyphens/>
              <w:spacing w:after="0"/>
              <w:ind w:left="0"/>
              <w:jc w:val="center"/>
              <w:rPr>
                <w:rFonts w:ascii="Arial" w:eastAsia="Times New Roman" w:hAnsi="Arial" w:cs="Arial"/>
                <w:b/>
                <w:bCs/>
                <w:color w:val="FFFFFF"/>
                <w:sz w:val="18"/>
                <w:szCs w:val="18"/>
                <w:lang w:eastAsia="es-MX"/>
              </w:rPr>
            </w:pPr>
            <w:r w:rsidRPr="00F91404">
              <w:rPr>
                <w:rFonts w:ascii="Arial" w:eastAsia="Times New Roman" w:hAnsi="Arial" w:cs="Arial"/>
                <w:b/>
                <w:bCs/>
                <w:color w:val="FFFFFF"/>
                <w:sz w:val="18"/>
                <w:szCs w:val="18"/>
                <w:lang w:eastAsia="es-MX"/>
              </w:rPr>
              <w:t>Alignment with international certification frameworks</w:t>
            </w:r>
          </w:p>
        </w:tc>
        <w:tc>
          <w:tcPr>
            <w:tcW w:w="1273" w:type="pct"/>
            <w:shd w:val="clear" w:color="auto" w:fill="004C43" w:themeFill="accent1"/>
            <w:vAlign w:val="center"/>
            <w:hideMark/>
          </w:tcPr>
          <w:p w14:paraId="4A7B7CE9" w14:textId="77777777" w:rsidR="00FA0D65" w:rsidRPr="00F91404" w:rsidRDefault="00FA0D65" w:rsidP="00B16DDF">
            <w:pPr>
              <w:suppressAutoHyphens/>
              <w:spacing w:after="0"/>
              <w:ind w:left="0"/>
              <w:jc w:val="center"/>
              <w:rPr>
                <w:rFonts w:ascii="Arial" w:eastAsia="Times New Roman" w:hAnsi="Arial" w:cs="Arial"/>
                <w:b/>
                <w:color w:val="FFFFFF"/>
                <w:sz w:val="18"/>
                <w:szCs w:val="18"/>
                <w:lang w:eastAsia="es-MX"/>
              </w:rPr>
            </w:pPr>
            <w:r w:rsidRPr="00F91404">
              <w:rPr>
                <w:rFonts w:ascii="Arial" w:eastAsia="Times New Roman" w:hAnsi="Arial" w:cs="Arial"/>
                <w:b/>
                <w:color w:val="FFFFFF"/>
                <w:sz w:val="18"/>
                <w:szCs w:val="18"/>
                <w:lang w:eastAsia="es-MX"/>
              </w:rPr>
              <w:t>Main regulatory gaps</w:t>
            </w:r>
          </w:p>
        </w:tc>
      </w:tr>
      <w:tr w:rsidR="00FA0D65" w:rsidRPr="00F91404" w14:paraId="675AD1CC" w14:textId="77777777" w:rsidTr="00F9442E">
        <w:trPr>
          <w:trHeight w:val="414"/>
          <w:jc w:val="center"/>
        </w:trPr>
        <w:tc>
          <w:tcPr>
            <w:tcW w:w="745" w:type="pct"/>
            <w:tcBorders>
              <w:bottom w:val="dashed" w:sz="4" w:space="0" w:color="808080"/>
            </w:tcBorders>
            <w:shd w:val="clear" w:color="auto" w:fill="F2F2F2" w:themeFill="background1" w:themeFillShade="F2"/>
            <w:vAlign w:val="center"/>
            <w:hideMark/>
          </w:tcPr>
          <w:p w14:paraId="3CA76FFF"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Germany</w:t>
            </w:r>
          </w:p>
        </w:tc>
        <w:tc>
          <w:tcPr>
            <w:tcW w:w="745" w:type="pct"/>
            <w:tcBorders>
              <w:bottom w:val="dashed" w:sz="4" w:space="0" w:color="808080"/>
            </w:tcBorders>
            <w:vAlign w:val="center"/>
            <w:hideMark/>
          </w:tcPr>
          <w:p w14:paraId="7E804CB2"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High</w:t>
            </w:r>
          </w:p>
        </w:tc>
        <w:tc>
          <w:tcPr>
            <w:tcW w:w="745" w:type="pct"/>
            <w:tcBorders>
              <w:bottom w:val="dashed" w:sz="4" w:space="0" w:color="808080"/>
            </w:tcBorders>
            <w:vAlign w:val="center"/>
            <w:hideMark/>
          </w:tcPr>
          <w:p w14:paraId="1B0B384F"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Embedded</w:t>
            </w:r>
          </w:p>
        </w:tc>
        <w:tc>
          <w:tcPr>
            <w:tcW w:w="745" w:type="pct"/>
            <w:tcBorders>
              <w:bottom w:val="dashed" w:sz="4" w:space="0" w:color="808080"/>
            </w:tcBorders>
            <w:vAlign w:val="center"/>
            <w:hideMark/>
          </w:tcPr>
          <w:p w14:paraId="187BFB0E"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High</w:t>
            </w:r>
          </w:p>
        </w:tc>
        <w:tc>
          <w:tcPr>
            <w:tcW w:w="745" w:type="pct"/>
            <w:tcBorders>
              <w:bottom w:val="dashed" w:sz="4" w:space="0" w:color="808080"/>
            </w:tcBorders>
            <w:vAlign w:val="center"/>
            <w:hideMark/>
          </w:tcPr>
          <w:p w14:paraId="675AFF15"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High</w:t>
            </w:r>
          </w:p>
        </w:tc>
        <w:tc>
          <w:tcPr>
            <w:tcW w:w="1273" w:type="pct"/>
            <w:tcBorders>
              <w:bottom w:val="dashed" w:sz="4" w:space="0" w:color="808080"/>
            </w:tcBorders>
            <w:vAlign w:val="center"/>
            <w:hideMark/>
          </w:tcPr>
          <w:p w14:paraId="28F8AEE8"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Limited–Moderate</w:t>
            </w:r>
          </w:p>
        </w:tc>
      </w:tr>
      <w:tr w:rsidR="00FA0D65" w:rsidRPr="00F91404" w14:paraId="4B733455" w14:textId="77777777" w:rsidTr="00F9442E">
        <w:trPr>
          <w:trHeight w:val="414"/>
          <w:jc w:val="center"/>
        </w:trPr>
        <w:tc>
          <w:tcPr>
            <w:tcW w:w="745" w:type="pct"/>
            <w:tcBorders>
              <w:top w:val="dashed" w:sz="4" w:space="0" w:color="808080"/>
              <w:bottom w:val="dashed" w:sz="4" w:space="0" w:color="808080"/>
            </w:tcBorders>
            <w:shd w:val="clear" w:color="auto" w:fill="F2F2F2" w:themeFill="background1" w:themeFillShade="F2"/>
            <w:vAlign w:val="center"/>
            <w:hideMark/>
          </w:tcPr>
          <w:p w14:paraId="222F5EF2"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Netherlands</w:t>
            </w:r>
          </w:p>
        </w:tc>
        <w:tc>
          <w:tcPr>
            <w:tcW w:w="745" w:type="pct"/>
            <w:tcBorders>
              <w:top w:val="dashed" w:sz="4" w:space="0" w:color="808080"/>
              <w:bottom w:val="dashed" w:sz="4" w:space="0" w:color="808080"/>
            </w:tcBorders>
            <w:shd w:val="clear" w:color="auto" w:fill="E0F1DF" w:themeFill="accent2" w:themeFillTint="33"/>
            <w:vAlign w:val="center"/>
            <w:hideMark/>
          </w:tcPr>
          <w:p w14:paraId="0E5A299B"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High</w:t>
            </w:r>
          </w:p>
        </w:tc>
        <w:tc>
          <w:tcPr>
            <w:tcW w:w="745" w:type="pct"/>
            <w:tcBorders>
              <w:top w:val="dashed" w:sz="4" w:space="0" w:color="808080"/>
              <w:bottom w:val="dashed" w:sz="4" w:space="0" w:color="808080"/>
            </w:tcBorders>
            <w:shd w:val="clear" w:color="auto" w:fill="E0F1DF" w:themeFill="accent2" w:themeFillTint="33"/>
            <w:vAlign w:val="center"/>
            <w:hideMark/>
          </w:tcPr>
          <w:p w14:paraId="33FAE1EC"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Embedded</w:t>
            </w:r>
          </w:p>
        </w:tc>
        <w:tc>
          <w:tcPr>
            <w:tcW w:w="745" w:type="pct"/>
            <w:tcBorders>
              <w:top w:val="dashed" w:sz="4" w:space="0" w:color="808080"/>
              <w:bottom w:val="dashed" w:sz="4" w:space="0" w:color="808080"/>
            </w:tcBorders>
            <w:shd w:val="clear" w:color="auto" w:fill="E0F1DF" w:themeFill="accent2" w:themeFillTint="33"/>
            <w:vAlign w:val="center"/>
            <w:hideMark/>
          </w:tcPr>
          <w:p w14:paraId="3AB9E091"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High</w:t>
            </w:r>
          </w:p>
        </w:tc>
        <w:tc>
          <w:tcPr>
            <w:tcW w:w="745" w:type="pct"/>
            <w:tcBorders>
              <w:top w:val="dashed" w:sz="4" w:space="0" w:color="808080"/>
              <w:bottom w:val="dashed" w:sz="4" w:space="0" w:color="808080"/>
            </w:tcBorders>
            <w:shd w:val="clear" w:color="auto" w:fill="E0F1DF" w:themeFill="accent2" w:themeFillTint="33"/>
            <w:vAlign w:val="center"/>
            <w:hideMark/>
          </w:tcPr>
          <w:p w14:paraId="07E8FF9C"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High</w:t>
            </w:r>
          </w:p>
        </w:tc>
        <w:tc>
          <w:tcPr>
            <w:tcW w:w="1273" w:type="pct"/>
            <w:tcBorders>
              <w:top w:val="dashed" w:sz="4" w:space="0" w:color="808080"/>
              <w:bottom w:val="dashed" w:sz="4" w:space="0" w:color="808080"/>
            </w:tcBorders>
            <w:shd w:val="clear" w:color="auto" w:fill="E0F1DF" w:themeFill="accent2" w:themeFillTint="33"/>
            <w:vAlign w:val="center"/>
            <w:hideMark/>
          </w:tcPr>
          <w:p w14:paraId="10A2AA7D"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Limited–Moderate</w:t>
            </w:r>
          </w:p>
        </w:tc>
      </w:tr>
      <w:tr w:rsidR="00FA0D65" w:rsidRPr="00F91404" w14:paraId="5FCA4F7D" w14:textId="77777777" w:rsidTr="00F9442E">
        <w:trPr>
          <w:trHeight w:val="414"/>
          <w:jc w:val="center"/>
        </w:trPr>
        <w:tc>
          <w:tcPr>
            <w:tcW w:w="745" w:type="pct"/>
            <w:tcBorders>
              <w:top w:val="dashed" w:sz="4" w:space="0" w:color="808080"/>
              <w:bottom w:val="dashed" w:sz="4" w:space="0" w:color="808080"/>
            </w:tcBorders>
            <w:shd w:val="clear" w:color="auto" w:fill="F2F2F2" w:themeFill="background1" w:themeFillShade="F2"/>
            <w:vAlign w:val="center"/>
            <w:hideMark/>
          </w:tcPr>
          <w:p w14:paraId="1DAB8031"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United Kingdom</w:t>
            </w:r>
          </w:p>
        </w:tc>
        <w:tc>
          <w:tcPr>
            <w:tcW w:w="745" w:type="pct"/>
            <w:tcBorders>
              <w:top w:val="dashed" w:sz="4" w:space="0" w:color="808080"/>
              <w:left w:val="nil"/>
              <w:bottom w:val="dashed" w:sz="4" w:space="0" w:color="808080"/>
            </w:tcBorders>
            <w:vAlign w:val="center"/>
            <w:hideMark/>
          </w:tcPr>
          <w:p w14:paraId="57618D13"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High</w:t>
            </w:r>
          </w:p>
        </w:tc>
        <w:tc>
          <w:tcPr>
            <w:tcW w:w="745" w:type="pct"/>
            <w:tcBorders>
              <w:top w:val="dashed" w:sz="4" w:space="0" w:color="808080"/>
              <w:left w:val="nil"/>
              <w:bottom w:val="dashed" w:sz="4" w:space="0" w:color="808080"/>
            </w:tcBorders>
            <w:vAlign w:val="center"/>
            <w:hideMark/>
          </w:tcPr>
          <w:p w14:paraId="546DF15C"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Embedded</w:t>
            </w:r>
          </w:p>
        </w:tc>
        <w:tc>
          <w:tcPr>
            <w:tcW w:w="745" w:type="pct"/>
            <w:tcBorders>
              <w:top w:val="dashed" w:sz="4" w:space="0" w:color="808080"/>
              <w:left w:val="nil"/>
              <w:bottom w:val="dashed" w:sz="4" w:space="0" w:color="808080"/>
            </w:tcBorders>
            <w:vAlign w:val="center"/>
            <w:hideMark/>
          </w:tcPr>
          <w:p w14:paraId="18D14000"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High</w:t>
            </w:r>
          </w:p>
        </w:tc>
        <w:tc>
          <w:tcPr>
            <w:tcW w:w="745" w:type="pct"/>
            <w:tcBorders>
              <w:top w:val="dashed" w:sz="4" w:space="0" w:color="808080"/>
              <w:left w:val="nil"/>
              <w:bottom w:val="dashed" w:sz="4" w:space="0" w:color="808080"/>
            </w:tcBorders>
            <w:vAlign w:val="center"/>
            <w:hideMark/>
          </w:tcPr>
          <w:p w14:paraId="2E90F0DB"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1273" w:type="pct"/>
            <w:tcBorders>
              <w:top w:val="dashed" w:sz="4" w:space="0" w:color="808080"/>
              <w:left w:val="nil"/>
              <w:bottom w:val="dashed" w:sz="4" w:space="0" w:color="808080"/>
            </w:tcBorders>
            <w:vAlign w:val="center"/>
            <w:hideMark/>
          </w:tcPr>
          <w:p w14:paraId="0974C586"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Moderate</w:t>
            </w:r>
          </w:p>
        </w:tc>
      </w:tr>
      <w:tr w:rsidR="00FA0D65" w:rsidRPr="00F91404" w14:paraId="2CB3868A" w14:textId="77777777" w:rsidTr="00F9442E">
        <w:trPr>
          <w:trHeight w:val="414"/>
          <w:jc w:val="center"/>
        </w:trPr>
        <w:tc>
          <w:tcPr>
            <w:tcW w:w="745" w:type="pct"/>
            <w:tcBorders>
              <w:top w:val="dashed" w:sz="4" w:space="0" w:color="808080"/>
              <w:bottom w:val="dashed" w:sz="4" w:space="0" w:color="808080"/>
            </w:tcBorders>
            <w:shd w:val="clear" w:color="auto" w:fill="F2F2F2" w:themeFill="background1" w:themeFillShade="F2"/>
            <w:vAlign w:val="center"/>
            <w:hideMark/>
          </w:tcPr>
          <w:p w14:paraId="6F5855E2"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Japan</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2AE3B963"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Medium–High</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7D4BCF39"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Embedded</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6059A9C1"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Medium–High</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6AD22841"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1273" w:type="pct"/>
            <w:tcBorders>
              <w:top w:val="dashed" w:sz="4" w:space="0" w:color="808080"/>
              <w:left w:val="nil"/>
              <w:bottom w:val="dashed" w:sz="4" w:space="0" w:color="808080"/>
            </w:tcBorders>
            <w:shd w:val="clear" w:color="auto" w:fill="E0F1DF" w:themeFill="accent2" w:themeFillTint="33"/>
            <w:vAlign w:val="center"/>
            <w:hideMark/>
          </w:tcPr>
          <w:p w14:paraId="1B5F28F9"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Moderate</w:t>
            </w:r>
          </w:p>
        </w:tc>
      </w:tr>
      <w:tr w:rsidR="00FA0D65" w:rsidRPr="00F91404" w14:paraId="15919E12" w14:textId="77777777" w:rsidTr="00F9442E">
        <w:trPr>
          <w:trHeight w:val="414"/>
          <w:jc w:val="center"/>
        </w:trPr>
        <w:tc>
          <w:tcPr>
            <w:tcW w:w="745" w:type="pct"/>
            <w:tcBorders>
              <w:top w:val="dashed" w:sz="4" w:space="0" w:color="808080"/>
              <w:bottom w:val="dashed" w:sz="4" w:space="0" w:color="808080"/>
            </w:tcBorders>
            <w:shd w:val="clear" w:color="auto" w:fill="F2F2F2" w:themeFill="background1" w:themeFillShade="F2"/>
            <w:vAlign w:val="center"/>
            <w:hideMark/>
          </w:tcPr>
          <w:p w14:paraId="7E3D2ACE"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Australia</w:t>
            </w:r>
          </w:p>
        </w:tc>
        <w:tc>
          <w:tcPr>
            <w:tcW w:w="745" w:type="pct"/>
            <w:tcBorders>
              <w:top w:val="dashed" w:sz="4" w:space="0" w:color="808080"/>
              <w:left w:val="nil"/>
              <w:bottom w:val="dashed" w:sz="4" w:space="0" w:color="808080"/>
            </w:tcBorders>
            <w:vAlign w:val="center"/>
            <w:hideMark/>
          </w:tcPr>
          <w:p w14:paraId="0BA01667"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745" w:type="pct"/>
            <w:tcBorders>
              <w:top w:val="dashed" w:sz="4" w:space="0" w:color="808080"/>
              <w:left w:val="nil"/>
              <w:bottom w:val="dashed" w:sz="4" w:space="0" w:color="808080"/>
            </w:tcBorders>
            <w:vAlign w:val="center"/>
            <w:hideMark/>
          </w:tcPr>
          <w:p w14:paraId="178820BF"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Embedded</w:t>
            </w:r>
          </w:p>
        </w:tc>
        <w:tc>
          <w:tcPr>
            <w:tcW w:w="745" w:type="pct"/>
            <w:tcBorders>
              <w:top w:val="dashed" w:sz="4" w:space="0" w:color="808080"/>
              <w:left w:val="nil"/>
              <w:bottom w:val="dashed" w:sz="4" w:space="0" w:color="808080"/>
            </w:tcBorders>
            <w:vAlign w:val="center"/>
            <w:hideMark/>
          </w:tcPr>
          <w:p w14:paraId="5C5D031F"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745" w:type="pct"/>
            <w:tcBorders>
              <w:top w:val="dashed" w:sz="4" w:space="0" w:color="808080"/>
              <w:left w:val="nil"/>
              <w:bottom w:val="dashed" w:sz="4" w:space="0" w:color="808080"/>
            </w:tcBorders>
            <w:vAlign w:val="center"/>
            <w:hideMark/>
          </w:tcPr>
          <w:p w14:paraId="774D9DE4"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1273" w:type="pct"/>
            <w:tcBorders>
              <w:top w:val="dashed" w:sz="4" w:space="0" w:color="808080"/>
              <w:left w:val="nil"/>
              <w:bottom w:val="dashed" w:sz="4" w:space="0" w:color="808080"/>
            </w:tcBorders>
            <w:vAlign w:val="center"/>
            <w:hideMark/>
          </w:tcPr>
          <w:p w14:paraId="77AF27AA"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Moderate</w:t>
            </w:r>
          </w:p>
        </w:tc>
      </w:tr>
      <w:tr w:rsidR="00FA0D65" w:rsidRPr="00F91404" w14:paraId="733D3AD0" w14:textId="77777777" w:rsidTr="00F9442E">
        <w:trPr>
          <w:trHeight w:val="414"/>
          <w:jc w:val="center"/>
        </w:trPr>
        <w:tc>
          <w:tcPr>
            <w:tcW w:w="745" w:type="pct"/>
            <w:tcBorders>
              <w:top w:val="dashed" w:sz="4" w:space="0" w:color="808080"/>
              <w:bottom w:val="dashed" w:sz="4" w:space="0" w:color="808080"/>
            </w:tcBorders>
            <w:shd w:val="clear" w:color="auto" w:fill="F2F2F2" w:themeFill="background1" w:themeFillShade="F2"/>
            <w:vAlign w:val="center"/>
            <w:hideMark/>
          </w:tcPr>
          <w:p w14:paraId="0E69CF04"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South Korea</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0C3781F5"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High</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48813BA4"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Dedicated</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20D9DFCB"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High</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616B20B9"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1273" w:type="pct"/>
            <w:tcBorders>
              <w:top w:val="dashed" w:sz="4" w:space="0" w:color="808080"/>
              <w:left w:val="nil"/>
              <w:bottom w:val="dashed" w:sz="4" w:space="0" w:color="808080"/>
            </w:tcBorders>
            <w:shd w:val="clear" w:color="auto" w:fill="E0F1DF" w:themeFill="accent2" w:themeFillTint="33"/>
            <w:vAlign w:val="center"/>
            <w:hideMark/>
          </w:tcPr>
          <w:p w14:paraId="65D338F7"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Limited–Moderate</w:t>
            </w:r>
          </w:p>
        </w:tc>
      </w:tr>
      <w:tr w:rsidR="00FA0D65" w:rsidRPr="00F91404" w14:paraId="695F8967" w14:textId="77777777" w:rsidTr="00F9442E">
        <w:trPr>
          <w:trHeight w:val="414"/>
          <w:jc w:val="center"/>
        </w:trPr>
        <w:tc>
          <w:tcPr>
            <w:tcW w:w="745" w:type="pct"/>
            <w:tcBorders>
              <w:top w:val="dashed" w:sz="4" w:space="0" w:color="808080"/>
              <w:bottom w:val="dashed" w:sz="4" w:space="0" w:color="808080"/>
            </w:tcBorders>
            <w:shd w:val="clear" w:color="auto" w:fill="F2F2F2" w:themeFill="background1" w:themeFillShade="F2"/>
            <w:vAlign w:val="center"/>
            <w:hideMark/>
          </w:tcPr>
          <w:p w14:paraId="0F062AA9"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China</w:t>
            </w:r>
          </w:p>
        </w:tc>
        <w:tc>
          <w:tcPr>
            <w:tcW w:w="745" w:type="pct"/>
            <w:tcBorders>
              <w:top w:val="dashed" w:sz="4" w:space="0" w:color="808080"/>
              <w:left w:val="nil"/>
              <w:bottom w:val="dashed" w:sz="4" w:space="0" w:color="808080"/>
            </w:tcBorders>
            <w:vAlign w:val="center"/>
            <w:hideMark/>
          </w:tcPr>
          <w:p w14:paraId="7A9F5ADA"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745" w:type="pct"/>
            <w:tcBorders>
              <w:top w:val="dashed" w:sz="4" w:space="0" w:color="808080"/>
              <w:left w:val="nil"/>
              <w:bottom w:val="dashed" w:sz="4" w:space="0" w:color="808080"/>
            </w:tcBorders>
            <w:vAlign w:val="center"/>
            <w:hideMark/>
          </w:tcPr>
          <w:p w14:paraId="4E6D45A5"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Embedded</w:t>
            </w:r>
          </w:p>
        </w:tc>
        <w:tc>
          <w:tcPr>
            <w:tcW w:w="745" w:type="pct"/>
            <w:tcBorders>
              <w:top w:val="dashed" w:sz="4" w:space="0" w:color="808080"/>
              <w:left w:val="nil"/>
              <w:bottom w:val="dashed" w:sz="4" w:space="0" w:color="808080"/>
            </w:tcBorders>
            <w:vAlign w:val="center"/>
            <w:hideMark/>
          </w:tcPr>
          <w:p w14:paraId="5115ACDF"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745" w:type="pct"/>
            <w:tcBorders>
              <w:top w:val="dashed" w:sz="4" w:space="0" w:color="808080"/>
              <w:left w:val="nil"/>
              <w:bottom w:val="dashed" w:sz="4" w:space="0" w:color="808080"/>
            </w:tcBorders>
            <w:vAlign w:val="center"/>
            <w:hideMark/>
          </w:tcPr>
          <w:p w14:paraId="4795D05C"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Low–Medium</w:t>
            </w:r>
          </w:p>
        </w:tc>
        <w:tc>
          <w:tcPr>
            <w:tcW w:w="1273" w:type="pct"/>
            <w:tcBorders>
              <w:top w:val="dashed" w:sz="4" w:space="0" w:color="808080"/>
              <w:left w:val="nil"/>
              <w:bottom w:val="dashed" w:sz="4" w:space="0" w:color="808080"/>
            </w:tcBorders>
            <w:vAlign w:val="center"/>
            <w:hideMark/>
          </w:tcPr>
          <w:p w14:paraId="59674218"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Moderate–Significant</w:t>
            </w:r>
          </w:p>
        </w:tc>
      </w:tr>
      <w:tr w:rsidR="00FA0D65" w:rsidRPr="00F91404" w14:paraId="025745AF" w14:textId="77777777" w:rsidTr="00F9442E">
        <w:trPr>
          <w:trHeight w:val="414"/>
          <w:jc w:val="center"/>
        </w:trPr>
        <w:tc>
          <w:tcPr>
            <w:tcW w:w="745" w:type="pct"/>
            <w:tcBorders>
              <w:top w:val="dashed" w:sz="4" w:space="0" w:color="808080"/>
              <w:bottom w:val="dashed" w:sz="4" w:space="0" w:color="808080"/>
            </w:tcBorders>
            <w:shd w:val="clear" w:color="auto" w:fill="F2F2F2" w:themeFill="background1" w:themeFillShade="F2"/>
            <w:vAlign w:val="center"/>
            <w:hideMark/>
          </w:tcPr>
          <w:p w14:paraId="112729D5"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India</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267C9C0F"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157BB076"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Embedded</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452D5D82"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7869185E"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1273" w:type="pct"/>
            <w:tcBorders>
              <w:top w:val="dashed" w:sz="4" w:space="0" w:color="808080"/>
              <w:left w:val="nil"/>
              <w:bottom w:val="dashed" w:sz="4" w:space="0" w:color="808080"/>
            </w:tcBorders>
            <w:shd w:val="clear" w:color="auto" w:fill="E0F1DF" w:themeFill="accent2" w:themeFillTint="33"/>
            <w:vAlign w:val="center"/>
            <w:hideMark/>
          </w:tcPr>
          <w:p w14:paraId="72D8CDAC"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Moderate</w:t>
            </w:r>
          </w:p>
        </w:tc>
      </w:tr>
      <w:tr w:rsidR="00FA0D65" w:rsidRPr="00F91404" w14:paraId="4AB2108C" w14:textId="77777777" w:rsidTr="00F9442E">
        <w:trPr>
          <w:trHeight w:val="414"/>
          <w:jc w:val="center"/>
        </w:trPr>
        <w:tc>
          <w:tcPr>
            <w:tcW w:w="745" w:type="pct"/>
            <w:tcBorders>
              <w:top w:val="dashed" w:sz="4" w:space="0" w:color="808080"/>
              <w:bottom w:val="dashed" w:sz="4" w:space="0" w:color="808080"/>
            </w:tcBorders>
            <w:shd w:val="clear" w:color="auto" w:fill="F2F2F2" w:themeFill="background1" w:themeFillShade="F2"/>
            <w:vAlign w:val="center"/>
            <w:hideMark/>
          </w:tcPr>
          <w:p w14:paraId="69190A56"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Chile</w:t>
            </w:r>
          </w:p>
        </w:tc>
        <w:tc>
          <w:tcPr>
            <w:tcW w:w="745" w:type="pct"/>
            <w:tcBorders>
              <w:top w:val="dashed" w:sz="4" w:space="0" w:color="808080"/>
              <w:left w:val="nil"/>
              <w:bottom w:val="dashed" w:sz="4" w:space="0" w:color="808080"/>
            </w:tcBorders>
            <w:vAlign w:val="center"/>
            <w:hideMark/>
          </w:tcPr>
          <w:p w14:paraId="00AE7531"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745" w:type="pct"/>
            <w:tcBorders>
              <w:top w:val="dashed" w:sz="4" w:space="0" w:color="808080"/>
              <w:left w:val="nil"/>
              <w:bottom w:val="dashed" w:sz="4" w:space="0" w:color="808080"/>
            </w:tcBorders>
            <w:vAlign w:val="center"/>
            <w:hideMark/>
          </w:tcPr>
          <w:p w14:paraId="3FD28B27"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Embedded</w:t>
            </w:r>
          </w:p>
        </w:tc>
        <w:tc>
          <w:tcPr>
            <w:tcW w:w="745" w:type="pct"/>
            <w:tcBorders>
              <w:top w:val="dashed" w:sz="4" w:space="0" w:color="808080"/>
              <w:left w:val="nil"/>
              <w:bottom w:val="dashed" w:sz="4" w:space="0" w:color="808080"/>
            </w:tcBorders>
            <w:vAlign w:val="center"/>
            <w:hideMark/>
          </w:tcPr>
          <w:p w14:paraId="0B313369"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745" w:type="pct"/>
            <w:tcBorders>
              <w:top w:val="dashed" w:sz="4" w:space="0" w:color="808080"/>
              <w:left w:val="nil"/>
              <w:bottom w:val="dashed" w:sz="4" w:space="0" w:color="808080"/>
            </w:tcBorders>
            <w:vAlign w:val="center"/>
            <w:hideMark/>
          </w:tcPr>
          <w:p w14:paraId="798DF2B9"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1273" w:type="pct"/>
            <w:tcBorders>
              <w:top w:val="dashed" w:sz="4" w:space="0" w:color="808080"/>
              <w:left w:val="nil"/>
              <w:bottom w:val="dashed" w:sz="4" w:space="0" w:color="808080"/>
            </w:tcBorders>
            <w:vAlign w:val="center"/>
            <w:hideMark/>
          </w:tcPr>
          <w:p w14:paraId="55A58A28"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Moderate</w:t>
            </w:r>
          </w:p>
        </w:tc>
      </w:tr>
      <w:tr w:rsidR="00FA0D65" w:rsidRPr="00F91404" w14:paraId="05B36355" w14:textId="77777777" w:rsidTr="00CC4B87">
        <w:trPr>
          <w:trHeight w:val="414"/>
          <w:jc w:val="center"/>
        </w:trPr>
        <w:tc>
          <w:tcPr>
            <w:tcW w:w="745" w:type="pct"/>
            <w:tcBorders>
              <w:top w:val="dashed" w:sz="4" w:space="0" w:color="808080"/>
              <w:bottom w:val="dashed" w:sz="4" w:space="0" w:color="808080"/>
            </w:tcBorders>
            <w:shd w:val="clear" w:color="auto" w:fill="F2F2F2" w:themeFill="background1" w:themeFillShade="F2"/>
            <w:vAlign w:val="center"/>
            <w:hideMark/>
          </w:tcPr>
          <w:p w14:paraId="2C31B9E8"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Colombia</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0AB5B41B"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77CB1379"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Embedded</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44B6F47B"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745" w:type="pct"/>
            <w:tcBorders>
              <w:top w:val="dashed" w:sz="4" w:space="0" w:color="808080"/>
              <w:left w:val="nil"/>
              <w:bottom w:val="dashed" w:sz="4" w:space="0" w:color="808080"/>
            </w:tcBorders>
            <w:shd w:val="clear" w:color="auto" w:fill="E0F1DF" w:themeFill="accent2" w:themeFillTint="33"/>
            <w:vAlign w:val="center"/>
            <w:hideMark/>
          </w:tcPr>
          <w:p w14:paraId="39CDDF56"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Medium</w:t>
            </w:r>
          </w:p>
        </w:tc>
        <w:tc>
          <w:tcPr>
            <w:tcW w:w="1273" w:type="pct"/>
            <w:tcBorders>
              <w:top w:val="dashed" w:sz="4" w:space="0" w:color="808080"/>
              <w:left w:val="nil"/>
              <w:bottom w:val="dashed" w:sz="4" w:space="0" w:color="808080"/>
            </w:tcBorders>
            <w:shd w:val="clear" w:color="auto" w:fill="E0F1DF" w:themeFill="accent2" w:themeFillTint="33"/>
            <w:vAlign w:val="center"/>
            <w:hideMark/>
          </w:tcPr>
          <w:p w14:paraId="29FDB91D"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Moderate–Significant</w:t>
            </w:r>
          </w:p>
        </w:tc>
      </w:tr>
      <w:tr w:rsidR="00FA0D65" w:rsidRPr="00F91404" w14:paraId="08784CB1" w14:textId="77777777" w:rsidTr="00CC4B87">
        <w:trPr>
          <w:trHeight w:val="414"/>
          <w:jc w:val="center"/>
        </w:trPr>
        <w:tc>
          <w:tcPr>
            <w:tcW w:w="745" w:type="pct"/>
            <w:tcBorders>
              <w:top w:val="dashed" w:sz="4" w:space="0" w:color="808080"/>
              <w:bottom w:val="dashed" w:sz="4" w:space="0" w:color="004C43"/>
            </w:tcBorders>
            <w:shd w:val="clear" w:color="auto" w:fill="F2F2F2" w:themeFill="background1" w:themeFillShade="F2"/>
            <w:vAlign w:val="center"/>
            <w:hideMark/>
          </w:tcPr>
          <w:p w14:paraId="4DF66688" w14:textId="77777777" w:rsidR="00FA0D65" w:rsidRPr="00F91404" w:rsidRDefault="00FA0D65" w:rsidP="00FA0D65">
            <w:pPr>
              <w:spacing w:after="0"/>
              <w:ind w:left="0"/>
              <w:rPr>
                <w:rFonts w:ascii="Arial" w:eastAsia="Times New Roman" w:hAnsi="Arial" w:cs="Arial"/>
                <w:b/>
                <w:color w:val="000000"/>
                <w:sz w:val="18"/>
                <w:szCs w:val="18"/>
                <w:lang w:eastAsia="es-MX"/>
              </w:rPr>
            </w:pPr>
            <w:r w:rsidRPr="00F91404">
              <w:rPr>
                <w:rFonts w:ascii="Arial" w:eastAsia="Times New Roman" w:hAnsi="Arial" w:cs="Arial"/>
                <w:b/>
                <w:color w:val="000000"/>
                <w:sz w:val="18"/>
                <w:szCs w:val="18"/>
                <w:lang w:eastAsia="es-MX"/>
              </w:rPr>
              <w:t>Peru</w:t>
            </w:r>
          </w:p>
        </w:tc>
        <w:tc>
          <w:tcPr>
            <w:tcW w:w="745" w:type="pct"/>
            <w:tcBorders>
              <w:top w:val="dashed" w:sz="4" w:space="0" w:color="808080"/>
              <w:left w:val="nil"/>
              <w:bottom w:val="dashed" w:sz="4" w:space="0" w:color="004C43"/>
            </w:tcBorders>
            <w:vAlign w:val="center"/>
            <w:hideMark/>
          </w:tcPr>
          <w:p w14:paraId="00C84128"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Low</w:t>
            </w:r>
          </w:p>
        </w:tc>
        <w:tc>
          <w:tcPr>
            <w:tcW w:w="745" w:type="pct"/>
            <w:tcBorders>
              <w:top w:val="dashed" w:sz="4" w:space="0" w:color="808080"/>
              <w:left w:val="nil"/>
              <w:bottom w:val="dashed" w:sz="4" w:space="0" w:color="004C43"/>
            </w:tcBorders>
            <w:vAlign w:val="center"/>
            <w:hideMark/>
          </w:tcPr>
          <w:p w14:paraId="1D785587"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None</w:t>
            </w:r>
          </w:p>
        </w:tc>
        <w:tc>
          <w:tcPr>
            <w:tcW w:w="745" w:type="pct"/>
            <w:tcBorders>
              <w:top w:val="dashed" w:sz="4" w:space="0" w:color="808080"/>
              <w:left w:val="nil"/>
              <w:bottom w:val="dashed" w:sz="4" w:space="0" w:color="004C43"/>
            </w:tcBorders>
            <w:vAlign w:val="center"/>
            <w:hideMark/>
          </w:tcPr>
          <w:p w14:paraId="2C75E626"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Low</w:t>
            </w:r>
          </w:p>
        </w:tc>
        <w:tc>
          <w:tcPr>
            <w:tcW w:w="745" w:type="pct"/>
            <w:tcBorders>
              <w:top w:val="dashed" w:sz="4" w:space="0" w:color="808080"/>
              <w:left w:val="nil"/>
              <w:bottom w:val="dashed" w:sz="4" w:space="0" w:color="004C43"/>
            </w:tcBorders>
            <w:vAlign w:val="center"/>
            <w:hideMark/>
          </w:tcPr>
          <w:p w14:paraId="420B176F"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Low</w:t>
            </w:r>
          </w:p>
        </w:tc>
        <w:tc>
          <w:tcPr>
            <w:tcW w:w="1273" w:type="pct"/>
            <w:tcBorders>
              <w:top w:val="dashed" w:sz="4" w:space="0" w:color="808080"/>
              <w:left w:val="nil"/>
              <w:bottom w:val="dashed" w:sz="4" w:space="0" w:color="004C43"/>
            </w:tcBorders>
            <w:vAlign w:val="center"/>
            <w:hideMark/>
          </w:tcPr>
          <w:p w14:paraId="3E8ED46E" w14:textId="77777777" w:rsidR="00FA0D65" w:rsidRPr="00F91404" w:rsidRDefault="00FA0D65" w:rsidP="00B16DDF">
            <w:pPr>
              <w:suppressAutoHyphens/>
              <w:spacing w:after="0"/>
              <w:ind w:left="0"/>
              <w:jc w:val="center"/>
              <w:rPr>
                <w:rFonts w:ascii="Arial" w:eastAsia="Times New Roman" w:hAnsi="Arial" w:cs="Arial"/>
                <w:color w:val="000000"/>
                <w:sz w:val="18"/>
                <w:szCs w:val="18"/>
                <w:lang w:eastAsia="es-MX"/>
              </w:rPr>
            </w:pPr>
            <w:r w:rsidRPr="00F91404">
              <w:rPr>
                <w:rFonts w:ascii="Arial" w:eastAsia="Times New Roman" w:hAnsi="Arial" w:cs="Arial"/>
                <w:color w:val="000000"/>
                <w:sz w:val="18"/>
                <w:szCs w:val="18"/>
                <w:lang w:eastAsia="es-MX"/>
              </w:rPr>
              <w:t>Significant</w:t>
            </w:r>
          </w:p>
        </w:tc>
      </w:tr>
    </w:tbl>
    <w:p w14:paraId="4D4C62C1" w14:textId="77777777" w:rsidR="00CC4B87" w:rsidRPr="00F91404" w:rsidRDefault="00CC4B87" w:rsidP="00D03ADB">
      <w:pPr>
        <w:ind w:left="0"/>
      </w:pPr>
    </w:p>
    <w:p w14:paraId="37CADA8D" w14:textId="77777777" w:rsidR="00CC4B87" w:rsidRPr="00F91404" w:rsidRDefault="00CC4B87">
      <w:r w:rsidRPr="00F91404">
        <w:br w:type="page"/>
      </w:r>
    </w:p>
    <w:p w14:paraId="3AC32D46" w14:textId="77777777" w:rsidR="00710774" w:rsidRPr="00F91404" w:rsidRDefault="00710774" w:rsidP="00CC4B87">
      <w:pPr>
        <w:spacing w:after="0"/>
        <w:ind w:left="0"/>
        <w:rPr>
          <w:sz w:val="2"/>
          <w:szCs w:val="2"/>
        </w:rPr>
      </w:pPr>
    </w:p>
    <w:p w14:paraId="6C875E65" w14:textId="3D82C117" w:rsidR="00280B00" w:rsidRPr="00F91404" w:rsidRDefault="002B0190" w:rsidP="00710774">
      <w:pPr>
        <w:spacing w:after="120" w:line="276" w:lineRule="auto"/>
        <w:ind w:left="0"/>
        <w:rPr>
          <w:rFonts w:asciiTheme="majorHAnsi" w:hAnsiTheme="majorHAnsi" w:cstheme="majorHAnsi"/>
          <w:bCs/>
          <w:color w:val="004E71" w:themeColor="text2"/>
          <w:sz w:val="22"/>
        </w:rPr>
      </w:pPr>
      <w:r w:rsidRPr="00F91404">
        <w:rPr>
          <w:rFonts w:ascii="Arial Black" w:hAnsi="Arial Black" w:cstheme="majorHAnsi"/>
          <w:b/>
          <w:bCs/>
          <w:color w:val="002738" w:themeColor="text2" w:themeShade="80"/>
          <w:sz w:val="22"/>
        </w:rPr>
        <w:t>Illustrative Examples</w:t>
      </w:r>
      <w:r w:rsidR="0035406E" w:rsidRPr="00F91404">
        <w:rPr>
          <w:rFonts w:ascii="Arial Black" w:hAnsi="Arial Black" w:cstheme="majorHAnsi"/>
          <w:b/>
          <w:bCs/>
          <w:color w:val="002738" w:themeColor="text2" w:themeShade="80"/>
          <w:sz w:val="22"/>
        </w:rPr>
        <w:t xml:space="preserve">: </w:t>
      </w:r>
      <w:r w:rsidR="0035406E" w:rsidRPr="00F91404">
        <w:rPr>
          <w:rFonts w:asciiTheme="majorHAnsi" w:hAnsiTheme="majorHAnsi" w:cstheme="majorHAnsi"/>
          <w:b/>
          <w:color w:val="004E71" w:themeColor="text2"/>
          <w:sz w:val="22"/>
        </w:rPr>
        <w:t>Legal and Regulatory Foundations</w:t>
      </w:r>
      <w:r w:rsidR="000827C0" w:rsidRPr="00F91404">
        <w:rPr>
          <w:rFonts w:asciiTheme="majorHAnsi" w:hAnsiTheme="majorHAnsi" w:cstheme="majorHAnsi"/>
          <w:b/>
          <w:color w:val="004E71" w:themeColor="text2"/>
          <w:sz w:val="22"/>
        </w:rPr>
        <w:t xml:space="preserve"> </w:t>
      </w:r>
      <w:r w:rsidR="000827C0" w:rsidRPr="00F91404">
        <w:rPr>
          <w:rFonts w:asciiTheme="majorHAnsi" w:hAnsiTheme="majorHAnsi" w:cstheme="majorHAnsi"/>
          <w:bCs/>
          <w:color w:val="004E71" w:themeColor="text2"/>
          <w:sz w:val="22"/>
        </w:rPr>
        <w:t>(Dimension 2)</w:t>
      </w:r>
    </w:p>
    <w:p w14:paraId="019B6952" w14:textId="4DC128F4" w:rsidR="00280B00" w:rsidRPr="00F91404" w:rsidRDefault="00280B00" w:rsidP="008D5DDD">
      <w:pPr>
        <w:pStyle w:val="ListParagraph"/>
        <w:numPr>
          <w:ilvl w:val="0"/>
          <w:numId w:val="17"/>
        </w:numPr>
        <w:spacing w:before="240" w:line="276" w:lineRule="auto"/>
        <w:ind w:left="360"/>
        <w:rPr>
          <w:rFonts w:asciiTheme="majorHAnsi" w:hAnsiTheme="majorHAnsi" w:cstheme="majorHAnsi"/>
          <w:b/>
          <w:bCs/>
          <w:color w:val="005E5A" w:themeColor="accent5" w:themeShade="80"/>
          <w:sz w:val="21"/>
          <w:szCs w:val="21"/>
        </w:rPr>
      </w:pPr>
      <w:r w:rsidRPr="00F91404">
        <w:rPr>
          <w:rFonts w:asciiTheme="majorHAnsi" w:hAnsiTheme="majorHAnsi" w:cstheme="majorHAnsi"/>
          <w:b/>
          <w:bCs/>
          <w:color w:val="005E5A" w:themeColor="accent5" w:themeShade="80"/>
          <w:sz w:val="21"/>
          <w:szCs w:val="21"/>
        </w:rPr>
        <w:t>Definitions and criteria for “green</w:t>
      </w:r>
      <w:r w:rsidR="002D0277" w:rsidRPr="00F91404">
        <w:rPr>
          <w:rFonts w:asciiTheme="majorHAnsi" w:hAnsiTheme="majorHAnsi" w:cstheme="majorHAnsi"/>
          <w:b/>
          <w:bCs/>
          <w:color w:val="005E5A" w:themeColor="accent5" w:themeShade="80"/>
          <w:sz w:val="21"/>
          <w:szCs w:val="21"/>
        </w:rPr>
        <w:t xml:space="preserve"> / renewable</w:t>
      </w:r>
      <w:r w:rsidRPr="00F91404">
        <w:rPr>
          <w:rFonts w:asciiTheme="majorHAnsi" w:hAnsiTheme="majorHAnsi" w:cstheme="majorHAnsi"/>
          <w:b/>
          <w:bCs/>
          <w:color w:val="005E5A" w:themeColor="accent5" w:themeShade="80"/>
          <w:sz w:val="21"/>
          <w:szCs w:val="21"/>
        </w:rPr>
        <w:t xml:space="preserve"> hydrogen”</w:t>
      </w:r>
    </w:p>
    <w:p w14:paraId="004610BE" w14:textId="1CEBD463" w:rsidR="00280B00" w:rsidRPr="00F91404" w:rsidRDefault="00EA6070" w:rsidP="00710774">
      <w:pPr>
        <w:spacing w:line="276" w:lineRule="auto"/>
        <w:ind w:left="0"/>
        <w:rPr>
          <w:rFonts w:asciiTheme="majorHAnsi" w:hAnsiTheme="majorHAnsi" w:cstheme="majorHAnsi"/>
          <w:sz w:val="20"/>
          <w:szCs w:val="20"/>
        </w:rPr>
      </w:pPr>
      <w:r w:rsidRPr="00F91404">
        <w:rPr>
          <w:rFonts w:asciiTheme="majorHAnsi" w:hAnsiTheme="majorHAnsi" w:cstheme="majorHAnsi"/>
          <w:sz w:val="20"/>
          <w:szCs w:val="20"/>
        </w:rPr>
        <w:t xml:space="preserve">Across the benchmark countries, the establishment of definitions </w:t>
      </w:r>
      <w:r w:rsidR="00280B00" w:rsidRPr="00F91404">
        <w:rPr>
          <w:rFonts w:asciiTheme="majorHAnsi" w:hAnsiTheme="majorHAnsi" w:cstheme="majorHAnsi"/>
          <w:sz w:val="20"/>
          <w:szCs w:val="20"/>
        </w:rPr>
        <w:t xml:space="preserve">and criteria for green hydrogen </w:t>
      </w:r>
      <w:r w:rsidRPr="00F91404">
        <w:rPr>
          <w:rFonts w:asciiTheme="majorHAnsi" w:hAnsiTheme="majorHAnsi" w:cstheme="majorHAnsi"/>
          <w:sz w:val="20"/>
          <w:szCs w:val="20"/>
        </w:rPr>
        <w:t>has typically preceded the development of more detailed</w:t>
      </w:r>
      <w:r w:rsidR="00280B00" w:rsidRPr="00F91404">
        <w:rPr>
          <w:rFonts w:asciiTheme="majorHAnsi" w:hAnsiTheme="majorHAnsi" w:cstheme="majorHAnsi"/>
          <w:sz w:val="20"/>
          <w:szCs w:val="20"/>
        </w:rPr>
        <w:t xml:space="preserve"> regulatory </w:t>
      </w:r>
      <w:r w:rsidRPr="00F91404">
        <w:rPr>
          <w:rFonts w:asciiTheme="majorHAnsi" w:hAnsiTheme="majorHAnsi" w:cstheme="majorHAnsi"/>
          <w:sz w:val="20"/>
          <w:szCs w:val="20"/>
        </w:rPr>
        <w:t>instruments. In most cases, definitions are first introduced through national strategies or missions and then progressively operationalised through</w:t>
      </w:r>
      <w:r w:rsidR="00280B00" w:rsidRPr="00F91404">
        <w:rPr>
          <w:rFonts w:asciiTheme="majorHAnsi" w:hAnsiTheme="majorHAnsi" w:cstheme="majorHAnsi"/>
          <w:sz w:val="20"/>
          <w:szCs w:val="20"/>
        </w:rPr>
        <w:t xml:space="preserve"> eligibility </w:t>
      </w:r>
      <w:r w:rsidRPr="00F91404">
        <w:rPr>
          <w:rFonts w:asciiTheme="majorHAnsi" w:hAnsiTheme="majorHAnsi" w:cstheme="majorHAnsi"/>
          <w:sz w:val="20"/>
          <w:szCs w:val="20"/>
        </w:rPr>
        <w:t xml:space="preserve">rules </w:t>
      </w:r>
      <w:r w:rsidR="00280B00" w:rsidRPr="00F91404">
        <w:rPr>
          <w:rFonts w:asciiTheme="majorHAnsi" w:hAnsiTheme="majorHAnsi" w:cstheme="majorHAnsi"/>
          <w:sz w:val="20"/>
          <w:szCs w:val="20"/>
        </w:rPr>
        <w:t>for support schemes</w:t>
      </w:r>
      <w:r w:rsidRPr="00F91404">
        <w:rPr>
          <w:rFonts w:asciiTheme="majorHAnsi" w:hAnsiTheme="majorHAnsi" w:cstheme="majorHAnsi"/>
          <w:sz w:val="20"/>
          <w:szCs w:val="20"/>
        </w:rPr>
        <w:t xml:space="preserve"> and certification frameworks. As a result, definitions often evolve over time, moving from high-level concepts to more precise technical criteria</w:t>
      </w:r>
      <w:r w:rsidR="00280B00" w:rsidRPr="00F91404">
        <w:rPr>
          <w:rFonts w:asciiTheme="majorHAnsi" w:hAnsiTheme="majorHAnsi" w:cstheme="majorHAnsi"/>
          <w:sz w:val="20"/>
          <w:szCs w:val="20"/>
        </w:rPr>
        <w:t>.</w:t>
      </w:r>
    </w:p>
    <w:p w14:paraId="1AFCEDE4" w14:textId="54FF25C3" w:rsidR="00280B00" w:rsidRPr="00F91404" w:rsidRDefault="00280B00"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Germany</w:t>
      </w:r>
    </w:p>
    <w:p w14:paraId="743F0564"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Regulatory approach:</w:t>
      </w:r>
      <w:r w:rsidRPr="00F91404">
        <w:rPr>
          <w:rFonts w:asciiTheme="majorHAnsi" w:hAnsiTheme="majorHAnsi" w:cstheme="majorHAnsi"/>
          <w:sz w:val="20"/>
          <w:szCs w:val="20"/>
        </w:rPr>
        <w:t xml:space="preserve"> Green hydrogen is defined using EU-aligned criteria, including emissions thresholds and electricity sourcing requirements.</w:t>
      </w:r>
    </w:p>
    <w:p w14:paraId="30BEB315"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How it operates:</w:t>
      </w:r>
      <w:r w:rsidRPr="00F91404">
        <w:rPr>
          <w:rFonts w:asciiTheme="majorHAnsi" w:hAnsiTheme="majorHAnsi" w:cstheme="majorHAnsi"/>
          <w:sz w:val="20"/>
          <w:szCs w:val="20"/>
        </w:rPr>
        <w:t xml:space="preserve"> Definitions are applied consistently across support mechanisms and certification schemes.</w:t>
      </w:r>
    </w:p>
    <w:p w14:paraId="1EE8F9E2"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Observed regulatory outcome:</w:t>
      </w:r>
      <w:r w:rsidRPr="00F91404">
        <w:rPr>
          <w:rFonts w:asciiTheme="majorHAnsi" w:hAnsiTheme="majorHAnsi" w:cstheme="majorHAnsi"/>
          <w:sz w:val="20"/>
          <w:szCs w:val="20"/>
        </w:rPr>
        <w:t xml:space="preserve"> A common regulatory reference is used across institutions and programmes.</w:t>
      </w:r>
    </w:p>
    <w:p w14:paraId="6AC710FD" w14:textId="5B589DC1" w:rsidR="00280B00" w:rsidRPr="00F91404" w:rsidRDefault="00280B00"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India</w:t>
      </w:r>
    </w:p>
    <w:p w14:paraId="71E3BB75"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Regulatory approach: </w:t>
      </w:r>
      <w:r w:rsidRPr="00F91404">
        <w:rPr>
          <w:rFonts w:asciiTheme="majorHAnsi" w:hAnsiTheme="majorHAnsi" w:cstheme="majorHAnsi"/>
          <w:sz w:val="20"/>
          <w:szCs w:val="20"/>
        </w:rPr>
        <w:t>Definitions for green hydrogen have been introduced as part of a national mission framework.</w:t>
      </w:r>
    </w:p>
    <w:p w14:paraId="489B79F4"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Criteria guide early programmes while technical parameters continue to be refined.</w:t>
      </w:r>
    </w:p>
    <w:p w14:paraId="0FA268A0"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regulatory outcome: </w:t>
      </w:r>
      <w:r w:rsidRPr="00F91404">
        <w:rPr>
          <w:rFonts w:asciiTheme="majorHAnsi" w:hAnsiTheme="majorHAnsi" w:cstheme="majorHAnsi"/>
          <w:sz w:val="20"/>
          <w:szCs w:val="20"/>
        </w:rPr>
        <w:t>A usable but evolving regulatory reference for hydrogen classification.</w:t>
      </w:r>
    </w:p>
    <w:p w14:paraId="64947393" w14:textId="01BB9EC2" w:rsidR="00280B00" w:rsidRPr="00F91404" w:rsidRDefault="00280B00" w:rsidP="00B36D58">
      <w:pPr>
        <w:spacing w:line="276" w:lineRule="auto"/>
        <w:rPr>
          <w:rFonts w:asciiTheme="majorHAnsi" w:hAnsiTheme="majorHAnsi" w:cstheme="majorHAnsi"/>
          <w:sz w:val="20"/>
          <w:szCs w:val="20"/>
        </w:rPr>
      </w:pPr>
    </w:p>
    <w:p w14:paraId="2E22CA1C" w14:textId="56F9E747" w:rsidR="00280B00" w:rsidRPr="00F91404" w:rsidRDefault="00280B00" w:rsidP="008D5DDD">
      <w:pPr>
        <w:pStyle w:val="ListParagraph"/>
        <w:numPr>
          <w:ilvl w:val="0"/>
          <w:numId w:val="17"/>
        </w:numPr>
        <w:spacing w:line="276" w:lineRule="auto"/>
        <w:ind w:left="360"/>
        <w:rPr>
          <w:rFonts w:asciiTheme="majorHAnsi" w:hAnsiTheme="majorHAnsi" w:cstheme="majorHAnsi"/>
          <w:b/>
          <w:bCs/>
          <w:color w:val="005E5A" w:themeColor="accent5" w:themeShade="80"/>
          <w:sz w:val="21"/>
          <w:szCs w:val="21"/>
        </w:rPr>
      </w:pPr>
      <w:r w:rsidRPr="00F91404">
        <w:rPr>
          <w:rFonts w:asciiTheme="majorHAnsi" w:hAnsiTheme="majorHAnsi" w:cstheme="majorHAnsi"/>
          <w:b/>
          <w:bCs/>
          <w:color w:val="005E5A" w:themeColor="accent5" w:themeShade="80"/>
          <w:sz w:val="21"/>
          <w:szCs w:val="21"/>
        </w:rPr>
        <w:t>Dedicated regulation for green hydrogen</w:t>
      </w:r>
    </w:p>
    <w:p w14:paraId="15D56223" w14:textId="2043F208" w:rsidR="00280B00" w:rsidRPr="00F91404" w:rsidRDefault="00EA6070" w:rsidP="00B36D58">
      <w:pPr>
        <w:spacing w:line="276" w:lineRule="auto"/>
        <w:ind w:left="0"/>
        <w:rPr>
          <w:rFonts w:asciiTheme="majorHAnsi" w:hAnsiTheme="majorHAnsi" w:cstheme="majorHAnsi"/>
          <w:sz w:val="20"/>
          <w:szCs w:val="20"/>
        </w:rPr>
      </w:pPr>
      <w:r w:rsidRPr="00F91404">
        <w:rPr>
          <w:rFonts w:asciiTheme="majorHAnsi" w:hAnsiTheme="majorHAnsi" w:cstheme="majorHAnsi"/>
          <w:sz w:val="20"/>
          <w:szCs w:val="20"/>
        </w:rPr>
        <w:t xml:space="preserve">International experience shows that most countries do not initially adopt </w:t>
      </w:r>
      <w:r w:rsidR="00280B00" w:rsidRPr="00F91404">
        <w:rPr>
          <w:rFonts w:asciiTheme="majorHAnsi" w:hAnsiTheme="majorHAnsi" w:cstheme="majorHAnsi"/>
          <w:sz w:val="20"/>
          <w:szCs w:val="20"/>
        </w:rPr>
        <w:t>hydrogen-specific legislation</w:t>
      </w:r>
      <w:r w:rsidRPr="00F91404">
        <w:rPr>
          <w:rFonts w:asciiTheme="majorHAnsi" w:hAnsiTheme="majorHAnsi" w:cstheme="majorHAnsi"/>
          <w:sz w:val="20"/>
          <w:szCs w:val="20"/>
        </w:rPr>
        <w:t xml:space="preserve">. Instead, hydrogen is commonly </w:t>
      </w:r>
      <w:r w:rsidR="00280B00" w:rsidRPr="00F91404">
        <w:rPr>
          <w:rFonts w:asciiTheme="majorHAnsi" w:hAnsiTheme="majorHAnsi" w:cstheme="majorHAnsi"/>
          <w:sz w:val="20"/>
          <w:szCs w:val="20"/>
        </w:rPr>
        <w:t xml:space="preserve">regulated </w:t>
      </w:r>
      <w:r w:rsidRPr="00F91404">
        <w:rPr>
          <w:rFonts w:asciiTheme="majorHAnsi" w:hAnsiTheme="majorHAnsi" w:cstheme="majorHAnsi"/>
          <w:sz w:val="20"/>
          <w:szCs w:val="20"/>
        </w:rPr>
        <w:t xml:space="preserve">through </w:t>
      </w:r>
      <w:r w:rsidR="00280B00" w:rsidRPr="00F91404">
        <w:rPr>
          <w:rFonts w:asciiTheme="majorHAnsi" w:hAnsiTheme="majorHAnsi" w:cstheme="majorHAnsi"/>
          <w:sz w:val="20"/>
          <w:szCs w:val="20"/>
        </w:rPr>
        <w:t>existing energy, industrial and environmental laws</w:t>
      </w:r>
      <w:r w:rsidRPr="00F91404">
        <w:rPr>
          <w:rFonts w:asciiTheme="majorHAnsi" w:hAnsiTheme="majorHAnsi" w:cstheme="majorHAnsi"/>
          <w:sz w:val="20"/>
          <w:szCs w:val="20"/>
        </w:rPr>
        <w:t xml:space="preserve">, with hydrogen-specific provisions added incrementally. </w:t>
      </w:r>
      <w:r w:rsidR="00280B00" w:rsidRPr="00F91404">
        <w:rPr>
          <w:rFonts w:asciiTheme="majorHAnsi" w:hAnsiTheme="majorHAnsi" w:cstheme="majorHAnsi"/>
          <w:sz w:val="20"/>
          <w:szCs w:val="20"/>
        </w:rPr>
        <w:t xml:space="preserve">Dedicated </w:t>
      </w:r>
      <w:r w:rsidRPr="00F91404">
        <w:rPr>
          <w:rFonts w:asciiTheme="majorHAnsi" w:hAnsiTheme="majorHAnsi" w:cstheme="majorHAnsi"/>
          <w:sz w:val="20"/>
          <w:szCs w:val="20"/>
        </w:rPr>
        <w:t xml:space="preserve">hydrogen </w:t>
      </w:r>
      <w:r w:rsidR="00280B00" w:rsidRPr="00F91404">
        <w:rPr>
          <w:rFonts w:asciiTheme="majorHAnsi" w:hAnsiTheme="majorHAnsi" w:cstheme="majorHAnsi"/>
          <w:sz w:val="20"/>
          <w:szCs w:val="20"/>
        </w:rPr>
        <w:t xml:space="preserve">regulation tends to emerge </w:t>
      </w:r>
      <w:r w:rsidRPr="00F91404">
        <w:rPr>
          <w:rFonts w:asciiTheme="majorHAnsi" w:hAnsiTheme="majorHAnsi" w:cstheme="majorHAnsi"/>
          <w:sz w:val="20"/>
          <w:szCs w:val="20"/>
        </w:rPr>
        <w:t xml:space="preserve">later, as </w:t>
      </w:r>
      <w:r w:rsidR="00280B00" w:rsidRPr="00F91404">
        <w:rPr>
          <w:rFonts w:asciiTheme="majorHAnsi" w:hAnsiTheme="majorHAnsi" w:cstheme="majorHAnsi"/>
          <w:sz w:val="20"/>
          <w:szCs w:val="20"/>
        </w:rPr>
        <w:t>deployment expands and regulatory complexity increases.</w:t>
      </w:r>
    </w:p>
    <w:p w14:paraId="36229076" w14:textId="71A8CEE0" w:rsidR="00280B00" w:rsidRPr="00F91404" w:rsidRDefault="00280B00"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South Korea</w:t>
      </w:r>
    </w:p>
    <w:p w14:paraId="670CDE19"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Regulatory approach: </w:t>
      </w:r>
      <w:r w:rsidRPr="00F91404">
        <w:rPr>
          <w:rFonts w:asciiTheme="majorHAnsi" w:hAnsiTheme="majorHAnsi" w:cstheme="majorHAnsi"/>
          <w:sz w:val="20"/>
          <w:szCs w:val="20"/>
        </w:rPr>
        <w:t>Hydrogen development is governed under dedicated hydrogen legislation.</w:t>
      </w:r>
    </w:p>
    <w:p w14:paraId="73B1601D" w14:textId="77777777" w:rsidR="00280B00" w:rsidRPr="00F91404" w:rsidRDefault="00280B00"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Hydrogen-specific rules address safety, certification and market participation within a single legal framework.</w:t>
      </w:r>
    </w:p>
    <w:p w14:paraId="76C11C1D"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regulatory outcome: </w:t>
      </w:r>
      <w:r w:rsidRPr="00F91404">
        <w:rPr>
          <w:rFonts w:asciiTheme="majorHAnsi" w:hAnsiTheme="majorHAnsi" w:cstheme="majorHAnsi"/>
          <w:sz w:val="20"/>
          <w:szCs w:val="20"/>
        </w:rPr>
        <w:t>Clear legal scope and reduced ambiguity for regulated entities.</w:t>
      </w:r>
    </w:p>
    <w:p w14:paraId="69606DCF" w14:textId="74155870" w:rsidR="00280B00" w:rsidRPr="00F91404" w:rsidRDefault="00280B00" w:rsidP="00704664">
      <w:pPr>
        <w:spacing w:before="360"/>
        <w:ind w:left="284"/>
        <w:rPr>
          <w:rFonts w:ascii="Arial" w:hAnsi="Arial" w:cs="Arial"/>
          <w:b/>
          <w:bCs/>
          <w:color w:val="002060"/>
          <w:sz w:val="21"/>
          <w:szCs w:val="21"/>
        </w:rPr>
      </w:pPr>
      <w:r w:rsidRPr="00F91404">
        <w:rPr>
          <w:rFonts w:ascii="Arial" w:hAnsi="Arial" w:cs="Arial"/>
          <w:b/>
          <w:bCs/>
          <w:color w:val="002060"/>
          <w:sz w:val="21"/>
          <w:szCs w:val="21"/>
        </w:rPr>
        <w:t>Netherlands</w:t>
      </w:r>
    </w:p>
    <w:p w14:paraId="33617FFB" w14:textId="77777777" w:rsidR="00280B00" w:rsidRPr="00F91404" w:rsidRDefault="00280B00"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Regulatory approach: </w:t>
      </w:r>
      <w:r w:rsidRPr="00F91404">
        <w:rPr>
          <w:rFonts w:asciiTheme="majorHAnsi" w:hAnsiTheme="majorHAnsi" w:cstheme="majorHAnsi"/>
          <w:sz w:val="20"/>
          <w:szCs w:val="20"/>
        </w:rPr>
        <w:t>Hydrogen is regulated through existing energy and infrastructure laws aligned with EU frameworks</w:t>
      </w:r>
      <w:r w:rsidRPr="00F91404">
        <w:rPr>
          <w:rFonts w:asciiTheme="majorHAnsi" w:hAnsiTheme="majorHAnsi" w:cstheme="majorHAnsi"/>
          <w:b/>
          <w:bCs/>
          <w:sz w:val="20"/>
          <w:szCs w:val="20"/>
        </w:rPr>
        <w:t>.</w:t>
      </w:r>
    </w:p>
    <w:p w14:paraId="3E779B99"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lastRenderedPageBreak/>
        <w:t xml:space="preserve">How it operates: </w:t>
      </w:r>
      <w:r w:rsidRPr="00F91404">
        <w:rPr>
          <w:rFonts w:asciiTheme="majorHAnsi" w:hAnsiTheme="majorHAnsi" w:cstheme="majorHAnsi"/>
          <w:sz w:val="20"/>
          <w:szCs w:val="20"/>
        </w:rPr>
        <w:t>Hydrogen-specific elements are introduced through secondary regulation and guidance.</w:t>
      </w:r>
    </w:p>
    <w:p w14:paraId="42B3994A" w14:textId="3479B58F"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regulatory outcome: </w:t>
      </w:r>
      <w:r w:rsidRPr="00F91404">
        <w:rPr>
          <w:rFonts w:asciiTheme="majorHAnsi" w:hAnsiTheme="majorHAnsi" w:cstheme="majorHAnsi"/>
          <w:sz w:val="20"/>
          <w:szCs w:val="20"/>
        </w:rPr>
        <w:t>Regulatory coverage without a standalone hydrogen law, with provisions evolving alongside deployment.</w:t>
      </w:r>
    </w:p>
    <w:p w14:paraId="3DF60637" w14:textId="77777777" w:rsidR="00B36D58" w:rsidRPr="00F91404" w:rsidRDefault="00B36D58" w:rsidP="00B36D58">
      <w:pPr>
        <w:spacing w:after="0" w:line="276" w:lineRule="auto"/>
        <w:rPr>
          <w:rFonts w:asciiTheme="majorHAnsi" w:hAnsiTheme="majorHAnsi" w:cstheme="majorHAnsi"/>
          <w:sz w:val="20"/>
          <w:szCs w:val="20"/>
        </w:rPr>
      </w:pPr>
    </w:p>
    <w:p w14:paraId="7F0C81F9" w14:textId="1C9C3D69" w:rsidR="00280B00" w:rsidRPr="00F91404" w:rsidRDefault="00280B00" w:rsidP="008D5DDD">
      <w:pPr>
        <w:pStyle w:val="ListParagraph"/>
        <w:numPr>
          <w:ilvl w:val="0"/>
          <w:numId w:val="17"/>
        </w:numPr>
        <w:spacing w:before="240" w:line="276" w:lineRule="auto"/>
        <w:ind w:left="360"/>
        <w:rPr>
          <w:rFonts w:asciiTheme="majorHAnsi" w:hAnsiTheme="majorHAnsi" w:cstheme="majorHAnsi"/>
          <w:b/>
          <w:bCs/>
          <w:color w:val="005E5A" w:themeColor="accent5" w:themeShade="80"/>
          <w:sz w:val="20"/>
          <w:szCs w:val="20"/>
        </w:rPr>
      </w:pPr>
      <w:r w:rsidRPr="00F91404">
        <w:rPr>
          <w:rFonts w:asciiTheme="majorHAnsi" w:hAnsiTheme="majorHAnsi" w:cstheme="majorHAnsi"/>
          <w:b/>
          <w:bCs/>
          <w:color w:val="005E5A" w:themeColor="accent5" w:themeShade="80"/>
          <w:sz w:val="20"/>
          <w:szCs w:val="20"/>
        </w:rPr>
        <w:t>Certification schemes for green hydrogen</w:t>
      </w:r>
    </w:p>
    <w:p w14:paraId="2DA97199" w14:textId="4EC68934" w:rsidR="00280B00" w:rsidRPr="00F91404" w:rsidRDefault="00280B00" w:rsidP="00704664">
      <w:pPr>
        <w:spacing w:line="276" w:lineRule="auto"/>
        <w:ind w:left="0"/>
        <w:rPr>
          <w:rFonts w:asciiTheme="majorHAnsi" w:hAnsiTheme="majorHAnsi" w:cstheme="majorHAnsi"/>
          <w:sz w:val="20"/>
          <w:szCs w:val="20"/>
        </w:rPr>
      </w:pPr>
      <w:r w:rsidRPr="00F91404">
        <w:rPr>
          <w:rFonts w:asciiTheme="majorHAnsi" w:hAnsiTheme="majorHAnsi" w:cstheme="majorHAnsi"/>
          <w:sz w:val="20"/>
          <w:szCs w:val="20"/>
        </w:rPr>
        <w:t xml:space="preserve">Certification schemes </w:t>
      </w:r>
      <w:r w:rsidR="00CF666C" w:rsidRPr="00F91404">
        <w:rPr>
          <w:rFonts w:asciiTheme="majorHAnsi" w:hAnsiTheme="majorHAnsi" w:cstheme="majorHAnsi"/>
          <w:sz w:val="20"/>
          <w:szCs w:val="20"/>
        </w:rPr>
        <w:t>have typically developed after initial definitions are established.</w:t>
      </w:r>
      <w:r w:rsidRPr="00F91404">
        <w:rPr>
          <w:rFonts w:asciiTheme="majorHAnsi" w:hAnsiTheme="majorHAnsi" w:cstheme="majorHAnsi"/>
          <w:sz w:val="20"/>
          <w:szCs w:val="20"/>
        </w:rPr>
        <w:t xml:space="preserve"> Across countries, certification frameworks </w:t>
      </w:r>
      <w:r w:rsidR="00CF666C" w:rsidRPr="00F91404">
        <w:rPr>
          <w:rFonts w:asciiTheme="majorHAnsi" w:hAnsiTheme="majorHAnsi" w:cstheme="majorHAnsi"/>
          <w:sz w:val="20"/>
          <w:szCs w:val="20"/>
        </w:rPr>
        <w:t>range from fully operational systems to schemes under development, often influenced by the requirements of domestic support mechanisms or export markets. Certification is commonly used as an enabling tool rather than as a primary driver of deployment</w:t>
      </w:r>
      <w:r w:rsidRPr="00F91404">
        <w:rPr>
          <w:rFonts w:asciiTheme="majorHAnsi" w:hAnsiTheme="majorHAnsi" w:cstheme="majorHAnsi"/>
          <w:sz w:val="20"/>
          <w:szCs w:val="20"/>
        </w:rPr>
        <w:t>.</w:t>
      </w:r>
    </w:p>
    <w:p w14:paraId="5877B613" w14:textId="71EEC4A2" w:rsidR="00280B00" w:rsidRPr="00F91404" w:rsidRDefault="00280B00"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European Union / Germany</w:t>
      </w:r>
    </w:p>
    <w:p w14:paraId="0390D94A" w14:textId="77777777" w:rsidR="00280B00" w:rsidRPr="00F91404" w:rsidRDefault="00280B00"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Regulatory approach: </w:t>
      </w:r>
      <w:r w:rsidRPr="00F91404">
        <w:rPr>
          <w:rFonts w:asciiTheme="majorHAnsi" w:hAnsiTheme="majorHAnsi" w:cstheme="majorHAnsi"/>
          <w:sz w:val="20"/>
          <w:szCs w:val="20"/>
        </w:rPr>
        <w:t>Certification based on Guarantees of Origin and RFNBO criteria.</w:t>
      </w:r>
    </w:p>
    <w:p w14:paraId="66EC8BF3"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Certification is operational and linked to eligibility for support schemes and market participation.</w:t>
      </w:r>
    </w:p>
    <w:p w14:paraId="1BC1DF97"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regulatory outcome: </w:t>
      </w:r>
      <w:r w:rsidRPr="00F91404">
        <w:rPr>
          <w:rFonts w:asciiTheme="majorHAnsi" w:hAnsiTheme="majorHAnsi" w:cstheme="majorHAnsi"/>
          <w:sz w:val="20"/>
          <w:szCs w:val="20"/>
        </w:rPr>
        <w:t>A functioning certification system that supports regulatory clarity and consistency.</w:t>
      </w:r>
    </w:p>
    <w:p w14:paraId="77AB766C" w14:textId="6FFA761B" w:rsidR="00280B00" w:rsidRPr="00F91404" w:rsidRDefault="00280B00"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Australia</w:t>
      </w:r>
    </w:p>
    <w:p w14:paraId="07EB13E2"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Regulatory approach: </w:t>
      </w:r>
      <w:r w:rsidRPr="00F91404">
        <w:rPr>
          <w:rFonts w:asciiTheme="majorHAnsi" w:hAnsiTheme="majorHAnsi" w:cstheme="majorHAnsi"/>
          <w:sz w:val="20"/>
          <w:szCs w:val="20"/>
        </w:rPr>
        <w:t>National hydrogen certification scheme under development.</w:t>
      </w:r>
    </w:p>
    <w:p w14:paraId="60668850"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Certification frameworks are being designed to align with export market requirements.</w:t>
      </w:r>
    </w:p>
    <w:p w14:paraId="14E052A9" w14:textId="7A4E729A"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regulatory outcome: </w:t>
      </w:r>
      <w:r w:rsidRPr="00F91404">
        <w:rPr>
          <w:rFonts w:asciiTheme="majorHAnsi" w:hAnsiTheme="majorHAnsi" w:cstheme="majorHAnsi"/>
          <w:sz w:val="20"/>
          <w:szCs w:val="20"/>
        </w:rPr>
        <w:t>Clear direction of travel, with certification maturity increasing over time.</w:t>
      </w:r>
    </w:p>
    <w:p w14:paraId="5665AB5A" w14:textId="77777777" w:rsidR="00814C7C" w:rsidRPr="00F91404" w:rsidRDefault="00814C7C" w:rsidP="00814C7C">
      <w:pPr>
        <w:spacing w:before="120" w:after="120" w:line="276" w:lineRule="auto"/>
        <w:ind w:left="1023"/>
        <w:rPr>
          <w:rFonts w:asciiTheme="majorHAnsi" w:hAnsiTheme="majorHAnsi" w:cstheme="majorHAnsi"/>
          <w:sz w:val="20"/>
          <w:szCs w:val="20"/>
        </w:rPr>
      </w:pPr>
    </w:p>
    <w:p w14:paraId="7CCFE40C" w14:textId="45495D51" w:rsidR="00280B00" w:rsidRPr="00F91404" w:rsidRDefault="00280B00" w:rsidP="008D5DDD">
      <w:pPr>
        <w:pStyle w:val="ListParagraph"/>
        <w:numPr>
          <w:ilvl w:val="0"/>
          <w:numId w:val="17"/>
        </w:numPr>
        <w:spacing w:line="276" w:lineRule="auto"/>
        <w:ind w:left="360"/>
        <w:rPr>
          <w:rFonts w:asciiTheme="majorHAnsi" w:hAnsiTheme="majorHAnsi" w:cstheme="majorHAnsi"/>
          <w:b/>
          <w:bCs/>
          <w:color w:val="005E5A" w:themeColor="accent5" w:themeShade="80"/>
          <w:sz w:val="20"/>
          <w:szCs w:val="20"/>
        </w:rPr>
      </w:pPr>
      <w:r w:rsidRPr="00F91404">
        <w:rPr>
          <w:rFonts w:asciiTheme="majorHAnsi" w:hAnsiTheme="majorHAnsi" w:cstheme="majorHAnsi"/>
          <w:b/>
          <w:bCs/>
          <w:color w:val="005E5A" w:themeColor="accent5" w:themeShade="80"/>
          <w:sz w:val="20"/>
          <w:szCs w:val="20"/>
        </w:rPr>
        <w:t>Regulatory gaps and areas of uncertainty</w:t>
      </w:r>
    </w:p>
    <w:p w14:paraId="39FF1320" w14:textId="05793D77" w:rsidR="00280B00" w:rsidRPr="00F91404" w:rsidRDefault="00D52B3B" w:rsidP="00814C7C">
      <w:pPr>
        <w:spacing w:line="276" w:lineRule="auto"/>
        <w:ind w:left="0"/>
        <w:rPr>
          <w:rFonts w:asciiTheme="majorHAnsi" w:hAnsiTheme="majorHAnsi" w:cstheme="majorHAnsi"/>
          <w:sz w:val="20"/>
          <w:szCs w:val="20"/>
        </w:rPr>
      </w:pPr>
      <w:r w:rsidRPr="00F91404">
        <w:rPr>
          <w:rFonts w:asciiTheme="majorHAnsi" w:hAnsiTheme="majorHAnsi" w:cstheme="majorHAnsi"/>
          <w:sz w:val="20"/>
          <w:szCs w:val="20"/>
        </w:rPr>
        <w:t>Despite progress in definitions and certification, regulatory gaps remain common across countries, particularly in early-stage markets. These gaps most frequently</w:t>
      </w:r>
      <w:r w:rsidR="00280B00" w:rsidRPr="00F91404">
        <w:rPr>
          <w:rFonts w:asciiTheme="majorHAnsi" w:hAnsiTheme="majorHAnsi" w:cstheme="majorHAnsi"/>
          <w:sz w:val="20"/>
          <w:szCs w:val="20"/>
        </w:rPr>
        <w:t xml:space="preserve"> relate to hydrogen safety standards, environmental permitting</w:t>
      </w:r>
      <w:r w:rsidRPr="00F91404">
        <w:rPr>
          <w:rFonts w:asciiTheme="majorHAnsi" w:hAnsiTheme="majorHAnsi" w:cstheme="majorHAnsi"/>
          <w:sz w:val="20"/>
          <w:szCs w:val="20"/>
        </w:rPr>
        <w:t xml:space="preserve"> processes</w:t>
      </w:r>
      <w:r w:rsidR="00280B00" w:rsidRPr="00F91404">
        <w:rPr>
          <w:rFonts w:asciiTheme="majorHAnsi" w:hAnsiTheme="majorHAnsi" w:cstheme="majorHAnsi"/>
          <w:sz w:val="20"/>
          <w:szCs w:val="20"/>
        </w:rPr>
        <w:t>, administrative fragmentation, and rules governing transport, storage and grid integration.</w:t>
      </w:r>
      <w:r w:rsidRPr="00F91404">
        <w:rPr>
          <w:rFonts w:asciiTheme="majorHAnsi" w:hAnsiTheme="majorHAnsi" w:cstheme="majorHAnsi"/>
          <w:sz w:val="20"/>
          <w:szCs w:val="20"/>
        </w:rPr>
        <w:t xml:space="preserve"> </w:t>
      </w:r>
      <w:r w:rsidR="00280B00" w:rsidRPr="00F91404">
        <w:rPr>
          <w:rFonts w:asciiTheme="majorHAnsi" w:hAnsiTheme="majorHAnsi" w:cstheme="majorHAnsi"/>
          <w:sz w:val="20"/>
          <w:szCs w:val="20"/>
        </w:rPr>
        <w:t xml:space="preserve">The </w:t>
      </w:r>
      <w:r w:rsidRPr="00F91404">
        <w:rPr>
          <w:rFonts w:asciiTheme="majorHAnsi" w:hAnsiTheme="majorHAnsi" w:cstheme="majorHAnsi"/>
          <w:sz w:val="20"/>
          <w:szCs w:val="20"/>
        </w:rPr>
        <w:t>presence of such</w:t>
      </w:r>
      <w:r w:rsidR="00280B00" w:rsidRPr="00F91404">
        <w:rPr>
          <w:rFonts w:asciiTheme="majorHAnsi" w:hAnsiTheme="majorHAnsi" w:cstheme="majorHAnsi"/>
          <w:sz w:val="20"/>
          <w:szCs w:val="20"/>
        </w:rPr>
        <w:t xml:space="preserve"> gaps </w:t>
      </w:r>
      <w:r w:rsidRPr="00F91404">
        <w:rPr>
          <w:rFonts w:asciiTheme="majorHAnsi" w:hAnsiTheme="majorHAnsi" w:cstheme="majorHAnsi"/>
          <w:sz w:val="20"/>
          <w:szCs w:val="20"/>
        </w:rPr>
        <w:t>increases</w:t>
      </w:r>
      <w:r w:rsidR="00280B00" w:rsidRPr="00F91404">
        <w:rPr>
          <w:rFonts w:asciiTheme="majorHAnsi" w:hAnsiTheme="majorHAnsi" w:cstheme="majorHAnsi"/>
          <w:sz w:val="20"/>
          <w:szCs w:val="20"/>
        </w:rPr>
        <w:t xml:space="preserve"> regulatory uncertainty and administrative complexity.</w:t>
      </w:r>
    </w:p>
    <w:p w14:paraId="098D7B9C" w14:textId="5F5B2F53" w:rsidR="00280B00" w:rsidRPr="00F91404" w:rsidRDefault="00280B00"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Peru</w:t>
      </w:r>
    </w:p>
    <w:p w14:paraId="13CBC001"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Regulatory approach: </w:t>
      </w:r>
      <w:r w:rsidRPr="00F91404">
        <w:rPr>
          <w:rFonts w:asciiTheme="majorHAnsi" w:hAnsiTheme="majorHAnsi" w:cstheme="majorHAnsi"/>
          <w:sz w:val="20"/>
          <w:szCs w:val="20"/>
        </w:rPr>
        <w:t>Hydrogen regulation remains at roadmap and planning stage.</w:t>
      </w:r>
    </w:p>
    <w:p w14:paraId="0A919FE9"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Projects are governed through existing laws with limited hydrogen-specific guidance.</w:t>
      </w:r>
    </w:p>
    <w:p w14:paraId="0FB0744E" w14:textId="77777777" w:rsidR="00280B00" w:rsidRPr="00F91404" w:rsidRDefault="00280B00"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Observed regulatory outcome: </w:t>
      </w:r>
      <w:r w:rsidRPr="00F91404">
        <w:rPr>
          <w:rFonts w:asciiTheme="majorHAnsi" w:hAnsiTheme="majorHAnsi" w:cstheme="majorHAnsi"/>
          <w:sz w:val="20"/>
          <w:szCs w:val="20"/>
        </w:rPr>
        <w:t>Significant gaps across safety, permitting and certification.</w:t>
      </w:r>
    </w:p>
    <w:p w14:paraId="7F6A92D3" w14:textId="48337ABD" w:rsidR="00280B00" w:rsidRPr="00F91404" w:rsidRDefault="00280B00"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United Kingdom</w:t>
      </w:r>
    </w:p>
    <w:p w14:paraId="368F9539"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Regulatory approach: </w:t>
      </w:r>
      <w:r w:rsidRPr="00F91404">
        <w:rPr>
          <w:rFonts w:asciiTheme="majorHAnsi" w:hAnsiTheme="majorHAnsi" w:cstheme="majorHAnsi"/>
          <w:sz w:val="20"/>
          <w:szCs w:val="20"/>
        </w:rPr>
        <w:t>Definitions and certification standards are in place, while other regulatory elements continue to evolve.</w:t>
      </w:r>
    </w:p>
    <w:p w14:paraId="3D5C8D30" w14:textId="77777777" w:rsidR="00280B00" w:rsidRPr="00F91404" w:rsidRDefault="00280B00"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lastRenderedPageBreak/>
        <w:t xml:space="preserve">How it operates: </w:t>
      </w:r>
      <w:r w:rsidRPr="00F91404">
        <w:rPr>
          <w:rFonts w:asciiTheme="majorHAnsi" w:hAnsiTheme="majorHAnsi" w:cstheme="majorHAnsi"/>
          <w:sz w:val="20"/>
          <w:szCs w:val="20"/>
        </w:rPr>
        <w:t>Hydrogen projects navigate a mix of established and emerging regulatory requirements.</w:t>
      </w:r>
    </w:p>
    <w:p w14:paraId="35AB84B1" w14:textId="675AEAEF" w:rsidR="002F1B5F" w:rsidRPr="00F91404" w:rsidRDefault="00280B00"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Observed regulatory outcome: </w:t>
      </w:r>
      <w:r w:rsidRPr="00F91404">
        <w:rPr>
          <w:rFonts w:asciiTheme="majorHAnsi" w:hAnsiTheme="majorHAnsi" w:cstheme="majorHAnsi"/>
          <w:sz w:val="20"/>
          <w:szCs w:val="20"/>
        </w:rPr>
        <w:t>Moderate regulatory gaps remain, particularly related to scaling and system integration.</w:t>
      </w:r>
    </w:p>
    <w:p w14:paraId="27A0D9E4" w14:textId="77777777" w:rsidR="00A9244D" w:rsidRPr="00F91404" w:rsidRDefault="00A9244D" w:rsidP="00A9244D">
      <w:pPr>
        <w:spacing w:line="276" w:lineRule="auto"/>
        <w:ind w:left="2160"/>
        <w:rPr>
          <w:rFonts w:asciiTheme="majorHAnsi" w:hAnsiTheme="majorHAnsi" w:cstheme="majorHAnsi"/>
          <w:sz w:val="20"/>
          <w:szCs w:val="20"/>
        </w:rPr>
      </w:pPr>
    </w:p>
    <w:p w14:paraId="2655D2EC" w14:textId="41665E2C" w:rsidR="00113567" w:rsidRPr="00F91404" w:rsidRDefault="00B72177" w:rsidP="00D643F2">
      <w:pPr>
        <w:rPr>
          <w:b/>
          <w:color w:val="004C43" w:themeColor="accent1"/>
          <w:sz w:val="24"/>
          <w:szCs w:val="32"/>
        </w:rPr>
      </w:pPr>
      <w:bookmarkStart w:id="38" w:name="_Toc220695673"/>
      <w:bookmarkStart w:id="39" w:name="_Toc220695998"/>
      <w:r w:rsidRPr="00F91404">
        <w:rPr>
          <w:b/>
          <w:color w:val="004C43" w:themeColor="accent1"/>
          <w:sz w:val="24"/>
          <w:szCs w:val="32"/>
        </w:rPr>
        <w:t>6</w:t>
      </w:r>
      <w:r w:rsidR="00D643F2" w:rsidRPr="00F91404">
        <w:rPr>
          <w:b/>
          <w:color w:val="004C43" w:themeColor="accent1"/>
          <w:sz w:val="24"/>
          <w:szCs w:val="32"/>
        </w:rPr>
        <w:t xml:space="preserve">.4 </w:t>
      </w:r>
      <w:r w:rsidR="00113567" w:rsidRPr="00F91404">
        <w:rPr>
          <w:b/>
          <w:color w:val="004C43" w:themeColor="accent1"/>
          <w:sz w:val="24"/>
          <w:szCs w:val="32"/>
        </w:rPr>
        <w:t>Policy Levers</w:t>
      </w:r>
      <w:bookmarkEnd w:id="38"/>
      <w:bookmarkEnd w:id="39"/>
    </w:p>
    <w:p w14:paraId="248345E2" w14:textId="002C71FB" w:rsidR="48EB61D0" w:rsidRPr="00F91404" w:rsidRDefault="00E241E3" w:rsidP="00E241E3">
      <w:pPr>
        <w:pStyle w:val="NormalWeb"/>
        <w:spacing w:line="276" w:lineRule="auto"/>
        <w:rPr>
          <w:rFonts w:asciiTheme="majorHAnsi" w:hAnsiTheme="majorHAnsi" w:cstheme="majorBidi"/>
          <w:sz w:val="20"/>
          <w:szCs w:val="20"/>
        </w:rPr>
      </w:pPr>
      <w:r w:rsidRPr="00F91404">
        <w:rPr>
          <w:rFonts w:asciiTheme="majorHAnsi" w:hAnsiTheme="majorHAnsi" w:cstheme="majorBidi"/>
          <w:sz w:val="20"/>
          <w:szCs w:val="20"/>
        </w:rPr>
        <w:t xml:space="preserve">Policy levers influence hydrogen deployment primarily through how they are combined and sequenced over time. International experience shows that early-stage markets tend to rely on instruments that enable market entry, learning and demonstration, while scaling markets progressively introduce mechanisms that address revenue risk, infrastructure coordination and system integration. In this assessment, </w:t>
      </w:r>
      <w:r w:rsidRPr="00F91404">
        <w:rPr>
          <w:rFonts w:asciiTheme="majorHAnsi" w:hAnsiTheme="majorHAnsi" w:cstheme="majorBidi"/>
          <w:i/>
          <w:iCs/>
          <w:sz w:val="20"/>
          <w:szCs w:val="20"/>
        </w:rPr>
        <w:t>‘policy levers’</w:t>
      </w:r>
      <w:r w:rsidRPr="00F91404">
        <w:rPr>
          <w:rFonts w:asciiTheme="majorHAnsi" w:hAnsiTheme="majorHAnsi" w:cstheme="majorBidi"/>
          <w:sz w:val="20"/>
          <w:szCs w:val="20"/>
        </w:rPr>
        <w:t xml:space="preserve"> refers to the set of public instruments used to address cost, risk and coordination challenges associated with green hydrogen development. These levers operate alongside governance arrangements and regulatory frameworks, shaping how hydrogen initiatives progress from policy intent toward implementation across different stages of market maturity.</w:t>
      </w:r>
    </w:p>
    <w:p w14:paraId="2E0522AB" w14:textId="0F024045" w:rsidR="48EB61D0" w:rsidRPr="00F91404" w:rsidRDefault="000D2281" w:rsidP="00B92F03">
      <w:pPr>
        <w:pStyle w:val="NormalWeb"/>
        <w:spacing w:line="276" w:lineRule="auto"/>
        <w:rPr>
          <w:rFonts w:asciiTheme="majorHAnsi" w:hAnsiTheme="majorHAnsi" w:cstheme="majorBidi"/>
          <w:sz w:val="20"/>
          <w:szCs w:val="20"/>
        </w:rPr>
      </w:pPr>
      <w:r w:rsidRPr="00F91404">
        <w:rPr>
          <w:rFonts w:asciiTheme="majorHAnsi" w:hAnsiTheme="majorHAnsi" w:cstheme="majorBidi"/>
          <w:sz w:val="20"/>
          <w:szCs w:val="20"/>
        </w:rPr>
        <w:t>The analysis applies a common policy lever framework and is supported by a comparative heatmap that illustrates the relative maturity of policy instruments across countries and categories. The heatmap provides a visual synthesis of where countries concentrate policy effort, how different levers are sequenced, and how policy maturity varies across markets.</w:t>
      </w:r>
      <w:r w:rsidR="00B92F03" w:rsidRPr="00F91404">
        <w:rPr>
          <w:rFonts w:asciiTheme="majorHAnsi" w:hAnsiTheme="majorHAnsi" w:cstheme="majorBidi"/>
          <w:sz w:val="20"/>
          <w:szCs w:val="20"/>
        </w:rPr>
        <w:t xml:space="preserve"> </w:t>
      </w:r>
      <w:r w:rsidRPr="00F91404">
        <w:rPr>
          <w:rFonts w:asciiTheme="majorHAnsi" w:hAnsiTheme="majorHAnsi" w:cstheme="majorBidi"/>
          <w:sz w:val="20"/>
          <w:szCs w:val="20"/>
        </w:rPr>
        <w:t xml:space="preserve">The policy lever framework and </w:t>
      </w:r>
      <w:r w:rsidR="00B2279F" w:rsidRPr="00F91404">
        <w:rPr>
          <w:rFonts w:asciiTheme="majorHAnsi" w:hAnsiTheme="majorHAnsi" w:cstheme="majorBidi"/>
          <w:sz w:val="20"/>
          <w:szCs w:val="20"/>
        </w:rPr>
        <w:t>a</w:t>
      </w:r>
      <w:r w:rsidRPr="00F91404">
        <w:rPr>
          <w:rFonts w:asciiTheme="majorHAnsi" w:hAnsiTheme="majorHAnsi" w:cstheme="majorBidi"/>
          <w:sz w:val="20"/>
          <w:szCs w:val="20"/>
        </w:rPr>
        <w:t xml:space="preserve"> comparative heatmap summarising policy maturity across benchmark countries </w:t>
      </w:r>
      <w:r w:rsidR="00B2279F" w:rsidRPr="00F91404">
        <w:rPr>
          <w:rFonts w:asciiTheme="majorHAnsi" w:hAnsiTheme="majorHAnsi" w:cstheme="majorBidi"/>
          <w:sz w:val="20"/>
          <w:szCs w:val="20"/>
        </w:rPr>
        <w:t>are presented below.</w:t>
      </w:r>
    </w:p>
    <w:p w14:paraId="26364B63" w14:textId="3702B798" w:rsidR="004366C1" w:rsidRPr="00F91404" w:rsidRDefault="00CC0CFB" w:rsidP="004366C1">
      <w:pPr>
        <w:jc w:val="center"/>
      </w:pPr>
      <w:r w:rsidRPr="00F91404">
        <w:rPr>
          <w:rFonts w:cstheme="minorHAnsi"/>
          <w:b/>
          <w:sz w:val="18"/>
          <w:szCs w:val="18"/>
        </w:rPr>
        <w:t xml:space="preserve">Table 7. </w:t>
      </w:r>
      <w:r w:rsidR="007604A8" w:rsidRPr="00F91404">
        <w:rPr>
          <w:rFonts w:cstheme="minorHAnsi"/>
          <w:b/>
          <w:sz w:val="18"/>
          <w:szCs w:val="18"/>
        </w:rPr>
        <w:t>Policy</w:t>
      </w:r>
      <w:r w:rsidR="004366C1" w:rsidRPr="00F91404">
        <w:rPr>
          <w:rFonts w:cstheme="minorHAnsi"/>
          <w:b/>
          <w:sz w:val="18"/>
          <w:szCs w:val="18"/>
        </w:rPr>
        <w:t xml:space="preserve"> </w:t>
      </w:r>
      <w:r w:rsidR="001422AC" w:rsidRPr="00F91404">
        <w:rPr>
          <w:rFonts w:cstheme="minorHAnsi"/>
          <w:b/>
          <w:sz w:val="18"/>
          <w:szCs w:val="18"/>
        </w:rPr>
        <w:t>Levers</w:t>
      </w:r>
      <w:r w:rsidR="004366C1" w:rsidRPr="00F91404">
        <w:rPr>
          <w:rFonts w:cstheme="minorHAnsi"/>
          <w:b/>
          <w:sz w:val="18"/>
          <w:szCs w:val="18"/>
        </w:rPr>
        <w:t xml:space="preserve"> </w:t>
      </w:r>
      <w:r w:rsidR="007604A8" w:rsidRPr="00F91404">
        <w:rPr>
          <w:rFonts w:cstheme="minorHAnsi"/>
          <w:b/>
          <w:sz w:val="18"/>
          <w:szCs w:val="18"/>
        </w:rPr>
        <w:t>Framework</w:t>
      </w:r>
    </w:p>
    <w:tbl>
      <w:tblPr>
        <w:tblW w:w="9639" w:type="dxa"/>
        <w:jc w:val="center"/>
        <w:tblCellMar>
          <w:top w:w="28" w:type="dxa"/>
          <w:left w:w="28" w:type="dxa"/>
          <w:bottom w:w="28" w:type="dxa"/>
          <w:right w:w="28" w:type="dxa"/>
        </w:tblCellMar>
        <w:tblLook w:val="0420" w:firstRow="1" w:lastRow="0" w:firstColumn="0" w:lastColumn="0" w:noHBand="0" w:noVBand="1"/>
      </w:tblPr>
      <w:tblGrid>
        <w:gridCol w:w="1838"/>
        <w:gridCol w:w="3900"/>
        <w:gridCol w:w="3901"/>
      </w:tblGrid>
      <w:tr w:rsidR="003D6B46" w:rsidRPr="00F91404" w14:paraId="7A66B602" w14:textId="77777777" w:rsidTr="003451C0">
        <w:trPr>
          <w:trHeight w:val="531"/>
          <w:jc w:val="center"/>
        </w:trPr>
        <w:tc>
          <w:tcPr>
            <w:tcW w:w="1838" w:type="dxa"/>
            <w:tcBorders>
              <w:right w:val="dashed" w:sz="4" w:space="0" w:color="FFFFFF" w:themeColor="background1"/>
            </w:tcBorders>
            <w:shd w:val="clear" w:color="auto" w:fill="004C43" w:themeFill="accent1"/>
            <w:tcMar>
              <w:top w:w="72" w:type="dxa"/>
              <w:left w:w="108" w:type="dxa"/>
              <w:bottom w:w="72" w:type="dxa"/>
              <w:right w:w="108" w:type="dxa"/>
            </w:tcMar>
            <w:vAlign w:val="center"/>
            <w:hideMark/>
          </w:tcPr>
          <w:p w14:paraId="0BF6E90A" w14:textId="77777777" w:rsidR="004366C1" w:rsidRPr="00F91404" w:rsidRDefault="004366C1">
            <w:pPr>
              <w:spacing w:after="0"/>
              <w:jc w:val="center"/>
              <w:rPr>
                <w:rFonts w:eastAsia="Times New Roman" w:cstheme="minorHAnsi"/>
                <w:sz w:val="22"/>
                <w:lang w:eastAsia="es-MX"/>
              </w:rPr>
            </w:pPr>
            <w:r w:rsidRPr="00F91404">
              <w:rPr>
                <w:rFonts w:eastAsia="Times New Roman" w:cstheme="minorHAnsi"/>
                <w:b/>
                <w:color w:val="FFFFFF"/>
                <w:kern w:val="24"/>
                <w:sz w:val="22"/>
                <w:lang w:eastAsia="es-MX"/>
              </w:rPr>
              <w:t>Lever</w:t>
            </w:r>
          </w:p>
        </w:tc>
        <w:tc>
          <w:tcPr>
            <w:tcW w:w="3900" w:type="dxa"/>
            <w:tcBorders>
              <w:left w:val="dashed" w:sz="4" w:space="0" w:color="FFFFFF" w:themeColor="background1"/>
              <w:right w:val="dashed" w:sz="4" w:space="0" w:color="FFFFFF" w:themeColor="background1"/>
            </w:tcBorders>
            <w:shd w:val="clear" w:color="auto" w:fill="004C43" w:themeFill="accent1"/>
            <w:tcMar>
              <w:top w:w="72" w:type="dxa"/>
              <w:left w:w="108" w:type="dxa"/>
              <w:bottom w:w="72" w:type="dxa"/>
              <w:right w:w="108" w:type="dxa"/>
            </w:tcMar>
            <w:vAlign w:val="center"/>
            <w:hideMark/>
          </w:tcPr>
          <w:p w14:paraId="1A56D078" w14:textId="77777777" w:rsidR="004366C1" w:rsidRPr="00F91404" w:rsidRDefault="004366C1">
            <w:pPr>
              <w:spacing w:after="0"/>
              <w:jc w:val="center"/>
              <w:rPr>
                <w:rFonts w:eastAsia="Times New Roman" w:cstheme="minorHAnsi"/>
                <w:sz w:val="22"/>
                <w:lang w:eastAsia="es-MX"/>
              </w:rPr>
            </w:pPr>
            <w:r w:rsidRPr="00F91404">
              <w:rPr>
                <w:rFonts w:eastAsia="Times New Roman" w:cstheme="minorHAnsi"/>
                <w:b/>
                <w:color w:val="FFFFFF"/>
                <w:kern w:val="24"/>
                <w:sz w:val="22"/>
                <w:lang w:eastAsia="es-MX"/>
              </w:rPr>
              <w:t>Description</w:t>
            </w:r>
          </w:p>
        </w:tc>
        <w:tc>
          <w:tcPr>
            <w:tcW w:w="3901" w:type="dxa"/>
            <w:tcBorders>
              <w:left w:val="dashed" w:sz="4" w:space="0" w:color="FFFFFF" w:themeColor="background1"/>
            </w:tcBorders>
            <w:shd w:val="clear" w:color="auto" w:fill="004C43" w:themeFill="accent1"/>
            <w:vAlign w:val="center"/>
          </w:tcPr>
          <w:p w14:paraId="0F88490A" w14:textId="77777777" w:rsidR="004366C1" w:rsidRPr="00F91404" w:rsidRDefault="004366C1">
            <w:pPr>
              <w:spacing w:after="0"/>
              <w:jc w:val="center"/>
              <w:rPr>
                <w:rFonts w:eastAsia="Times New Roman" w:cstheme="minorHAnsi"/>
                <w:b/>
                <w:color w:val="FFFFFF"/>
                <w:kern w:val="24"/>
                <w:sz w:val="22"/>
                <w:lang w:eastAsia="es-MX"/>
              </w:rPr>
            </w:pPr>
            <w:r w:rsidRPr="00F91404">
              <w:rPr>
                <w:rFonts w:eastAsia="Times New Roman" w:cstheme="minorHAnsi"/>
                <w:b/>
                <w:color w:val="FFFFFF"/>
                <w:kern w:val="24"/>
                <w:sz w:val="22"/>
                <w:lang w:eastAsia="es-MX"/>
              </w:rPr>
              <w:t>Examples</w:t>
            </w:r>
          </w:p>
        </w:tc>
      </w:tr>
      <w:tr w:rsidR="003D6B46" w:rsidRPr="00F91404" w14:paraId="781A45F3" w14:textId="77777777" w:rsidTr="00B125EE">
        <w:trPr>
          <w:trHeight w:val="784"/>
          <w:jc w:val="center"/>
        </w:trPr>
        <w:tc>
          <w:tcPr>
            <w:tcW w:w="1838" w:type="dxa"/>
            <w:tcBorders>
              <w:bottom w:val="dashed" w:sz="4" w:space="0" w:color="004C43"/>
              <w:right w:val="dashed" w:sz="4" w:space="0" w:color="004C43"/>
            </w:tcBorders>
            <w:shd w:val="clear" w:color="auto" w:fill="F2F2F2" w:themeFill="background1" w:themeFillShade="F2"/>
            <w:tcMar>
              <w:top w:w="72" w:type="dxa"/>
              <w:left w:w="108" w:type="dxa"/>
              <w:bottom w:w="72" w:type="dxa"/>
              <w:right w:w="108" w:type="dxa"/>
            </w:tcMar>
            <w:vAlign w:val="center"/>
            <w:hideMark/>
          </w:tcPr>
          <w:p w14:paraId="51615F77" w14:textId="3732B72B" w:rsidR="004366C1" w:rsidRPr="00F91404" w:rsidRDefault="004366C1" w:rsidP="00B125EE">
            <w:pPr>
              <w:suppressAutoHyphens/>
              <w:spacing w:after="0"/>
              <w:jc w:val="center"/>
              <w:rPr>
                <w:rFonts w:eastAsia="Times New Roman" w:cstheme="minorHAnsi"/>
                <w:b/>
                <w:bCs/>
                <w:color w:val="000000"/>
                <w:kern w:val="24"/>
                <w:sz w:val="18"/>
                <w:szCs w:val="18"/>
                <w:lang w:eastAsia="es-MX"/>
              </w:rPr>
            </w:pPr>
            <w:r w:rsidRPr="00F91404">
              <w:rPr>
                <w:rFonts w:eastAsia="Times New Roman" w:cstheme="minorHAnsi"/>
                <w:b/>
                <w:bCs/>
                <w:color w:val="000000"/>
                <w:kern w:val="24"/>
                <w:sz w:val="18"/>
                <w:szCs w:val="18"/>
                <w:lang w:eastAsia="es-MX"/>
              </w:rPr>
              <w:t>Fiscal &amp; Tax</w:t>
            </w:r>
          </w:p>
          <w:p w14:paraId="1F983212" w14:textId="77777777" w:rsidR="004366C1" w:rsidRPr="00F91404" w:rsidRDefault="004366C1" w:rsidP="00B125EE">
            <w:pPr>
              <w:suppressAutoHyphens/>
              <w:spacing w:after="0"/>
              <w:jc w:val="center"/>
              <w:rPr>
                <w:rFonts w:eastAsia="Times New Roman" w:cstheme="minorHAnsi"/>
                <w:sz w:val="18"/>
                <w:szCs w:val="18"/>
                <w:lang w:eastAsia="es-MX"/>
              </w:rPr>
            </w:pPr>
            <w:r w:rsidRPr="00F91404">
              <w:rPr>
                <w:rFonts w:eastAsia="Times New Roman" w:cstheme="minorHAnsi"/>
                <w:b/>
                <w:bCs/>
                <w:color w:val="000000"/>
                <w:kern w:val="24"/>
                <w:sz w:val="18"/>
                <w:szCs w:val="18"/>
                <w:lang w:eastAsia="es-MX"/>
              </w:rPr>
              <w:t>Incentives</w:t>
            </w:r>
          </w:p>
        </w:tc>
        <w:tc>
          <w:tcPr>
            <w:tcW w:w="3900" w:type="dxa"/>
            <w:tcBorders>
              <w:left w:val="dashed" w:sz="4" w:space="0" w:color="004C43"/>
              <w:right w:val="dashed" w:sz="4" w:space="0" w:color="808080" w:themeColor="background1" w:themeShade="80"/>
            </w:tcBorders>
            <w:shd w:val="clear" w:color="auto" w:fill="FFFFFF"/>
            <w:tcMar>
              <w:top w:w="43" w:type="dxa"/>
              <w:left w:w="65" w:type="dxa"/>
              <w:bottom w:w="43" w:type="dxa"/>
              <w:right w:w="65" w:type="dxa"/>
            </w:tcMar>
            <w:vAlign w:val="center"/>
            <w:hideMark/>
          </w:tcPr>
          <w:p w14:paraId="2CC5AE36" w14:textId="77777777" w:rsidR="004366C1" w:rsidRPr="00F91404" w:rsidRDefault="004366C1" w:rsidP="00C05979">
            <w:pPr>
              <w:suppressAutoHyphens/>
              <w:spacing w:after="0"/>
              <w:rPr>
                <w:rFonts w:eastAsia="Times New Roman" w:cstheme="minorHAnsi"/>
                <w:sz w:val="18"/>
                <w:szCs w:val="18"/>
                <w:lang w:eastAsia="es-MX"/>
              </w:rPr>
            </w:pPr>
            <w:r w:rsidRPr="00F91404">
              <w:rPr>
                <w:rFonts w:eastAsia="Times New Roman" w:cstheme="minorHAnsi"/>
                <w:color w:val="000000"/>
                <w:kern w:val="24"/>
                <w:sz w:val="18"/>
                <w:szCs w:val="18"/>
                <w:lang w:eastAsia="es-MX"/>
              </w:rPr>
              <w:t>Tax measures that reduce upfront costs or tax liabilities for hydrogen investments</w:t>
            </w:r>
          </w:p>
        </w:tc>
        <w:tc>
          <w:tcPr>
            <w:tcW w:w="3901" w:type="dxa"/>
            <w:tcBorders>
              <w:left w:val="dashed" w:sz="4" w:space="0" w:color="808080" w:themeColor="background1" w:themeShade="80"/>
            </w:tcBorders>
            <w:vAlign w:val="center"/>
          </w:tcPr>
          <w:p w14:paraId="36B92702" w14:textId="77777777" w:rsidR="004366C1" w:rsidRPr="00F91404" w:rsidRDefault="004366C1" w:rsidP="00C05979">
            <w:pPr>
              <w:suppressAutoHyphens/>
              <w:spacing w:after="0"/>
              <w:rPr>
                <w:rFonts w:eastAsia="Times New Roman" w:cstheme="minorHAnsi"/>
                <w:color w:val="000000"/>
                <w:kern w:val="24"/>
                <w:sz w:val="18"/>
                <w:szCs w:val="18"/>
                <w:lang w:eastAsia="es-MX"/>
              </w:rPr>
            </w:pPr>
            <w:r w:rsidRPr="00F91404">
              <w:rPr>
                <w:rFonts w:eastAsia="Times New Roman" w:cstheme="minorHAnsi"/>
                <w:color w:val="000000"/>
                <w:kern w:val="24"/>
                <w:sz w:val="18"/>
                <w:szCs w:val="18"/>
                <w:lang w:eastAsia="es-MX"/>
              </w:rPr>
              <w:t>Income tax deductions, VAT exemptions, accelerated depreciation</w:t>
            </w:r>
          </w:p>
        </w:tc>
      </w:tr>
      <w:tr w:rsidR="003D6B46" w:rsidRPr="00F91404" w14:paraId="422640EC" w14:textId="77777777" w:rsidTr="00B125EE">
        <w:trPr>
          <w:trHeight w:val="846"/>
          <w:jc w:val="center"/>
        </w:trPr>
        <w:tc>
          <w:tcPr>
            <w:tcW w:w="1838" w:type="dxa"/>
            <w:tcBorders>
              <w:top w:val="dashed" w:sz="4" w:space="0" w:color="004C43"/>
              <w:bottom w:val="dashed" w:sz="4" w:space="0" w:color="004C43"/>
              <w:right w:val="dashed" w:sz="4" w:space="0" w:color="004C43"/>
            </w:tcBorders>
            <w:shd w:val="clear" w:color="auto" w:fill="F2F2F2" w:themeFill="background1" w:themeFillShade="F2"/>
            <w:tcMar>
              <w:top w:w="72" w:type="dxa"/>
              <w:left w:w="108" w:type="dxa"/>
              <w:bottom w:w="72" w:type="dxa"/>
              <w:right w:w="108" w:type="dxa"/>
            </w:tcMar>
            <w:vAlign w:val="center"/>
            <w:hideMark/>
          </w:tcPr>
          <w:p w14:paraId="22FA6D65" w14:textId="77777777" w:rsidR="004366C1" w:rsidRPr="00F91404" w:rsidRDefault="004366C1" w:rsidP="00B125EE">
            <w:pPr>
              <w:suppressAutoHyphens/>
              <w:spacing w:after="0"/>
              <w:jc w:val="center"/>
              <w:rPr>
                <w:rFonts w:eastAsia="Times New Roman" w:cstheme="minorHAnsi"/>
                <w:sz w:val="18"/>
                <w:szCs w:val="18"/>
                <w:lang w:eastAsia="es-MX"/>
              </w:rPr>
            </w:pPr>
            <w:r w:rsidRPr="00F91404">
              <w:rPr>
                <w:rFonts w:eastAsia="Times New Roman" w:cstheme="minorHAnsi"/>
                <w:b/>
                <w:bCs/>
                <w:color w:val="000000"/>
                <w:kern w:val="24"/>
                <w:sz w:val="18"/>
                <w:szCs w:val="18"/>
                <w:lang w:eastAsia="es-MX"/>
              </w:rPr>
              <w:t>Direct Public Funding</w:t>
            </w:r>
          </w:p>
        </w:tc>
        <w:tc>
          <w:tcPr>
            <w:tcW w:w="3900" w:type="dxa"/>
            <w:tcBorders>
              <w:left w:val="dashed" w:sz="4" w:space="0" w:color="004C43"/>
              <w:right w:val="dashed" w:sz="4" w:space="0" w:color="808080" w:themeColor="background1" w:themeShade="80"/>
            </w:tcBorders>
            <w:shd w:val="clear" w:color="auto" w:fill="E0F1DF" w:themeFill="accent2" w:themeFillTint="33"/>
            <w:tcMar>
              <w:top w:w="43" w:type="dxa"/>
              <w:left w:w="65" w:type="dxa"/>
              <w:bottom w:w="43" w:type="dxa"/>
              <w:right w:w="65" w:type="dxa"/>
            </w:tcMar>
            <w:vAlign w:val="center"/>
            <w:hideMark/>
          </w:tcPr>
          <w:p w14:paraId="7C4387BE" w14:textId="77777777" w:rsidR="004366C1" w:rsidRPr="00F91404" w:rsidRDefault="004366C1" w:rsidP="00C05979">
            <w:pPr>
              <w:suppressAutoHyphens/>
              <w:spacing w:after="0"/>
              <w:rPr>
                <w:rFonts w:eastAsia="Times New Roman" w:cstheme="minorHAnsi"/>
                <w:sz w:val="18"/>
                <w:szCs w:val="18"/>
                <w:lang w:eastAsia="es-MX"/>
              </w:rPr>
            </w:pPr>
            <w:r w:rsidRPr="00F91404">
              <w:rPr>
                <w:rFonts w:eastAsia="Times New Roman" w:cstheme="minorHAnsi"/>
                <w:color w:val="000000"/>
                <w:kern w:val="24"/>
                <w:sz w:val="18"/>
                <w:szCs w:val="18"/>
                <w:lang w:eastAsia="es-MX"/>
              </w:rPr>
              <w:t xml:space="preserve">Public funding that reduces early-stage and first-of-a-kind project risk. </w:t>
            </w:r>
          </w:p>
        </w:tc>
        <w:tc>
          <w:tcPr>
            <w:tcW w:w="3901" w:type="dxa"/>
            <w:tcBorders>
              <w:left w:val="dashed" w:sz="4" w:space="0" w:color="808080" w:themeColor="background1" w:themeShade="80"/>
            </w:tcBorders>
            <w:shd w:val="clear" w:color="auto" w:fill="E0F1DF" w:themeFill="accent2" w:themeFillTint="33"/>
            <w:vAlign w:val="center"/>
          </w:tcPr>
          <w:p w14:paraId="45BB6BE0" w14:textId="77777777" w:rsidR="004366C1" w:rsidRPr="00F91404" w:rsidRDefault="004366C1" w:rsidP="00C05979">
            <w:pPr>
              <w:suppressAutoHyphens/>
              <w:spacing w:after="0"/>
              <w:rPr>
                <w:rFonts w:eastAsia="Times New Roman" w:cstheme="minorHAnsi"/>
                <w:color w:val="000000"/>
                <w:kern w:val="24"/>
                <w:sz w:val="18"/>
                <w:szCs w:val="18"/>
                <w:lang w:eastAsia="es-MX"/>
              </w:rPr>
            </w:pPr>
            <w:r w:rsidRPr="00F91404">
              <w:rPr>
                <w:rFonts w:eastAsia="Times New Roman" w:cstheme="minorHAnsi"/>
                <w:color w:val="000000"/>
                <w:kern w:val="24"/>
                <w:sz w:val="18"/>
                <w:szCs w:val="18"/>
                <w:lang w:eastAsia="es-MX"/>
              </w:rPr>
              <w:t>CAPEX grants, public co-financing, pilot and demonstration funding</w:t>
            </w:r>
          </w:p>
        </w:tc>
      </w:tr>
      <w:tr w:rsidR="003D6B46" w:rsidRPr="00F91404" w14:paraId="0262E478" w14:textId="77777777" w:rsidTr="00B125EE">
        <w:trPr>
          <w:trHeight w:val="857"/>
          <w:jc w:val="center"/>
        </w:trPr>
        <w:tc>
          <w:tcPr>
            <w:tcW w:w="1838" w:type="dxa"/>
            <w:tcBorders>
              <w:top w:val="dashed" w:sz="4" w:space="0" w:color="004C43"/>
              <w:bottom w:val="dashed" w:sz="4" w:space="0" w:color="004C43"/>
              <w:right w:val="dashed" w:sz="4" w:space="0" w:color="004C43"/>
            </w:tcBorders>
            <w:shd w:val="clear" w:color="auto" w:fill="F2F2F2" w:themeFill="background1" w:themeFillShade="F2"/>
            <w:tcMar>
              <w:top w:w="72" w:type="dxa"/>
              <w:left w:w="108" w:type="dxa"/>
              <w:bottom w:w="72" w:type="dxa"/>
              <w:right w:w="108" w:type="dxa"/>
            </w:tcMar>
            <w:vAlign w:val="center"/>
            <w:hideMark/>
          </w:tcPr>
          <w:p w14:paraId="509581B0" w14:textId="2FA9C99C" w:rsidR="004366C1" w:rsidRPr="00F91404" w:rsidRDefault="004366C1" w:rsidP="00B125EE">
            <w:pPr>
              <w:suppressAutoHyphens/>
              <w:spacing w:after="0"/>
              <w:jc w:val="center"/>
              <w:rPr>
                <w:rFonts w:eastAsia="Times New Roman" w:cstheme="minorHAnsi"/>
                <w:b/>
                <w:bCs/>
                <w:color w:val="000000"/>
                <w:kern w:val="24"/>
                <w:sz w:val="18"/>
                <w:szCs w:val="18"/>
                <w:lang w:eastAsia="es-MX"/>
              </w:rPr>
            </w:pPr>
            <w:r w:rsidRPr="00F91404">
              <w:rPr>
                <w:rFonts w:eastAsia="Times New Roman" w:cstheme="minorHAnsi"/>
                <w:b/>
                <w:bCs/>
                <w:color w:val="000000"/>
                <w:kern w:val="24"/>
                <w:sz w:val="18"/>
                <w:szCs w:val="18"/>
                <w:lang w:eastAsia="es-MX"/>
              </w:rPr>
              <w:t>Market &amp;</w:t>
            </w:r>
          </w:p>
          <w:p w14:paraId="129D229E" w14:textId="1FA8291C" w:rsidR="004366C1" w:rsidRPr="00F91404" w:rsidRDefault="004366C1" w:rsidP="00B125EE">
            <w:pPr>
              <w:suppressAutoHyphens/>
              <w:spacing w:after="0"/>
              <w:jc w:val="center"/>
              <w:rPr>
                <w:rFonts w:eastAsia="Times New Roman" w:cstheme="minorHAnsi"/>
                <w:b/>
                <w:bCs/>
                <w:color w:val="000000"/>
                <w:kern w:val="24"/>
                <w:sz w:val="18"/>
                <w:szCs w:val="18"/>
                <w:lang w:eastAsia="es-MX"/>
              </w:rPr>
            </w:pPr>
            <w:r w:rsidRPr="00F91404">
              <w:rPr>
                <w:rFonts w:eastAsia="Times New Roman" w:cstheme="minorHAnsi"/>
                <w:b/>
                <w:bCs/>
                <w:color w:val="000000"/>
                <w:kern w:val="24"/>
                <w:sz w:val="18"/>
                <w:szCs w:val="18"/>
                <w:lang w:eastAsia="es-MX"/>
              </w:rPr>
              <w:t>Revenue</w:t>
            </w:r>
          </w:p>
          <w:p w14:paraId="3145CD88" w14:textId="77777777" w:rsidR="004366C1" w:rsidRPr="00F91404" w:rsidRDefault="004366C1" w:rsidP="00B125EE">
            <w:pPr>
              <w:suppressAutoHyphens/>
              <w:spacing w:after="0"/>
              <w:jc w:val="center"/>
              <w:rPr>
                <w:rFonts w:eastAsia="Times New Roman" w:cstheme="minorHAnsi"/>
                <w:sz w:val="18"/>
                <w:szCs w:val="18"/>
                <w:lang w:eastAsia="es-MX"/>
              </w:rPr>
            </w:pPr>
            <w:r w:rsidRPr="00F91404">
              <w:rPr>
                <w:rFonts w:eastAsia="Times New Roman" w:cstheme="minorHAnsi"/>
                <w:b/>
                <w:bCs/>
                <w:color w:val="000000"/>
                <w:kern w:val="24"/>
                <w:sz w:val="18"/>
                <w:szCs w:val="18"/>
                <w:lang w:eastAsia="es-MX"/>
              </w:rPr>
              <w:t>Support</w:t>
            </w:r>
          </w:p>
        </w:tc>
        <w:tc>
          <w:tcPr>
            <w:tcW w:w="3900" w:type="dxa"/>
            <w:tcBorders>
              <w:left w:val="dashed" w:sz="4" w:space="0" w:color="004C43"/>
              <w:right w:val="dashed" w:sz="4" w:space="0" w:color="808080" w:themeColor="background1" w:themeShade="80"/>
            </w:tcBorders>
            <w:shd w:val="clear" w:color="auto" w:fill="FFFFFF"/>
            <w:tcMar>
              <w:top w:w="43" w:type="dxa"/>
              <w:left w:w="65" w:type="dxa"/>
              <w:bottom w:w="43" w:type="dxa"/>
              <w:right w:w="65" w:type="dxa"/>
            </w:tcMar>
            <w:vAlign w:val="center"/>
            <w:hideMark/>
          </w:tcPr>
          <w:p w14:paraId="5DEAB4D8" w14:textId="77777777" w:rsidR="004366C1" w:rsidRPr="00F91404" w:rsidRDefault="004366C1" w:rsidP="00C05979">
            <w:pPr>
              <w:suppressAutoHyphens/>
              <w:spacing w:after="0"/>
              <w:rPr>
                <w:rFonts w:eastAsia="Times New Roman" w:cstheme="minorHAnsi"/>
                <w:sz w:val="18"/>
                <w:szCs w:val="18"/>
                <w:lang w:eastAsia="es-MX"/>
              </w:rPr>
            </w:pPr>
            <w:r w:rsidRPr="00F91404">
              <w:rPr>
                <w:rFonts w:eastAsia="Times New Roman" w:cstheme="minorHAnsi"/>
                <w:color w:val="000000"/>
                <w:kern w:val="24"/>
                <w:sz w:val="18"/>
                <w:szCs w:val="18"/>
                <w:lang w:eastAsia="es-MX"/>
              </w:rPr>
              <w:t>Mechanisms that provide revenue certainty or demand signals to close the cost gap.</w:t>
            </w:r>
          </w:p>
        </w:tc>
        <w:tc>
          <w:tcPr>
            <w:tcW w:w="3901" w:type="dxa"/>
            <w:tcBorders>
              <w:left w:val="dashed" w:sz="4" w:space="0" w:color="808080" w:themeColor="background1" w:themeShade="80"/>
            </w:tcBorders>
            <w:vAlign w:val="center"/>
          </w:tcPr>
          <w:p w14:paraId="1028A587" w14:textId="77777777" w:rsidR="004366C1" w:rsidRPr="00F91404" w:rsidRDefault="004366C1" w:rsidP="00C05979">
            <w:pPr>
              <w:suppressAutoHyphens/>
              <w:spacing w:after="0"/>
              <w:rPr>
                <w:rFonts w:eastAsia="Times New Roman" w:cstheme="minorHAnsi"/>
                <w:color w:val="000000"/>
                <w:kern w:val="24"/>
                <w:sz w:val="18"/>
                <w:szCs w:val="18"/>
                <w:lang w:eastAsia="es-MX"/>
              </w:rPr>
            </w:pPr>
            <w:proofErr w:type="spellStart"/>
            <w:r w:rsidRPr="00F91404">
              <w:rPr>
                <w:rFonts w:eastAsia="Times New Roman" w:cstheme="minorHAnsi"/>
                <w:color w:val="000000"/>
                <w:kern w:val="24"/>
                <w:sz w:val="18"/>
                <w:szCs w:val="18"/>
                <w:lang w:eastAsia="es-MX"/>
              </w:rPr>
              <w:t>CfD</w:t>
            </w:r>
            <w:proofErr w:type="spellEnd"/>
            <w:r w:rsidRPr="00F91404">
              <w:rPr>
                <w:rFonts w:eastAsia="Times New Roman" w:cstheme="minorHAnsi"/>
                <w:color w:val="000000"/>
                <w:kern w:val="24"/>
                <w:sz w:val="18"/>
                <w:szCs w:val="18"/>
                <w:lang w:eastAsia="es-MX"/>
              </w:rPr>
              <w:t>-type schemes, long-term offtake contracts, hydrogen auctions</w:t>
            </w:r>
          </w:p>
        </w:tc>
      </w:tr>
      <w:tr w:rsidR="003D6B46" w:rsidRPr="00F91404" w14:paraId="4941AB56" w14:textId="77777777" w:rsidTr="00B125EE">
        <w:trPr>
          <w:trHeight w:val="1295"/>
          <w:jc w:val="center"/>
        </w:trPr>
        <w:tc>
          <w:tcPr>
            <w:tcW w:w="1838" w:type="dxa"/>
            <w:tcBorders>
              <w:top w:val="dashed" w:sz="4" w:space="0" w:color="004C43"/>
              <w:bottom w:val="dashed" w:sz="4" w:space="0" w:color="004C43"/>
              <w:right w:val="dashed" w:sz="4" w:space="0" w:color="004C43"/>
            </w:tcBorders>
            <w:shd w:val="clear" w:color="auto" w:fill="F2F2F2" w:themeFill="background1" w:themeFillShade="F2"/>
            <w:tcMar>
              <w:top w:w="72" w:type="dxa"/>
              <w:left w:w="108" w:type="dxa"/>
              <w:bottom w:w="72" w:type="dxa"/>
              <w:right w:w="108" w:type="dxa"/>
            </w:tcMar>
            <w:vAlign w:val="center"/>
            <w:hideMark/>
          </w:tcPr>
          <w:p w14:paraId="26E37A74" w14:textId="113DDCEF" w:rsidR="004366C1" w:rsidRPr="00F91404" w:rsidRDefault="004366C1" w:rsidP="00B125EE">
            <w:pPr>
              <w:suppressAutoHyphens/>
              <w:spacing w:after="0"/>
              <w:jc w:val="center"/>
              <w:rPr>
                <w:rFonts w:eastAsia="Times New Roman" w:cstheme="minorHAnsi"/>
                <w:b/>
                <w:bCs/>
                <w:color w:val="000000"/>
                <w:kern w:val="24"/>
                <w:sz w:val="18"/>
                <w:szCs w:val="18"/>
                <w:lang w:eastAsia="es-MX"/>
              </w:rPr>
            </w:pPr>
            <w:r w:rsidRPr="00F91404">
              <w:rPr>
                <w:rFonts w:eastAsia="Times New Roman" w:cstheme="minorHAnsi"/>
                <w:b/>
                <w:bCs/>
                <w:color w:val="000000"/>
                <w:kern w:val="24"/>
                <w:sz w:val="18"/>
                <w:szCs w:val="18"/>
                <w:lang w:eastAsia="es-MX"/>
              </w:rPr>
              <w:t>Standards &amp;</w:t>
            </w:r>
          </w:p>
          <w:p w14:paraId="7FDD8A15" w14:textId="77777777" w:rsidR="004366C1" w:rsidRPr="00F91404" w:rsidRDefault="004366C1" w:rsidP="00B125EE">
            <w:pPr>
              <w:suppressAutoHyphens/>
              <w:spacing w:after="0"/>
              <w:jc w:val="center"/>
              <w:rPr>
                <w:rFonts w:eastAsia="Times New Roman" w:cstheme="minorHAnsi"/>
                <w:sz w:val="18"/>
                <w:szCs w:val="18"/>
                <w:lang w:eastAsia="es-MX"/>
              </w:rPr>
            </w:pPr>
            <w:r w:rsidRPr="00F91404">
              <w:rPr>
                <w:rFonts w:eastAsia="Times New Roman" w:cstheme="minorHAnsi"/>
                <w:b/>
                <w:bCs/>
                <w:color w:val="000000"/>
                <w:kern w:val="24"/>
                <w:sz w:val="18"/>
                <w:szCs w:val="18"/>
                <w:lang w:eastAsia="es-MX"/>
              </w:rPr>
              <w:t>Certification</w:t>
            </w:r>
          </w:p>
        </w:tc>
        <w:tc>
          <w:tcPr>
            <w:tcW w:w="3900" w:type="dxa"/>
            <w:tcBorders>
              <w:left w:val="dashed" w:sz="4" w:space="0" w:color="004C43"/>
              <w:right w:val="dashed" w:sz="4" w:space="0" w:color="808080" w:themeColor="background1" w:themeShade="80"/>
            </w:tcBorders>
            <w:shd w:val="clear" w:color="auto" w:fill="E0F1DF" w:themeFill="accent2" w:themeFillTint="33"/>
            <w:tcMar>
              <w:top w:w="43" w:type="dxa"/>
              <w:left w:w="65" w:type="dxa"/>
              <w:bottom w:w="43" w:type="dxa"/>
              <w:right w:w="65" w:type="dxa"/>
            </w:tcMar>
            <w:vAlign w:val="center"/>
            <w:hideMark/>
          </w:tcPr>
          <w:p w14:paraId="71074595" w14:textId="77777777" w:rsidR="004366C1" w:rsidRPr="00F91404" w:rsidRDefault="004366C1" w:rsidP="00C05979">
            <w:pPr>
              <w:suppressAutoHyphens/>
              <w:spacing w:after="0"/>
              <w:rPr>
                <w:rFonts w:eastAsia="Times New Roman" w:cstheme="minorHAnsi"/>
                <w:sz w:val="18"/>
                <w:szCs w:val="18"/>
                <w:lang w:eastAsia="es-MX"/>
              </w:rPr>
            </w:pPr>
            <w:r w:rsidRPr="00F91404">
              <w:rPr>
                <w:rFonts w:eastAsia="Times New Roman" w:cstheme="minorHAnsi"/>
                <w:color w:val="000000"/>
                <w:kern w:val="24"/>
                <w:sz w:val="18"/>
                <w:szCs w:val="18"/>
                <w:lang w:eastAsia="es-MX"/>
              </w:rPr>
              <w:t>Rules that define eligible clean hydrogen and reduce regulatory uncertainty, including the stringency of greenhouse gas accounting methodologies, emissions thresholds and certification requirements.</w:t>
            </w:r>
          </w:p>
        </w:tc>
        <w:tc>
          <w:tcPr>
            <w:tcW w:w="3901" w:type="dxa"/>
            <w:tcBorders>
              <w:left w:val="dashed" w:sz="4" w:space="0" w:color="808080" w:themeColor="background1" w:themeShade="80"/>
            </w:tcBorders>
            <w:shd w:val="clear" w:color="auto" w:fill="E0F1DF" w:themeFill="accent2" w:themeFillTint="33"/>
            <w:vAlign w:val="center"/>
          </w:tcPr>
          <w:p w14:paraId="3F054C01" w14:textId="77777777" w:rsidR="004366C1" w:rsidRPr="00F91404" w:rsidRDefault="004366C1" w:rsidP="00C05979">
            <w:pPr>
              <w:suppressAutoHyphens/>
              <w:spacing w:after="0"/>
              <w:rPr>
                <w:rFonts w:eastAsia="Times New Roman" w:cstheme="minorHAnsi"/>
                <w:color w:val="000000"/>
                <w:kern w:val="24"/>
                <w:sz w:val="18"/>
                <w:szCs w:val="18"/>
                <w:lang w:eastAsia="es-MX"/>
              </w:rPr>
            </w:pPr>
            <w:r w:rsidRPr="00F91404">
              <w:rPr>
                <w:rFonts w:eastAsia="Times New Roman" w:cstheme="minorHAnsi"/>
                <w:color w:val="000000"/>
                <w:kern w:val="24"/>
                <w:sz w:val="18"/>
                <w:szCs w:val="18"/>
                <w:lang w:eastAsia="es-MX"/>
              </w:rPr>
              <w:t>Emissions thresholds, GHG accounting methodologies, Guarantees of Origin, RFNBO criteria</w:t>
            </w:r>
          </w:p>
        </w:tc>
      </w:tr>
      <w:tr w:rsidR="003D6B46" w:rsidRPr="00F91404" w14:paraId="5AD578BA" w14:textId="77777777" w:rsidTr="00B125EE">
        <w:trPr>
          <w:trHeight w:val="802"/>
          <w:jc w:val="center"/>
        </w:trPr>
        <w:tc>
          <w:tcPr>
            <w:tcW w:w="1838" w:type="dxa"/>
            <w:tcBorders>
              <w:top w:val="dashed" w:sz="4" w:space="0" w:color="004C43"/>
              <w:bottom w:val="dashed" w:sz="4" w:space="0" w:color="004C43"/>
              <w:right w:val="dashed" w:sz="4" w:space="0" w:color="004C43"/>
            </w:tcBorders>
            <w:shd w:val="clear" w:color="auto" w:fill="F2F2F2" w:themeFill="background1" w:themeFillShade="F2"/>
            <w:tcMar>
              <w:top w:w="72" w:type="dxa"/>
              <w:left w:w="108" w:type="dxa"/>
              <w:bottom w:w="72" w:type="dxa"/>
              <w:right w:w="108" w:type="dxa"/>
            </w:tcMar>
            <w:vAlign w:val="center"/>
            <w:hideMark/>
          </w:tcPr>
          <w:p w14:paraId="7756EE70" w14:textId="0D51746D" w:rsidR="004366C1" w:rsidRPr="00F91404" w:rsidRDefault="004366C1" w:rsidP="00B125EE">
            <w:pPr>
              <w:suppressAutoHyphens/>
              <w:spacing w:after="0"/>
              <w:jc w:val="center"/>
              <w:rPr>
                <w:rFonts w:eastAsia="Times New Roman" w:cstheme="minorHAnsi"/>
                <w:b/>
                <w:bCs/>
                <w:color w:val="000000"/>
                <w:kern w:val="24"/>
                <w:sz w:val="18"/>
                <w:szCs w:val="18"/>
                <w:lang w:eastAsia="es-MX"/>
              </w:rPr>
            </w:pPr>
            <w:r w:rsidRPr="00F91404">
              <w:rPr>
                <w:rFonts w:eastAsia="Times New Roman" w:cstheme="minorHAnsi"/>
                <w:b/>
                <w:bCs/>
                <w:color w:val="000000"/>
                <w:kern w:val="24"/>
                <w:sz w:val="18"/>
                <w:szCs w:val="18"/>
                <w:lang w:eastAsia="es-MX"/>
              </w:rPr>
              <w:t>Infrastructure</w:t>
            </w:r>
          </w:p>
          <w:p w14:paraId="5D06239D" w14:textId="77777777" w:rsidR="004366C1" w:rsidRPr="00F91404" w:rsidRDefault="004366C1" w:rsidP="00B125EE">
            <w:pPr>
              <w:suppressAutoHyphens/>
              <w:spacing w:after="0"/>
              <w:jc w:val="center"/>
              <w:rPr>
                <w:rFonts w:eastAsia="Times New Roman" w:cstheme="minorHAnsi"/>
                <w:sz w:val="18"/>
                <w:szCs w:val="18"/>
                <w:lang w:eastAsia="es-MX"/>
              </w:rPr>
            </w:pPr>
            <w:r w:rsidRPr="00F91404">
              <w:rPr>
                <w:rFonts w:eastAsia="Times New Roman" w:cstheme="minorHAnsi"/>
                <w:b/>
                <w:bCs/>
                <w:color w:val="000000"/>
                <w:kern w:val="24"/>
                <w:sz w:val="18"/>
                <w:szCs w:val="18"/>
                <w:lang w:eastAsia="es-MX"/>
              </w:rPr>
              <w:t>Enablers</w:t>
            </w:r>
          </w:p>
        </w:tc>
        <w:tc>
          <w:tcPr>
            <w:tcW w:w="3900" w:type="dxa"/>
            <w:tcBorders>
              <w:left w:val="dashed" w:sz="4" w:space="0" w:color="004C43"/>
              <w:bottom w:val="dashed" w:sz="4" w:space="0" w:color="004C43"/>
              <w:right w:val="dashed" w:sz="4" w:space="0" w:color="808080" w:themeColor="background1" w:themeShade="80"/>
            </w:tcBorders>
            <w:shd w:val="clear" w:color="auto" w:fill="FFFFFF"/>
            <w:tcMar>
              <w:top w:w="43" w:type="dxa"/>
              <w:left w:w="65" w:type="dxa"/>
              <w:bottom w:w="43" w:type="dxa"/>
              <w:right w:w="65" w:type="dxa"/>
            </w:tcMar>
            <w:vAlign w:val="center"/>
            <w:hideMark/>
          </w:tcPr>
          <w:p w14:paraId="4F9131A6" w14:textId="77777777" w:rsidR="004366C1" w:rsidRPr="00F91404" w:rsidRDefault="004366C1" w:rsidP="00C05979">
            <w:pPr>
              <w:suppressAutoHyphens/>
              <w:spacing w:after="0"/>
              <w:rPr>
                <w:rFonts w:eastAsia="Times New Roman" w:cstheme="minorHAnsi"/>
                <w:sz w:val="18"/>
                <w:szCs w:val="18"/>
                <w:lang w:eastAsia="es-MX"/>
              </w:rPr>
            </w:pPr>
            <w:r w:rsidRPr="00F91404">
              <w:rPr>
                <w:rFonts w:eastAsia="Times New Roman" w:cstheme="minorHAnsi"/>
                <w:color w:val="000000"/>
                <w:kern w:val="24"/>
                <w:sz w:val="18"/>
                <w:szCs w:val="18"/>
                <w:lang w:eastAsia="es-MX"/>
              </w:rPr>
              <w:t xml:space="preserve">Policies enabling shared, system-level hydrogen infrastructure. </w:t>
            </w:r>
          </w:p>
          <w:p w14:paraId="102A9190" w14:textId="77777777" w:rsidR="004366C1" w:rsidRPr="00F91404" w:rsidRDefault="004366C1" w:rsidP="00C05979">
            <w:pPr>
              <w:suppressAutoHyphens/>
              <w:spacing w:before="120" w:after="0"/>
              <w:rPr>
                <w:rFonts w:eastAsia="Times New Roman" w:cstheme="minorHAnsi"/>
                <w:sz w:val="18"/>
                <w:szCs w:val="18"/>
                <w:lang w:eastAsia="es-MX"/>
              </w:rPr>
            </w:pPr>
          </w:p>
        </w:tc>
        <w:tc>
          <w:tcPr>
            <w:tcW w:w="3901" w:type="dxa"/>
            <w:tcBorders>
              <w:left w:val="dashed" w:sz="4" w:space="0" w:color="808080" w:themeColor="background1" w:themeShade="80"/>
              <w:bottom w:val="dashed" w:sz="4" w:space="0" w:color="004C43"/>
            </w:tcBorders>
            <w:vAlign w:val="center"/>
          </w:tcPr>
          <w:p w14:paraId="4C1EF623" w14:textId="32DFF211" w:rsidR="004366C1" w:rsidRPr="00F91404" w:rsidRDefault="004366C1" w:rsidP="00C05979">
            <w:pPr>
              <w:suppressAutoHyphens/>
              <w:spacing w:after="0"/>
              <w:rPr>
                <w:rFonts w:eastAsia="Times New Roman" w:cstheme="minorHAnsi"/>
                <w:color w:val="000000"/>
                <w:kern w:val="24"/>
                <w:sz w:val="18"/>
                <w:szCs w:val="18"/>
                <w:lang w:eastAsia="es-MX"/>
              </w:rPr>
            </w:pPr>
            <w:r w:rsidRPr="00F91404">
              <w:rPr>
                <w:rFonts w:eastAsia="Times New Roman" w:cstheme="minorHAnsi"/>
                <w:color w:val="000000"/>
                <w:kern w:val="24"/>
                <w:sz w:val="18"/>
                <w:szCs w:val="18"/>
                <w:lang w:eastAsia="es-MX"/>
              </w:rPr>
              <w:t xml:space="preserve">Hydrogen backbones, ports and hubs, pipeline repurposing, </w:t>
            </w:r>
            <w:r w:rsidR="00C05979" w:rsidRPr="00F91404">
              <w:rPr>
                <w:rFonts w:eastAsia="Times New Roman" w:cstheme="minorHAnsi"/>
                <w:color w:val="000000"/>
                <w:kern w:val="24"/>
                <w:sz w:val="18"/>
                <w:szCs w:val="18"/>
                <w:lang w:eastAsia="es-MX"/>
              </w:rPr>
              <w:t>power</w:t>
            </w:r>
            <w:r w:rsidRPr="00F91404">
              <w:rPr>
                <w:rFonts w:eastAsia="Times New Roman" w:cstheme="minorHAnsi"/>
                <w:color w:val="000000"/>
                <w:kern w:val="24"/>
                <w:sz w:val="18"/>
                <w:szCs w:val="18"/>
                <w:lang w:eastAsia="es-MX"/>
              </w:rPr>
              <w:t xml:space="preserve"> grid readiness and capacity to accommodate electrolyser load</w:t>
            </w:r>
          </w:p>
        </w:tc>
      </w:tr>
    </w:tbl>
    <w:p w14:paraId="70BB05ED" w14:textId="77777777" w:rsidR="00CC22FC" w:rsidRPr="00F91404" w:rsidRDefault="00CC22FC" w:rsidP="00507A8C">
      <w:pPr>
        <w:ind w:left="0"/>
        <w:rPr>
          <w:rFonts w:asciiTheme="majorHAnsi" w:hAnsiTheme="majorHAnsi" w:cstheme="majorHAnsi"/>
          <w:sz w:val="20"/>
          <w:szCs w:val="20"/>
        </w:rPr>
      </w:pPr>
    </w:p>
    <w:p w14:paraId="3AA55A06" w14:textId="77777777" w:rsidR="00005C70" w:rsidRPr="00F91404" w:rsidRDefault="00005C70" w:rsidP="00507A8C">
      <w:pPr>
        <w:ind w:left="0"/>
        <w:rPr>
          <w:rFonts w:asciiTheme="majorHAnsi" w:hAnsiTheme="majorHAnsi" w:cstheme="majorHAnsi"/>
          <w:sz w:val="20"/>
          <w:szCs w:val="20"/>
        </w:rPr>
      </w:pPr>
    </w:p>
    <w:p w14:paraId="6BCD16A3" w14:textId="77777777" w:rsidR="00814C7C" w:rsidRPr="00F91404" w:rsidRDefault="00814C7C" w:rsidP="00507A8C">
      <w:pPr>
        <w:ind w:left="0"/>
        <w:rPr>
          <w:rFonts w:asciiTheme="majorHAnsi" w:hAnsiTheme="majorHAnsi" w:cstheme="majorHAnsi"/>
          <w:sz w:val="2"/>
          <w:szCs w:val="2"/>
        </w:rPr>
      </w:pPr>
    </w:p>
    <w:p w14:paraId="143CF7C3" w14:textId="77777777" w:rsidR="006369C7" w:rsidRPr="00F91404" w:rsidRDefault="006369C7" w:rsidP="00507A8C">
      <w:pPr>
        <w:ind w:left="0"/>
        <w:rPr>
          <w:rFonts w:asciiTheme="majorHAnsi" w:hAnsiTheme="majorHAnsi" w:cstheme="majorHAnsi"/>
          <w:sz w:val="2"/>
          <w:szCs w:val="2"/>
        </w:rPr>
      </w:pPr>
    </w:p>
    <w:p w14:paraId="6080AC83" w14:textId="77777777" w:rsidR="006369C7" w:rsidRPr="00F91404" w:rsidRDefault="006369C7" w:rsidP="00507A8C">
      <w:pPr>
        <w:ind w:left="0"/>
        <w:rPr>
          <w:rFonts w:asciiTheme="majorHAnsi" w:hAnsiTheme="majorHAnsi" w:cstheme="majorHAnsi"/>
          <w:sz w:val="2"/>
          <w:szCs w:val="2"/>
        </w:rPr>
      </w:pPr>
    </w:p>
    <w:p w14:paraId="001779E1" w14:textId="5CD5E5B0" w:rsidR="00CC22FC" w:rsidRPr="00F91404" w:rsidRDefault="00CC22FC" w:rsidP="00CC22FC">
      <w:pPr>
        <w:jc w:val="center"/>
        <w:rPr>
          <w:rFonts w:cstheme="minorHAnsi"/>
          <w:b/>
          <w:bCs/>
          <w:sz w:val="18"/>
          <w:szCs w:val="18"/>
        </w:rPr>
      </w:pPr>
      <w:r w:rsidRPr="00F91404">
        <w:rPr>
          <w:rStyle w:val="Strong"/>
          <w:rFonts w:cstheme="minorHAnsi"/>
          <w:sz w:val="18"/>
          <w:szCs w:val="18"/>
        </w:rPr>
        <w:t>Figure 2. Policy Levers Heatmap Analysis</w:t>
      </w:r>
    </w:p>
    <w:p w14:paraId="696DEC33" w14:textId="17F89340" w:rsidR="00AE6CC3" w:rsidRPr="00F91404" w:rsidRDefault="00381BF2" w:rsidP="00381BF2">
      <w:pPr>
        <w:ind w:hanging="57"/>
        <w:rPr>
          <w:rFonts w:asciiTheme="majorHAnsi" w:hAnsiTheme="majorHAnsi" w:cstheme="majorHAnsi"/>
          <w:sz w:val="20"/>
          <w:szCs w:val="20"/>
        </w:rPr>
      </w:pPr>
      <w:r w:rsidRPr="00F91404">
        <w:rPr>
          <w:rFonts w:asciiTheme="majorHAnsi" w:hAnsiTheme="majorHAnsi" w:cstheme="majorHAnsi"/>
          <w:noProof/>
          <w:sz w:val="20"/>
          <w:szCs w:val="20"/>
        </w:rPr>
        <w:drawing>
          <wp:inline distT="0" distB="0" distL="0" distR="0" wp14:anchorId="2DF79D69" wp14:editId="0B9801FF">
            <wp:extent cx="6103816" cy="3314172"/>
            <wp:effectExtent l="0" t="0" r="5080" b="635"/>
            <wp:docPr id="192055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2654"/>
                    <a:stretch>
                      <a:fillRect/>
                    </a:stretch>
                  </pic:blipFill>
                  <pic:spPr bwMode="auto">
                    <a:xfrm>
                      <a:off x="0" y="0"/>
                      <a:ext cx="6133399" cy="3330235"/>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475" w:type="dxa"/>
        <w:jc w:val="center"/>
        <w:tblCellMar>
          <w:top w:w="142" w:type="dxa"/>
          <w:left w:w="142" w:type="dxa"/>
          <w:bottom w:w="142" w:type="dxa"/>
          <w:right w:w="142" w:type="dxa"/>
        </w:tblCellMar>
        <w:tblLook w:val="0600" w:firstRow="0" w:lastRow="0" w:firstColumn="0" w:lastColumn="0" w:noHBand="1" w:noVBand="1"/>
      </w:tblPr>
      <w:tblGrid>
        <w:gridCol w:w="985"/>
        <w:gridCol w:w="2126"/>
        <w:gridCol w:w="6364"/>
      </w:tblGrid>
      <w:tr w:rsidR="00183A64" w:rsidRPr="00F91404" w14:paraId="31402ABC" w14:textId="77777777" w:rsidTr="0043502E">
        <w:trPr>
          <w:trHeight w:val="477"/>
          <w:jc w:val="center"/>
        </w:trPr>
        <w:tc>
          <w:tcPr>
            <w:tcW w:w="9475" w:type="dxa"/>
            <w:gridSpan w:val="3"/>
            <w:tcBorders>
              <w:top w:val="single" w:sz="6" w:space="0" w:color="BFBFBF" w:themeColor="background1" w:themeShade="BF"/>
              <w:left w:val="single" w:sz="6" w:space="0" w:color="BFBFBF" w:themeColor="background1" w:themeShade="BF"/>
              <w:bottom w:val="single" w:sz="6" w:space="0" w:color="BFBFBF" w:themeColor="background1" w:themeShade="BF"/>
            </w:tcBorders>
            <w:shd w:val="clear" w:color="auto" w:fill="004C43" w:themeFill="accent1"/>
            <w:tcMar>
              <w:top w:w="10" w:type="dxa"/>
              <w:left w:w="10" w:type="dxa"/>
              <w:bottom w:w="0" w:type="dxa"/>
              <w:right w:w="10" w:type="dxa"/>
            </w:tcMar>
            <w:vAlign w:val="center"/>
          </w:tcPr>
          <w:p w14:paraId="7679946E" w14:textId="77777777" w:rsidR="00183A64" w:rsidRPr="00F91404" w:rsidRDefault="00183A64">
            <w:pPr>
              <w:spacing w:after="0"/>
              <w:jc w:val="center"/>
              <w:rPr>
                <w:rFonts w:asciiTheme="majorHAnsi" w:eastAsia="Times New Roman" w:hAnsiTheme="majorHAnsi" w:cstheme="majorHAnsi"/>
                <w:b/>
                <w:bCs/>
                <w:sz w:val="20"/>
                <w:szCs w:val="20"/>
                <w:lang w:eastAsia="en-GB"/>
              </w:rPr>
            </w:pPr>
            <w:r w:rsidRPr="00F91404">
              <w:rPr>
                <w:rFonts w:asciiTheme="majorHAnsi" w:eastAsia="Times New Roman" w:hAnsiTheme="majorHAnsi" w:cstheme="majorHAnsi"/>
                <w:b/>
                <w:bCs/>
                <w:sz w:val="20"/>
                <w:szCs w:val="20"/>
                <w:lang w:eastAsia="en-GB"/>
              </w:rPr>
              <w:t>KEY</w:t>
            </w:r>
          </w:p>
        </w:tc>
      </w:tr>
      <w:tr w:rsidR="00130CC8" w:rsidRPr="00F91404" w14:paraId="55754BBB" w14:textId="77777777" w:rsidTr="0043502E">
        <w:trPr>
          <w:trHeight w:val="538"/>
          <w:jc w:val="center"/>
        </w:trPr>
        <w:tc>
          <w:tcPr>
            <w:tcW w:w="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ADDE5" w:themeFill="background2"/>
            <w:tcMar>
              <w:top w:w="10" w:type="dxa"/>
              <w:left w:w="10" w:type="dxa"/>
              <w:bottom w:w="0" w:type="dxa"/>
              <w:right w:w="10" w:type="dxa"/>
            </w:tcMar>
            <w:vAlign w:val="center"/>
            <w:hideMark/>
          </w:tcPr>
          <w:p w14:paraId="05B441FF" w14:textId="77777777" w:rsidR="00183A64" w:rsidRPr="00F91404" w:rsidRDefault="00183A64">
            <w:pPr>
              <w:spacing w:after="0"/>
              <w:ind w:left="-239" w:firstLine="239"/>
              <w:jc w:val="center"/>
              <w:rPr>
                <w:rFonts w:asciiTheme="majorHAnsi" w:eastAsia="Times New Roman" w:hAnsiTheme="majorHAnsi" w:cstheme="majorHAnsi"/>
                <w:b/>
                <w:bCs/>
                <w:sz w:val="20"/>
                <w:szCs w:val="20"/>
                <w:lang w:eastAsia="en-GB"/>
              </w:rPr>
            </w:pPr>
            <w:r w:rsidRPr="00F91404">
              <w:rPr>
                <w:rFonts w:asciiTheme="majorHAnsi" w:eastAsia="Times New Roman" w:hAnsiTheme="majorHAnsi" w:cstheme="majorHAnsi"/>
                <w:b/>
                <w:bCs/>
                <w:sz w:val="20"/>
                <w:szCs w:val="20"/>
                <w:lang w:eastAsia="en-GB"/>
              </w:rPr>
              <w:t>Score</w:t>
            </w:r>
          </w:p>
        </w:tc>
        <w:tc>
          <w:tcPr>
            <w:tcW w:w="2126" w:type="dxa"/>
            <w:tcBorders>
              <w:top w:val="single" w:sz="6" w:space="0" w:color="BFBFBF" w:themeColor="background1" w:themeShade="BF"/>
              <w:left w:val="single" w:sz="6" w:space="0" w:color="BFBFBF" w:themeColor="background1" w:themeShade="BF"/>
              <w:bottom w:val="single" w:sz="8" w:space="0" w:color="BFBFBF" w:themeColor="background1" w:themeShade="BF"/>
              <w:right w:val="single" w:sz="6" w:space="0" w:color="BFBFBF" w:themeColor="background1" w:themeShade="BF"/>
            </w:tcBorders>
            <w:shd w:val="clear" w:color="auto" w:fill="DADDE5" w:themeFill="background2"/>
            <w:tcMar>
              <w:top w:w="10" w:type="dxa"/>
              <w:left w:w="10" w:type="dxa"/>
              <w:bottom w:w="0" w:type="dxa"/>
              <w:right w:w="10" w:type="dxa"/>
            </w:tcMar>
            <w:vAlign w:val="center"/>
            <w:hideMark/>
          </w:tcPr>
          <w:p w14:paraId="55B534FB" w14:textId="77777777" w:rsidR="0043502E" w:rsidRPr="00F91404" w:rsidRDefault="00183A64">
            <w:pPr>
              <w:spacing w:after="0"/>
              <w:jc w:val="center"/>
              <w:rPr>
                <w:rFonts w:asciiTheme="majorHAnsi" w:eastAsia="Times New Roman" w:hAnsiTheme="majorHAnsi" w:cstheme="majorHAnsi"/>
                <w:b/>
                <w:bCs/>
                <w:sz w:val="20"/>
                <w:szCs w:val="20"/>
                <w:lang w:eastAsia="en-GB"/>
              </w:rPr>
            </w:pPr>
            <w:proofErr w:type="gramStart"/>
            <w:r w:rsidRPr="00F91404">
              <w:rPr>
                <w:rFonts w:asciiTheme="majorHAnsi" w:eastAsia="Times New Roman" w:hAnsiTheme="majorHAnsi" w:cstheme="majorHAnsi"/>
                <w:b/>
                <w:bCs/>
                <w:sz w:val="20"/>
                <w:szCs w:val="20"/>
                <w:lang w:eastAsia="en-GB"/>
              </w:rPr>
              <w:t>Overall</w:t>
            </w:r>
            <w:proofErr w:type="gramEnd"/>
            <w:r w:rsidRPr="00F91404">
              <w:rPr>
                <w:rFonts w:asciiTheme="majorHAnsi" w:eastAsia="Times New Roman" w:hAnsiTheme="majorHAnsi" w:cstheme="majorHAnsi"/>
                <w:b/>
                <w:bCs/>
                <w:sz w:val="20"/>
                <w:szCs w:val="20"/>
                <w:lang w:eastAsia="en-GB"/>
              </w:rPr>
              <w:t xml:space="preserve"> Green </w:t>
            </w:r>
          </w:p>
          <w:p w14:paraId="446C8A53" w14:textId="6BA5E0FD" w:rsidR="0043502E" w:rsidRPr="00F91404" w:rsidRDefault="00183A64">
            <w:pPr>
              <w:spacing w:after="0"/>
              <w:jc w:val="center"/>
              <w:rPr>
                <w:rFonts w:asciiTheme="majorHAnsi" w:eastAsia="Times New Roman" w:hAnsiTheme="majorHAnsi" w:cstheme="majorHAnsi"/>
                <w:b/>
                <w:bCs/>
                <w:sz w:val="20"/>
                <w:szCs w:val="20"/>
                <w:lang w:eastAsia="en-GB"/>
              </w:rPr>
            </w:pPr>
            <w:r w:rsidRPr="00F91404">
              <w:rPr>
                <w:rFonts w:asciiTheme="majorHAnsi" w:eastAsia="Times New Roman" w:hAnsiTheme="majorHAnsi" w:cstheme="majorHAnsi"/>
                <w:b/>
                <w:bCs/>
                <w:sz w:val="20"/>
                <w:szCs w:val="20"/>
                <w:lang w:eastAsia="en-GB"/>
              </w:rPr>
              <w:t xml:space="preserve">Hydrogen </w:t>
            </w:r>
          </w:p>
          <w:p w14:paraId="6F5482FD" w14:textId="131C6C1F" w:rsidR="00183A64" w:rsidRPr="00F91404" w:rsidRDefault="00183A64">
            <w:pPr>
              <w:spacing w:after="0"/>
              <w:jc w:val="center"/>
              <w:rPr>
                <w:rFonts w:asciiTheme="majorHAnsi" w:eastAsia="Times New Roman" w:hAnsiTheme="majorHAnsi" w:cstheme="majorHAnsi"/>
                <w:b/>
                <w:bCs/>
                <w:sz w:val="20"/>
                <w:szCs w:val="20"/>
                <w:lang w:eastAsia="en-GB"/>
              </w:rPr>
            </w:pPr>
            <w:r w:rsidRPr="00F91404">
              <w:rPr>
                <w:rFonts w:asciiTheme="majorHAnsi" w:eastAsia="Times New Roman" w:hAnsiTheme="majorHAnsi" w:cstheme="majorHAnsi"/>
                <w:b/>
                <w:bCs/>
                <w:sz w:val="20"/>
                <w:szCs w:val="20"/>
                <w:lang w:eastAsia="en-GB"/>
              </w:rPr>
              <w:t>Development Status</w:t>
            </w:r>
          </w:p>
        </w:tc>
        <w:tc>
          <w:tcPr>
            <w:tcW w:w="6364" w:type="dxa"/>
            <w:tcBorders>
              <w:bottom w:val="single" w:sz="8" w:space="0" w:color="BFBFBF" w:themeColor="background1" w:themeShade="BF"/>
            </w:tcBorders>
            <w:shd w:val="clear" w:color="auto" w:fill="DADDE5" w:themeFill="background2"/>
            <w:vAlign w:val="center"/>
          </w:tcPr>
          <w:p w14:paraId="18321C53" w14:textId="77777777" w:rsidR="00183A64" w:rsidRPr="00F91404" w:rsidRDefault="00183A64">
            <w:pPr>
              <w:spacing w:after="0"/>
              <w:jc w:val="center"/>
              <w:rPr>
                <w:rFonts w:asciiTheme="majorHAnsi" w:eastAsia="Times New Roman" w:hAnsiTheme="majorHAnsi" w:cstheme="majorHAnsi"/>
                <w:b/>
                <w:bCs/>
                <w:sz w:val="20"/>
                <w:szCs w:val="20"/>
                <w:lang w:eastAsia="en-GB"/>
              </w:rPr>
            </w:pPr>
            <w:r w:rsidRPr="00F91404">
              <w:rPr>
                <w:rFonts w:asciiTheme="majorHAnsi" w:eastAsia="Times New Roman" w:hAnsiTheme="majorHAnsi" w:cstheme="majorHAnsi"/>
                <w:b/>
                <w:bCs/>
                <w:sz w:val="20"/>
                <w:szCs w:val="20"/>
                <w:lang w:eastAsia="en-GB"/>
              </w:rPr>
              <w:t>Description</w:t>
            </w:r>
          </w:p>
        </w:tc>
      </w:tr>
      <w:tr w:rsidR="00183A64" w:rsidRPr="00F91404" w14:paraId="1C1858F4" w14:textId="77777777" w:rsidTr="0043502E">
        <w:trPr>
          <w:trHeight w:val="671"/>
          <w:jc w:val="center"/>
        </w:trPr>
        <w:tc>
          <w:tcPr>
            <w:tcW w:w="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BFBFBF" w:themeColor="background1" w:themeShade="BF"/>
            </w:tcBorders>
            <w:shd w:val="clear" w:color="auto" w:fill="F8696B"/>
            <w:tcMar>
              <w:top w:w="10" w:type="dxa"/>
              <w:left w:w="10" w:type="dxa"/>
              <w:bottom w:w="0" w:type="dxa"/>
              <w:right w:w="10" w:type="dxa"/>
            </w:tcMar>
            <w:vAlign w:val="center"/>
            <w:hideMark/>
          </w:tcPr>
          <w:p w14:paraId="0FE72BE3" w14:textId="77777777" w:rsidR="00183A64" w:rsidRPr="00F91404" w:rsidRDefault="00183A64" w:rsidP="0043502E">
            <w:pPr>
              <w:spacing w:after="0"/>
              <w:jc w:val="center"/>
              <w:rPr>
                <w:rFonts w:cstheme="minorHAnsi"/>
                <w:sz w:val="18"/>
                <w:szCs w:val="18"/>
              </w:rPr>
            </w:pP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BFBFB"/>
            <w:tcMar>
              <w:top w:w="10" w:type="dxa"/>
              <w:left w:w="10" w:type="dxa"/>
              <w:bottom w:w="0" w:type="dxa"/>
              <w:right w:w="10" w:type="dxa"/>
            </w:tcMar>
            <w:vAlign w:val="center"/>
            <w:hideMark/>
          </w:tcPr>
          <w:p w14:paraId="328B6CF8" w14:textId="0890D1C4" w:rsidR="00183A64" w:rsidRPr="00F91404" w:rsidRDefault="00183A64" w:rsidP="0043502E">
            <w:pPr>
              <w:spacing w:after="0"/>
              <w:ind w:left="89"/>
              <w:jc w:val="center"/>
              <w:rPr>
                <w:rFonts w:asciiTheme="majorHAnsi" w:eastAsia="Times New Roman" w:hAnsiTheme="majorHAnsi" w:cstheme="majorHAnsi"/>
                <w:b/>
                <w:bCs/>
                <w:sz w:val="20"/>
                <w:szCs w:val="20"/>
                <w:lang w:eastAsia="en-GB"/>
              </w:rPr>
            </w:pPr>
            <w:r w:rsidRPr="00F91404">
              <w:rPr>
                <w:rFonts w:asciiTheme="majorHAnsi" w:eastAsia="Times New Roman" w:hAnsiTheme="majorHAnsi" w:cstheme="majorHAnsi"/>
                <w:b/>
                <w:bCs/>
                <w:sz w:val="20"/>
                <w:szCs w:val="20"/>
                <w:lang w:eastAsia="en-GB"/>
              </w:rPr>
              <w:t xml:space="preserve">Very early / nascent </w:t>
            </w:r>
            <w:r w:rsidR="00AD5EC3" w:rsidRPr="00F91404">
              <w:rPr>
                <w:rFonts w:asciiTheme="majorHAnsi" w:eastAsia="Times New Roman" w:hAnsiTheme="majorHAnsi" w:cstheme="majorHAnsi"/>
                <w:b/>
                <w:bCs/>
                <w:sz w:val="20"/>
                <w:szCs w:val="20"/>
                <w:lang w:eastAsia="en-GB"/>
              </w:rPr>
              <w:t xml:space="preserve">policy </w:t>
            </w:r>
            <w:r w:rsidRPr="00F91404">
              <w:rPr>
                <w:rFonts w:asciiTheme="majorHAnsi" w:eastAsia="Times New Roman" w:hAnsiTheme="majorHAnsi" w:cstheme="majorHAnsi"/>
                <w:b/>
                <w:bCs/>
                <w:sz w:val="20"/>
                <w:szCs w:val="20"/>
                <w:lang w:eastAsia="en-GB"/>
              </w:rPr>
              <w:t>stage</w:t>
            </w:r>
          </w:p>
        </w:tc>
        <w:tc>
          <w:tcPr>
            <w:tcW w:w="636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9E04734" w14:textId="5ED30530" w:rsidR="00183A64" w:rsidRPr="00F91404" w:rsidRDefault="00BD084C" w:rsidP="0043502E">
            <w:pPr>
              <w:spacing w:after="0"/>
              <w:rPr>
                <w:rFonts w:asciiTheme="majorHAnsi" w:eastAsia="Times New Roman" w:hAnsiTheme="majorHAnsi" w:cstheme="majorHAnsi"/>
                <w:sz w:val="20"/>
                <w:szCs w:val="20"/>
                <w:lang w:eastAsia="en-GB"/>
              </w:rPr>
            </w:pPr>
            <w:r w:rsidRPr="00F91404">
              <w:rPr>
                <w:rFonts w:asciiTheme="majorHAnsi" w:eastAsia="Times New Roman" w:hAnsiTheme="majorHAnsi" w:cstheme="majorHAnsi"/>
                <w:sz w:val="20"/>
                <w:szCs w:val="20"/>
                <w:lang w:eastAsia="en-GB"/>
              </w:rPr>
              <w:t>Policy activity is limited to high-level statements, roadmaps or exploratory analysis, with no dedicated policy instruments or structured policy framework in place.</w:t>
            </w:r>
          </w:p>
        </w:tc>
      </w:tr>
      <w:tr w:rsidR="00183A64" w:rsidRPr="00F91404" w14:paraId="631EE323" w14:textId="77777777" w:rsidTr="0043502E">
        <w:trPr>
          <w:trHeight w:val="641"/>
          <w:jc w:val="center"/>
        </w:trPr>
        <w:tc>
          <w:tcPr>
            <w:tcW w:w="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BFBFBF" w:themeColor="background1" w:themeShade="BF"/>
            </w:tcBorders>
            <w:shd w:val="clear" w:color="auto" w:fill="FBAA77"/>
            <w:tcMar>
              <w:top w:w="10" w:type="dxa"/>
              <w:left w:w="10" w:type="dxa"/>
              <w:bottom w:w="0" w:type="dxa"/>
              <w:right w:w="10" w:type="dxa"/>
            </w:tcMar>
            <w:vAlign w:val="center"/>
            <w:hideMark/>
          </w:tcPr>
          <w:p w14:paraId="6D1951EB" w14:textId="77777777" w:rsidR="00183A64" w:rsidRPr="00F91404" w:rsidRDefault="00183A64" w:rsidP="0043502E">
            <w:pPr>
              <w:spacing w:after="0"/>
              <w:jc w:val="center"/>
              <w:rPr>
                <w:rFonts w:cstheme="minorHAnsi"/>
                <w:sz w:val="18"/>
                <w:szCs w:val="18"/>
              </w:rPr>
            </w:pP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BFBFB"/>
            <w:tcMar>
              <w:top w:w="10" w:type="dxa"/>
              <w:left w:w="10" w:type="dxa"/>
              <w:bottom w:w="0" w:type="dxa"/>
              <w:right w:w="10" w:type="dxa"/>
            </w:tcMar>
            <w:vAlign w:val="center"/>
            <w:hideMark/>
          </w:tcPr>
          <w:p w14:paraId="7F6896EF" w14:textId="1B3A3FF5" w:rsidR="00183A64" w:rsidRPr="00F91404" w:rsidRDefault="00AD5EC3" w:rsidP="0043502E">
            <w:pPr>
              <w:spacing w:after="0"/>
              <w:ind w:left="89"/>
              <w:jc w:val="center"/>
              <w:rPr>
                <w:rFonts w:asciiTheme="majorHAnsi" w:eastAsia="Times New Roman" w:hAnsiTheme="majorHAnsi" w:cstheme="majorHAnsi"/>
                <w:b/>
                <w:bCs/>
                <w:sz w:val="20"/>
                <w:szCs w:val="20"/>
                <w:lang w:eastAsia="en-GB"/>
              </w:rPr>
            </w:pPr>
            <w:r w:rsidRPr="00F91404">
              <w:rPr>
                <w:rFonts w:asciiTheme="majorHAnsi" w:eastAsia="Times New Roman" w:hAnsiTheme="majorHAnsi" w:cstheme="majorHAnsi"/>
                <w:b/>
                <w:bCs/>
                <w:sz w:val="20"/>
                <w:szCs w:val="20"/>
                <w:lang w:eastAsia="en-GB"/>
              </w:rPr>
              <w:t>Early-stage policy framework</w:t>
            </w:r>
          </w:p>
        </w:tc>
        <w:tc>
          <w:tcPr>
            <w:tcW w:w="636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A7344AF" w14:textId="294F58E9" w:rsidR="00183A64" w:rsidRPr="00F91404" w:rsidRDefault="00BD084C" w:rsidP="0043502E">
            <w:pPr>
              <w:spacing w:after="0"/>
              <w:rPr>
                <w:rFonts w:asciiTheme="majorHAnsi" w:eastAsia="Times New Roman" w:hAnsiTheme="majorHAnsi" w:cstheme="majorHAnsi"/>
                <w:sz w:val="20"/>
                <w:szCs w:val="20"/>
                <w:lang w:eastAsia="en-GB"/>
              </w:rPr>
            </w:pPr>
            <w:r w:rsidRPr="00F91404">
              <w:rPr>
                <w:rFonts w:asciiTheme="majorHAnsi" w:eastAsia="Times New Roman" w:hAnsiTheme="majorHAnsi" w:cstheme="majorHAnsi"/>
                <w:sz w:val="20"/>
                <w:szCs w:val="20"/>
                <w:lang w:eastAsia="en-GB"/>
              </w:rPr>
              <w:t>Initial policy enablers exist, such as strategies, guidance or pilot-oriented instruments, but the policy framework remains partial, fragmented or largely untested.</w:t>
            </w:r>
          </w:p>
        </w:tc>
      </w:tr>
      <w:tr w:rsidR="00183A64" w:rsidRPr="00F91404" w14:paraId="156808C5" w14:textId="77777777" w:rsidTr="0043502E">
        <w:trPr>
          <w:trHeight w:val="560"/>
          <w:jc w:val="center"/>
        </w:trPr>
        <w:tc>
          <w:tcPr>
            <w:tcW w:w="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BFBFBF" w:themeColor="background1" w:themeShade="BF"/>
            </w:tcBorders>
            <w:shd w:val="clear" w:color="auto" w:fill="FFEB84"/>
            <w:tcMar>
              <w:top w:w="10" w:type="dxa"/>
              <w:left w:w="10" w:type="dxa"/>
              <w:bottom w:w="0" w:type="dxa"/>
              <w:right w:w="10" w:type="dxa"/>
            </w:tcMar>
            <w:vAlign w:val="center"/>
            <w:hideMark/>
          </w:tcPr>
          <w:p w14:paraId="32FC8F55" w14:textId="77777777" w:rsidR="00183A64" w:rsidRPr="00F91404" w:rsidRDefault="00183A64" w:rsidP="0043502E">
            <w:pPr>
              <w:spacing w:after="0"/>
              <w:jc w:val="center"/>
              <w:rPr>
                <w:rFonts w:cstheme="minorHAnsi"/>
                <w:sz w:val="18"/>
                <w:szCs w:val="18"/>
              </w:rPr>
            </w:pP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BFBFB"/>
            <w:tcMar>
              <w:top w:w="10" w:type="dxa"/>
              <w:left w:w="10" w:type="dxa"/>
              <w:bottom w:w="0" w:type="dxa"/>
              <w:right w:w="10" w:type="dxa"/>
            </w:tcMar>
            <w:vAlign w:val="center"/>
            <w:hideMark/>
          </w:tcPr>
          <w:p w14:paraId="1E136CA6" w14:textId="11E436BE" w:rsidR="00183A64" w:rsidRPr="00F91404" w:rsidRDefault="00AD5EC3" w:rsidP="0043502E">
            <w:pPr>
              <w:spacing w:after="0"/>
              <w:ind w:left="89"/>
              <w:jc w:val="center"/>
              <w:rPr>
                <w:rFonts w:asciiTheme="majorHAnsi" w:eastAsia="Times New Roman" w:hAnsiTheme="majorHAnsi" w:cstheme="majorHAnsi"/>
                <w:b/>
                <w:bCs/>
                <w:sz w:val="20"/>
                <w:szCs w:val="20"/>
                <w:lang w:eastAsia="en-GB"/>
              </w:rPr>
            </w:pPr>
            <w:r w:rsidRPr="00F91404">
              <w:rPr>
                <w:rFonts w:asciiTheme="majorHAnsi" w:eastAsia="Times New Roman" w:hAnsiTheme="majorHAnsi" w:cstheme="majorHAnsi"/>
                <w:b/>
                <w:bCs/>
                <w:sz w:val="20"/>
                <w:szCs w:val="20"/>
                <w:lang w:eastAsia="en-GB"/>
              </w:rPr>
              <w:t>Emerging policy</w:t>
            </w:r>
            <w:r w:rsidR="0043502E" w:rsidRPr="00F91404">
              <w:rPr>
                <w:rFonts w:asciiTheme="majorHAnsi" w:eastAsia="Times New Roman" w:hAnsiTheme="majorHAnsi" w:cstheme="majorHAnsi"/>
                <w:b/>
                <w:bCs/>
                <w:sz w:val="20"/>
                <w:szCs w:val="20"/>
                <w:lang w:eastAsia="en-GB"/>
              </w:rPr>
              <w:t xml:space="preserve"> </w:t>
            </w:r>
            <w:r w:rsidRPr="00F91404">
              <w:rPr>
                <w:rFonts w:asciiTheme="majorHAnsi" w:eastAsia="Times New Roman" w:hAnsiTheme="majorHAnsi" w:cstheme="majorHAnsi"/>
                <w:b/>
                <w:bCs/>
                <w:sz w:val="20"/>
                <w:szCs w:val="20"/>
                <w:lang w:eastAsia="en-GB"/>
              </w:rPr>
              <w:t>framework</w:t>
            </w:r>
          </w:p>
        </w:tc>
        <w:tc>
          <w:tcPr>
            <w:tcW w:w="636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A3BDBB1" w14:textId="64BA770B" w:rsidR="00183A64" w:rsidRPr="00F91404" w:rsidRDefault="00F127E5" w:rsidP="0043502E">
            <w:pPr>
              <w:spacing w:after="0"/>
              <w:rPr>
                <w:rFonts w:asciiTheme="majorHAnsi" w:eastAsia="Times New Roman" w:hAnsiTheme="majorHAnsi" w:cstheme="majorHAnsi"/>
                <w:sz w:val="20"/>
                <w:szCs w:val="20"/>
                <w:lang w:eastAsia="en-GB"/>
              </w:rPr>
            </w:pPr>
            <w:r w:rsidRPr="00F91404">
              <w:rPr>
                <w:rFonts w:asciiTheme="majorHAnsi" w:eastAsia="Times New Roman" w:hAnsiTheme="majorHAnsi" w:cstheme="majorHAnsi"/>
                <w:sz w:val="20"/>
                <w:szCs w:val="20"/>
                <w:lang w:eastAsia="en-GB"/>
              </w:rPr>
              <w:t>A defined set of policy instruments is in place, supporting early implementation and learning, although policy coverage, coordination and clarity remain incomplete.</w:t>
            </w:r>
          </w:p>
        </w:tc>
      </w:tr>
      <w:tr w:rsidR="00183A64" w:rsidRPr="00F91404" w14:paraId="1CC5BF4A" w14:textId="77777777" w:rsidTr="0043502E">
        <w:trPr>
          <w:trHeight w:val="636"/>
          <w:jc w:val="center"/>
        </w:trPr>
        <w:tc>
          <w:tcPr>
            <w:tcW w:w="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BFBFBF" w:themeColor="background1" w:themeShade="BF"/>
            </w:tcBorders>
            <w:shd w:val="clear" w:color="auto" w:fill="B1D580"/>
            <w:tcMar>
              <w:top w:w="10" w:type="dxa"/>
              <w:left w:w="10" w:type="dxa"/>
              <w:bottom w:w="0" w:type="dxa"/>
              <w:right w:w="10" w:type="dxa"/>
            </w:tcMar>
            <w:vAlign w:val="center"/>
            <w:hideMark/>
          </w:tcPr>
          <w:p w14:paraId="53251D85" w14:textId="77777777" w:rsidR="00183A64" w:rsidRPr="00F91404" w:rsidRDefault="00183A64" w:rsidP="0043502E">
            <w:pPr>
              <w:spacing w:after="0"/>
              <w:jc w:val="center"/>
              <w:rPr>
                <w:rFonts w:cstheme="minorHAnsi"/>
                <w:sz w:val="18"/>
                <w:szCs w:val="18"/>
              </w:rPr>
            </w:pP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BFBFB"/>
            <w:tcMar>
              <w:top w:w="10" w:type="dxa"/>
              <w:left w:w="10" w:type="dxa"/>
              <w:bottom w:w="0" w:type="dxa"/>
              <w:right w:w="10" w:type="dxa"/>
            </w:tcMar>
            <w:vAlign w:val="center"/>
            <w:hideMark/>
          </w:tcPr>
          <w:p w14:paraId="51EA5ABF" w14:textId="4FC79D3D" w:rsidR="00183A64" w:rsidRPr="00F91404" w:rsidRDefault="00BD084C" w:rsidP="0043502E">
            <w:pPr>
              <w:spacing w:after="0"/>
              <w:ind w:left="89"/>
              <w:jc w:val="center"/>
              <w:rPr>
                <w:rFonts w:asciiTheme="majorHAnsi" w:eastAsia="Times New Roman" w:hAnsiTheme="majorHAnsi" w:cstheme="majorHAnsi"/>
                <w:b/>
                <w:bCs/>
                <w:sz w:val="20"/>
                <w:szCs w:val="20"/>
                <w:lang w:eastAsia="en-GB"/>
              </w:rPr>
            </w:pPr>
            <w:r w:rsidRPr="00F91404">
              <w:rPr>
                <w:rFonts w:asciiTheme="majorHAnsi" w:eastAsia="Times New Roman" w:hAnsiTheme="majorHAnsi" w:cstheme="majorHAnsi"/>
                <w:b/>
                <w:bCs/>
                <w:sz w:val="20"/>
                <w:szCs w:val="20"/>
                <w:lang w:eastAsia="en-GB"/>
              </w:rPr>
              <w:t>Established policy framework</w:t>
            </w:r>
          </w:p>
        </w:tc>
        <w:tc>
          <w:tcPr>
            <w:tcW w:w="636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6A82CA7" w14:textId="228E4E85" w:rsidR="00183A64" w:rsidRPr="00F91404" w:rsidRDefault="00F127E5" w:rsidP="0043502E">
            <w:pPr>
              <w:spacing w:after="0"/>
              <w:rPr>
                <w:rFonts w:asciiTheme="majorHAnsi" w:eastAsia="Times New Roman" w:hAnsiTheme="majorHAnsi" w:cstheme="majorHAnsi"/>
                <w:sz w:val="20"/>
                <w:szCs w:val="20"/>
                <w:lang w:eastAsia="en-GB"/>
              </w:rPr>
            </w:pPr>
            <w:r w:rsidRPr="00F91404">
              <w:rPr>
                <w:rFonts w:asciiTheme="majorHAnsi" w:eastAsia="Times New Roman" w:hAnsiTheme="majorHAnsi" w:cstheme="majorHAnsi"/>
                <w:sz w:val="20"/>
                <w:szCs w:val="20"/>
                <w:lang w:eastAsia="en-GB"/>
              </w:rPr>
              <w:t>A coherent and structured policy framework is in place, with multiple complementary instruments designed to address key barriers and provide consistency across policy areas.</w:t>
            </w:r>
          </w:p>
        </w:tc>
      </w:tr>
      <w:tr w:rsidR="00183A64" w:rsidRPr="00F91404" w14:paraId="21CD88ED" w14:textId="77777777" w:rsidTr="0043502E">
        <w:trPr>
          <w:trHeight w:val="571"/>
          <w:jc w:val="center"/>
        </w:trPr>
        <w:tc>
          <w:tcPr>
            <w:tcW w:w="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BFBFBF" w:themeColor="background1" w:themeShade="BF"/>
            </w:tcBorders>
            <w:shd w:val="clear" w:color="auto" w:fill="63BE7B"/>
            <w:tcMar>
              <w:top w:w="10" w:type="dxa"/>
              <w:left w:w="10" w:type="dxa"/>
              <w:bottom w:w="0" w:type="dxa"/>
              <w:right w:w="10" w:type="dxa"/>
            </w:tcMar>
            <w:vAlign w:val="center"/>
            <w:hideMark/>
          </w:tcPr>
          <w:p w14:paraId="69482B55" w14:textId="77777777" w:rsidR="00183A64" w:rsidRPr="00F91404" w:rsidRDefault="00183A64" w:rsidP="0043502E">
            <w:pPr>
              <w:spacing w:after="0"/>
              <w:jc w:val="center"/>
              <w:rPr>
                <w:rFonts w:cstheme="minorHAnsi"/>
                <w:sz w:val="18"/>
                <w:szCs w:val="18"/>
              </w:rPr>
            </w:pPr>
          </w:p>
        </w:tc>
        <w:tc>
          <w:tcPr>
            <w:tcW w:w="212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BFBFB"/>
            <w:tcMar>
              <w:top w:w="10" w:type="dxa"/>
              <w:left w:w="10" w:type="dxa"/>
              <w:bottom w:w="0" w:type="dxa"/>
              <w:right w:w="10" w:type="dxa"/>
            </w:tcMar>
            <w:vAlign w:val="center"/>
            <w:hideMark/>
          </w:tcPr>
          <w:p w14:paraId="10B35797" w14:textId="7066A2FC" w:rsidR="00183A64" w:rsidRPr="00F91404" w:rsidRDefault="00BD084C" w:rsidP="0043502E">
            <w:pPr>
              <w:spacing w:after="0"/>
              <w:ind w:left="89"/>
              <w:jc w:val="center"/>
              <w:rPr>
                <w:rFonts w:asciiTheme="majorHAnsi" w:eastAsia="Times New Roman" w:hAnsiTheme="majorHAnsi" w:cstheme="majorHAnsi"/>
                <w:b/>
                <w:bCs/>
                <w:sz w:val="20"/>
                <w:szCs w:val="20"/>
                <w:lang w:eastAsia="en-GB"/>
              </w:rPr>
            </w:pPr>
            <w:r w:rsidRPr="00F91404">
              <w:rPr>
                <w:rFonts w:asciiTheme="majorHAnsi" w:eastAsia="Times New Roman" w:hAnsiTheme="majorHAnsi" w:cstheme="majorHAnsi"/>
                <w:b/>
                <w:bCs/>
                <w:sz w:val="20"/>
                <w:szCs w:val="20"/>
                <w:lang w:eastAsia="en-GB"/>
              </w:rPr>
              <w:t>Advanced policy framework</w:t>
            </w:r>
          </w:p>
        </w:tc>
        <w:tc>
          <w:tcPr>
            <w:tcW w:w="636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B33EB0F" w14:textId="20FB7CFF" w:rsidR="00183A64" w:rsidRPr="00F91404" w:rsidRDefault="00F127E5" w:rsidP="0043502E">
            <w:pPr>
              <w:spacing w:after="0"/>
              <w:rPr>
                <w:rFonts w:asciiTheme="majorHAnsi" w:eastAsia="Times New Roman" w:hAnsiTheme="majorHAnsi" w:cstheme="majorHAnsi"/>
                <w:sz w:val="20"/>
                <w:szCs w:val="20"/>
                <w:lang w:eastAsia="en-GB"/>
              </w:rPr>
            </w:pPr>
            <w:r w:rsidRPr="00F91404">
              <w:rPr>
                <w:rFonts w:asciiTheme="majorHAnsi" w:eastAsia="Times New Roman" w:hAnsiTheme="majorHAnsi" w:cstheme="majorHAnsi"/>
                <w:sz w:val="20"/>
                <w:szCs w:val="20"/>
                <w:lang w:eastAsia="en-GB"/>
              </w:rPr>
              <w:t>A mature and well-integrated policy framework exists, with clear objectives, stable instruments and alignment across governance, regulation and policy domains.</w:t>
            </w:r>
          </w:p>
        </w:tc>
      </w:tr>
    </w:tbl>
    <w:p w14:paraId="346E2D1D" w14:textId="77777777" w:rsidR="00AE6CC3" w:rsidRPr="00F91404" w:rsidRDefault="00AE6CC3" w:rsidP="00AE6CC3">
      <w:pPr>
        <w:rPr>
          <w:rFonts w:cstheme="minorHAnsi"/>
          <w:sz w:val="20"/>
          <w:szCs w:val="20"/>
        </w:rPr>
      </w:pPr>
    </w:p>
    <w:p w14:paraId="48F7ADC7" w14:textId="35AC662A" w:rsidR="000E648F" w:rsidRPr="00F91404" w:rsidRDefault="000E648F" w:rsidP="000E648F">
      <w:pPr>
        <w:pStyle w:val="NormalWeb"/>
        <w:spacing w:line="276" w:lineRule="auto"/>
        <w:rPr>
          <w:rFonts w:asciiTheme="majorHAnsi" w:hAnsiTheme="majorHAnsi" w:cstheme="majorHAnsi"/>
          <w:sz w:val="20"/>
          <w:szCs w:val="20"/>
        </w:rPr>
      </w:pPr>
      <w:r w:rsidRPr="00F91404">
        <w:rPr>
          <w:rFonts w:asciiTheme="majorHAnsi" w:hAnsiTheme="majorHAnsi" w:cstheme="majorHAnsi"/>
          <w:sz w:val="20"/>
          <w:szCs w:val="20"/>
        </w:rPr>
        <w:t xml:space="preserve">The heatmap indicates that policy frameworks for green hydrogen differ not only in overall maturity, but also in the configuration of policy levers applied. In countries such as Germany, the Netherlands and the United </w:t>
      </w:r>
      <w:r w:rsidRPr="00F91404">
        <w:rPr>
          <w:rFonts w:asciiTheme="majorHAnsi" w:hAnsiTheme="majorHAnsi" w:cstheme="majorHAnsi"/>
          <w:sz w:val="20"/>
          <w:szCs w:val="20"/>
        </w:rPr>
        <w:lastRenderedPageBreak/>
        <w:t>Kingdom, multiple policy levers are present simultaneously, including fiscal incentives, public funding, revenue support mechanisms and infrastructure-enabling measures. In these cases, no single lever dominates; instead, policy instruments are distributed across categories, reflecting frameworks where different tools coexist and are applied in parallel.</w:t>
      </w:r>
    </w:p>
    <w:p w14:paraId="61E9CBB8" w14:textId="2406CA86" w:rsidR="006369C7" w:rsidRPr="00F91404" w:rsidRDefault="000E648F" w:rsidP="00FE5200">
      <w:pPr>
        <w:pStyle w:val="NormalWeb"/>
        <w:spacing w:line="276" w:lineRule="auto"/>
        <w:rPr>
          <w:rFonts w:asciiTheme="majorHAnsi" w:hAnsiTheme="majorHAnsi" w:cstheme="majorHAnsi"/>
          <w:sz w:val="20"/>
          <w:szCs w:val="20"/>
        </w:rPr>
      </w:pPr>
      <w:r w:rsidRPr="00F91404">
        <w:rPr>
          <w:rFonts w:asciiTheme="majorHAnsi" w:hAnsiTheme="majorHAnsi" w:cstheme="majorHAnsi"/>
          <w:sz w:val="20"/>
          <w:szCs w:val="20"/>
        </w:rPr>
        <w:t>By contrast, other countries display more concentrated patterns. Australia and South Korea show stronger emphasis on public funding and infrastructure-related measures, with more limited use of revenue support mechanisms. China’s policy profile reflects a planning-led approach with strong public funding and standards, but less reliance on market-based revenue instruments. In India, Chile, Colombia and Peru, policy levers are more narrowly distributed, with greater reliance on fiscal incentives, standards and early-stage public support, and limited development of revenue support or infrastructure enablers. These patterns illustrate how countries apply different combinations of policy levers at different stages of policy framework development, setting the context for the lever-specific analysis that follows</w:t>
      </w:r>
    </w:p>
    <w:p w14:paraId="325ECA69" w14:textId="5AB87A73" w:rsidR="005E2ED4" w:rsidRPr="00F91404" w:rsidRDefault="00134CBB" w:rsidP="00D13B6A">
      <w:pPr>
        <w:spacing w:before="240" w:after="120" w:line="276" w:lineRule="auto"/>
        <w:rPr>
          <w:rFonts w:asciiTheme="majorHAnsi" w:hAnsiTheme="majorHAnsi" w:cstheme="majorHAnsi"/>
          <w:bCs/>
          <w:color w:val="002738" w:themeColor="text2" w:themeShade="80"/>
          <w:sz w:val="22"/>
        </w:rPr>
      </w:pPr>
      <w:r w:rsidRPr="00F91404">
        <w:rPr>
          <w:rFonts w:ascii="Arial Black" w:hAnsi="Arial Black" w:cstheme="majorHAnsi"/>
          <w:b/>
          <w:bCs/>
          <w:color w:val="002738" w:themeColor="text2" w:themeShade="80"/>
          <w:sz w:val="22"/>
        </w:rPr>
        <w:t>Illustrative Examples</w:t>
      </w:r>
      <w:r w:rsidR="005E2ED4" w:rsidRPr="00F91404">
        <w:rPr>
          <w:rFonts w:ascii="Arial Black" w:hAnsi="Arial Black" w:cstheme="majorHAnsi"/>
          <w:b/>
          <w:bCs/>
          <w:color w:val="002738" w:themeColor="text2" w:themeShade="80"/>
          <w:sz w:val="22"/>
        </w:rPr>
        <w:t>:</w:t>
      </w:r>
      <w:r w:rsidR="005E2ED4" w:rsidRPr="00F91404">
        <w:rPr>
          <w:rFonts w:asciiTheme="majorHAnsi" w:hAnsiTheme="majorHAnsi" w:cstheme="majorHAnsi"/>
          <w:b/>
          <w:color w:val="002738" w:themeColor="text2" w:themeShade="80"/>
          <w:sz w:val="22"/>
        </w:rPr>
        <w:t xml:space="preserve"> Policy levers</w:t>
      </w:r>
      <w:r w:rsidRPr="00F91404">
        <w:rPr>
          <w:rFonts w:asciiTheme="majorHAnsi" w:hAnsiTheme="majorHAnsi" w:cstheme="majorHAnsi"/>
          <w:b/>
          <w:color w:val="002738" w:themeColor="text2" w:themeShade="80"/>
          <w:sz w:val="22"/>
        </w:rPr>
        <w:t xml:space="preserve"> </w:t>
      </w:r>
      <w:r w:rsidRPr="00F91404">
        <w:rPr>
          <w:rFonts w:asciiTheme="majorHAnsi" w:hAnsiTheme="majorHAnsi" w:cstheme="majorHAnsi"/>
          <w:bCs/>
          <w:color w:val="002738" w:themeColor="text2" w:themeShade="80"/>
          <w:sz w:val="22"/>
        </w:rPr>
        <w:t>(Dimension 3)</w:t>
      </w:r>
    </w:p>
    <w:p w14:paraId="4ABF63E9" w14:textId="77777777" w:rsidR="006A0FD6" w:rsidRPr="00F91404" w:rsidRDefault="006A0FD6" w:rsidP="008D5DDD">
      <w:pPr>
        <w:pStyle w:val="ListParagraph"/>
        <w:numPr>
          <w:ilvl w:val="0"/>
          <w:numId w:val="15"/>
        </w:numPr>
        <w:spacing w:before="240" w:line="276" w:lineRule="auto"/>
        <w:ind w:left="360"/>
        <w:rPr>
          <w:rFonts w:asciiTheme="majorHAnsi" w:hAnsiTheme="majorHAnsi" w:cstheme="majorHAnsi"/>
          <w:b/>
          <w:color w:val="005E5A" w:themeColor="accent5" w:themeShade="80"/>
          <w:sz w:val="21"/>
          <w:szCs w:val="21"/>
        </w:rPr>
      </w:pPr>
      <w:r w:rsidRPr="00F91404">
        <w:rPr>
          <w:rFonts w:asciiTheme="majorHAnsi" w:hAnsiTheme="majorHAnsi" w:cstheme="majorHAnsi"/>
          <w:b/>
          <w:color w:val="005E5A" w:themeColor="accent5" w:themeShade="80"/>
          <w:sz w:val="21"/>
          <w:szCs w:val="21"/>
        </w:rPr>
        <w:t>Fiscal and tax incentives</w:t>
      </w:r>
    </w:p>
    <w:p w14:paraId="2B68C90C" w14:textId="77777777" w:rsidR="006A0FD6" w:rsidRPr="00F91404" w:rsidRDefault="006A0FD6" w:rsidP="00AE5E1C">
      <w:pPr>
        <w:spacing w:line="276" w:lineRule="auto"/>
        <w:ind w:left="0"/>
        <w:rPr>
          <w:rFonts w:asciiTheme="majorHAnsi" w:hAnsiTheme="majorHAnsi" w:cstheme="majorHAnsi"/>
          <w:sz w:val="20"/>
          <w:szCs w:val="20"/>
        </w:rPr>
      </w:pPr>
      <w:r w:rsidRPr="00F91404">
        <w:rPr>
          <w:rFonts w:asciiTheme="majorHAnsi" w:hAnsiTheme="majorHAnsi" w:cstheme="majorHAnsi"/>
          <w:sz w:val="20"/>
          <w:szCs w:val="20"/>
        </w:rPr>
        <w:t>Fiscal and tax incentives are used to reduce upfront investment costs or tax liabilities associated with hydrogen-related assets. These instruments are commonly applied across low-carbon technologies and, in many countries, form part of broader fiscal frameworks rather than hydrogen-specific regimes.</w:t>
      </w:r>
    </w:p>
    <w:p w14:paraId="6DF59E4F" w14:textId="023FC99C" w:rsidR="006A0FD6" w:rsidRPr="00F91404" w:rsidRDefault="00073F23"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Germany</w:t>
      </w:r>
    </w:p>
    <w:p w14:paraId="02C72B73"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Policy approach: </w:t>
      </w:r>
      <w:r w:rsidRPr="00F91404">
        <w:rPr>
          <w:rFonts w:asciiTheme="majorHAnsi" w:hAnsiTheme="majorHAnsi" w:cstheme="majorHAnsi"/>
          <w:sz w:val="20"/>
          <w:szCs w:val="20"/>
        </w:rPr>
        <w:t>Application of tax measures and fiscal incentives available to renewable and low-carbon investments, including hydrogen.</w:t>
      </w:r>
    </w:p>
    <w:p w14:paraId="2DDA79E0"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Fiscal provisions reduce effective capital costs and improve early-stage project economics.</w:t>
      </w:r>
    </w:p>
    <w:p w14:paraId="31824877" w14:textId="77777777" w:rsidR="006A0FD6" w:rsidRPr="00F91404" w:rsidRDefault="006A0FD6"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Observed policy outcome: </w:t>
      </w:r>
      <w:r w:rsidRPr="00F91404">
        <w:rPr>
          <w:rFonts w:asciiTheme="majorHAnsi" w:hAnsiTheme="majorHAnsi" w:cstheme="majorHAnsi"/>
          <w:sz w:val="20"/>
          <w:szCs w:val="20"/>
        </w:rPr>
        <w:t>Hydrogen projects benefit from existing fiscal frameworks alongside other policy instruments.</w:t>
      </w:r>
    </w:p>
    <w:p w14:paraId="6E22CFA6" w14:textId="642606CA" w:rsidR="006A0FD6" w:rsidRPr="00F91404" w:rsidRDefault="00073F23"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Chile</w:t>
      </w:r>
    </w:p>
    <w:p w14:paraId="48850C04"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Policy approach: </w:t>
      </w:r>
      <w:r w:rsidRPr="00F91404">
        <w:rPr>
          <w:rFonts w:asciiTheme="majorHAnsi" w:hAnsiTheme="majorHAnsi" w:cstheme="majorHAnsi"/>
          <w:sz w:val="20"/>
          <w:szCs w:val="20"/>
        </w:rPr>
        <w:t>Use of general renewable energy tax incentives applicable to hydrogen projects.</w:t>
      </w:r>
    </w:p>
    <w:p w14:paraId="332AC0E8"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Fiscal incentives apply across technologies without hydrogen-specific differentiation.</w:t>
      </w:r>
    </w:p>
    <w:p w14:paraId="0A375AC1"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policy outcome: </w:t>
      </w:r>
      <w:r w:rsidRPr="00F91404">
        <w:rPr>
          <w:rFonts w:asciiTheme="majorHAnsi" w:hAnsiTheme="majorHAnsi" w:cstheme="majorHAnsi"/>
          <w:sz w:val="20"/>
          <w:szCs w:val="20"/>
        </w:rPr>
        <w:t>Provides baseline fiscal support while more targeted hydrogen instruments develop.</w:t>
      </w:r>
    </w:p>
    <w:p w14:paraId="08A142C2" w14:textId="0C43AE25" w:rsidR="006A0FD6" w:rsidRPr="00F91404" w:rsidRDefault="006A0FD6" w:rsidP="00EF5FE4">
      <w:pPr>
        <w:spacing w:line="276" w:lineRule="auto"/>
        <w:ind w:left="720"/>
        <w:rPr>
          <w:rFonts w:asciiTheme="majorHAnsi" w:hAnsiTheme="majorHAnsi" w:cstheme="majorHAnsi"/>
          <w:sz w:val="20"/>
          <w:szCs w:val="20"/>
        </w:rPr>
      </w:pPr>
    </w:p>
    <w:p w14:paraId="2D8AB923" w14:textId="77777777" w:rsidR="006A0FD6" w:rsidRPr="00F91404" w:rsidRDefault="006A0FD6" w:rsidP="008D5DDD">
      <w:pPr>
        <w:pStyle w:val="ListParagraph"/>
        <w:numPr>
          <w:ilvl w:val="0"/>
          <w:numId w:val="15"/>
        </w:numPr>
        <w:spacing w:line="276" w:lineRule="auto"/>
        <w:ind w:left="360"/>
        <w:rPr>
          <w:rFonts w:asciiTheme="majorHAnsi" w:hAnsiTheme="majorHAnsi" w:cstheme="majorHAnsi"/>
          <w:b/>
          <w:color w:val="005E5A" w:themeColor="accent5" w:themeShade="80"/>
          <w:sz w:val="21"/>
          <w:szCs w:val="21"/>
        </w:rPr>
      </w:pPr>
      <w:r w:rsidRPr="00F91404">
        <w:rPr>
          <w:rFonts w:asciiTheme="majorHAnsi" w:hAnsiTheme="majorHAnsi" w:cstheme="majorHAnsi"/>
          <w:b/>
          <w:color w:val="005E5A" w:themeColor="accent5" w:themeShade="80"/>
          <w:sz w:val="21"/>
          <w:szCs w:val="21"/>
        </w:rPr>
        <w:t>Direct public funding</w:t>
      </w:r>
    </w:p>
    <w:p w14:paraId="3DED3115" w14:textId="77777777" w:rsidR="006A0FD6" w:rsidRPr="00F91404" w:rsidRDefault="006A0FD6" w:rsidP="00AE5E1C">
      <w:pPr>
        <w:spacing w:line="276" w:lineRule="auto"/>
        <w:ind w:left="0"/>
        <w:rPr>
          <w:rFonts w:asciiTheme="majorHAnsi" w:hAnsiTheme="majorHAnsi" w:cstheme="majorHAnsi"/>
          <w:sz w:val="20"/>
          <w:szCs w:val="20"/>
        </w:rPr>
      </w:pPr>
      <w:r w:rsidRPr="00F91404">
        <w:rPr>
          <w:rFonts w:asciiTheme="majorHAnsi" w:hAnsiTheme="majorHAnsi" w:cstheme="majorHAnsi"/>
          <w:sz w:val="20"/>
          <w:szCs w:val="20"/>
        </w:rPr>
        <w:t>Direct public funding reduces early-stage and first-of-a-kind project risk through grants, co-financing and pilot funding. This lever is frequently used to support learning, demonstration and early commercial activity, particularly where capital intensity is high.</w:t>
      </w:r>
    </w:p>
    <w:p w14:paraId="4F80C367" w14:textId="1AA8FE9F" w:rsidR="006A0FD6" w:rsidRPr="00F91404" w:rsidRDefault="00073F23"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Germany</w:t>
      </w:r>
    </w:p>
    <w:p w14:paraId="19D518EB" w14:textId="77777777" w:rsidR="006A0FD6" w:rsidRPr="00F91404" w:rsidRDefault="006A0FD6"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lastRenderedPageBreak/>
        <w:t xml:space="preserve">Policy approach: </w:t>
      </w:r>
      <w:r w:rsidRPr="00F91404">
        <w:rPr>
          <w:rFonts w:asciiTheme="majorHAnsi" w:hAnsiTheme="majorHAnsi" w:cstheme="majorHAnsi"/>
          <w:sz w:val="20"/>
          <w:szCs w:val="20"/>
        </w:rPr>
        <w:t>Public funding programmes supporting electrolysers, infrastructure and industrial hydrogen applications.</w:t>
      </w:r>
    </w:p>
    <w:p w14:paraId="1F29A253" w14:textId="77777777" w:rsidR="006A0FD6" w:rsidRPr="00F91404" w:rsidRDefault="006A0FD6"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Grants and co-financing share upfront risk between the public sector and project developers</w:t>
      </w:r>
      <w:r w:rsidRPr="00F91404">
        <w:rPr>
          <w:rFonts w:asciiTheme="majorHAnsi" w:hAnsiTheme="majorHAnsi" w:cstheme="majorHAnsi"/>
          <w:b/>
          <w:bCs/>
          <w:sz w:val="20"/>
          <w:szCs w:val="20"/>
        </w:rPr>
        <w:t>.</w:t>
      </w:r>
    </w:p>
    <w:p w14:paraId="1B451169"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policy outcome: </w:t>
      </w:r>
      <w:r w:rsidRPr="00F91404">
        <w:rPr>
          <w:rFonts w:asciiTheme="majorHAnsi" w:hAnsiTheme="majorHAnsi" w:cstheme="majorHAnsi"/>
          <w:sz w:val="20"/>
          <w:szCs w:val="20"/>
        </w:rPr>
        <w:t>Enables implementation of early and large-scale projects within a structured funding framework.</w:t>
      </w:r>
    </w:p>
    <w:p w14:paraId="43B9B905" w14:textId="216FFFAD" w:rsidR="006A0FD6" w:rsidRPr="00F91404" w:rsidRDefault="00073F23"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Australia</w:t>
      </w:r>
    </w:p>
    <w:p w14:paraId="46FBC06B"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Policy approach: </w:t>
      </w:r>
      <w:r w:rsidRPr="00F91404">
        <w:rPr>
          <w:rFonts w:asciiTheme="majorHAnsi" w:hAnsiTheme="majorHAnsi" w:cstheme="majorHAnsi"/>
          <w:sz w:val="20"/>
          <w:szCs w:val="20"/>
        </w:rPr>
        <w:t>Public funding focused on hydrogen hubs and demonstration projects.</w:t>
      </w:r>
    </w:p>
    <w:p w14:paraId="4311AD46"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CAPEX support targets shared infrastructure and first-of-a-kind initiatives.</w:t>
      </w:r>
    </w:p>
    <w:p w14:paraId="170B35CA" w14:textId="36A10960" w:rsidR="00EF5FE4"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policy outcome: </w:t>
      </w:r>
      <w:r w:rsidRPr="00F91404">
        <w:rPr>
          <w:rFonts w:asciiTheme="majorHAnsi" w:hAnsiTheme="majorHAnsi" w:cstheme="majorHAnsi"/>
          <w:sz w:val="20"/>
          <w:szCs w:val="20"/>
        </w:rPr>
        <w:t>Supports early project development and informs subsequent policy design.</w:t>
      </w:r>
    </w:p>
    <w:p w14:paraId="47C6654D" w14:textId="77777777" w:rsidR="006369C7" w:rsidRPr="00F91404" w:rsidRDefault="006369C7" w:rsidP="006369C7">
      <w:pPr>
        <w:spacing w:before="120" w:after="120" w:line="276" w:lineRule="auto"/>
        <w:ind w:left="1023"/>
        <w:rPr>
          <w:rFonts w:asciiTheme="majorHAnsi" w:hAnsiTheme="majorHAnsi" w:cstheme="majorHAnsi"/>
          <w:sz w:val="20"/>
          <w:szCs w:val="20"/>
        </w:rPr>
      </w:pPr>
    </w:p>
    <w:p w14:paraId="61ADC5BE" w14:textId="77777777" w:rsidR="006A0FD6" w:rsidRPr="00F91404" w:rsidRDefault="006A0FD6" w:rsidP="00726EFD">
      <w:pPr>
        <w:pStyle w:val="ListParagraph"/>
        <w:numPr>
          <w:ilvl w:val="0"/>
          <w:numId w:val="15"/>
        </w:numPr>
        <w:spacing w:line="276" w:lineRule="auto"/>
        <w:ind w:left="360"/>
        <w:rPr>
          <w:rFonts w:asciiTheme="majorHAnsi" w:hAnsiTheme="majorHAnsi" w:cstheme="majorHAnsi"/>
          <w:b/>
          <w:color w:val="005E5A" w:themeColor="accent5" w:themeShade="80"/>
          <w:sz w:val="21"/>
          <w:szCs w:val="21"/>
        </w:rPr>
      </w:pPr>
      <w:r w:rsidRPr="00F91404">
        <w:rPr>
          <w:rFonts w:asciiTheme="majorHAnsi" w:hAnsiTheme="majorHAnsi" w:cstheme="majorHAnsi"/>
          <w:b/>
          <w:color w:val="005E5A" w:themeColor="accent5" w:themeShade="80"/>
          <w:sz w:val="21"/>
          <w:szCs w:val="21"/>
        </w:rPr>
        <w:t>Market and revenue support mechanisms</w:t>
      </w:r>
    </w:p>
    <w:p w14:paraId="6287FE4F" w14:textId="77777777" w:rsidR="006A0FD6" w:rsidRPr="00F91404" w:rsidRDefault="006A0FD6" w:rsidP="00AE5E1C">
      <w:pPr>
        <w:spacing w:line="276" w:lineRule="auto"/>
        <w:ind w:left="0"/>
        <w:rPr>
          <w:rFonts w:asciiTheme="majorHAnsi" w:hAnsiTheme="majorHAnsi" w:cstheme="majorHAnsi"/>
          <w:sz w:val="20"/>
          <w:szCs w:val="20"/>
        </w:rPr>
      </w:pPr>
      <w:r w:rsidRPr="00F91404">
        <w:rPr>
          <w:rFonts w:asciiTheme="majorHAnsi" w:hAnsiTheme="majorHAnsi" w:cstheme="majorHAnsi"/>
          <w:sz w:val="20"/>
          <w:szCs w:val="20"/>
        </w:rPr>
        <w:t>Market and revenue support mechanisms provide revenue certainty or demand signals to bridge the cost gap between green hydrogen and incumbent alternatives. These instruments typically emerge as policy frameworks mature and seek to provide longer-term visibility for project revenues.</w:t>
      </w:r>
    </w:p>
    <w:p w14:paraId="1634194F" w14:textId="0A9AA670" w:rsidR="006A0FD6" w:rsidRPr="00F91404" w:rsidRDefault="006A0FD6"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Germany (H2Global)</w:t>
      </w:r>
    </w:p>
    <w:p w14:paraId="67BBA1CC" w14:textId="77777777" w:rsidR="006A0FD6" w:rsidRPr="00F91404" w:rsidRDefault="006A0FD6"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Policy approach: </w:t>
      </w:r>
      <w:r w:rsidRPr="00F91404">
        <w:rPr>
          <w:rFonts w:asciiTheme="majorHAnsi" w:hAnsiTheme="majorHAnsi" w:cstheme="majorHAnsi"/>
          <w:sz w:val="20"/>
          <w:szCs w:val="20"/>
        </w:rPr>
        <w:t xml:space="preserve">Government-backed procurement using </w:t>
      </w:r>
      <w:proofErr w:type="spellStart"/>
      <w:r w:rsidRPr="00F91404">
        <w:rPr>
          <w:rFonts w:asciiTheme="majorHAnsi" w:hAnsiTheme="majorHAnsi" w:cstheme="majorHAnsi"/>
          <w:sz w:val="20"/>
          <w:szCs w:val="20"/>
        </w:rPr>
        <w:t>CfD</w:t>
      </w:r>
      <w:proofErr w:type="spellEnd"/>
      <w:r w:rsidRPr="00F91404">
        <w:rPr>
          <w:rFonts w:asciiTheme="majorHAnsi" w:hAnsiTheme="majorHAnsi" w:cstheme="majorHAnsi"/>
          <w:sz w:val="20"/>
          <w:szCs w:val="20"/>
        </w:rPr>
        <w:t>-type contracts awarded through competitive processes.</w:t>
      </w:r>
    </w:p>
    <w:p w14:paraId="243AEE7F"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The public sector absorbs the price difference between contracted supply prices and market resale prices.</w:t>
      </w:r>
    </w:p>
    <w:p w14:paraId="03DC3A62"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policy outcome: </w:t>
      </w:r>
      <w:r w:rsidRPr="00F91404">
        <w:rPr>
          <w:rFonts w:asciiTheme="majorHAnsi" w:hAnsiTheme="majorHAnsi" w:cstheme="majorHAnsi"/>
          <w:sz w:val="20"/>
          <w:szCs w:val="20"/>
        </w:rPr>
        <w:t>Establishes a structured revenue support mechanism within the policy framework.</w:t>
      </w:r>
    </w:p>
    <w:p w14:paraId="32B87694" w14:textId="69EFC3CB" w:rsidR="006A0FD6" w:rsidRPr="00F91404" w:rsidRDefault="006A0FD6"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United Kingdom</w:t>
      </w:r>
    </w:p>
    <w:p w14:paraId="69A9CF59" w14:textId="77777777" w:rsidR="006A0FD6" w:rsidRPr="00F91404" w:rsidRDefault="006A0FD6"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Policy approach: </w:t>
      </w:r>
      <w:r w:rsidRPr="00F91404">
        <w:rPr>
          <w:rFonts w:asciiTheme="majorHAnsi" w:hAnsiTheme="majorHAnsi" w:cstheme="majorHAnsi"/>
          <w:sz w:val="20"/>
          <w:szCs w:val="20"/>
        </w:rPr>
        <w:t>Standardised long-term revenue contracts awarded through Hydrogen Allocation Rounds.</w:t>
      </w:r>
    </w:p>
    <w:p w14:paraId="32848364"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Contracts provide predictable revenues and are integrated with cluster-based deployment.</w:t>
      </w:r>
    </w:p>
    <w:p w14:paraId="20B1690C"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policy outcome: </w:t>
      </w:r>
      <w:r w:rsidRPr="00F91404">
        <w:rPr>
          <w:rFonts w:asciiTheme="majorHAnsi" w:hAnsiTheme="majorHAnsi" w:cstheme="majorHAnsi"/>
          <w:sz w:val="20"/>
          <w:szCs w:val="20"/>
        </w:rPr>
        <w:t>Creates a repeatable mechanism for supporting hydrogen producers.</w:t>
      </w:r>
    </w:p>
    <w:p w14:paraId="5117C368" w14:textId="4B16EE9E" w:rsidR="006A0FD6" w:rsidRPr="00F91404" w:rsidRDefault="006A0FD6" w:rsidP="00230DC6">
      <w:pPr>
        <w:spacing w:after="120"/>
        <w:ind w:left="720"/>
        <w:rPr>
          <w:rFonts w:asciiTheme="majorHAnsi" w:hAnsiTheme="majorHAnsi" w:cstheme="majorHAnsi"/>
          <w:sz w:val="20"/>
          <w:szCs w:val="20"/>
        </w:rPr>
      </w:pPr>
    </w:p>
    <w:p w14:paraId="17B042A7" w14:textId="77777777" w:rsidR="006A0FD6" w:rsidRPr="00F91404" w:rsidRDefault="006A0FD6" w:rsidP="008D5DDD">
      <w:pPr>
        <w:pStyle w:val="ListParagraph"/>
        <w:numPr>
          <w:ilvl w:val="0"/>
          <w:numId w:val="15"/>
        </w:numPr>
        <w:spacing w:line="276" w:lineRule="auto"/>
        <w:ind w:left="360"/>
        <w:rPr>
          <w:rFonts w:asciiTheme="majorHAnsi" w:hAnsiTheme="majorHAnsi" w:cstheme="majorHAnsi"/>
          <w:b/>
          <w:color w:val="005E5A" w:themeColor="accent5" w:themeShade="80"/>
          <w:sz w:val="21"/>
          <w:szCs w:val="21"/>
        </w:rPr>
      </w:pPr>
      <w:r w:rsidRPr="00F91404">
        <w:rPr>
          <w:rFonts w:asciiTheme="majorHAnsi" w:hAnsiTheme="majorHAnsi" w:cstheme="majorHAnsi"/>
          <w:b/>
          <w:color w:val="005E5A" w:themeColor="accent5" w:themeShade="80"/>
          <w:sz w:val="21"/>
          <w:szCs w:val="21"/>
        </w:rPr>
        <w:t>Standards and certification</w:t>
      </w:r>
    </w:p>
    <w:p w14:paraId="5FF9BA49" w14:textId="77777777" w:rsidR="006A0FD6" w:rsidRPr="00F91404" w:rsidRDefault="006A0FD6" w:rsidP="00AE5E1C">
      <w:pPr>
        <w:spacing w:after="120"/>
        <w:ind w:left="0"/>
        <w:rPr>
          <w:rFonts w:asciiTheme="majorHAnsi" w:hAnsiTheme="majorHAnsi" w:cstheme="majorHAnsi"/>
          <w:sz w:val="20"/>
          <w:szCs w:val="20"/>
        </w:rPr>
      </w:pPr>
      <w:r w:rsidRPr="00F91404">
        <w:rPr>
          <w:rFonts w:asciiTheme="majorHAnsi" w:hAnsiTheme="majorHAnsi" w:cstheme="majorHAnsi"/>
          <w:sz w:val="20"/>
          <w:szCs w:val="20"/>
        </w:rPr>
        <w:t>Standards and certification frameworks define eligible clean hydrogen and provide regulatory clarity for eligibility, compliance and verification. These frameworks often underpin access to support schemes and, in some cases, trade.</w:t>
      </w:r>
    </w:p>
    <w:p w14:paraId="0A6C7683" w14:textId="2CAEA577" w:rsidR="006A0FD6" w:rsidRPr="00F91404" w:rsidRDefault="006A0FD6"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European Union / Germany</w:t>
      </w:r>
    </w:p>
    <w:p w14:paraId="7E0B39F5" w14:textId="77777777" w:rsidR="006A0FD6" w:rsidRPr="00F91404" w:rsidRDefault="006A0FD6"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lastRenderedPageBreak/>
        <w:t xml:space="preserve">Policy approach: </w:t>
      </w:r>
      <w:r w:rsidRPr="00F91404">
        <w:rPr>
          <w:rFonts w:asciiTheme="majorHAnsi" w:hAnsiTheme="majorHAnsi" w:cstheme="majorHAnsi"/>
          <w:sz w:val="20"/>
          <w:szCs w:val="20"/>
        </w:rPr>
        <w:t>Application of RFNBO criteria and Guarantees of Origin.</w:t>
      </w:r>
    </w:p>
    <w:p w14:paraId="0FBB58F4" w14:textId="77777777" w:rsidR="006A0FD6" w:rsidRPr="00F91404" w:rsidRDefault="006A0FD6"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Certification is operational and linked to eligibility for support and compliance frameworks.</w:t>
      </w:r>
    </w:p>
    <w:p w14:paraId="21504051"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policy outcome: </w:t>
      </w:r>
      <w:r w:rsidRPr="00F91404">
        <w:rPr>
          <w:rFonts w:asciiTheme="majorHAnsi" w:hAnsiTheme="majorHAnsi" w:cstheme="majorHAnsi"/>
          <w:sz w:val="20"/>
          <w:szCs w:val="20"/>
        </w:rPr>
        <w:t>Provides a common reference for classification and verification across programmes.</w:t>
      </w:r>
    </w:p>
    <w:p w14:paraId="1EC01555" w14:textId="430EA0E5" w:rsidR="006A0FD6" w:rsidRPr="00F91404" w:rsidRDefault="00073F23" w:rsidP="007E7920">
      <w:pPr>
        <w:spacing w:before="360"/>
        <w:ind w:left="284"/>
        <w:rPr>
          <w:rFonts w:ascii="Arial" w:hAnsi="Arial" w:cs="Arial"/>
          <w:b/>
          <w:bCs/>
          <w:color w:val="002060"/>
          <w:sz w:val="21"/>
          <w:szCs w:val="21"/>
        </w:rPr>
      </w:pPr>
      <w:r w:rsidRPr="00F91404">
        <w:rPr>
          <w:rFonts w:ascii="Arial" w:hAnsi="Arial" w:cs="Arial"/>
          <w:b/>
          <w:bCs/>
          <w:color w:val="002060"/>
          <w:sz w:val="21"/>
          <w:szCs w:val="21"/>
        </w:rPr>
        <w:t>Australia</w:t>
      </w:r>
    </w:p>
    <w:p w14:paraId="49FF104E"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Policy approach: </w:t>
      </w:r>
      <w:r w:rsidRPr="00F91404">
        <w:rPr>
          <w:rFonts w:asciiTheme="majorHAnsi" w:hAnsiTheme="majorHAnsi" w:cstheme="majorHAnsi"/>
          <w:sz w:val="20"/>
          <w:szCs w:val="20"/>
        </w:rPr>
        <w:t>Development of a national hydrogen certification scheme aligned with export markets.</w:t>
      </w:r>
    </w:p>
    <w:p w14:paraId="5921638A"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Certification frameworks are designed to meet international requirements.</w:t>
      </w:r>
    </w:p>
    <w:p w14:paraId="718C4789" w14:textId="0FA4CE3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policy outcome: </w:t>
      </w:r>
      <w:r w:rsidRPr="00F91404">
        <w:rPr>
          <w:rFonts w:asciiTheme="majorHAnsi" w:hAnsiTheme="majorHAnsi" w:cstheme="majorHAnsi"/>
          <w:sz w:val="20"/>
          <w:szCs w:val="20"/>
        </w:rPr>
        <w:t>Supports future market access and policy coherence as frameworks mature.</w:t>
      </w:r>
    </w:p>
    <w:p w14:paraId="5917F432" w14:textId="77777777" w:rsidR="00EF5FE4" w:rsidRPr="00F91404" w:rsidRDefault="00EF5FE4" w:rsidP="00230DC6">
      <w:pPr>
        <w:spacing w:after="120"/>
        <w:ind w:left="720"/>
        <w:rPr>
          <w:rFonts w:asciiTheme="majorHAnsi" w:hAnsiTheme="majorHAnsi" w:cstheme="majorHAnsi"/>
          <w:sz w:val="20"/>
          <w:szCs w:val="20"/>
        </w:rPr>
      </w:pPr>
    </w:p>
    <w:p w14:paraId="2DA14FFA" w14:textId="77777777" w:rsidR="006A0FD6" w:rsidRPr="00F91404" w:rsidRDefault="006A0FD6" w:rsidP="008D5DDD">
      <w:pPr>
        <w:pStyle w:val="ListParagraph"/>
        <w:numPr>
          <w:ilvl w:val="0"/>
          <w:numId w:val="15"/>
        </w:numPr>
        <w:spacing w:line="276" w:lineRule="auto"/>
        <w:ind w:left="360"/>
        <w:rPr>
          <w:rFonts w:asciiTheme="majorHAnsi" w:hAnsiTheme="majorHAnsi" w:cstheme="majorHAnsi"/>
          <w:b/>
          <w:color w:val="005E5A" w:themeColor="accent5" w:themeShade="80"/>
          <w:sz w:val="21"/>
          <w:szCs w:val="21"/>
        </w:rPr>
      </w:pPr>
      <w:r w:rsidRPr="00F91404">
        <w:rPr>
          <w:rFonts w:asciiTheme="majorHAnsi" w:hAnsiTheme="majorHAnsi" w:cstheme="majorHAnsi"/>
          <w:b/>
          <w:color w:val="005E5A" w:themeColor="accent5" w:themeShade="80"/>
          <w:sz w:val="21"/>
          <w:szCs w:val="21"/>
        </w:rPr>
        <w:t>Infrastructure enablers</w:t>
      </w:r>
    </w:p>
    <w:p w14:paraId="2085F161" w14:textId="77777777" w:rsidR="006A0FD6" w:rsidRPr="00F91404" w:rsidRDefault="006A0FD6" w:rsidP="00AE5E1C">
      <w:pPr>
        <w:spacing w:after="120"/>
        <w:ind w:left="0"/>
        <w:rPr>
          <w:rFonts w:asciiTheme="majorHAnsi" w:hAnsiTheme="majorHAnsi" w:cstheme="majorHAnsi"/>
          <w:sz w:val="20"/>
          <w:szCs w:val="20"/>
        </w:rPr>
      </w:pPr>
      <w:r w:rsidRPr="00F91404">
        <w:rPr>
          <w:rFonts w:asciiTheme="majorHAnsi" w:hAnsiTheme="majorHAnsi" w:cstheme="majorHAnsi"/>
          <w:sz w:val="20"/>
          <w:szCs w:val="20"/>
        </w:rPr>
        <w:t>Infrastructure-enabling policies support shared, system-level assets such as pipelines, hubs, ports and grid connections. These policies address integration challenges and reduce reliance on project-specific solutions.</w:t>
      </w:r>
    </w:p>
    <w:p w14:paraId="4D89DB9F" w14:textId="0B2D0463" w:rsidR="006A0FD6" w:rsidRPr="00F91404" w:rsidRDefault="00073F23" w:rsidP="00AE5E1C">
      <w:pPr>
        <w:spacing w:before="360"/>
        <w:ind w:left="284"/>
        <w:rPr>
          <w:rFonts w:ascii="Arial" w:hAnsi="Arial" w:cs="Arial"/>
          <w:b/>
          <w:bCs/>
          <w:color w:val="002060"/>
          <w:sz w:val="21"/>
          <w:szCs w:val="21"/>
        </w:rPr>
      </w:pPr>
      <w:r w:rsidRPr="00F91404">
        <w:rPr>
          <w:rFonts w:ascii="Arial" w:hAnsi="Arial" w:cs="Arial"/>
          <w:b/>
          <w:bCs/>
          <w:color w:val="002060"/>
          <w:sz w:val="21"/>
          <w:szCs w:val="21"/>
        </w:rPr>
        <w:t>Netherlands</w:t>
      </w:r>
    </w:p>
    <w:p w14:paraId="3CBB443E"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Policy approach</w:t>
      </w:r>
      <w:r w:rsidRPr="00F91404">
        <w:rPr>
          <w:rFonts w:asciiTheme="majorHAnsi" w:hAnsiTheme="majorHAnsi" w:cstheme="majorHAnsi"/>
          <w:sz w:val="20"/>
          <w:szCs w:val="20"/>
        </w:rPr>
        <w:t>: Infrastructure-led hydrogen development model.</w:t>
      </w:r>
    </w:p>
    <w:p w14:paraId="7735E46C"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How it operates: </w:t>
      </w:r>
      <w:r w:rsidRPr="00F91404">
        <w:rPr>
          <w:rFonts w:asciiTheme="majorHAnsi" w:hAnsiTheme="majorHAnsi" w:cstheme="majorHAnsi"/>
          <w:sz w:val="20"/>
          <w:szCs w:val="20"/>
        </w:rPr>
        <w:t>Planning and regulation of hydrogen backbones and port-based hubs.</w:t>
      </w:r>
    </w:p>
    <w:p w14:paraId="698904A2"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Observed policy outcome</w:t>
      </w:r>
      <w:r w:rsidRPr="00F91404">
        <w:rPr>
          <w:rFonts w:asciiTheme="majorHAnsi" w:hAnsiTheme="majorHAnsi" w:cstheme="majorHAnsi"/>
          <w:sz w:val="20"/>
          <w:szCs w:val="20"/>
        </w:rPr>
        <w:t>: Enables coordination across multiple projects and users.</w:t>
      </w:r>
    </w:p>
    <w:p w14:paraId="4883AF5D" w14:textId="590E0A67" w:rsidR="006A0FD6" w:rsidRPr="00F91404" w:rsidRDefault="00073F23" w:rsidP="00AE5E1C">
      <w:pPr>
        <w:spacing w:before="360"/>
        <w:ind w:left="284"/>
        <w:rPr>
          <w:rFonts w:ascii="Arial" w:hAnsi="Arial" w:cs="Arial"/>
          <w:b/>
          <w:bCs/>
          <w:color w:val="002060"/>
          <w:sz w:val="21"/>
          <w:szCs w:val="21"/>
        </w:rPr>
      </w:pPr>
      <w:r w:rsidRPr="00F91404">
        <w:rPr>
          <w:rFonts w:ascii="Arial" w:hAnsi="Arial" w:cs="Arial"/>
          <w:b/>
          <w:bCs/>
          <w:color w:val="002060"/>
          <w:sz w:val="21"/>
          <w:szCs w:val="21"/>
        </w:rPr>
        <w:t>Australia</w:t>
      </w:r>
    </w:p>
    <w:p w14:paraId="7EEB6DEE" w14:textId="77777777" w:rsidR="006A0FD6" w:rsidRPr="00F91404" w:rsidRDefault="006A0FD6"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Policy approach: </w:t>
      </w:r>
      <w:r w:rsidRPr="00F91404">
        <w:rPr>
          <w:rFonts w:asciiTheme="majorHAnsi" w:hAnsiTheme="majorHAnsi" w:cstheme="majorHAnsi"/>
          <w:sz w:val="20"/>
          <w:szCs w:val="20"/>
        </w:rPr>
        <w:t>Hub-based infrastructure development aligned with renewable resource zones.</w:t>
      </w:r>
    </w:p>
    <w:p w14:paraId="28E539ED" w14:textId="77777777" w:rsidR="006A0FD6" w:rsidRPr="00F91404" w:rsidRDefault="006A0FD6"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How it operates: Public support and planning focus on shared infrastructure assets.</w:t>
      </w:r>
    </w:p>
    <w:p w14:paraId="7CEBF350" w14:textId="77777777" w:rsidR="006A0FD6" w:rsidRPr="00F91404" w:rsidRDefault="006A0FD6"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Observed policy outcome: </w:t>
      </w:r>
      <w:r w:rsidRPr="00F91404">
        <w:rPr>
          <w:rFonts w:asciiTheme="majorHAnsi" w:hAnsiTheme="majorHAnsi" w:cstheme="majorHAnsi"/>
          <w:sz w:val="20"/>
          <w:szCs w:val="20"/>
        </w:rPr>
        <w:t>Reduces duplication and supports early system development.</w:t>
      </w:r>
    </w:p>
    <w:p w14:paraId="02B0B163" w14:textId="7FAAAC29" w:rsidR="0026662D" w:rsidRPr="00F91404" w:rsidRDefault="0026662D" w:rsidP="00E32210">
      <w:pPr>
        <w:spacing w:before="360"/>
        <w:ind w:left="284"/>
        <w:rPr>
          <w:rFonts w:ascii="Arial" w:hAnsi="Arial" w:cs="Arial"/>
          <w:b/>
          <w:bCs/>
          <w:color w:val="002060"/>
          <w:sz w:val="21"/>
          <w:szCs w:val="21"/>
        </w:rPr>
      </w:pPr>
      <w:r w:rsidRPr="00F91404">
        <w:rPr>
          <w:rFonts w:ascii="Arial" w:hAnsi="Arial" w:cs="Arial"/>
          <w:b/>
          <w:bCs/>
          <w:color w:val="002060"/>
          <w:sz w:val="21"/>
          <w:szCs w:val="21"/>
        </w:rPr>
        <w:t>United Kingdom</w:t>
      </w:r>
    </w:p>
    <w:p w14:paraId="4F91CA74" w14:textId="6A891BF2" w:rsidR="0026662D" w:rsidRPr="00F91404" w:rsidRDefault="0026662D"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Policy approach: </w:t>
      </w:r>
      <w:r w:rsidR="004215CB" w:rsidRPr="00F91404">
        <w:rPr>
          <w:rFonts w:asciiTheme="majorHAnsi" w:hAnsiTheme="majorHAnsi" w:cstheme="majorHAnsi"/>
          <w:sz w:val="20"/>
          <w:szCs w:val="20"/>
        </w:rPr>
        <w:t>Integration of hydrogen production within electricity system planning and network regulation.</w:t>
      </w:r>
    </w:p>
    <w:p w14:paraId="2710936B" w14:textId="346EE9CB" w:rsidR="0026662D" w:rsidRPr="00F91404" w:rsidRDefault="0026662D" w:rsidP="008D5DDD">
      <w:pPr>
        <w:numPr>
          <w:ilvl w:val="0"/>
          <w:numId w:val="10"/>
        </w:numPr>
        <w:spacing w:before="120" w:after="120" w:line="276" w:lineRule="auto"/>
        <w:ind w:left="1023"/>
        <w:rPr>
          <w:rFonts w:asciiTheme="majorHAnsi" w:hAnsiTheme="majorHAnsi" w:cstheme="majorHAnsi"/>
          <w:b/>
          <w:bCs/>
          <w:sz w:val="20"/>
          <w:szCs w:val="20"/>
        </w:rPr>
      </w:pPr>
      <w:r w:rsidRPr="00F91404">
        <w:rPr>
          <w:rFonts w:asciiTheme="majorHAnsi" w:hAnsiTheme="majorHAnsi" w:cstheme="majorHAnsi"/>
          <w:b/>
          <w:bCs/>
          <w:sz w:val="20"/>
          <w:szCs w:val="20"/>
        </w:rPr>
        <w:t xml:space="preserve">How it operates: </w:t>
      </w:r>
      <w:r w:rsidR="004215CB" w:rsidRPr="00F91404">
        <w:rPr>
          <w:rFonts w:asciiTheme="majorHAnsi" w:hAnsiTheme="majorHAnsi" w:cstheme="majorHAnsi"/>
          <w:b/>
          <w:bCs/>
          <w:sz w:val="20"/>
          <w:szCs w:val="20"/>
        </w:rPr>
        <w:t>Grid connection rules, network planning and coordination with electricity system operators are used to manage large electrolyser loads and system impacts</w:t>
      </w:r>
      <w:r w:rsidRPr="00F91404">
        <w:rPr>
          <w:rFonts w:asciiTheme="majorHAnsi" w:hAnsiTheme="majorHAnsi" w:cstheme="majorHAnsi"/>
          <w:b/>
          <w:bCs/>
          <w:sz w:val="20"/>
          <w:szCs w:val="20"/>
        </w:rPr>
        <w:t>.</w:t>
      </w:r>
    </w:p>
    <w:p w14:paraId="6713513A" w14:textId="22BFE478" w:rsidR="006960B1" w:rsidRPr="00F91404" w:rsidRDefault="0026662D" w:rsidP="008D5DDD">
      <w:pPr>
        <w:numPr>
          <w:ilvl w:val="0"/>
          <w:numId w:val="10"/>
        </w:numPr>
        <w:spacing w:before="120" w:after="120" w:line="276" w:lineRule="auto"/>
        <w:ind w:left="1023"/>
        <w:rPr>
          <w:rFonts w:asciiTheme="majorHAnsi" w:hAnsiTheme="majorHAnsi" w:cstheme="majorHAnsi"/>
          <w:sz w:val="20"/>
          <w:szCs w:val="20"/>
        </w:rPr>
      </w:pPr>
      <w:r w:rsidRPr="00F91404">
        <w:rPr>
          <w:rFonts w:asciiTheme="majorHAnsi" w:hAnsiTheme="majorHAnsi" w:cstheme="majorHAnsi"/>
          <w:b/>
          <w:bCs/>
          <w:sz w:val="20"/>
          <w:szCs w:val="20"/>
        </w:rPr>
        <w:t xml:space="preserve">Observed policy outcome: </w:t>
      </w:r>
      <w:r w:rsidR="007D70DA" w:rsidRPr="00F91404">
        <w:rPr>
          <w:rFonts w:asciiTheme="majorHAnsi" w:hAnsiTheme="majorHAnsi" w:cstheme="majorHAnsi"/>
          <w:sz w:val="20"/>
          <w:szCs w:val="20"/>
        </w:rPr>
        <w:t>Provides a structured framework for integrating electrolysers into the power system, reducing uncertainty around grid access and system compatibility</w:t>
      </w:r>
      <w:r w:rsidR="00626B2B" w:rsidRPr="00F91404">
        <w:rPr>
          <w:rFonts w:asciiTheme="majorHAnsi" w:hAnsiTheme="majorHAnsi" w:cstheme="majorHAnsi"/>
          <w:sz w:val="20"/>
          <w:szCs w:val="20"/>
        </w:rPr>
        <w:t>.</w:t>
      </w:r>
    </w:p>
    <w:p w14:paraId="36AC8518" w14:textId="77777777" w:rsidR="006960B1" w:rsidRPr="00F91404" w:rsidRDefault="006960B1">
      <w:pPr>
        <w:rPr>
          <w:rFonts w:asciiTheme="majorHAnsi" w:hAnsiTheme="majorHAnsi" w:cstheme="majorHAnsi"/>
          <w:sz w:val="20"/>
          <w:szCs w:val="20"/>
        </w:rPr>
      </w:pPr>
      <w:r w:rsidRPr="00F91404">
        <w:rPr>
          <w:rFonts w:asciiTheme="majorHAnsi" w:hAnsiTheme="majorHAnsi" w:cstheme="majorHAnsi"/>
          <w:sz w:val="20"/>
          <w:szCs w:val="20"/>
        </w:rPr>
        <w:br w:type="page"/>
      </w:r>
    </w:p>
    <w:p w14:paraId="536D4A15" w14:textId="77777777" w:rsidR="00A9244D" w:rsidRPr="00F91404" w:rsidRDefault="00A9244D" w:rsidP="006960B1">
      <w:pPr>
        <w:spacing w:after="0"/>
        <w:rPr>
          <w:rFonts w:asciiTheme="majorHAnsi" w:hAnsiTheme="majorHAnsi" w:cstheme="majorHAnsi"/>
          <w:sz w:val="2"/>
          <w:szCs w:val="2"/>
        </w:rPr>
      </w:pPr>
    </w:p>
    <w:p w14:paraId="1F8987E3" w14:textId="29D50B1D" w:rsidR="005722FF" w:rsidRPr="00F91404" w:rsidRDefault="005722FF" w:rsidP="00AA77D6">
      <w:pPr>
        <w:pStyle w:val="Heading1"/>
      </w:pPr>
      <w:bookmarkStart w:id="40" w:name="_Toc220695674"/>
      <w:bookmarkStart w:id="41" w:name="_Toc220695999"/>
      <w:bookmarkStart w:id="42" w:name="_Toc220786528"/>
      <w:r w:rsidRPr="00F91404">
        <w:t>Key Findings</w:t>
      </w:r>
      <w:bookmarkEnd w:id="40"/>
      <w:bookmarkEnd w:id="41"/>
      <w:bookmarkEnd w:id="42"/>
      <w:r w:rsidR="0063187F" w:rsidRPr="00F91404">
        <w:t xml:space="preserve"> </w:t>
      </w:r>
    </w:p>
    <w:p w14:paraId="34340890" w14:textId="77777777" w:rsidR="000524C3" w:rsidRPr="00F91404" w:rsidRDefault="000524C3" w:rsidP="000524C3">
      <w:pPr>
        <w:spacing w:after="0"/>
        <w:ind w:left="0"/>
        <w:rPr>
          <w:sz w:val="20"/>
          <w:szCs w:val="20"/>
        </w:rPr>
      </w:pPr>
      <w:r w:rsidRPr="00F91404">
        <w:rPr>
          <w:sz w:val="20"/>
          <w:szCs w:val="20"/>
        </w:rPr>
        <w:t>This section presents the key findings emerging from the comparative benchmarking analysis across governance, legal and regulatory foundations, and policy levers. The findings synthesise observed patterns across the benchmark countries, highlighting how these dimensions interact and evolve together at different stages of hydrogen market development. They are analytical rather than evaluative in nature and do not assess the effectiveness of individual policies in isolation or imply direct causality between specific instruments and deployment outcomes.</w:t>
      </w:r>
    </w:p>
    <w:p w14:paraId="54D217E3" w14:textId="04757639" w:rsidR="0062515C" w:rsidRPr="00F91404" w:rsidRDefault="0062515C" w:rsidP="0062515C">
      <w:pPr>
        <w:spacing w:after="0"/>
        <w:ind w:left="0"/>
        <w:rPr>
          <w:sz w:val="20"/>
          <w:szCs w:val="20"/>
        </w:rPr>
      </w:pPr>
    </w:p>
    <w:p w14:paraId="27B5476B" w14:textId="77777777" w:rsidR="0062515C" w:rsidRPr="00F91404" w:rsidRDefault="0062515C" w:rsidP="006960B1">
      <w:pPr>
        <w:spacing w:after="0"/>
        <w:rPr>
          <w:b/>
          <w:color w:val="004C43" w:themeColor="accent1"/>
          <w:sz w:val="24"/>
          <w:szCs w:val="32"/>
        </w:rPr>
      </w:pPr>
    </w:p>
    <w:p w14:paraId="34598443" w14:textId="62275291" w:rsidR="00CC0F97" w:rsidRPr="00F91404" w:rsidRDefault="00B72177" w:rsidP="00D51C50">
      <w:pPr>
        <w:rPr>
          <w:b/>
        </w:rPr>
      </w:pPr>
      <w:r w:rsidRPr="00F91404">
        <w:rPr>
          <w:b/>
          <w:color w:val="004C43" w:themeColor="accent1"/>
          <w:sz w:val="24"/>
          <w:szCs w:val="32"/>
        </w:rPr>
        <w:t>7</w:t>
      </w:r>
      <w:r w:rsidR="00D643F2" w:rsidRPr="00F91404">
        <w:rPr>
          <w:b/>
          <w:color w:val="004C43" w:themeColor="accent1"/>
          <w:sz w:val="24"/>
          <w:szCs w:val="32"/>
        </w:rPr>
        <w:t xml:space="preserve">.1 </w:t>
      </w:r>
      <w:r w:rsidR="00CC0F97" w:rsidRPr="00F91404">
        <w:rPr>
          <w:b/>
          <w:color w:val="004C43" w:themeColor="accent1"/>
          <w:sz w:val="24"/>
          <w:szCs w:val="32"/>
        </w:rPr>
        <w:t>Governance and Institutional Arrangements</w:t>
      </w:r>
    </w:p>
    <w:p w14:paraId="2E523C9B" w14:textId="0BFFA099" w:rsidR="00B30B09" w:rsidRPr="00F91404" w:rsidRDefault="00B30B09" w:rsidP="00497BAC">
      <w:pPr>
        <w:suppressAutoHyphens/>
        <w:spacing w:after="120" w:line="276" w:lineRule="auto"/>
        <w:rPr>
          <w:sz w:val="20"/>
          <w:szCs w:val="20"/>
        </w:rPr>
      </w:pPr>
      <w:r w:rsidRPr="00F91404">
        <w:rPr>
          <w:sz w:val="20"/>
          <w:szCs w:val="20"/>
        </w:rPr>
        <w:t>Across benchmark countries, governance maturity is characterised by the presence of binding strategic anchors, clear institutional leadership and formal coordination mechanisms, which together provide the stability and delivery capacity required for hydrogen markets to progress beyond pilots.</w:t>
      </w:r>
    </w:p>
    <w:p w14:paraId="6DE22A82" w14:textId="77777777" w:rsidR="00B30B09" w:rsidRPr="00F91404" w:rsidRDefault="00B30B09" w:rsidP="00497BAC">
      <w:pPr>
        <w:suppressAutoHyphens/>
        <w:spacing w:after="120" w:line="276" w:lineRule="auto"/>
        <w:rPr>
          <w:sz w:val="20"/>
          <w:szCs w:val="20"/>
        </w:rPr>
      </w:pPr>
    </w:p>
    <w:p w14:paraId="199D9FD4" w14:textId="10A919A3" w:rsidR="00C913F6" w:rsidRPr="00F91404" w:rsidRDefault="00331DB3" w:rsidP="008D5DDD">
      <w:pPr>
        <w:pStyle w:val="ListParagraph"/>
        <w:numPr>
          <w:ilvl w:val="0"/>
          <w:numId w:val="20"/>
        </w:numPr>
        <w:suppressAutoHyphens/>
        <w:spacing w:after="120" w:line="276" w:lineRule="auto"/>
        <w:rPr>
          <w:sz w:val="20"/>
          <w:szCs w:val="20"/>
        </w:rPr>
      </w:pPr>
      <w:r w:rsidRPr="00F91404">
        <w:rPr>
          <w:rFonts w:asciiTheme="majorHAnsi" w:hAnsiTheme="majorHAnsi" w:cstheme="majorHAnsi"/>
          <w:b/>
          <w:color w:val="002060"/>
          <w:sz w:val="20"/>
          <w:szCs w:val="20"/>
        </w:rPr>
        <w:t>Strategic Anchoring and Policy Coherence:</w:t>
      </w:r>
      <w:r w:rsidRPr="00F91404">
        <w:rPr>
          <w:b/>
          <w:color w:val="002060"/>
          <w:sz w:val="18"/>
          <w:szCs w:val="18"/>
        </w:rPr>
        <w:t xml:space="preserve"> </w:t>
      </w:r>
      <w:r w:rsidRPr="00F91404">
        <w:rPr>
          <w:sz w:val="20"/>
          <w:szCs w:val="20"/>
        </w:rPr>
        <w:t>Countries that scale hydrogen anchor it in binding national strategies and embed it across energy, climate, and industrial policy, creating institutional coherence and priority-setting.</w:t>
      </w:r>
    </w:p>
    <w:p w14:paraId="01076D14" w14:textId="77777777" w:rsidR="00B30B09" w:rsidRPr="00F91404" w:rsidRDefault="00B30B09" w:rsidP="00B30B09">
      <w:pPr>
        <w:pStyle w:val="ListParagraph"/>
        <w:suppressAutoHyphens/>
        <w:spacing w:after="120" w:line="276" w:lineRule="auto"/>
        <w:ind w:left="417"/>
        <w:rPr>
          <w:sz w:val="20"/>
          <w:szCs w:val="20"/>
        </w:rPr>
      </w:pPr>
    </w:p>
    <w:p w14:paraId="4E949460" w14:textId="4D6A4E63" w:rsidR="00D86AB2" w:rsidRPr="00F91404" w:rsidRDefault="00D86AB2" w:rsidP="008D5DDD">
      <w:pPr>
        <w:pStyle w:val="ListParagraph"/>
        <w:numPr>
          <w:ilvl w:val="0"/>
          <w:numId w:val="11"/>
        </w:numPr>
        <w:suppressAutoHyphens/>
        <w:spacing w:after="120" w:line="276" w:lineRule="auto"/>
        <w:contextualSpacing w:val="0"/>
        <w:rPr>
          <w:sz w:val="20"/>
          <w:szCs w:val="20"/>
        </w:rPr>
      </w:pPr>
      <w:r w:rsidRPr="00F91404">
        <w:rPr>
          <w:b/>
          <w:sz w:val="20"/>
          <w:szCs w:val="20"/>
        </w:rPr>
        <w:t>Binding strategies create institutional consistency and durability</w:t>
      </w:r>
      <w:r w:rsidRPr="00F91404">
        <w:rPr>
          <w:sz w:val="20"/>
          <w:szCs w:val="20"/>
        </w:rPr>
        <w:t>: Where strategies are embedded in policy cycles, mandates are clearer and more stable (e.g., Germany) than in mission-based or evolving setups (e.g., India).</w:t>
      </w:r>
    </w:p>
    <w:p w14:paraId="6F911B9D" w14:textId="6543F88F" w:rsidR="00D86AB2" w:rsidRPr="00F91404" w:rsidRDefault="00D86AB2" w:rsidP="008D5DDD">
      <w:pPr>
        <w:pStyle w:val="ListParagraph"/>
        <w:numPr>
          <w:ilvl w:val="0"/>
          <w:numId w:val="11"/>
        </w:numPr>
        <w:suppressAutoHyphens/>
        <w:spacing w:after="120" w:line="276" w:lineRule="auto"/>
        <w:contextualSpacing w:val="0"/>
        <w:rPr>
          <w:sz w:val="20"/>
          <w:szCs w:val="20"/>
        </w:rPr>
      </w:pPr>
      <w:r w:rsidRPr="00F91404">
        <w:rPr>
          <w:b/>
          <w:sz w:val="20"/>
          <w:szCs w:val="20"/>
        </w:rPr>
        <w:t>Deep policy integration separates scaling markets from pilot markets</w:t>
      </w:r>
      <w:r w:rsidRPr="00F91404">
        <w:rPr>
          <w:sz w:val="20"/>
          <w:szCs w:val="20"/>
        </w:rPr>
        <w:t>: Hydrogen is embedded across energy, climate, and industrial policy in mature systems (e.g., UK, Germany) but referenced selectively in early-stage ones (e.g., Colombia, Peru).</w:t>
      </w:r>
    </w:p>
    <w:p w14:paraId="3B58EF97" w14:textId="03887B6E" w:rsidR="00C913F6" w:rsidRPr="00F91404" w:rsidRDefault="00C913F6" w:rsidP="008D5DDD">
      <w:pPr>
        <w:pStyle w:val="ListParagraph"/>
        <w:numPr>
          <w:ilvl w:val="0"/>
          <w:numId w:val="11"/>
        </w:numPr>
        <w:suppressAutoHyphens/>
        <w:spacing w:after="120" w:line="276" w:lineRule="auto"/>
        <w:contextualSpacing w:val="0"/>
        <w:rPr>
          <w:sz w:val="20"/>
          <w:szCs w:val="20"/>
        </w:rPr>
      </w:pPr>
      <w:r w:rsidRPr="00F91404">
        <w:rPr>
          <w:b/>
          <w:sz w:val="20"/>
          <w:szCs w:val="20"/>
        </w:rPr>
        <w:t>National hydrogen strategies anchor institutional alignment across government</w:t>
      </w:r>
      <w:r w:rsidR="00FC2DB3" w:rsidRPr="00F91404">
        <w:rPr>
          <w:sz w:val="20"/>
          <w:szCs w:val="20"/>
        </w:rPr>
        <w:t xml:space="preserve">: </w:t>
      </w:r>
      <w:r w:rsidRPr="00F91404">
        <w:rPr>
          <w:sz w:val="20"/>
          <w:szCs w:val="20"/>
        </w:rPr>
        <w:t xml:space="preserve">In all countries, strategies </w:t>
      </w:r>
      <w:r w:rsidR="00FC2DB3" w:rsidRPr="00F91404">
        <w:rPr>
          <w:sz w:val="20"/>
          <w:szCs w:val="20"/>
        </w:rPr>
        <w:t>organize</w:t>
      </w:r>
      <w:r w:rsidRPr="00F91404">
        <w:rPr>
          <w:sz w:val="20"/>
          <w:szCs w:val="20"/>
        </w:rPr>
        <w:t xml:space="preserve"> action; in mature systems they are binding (e.g., Germany, UK) while in early-stage markets they mainly signal intent (e.g., Peru).</w:t>
      </w:r>
    </w:p>
    <w:p w14:paraId="175FE80F" w14:textId="77777777" w:rsidR="00B30B09" w:rsidRPr="00F91404" w:rsidRDefault="00B30B09" w:rsidP="00B30B09">
      <w:pPr>
        <w:pStyle w:val="ListParagraph"/>
        <w:suppressAutoHyphens/>
        <w:spacing w:after="120" w:line="276" w:lineRule="auto"/>
        <w:ind w:left="777"/>
        <w:contextualSpacing w:val="0"/>
        <w:rPr>
          <w:sz w:val="20"/>
          <w:szCs w:val="20"/>
        </w:rPr>
      </w:pPr>
    </w:p>
    <w:p w14:paraId="6B3484B1" w14:textId="22122E2A" w:rsidR="00C913F6" w:rsidRPr="00F91404" w:rsidRDefault="00C913F6" w:rsidP="008D5DDD">
      <w:pPr>
        <w:pStyle w:val="ListParagraph"/>
        <w:numPr>
          <w:ilvl w:val="0"/>
          <w:numId w:val="20"/>
        </w:numPr>
        <w:suppressAutoHyphens/>
        <w:spacing w:after="120" w:line="276" w:lineRule="auto"/>
        <w:rPr>
          <w:sz w:val="20"/>
          <w:szCs w:val="20"/>
        </w:rPr>
      </w:pPr>
      <w:r w:rsidRPr="00F91404">
        <w:rPr>
          <w:b/>
          <w:color w:val="002060"/>
          <w:sz w:val="20"/>
          <w:szCs w:val="20"/>
        </w:rPr>
        <w:t>Institutional Leadership and Delivery Capacity</w:t>
      </w:r>
      <w:r w:rsidR="00072FCB" w:rsidRPr="00F91404">
        <w:rPr>
          <w:color w:val="002060"/>
          <w:sz w:val="20"/>
          <w:szCs w:val="20"/>
        </w:rPr>
        <w:t>:</w:t>
      </w:r>
      <w:r w:rsidR="00BA45AC" w:rsidRPr="00F91404">
        <w:rPr>
          <w:color w:val="002060"/>
          <w:sz w:val="20"/>
          <w:szCs w:val="20"/>
        </w:rPr>
        <w:t xml:space="preserve"> </w:t>
      </w:r>
      <w:r w:rsidR="00BA45AC" w:rsidRPr="00F91404">
        <w:rPr>
          <w:sz w:val="20"/>
          <w:szCs w:val="20"/>
        </w:rPr>
        <w:t>Scaling markets combine clear leadership with formal coordination and monitoring mechanisms; early-stage markets remain constrained by diffuse mandates and weak delivery capacity.</w:t>
      </w:r>
    </w:p>
    <w:p w14:paraId="13E47831" w14:textId="77777777" w:rsidR="00B30B09" w:rsidRPr="00F91404" w:rsidRDefault="00B30B09" w:rsidP="00B30B09">
      <w:pPr>
        <w:pStyle w:val="ListParagraph"/>
        <w:suppressAutoHyphens/>
        <w:spacing w:after="120" w:line="276" w:lineRule="auto"/>
        <w:ind w:left="417"/>
        <w:rPr>
          <w:sz w:val="20"/>
          <w:szCs w:val="20"/>
        </w:rPr>
      </w:pPr>
    </w:p>
    <w:p w14:paraId="29527E41" w14:textId="400A38A7" w:rsidR="003027EE" w:rsidRPr="00F91404" w:rsidRDefault="003027EE" w:rsidP="008D5DDD">
      <w:pPr>
        <w:pStyle w:val="ListParagraph"/>
        <w:numPr>
          <w:ilvl w:val="0"/>
          <w:numId w:val="12"/>
        </w:numPr>
        <w:suppressAutoHyphens/>
        <w:spacing w:after="120" w:line="276" w:lineRule="auto"/>
        <w:contextualSpacing w:val="0"/>
        <w:rPr>
          <w:b/>
          <w:sz w:val="20"/>
          <w:szCs w:val="20"/>
        </w:rPr>
      </w:pPr>
      <w:r w:rsidRPr="00F91404">
        <w:rPr>
          <w:b/>
          <w:sz w:val="20"/>
          <w:szCs w:val="20"/>
        </w:rPr>
        <w:t>Hybrid energy–industry leadership dominates in scaling hydrogen markets</w:t>
      </w:r>
      <w:r w:rsidR="00192C2F" w:rsidRPr="00F91404">
        <w:rPr>
          <w:b/>
          <w:sz w:val="20"/>
          <w:szCs w:val="20"/>
        </w:rPr>
        <w:t xml:space="preserve">: </w:t>
      </w:r>
      <w:r w:rsidRPr="00F91404">
        <w:rPr>
          <w:sz w:val="20"/>
          <w:szCs w:val="20"/>
        </w:rPr>
        <w:t>Mature systems span energy and industrial authorities (e.g., Germany, Japan), while early-stage countries rely on energy-only leadership (e.g., Peru, Colombia).</w:t>
      </w:r>
    </w:p>
    <w:p w14:paraId="4AEA3199" w14:textId="76B3D571" w:rsidR="003027EE" w:rsidRPr="00F91404" w:rsidRDefault="003027EE" w:rsidP="008D5DDD">
      <w:pPr>
        <w:pStyle w:val="ListParagraph"/>
        <w:numPr>
          <w:ilvl w:val="0"/>
          <w:numId w:val="12"/>
        </w:numPr>
        <w:suppressAutoHyphens/>
        <w:spacing w:after="120" w:line="276" w:lineRule="auto"/>
        <w:contextualSpacing w:val="0"/>
        <w:rPr>
          <w:b/>
          <w:sz w:val="20"/>
          <w:szCs w:val="20"/>
        </w:rPr>
      </w:pPr>
      <w:r w:rsidRPr="00F91404">
        <w:rPr>
          <w:b/>
          <w:sz w:val="20"/>
          <w:szCs w:val="20"/>
        </w:rPr>
        <w:t>Formal coordination mechanisms distinguish mature from developing governance</w:t>
      </w:r>
      <w:r w:rsidR="00192C2F" w:rsidRPr="00F91404">
        <w:rPr>
          <w:b/>
          <w:sz w:val="20"/>
          <w:szCs w:val="20"/>
        </w:rPr>
        <w:t xml:space="preserve">: </w:t>
      </w:r>
      <w:r w:rsidRPr="00F91404">
        <w:rPr>
          <w:sz w:val="20"/>
          <w:szCs w:val="20"/>
        </w:rPr>
        <w:t>Established markets use formal cross-ministerial coordination (e.g., Germany, UK), while early-stage systems depend on informal or project-based coordination (e.g., Peru).</w:t>
      </w:r>
    </w:p>
    <w:p w14:paraId="78FC3E67" w14:textId="3CB97ABD" w:rsidR="00072FCB" w:rsidRPr="00F91404" w:rsidRDefault="003027EE" w:rsidP="008D5DDD">
      <w:pPr>
        <w:pStyle w:val="ListParagraph"/>
        <w:numPr>
          <w:ilvl w:val="0"/>
          <w:numId w:val="12"/>
        </w:numPr>
        <w:suppressAutoHyphens/>
        <w:spacing w:after="120" w:line="276" w:lineRule="auto"/>
        <w:contextualSpacing w:val="0"/>
        <w:rPr>
          <w:sz w:val="20"/>
          <w:szCs w:val="20"/>
        </w:rPr>
      </w:pPr>
      <w:r w:rsidRPr="00F91404">
        <w:rPr>
          <w:b/>
          <w:sz w:val="20"/>
          <w:szCs w:val="20"/>
        </w:rPr>
        <w:t>Monitoring and evaluation capacity increases with governance maturity</w:t>
      </w:r>
      <w:r w:rsidR="00192C2F" w:rsidRPr="00F91404">
        <w:rPr>
          <w:b/>
          <w:sz w:val="20"/>
          <w:szCs w:val="20"/>
        </w:rPr>
        <w:t xml:space="preserve">: </w:t>
      </w:r>
      <w:r w:rsidRPr="00F91404">
        <w:rPr>
          <w:sz w:val="20"/>
          <w:szCs w:val="20"/>
        </w:rPr>
        <w:t>Structured tracking frameworks exist in mature markets (e.g., Germany), whereas early-stage systems show limited or no systematic monitoring (e.g., Peru).</w:t>
      </w:r>
    </w:p>
    <w:p w14:paraId="25483AB8" w14:textId="77777777" w:rsidR="00B30B09" w:rsidRPr="00F91404" w:rsidRDefault="00B30B09" w:rsidP="00B30B09">
      <w:pPr>
        <w:pStyle w:val="ListParagraph"/>
        <w:suppressAutoHyphens/>
        <w:spacing w:after="120" w:line="276" w:lineRule="auto"/>
        <w:contextualSpacing w:val="0"/>
        <w:rPr>
          <w:sz w:val="20"/>
          <w:szCs w:val="20"/>
        </w:rPr>
      </w:pPr>
    </w:p>
    <w:p w14:paraId="53669A96" w14:textId="69A42379" w:rsidR="00C913F6" w:rsidRPr="00F91404" w:rsidRDefault="00D5439F" w:rsidP="008D5DDD">
      <w:pPr>
        <w:pStyle w:val="ListParagraph"/>
        <w:numPr>
          <w:ilvl w:val="0"/>
          <w:numId w:val="20"/>
        </w:numPr>
        <w:suppressAutoHyphens/>
        <w:spacing w:after="120" w:line="276" w:lineRule="auto"/>
        <w:rPr>
          <w:sz w:val="20"/>
          <w:szCs w:val="20"/>
        </w:rPr>
      </w:pPr>
      <w:r w:rsidRPr="00F91404">
        <w:rPr>
          <w:b/>
          <w:color w:val="002060"/>
          <w:sz w:val="20"/>
          <w:szCs w:val="20"/>
        </w:rPr>
        <w:t xml:space="preserve">Market Engagement and External Alignment: </w:t>
      </w:r>
      <w:r w:rsidR="00DF609B" w:rsidRPr="00F91404">
        <w:rPr>
          <w:sz w:val="20"/>
          <w:szCs w:val="20"/>
        </w:rPr>
        <w:t>As hydrogen markets mature, governance shifts from consultation and pilots toward institutionalised engagement with industry and structured international cooperation</w:t>
      </w:r>
      <w:r w:rsidR="00B30B09" w:rsidRPr="00F91404">
        <w:rPr>
          <w:sz w:val="20"/>
          <w:szCs w:val="20"/>
        </w:rPr>
        <w:t>.</w:t>
      </w:r>
    </w:p>
    <w:p w14:paraId="4C95C012" w14:textId="77777777" w:rsidR="00B30B09" w:rsidRPr="00F91404" w:rsidRDefault="00B30B09" w:rsidP="00B30B09">
      <w:pPr>
        <w:pStyle w:val="ListParagraph"/>
        <w:suppressAutoHyphens/>
        <w:spacing w:after="120" w:line="276" w:lineRule="auto"/>
        <w:ind w:left="417"/>
        <w:rPr>
          <w:sz w:val="20"/>
          <w:szCs w:val="20"/>
        </w:rPr>
      </w:pPr>
    </w:p>
    <w:p w14:paraId="18C15423" w14:textId="69D161A7" w:rsidR="00083C00" w:rsidRPr="00F91404" w:rsidRDefault="00083C00" w:rsidP="008D5DDD">
      <w:pPr>
        <w:pStyle w:val="ListParagraph"/>
        <w:numPr>
          <w:ilvl w:val="0"/>
          <w:numId w:val="13"/>
        </w:numPr>
        <w:suppressAutoHyphens/>
        <w:spacing w:after="120" w:line="276" w:lineRule="auto"/>
        <w:contextualSpacing w:val="0"/>
        <w:rPr>
          <w:sz w:val="20"/>
          <w:szCs w:val="20"/>
        </w:rPr>
      </w:pPr>
      <w:r w:rsidRPr="00F91404">
        <w:rPr>
          <w:b/>
          <w:sz w:val="20"/>
          <w:szCs w:val="20"/>
        </w:rPr>
        <w:t>Stakeholder engagement evolves from consultation to institutionalized participation</w:t>
      </w:r>
      <w:r w:rsidRPr="00F91404">
        <w:rPr>
          <w:sz w:val="20"/>
          <w:szCs w:val="20"/>
        </w:rPr>
        <w:t>: Early-stage systems focus on pilots and consultations (e.g., Chile, Peru), while mature markets sustain ongoing engagement with industry and research (e.g., Germany, Netherlands).</w:t>
      </w:r>
    </w:p>
    <w:p w14:paraId="7718A59A" w14:textId="690874A1" w:rsidR="00D5439F" w:rsidRPr="00F91404" w:rsidRDefault="00083C00" w:rsidP="008D5DDD">
      <w:pPr>
        <w:pStyle w:val="ListParagraph"/>
        <w:numPr>
          <w:ilvl w:val="0"/>
          <w:numId w:val="13"/>
        </w:numPr>
        <w:suppressAutoHyphens/>
        <w:spacing w:after="120" w:line="276" w:lineRule="auto"/>
        <w:contextualSpacing w:val="0"/>
        <w:rPr>
          <w:sz w:val="20"/>
          <w:szCs w:val="20"/>
        </w:rPr>
      </w:pPr>
      <w:r w:rsidRPr="00F91404">
        <w:rPr>
          <w:b/>
          <w:sz w:val="20"/>
          <w:szCs w:val="20"/>
        </w:rPr>
        <w:t>International cooperation is embedded where hydrogen is export-oriented:</w:t>
      </w:r>
      <w:r w:rsidRPr="00F91404">
        <w:rPr>
          <w:sz w:val="20"/>
          <w:szCs w:val="20"/>
        </w:rPr>
        <w:t xml:space="preserve"> Export- and supply-chain-led countries institutionalize cooperation (e.g., Netherlands, Japan), while early-stage markets engage selectively (e.g., Peru).</w:t>
      </w:r>
    </w:p>
    <w:p w14:paraId="74533DB8" w14:textId="77777777" w:rsidR="00D51C50" w:rsidRPr="00F91404" w:rsidRDefault="00D51C50" w:rsidP="00D51C50">
      <w:pPr>
        <w:rPr>
          <w:b/>
          <w:color w:val="004C43" w:themeColor="accent1"/>
          <w:sz w:val="24"/>
          <w:szCs w:val="32"/>
        </w:rPr>
      </w:pPr>
    </w:p>
    <w:p w14:paraId="4F60F88E" w14:textId="5F177F5D" w:rsidR="002B53B9" w:rsidRPr="00F91404" w:rsidRDefault="00B72177" w:rsidP="00D643F2">
      <w:pPr>
        <w:ind w:left="0"/>
        <w:rPr>
          <w:b/>
          <w:color w:val="004C43" w:themeColor="accent1"/>
          <w:sz w:val="24"/>
          <w:szCs w:val="32"/>
        </w:rPr>
      </w:pPr>
      <w:r w:rsidRPr="00F91404">
        <w:rPr>
          <w:b/>
          <w:color w:val="004C43" w:themeColor="accent1"/>
          <w:sz w:val="24"/>
          <w:szCs w:val="32"/>
        </w:rPr>
        <w:t>7</w:t>
      </w:r>
      <w:r w:rsidR="00D643F2" w:rsidRPr="00F91404">
        <w:rPr>
          <w:b/>
          <w:color w:val="004C43" w:themeColor="accent1"/>
          <w:sz w:val="24"/>
          <w:szCs w:val="32"/>
        </w:rPr>
        <w:t xml:space="preserve">.2 </w:t>
      </w:r>
      <w:r w:rsidR="000E5B04" w:rsidRPr="00F91404">
        <w:rPr>
          <w:b/>
          <w:color w:val="004C43" w:themeColor="accent1"/>
          <w:sz w:val="24"/>
          <w:szCs w:val="32"/>
        </w:rPr>
        <w:t>Legal and Regulatory Foundations</w:t>
      </w:r>
    </w:p>
    <w:p w14:paraId="0F8B13D9" w14:textId="77777777" w:rsidR="00B30B09" w:rsidRPr="00F91404" w:rsidRDefault="00B30B09" w:rsidP="00B30B09">
      <w:pPr>
        <w:spacing w:after="0"/>
        <w:ind w:left="0"/>
        <w:rPr>
          <w:sz w:val="20"/>
          <w:szCs w:val="20"/>
        </w:rPr>
      </w:pPr>
      <w:r w:rsidRPr="00F91404">
        <w:rPr>
          <w:sz w:val="20"/>
          <w:szCs w:val="20"/>
        </w:rPr>
        <w:t>International experience indicates that regulatory certainty for hydrogen emerges progressively, with market development shaped less by the absence of gaps than by whether core regulatory issues affecting safety, permitting and eligibility are sufficiently resolved to support early investment.</w:t>
      </w:r>
    </w:p>
    <w:p w14:paraId="32524F14" w14:textId="77777777" w:rsidR="00B30B09" w:rsidRPr="00F91404" w:rsidRDefault="00B30B09" w:rsidP="00497BAC">
      <w:pPr>
        <w:suppressAutoHyphens/>
        <w:spacing w:line="276" w:lineRule="auto"/>
        <w:ind w:left="0"/>
        <w:rPr>
          <w:b/>
          <w:color w:val="004C43"/>
          <w:sz w:val="20"/>
          <w:szCs w:val="24"/>
        </w:rPr>
      </w:pPr>
    </w:p>
    <w:p w14:paraId="77C9919B" w14:textId="7FB763B8" w:rsidR="002B53B9" w:rsidRPr="00F91404" w:rsidRDefault="005926EC" w:rsidP="008D5DDD">
      <w:pPr>
        <w:pStyle w:val="ListParagraph"/>
        <w:numPr>
          <w:ilvl w:val="0"/>
          <w:numId w:val="21"/>
        </w:numPr>
        <w:suppressAutoHyphens/>
        <w:spacing w:after="0" w:line="276" w:lineRule="auto"/>
        <w:rPr>
          <w:sz w:val="20"/>
          <w:szCs w:val="20"/>
        </w:rPr>
      </w:pPr>
      <w:r w:rsidRPr="00F91404">
        <w:rPr>
          <w:b/>
          <w:color w:val="002060"/>
          <w:sz w:val="20"/>
          <w:szCs w:val="20"/>
        </w:rPr>
        <w:t>Gaps and Investor Risk:</w:t>
      </w:r>
      <w:r w:rsidRPr="00F91404">
        <w:rPr>
          <w:color w:val="002060"/>
          <w:sz w:val="20"/>
          <w:szCs w:val="20"/>
        </w:rPr>
        <w:t xml:space="preserve"> </w:t>
      </w:r>
      <w:r w:rsidRPr="00F91404">
        <w:rPr>
          <w:sz w:val="20"/>
          <w:szCs w:val="20"/>
        </w:rPr>
        <w:t>The differentiator across countries is not gaps, but how material they are.</w:t>
      </w:r>
    </w:p>
    <w:p w14:paraId="6A61690F" w14:textId="77777777" w:rsidR="00B30B09" w:rsidRPr="00F91404" w:rsidRDefault="00B30B09" w:rsidP="00B30B09">
      <w:pPr>
        <w:pStyle w:val="ListParagraph"/>
        <w:suppressAutoHyphens/>
        <w:spacing w:line="276" w:lineRule="auto"/>
        <w:rPr>
          <w:sz w:val="20"/>
          <w:szCs w:val="24"/>
        </w:rPr>
      </w:pPr>
    </w:p>
    <w:p w14:paraId="250C5202" w14:textId="746E42E8" w:rsidR="00685505" w:rsidRPr="00F91404" w:rsidRDefault="00685505" w:rsidP="008D5DDD">
      <w:pPr>
        <w:pStyle w:val="ListParagraph"/>
        <w:numPr>
          <w:ilvl w:val="0"/>
          <w:numId w:val="14"/>
        </w:numPr>
        <w:suppressAutoHyphens/>
        <w:spacing w:after="120" w:line="276" w:lineRule="auto"/>
        <w:ind w:hanging="357"/>
        <w:contextualSpacing w:val="0"/>
        <w:rPr>
          <w:sz w:val="20"/>
          <w:szCs w:val="24"/>
        </w:rPr>
      </w:pPr>
      <w:r w:rsidRPr="00F91404">
        <w:rPr>
          <w:b/>
          <w:sz w:val="20"/>
          <w:szCs w:val="24"/>
        </w:rPr>
        <w:t>All markets retain gaps, even regulatory leaders:</w:t>
      </w:r>
      <w:r w:rsidRPr="00F91404">
        <w:rPr>
          <w:sz w:val="20"/>
          <w:szCs w:val="24"/>
        </w:rPr>
        <w:t xml:space="preserve"> Advanced jurisdictions still face unresolved issues around scaling and system integration (e.g., UK, Germany).</w:t>
      </w:r>
    </w:p>
    <w:p w14:paraId="64B2E866" w14:textId="65B107EA" w:rsidR="00685505" w:rsidRPr="00F91404" w:rsidRDefault="00685505" w:rsidP="008D5DDD">
      <w:pPr>
        <w:pStyle w:val="ListParagraph"/>
        <w:numPr>
          <w:ilvl w:val="0"/>
          <w:numId w:val="14"/>
        </w:numPr>
        <w:suppressAutoHyphens/>
        <w:spacing w:after="120" w:line="276" w:lineRule="auto"/>
        <w:ind w:hanging="357"/>
        <w:contextualSpacing w:val="0"/>
        <w:rPr>
          <w:sz w:val="20"/>
          <w:szCs w:val="24"/>
        </w:rPr>
      </w:pPr>
      <w:r w:rsidRPr="00F91404">
        <w:rPr>
          <w:b/>
          <w:sz w:val="20"/>
          <w:szCs w:val="24"/>
        </w:rPr>
        <w:t>Early-stage markets face structural regulatory uncertainty:</w:t>
      </w:r>
      <w:r w:rsidRPr="00F91404">
        <w:rPr>
          <w:sz w:val="20"/>
          <w:szCs w:val="24"/>
        </w:rPr>
        <w:t xml:space="preserve"> Missing safety, permitting, and certification frameworks raise project risk and delays (e.g., Peru, Colombia).</w:t>
      </w:r>
    </w:p>
    <w:p w14:paraId="3E8A6A72" w14:textId="621899C9" w:rsidR="00685505" w:rsidRPr="00F91404" w:rsidRDefault="00685505" w:rsidP="008D5DDD">
      <w:pPr>
        <w:pStyle w:val="ListParagraph"/>
        <w:numPr>
          <w:ilvl w:val="0"/>
          <w:numId w:val="14"/>
        </w:numPr>
        <w:suppressAutoHyphens/>
        <w:spacing w:after="120" w:line="276" w:lineRule="auto"/>
        <w:ind w:hanging="357"/>
        <w:contextualSpacing w:val="0"/>
        <w:rPr>
          <w:sz w:val="20"/>
          <w:szCs w:val="24"/>
        </w:rPr>
      </w:pPr>
      <w:r w:rsidRPr="00F91404">
        <w:rPr>
          <w:b/>
          <w:sz w:val="20"/>
          <w:szCs w:val="24"/>
        </w:rPr>
        <w:t>Regulatory clarity improves through iteration, not upfront design:</w:t>
      </w:r>
      <w:r w:rsidRPr="00F91404">
        <w:rPr>
          <w:sz w:val="20"/>
          <w:szCs w:val="24"/>
        </w:rPr>
        <w:t xml:space="preserve"> Countries refine rules progressively as projects advance and risks become clearer (e.g., India, Australia).</w:t>
      </w:r>
    </w:p>
    <w:p w14:paraId="0898F24C" w14:textId="77777777" w:rsidR="00B30B09" w:rsidRPr="00F91404" w:rsidRDefault="00B30B09" w:rsidP="00B30B09">
      <w:pPr>
        <w:pStyle w:val="ListParagraph"/>
        <w:suppressAutoHyphens/>
        <w:spacing w:after="120" w:line="276" w:lineRule="auto"/>
        <w:ind w:left="777"/>
        <w:contextualSpacing w:val="0"/>
        <w:rPr>
          <w:sz w:val="20"/>
          <w:szCs w:val="24"/>
        </w:rPr>
      </w:pPr>
    </w:p>
    <w:p w14:paraId="0582B785" w14:textId="43280613" w:rsidR="00320A45" w:rsidRPr="00F91404" w:rsidRDefault="00320A45" w:rsidP="008D5DDD">
      <w:pPr>
        <w:pStyle w:val="ListParagraph"/>
        <w:numPr>
          <w:ilvl w:val="0"/>
          <w:numId w:val="21"/>
        </w:numPr>
        <w:suppressAutoHyphens/>
        <w:spacing w:after="0" w:line="276" w:lineRule="auto"/>
        <w:rPr>
          <w:b/>
          <w:sz w:val="20"/>
          <w:szCs w:val="24"/>
        </w:rPr>
      </w:pPr>
      <w:r w:rsidRPr="00F91404">
        <w:rPr>
          <w:b/>
          <w:color w:val="002060"/>
          <w:sz w:val="20"/>
          <w:szCs w:val="24"/>
        </w:rPr>
        <w:t xml:space="preserve">Regulatory Sequencing and Market Maturity: </w:t>
      </w:r>
      <w:r w:rsidRPr="00F91404">
        <w:rPr>
          <w:sz w:val="20"/>
          <w:szCs w:val="24"/>
        </w:rPr>
        <w:t>Hydrogen regulation evolves sequentially, tightening only as markets move from pilots to scale.</w:t>
      </w:r>
    </w:p>
    <w:p w14:paraId="641333C6" w14:textId="77777777" w:rsidR="00B30B09" w:rsidRPr="00F91404" w:rsidRDefault="00B30B09" w:rsidP="00B30B09">
      <w:pPr>
        <w:pStyle w:val="ListParagraph"/>
        <w:suppressAutoHyphens/>
        <w:spacing w:after="120" w:line="276" w:lineRule="auto"/>
        <w:rPr>
          <w:b/>
          <w:sz w:val="20"/>
          <w:szCs w:val="24"/>
        </w:rPr>
      </w:pPr>
    </w:p>
    <w:p w14:paraId="7DDBC114" w14:textId="77777777" w:rsidR="001D749E" w:rsidRPr="00F91404" w:rsidRDefault="00320A45" w:rsidP="008D5DDD">
      <w:pPr>
        <w:numPr>
          <w:ilvl w:val="0"/>
          <w:numId w:val="16"/>
        </w:numPr>
        <w:suppressAutoHyphens/>
        <w:spacing w:after="120" w:line="276" w:lineRule="auto"/>
        <w:rPr>
          <w:sz w:val="20"/>
          <w:szCs w:val="24"/>
        </w:rPr>
      </w:pPr>
      <w:r w:rsidRPr="00F91404">
        <w:rPr>
          <w:b/>
          <w:sz w:val="20"/>
          <w:szCs w:val="24"/>
        </w:rPr>
        <w:t>Clear definitions anchor markets before regulation deepens</w:t>
      </w:r>
      <w:r w:rsidR="00D32C96" w:rsidRPr="00F91404">
        <w:rPr>
          <w:sz w:val="20"/>
          <w:szCs w:val="24"/>
        </w:rPr>
        <w:t xml:space="preserve">: </w:t>
      </w:r>
      <w:r w:rsidR="001D749E" w:rsidRPr="00F91404">
        <w:rPr>
          <w:sz w:val="20"/>
          <w:szCs w:val="24"/>
        </w:rPr>
        <w:t>Countries first define emissions thresholds, renewable electricity sourcing, and accounting rules, then apply them across support schemes and certification</w:t>
      </w:r>
    </w:p>
    <w:p w14:paraId="29EADD77" w14:textId="77777777" w:rsidR="00320A45" w:rsidRPr="00F91404" w:rsidRDefault="00320A45" w:rsidP="008D5DDD">
      <w:pPr>
        <w:numPr>
          <w:ilvl w:val="0"/>
          <w:numId w:val="16"/>
        </w:numPr>
        <w:suppressAutoHyphens/>
        <w:spacing w:after="120" w:line="276" w:lineRule="auto"/>
        <w:rPr>
          <w:sz w:val="20"/>
          <w:szCs w:val="24"/>
        </w:rPr>
      </w:pPr>
      <w:r w:rsidRPr="00F91404">
        <w:rPr>
          <w:b/>
          <w:sz w:val="20"/>
          <w:szCs w:val="24"/>
        </w:rPr>
        <w:t>Embedded regulation dominates early and mid-stage markets</w:t>
      </w:r>
      <w:r w:rsidRPr="00F91404">
        <w:rPr>
          <w:sz w:val="20"/>
          <w:szCs w:val="24"/>
        </w:rPr>
        <w:br/>
        <w:t>Most countries adapt existing energy and industrial laws before considering hydrogen-specific frameworks (e.g., Germany, Netherlands, UK).</w:t>
      </w:r>
    </w:p>
    <w:p w14:paraId="323EEA36" w14:textId="77777777" w:rsidR="00320A45" w:rsidRPr="00F91404" w:rsidRDefault="00320A45" w:rsidP="008D5DDD">
      <w:pPr>
        <w:numPr>
          <w:ilvl w:val="0"/>
          <w:numId w:val="16"/>
        </w:numPr>
        <w:suppressAutoHyphens/>
        <w:spacing w:after="120" w:line="276" w:lineRule="auto"/>
        <w:rPr>
          <w:sz w:val="20"/>
          <w:szCs w:val="20"/>
        </w:rPr>
      </w:pPr>
      <w:r w:rsidRPr="00F91404">
        <w:rPr>
          <w:b/>
          <w:sz w:val="20"/>
          <w:szCs w:val="20"/>
        </w:rPr>
        <w:t>Dedicated hydrogen laws appear only at advanced scale</w:t>
      </w:r>
      <w:r w:rsidRPr="00F91404">
        <w:br/>
      </w:r>
      <w:r w:rsidRPr="00F91404">
        <w:rPr>
          <w:sz w:val="20"/>
          <w:szCs w:val="20"/>
        </w:rPr>
        <w:t>Standalone hydrogen legislation emerges later, reflecting complexity rather than enabling early deployment (e.g., South Korea).</w:t>
      </w:r>
    </w:p>
    <w:p w14:paraId="59D2B76D" w14:textId="77777777" w:rsidR="005926EC" w:rsidRPr="00F91404" w:rsidRDefault="005926EC" w:rsidP="00497BAC">
      <w:pPr>
        <w:spacing w:line="276" w:lineRule="auto"/>
        <w:ind w:left="0"/>
        <w:rPr>
          <w:b/>
          <w:sz w:val="20"/>
          <w:szCs w:val="24"/>
        </w:rPr>
      </w:pPr>
    </w:p>
    <w:p w14:paraId="4E362245" w14:textId="355DD496" w:rsidR="00033326" w:rsidRPr="00F91404" w:rsidRDefault="00B72177" w:rsidP="00D51C50">
      <w:pPr>
        <w:rPr>
          <w:b/>
        </w:rPr>
      </w:pPr>
      <w:r w:rsidRPr="00F91404">
        <w:rPr>
          <w:b/>
          <w:color w:val="004C43" w:themeColor="accent1"/>
          <w:sz w:val="24"/>
          <w:szCs w:val="32"/>
        </w:rPr>
        <w:t>7</w:t>
      </w:r>
      <w:r w:rsidR="00D643F2" w:rsidRPr="00F91404">
        <w:rPr>
          <w:b/>
          <w:color w:val="004C43" w:themeColor="accent1"/>
          <w:sz w:val="24"/>
          <w:szCs w:val="32"/>
        </w:rPr>
        <w:t xml:space="preserve">.3 </w:t>
      </w:r>
      <w:r w:rsidR="00E861B6" w:rsidRPr="00F91404">
        <w:rPr>
          <w:b/>
          <w:color w:val="004C43" w:themeColor="accent1"/>
          <w:sz w:val="24"/>
          <w:szCs w:val="32"/>
        </w:rPr>
        <w:t>Policy Levers</w:t>
      </w:r>
    </w:p>
    <w:p w14:paraId="40279B5C" w14:textId="20512D39" w:rsidR="00B30B09" w:rsidRPr="00F91404" w:rsidRDefault="00B30B09" w:rsidP="00AF6AEE">
      <w:pPr>
        <w:suppressAutoHyphens/>
        <w:spacing w:after="120"/>
        <w:rPr>
          <w:sz w:val="20"/>
          <w:szCs w:val="24"/>
        </w:rPr>
      </w:pPr>
      <w:r w:rsidRPr="00F91404">
        <w:rPr>
          <w:sz w:val="20"/>
          <w:szCs w:val="24"/>
        </w:rPr>
        <w:t>The benchmarking shows that policy levers influence deployment outcomes primarily through their sequencing and interaction over time, with early-stage instruments enabling entry and learning, and later-stage mechanisms addressing revenue risk, infrastructure coordination and system integration.</w:t>
      </w:r>
    </w:p>
    <w:p w14:paraId="35228DCC" w14:textId="77777777" w:rsidR="00CA5621" w:rsidRPr="00F91404" w:rsidRDefault="00CA5621" w:rsidP="00AF6AEE">
      <w:pPr>
        <w:suppressAutoHyphens/>
        <w:spacing w:after="120"/>
        <w:rPr>
          <w:sz w:val="20"/>
          <w:szCs w:val="24"/>
        </w:rPr>
      </w:pPr>
    </w:p>
    <w:p w14:paraId="6C6D60A9" w14:textId="19766AA0" w:rsidR="00033326" w:rsidRPr="00F91404" w:rsidRDefault="00033326" w:rsidP="008D5DDD">
      <w:pPr>
        <w:pStyle w:val="ListParagraph"/>
        <w:numPr>
          <w:ilvl w:val="0"/>
          <w:numId w:val="22"/>
        </w:numPr>
        <w:suppressAutoHyphens/>
        <w:spacing w:after="120"/>
        <w:rPr>
          <w:b/>
          <w:sz w:val="20"/>
          <w:szCs w:val="20"/>
        </w:rPr>
      </w:pPr>
      <w:r w:rsidRPr="00F91404">
        <w:rPr>
          <w:b/>
          <w:color w:val="002060"/>
          <w:sz w:val="20"/>
          <w:szCs w:val="20"/>
        </w:rPr>
        <w:t>Policy Sequencing and Market Maturity Logic</w:t>
      </w:r>
      <w:r w:rsidR="00AF6AEE" w:rsidRPr="00F91404">
        <w:rPr>
          <w:b/>
          <w:color w:val="002060"/>
          <w:sz w:val="20"/>
          <w:szCs w:val="20"/>
        </w:rPr>
        <w:t xml:space="preserve">: </w:t>
      </w:r>
      <w:r w:rsidR="00AF6AEE" w:rsidRPr="00F91404">
        <w:rPr>
          <w:sz w:val="20"/>
          <w:szCs w:val="20"/>
        </w:rPr>
        <w:t xml:space="preserve">Early-stage policy focuses on </w:t>
      </w:r>
      <w:r w:rsidR="00AF6AEE" w:rsidRPr="00F91404">
        <w:rPr>
          <w:i/>
          <w:sz w:val="20"/>
          <w:szCs w:val="20"/>
        </w:rPr>
        <w:t>enabling entry</w:t>
      </w:r>
      <w:r w:rsidR="00AF6AEE" w:rsidRPr="00F91404">
        <w:rPr>
          <w:sz w:val="20"/>
          <w:szCs w:val="20"/>
        </w:rPr>
        <w:t xml:space="preserve">, while advanced policy focuses on </w:t>
      </w:r>
      <w:r w:rsidR="00AF6AEE" w:rsidRPr="00F91404">
        <w:rPr>
          <w:i/>
          <w:sz w:val="20"/>
          <w:szCs w:val="20"/>
        </w:rPr>
        <w:t>system orchestration</w:t>
      </w:r>
      <w:r w:rsidR="00AF6AEE" w:rsidRPr="00F91404">
        <w:rPr>
          <w:sz w:val="20"/>
          <w:szCs w:val="20"/>
        </w:rPr>
        <w:t>. Misaligned sequencing leads to stalled pilots.</w:t>
      </w:r>
    </w:p>
    <w:p w14:paraId="1B1654AE" w14:textId="77777777" w:rsidR="00033326" w:rsidRPr="00F91404" w:rsidRDefault="00033326" w:rsidP="008D5DDD">
      <w:pPr>
        <w:numPr>
          <w:ilvl w:val="0"/>
          <w:numId w:val="6"/>
        </w:numPr>
        <w:suppressAutoHyphens/>
        <w:spacing w:after="120"/>
        <w:rPr>
          <w:sz w:val="20"/>
          <w:szCs w:val="20"/>
        </w:rPr>
      </w:pPr>
      <w:r w:rsidRPr="00F91404">
        <w:rPr>
          <w:b/>
          <w:sz w:val="20"/>
          <w:szCs w:val="20"/>
        </w:rPr>
        <w:lastRenderedPageBreak/>
        <w:t>Sequencing matters more than any single policy lever:</w:t>
      </w:r>
      <w:r w:rsidRPr="00F91404">
        <w:rPr>
          <w:sz w:val="20"/>
          <w:szCs w:val="20"/>
        </w:rPr>
        <w:t xml:space="preserve"> No single instrument explains success. Outcomes depend on how levers are sequenced as markets evolve from pilots to scale.</w:t>
      </w:r>
    </w:p>
    <w:p w14:paraId="42BB54CD" w14:textId="77777777" w:rsidR="00033326" w:rsidRPr="00F91404" w:rsidRDefault="00033326" w:rsidP="008D5DDD">
      <w:pPr>
        <w:numPr>
          <w:ilvl w:val="0"/>
          <w:numId w:val="6"/>
        </w:numPr>
        <w:suppressAutoHyphens/>
        <w:spacing w:after="120"/>
        <w:rPr>
          <w:sz w:val="20"/>
          <w:szCs w:val="20"/>
        </w:rPr>
      </w:pPr>
      <w:r w:rsidRPr="00F91404">
        <w:rPr>
          <w:b/>
          <w:sz w:val="20"/>
          <w:szCs w:val="20"/>
        </w:rPr>
        <w:t xml:space="preserve">Policy </w:t>
      </w:r>
      <w:proofErr w:type="gramStart"/>
      <w:r w:rsidRPr="00F91404">
        <w:rPr>
          <w:b/>
          <w:sz w:val="20"/>
          <w:szCs w:val="20"/>
        </w:rPr>
        <w:t>mix</w:t>
      </w:r>
      <w:proofErr w:type="gramEnd"/>
      <w:r w:rsidRPr="00F91404">
        <w:rPr>
          <w:b/>
          <w:sz w:val="20"/>
          <w:szCs w:val="20"/>
        </w:rPr>
        <w:t xml:space="preserve"> sophistication increases with market maturity:</w:t>
      </w:r>
      <w:r w:rsidRPr="00F91404">
        <w:rPr>
          <w:sz w:val="20"/>
          <w:szCs w:val="20"/>
        </w:rPr>
        <w:t xml:space="preserve"> Early-stage countries rely on isolated levers, while mature markets deploy coordinated policy packages that evolve with scale (e.g., Peru vs. Germany).</w:t>
      </w:r>
    </w:p>
    <w:p w14:paraId="27B12227" w14:textId="77777777" w:rsidR="00033326" w:rsidRPr="00F91404" w:rsidRDefault="00033326" w:rsidP="008D5DDD">
      <w:pPr>
        <w:numPr>
          <w:ilvl w:val="0"/>
          <w:numId w:val="6"/>
        </w:numPr>
        <w:suppressAutoHyphens/>
        <w:spacing w:after="120"/>
        <w:rPr>
          <w:sz w:val="20"/>
          <w:szCs w:val="20"/>
        </w:rPr>
      </w:pPr>
      <w:r w:rsidRPr="00F91404">
        <w:rPr>
          <w:b/>
          <w:sz w:val="20"/>
          <w:szCs w:val="20"/>
        </w:rPr>
        <w:t>Fiscal and tax incentives are entry tools, not scale drivers:</w:t>
      </w:r>
      <w:r w:rsidRPr="00F91404">
        <w:rPr>
          <w:sz w:val="20"/>
          <w:szCs w:val="20"/>
        </w:rPr>
        <w:t xml:space="preserve"> Fiscal incentives primarily support early experimentation and learning, but do not unlock large-scale investment on their own (e.g., Colombia, Peru).</w:t>
      </w:r>
    </w:p>
    <w:p w14:paraId="5FC15633" w14:textId="77777777" w:rsidR="00B30B09" w:rsidRPr="00F91404" w:rsidRDefault="00B30B09" w:rsidP="00B30B09">
      <w:pPr>
        <w:suppressAutoHyphens/>
        <w:spacing w:after="120"/>
        <w:ind w:left="720"/>
        <w:rPr>
          <w:sz w:val="20"/>
          <w:szCs w:val="20"/>
        </w:rPr>
      </w:pPr>
    </w:p>
    <w:p w14:paraId="522DBF49" w14:textId="1E3759D9" w:rsidR="00033326" w:rsidRPr="00F91404" w:rsidRDefault="00033326" w:rsidP="008D5DDD">
      <w:pPr>
        <w:pStyle w:val="ListParagraph"/>
        <w:numPr>
          <w:ilvl w:val="0"/>
          <w:numId w:val="22"/>
        </w:numPr>
        <w:suppressAutoHyphens/>
        <w:spacing w:after="120"/>
        <w:rPr>
          <w:b/>
          <w:sz w:val="20"/>
          <w:szCs w:val="20"/>
        </w:rPr>
      </w:pPr>
      <w:r w:rsidRPr="00F91404">
        <w:rPr>
          <w:b/>
          <w:color w:val="002060"/>
          <w:sz w:val="20"/>
          <w:szCs w:val="20"/>
        </w:rPr>
        <w:t>Risk Allocation and Market Creation Mechanisms</w:t>
      </w:r>
      <w:r w:rsidR="00AF6AEE" w:rsidRPr="00F91404">
        <w:rPr>
          <w:color w:val="002060"/>
          <w:sz w:val="20"/>
          <w:szCs w:val="20"/>
        </w:rPr>
        <w:t xml:space="preserve">: </w:t>
      </w:r>
      <w:r w:rsidR="00AF6AEE" w:rsidRPr="00F91404">
        <w:rPr>
          <w:sz w:val="20"/>
          <w:szCs w:val="20"/>
        </w:rPr>
        <w:t>Hydrogen does not scale until someone absorbs market risk. Countries choose different risk anchors, but all successful ones make that choice explicit.</w:t>
      </w:r>
    </w:p>
    <w:p w14:paraId="4B776840" w14:textId="4D8589A2" w:rsidR="00033326" w:rsidRPr="00F91404" w:rsidRDefault="00033326" w:rsidP="008D5DDD">
      <w:pPr>
        <w:numPr>
          <w:ilvl w:val="0"/>
          <w:numId w:val="7"/>
        </w:numPr>
        <w:suppressAutoHyphens/>
        <w:spacing w:after="120"/>
        <w:rPr>
          <w:sz w:val="20"/>
          <w:szCs w:val="20"/>
        </w:rPr>
      </w:pPr>
      <w:r w:rsidRPr="00F91404">
        <w:rPr>
          <w:b/>
          <w:sz w:val="20"/>
          <w:szCs w:val="20"/>
        </w:rPr>
        <w:t>Revenue support mechanisms separate pilot markets from scaling markets:</w:t>
      </w:r>
      <w:r w:rsidRPr="00F91404">
        <w:rPr>
          <w:sz w:val="20"/>
          <w:szCs w:val="20"/>
        </w:rPr>
        <w:t xml:space="preserve"> Countries that move beyond pilots consistently introduce revenue </w:t>
      </w:r>
      <w:r w:rsidR="00AF6AEE" w:rsidRPr="00F91404">
        <w:rPr>
          <w:sz w:val="20"/>
          <w:szCs w:val="20"/>
        </w:rPr>
        <w:t>stabilization</w:t>
      </w:r>
      <w:r w:rsidRPr="00F91404">
        <w:rPr>
          <w:sz w:val="20"/>
          <w:szCs w:val="20"/>
        </w:rPr>
        <w:t xml:space="preserve"> mechanisms to close the cost gap and enable bankability (e.g., Germany, UK vs. Chile).</w:t>
      </w:r>
    </w:p>
    <w:p w14:paraId="3EE74F0B" w14:textId="6031DD7B" w:rsidR="00033326" w:rsidRPr="00F91404" w:rsidRDefault="00033326" w:rsidP="008D5DDD">
      <w:pPr>
        <w:numPr>
          <w:ilvl w:val="0"/>
          <w:numId w:val="7"/>
        </w:numPr>
        <w:suppressAutoHyphens/>
        <w:spacing w:after="120"/>
        <w:rPr>
          <w:sz w:val="20"/>
          <w:szCs w:val="20"/>
        </w:rPr>
      </w:pPr>
      <w:r w:rsidRPr="00F91404">
        <w:rPr>
          <w:b/>
          <w:sz w:val="20"/>
          <w:szCs w:val="20"/>
        </w:rPr>
        <w:t xml:space="preserve">Advanced markets explicitly </w:t>
      </w:r>
      <w:r w:rsidR="00AF6AEE" w:rsidRPr="00F91404">
        <w:rPr>
          <w:b/>
          <w:sz w:val="20"/>
          <w:szCs w:val="20"/>
        </w:rPr>
        <w:t>socialize</w:t>
      </w:r>
      <w:r w:rsidRPr="00F91404">
        <w:rPr>
          <w:b/>
          <w:sz w:val="20"/>
          <w:szCs w:val="20"/>
        </w:rPr>
        <w:t xml:space="preserve"> price and demand risk:</w:t>
      </w:r>
      <w:r w:rsidRPr="00F91404">
        <w:rPr>
          <w:sz w:val="20"/>
          <w:szCs w:val="20"/>
        </w:rPr>
        <w:t xml:space="preserve"> In mature ecosystems, governments absorb early market risk to convert policy ambition into bankable cashflows (e.g., Germany H2Global).</w:t>
      </w:r>
    </w:p>
    <w:p w14:paraId="4AD03322" w14:textId="0CE300B5" w:rsidR="00033326" w:rsidRPr="00F91404" w:rsidRDefault="00033326" w:rsidP="008D5DDD">
      <w:pPr>
        <w:numPr>
          <w:ilvl w:val="0"/>
          <w:numId w:val="7"/>
        </w:numPr>
        <w:suppressAutoHyphens/>
        <w:spacing w:after="120"/>
        <w:rPr>
          <w:sz w:val="20"/>
          <w:szCs w:val="20"/>
        </w:rPr>
      </w:pPr>
      <w:r w:rsidRPr="00F91404">
        <w:rPr>
          <w:b/>
          <w:sz w:val="20"/>
          <w:szCs w:val="20"/>
        </w:rPr>
        <w:t>Demand-side anchoring can substitute for production subsidies:</w:t>
      </w:r>
      <w:r w:rsidRPr="00F91404">
        <w:rPr>
          <w:sz w:val="20"/>
          <w:szCs w:val="20"/>
        </w:rPr>
        <w:t xml:space="preserve"> Some markets </w:t>
      </w:r>
      <w:r w:rsidR="00AF6AEE" w:rsidRPr="00F91404">
        <w:rPr>
          <w:sz w:val="20"/>
          <w:szCs w:val="20"/>
        </w:rPr>
        <w:t>prioritize</w:t>
      </w:r>
      <w:r w:rsidRPr="00F91404">
        <w:rPr>
          <w:sz w:val="20"/>
          <w:szCs w:val="20"/>
        </w:rPr>
        <w:t xml:space="preserve"> guaranteed demand through regulated offtake rather than direct production support, especially where domestic production is constrained (e.g., South Korea).</w:t>
      </w:r>
    </w:p>
    <w:p w14:paraId="68693437" w14:textId="77777777" w:rsidR="00B30B09" w:rsidRPr="00F91404" w:rsidRDefault="00B30B09" w:rsidP="00B30B09">
      <w:pPr>
        <w:suppressAutoHyphens/>
        <w:spacing w:after="120"/>
        <w:ind w:left="720"/>
        <w:rPr>
          <w:sz w:val="20"/>
          <w:szCs w:val="20"/>
        </w:rPr>
      </w:pPr>
    </w:p>
    <w:p w14:paraId="6F88AA97" w14:textId="679176C6" w:rsidR="00033326" w:rsidRPr="00F91404" w:rsidRDefault="00033326" w:rsidP="008D5DDD">
      <w:pPr>
        <w:pStyle w:val="ListParagraph"/>
        <w:numPr>
          <w:ilvl w:val="0"/>
          <w:numId w:val="22"/>
        </w:numPr>
        <w:suppressAutoHyphens/>
        <w:spacing w:after="120"/>
        <w:rPr>
          <w:b/>
          <w:sz w:val="20"/>
          <w:szCs w:val="20"/>
        </w:rPr>
      </w:pPr>
      <w:r w:rsidRPr="00F91404">
        <w:rPr>
          <w:b/>
          <w:color w:val="002060"/>
          <w:sz w:val="20"/>
          <w:szCs w:val="20"/>
        </w:rPr>
        <w:t>System Enablers and Structural Readiness</w:t>
      </w:r>
      <w:r w:rsidR="00AF6AEE" w:rsidRPr="00F91404">
        <w:rPr>
          <w:b/>
          <w:color w:val="002060"/>
          <w:sz w:val="20"/>
          <w:szCs w:val="20"/>
        </w:rPr>
        <w:t xml:space="preserve">: </w:t>
      </w:r>
      <w:r w:rsidR="00AF6AEE" w:rsidRPr="00F91404">
        <w:rPr>
          <w:sz w:val="20"/>
          <w:szCs w:val="20"/>
        </w:rPr>
        <w:t>Once scale is visible, coordination beats optimization. Standards and infrastructure determine whether growth is efficient or fragmented</w:t>
      </w:r>
    </w:p>
    <w:p w14:paraId="0839808C" w14:textId="77777777" w:rsidR="00033326" w:rsidRPr="00F91404" w:rsidRDefault="00033326" w:rsidP="008D5DDD">
      <w:pPr>
        <w:numPr>
          <w:ilvl w:val="0"/>
          <w:numId w:val="8"/>
        </w:numPr>
        <w:suppressAutoHyphens/>
        <w:spacing w:after="120"/>
        <w:rPr>
          <w:sz w:val="20"/>
          <w:szCs w:val="20"/>
        </w:rPr>
      </w:pPr>
      <w:r w:rsidRPr="00F91404">
        <w:rPr>
          <w:b/>
          <w:sz w:val="20"/>
          <w:szCs w:val="20"/>
        </w:rPr>
        <w:t>Standards and certification enable markets but do not drive deployment:</w:t>
      </w:r>
      <w:r w:rsidRPr="00F91404">
        <w:rPr>
          <w:sz w:val="20"/>
          <w:szCs w:val="20"/>
        </w:rPr>
        <w:t xml:space="preserve"> Certification frameworks reduce uncertainty and unlock finance but only deliver deployment impact when combined with financial or market levers (e.g., EU RFNBO rules).</w:t>
      </w:r>
    </w:p>
    <w:p w14:paraId="21053468" w14:textId="77777777" w:rsidR="00033326" w:rsidRPr="00F91404" w:rsidRDefault="00033326" w:rsidP="008D5DDD">
      <w:pPr>
        <w:numPr>
          <w:ilvl w:val="0"/>
          <w:numId w:val="8"/>
        </w:numPr>
        <w:suppressAutoHyphens/>
        <w:spacing w:after="120"/>
        <w:rPr>
          <w:sz w:val="20"/>
          <w:szCs w:val="20"/>
        </w:rPr>
      </w:pPr>
      <w:r w:rsidRPr="00F91404">
        <w:rPr>
          <w:b/>
          <w:sz w:val="20"/>
          <w:szCs w:val="20"/>
        </w:rPr>
        <w:t>Infrastructure policy becomes critical once projects scale in parallel:</w:t>
      </w:r>
      <w:r w:rsidRPr="00F91404">
        <w:rPr>
          <w:sz w:val="20"/>
          <w:szCs w:val="20"/>
        </w:rPr>
        <w:t xml:space="preserve"> As multiple projects emerge, infrastructure coordination shifts from optional to essential to manage integration risk and system costs (e.g., Netherlands, Australia).</w:t>
      </w:r>
    </w:p>
    <w:p w14:paraId="1CEED794" w14:textId="77777777" w:rsidR="00B30B09" w:rsidRPr="00F91404" w:rsidRDefault="00033326" w:rsidP="008D5DDD">
      <w:pPr>
        <w:numPr>
          <w:ilvl w:val="0"/>
          <w:numId w:val="8"/>
        </w:numPr>
        <w:suppressAutoHyphens/>
        <w:spacing w:after="120"/>
        <w:rPr>
          <w:sz w:val="20"/>
          <w:szCs w:val="20"/>
        </w:rPr>
      </w:pPr>
      <w:r w:rsidRPr="00F91404">
        <w:rPr>
          <w:b/>
          <w:sz w:val="20"/>
          <w:szCs w:val="20"/>
        </w:rPr>
        <w:t>Infrastructure-led strategies dominate in clustered or export-oriented markets:</w:t>
      </w:r>
      <w:r w:rsidRPr="00F91404">
        <w:rPr>
          <w:sz w:val="20"/>
          <w:szCs w:val="20"/>
        </w:rPr>
        <w:t xml:space="preserve"> Countries with strong industrial clusters or export ambitions prioritise shared backbones and hubs early to position hydrogen as a strategic system asset (e.g., Netherlands ports, Australia exports).</w:t>
      </w:r>
      <w:r w:rsidR="00B30B09" w:rsidRPr="00F91404">
        <w:rPr>
          <w:sz w:val="20"/>
          <w:szCs w:val="20"/>
        </w:rPr>
        <w:t xml:space="preserve"> </w:t>
      </w:r>
    </w:p>
    <w:p w14:paraId="1FA474A9" w14:textId="77777777" w:rsidR="006B70E4" w:rsidRPr="00F91404" w:rsidRDefault="006B70E4" w:rsidP="002F3AE6">
      <w:pPr>
        <w:suppressAutoHyphens/>
        <w:spacing w:after="0"/>
        <w:ind w:left="0"/>
        <w:rPr>
          <w:sz w:val="20"/>
          <w:szCs w:val="24"/>
        </w:rPr>
      </w:pPr>
    </w:p>
    <w:p w14:paraId="0B3B3820" w14:textId="77777777" w:rsidR="002F3AE6" w:rsidRPr="00F91404" w:rsidRDefault="00C26D04" w:rsidP="002F3AE6">
      <w:pPr>
        <w:suppressAutoHyphens/>
        <w:spacing w:before="240" w:after="120"/>
        <w:rPr>
          <w:sz w:val="20"/>
          <w:szCs w:val="24"/>
        </w:rPr>
      </w:pPr>
      <w:r w:rsidRPr="00F91404">
        <w:rPr>
          <w:sz w:val="20"/>
          <w:szCs w:val="24"/>
        </w:rPr>
        <w:t xml:space="preserve">When considered collectively, the findings indicate that differences in renewable hydrogen deployment across countries are less strongly associated with any single governance model, regulatory instrument or policy lever than with how these elements are combined and sequenced as markets evolve. Across the benchmark countries, hydrogen markets appear more likely to progress beyond pilot stages where institutional responsibilities are clearly anchored, regulatory frameworks provide sufficient clarity to support early investment, and policy support evolves as scale and system complexity increase. Conversely, where governance arrangements, regulatory foundations and policy levers remain fragmented or misaligned, deployment has tended to remain limited despite stated ambition or favourable resource conditions. </w:t>
      </w:r>
    </w:p>
    <w:p w14:paraId="55F62207" w14:textId="59C5903C" w:rsidR="00E96B03" w:rsidRPr="00F91404" w:rsidRDefault="00C26D04" w:rsidP="002F3AE6">
      <w:pPr>
        <w:suppressAutoHyphens/>
        <w:spacing w:before="240" w:after="120"/>
        <w:rPr>
          <w:sz w:val="20"/>
          <w:szCs w:val="24"/>
        </w:rPr>
      </w:pPr>
      <w:r w:rsidRPr="00F91404">
        <w:rPr>
          <w:sz w:val="20"/>
          <w:szCs w:val="24"/>
        </w:rPr>
        <w:t>These cross-cutting patterns provide the basis for the concluding observations set out in the following section.</w:t>
      </w:r>
    </w:p>
    <w:p w14:paraId="277D5918" w14:textId="77777777" w:rsidR="00E96B03" w:rsidRPr="00F91404" w:rsidRDefault="00E96B03">
      <w:pPr>
        <w:rPr>
          <w:sz w:val="20"/>
          <w:szCs w:val="24"/>
        </w:rPr>
      </w:pPr>
      <w:r w:rsidRPr="00F91404">
        <w:rPr>
          <w:sz w:val="20"/>
          <w:szCs w:val="24"/>
        </w:rPr>
        <w:br w:type="page"/>
      </w:r>
    </w:p>
    <w:p w14:paraId="0B676C40" w14:textId="77777777" w:rsidR="00F456E7" w:rsidRPr="00F91404" w:rsidRDefault="00F456E7" w:rsidP="00E96B03">
      <w:pPr>
        <w:suppressAutoHyphens/>
        <w:spacing w:after="0"/>
        <w:rPr>
          <w:sz w:val="2"/>
          <w:szCs w:val="2"/>
        </w:rPr>
      </w:pPr>
    </w:p>
    <w:p w14:paraId="16BA3255" w14:textId="7CD1E0CD" w:rsidR="00F456E7" w:rsidRPr="00F91404" w:rsidRDefault="00E96B03" w:rsidP="00AA77D6">
      <w:pPr>
        <w:pStyle w:val="Heading1"/>
      </w:pPr>
      <w:bookmarkStart w:id="43" w:name="_Toc220786529"/>
      <w:r w:rsidRPr="00F91404">
        <w:t>Conclusion</w:t>
      </w:r>
      <w:bookmarkEnd w:id="43"/>
    </w:p>
    <w:p w14:paraId="170A9287" w14:textId="2010856B" w:rsidR="00A0087B" w:rsidRPr="00F91404" w:rsidRDefault="00A0087B" w:rsidP="005C6498">
      <w:pPr>
        <w:suppressAutoHyphens/>
        <w:ind w:left="0"/>
        <w:rPr>
          <w:sz w:val="20"/>
          <w:szCs w:val="20"/>
        </w:rPr>
      </w:pPr>
      <w:r w:rsidRPr="00F91404">
        <w:rPr>
          <w:sz w:val="20"/>
          <w:szCs w:val="20"/>
        </w:rPr>
        <w:t>This international benchmarking assessment has examined how countries at different stages of market maturity have structured their governance arrangements, legal and regulatory foundations, and policy levers to enable the development of renewable hydrogen markets.</w:t>
      </w:r>
      <w:r w:rsidR="008F2D36" w:rsidRPr="00F91404">
        <w:rPr>
          <w:sz w:val="20"/>
          <w:szCs w:val="20"/>
        </w:rPr>
        <w:t xml:space="preserve"> </w:t>
      </w:r>
      <w:r w:rsidRPr="00F91404">
        <w:rPr>
          <w:sz w:val="20"/>
          <w:szCs w:val="20"/>
        </w:rPr>
        <w:t xml:space="preserve">The analysis has been undertaken to support </w:t>
      </w:r>
      <w:r w:rsidR="00E96B03" w:rsidRPr="00F91404">
        <w:rPr>
          <w:sz w:val="20"/>
          <w:szCs w:val="20"/>
        </w:rPr>
        <w:t>SENER</w:t>
      </w:r>
      <w:r w:rsidR="00F11DF6" w:rsidRPr="00F91404">
        <w:rPr>
          <w:sz w:val="20"/>
          <w:szCs w:val="20"/>
        </w:rPr>
        <w:t>, as well as the Government of Mexico more broadly,</w:t>
      </w:r>
      <w:r w:rsidRPr="00F91404">
        <w:rPr>
          <w:sz w:val="20"/>
          <w:szCs w:val="20"/>
        </w:rPr>
        <w:t xml:space="preserve"> as it considers the institutional and policy foundations for a future National Renewable Hydrogen Policy, and is intended to provide an analytical reference grounded in observed international experience rather than a prescriptive blueprint.</w:t>
      </w:r>
    </w:p>
    <w:p w14:paraId="5B82F74F" w14:textId="77777777" w:rsidR="008F2D36" w:rsidRPr="00F91404" w:rsidRDefault="00A0087B" w:rsidP="005C6498">
      <w:pPr>
        <w:suppressAutoHyphens/>
        <w:ind w:left="0"/>
        <w:rPr>
          <w:sz w:val="20"/>
          <w:szCs w:val="20"/>
        </w:rPr>
      </w:pPr>
      <w:r w:rsidRPr="00F91404">
        <w:rPr>
          <w:sz w:val="20"/>
          <w:szCs w:val="20"/>
        </w:rPr>
        <w:t xml:space="preserve">The benchmarking suggests that progress beyond pilot and announcement stages tends to be shaped less by the presence of individual policy instruments and more by how governance, regulation and policy support are combined </w:t>
      </w:r>
      <w:r w:rsidRPr="00F91404">
        <w:rPr>
          <w:i/>
          <w:sz w:val="20"/>
          <w:szCs w:val="20"/>
        </w:rPr>
        <w:t>and</w:t>
      </w:r>
      <w:r w:rsidRPr="00F91404">
        <w:rPr>
          <w:sz w:val="20"/>
          <w:szCs w:val="20"/>
        </w:rPr>
        <w:t xml:space="preserve"> sequenced over time. </w:t>
      </w:r>
    </w:p>
    <w:p w14:paraId="2BF7DE33" w14:textId="3B7267C0" w:rsidR="00A0087B" w:rsidRPr="00F91404" w:rsidRDefault="008F2D36" w:rsidP="005C6498">
      <w:pPr>
        <w:suppressAutoHyphens/>
        <w:ind w:left="0"/>
        <w:rPr>
          <w:sz w:val="20"/>
          <w:szCs w:val="20"/>
        </w:rPr>
      </w:pPr>
      <w:r w:rsidRPr="00F91404">
        <w:rPr>
          <w:sz w:val="20"/>
          <w:szCs w:val="20"/>
        </w:rPr>
        <w:t>For</w:t>
      </w:r>
      <w:r w:rsidR="00A0087B" w:rsidRPr="00F91404">
        <w:rPr>
          <w:sz w:val="20"/>
          <w:szCs w:val="20"/>
        </w:rPr>
        <w:t xml:space="preserve"> countries that have moved toward investment and delivery, hydrogen development is typically anchored in relatively clear institutional leadership and coordination, supported by regulatory frameworks that provide sufficient clarity to enable early investment, and complemented by policy levers that evolve as markets mature. Where these elements appear fragmented or misaligned, project pipelines are more likely to stall despite strong resource potential or policy ambition.</w:t>
      </w:r>
    </w:p>
    <w:p w14:paraId="1DD8F478" w14:textId="74523445" w:rsidR="00A0087B" w:rsidRPr="00F91404" w:rsidRDefault="00990CE1" w:rsidP="005C6498">
      <w:pPr>
        <w:suppressAutoHyphens/>
        <w:ind w:left="0"/>
        <w:rPr>
          <w:sz w:val="20"/>
          <w:szCs w:val="20"/>
        </w:rPr>
      </w:pPr>
      <w:r w:rsidRPr="00F91404">
        <w:rPr>
          <w:sz w:val="20"/>
          <w:szCs w:val="20"/>
        </w:rPr>
        <w:t xml:space="preserve">The </w:t>
      </w:r>
      <w:r w:rsidR="00BE1F96" w:rsidRPr="00F91404">
        <w:rPr>
          <w:sz w:val="20"/>
          <w:szCs w:val="20"/>
        </w:rPr>
        <w:t xml:space="preserve">various </w:t>
      </w:r>
      <w:r w:rsidRPr="00F91404">
        <w:rPr>
          <w:sz w:val="20"/>
          <w:szCs w:val="20"/>
        </w:rPr>
        <w:t>i</w:t>
      </w:r>
      <w:r w:rsidR="00A0087B" w:rsidRPr="00F91404">
        <w:rPr>
          <w:sz w:val="20"/>
          <w:szCs w:val="20"/>
        </w:rPr>
        <w:t>nternational experience</w:t>
      </w:r>
      <w:r w:rsidRPr="00F91404">
        <w:rPr>
          <w:sz w:val="20"/>
          <w:szCs w:val="20"/>
        </w:rPr>
        <w:t xml:space="preserve">s </w:t>
      </w:r>
      <w:r w:rsidR="00BE1F96" w:rsidRPr="00F91404">
        <w:rPr>
          <w:sz w:val="20"/>
          <w:szCs w:val="20"/>
        </w:rPr>
        <w:t>considered as part of this assessment</w:t>
      </w:r>
      <w:r w:rsidR="00A0087B" w:rsidRPr="00F91404">
        <w:rPr>
          <w:sz w:val="20"/>
          <w:szCs w:val="20"/>
        </w:rPr>
        <w:t xml:space="preserve"> also indicate that hydrogen policy frameworks generally evolve incrementally. Early-stage markets often rely heavily on existing legal and institutional structures, with hydrogen-specific regulation, certification systems and infrastructure planning emerging progressively as deployment scales and complexity increases. Similarly, policy support commonly shifts over time from early-stage funding and fiscal incentives toward mechanisms that address revenue risk, infrastructure coordination and system integration. These patterns highlight the importance of sequencing and interaction </w:t>
      </w:r>
      <w:r w:rsidR="0057369B" w:rsidRPr="00F91404">
        <w:rPr>
          <w:sz w:val="20"/>
          <w:szCs w:val="20"/>
        </w:rPr>
        <w:t>between</w:t>
      </w:r>
      <w:r w:rsidR="00A0087B" w:rsidRPr="00F91404">
        <w:rPr>
          <w:sz w:val="20"/>
          <w:szCs w:val="20"/>
        </w:rPr>
        <w:t xml:space="preserve"> policy domains, rather than the early adoption of comprehensive or highly prescriptive frameworks.</w:t>
      </w:r>
    </w:p>
    <w:p w14:paraId="30D19F55" w14:textId="63CE111A" w:rsidR="00C921E1" w:rsidRPr="00F91404" w:rsidRDefault="00A0087B" w:rsidP="005C6498">
      <w:pPr>
        <w:suppressAutoHyphens/>
        <w:ind w:left="0"/>
        <w:rPr>
          <w:sz w:val="20"/>
          <w:szCs w:val="20"/>
        </w:rPr>
      </w:pPr>
      <w:r w:rsidRPr="00F91404">
        <w:rPr>
          <w:sz w:val="20"/>
          <w:szCs w:val="20"/>
        </w:rPr>
        <w:t xml:space="preserve">For </w:t>
      </w:r>
      <w:r w:rsidR="00695FCE" w:rsidRPr="00F91404">
        <w:rPr>
          <w:sz w:val="20"/>
          <w:szCs w:val="20"/>
        </w:rPr>
        <w:t>SENER</w:t>
      </w:r>
      <w:r w:rsidRPr="00F91404">
        <w:rPr>
          <w:sz w:val="20"/>
          <w:szCs w:val="20"/>
        </w:rPr>
        <w:t>, th</w:t>
      </w:r>
      <w:r w:rsidR="00695FCE" w:rsidRPr="00F91404">
        <w:rPr>
          <w:sz w:val="20"/>
          <w:szCs w:val="20"/>
        </w:rPr>
        <w:t>is</w:t>
      </w:r>
      <w:r w:rsidRPr="00F91404">
        <w:rPr>
          <w:sz w:val="20"/>
          <w:szCs w:val="20"/>
        </w:rPr>
        <w:t xml:space="preserve"> assessment </w:t>
      </w:r>
      <w:r w:rsidR="00695FCE" w:rsidRPr="00F91404">
        <w:rPr>
          <w:sz w:val="20"/>
          <w:szCs w:val="20"/>
        </w:rPr>
        <w:t xml:space="preserve">helps to </w:t>
      </w:r>
      <w:r w:rsidRPr="00F91404">
        <w:rPr>
          <w:sz w:val="20"/>
          <w:szCs w:val="20"/>
        </w:rPr>
        <w:t>situate</w:t>
      </w:r>
      <w:r w:rsidR="00695FCE" w:rsidRPr="00F91404">
        <w:rPr>
          <w:sz w:val="20"/>
          <w:szCs w:val="20"/>
        </w:rPr>
        <w:t xml:space="preserve"> the</w:t>
      </w:r>
      <w:r w:rsidRPr="00F91404">
        <w:rPr>
          <w:sz w:val="20"/>
          <w:szCs w:val="20"/>
        </w:rPr>
        <w:t xml:space="preserve"> </w:t>
      </w:r>
      <w:r w:rsidR="00695FCE" w:rsidRPr="00F91404">
        <w:rPr>
          <w:sz w:val="20"/>
          <w:szCs w:val="20"/>
        </w:rPr>
        <w:t>prevailing</w:t>
      </w:r>
      <w:r w:rsidRPr="00F91404">
        <w:rPr>
          <w:sz w:val="20"/>
          <w:szCs w:val="20"/>
        </w:rPr>
        <w:t xml:space="preserve"> national conditions within a broader set of </w:t>
      </w:r>
      <w:r w:rsidR="00FE6FA1" w:rsidRPr="00F91404">
        <w:rPr>
          <w:sz w:val="20"/>
          <w:szCs w:val="20"/>
        </w:rPr>
        <w:t>global</w:t>
      </w:r>
      <w:r w:rsidRPr="00F91404">
        <w:rPr>
          <w:sz w:val="20"/>
          <w:szCs w:val="20"/>
        </w:rPr>
        <w:t xml:space="preserve"> </w:t>
      </w:r>
      <w:r w:rsidR="00FE6FA1" w:rsidRPr="00F91404">
        <w:rPr>
          <w:sz w:val="20"/>
          <w:szCs w:val="20"/>
        </w:rPr>
        <w:t>dynamics</w:t>
      </w:r>
      <w:r w:rsidRPr="00F91404">
        <w:rPr>
          <w:sz w:val="20"/>
          <w:szCs w:val="20"/>
        </w:rPr>
        <w:t xml:space="preserve"> observed </w:t>
      </w:r>
      <w:r w:rsidR="008A106D" w:rsidRPr="00F91404">
        <w:rPr>
          <w:sz w:val="20"/>
          <w:szCs w:val="20"/>
        </w:rPr>
        <w:t>in the eleven benchmark</w:t>
      </w:r>
      <w:r w:rsidRPr="00F91404">
        <w:rPr>
          <w:sz w:val="20"/>
          <w:szCs w:val="20"/>
        </w:rPr>
        <w:t xml:space="preserve"> countries at </w:t>
      </w:r>
      <w:r w:rsidR="00547E8B" w:rsidRPr="00F91404">
        <w:rPr>
          <w:sz w:val="20"/>
          <w:szCs w:val="20"/>
        </w:rPr>
        <w:t xml:space="preserve">the </w:t>
      </w:r>
      <w:r w:rsidRPr="00F91404">
        <w:rPr>
          <w:sz w:val="20"/>
          <w:szCs w:val="20"/>
        </w:rPr>
        <w:t>different stages of market maturity</w:t>
      </w:r>
      <w:r w:rsidR="00547E8B" w:rsidRPr="00F91404">
        <w:rPr>
          <w:sz w:val="20"/>
          <w:szCs w:val="20"/>
        </w:rPr>
        <w:t xml:space="preserve">. </w:t>
      </w:r>
      <w:r w:rsidR="009B4F3C" w:rsidRPr="00F91404">
        <w:rPr>
          <w:sz w:val="20"/>
          <w:szCs w:val="20"/>
        </w:rPr>
        <w:t>While t</w:t>
      </w:r>
      <w:r w:rsidR="00547E8B" w:rsidRPr="00F91404">
        <w:rPr>
          <w:sz w:val="20"/>
          <w:szCs w:val="20"/>
        </w:rPr>
        <w:t xml:space="preserve">he assessment </w:t>
      </w:r>
      <w:r w:rsidR="009B4F3C" w:rsidRPr="00F91404">
        <w:rPr>
          <w:sz w:val="20"/>
          <w:szCs w:val="20"/>
        </w:rPr>
        <w:t>does not assume that</w:t>
      </w:r>
      <w:r w:rsidRPr="00F91404">
        <w:rPr>
          <w:sz w:val="20"/>
          <w:szCs w:val="20"/>
        </w:rPr>
        <w:t xml:space="preserve"> a single model or outcome</w:t>
      </w:r>
      <w:r w:rsidR="00520946" w:rsidRPr="00F91404">
        <w:rPr>
          <w:sz w:val="20"/>
          <w:szCs w:val="20"/>
        </w:rPr>
        <w:t xml:space="preserve"> is universally applicable</w:t>
      </w:r>
      <w:r w:rsidR="00876C92" w:rsidRPr="00F91404">
        <w:rPr>
          <w:sz w:val="20"/>
          <w:szCs w:val="20"/>
        </w:rPr>
        <w:t>, the</w:t>
      </w:r>
      <w:r w:rsidRPr="00F91404">
        <w:rPr>
          <w:sz w:val="20"/>
          <w:szCs w:val="20"/>
        </w:rPr>
        <w:t xml:space="preserve"> findings </w:t>
      </w:r>
      <w:r w:rsidR="00876C92" w:rsidRPr="00F91404">
        <w:rPr>
          <w:sz w:val="20"/>
          <w:szCs w:val="20"/>
        </w:rPr>
        <w:t>presented in this report</w:t>
      </w:r>
      <w:r w:rsidRPr="00F91404">
        <w:rPr>
          <w:sz w:val="20"/>
          <w:szCs w:val="20"/>
        </w:rPr>
        <w:t xml:space="preserve"> </w:t>
      </w:r>
      <w:r w:rsidR="00F66ADE" w:rsidRPr="00F91404">
        <w:rPr>
          <w:sz w:val="20"/>
          <w:szCs w:val="20"/>
        </w:rPr>
        <w:t>offer a</w:t>
      </w:r>
      <w:r w:rsidRPr="00F91404">
        <w:rPr>
          <w:sz w:val="20"/>
          <w:szCs w:val="20"/>
        </w:rPr>
        <w:t xml:space="preserve"> structured evidence base to inform policy dialogue by clarifying how different countries have organised responsibilities, addressed regulatory uncertainty and applied policy support at comparable stages of development. </w:t>
      </w:r>
    </w:p>
    <w:p w14:paraId="2B87265B" w14:textId="547274E9" w:rsidR="0092299E" w:rsidRPr="00F91404" w:rsidRDefault="00C921E1" w:rsidP="005C6498">
      <w:pPr>
        <w:suppressAutoHyphens/>
        <w:spacing w:after="480"/>
        <w:ind w:left="0"/>
        <w:rPr>
          <w:sz w:val="20"/>
          <w:szCs w:val="20"/>
        </w:rPr>
      </w:pPr>
      <w:r w:rsidRPr="00F91404">
        <w:rPr>
          <w:sz w:val="20"/>
          <w:szCs w:val="20"/>
        </w:rPr>
        <w:t>In doing so, th</w:t>
      </w:r>
      <w:r w:rsidR="00626B2B" w:rsidRPr="00F91404">
        <w:rPr>
          <w:sz w:val="20"/>
          <w:szCs w:val="20"/>
        </w:rPr>
        <w:t>is</w:t>
      </w:r>
      <w:r w:rsidRPr="00F91404">
        <w:rPr>
          <w:sz w:val="20"/>
          <w:szCs w:val="20"/>
        </w:rPr>
        <w:t xml:space="preserve"> report establishes a structured basis for interpreting international experience by examining how governance arrangements, legal and regulatory foundations, and policy levers interact and evolve across different stages of market development. This provides a foundation for considering how such experience could be selectively adapted and appropriately sequenced over time as Mexico advances the development of its first renewable hydrogen policy and associated enabling frameworks.</w:t>
      </w:r>
    </w:p>
    <w:p w14:paraId="552C1FFB" w14:textId="0C78B6AC" w:rsidR="005C6498" w:rsidRPr="00F91404" w:rsidRDefault="005C6498" w:rsidP="005C6498">
      <w:pPr>
        <w:suppressAutoHyphens/>
        <w:spacing w:after="480"/>
        <w:ind w:left="0"/>
        <w:rPr>
          <w:sz w:val="20"/>
          <w:szCs w:val="20"/>
        </w:rPr>
      </w:pPr>
    </w:p>
    <w:tbl>
      <w:tblPr>
        <w:tblStyle w:val="TableGrid"/>
        <w:tblW w:w="0" w:type="auto"/>
        <w:tblInd w:w="-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48" w:space="0" w:color="94A51F" w:themeColor="accent3" w:themeShade="BF"/>
          <w:insideV w:val="single" w:sz="48" w:space="0" w:color="94A51F" w:themeColor="accent3" w:themeShade="BF"/>
        </w:tblBorders>
        <w:tblCellMar>
          <w:top w:w="284" w:type="dxa"/>
          <w:left w:w="284" w:type="dxa"/>
          <w:bottom w:w="284" w:type="dxa"/>
          <w:right w:w="284" w:type="dxa"/>
        </w:tblCellMar>
        <w:tblLook w:val="04A0" w:firstRow="1" w:lastRow="0" w:firstColumn="1" w:lastColumn="0" w:noHBand="0" w:noVBand="1"/>
      </w:tblPr>
      <w:tblGrid>
        <w:gridCol w:w="1288"/>
        <w:gridCol w:w="8210"/>
      </w:tblGrid>
      <w:tr w:rsidR="00822E9E" w:rsidRPr="00F91404" w14:paraId="7D5415E3" w14:textId="19B4A5B7" w:rsidTr="004734F4">
        <w:trPr>
          <w:trHeight w:val="1369"/>
        </w:trPr>
        <w:tc>
          <w:tcPr>
            <w:tcW w:w="1288" w:type="dxa"/>
            <w:shd w:val="clear" w:color="auto" w:fill="004C43"/>
            <w:vAlign w:val="bottom"/>
          </w:tcPr>
          <w:p w14:paraId="0B3FE2BD" w14:textId="18BF74D0" w:rsidR="00822E9E" w:rsidRPr="00F91404" w:rsidRDefault="00822E9E" w:rsidP="004734F4">
            <w:pPr>
              <w:pStyle w:val="p1"/>
              <w:spacing w:before="0" w:beforeAutospacing="0" w:after="0" w:afterAutospacing="0"/>
              <w:ind w:left="0"/>
              <w:rPr>
                <w:rFonts w:asciiTheme="minorHAnsi" w:eastAsiaTheme="minorHAnsi" w:hAnsiTheme="minorHAnsi" w:cstheme="minorBidi"/>
                <w:b/>
                <w:bCs/>
                <w:color w:val="D4F3E4"/>
                <w:sz w:val="22"/>
                <w:szCs w:val="22"/>
                <w:lang w:eastAsia="en-US"/>
              </w:rPr>
            </w:pPr>
          </w:p>
          <w:p w14:paraId="0E7AEBC0" w14:textId="03F11301" w:rsidR="00822E9E" w:rsidRPr="00F91404" w:rsidRDefault="004734F4" w:rsidP="005C6498">
            <w:pPr>
              <w:pStyle w:val="p1"/>
              <w:spacing w:before="0" w:beforeAutospacing="0" w:after="0" w:afterAutospacing="0"/>
              <w:ind w:left="0"/>
              <w:jc w:val="center"/>
              <w:rPr>
                <w:rFonts w:asciiTheme="minorHAnsi" w:eastAsiaTheme="minorHAnsi" w:hAnsiTheme="minorHAnsi" w:cstheme="minorBidi"/>
                <w:b/>
                <w:bCs/>
                <w:sz w:val="20"/>
                <w:szCs w:val="20"/>
                <w:lang w:eastAsia="en-US"/>
              </w:rPr>
            </w:pPr>
            <w:r w:rsidRPr="00F91404">
              <w:rPr>
                <w:rFonts w:asciiTheme="minorHAnsi" w:eastAsiaTheme="minorHAnsi" w:hAnsiTheme="minorHAnsi" w:cstheme="minorBidi"/>
                <w:b/>
                <w:bCs/>
                <w:noProof/>
                <w:color w:val="D4F3E4"/>
                <w:sz w:val="22"/>
                <w:szCs w:val="22"/>
                <w:lang w:eastAsia="en-US"/>
              </w:rPr>
              <w:drawing>
                <wp:anchor distT="0" distB="0" distL="114300" distR="114300" simplePos="0" relativeHeight="251669505" behindDoc="1" locked="0" layoutInCell="1" allowOverlap="1" wp14:anchorId="03431529" wp14:editId="3F3A6472">
                  <wp:simplePos x="0" y="0"/>
                  <wp:positionH relativeFrom="margin">
                    <wp:posOffset>-1270</wp:posOffset>
                  </wp:positionH>
                  <wp:positionV relativeFrom="margin">
                    <wp:posOffset>759460</wp:posOffset>
                  </wp:positionV>
                  <wp:extent cx="457200" cy="457200"/>
                  <wp:effectExtent l="0" t="0" r="0" b="0"/>
                  <wp:wrapSquare wrapText="bothSides"/>
                  <wp:docPr id="143250765" name="Graphic 4" descr="Chevron arrow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0765" name="Graphic 4" descr="Chevron arrows outline"/>
                          <pic:cNvPicPr/>
                        </pic:nvPicPr>
                        <pic:blipFill>
                          <a:blip r:embed="rId23">
                            <a:extLst>
                              <a:ext uri="{96DAC541-7B7A-43D3-8B79-37D633B846F1}">
                                <asvg:svgBlip xmlns:asvg="http://schemas.microsoft.com/office/drawing/2016/SVG/main" r:embed="rId24"/>
                              </a:ext>
                            </a:extLst>
                          </a:blip>
                          <a:stretch>
                            <a:fillRect/>
                          </a:stretch>
                        </pic:blipFill>
                        <pic:spPr>
                          <a:xfrm>
                            <a:off x="0" y="0"/>
                            <a:ext cx="457200" cy="457200"/>
                          </a:xfrm>
                          <a:prstGeom prst="rect">
                            <a:avLst/>
                          </a:prstGeom>
                        </pic:spPr>
                      </pic:pic>
                    </a:graphicData>
                  </a:graphic>
                  <wp14:sizeRelH relativeFrom="page">
                    <wp14:pctWidth>0</wp14:pctWidth>
                  </wp14:sizeRelH>
                  <wp14:sizeRelV relativeFrom="page">
                    <wp14:pctHeight>0</wp14:pctHeight>
                  </wp14:sizeRelV>
                </wp:anchor>
              </w:drawing>
            </w:r>
          </w:p>
        </w:tc>
        <w:tc>
          <w:tcPr>
            <w:tcW w:w="8210" w:type="dxa"/>
            <w:tcBorders>
              <w:top w:val="single" w:sz="2" w:space="0" w:color="BFBFBF" w:themeColor="background1" w:themeShade="BF"/>
              <w:bottom w:val="single" w:sz="2" w:space="0" w:color="BFBFBF" w:themeColor="background1" w:themeShade="BF"/>
              <w:right w:val="single" w:sz="48" w:space="0" w:color="C3D82E" w:themeColor="accent3"/>
            </w:tcBorders>
          </w:tcPr>
          <w:p w14:paraId="05060827" w14:textId="3AE072EA" w:rsidR="00822E9E" w:rsidRPr="00F91404" w:rsidRDefault="00822E9E" w:rsidP="005C6498">
            <w:pPr>
              <w:pStyle w:val="p1"/>
              <w:spacing w:before="0" w:beforeAutospacing="0" w:after="240" w:afterAutospacing="0"/>
              <w:ind w:left="0"/>
              <w:rPr>
                <w:rFonts w:asciiTheme="minorHAnsi" w:eastAsiaTheme="minorHAnsi" w:hAnsiTheme="minorHAnsi" w:cstheme="minorBidi"/>
                <w:sz w:val="20"/>
                <w:szCs w:val="20"/>
                <w:lang w:eastAsia="en-US"/>
              </w:rPr>
            </w:pPr>
            <w:r w:rsidRPr="00F91404">
              <w:rPr>
                <w:rFonts w:asciiTheme="minorHAnsi" w:eastAsiaTheme="minorHAnsi" w:hAnsiTheme="minorHAnsi" w:cstheme="minorBidi"/>
                <w:b/>
                <w:bCs/>
                <w:color w:val="004C43"/>
                <w:lang w:eastAsia="en-US"/>
              </w:rPr>
              <w:t>Next phase of this work package</w:t>
            </w:r>
            <w:r w:rsidRPr="00F91404">
              <w:rPr>
                <w:rFonts w:asciiTheme="minorHAnsi" w:eastAsiaTheme="minorHAnsi" w:hAnsiTheme="minorHAnsi" w:cstheme="minorBidi"/>
                <w:sz w:val="20"/>
                <w:szCs w:val="20"/>
                <w:lang w:eastAsia="en-US"/>
              </w:rPr>
              <w:t xml:space="preserve"> </w:t>
            </w:r>
          </w:p>
          <w:p w14:paraId="42460CE9" w14:textId="53736BB3" w:rsidR="00822E9E" w:rsidRPr="00F91404" w:rsidRDefault="00822E9E" w:rsidP="005C6498">
            <w:pPr>
              <w:pStyle w:val="p1"/>
              <w:spacing w:before="0" w:beforeAutospacing="0" w:after="0" w:afterAutospacing="0"/>
              <w:ind w:left="0"/>
              <w:rPr>
                <w:rFonts w:asciiTheme="minorHAnsi" w:eastAsiaTheme="minorHAnsi" w:hAnsiTheme="minorHAnsi" w:cstheme="minorBidi"/>
                <w:b/>
                <w:bCs/>
                <w:color w:val="004C43"/>
                <w:sz w:val="22"/>
                <w:szCs w:val="22"/>
                <w:lang w:eastAsia="en-US"/>
              </w:rPr>
            </w:pPr>
            <w:r w:rsidRPr="00F91404">
              <w:rPr>
                <w:rFonts w:asciiTheme="minorHAnsi" w:eastAsiaTheme="minorHAnsi" w:hAnsiTheme="minorHAnsi" w:cstheme="minorBidi"/>
                <w:sz w:val="20"/>
                <w:szCs w:val="20"/>
                <w:lang w:eastAsia="en-US"/>
              </w:rPr>
              <w:t>The next phase of this work package under the UK’s Green Cities, Infrastructure and Energy Programme will analyse Mexico’s existing regulatory and policy framework and synthesise policy options. This will be validated through an internal technical validation workshop with GCIEP, SENER and the FCDO Post, alongside stakeholder consultations, to further support SENER in its journey to establish a governance framework for green hydrogen growth in Mexico.</w:t>
            </w:r>
          </w:p>
        </w:tc>
      </w:tr>
    </w:tbl>
    <w:p w14:paraId="0D1CE764" w14:textId="141FCF9C" w:rsidR="00DA7ED4" w:rsidRPr="00F91404" w:rsidRDefault="00DA7ED4" w:rsidP="00371897"/>
    <w:p w14:paraId="0B652307" w14:textId="77777777" w:rsidR="00DA7ED4" w:rsidRPr="00F91404" w:rsidRDefault="00DA7ED4" w:rsidP="00371897"/>
    <w:p w14:paraId="0C01B784" w14:textId="4FE60CD2" w:rsidR="00DA7ED4" w:rsidRPr="00F91404" w:rsidRDefault="00D643F2" w:rsidP="00507A8C">
      <w:r w:rsidRPr="00F91404">
        <w:br w:type="page"/>
      </w:r>
    </w:p>
    <w:p w14:paraId="0A6ABFA3" w14:textId="2CF42E2F" w:rsidR="00371897" w:rsidRPr="00F91404" w:rsidRDefault="00925E60" w:rsidP="00AA77D6">
      <w:pPr>
        <w:pStyle w:val="Heading1"/>
      </w:pPr>
      <w:bookmarkStart w:id="44" w:name="_Toc220786530"/>
      <w:r w:rsidRPr="00F91404">
        <w:lastRenderedPageBreak/>
        <w:t>Reference</w:t>
      </w:r>
      <w:bookmarkEnd w:id="44"/>
      <w:r w:rsidR="00C80E59" w:rsidRPr="00F91404">
        <w:t>s</w:t>
      </w:r>
    </w:p>
    <w:p w14:paraId="1CB11BBB" w14:textId="53198C7F" w:rsidR="00DA7ED4" w:rsidRPr="00F91404" w:rsidRDefault="00DA7ED4" w:rsidP="00DA7ED4">
      <w:pPr>
        <w:spacing w:line="276" w:lineRule="auto"/>
        <w:rPr>
          <w:b/>
          <w:bCs/>
          <w:color w:val="004C43"/>
          <w:sz w:val="20"/>
          <w:szCs w:val="20"/>
        </w:rPr>
      </w:pPr>
      <w:r w:rsidRPr="00F91404">
        <w:rPr>
          <w:b/>
          <w:bCs/>
          <w:color w:val="004C43"/>
          <w:sz w:val="20"/>
          <w:szCs w:val="20"/>
        </w:rPr>
        <w:t>International organisations and analytical sources</w:t>
      </w:r>
    </w:p>
    <w:p w14:paraId="7171F4C7" w14:textId="7038E86C"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International Energy Agency (IEA) (2019). The Future of Hydrogen: Seizing Today’s Opportunities. Paris: IEA.</w:t>
      </w:r>
      <w:r w:rsidR="00CB078E" w:rsidRPr="00F91404">
        <w:rPr>
          <w:sz w:val="20"/>
          <w:szCs w:val="20"/>
        </w:rPr>
        <w:t xml:space="preserve"> (https://www.iea.org/reports/the-future-of-hydrogen)</w:t>
      </w:r>
    </w:p>
    <w:p w14:paraId="3BC87B71" w14:textId="52397065"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International Energy Agency (IEA) (2023). Energy Technology Perspectives. Paris: IEA.</w:t>
      </w:r>
      <w:r w:rsidR="00CB078E" w:rsidRPr="00F91404">
        <w:rPr>
          <w:sz w:val="20"/>
          <w:szCs w:val="20"/>
        </w:rPr>
        <w:t xml:space="preserve"> (https://www.iea.org/reports/energy-technology-perspectives-2023)</w:t>
      </w:r>
    </w:p>
    <w:p w14:paraId="17A0863F" w14:textId="0099A198"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International Energy Agency (IEA) (2024). Global Hydrogen Review. Paris: IEA.</w:t>
      </w:r>
      <w:r w:rsidR="00CB078E" w:rsidRPr="00F91404">
        <w:rPr>
          <w:sz w:val="20"/>
          <w:szCs w:val="20"/>
        </w:rPr>
        <w:t xml:space="preserve"> (https://www.iea.org/reports/global-hydrogen-review-2024)</w:t>
      </w:r>
    </w:p>
    <w:p w14:paraId="46CDFBF0" w14:textId="0F8B3762" w:rsidR="00DA7ED4" w:rsidRPr="004278C7" w:rsidRDefault="00DA7ED4" w:rsidP="008D5DDD">
      <w:pPr>
        <w:pStyle w:val="ListParagraph"/>
        <w:numPr>
          <w:ilvl w:val="0"/>
          <w:numId w:val="18"/>
        </w:numPr>
        <w:spacing w:before="60" w:after="0" w:line="276" w:lineRule="auto"/>
        <w:ind w:left="850" w:hanging="425"/>
        <w:contextualSpacing w:val="0"/>
        <w:rPr>
          <w:sz w:val="20"/>
          <w:szCs w:val="20"/>
          <w:lang w:val="es-MX"/>
        </w:rPr>
      </w:pPr>
      <w:r w:rsidRPr="00F91404">
        <w:rPr>
          <w:sz w:val="20"/>
          <w:szCs w:val="20"/>
        </w:rPr>
        <w:t xml:space="preserve">International Renewable Energy Agency (IRENA) (2022). Policies for Green Hydrogen. </w:t>
      </w:r>
      <w:r w:rsidRPr="004278C7">
        <w:rPr>
          <w:sz w:val="20"/>
          <w:szCs w:val="20"/>
          <w:lang w:val="es-MX"/>
        </w:rPr>
        <w:t>Abu Dhabi: IRENA.</w:t>
      </w:r>
      <w:r w:rsidR="00CB078E" w:rsidRPr="004278C7">
        <w:rPr>
          <w:sz w:val="20"/>
          <w:szCs w:val="20"/>
          <w:lang w:val="es-MX"/>
        </w:rPr>
        <w:t xml:space="preserve"> (https://www.irena.org/publications/2022/Nov/Green-Hydrogen-Strategy)</w:t>
      </w:r>
    </w:p>
    <w:p w14:paraId="2A6897C0" w14:textId="5F89553E"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International Renewable Energy Agency (IRENA) (2023). Hydrogen: A Renewable Energy Perspective. Abu Dhabi: IRENA.</w:t>
      </w:r>
      <w:r w:rsidR="00CB078E" w:rsidRPr="00F91404">
        <w:rPr>
          <w:sz w:val="20"/>
          <w:szCs w:val="20"/>
        </w:rPr>
        <w:t xml:space="preserve"> (https://www.irena.org/publications)</w:t>
      </w:r>
    </w:p>
    <w:p w14:paraId="5D41456A" w14:textId="05249D23" w:rsidR="00D643F2" w:rsidRPr="004278C7" w:rsidRDefault="00DA7ED4" w:rsidP="008D5DDD">
      <w:pPr>
        <w:pStyle w:val="ListParagraph"/>
        <w:numPr>
          <w:ilvl w:val="0"/>
          <w:numId w:val="18"/>
        </w:numPr>
        <w:spacing w:before="60" w:after="0" w:line="276" w:lineRule="auto"/>
        <w:ind w:left="850" w:hanging="425"/>
        <w:contextualSpacing w:val="0"/>
        <w:rPr>
          <w:sz w:val="20"/>
          <w:szCs w:val="20"/>
          <w:lang w:val="es-MX"/>
        </w:rPr>
      </w:pPr>
      <w:r w:rsidRPr="00F91404">
        <w:rPr>
          <w:sz w:val="20"/>
          <w:szCs w:val="20"/>
        </w:rPr>
        <w:t xml:space="preserve">International Renewable Energy Agency (IRENA) (2024). Green Hydrogen Strategy Design. </w:t>
      </w:r>
      <w:r w:rsidRPr="004278C7">
        <w:rPr>
          <w:sz w:val="20"/>
          <w:szCs w:val="20"/>
          <w:lang w:val="es-MX"/>
        </w:rPr>
        <w:t>Abu Dhabi: IRENA.</w:t>
      </w:r>
      <w:r w:rsidR="00CB078E" w:rsidRPr="004278C7">
        <w:rPr>
          <w:sz w:val="20"/>
          <w:szCs w:val="20"/>
          <w:lang w:val="es-MX"/>
        </w:rPr>
        <w:t xml:space="preserve"> (</w:t>
      </w:r>
      <w:r w:rsidR="00B3759C" w:rsidRPr="004278C7">
        <w:rPr>
          <w:sz w:val="20"/>
          <w:szCs w:val="20"/>
          <w:lang w:val="es-MX"/>
        </w:rPr>
        <w:t>https://www.irena.org/-/media/Files/IRENA/Agency/Publication/2024/Jul/IRENA_Green_hydrogen_strategy_design_2024.pdf</w:t>
      </w:r>
      <w:r w:rsidR="00CB078E" w:rsidRPr="004278C7">
        <w:rPr>
          <w:sz w:val="20"/>
          <w:szCs w:val="20"/>
          <w:lang w:val="es-MX"/>
        </w:rPr>
        <w:t>)</w:t>
      </w:r>
    </w:p>
    <w:p w14:paraId="0DD730CF" w14:textId="63E37DBE" w:rsidR="00C05EEA" w:rsidRPr="00F91404" w:rsidRDefault="00C05EEA"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World Bank / ESMAP (2024). Hydrogen for Development (H4D). Washington, DC: World Bank.</w:t>
      </w:r>
      <w:r w:rsidR="00CB078E" w:rsidRPr="00F91404">
        <w:rPr>
          <w:sz w:val="20"/>
          <w:szCs w:val="20"/>
        </w:rPr>
        <w:t xml:space="preserve"> (</w:t>
      </w:r>
      <w:hyperlink r:id="rId25" w:history="1">
        <w:r w:rsidR="00B3759C" w:rsidRPr="00F91404">
          <w:t>https://www.worldbank.org/en/programs/esmap</w:t>
        </w:r>
      </w:hyperlink>
      <w:r w:rsidR="00CB078E" w:rsidRPr="00F91404">
        <w:rPr>
          <w:sz w:val="20"/>
          <w:szCs w:val="20"/>
        </w:rPr>
        <w:t>)</w:t>
      </w:r>
    </w:p>
    <w:p w14:paraId="487BC4DB" w14:textId="6905D74A" w:rsidR="00B3759C" w:rsidRPr="00F91404" w:rsidRDefault="00B3759C"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OECD (2021), OECD Policy Responses to Hydrogen, Paris: OECD: (https://www.oecd.org/content/dam/oecd/en/publications/reports/2022/02/innovation-and-industrial-policies-for-green-hydrogen_4cfdd6bd/f0bb5d8c-en.pdf)</w:t>
      </w:r>
    </w:p>
    <w:p w14:paraId="42F043A0" w14:textId="77777777" w:rsidR="00C05EEA" w:rsidRPr="00F91404" w:rsidRDefault="00C05EEA" w:rsidP="00DA7ED4">
      <w:pPr>
        <w:spacing w:line="276" w:lineRule="auto"/>
        <w:rPr>
          <w:b/>
          <w:bCs/>
          <w:sz w:val="20"/>
          <w:szCs w:val="20"/>
        </w:rPr>
      </w:pPr>
    </w:p>
    <w:p w14:paraId="07551D24" w14:textId="165F1B62" w:rsidR="00DA7ED4" w:rsidRPr="00F91404" w:rsidRDefault="00DA7ED4" w:rsidP="00DA7ED4">
      <w:pPr>
        <w:spacing w:line="276" w:lineRule="auto"/>
        <w:rPr>
          <w:b/>
          <w:bCs/>
          <w:color w:val="004C43"/>
          <w:sz w:val="20"/>
          <w:szCs w:val="20"/>
        </w:rPr>
      </w:pPr>
      <w:r w:rsidRPr="00F91404">
        <w:rPr>
          <w:b/>
          <w:bCs/>
          <w:color w:val="004C43"/>
          <w:sz w:val="20"/>
          <w:szCs w:val="20"/>
        </w:rPr>
        <w:t>Mexico policy, regulation and context</w:t>
      </w:r>
    </w:p>
    <w:p w14:paraId="59486FDD" w14:textId="2022EE2A" w:rsidR="00DA7ED4" w:rsidRPr="004278C7" w:rsidRDefault="00DA7ED4" w:rsidP="008D5DDD">
      <w:pPr>
        <w:pStyle w:val="ListParagraph"/>
        <w:numPr>
          <w:ilvl w:val="0"/>
          <w:numId w:val="18"/>
        </w:numPr>
        <w:spacing w:before="60" w:after="0" w:line="276" w:lineRule="auto"/>
        <w:ind w:left="850" w:hanging="425"/>
        <w:contextualSpacing w:val="0"/>
        <w:rPr>
          <w:sz w:val="20"/>
          <w:szCs w:val="20"/>
          <w:lang w:val="es-MX"/>
        </w:rPr>
      </w:pPr>
      <w:r w:rsidRPr="004278C7">
        <w:rPr>
          <w:sz w:val="20"/>
          <w:szCs w:val="20"/>
          <w:lang w:val="es-MX"/>
        </w:rPr>
        <w:t>Government of Mexico (2025). Tercera Contribución Determinada a Nivel Nacional de México (NDC 3.0).</w:t>
      </w:r>
      <w:r w:rsidR="00CB078E" w:rsidRPr="004278C7">
        <w:rPr>
          <w:sz w:val="20"/>
          <w:szCs w:val="20"/>
          <w:lang w:val="es-MX"/>
        </w:rPr>
        <w:t xml:space="preserve"> (https://unfccc.int/sites/default/files/2025-11/NDC%203.0%20Me%CC%81xico_spanish.pdf)</w:t>
      </w:r>
    </w:p>
    <w:p w14:paraId="33E24B3A" w14:textId="530AC5A4" w:rsidR="00DA7ED4" w:rsidRPr="004278C7" w:rsidRDefault="00DA7ED4" w:rsidP="008D5DDD">
      <w:pPr>
        <w:pStyle w:val="ListParagraph"/>
        <w:numPr>
          <w:ilvl w:val="0"/>
          <w:numId w:val="18"/>
        </w:numPr>
        <w:spacing w:before="60" w:after="0" w:line="276" w:lineRule="auto"/>
        <w:ind w:left="850" w:hanging="425"/>
        <w:contextualSpacing w:val="0"/>
        <w:rPr>
          <w:sz w:val="20"/>
          <w:szCs w:val="20"/>
          <w:lang w:val="es-MX"/>
        </w:rPr>
      </w:pPr>
      <w:r w:rsidRPr="004278C7">
        <w:rPr>
          <w:sz w:val="20"/>
          <w:szCs w:val="20"/>
          <w:lang w:val="es-MX"/>
        </w:rPr>
        <w:t>Secretaría de Energía (SENER) (2024). Lineamientos en Materia de Hidrógeno.</w:t>
      </w:r>
      <w:r w:rsidR="00CB078E" w:rsidRPr="004278C7">
        <w:rPr>
          <w:sz w:val="20"/>
          <w:szCs w:val="20"/>
          <w:lang w:val="es-MX"/>
        </w:rPr>
        <w:t xml:space="preserve"> (https://www.gob.mx/sener/documentos/lineamientos-en-materia-de-hidrogeno)</w:t>
      </w:r>
    </w:p>
    <w:p w14:paraId="66710DFD" w14:textId="29E976E9" w:rsidR="00DA7ED4" w:rsidRPr="004278C7" w:rsidRDefault="00DA7ED4" w:rsidP="008D5DDD">
      <w:pPr>
        <w:pStyle w:val="ListParagraph"/>
        <w:numPr>
          <w:ilvl w:val="0"/>
          <w:numId w:val="18"/>
        </w:numPr>
        <w:spacing w:before="60" w:after="0" w:line="276" w:lineRule="auto"/>
        <w:ind w:left="850" w:hanging="425"/>
        <w:contextualSpacing w:val="0"/>
        <w:rPr>
          <w:sz w:val="20"/>
          <w:szCs w:val="20"/>
          <w:lang w:val="es-MX"/>
        </w:rPr>
      </w:pPr>
      <w:r w:rsidRPr="004278C7">
        <w:rPr>
          <w:sz w:val="20"/>
          <w:szCs w:val="20"/>
          <w:lang w:val="es-MX"/>
        </w:rPr>
        <w:t xml:space="preserve">Secretaría de Energía (SENER) (2023–2024). Prospectiva del Sector Eléctrico and national energy </w:t>
      </w:r>
      <w:r w:rsidRPr="004278C7">
        <w:rPr>
          <w:sz w:val="20"/>
          <w:szCs w:val="20"/>
          <w:lang w:val="es-MX"/>
        </w:rPr>
        <w:br/>
        <w:t>statistics.</w:t>
      </w:r>
      <w:r w:rsidR="00CB078E" w:rsidRPr="004278C7">
        <w:rPr>
          <w:sz w:val="20"/>
          <w:szCs w:val="20"/>
          <w:lang w:val="es-MX"/>
        </w:rPr>
        <w:t xml:space="preserve"> (https://www.gob.mx/sener/acciones-y-programas/prospectiva-del-sector-electrico)</w:t>
      </w:r>
    </w:p>
    <w:p w14:paraId="20DF8148" w14:textId="4640650B" w:rsidR="00DA7ED4" w:rsidRPr="004278C7" w:rsidRDefault="00DA7ED4" w:rsidP="008D5DDD">
      <w:pPr>
        <w:pStyle w:val="ListParagraph"/>
        <w:numPr>
          <w:ilvl w:val="0"/>
          <w:numId w:val="18"/>
        </w:numPr>
        <w:spacing w:before="60" w:after="0" w:line="276" w:lineRule="auto"/>
        <w:ind w:left="850" w:hanging="425"/>
        <w:contextualSpacing w:val="0"/>
        <w:rPr>
          <w:sz w:val="20"/>
          <w:szCs w:val="20"/>
          <w:lang w:val="es-MX"/>
        </w:rPr>
      </w:pPr>
      <w:r w:rsidRPr="004278C7">
        <w:rPr>
          <w:sz w:val="20"/>
          <w:szCs w:val="20"/>
          <w:lang w:val="es-MX"/>
        </w:rPr>
        <w:t>ERM (2024). Estrategia Industrial de Hidrógeno Limpio de México. Prepared for the Asociación Mexicana de Hidrógeno, with analytical inputs from Centro Mario Molina.</w:t>
      </w:r>
      <w:r w:rsidR="00CB078E" w:rsidRPr="004278C7">
        <w:rPr>
          <w:sz w:val="20"/>
          <w:szCs w:val="20"/>
          <w:lang w:val="es-MX"/>
        </w:rPr>
        <w:t xml:space="preserve"> (https://h2mex.org/wp-content/uploads/ERM_Estrategia_de_Hidrogeno-Resumen-Ejecutivo-Distribucion-Oct-2024.pdf)</w:t>
      </w:r>
    </w:p>
    <w:p w14:paraId="396F72C2" w14:textId="77777777" w:rsidR="00DA7ED4" w:rsidRPr="004278C7" w:rsidRDefault="00DA7ED4" w:rsidP="00DA7ED4">
      <w:pPr>
        <w:spacing w:line="276" w:lineRule="auto"/>
        <w:rPr>
          <w:sz w:val="20"/>
          <w:szCs w:val="20"/>
          <w:lang w:val="es-MX"/>
        </w:rPr>
      </w:pPr>
    </w:p>
    <w:p w14:paraId="039260E2" w14:textId="77777777" w:rsidR="00DA7ED4" w:rsidRPr="00F91404" w:rsidRDefault="00DA7ED4" w:rsidP="00DA7ED4">
      <w:pPr>
        <w:spacing w:line="276" w:lineRule="auto"/>
        <w:rPr>
          <w:b/>
          <w:bCs/>
          <w:color w:val="004C43"/>
          <w:sz w:val="20"/>
          <w:szCs w:val="20"/>
        </w:rPr>
      </w:pPr>
      <w:r w:rsidRPr="00F91404">
        <w:rPr>
          <w:b/>
          <w:bCs/>
          <w:color w:val="004C43"/>
          <w:sz w:val="20"/>
          <w:szCs w:val="20"/>
        </w:rPr>
        <w:t>International policy frameworks and certification</w:t>
      </w:r>
    </w:p>
    <w:p w14:paraId="65AB720E" w14:textId="4EA30AE0"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European Commission (2023). Delegated Regulation on Renewable Fuels of Non-Biological Origin (RFNBOs).</w:t>
      </w:r>
      <w:r w:rsidR="00BD668E" w:rsidRPr="00F91404">
        <w:rPr>
          <w:sz w:val="20"/>
          <w:szCs w:val="20"/>
        </w:rPr>
        <w:t xml:space="preserve"> (https://eur-lex.europa.eu/legal-content/EN/TXT/?uri=CELEX:32023R2415)</w:t>
      </w:r>
    </w:p>
    <w:p w14:paraId="1CBDFCDC" w14:textId="634DEA43"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European Commission (2022). Guarantees of Origin for Renewable Energy.</w:t>
      </w:r>
      <w:r w:rsidR="00BD668E" w:rsidRPr="00F91404">
        <w:rPr>
          <w:sz w:val="20"/>
          <w:szCs w:val="20"/>
        </w:rPr>
        <w:t xml:space="preserve"> (https://energy.ec.europa.eu/topics/renewable-energy/renewable-energy-directive/guarantees-origin-renewable-energy_en)</w:t>
      </w:r>
    </w:p>
    <w:p w14:paraId="3F9A33CD" w14:textId="77777777" w:rsidR="00DA7ED4" w:rsidRPr="00F91404" w:rsidRDefault="00DA7ED4" w:rsidP="00DA7ED4">
      <w:pPr>
        <w:spacing w:line="276" w:lineRule="auto"/>
        <w:rPr>
          <w:color w:val="004C43"/>
          <w:sz w:val="20"/>
          <w:szCs w:val="20"/>
        </w:rPr>
      </w:pPr>
    </w:p>
    <w:p w14:paraId="19C21BF0" w14:textId="77777777" w:rsidR="00DA7ED4" w:rsidRPr="00F91404" w:rsidRDefault="00DA7ED4" w:rsidP="00DA7ED4">
      <w:pPr>
        <w:spacing w:line="276" w:lineRule="auto"/>
        <w:rPr>
          <w:b/>
          <w:bCs/>
          <w:color w:val="004C43"/>
          <w:sz w:val="20"/>
          <w:szCs w:val="20"/>
        </w:rPr>
      </w:pPr>
      <w:r w:rsidRPr="00F91404">
        <w:rPr>
          <w:b/>
          <w:bCs/>
          <w:color w:val="004C43"/>
          <w:sz w:val="20"/>
          <w:szCs w:val="20"/>
        </w:rPr>
        <w:t>Country-specific strategies and policy frameworks</w:t>
      </w:r>
    </w:p>
    <w:p w14:paraId="79F79AEC" w14:textId="41AE3DDB"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lastRenderedPageBreak/>
        <w:t>Federal Ministry for Economic Affairs and Climate Action (Germany) (2020, updated). National Hydrogen Strategy.</w:t>
      </w:r>
      <w:r w:rsidR="00BD668E" w:rsidRPr="00F91404">
        <w:rPr>
          <w:sz w:val="20"/>
          <w:szCs w:val="20"/>
        </w:rPr>
        <w:t xml:space="preserve"> (https://adelphi.de/system/files/document/Factsheet%20Germany%27s%20National%20Hydrogen%20Strategy%20Update%202023_0.pdf)</w:t>
      </w:r>
    </w:p>
    <w:p w14:paraId="1EBEC68B" w14:textId="67834060"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Government of the Netherlands (2020, updated). National Hydrogen Strategy.</w:t>
      </w:r>
      <w:r w:rsidR="00BD668E" w:rsidRPr="00F91404">
        <w:rPr>
          <w:sz w:val="20"/>
          <w:szCs w:val="20"/>
        </w:rPr>
        <w:t xml:space="preserve"> (https://english.rvo.nl/sites/default/files/2020/07/Hydrogen-Strategy-TheNetherlands%20-%20English.pdf)</w:t>
      </w:r>
    </w:p>
    <w:p w14:paraId="2642048E" w14:textId="68422F70"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UK Government (2021, updated). UK Hydrogen Strategy.</w:t>
      </w:r>
      <w:r w:rsidR="00BD668E" w:rsidRPr="00F91404">
        <w:rPr>
          <w:sz w:val="20"/>
          <w:szCs w:val="20"/>
        </w:rPr>
        <w:t xml:space="preserve"> (https://www.gov.uk/government/publications/uk-hydrogen-strategy)</w:t>
      </w:r>
    </w:p>
    <w:p w14:paraId="456C9F3C" w14:textId="00995F17"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Government of Japan (2017, updated). Basic Hydrogen Strategy.</w:t>
      </w:r>
      <w:r w:rsidR="00BD668E" w:rsidRPr="00F91404">
        <w:rPr>
          <w:sz w:val="20"/>
          <w:szCs w:val="20"/>
        </w:rPr>
        <w:t xml:space="preserve"> (https://www.meti.go.jp/shingikai/enecho/shoene_shinene/suiso_seisaku/pdf/20230606_5.pdf)</w:t>
      </w:r>
    </w:p>
    <w:p w14:paraId="029C288F" w14:textId="5A1A7A80"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Government of Australia (2019, updated). National Hydrogen Strategy.</w:t>
      </w:r>
      <w:r w:rsidR="00BD668E" w:rsidRPr="00F91404">
        <w:rPr>
          <w:sz w:val="20"/>
          <w:szCs w:val="20"/>
        </w:rPr>
        <w:t xml:space="preserve"> (https://www.dcceew.gov.au/sites/default/files/documents/national-hydrogen-strategy-2024.pdf)</w:t>
      </w:r>
    </w:p>
    <w:p w14:paraId="3387238D" w14:textId="0CDADC03"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Government of the Republic of Korea (2019). Hydrogen Economy Roadmap.</w:t>
      </w:r>
      <w:r w:rsidR="00BD668E" w:rsidRPr="00F91404">
        <w:rPr>
          <w:sz w:val="20"/>
          <w:szCs w:val="20"/>
        </w:rPr>
        <w:t xml:space="preserve"> (https://h2council.com.au/wp-content/uploads/2022/10/KOR-Hydrogen-Economy-Roadmap-of-Korea_REV-Jan19.pdf)</w:t>
      </w:r>
    </w:p>
    <w:p w14:paraId="582AC687" w14:textId="2DDC9657"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Government of China (2022). Medium- and Long-Term Plan for the Development of the Hydrogen Energy Industry.</w:t>
      </w:r>
      <w:r w:rsidR="009E51F6" w:rsidRPr="00F91404">
        <w:rPr>
          <w:sz w:val="20"/>
          <w:szCs w:val="20"/>
        </w:rPr>
        <w:t xml:space="preserve"> (https://climate-laws.org/document/medium-and-long-term-plan-for-the-development-of-the-hydrogen-energy-industry-2021-2035_37a6)</w:t>
      </w:r>
    </w:p>
    <w:p w14:paraId="67F3FE01" w14:textId="34EC2FFE"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Government of India (2023). National Green Hydrogen Mission.</w:t>
      </w:r>
      <w:r w:rsidR="009E51F6" w:rsidRPr="00F91404">
        <w:rPr>
          <w:sz w:val="20"/>
          <w:szCs w:val="20"/>
        </w:rPr>
        <w:t xml:space="preserve"> (https://cdnbbsr.s3waas.gov.in/s3716e1b8c6cd17b771da77391355749f3/uploads/2023/01/2023012338.pdf)</w:t>
      </w:r>
    </w:p>
    <w:p w14:paraId="21223C57" w14:textId="6B9DD5C5" w:rsidR="00DA7ED4"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Government of Chile (2020). National Green Hydrogen Strategy.</w:t>
      </w:r>
      <w:r w:rsidR="009E51F6" w:rsidRPr="00F91404">
        <w:rPr>
          <w:sz w:val="20"/>
          <w:szCs w:val="20"/>
        </w:rPr>
        <w:t xml:space="preserve"> (https://energia.gob.cl/sites/default/files/national_green_hydrogen_strategy_-_chile.pdf)</w:t>
      </w:r>
    </w:p>
    <w:p w14:paraId="7060214A" w14:textId="3AA08DA3" w:rsidR="00CA5621"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Government of Colombia (2021). Hydrogen Roadmap.</w:t>
      </w:r>
      <w:r w:rsidR="009E51F6" w:rsidRPr="00F91404">
        <w:rPr>
          <w:sz w:val="20"/>
          <w:szCs w:val="20"/>
        </w:rPr>
        <w:t xml:space="preserve"> (https://www.minenergia.gov.co/documents/5862/Colombias_Hydrogen_Roadmap_2810.pdf)</w:t>
      </w:r>
    </w:p>
    <w:p w14:paraId="5446CF3C" w14:textId="0CC5EE1E" w:rsidR="005722FF" w:rsidRPr="00F91404" w:rsidRDefault="00DA7ED4" w:rsidP="008D5DDD">
      <w:pPr>
        <w:pStyle w:val="ListParagraph"/>
        <w:numPr>
          <w:ilvl w:val="0"/>
          <w:numId w:val="18"/>
        </w:numPr>
        <w:spacing w:before="60" w:after="0" w:line="276" w:lineRule="auto"/>
        <w:ind w:left="850" w:hanging="425"/>
        <w:contextualSpacing w:val="0"/>
        <w:rPr>
          <w:sz w:val="20"/>
          <w:szCs w:val="20"/>
        </w:rPr>
      </w:pPr>
      <w:r w:rsidRPr="00F91404">
        <w:rPr>
          <w:sz w:val="20"/>
          <w:szCs w:val="20"/>
        </w:rPr>
        <w:t>Government of Peru (2022). National Hydrogen Roadmap.</w:t>
      </w:r>
      <w:r w:rsidR="009E51F6" w:rsidRPr="00F91404">
        <w:rPr>
          <w:sz w:val="20"/>
          <w:szCs w:val="20"/>
        </w:rPr>
        <w:t xml:space="preserve"> (https://h2.pe/uploads/01_Bases-para-la-elaboracion-estrategia-H2V-Peru.pdf)</w:t>
      </w:r>
    </w:p>
    <w:p w14:paraId="334A2F5F" w14:textId="77777777" w:rsidR="00777018" w:rsidRPr="00F91404" w:rsidRDefault="00777018" w:rsidP="00777018"/>
    <w:p w14:paraId="10F6D819" w14:textId="77777777" w:rsidR="00777018" w:rsidRPr="00F91404" w:rsidRDefault="00777018" w:rsidP="00777018"/>
    <w:p w14:paraId="1B2960C6" w14:textId="703648AE" w:rsidR="00777018" w:rsidRPr="00F91404" w:rsidRDefault="00777018">
      <w:pPr>
        <w:rPr>
          <w:sz w:val="20"/>
          <w:szCs w:val="20"/>
        </w:rPr>
      </w:pPr>
      <w:r w:rsidRPr="00F91404">
        <w:rPr>
          <w:sz w:val="20"/>
          <w:szCs w:val="20"/>
        </w:rPr>
        <w:br w:type="page"/>
      </w:r>
    </w:p>
    <w:p w14:paraId="6D8F3771" w14:textId="77777777" w:rsidR="00777018" w:rsidRPr="00F91404" w:rsidRDefault="00777018" w:rsidP="00777018">
      <w:pPr>
        <w:spacing w:after="0"/>
        <w:rPr>
          <w:sz w:val="2"/>
          <w:szCs w:val="2"/>
        </w:rPr>
      </w:pPr>
    </w:p>
    <w:p w14:paraId="70FA81A0" w14:textId="77777777" w:rsidR="00777018" w:rsidRPr="00F91404" w:rsidRDefault="00777018" w:rsidP="00777018">
      <w:pPr>
        <w:suppressAutoHyphens/>
        <w:spacing w:after="0"/>
        <w:rPr>
          <w:sz w:val="2"/>
          <w:szCs w:val="2"/>
        </w:rPr>
      </w:pPr>
      <w:r w:rsidRPr="00F91404">
        <w:tab/>
      </w:r>
    </w:p>
    <w:p w14:paraId="554BC771" w14:textId="37825AC7" w:rsidR="00777018" w:rsidRPr="00F91404" w:rsidRDefault="00AA77D6" w:rsidP="00AA77D6">
      <w:pPr>
        <w:pStyle w:val="Heading1"/>
      </w:pPr>
      <w:bookmarkStart w:id="45" w:name="_Toc220786531"/>
      <w:r w:rsidRPr="00F91404">
        <w:t>Annex</w:t>
      </w:r>
      <w:bookmarkEnd w:id="45"/>
    </w:p>
    <w:p w14:paraId="221E2587" w14:textId="2590B798" w:rsidR="00074C04" w:rsidRPr="00F91404" w:rsidRDefault="00074C04" w:rsidP="00D31919">
      <w:pPr>
        <w:rPr>
          <w:b/>
          <w:bCs/>
          <w:color w:val="004C43" w:themeColor="accent1"/>
          <w:sz w:val="24"/>
          <w:szCs w:val="24"/>
        </w:rPr>
      </w:pPr>
      <w:r w:rsidRPr="00F91404">
        <w:rPr>
          <w:b/>
          <w:bCs/>
          <w:color w:val="004C43" w:themeColor="accent1"/>
          <w:sz w:val="24"/>
          <w:szCs w:val="24"/>
        </w:rPr>
        <w:t>Country profiles</w:t>
      </w:r>
    </w:p>
    <w:p w14:paraId="348FF30C" w14:textId="77777777" w:rsidR="00284F2B" w:rsidRPr="00284F2B" w:rsidRDefault="00284F2B" w:rsidP="00284F2B">
      <w:pPr>
        <w:rPr>
          <w:rFonts w:cstheme="minorHAnsi"/>
          <w:sz w:val="20"/>
          <w:szCs w:val="20"/>
        </w:rPr>
      </w:pPr>
      <w:r w:rsidRPr="00284F2B">
        <w:rPr>
          <w:rFonts w:cstheme="minorHAnsi"/>
          <w:sz w:val="20"/>
          <w:szCs w:val="20"/>
        </w:rPr>
        <w:t>The country policy profiles below illustrate how governance structures and legal frameworks shape green hydrogen policy design and implementation across benchmark countries. Each profile highlights who leads and coordinates hydrogen policy, how responsibilities are distributed across institutions, and the degree of regulatory definition in place, providing essential context for interpreting the policy instruments summarised in the sections that follow.</w:t>
      </w:r>
    </w:p>
    <w:p w14:paraId="116BEAF4" w14:textId="77777777" w:rsidR="00284F2B" w:rsidRPr="00284F2B" w:rsidRDefault="00284F2B" w:rsidP="00284F2B">
      <w:pPr>
        <w:rPr>
          <w:rFonts w:cstheme="minorHAnsi"/>
          <w:sz w:val="20"/>
          <w:szCs w:val="20"/>
        </w:rPr>
      </w:pPr>
      <w:r w:rsidRPr="00284F2B">
        <w:rPr>
          <w:rFonts w:cstheme="minorHAnsi"/>
          <w:sz w:val="20"/>
          <w:szCs w:val="20"/>
        </w:rPr>
        <w:t>The expanded profiles are presented in a structured table format to ensure consistency and comparability across countries. In line with SENER’s request, the tables incorporate additional coverage on the broader renewable energy context, hydrogen value chain positioning, stage of development and strategic objectives, key stakeholders involved, and reference to official policy portals and public sources. These elements are integrated within the standardised table structure rather than presented as separate narrative headings, maintaining coherence with the overall benchmarking framework.</w:t>
      </w:r>
    </w:p>
    <w:p w14:paraId="1B2DACE9" w14:textId="77777777" w:rsidR="00074C04" w:rsidRPr="00F91404" w:rsidRDefault="00074C04" w:rsidP="00074C04">
      <w:pPr>
        <w:rPr>
          <w:rFonts w:cstheme="minorHAnsi"/>
          <w:sz w:val="20"/>
          <w:szCs w:val="20"/>
          <w:highlight w:val="yellow"/>
        </w:rPr>
      </w:pPr>
    </w:p>
    <w:p w14:paraId="424F3385" w14:textId="77777777" w:rsidR="00074C04" w:rsidRPr="00F91404" w:rsidRDefault="00074C04" w:rsidP="00074C04">
      <w:pPr>
        <w:rPr>
          <w:rFonts w:cstheme="minorHAnsi"/>
          <w:sz w:val="20"/>
          <w:szCs w:val="20"/>
          <w:highlight w:val="yellow"/>
        </w:rPr>
      </w:pPr>
    </w:p>
    <w:p w14:paraId="73785D17" w14:textId="77777777" w:rsidR="00074C04" w:rsidRPr="00F91404" w:rsidRDefault="00074C04" w:rsidP="00074C04">
      <w:pPr>
        <w:rPr>
          <w:rFonts w:cstheme="minorHAnsi"/>
          <w:sz w:val="20"/>
          <w:szCs w:val="20"/>
          <w:highlight w:val="yellow"/>
        </w:rPr>
      </w:pPr>
    </w:p>
    <w:p w14:paraId="6B982B25" w14:textId="77777777" w:rsidR="00074C04" w:rsidRPr="00F91404" w:rsidRDefault="00074C04" w:rsidP="00074C04">
      <w:pPr>
        <w:rPr>
          <w:rFonts w:cstheme="minorHAnsi"/>
          <w:sz w:val="20"/>
          <w:szCs w:val="20"/>
          <w:highlight w:val="yellow"/>
        </w:rPr>
      </w:pPr>
    </w:p>
    <w:p w14:paraId="47BC2AF1" w14:textId="77777777" w:rsidR="00074C04" w:rsidRPr="00F91404" w:rsidRDefault="00074C04" w:rsidP="00074C04">
      <w:pPr>
        <w:rPr>
          <w:rFonts w:cstheme="minorHAnsi"/>
          <w:sz w:val="20"/>
          <w:szCs w:val="20"/>
          <w:highlight w:val="yellow"/>
        </w:rPr>
      </w:pPr>
    </w:p>
    <w:p w14:paraId="18C84D2C" w14:textId="77777777" w:rsidR="00074C04" w:rsidRPr="00F91404" w:rsidRDefault="00074C04" w:rsidP="00074C04">
      <w:pPr>
        <w:rPr>
          <w:rFonts w:cstheme="minorHAnsi"/>
          <w:sz w:val="20"/>
          <w:szCs w:val="20"/>
          <w:highlight w:val="yellow"/>
        </w:rPr>
      </w:pPr>
    </w:p>
    <w:p w14:paraId="574560DB" w14:textId="77777777" w:rsidR="00074C04" w:rsidRPr="00F91404" w:rsidRDefault="00074C04" w:rsidP="00074C04">
      <w:pPr>
        <w:rPr>
          <w:rFonts w:cstheme="minorHAnsi"/>
          <w:sz w:val="20"/>
          <w:szCs w:val="20"/>
          <w:highlight w:val="yellow"/>
        </w:rPr>
      </w:pPr>
    </w:p>
    <w:p w14:paraId="1BA1A387" w14:textId="77777777" w:rsidR="00074C04" w:rsidRPr="00F91404" w:rsidRDefault="00074C04" w:rsidP="00074C04">
      <w:pPr>
        <w:rPr>
          <w:rFonts w:cstheme="minorHAnsi"/>
          <w:sz w:val="20"/>
          <w:szCs w:val="20"/>
          <w:highlight w:val="yellow"/>
        </w:rPr>
      </w:pPr>
    </w:p>
    <w:p w14:paraId="230B3016" w14:textId="77777777" w:rsidR="00074C04" w:rsidRPr="00F91404" w:rsidRDefault="00074C04" w:rsidP="00074C04">
      <w:pPr>
        <w:rPr>
          <w:rFonts w:cstheme="minorHAnsi"/>
          <w:sz w:val="20"/>
          <w:szCs w:val="20"/>
          <w:highlight w:val="yellow"/>
        </w:rPr>
      </w:pPr>
    </w:p>
    <w:p w14:paraId="7F407EC0" w14:textId="77777777" w:rsidR="00074C04" w:rsidRPr="00F91404" w:rsidRDefault="00074C04" w:rsidP="00074C04">
      <w:pPr>
        <w:rPr>
          <w:rFonts w:cstheme="minorHAnsi"/>
          <w:sz w:val="20"/>
          <w:szCs w:val="20"/>
          <w:highlight w:val="yellow"/>
        </w:rPr>
      </w:pPr>
    </w:p>
    <w:p w14:paraId="684B85E2" w14:textId="77777777" w:rsidR="00074C04" w:rsidRPr="00F91404" w:rsidRDefault="00074C04" w:rsidP="00074C04">
      <w:pPr>
        <w:rPr>
          <w:rFonts w:cstheme="minorHAnsi"/>
          <w:sz w:val="20"/>
          <w:szCs w:val="20"/>
          <w:highlight w:val="yellow"/>
        </w:rPr>
      </w:pPr>
    </w:p>
    <w:p w14:paraId="345C0BF0" w14:textId="77777777" w:rsidR="00074C04" w:rsidRPr="00F91404" w:rsidRDefault="00074C04" w:rsidP="00074C04">
      <w:pPr>
        <w:rPr>
          <w:rFonts w:cstheme="minorHAnsi"/>
          <w:sz w:val="20"/>
          <w:szCs w:val="20"/>
          <w:highlight w:val="yellow"/>
        </w:rPr>
      </w:pPr>
    </w:p>
    <w:p w14:paraId="4A42D20D" w14:textId="77777777" w:rsidR="00074C04" w:rsidRPr="00F91404" w:rsidRDefault="00074C04" w:rsidP="00074C04">
      <w:pPr>
        <w:rPr>
          <w:rFonts w:cstheme="minorHAnsi"/>
          <w:sz w:val="20"/>
          <w:szCs w:val="20"/>
          <w:highlight w:val="yellow"/>
        </w:rPr>
      </w:pPr>
    </w:p>
    <w:p w14:paraId="00810ABA" w14:textId="77777777" w:rsidR="00074C04" w:rsidRPr="00F91404" w:rsidRDefault="00074C04" w:rsidP="00074C04">
      <w:pPr>
        <w:rPr>
          <w:rFonts w:cstheme="minorHAnsi"/>
          <w:sz w:val="20"/>
          <w:szCs w:val="20"/>
          <w:highlight w:val="yellow"/>
        </w:rPr>
      </w:pPr>
    </w:p>
    <w:p w14:paraId="7185386A" w14:textId="77777777" w:rsidR="00074C04" w:rsidRPr="00F91404" w:rsidRDefault="00074C04" w:rsidP="00074C04">
      <w:pPr>
        <w:rPr>
          <w:rFonts w:cstheme="minorHAnsi"/>
          <w:sz w:val="20"/>
          <w:szCs w:val="20"/>
          <w:highlight w:val="yellow"/>
        </w:rPr>
      </w:pPr>
    </w:p>
    <w:p w14:paraId="1ED23937" w14:textId="77777777" w:rsidR="00074C04" w:rsidRPr="00F91404" w:rsidRDefault="00074C04" w:rsidP="00074C04">
      <w:pPr>
        <w:rPr>
          <w:rFonts w:cstheme="minorHAnsi"/>
          <w:sz w:val="20"/>
          <w:szCs w:val="20"/>
          <w:highlight w:val="yellow"/>
        </w:rPr>
      </w:pPr>
    </w:p>
    <w:p w14:paraId="01E9B7FE" w14:textId="77777777" w:rsidR="00074C04" w:rsidRPr="00F91404" w:rsidRDefault="00074C04" w:rsidP="00074C04">
      <w:pPr>
        <w:rPr>
          <w:rFonts w:cstheme="minorHAnsi"/>
          <w:sz w:val="20"/>
          <w:szCs w:val="20"/>
          <w:highlight w:val="yellow"/>
        </w:rPr>
      </w:pPr>
    </w:p>
    <w:p w14:paraId="5F282C10" w14:textId="77777777" w:rsidR="00074C04" w:rsidRPr="00F91404" w:rsidRDefault="00074C04" w:rsidP="00074C04">
      <w:pPr>
        <w:rPr>
          <w:rFonts w:cstheme="minorHAnsi"/>
          <w:color w:val="004F26" w:themeColor="accent4" w:themeShade="80"/>
          <w:sz w:val="20"/>
          <w:szCs w:val="20"/>
        </w:rPr>
      </w:pPr>
    </w:p>
    <w:p w14:paraId="022C28B9" w14:textId="77777777" w:rsidR="00074C04" w:rsidRPr="00F91404" w:rsidRDefault="00074C04" w:rsidP="00074C04">
      <w:pPr>
        <w:rPr>
          <w:rFonts w:cstheme="minorHAnsi"/>
          <w:color w:val="004F26" w:themeColor="accent4" w:themeShade="80"/>
          <w:sz w:val="20"/>
          <w:szCs w:val="20"/>
        </w:rPr>
      </w:pPr>
    </w:p>
    <w:p w14:paraId="1DE0FCF6" w14:textId="77777777" w:rsidR="00074C04" w:rsidRDefault="00074C04" w:rsidP="00074C04">
      <w:pPr>
        <w:rPr>
          <w:rFonts w:cstheme="minorHAnsi"/>
          <w:color w:val="004F26" w:themeColor="accent4" w:themeShade="80"/>
          <w:sz w:val="20"/>
          <w:szCs w:val="20"/>
        </w:rPr>
      </w:pPr>
    </w:p>
    <w:p w14:paraId="3E018D86" w14:textId="77777777" w:rsidR="00F91404" w:rsidRPr="00F91404" w:rsidRDefault="00F91404" w:rsidP="00F91404">
      <w:pPr>
        <w:rPr>
          <w:b/>
          <w:bCs/>
          <w:i/>
          <w:iCs/>
          <w:color w:val="004C43" w:themeColor="accent1"/>
          <w:sz w:val="24"/>
          <w:szCs w:val="32"/>
        </w:rPr>
      </w:pPr>
      <w:r w:rsidRPr="00F91404">
        <w:rPr>
          <w:b/>
          <w:bCs/>
          <w:color w:val="004C43" w:themeColor="accent1"/>
          <w:sz w:val="24"/>
          <w:szCs w:val="32"/>
        </w:rPr>
        <w:lastRenderedPageBreak/>
        <w:t>Australia</w:t>
      </w:r>
    </w:p>
    <w:p w14:paraId="5C9F2F76" w14:textId="77777777" w:rsidR="00F91404" w:rsidRPr="00F91404" w:rsidRDefault="00F91404" w:rsidP="00F91404">
      <w:pPr>
        <w:rPr>
          <w:rFonts w:cstheme="minorHAnsi"/>
          <w:sz w:val="20"/>
          <w:szCs w:val="20"/>
        </w:rPr>
      </w:pPr>
      <w:r w:rsidRPr="00F91404">
        <w:rPr>
          <w:rFonts w:cstheme="minorHAnsi"/>
          <w:sz w:val="20"/>
          <w:szCs w:val="20"/>
        </w:rPr>
        <w:t>Australia operates under a federal–state governance model. National authorities set strategic direction and funding frameworks, while state governments lead hydrogen hub development, permitting and infrastructure delivery. Public agencies such as ARENA administer grants and innovation funding, and the Clean Energy Regulator (CER) oversees renewable certification and emissions accounting relevant to hydrogen.</w:t>
      </w:r>
    </w:p>
    <w:p w14:paraId="61EC9D47" w14:textId="77777777" w:rsidR="00F91404" w:rsidRPr="00F91404" w:rsidRDefault="00F91404" w:rsidP="00F91404">
      <w:pPr>
        <w:rPr>
          <w:rFonts w:cstheme="minorHAnsi"/>
          <w:sz w:val="20"/>
          <w:szCs w:val="20"/>
        </w:rPr>
      </w:pPr>
      <w:r w:rsidRPr="00F91404">
        <w:rPr>
          <w:rFonts w:cstheme="minorHAnsi"/>
          <w:sz w:val="20"/>
          <w:szCs w:val="20"/>
        </w:rPr>
        <w:t>Hydrogen certification and regulatory frameworks are still evolving, particularly to ensure export market credibility. Institutional roles, however, are clearly delineated across federal and state levels. Australia is positioned at a scaling, export-oriented stage, with governance designed to support large, hub-based projects linked to ports and renewable resource zones.</w:t>
      </w:r>
    </w:p>
    <w:tbl>
      <w:tblPr>
        <w:tblW w:w="5000" w:type="pct"/>
        <w:jc w:val="center"/>
        <w:tblCellMar>
          <w:top w:w="15" w:type="dxa"/>
          <w:left w:w="70" w:type="dxa"/>
          <w:right w:w="70" w:type="dxa"/>
        </w:tblCellMar>
        <w:tblLook w:val="04A0" w:firstRow="1" w:lastRow="0" w:firstColumn="1" w:lastColumn="0" w:noHBand="0" w:noVBand="1"/>
      </w:tblPr>
      <w:tblGrid>
        <w:gridCol w:w="2126"/>
        <w:gridCol w:w="411"/>
        <w:gridCol w:w="1320"/>
        <w:gridCol w:w="824"/>
        <w:gridCol w:w="911"/>
        <w:gridCol w:w="1280"/>
        <w:gridCol w:w="467"/>
        <w:gridCol w:w="2124"/>
        <w:gridCol w:w="146"/>
      </w:tblGrid>
      <w:tr w:rsidR="00F91404" w:rsidRPr="00F91404" w14:paraId="351B1256" w14:textId="77777777" w:rsidTr="00BD1985">
        <w:trPr>
          <w:gridAfter w:val="1"/>
          <w:wAfter w:w="76" w:type="pct"/>
          <w:trHeight w:val="1060"/>
          <w:jc w:val="center"/>
        </w:trPr>
        <w:tc>
          <w:tcPr>
            <w:tcW w:w="1106" w:type="pct"/>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4D5A9DB6"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w:t>
            </w:r>
            <w:r w:rsidRPr="00F91404">
              <w:rPr>
                <w:rFonts w:eastAsia="Times New Roman" w:cstheme="minorHAnsi"/>
                <w:b/>
                <w:bCs/>
                <w:color w:val="FFFFFF" w:themeColor="background1"/>
                <w:sz w:val="18"/>
                <w:szCs w:val="18"/>
                <w:lang w:eastAsia="es-MX"/>
              </w:rPr>
              <w:br/>
            </w:r>
            <w:r w:rsidRPr="00F91404">
              <w:rPr>
                <w:rFonts w:eastAsia="Times New Roman" w:cstheme="minorHAnsi"/>
                <w:b/>
                <w:color w:val="FFFFFF" w:themeColor="background1"/>
                <w:sz w:val="18"/>
                <w:szCs w:val="18"/>
                <w:lang w:eastAsia="es-MX"/>
              </w:rPr>
              <w:t xml:space="preserve">production capacity </w:t>
            </w:r>
          </w:p>
          <w:p w14:paraId="28611EB1"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Operational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01"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30E34265"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capacity Planned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03"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1976EB38"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Hydrogen </w:t>
            </w:r>
          </w:p>
          <w:p w14:paraId="022A849C"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pipelines </w:t>
            </w:r>
            <w:r w:rsidRPr="00F91404">
              <w:rPr>
                <w:rFonts w:eastAsia="Times New Roman" w:cstheme="minorHAnsi"/>
                <w:b/>
                <w:color w:val="FFFFFF" w:themeColor="background1"/>
                <w:sz w:val="18"/>
                <w:szCs w:val="18"/>
                <w:lang w:eastAsia="es-MX"/>
              </w:rPr>
              <w:br/>
              <w:t>(km)</w:t>
            </w:r>
          </w:p>
        </w:tc>
        <w:tc>
          <w:tcPr>
            <w:tcW w:w="909"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342E102A"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Ammonia port </w:t>
            </w:r>
          </w:p>
          <w:p w14:paraId="662EFDA4"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storage capacity </w:t>
            </w:r>
            <w:r w:rsidRPr="00F91404">
              <w:rPr>
                <w:rFonts w:eastAsia="Times New Roman" w:cstheme="minorHAnsi"/>
                <w:b/>
                <w:color w:val="FFFFFF" w:themeColor="background1"/>
                <w:sz w:val="18"/>
                <w:szCs w:val="18"/>
                <w:lang w:eastAsia="es-MX"/>
              </w:rPr>
              <w:br/>
              <w:t>(Thousand tonnes)</w:t>
            </w:r>
          </w:p>
        </w:tc>
        <w:tc>
          <w:tcPr>
            <w:tcW w:w="1105" w:type="pct"/>
            <w:tcBorders>
              <w:top w:val="single" w:sz="12" w:space="0" w:color="808080"/>
              <w:left w:val="nil"/>
              <w:bottom w:val="single" w:sz="12" w:space="0" w:color="808080"/>
              <w:right w:val="single" w:sz="12" w:space="0" w:color="808080"/>
            </w:tcBorders>
            <w:shd w:val="clear" w:color="auto" w:fill="004C43" w:themeFill="accent1"/>
            <w:vAlign w:val="center"/>
            <w:hideMark/>
          </w:tcPr>
          <w:p w14:paraId="33C55A04"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Dominant market model</w:t>
            </w:r>
          </w:p>
        </w:tc>
      </w:tr>
      <w:tr w:rsidR="00F91404" w:rsidRPr="00F91404" w14:paraId="33D865BE" w14:textId="77777777" w:rsidTr="00BD1985">
        <w:trPr>
          <w:gridAfter w:val="1"/>
          <w:wAfter w:w="76" w:type="pct"/>
          <w:trHeight w:val="2740"/>
          <w:jc w:val="center"/>
        </w:trPr>
        <w:tc>
          <w:tcPr>
            <w:tcW w:w="1106" w:type="pct"/>
            <w:tcBorders>
              <w:top w:val="nil"/>
              <w:left w:val="single" w:sz="12" w:space="0" w:color="808080"/>
              <w:bottom w:val="single" w:sz="12" w:space="0" w:color="808080"/>
              <w:right w:val="single" w:sz="12" w:space="0" w:color="808080"/>
            </w:tcBorders>
            <w:noWrap/>
            <w:vAlign w:val="center"/>
            <w:hideMark/>
          </w:tcPr>
          <w:p w14:paraId="6A9B40A3"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46BC0BF9" wp14:editId="3724362F">
                  <wp:extent cx="1224280" cy="1463040"/>
                  <wp:effectExtent l="0" t="0" r="0" b="3810"/>
                  <wp:docPr id="191007123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9915"/>
                          <a:stretch>
                            <a:fillRect/>
                          </a:stretch>
                        </pic:blipFill>
                        <pic:spPr bwMode="auto">
                          <a:xfrm>
                            <a:off x="0" y="0"/>
                            <a:ext cx="1243480" cy="14859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01" w:type="pct"/>
            <w:gridSpan w:val="2"/>
            <w:tcBorders>
              <w:top w:val="nil"/>
              <w:left w:val="nil"/>
              <w:bottom w:val="single" w:sz="12" w:space="0" w:color="808080"/>
              <w:right w:val="single" w:sz="12" w:space="0" w:color="808080"/>
            </w:tcBorders>
            <w:noWrap/>
            <w:vAlign w:val="center"/>
            <w:hideMark/>
          </w:tcPr>
          <w:p w14:paraId="610B8D6C"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033F840B" wp14:editId="36B93ABE">
                  <wp:extent cx="970060" cy="1505461"/>
                  <wp:effectExtent l="0" t="0" r="1905" b="0"/>
                  <wp:docPr id="142726206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8133" r="26590" b="9079"/>
                          <a:stretch>
                            <a:fillRect/>
                          </a:stretch>
                        </pic:blipFill>
                        <pic:spPr bwMode="auto">
                          <a:xfrm>
                            <a:off x="0" y="0"/>
                            <a:ext cx="998927" cy="15502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03" w:type="pct"/>
            <w:gridSpan w:val="2"/>
            <w:tcBorders>
              <w:top w:val="nil"/>
              <w:left w:val="nil"/>
              <w:bottom w:val="single" w:sz="12" w:space="0" w:color="808080"/>
              <w:right w:val="single" w:sz="12" w:space="0" w:color="808080"/>
            </w:tcBorders>
            <w:noWrap/>
            <w:vAlign w:val="center"/>
            <w:hideMark/>
          </w:tcPr>
          <w:p w14:paraId="133D4AC5"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828</w:t>
            </w:r>
          </w:p>
          <w:p w14:paraId="316A1593"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7B0F4CF6" wp14:editId="15086438">
                  <wp:extent cx="938051" cy="1011748"/>
                  <wp:effectExtent l="0" t="0" r="0" b="0"/>
                  <wp:docPr id="66746209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54341" cy="1029317"/>
                          </a:xfrm>
                          <a:prstGeom prst="rect">
                            <a:avLst/>
                          </a:prstGeom>
                          <a:noFill/>
                        </pic:spPr>
                      </pic:pic>
                    </a:graphicData>
                  </a:graphic>
                </wp:inline>
              </w:drawing>
            </w:r>
          </w:p>
        </w:tc>
        <w:tc>
          <w:tcPr>
            <w:tcW w:w="909" w:type="pct"/>
            <w:gridSpan w:val="2"/>
            <w:tcBorders>
              <w:top w:val="nil"/>
              <w:left w:val="nil"/>
              <w:bottom w:val="single" w:sz="12" w:space="0" w:color="808080"/>
              <w:right w:val="single" w:sz="12" w:space="0" w:color="808080"/>
            </w:tcBorders>
            <w:noWrap/>
            <w:vAlign w:val="center"/>
            <w:hideMark/>
          </w:tcPr>
          <w:p w14:paraId="4DCA701C"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173.0</w:t>
            </w:r>
          </w:p>
          <w:p w14:paraId="6A3BB57D"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7DF96CB7" wp14:editId="64CCA768">
                  <wp:extent cx="911424" cy="1031337"/>
                  <wp:effectExtent l="0" t="0" r="3175" b="0"/>
                  <wp:docPr id="206138379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32838" cy="1055568"/>
                          </a:xfrm>
                          <a:prstGeom prst="rect">
                            <a:avLst/>
                          </a:prstGeom>
                          <a:noFill/>
                        </pic:spPr>
                      </pic:pic>
                    </a:graphicData>
                  </a:graphic>
                </wp:inline>
              </w:drawing>
            </w:r>
          </w:p>
        </w:tc>
        <w:tc>
          <w:tcPr>
            <w:tcW w:w="1105" w:type="pct"/>
            <w:tcBorders>
              <w:top w:val="nil"/>
              <w:left w:val="nil"/>
              <w:bottom w:val="single" w:sz="12" w:space="0" w:color="808080"/>
              <w:right w:val="single" w:sz="12" w:space="0" w:color="808080"/>
            </w:tcBorders>
            <w:vAlign w:val="center"/>
            <w:hideMark/>
          </w:tcPr>
          <w:p w14:paraId="0FAE7C04"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1A3F3599" wp14:editId="05F7E8E1">
                  <wp:extent cx="1223044" cy="1259785"/>
                  <wp:effectExtent l="0" t="0" r="0" b="0"/>
                  <wp:docPr id="184786055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42661" cy="1279991"/>
                          </a:xfrm>
                          <a:prstGeom prst="rect">
                            <a:avLst/>
                          </a:prstGeom>
                          <a:noFill/>
                        </pic:spPr>
                      </pic:pic>
                    </a:graphicData>
                  </a:graphic>
                </wp:inline>
              </w:drawing>
            </w:r>
          </w:p>
        </w:tc>
      </w:tr>
      <w:tr w:rsidR="00F91404" w:rsidRPr="00F91404" w14:paraId="04FDDBCB" w14:textId="77777777" w:rsidTr="00BD1985">
        <w:trPr>
          <w:gridAfter w:val="1"/>
          <w:wAfter w:w="76" w:type="pct"/>
          <w:trHeight w:val="590"/>
          <w:jc w:val="center"/>
        </w:trPr>
        <w:tc>
          <w:tcPr>
            <w:tcW w:w="1320" w:type="pct"/>
            <w:gridSpan w:val="2"/>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0FC3FE05"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Overall Status</w:t>
            </w:r>
          </w:p>
        </w:tc>
        <w:tc>
          <w:tcPr>
            <w:tcW w:w="1116" w:type="pct"/>
            <w:gridSpan w:val="2"/>
            <w:tcBorders>
              <w:top w:val="nil"/>
              <w:left w:val="nil"/>
              <w:bottom w:val="single" w:sz="12" w:space="0" w:color="808080"/>
              <w:right w:val="single" w:sz="12" w:space="0" w:color="808080"/>
            </w:tcBorders>
            <w:shd w:val="clear" w:color="auto" w:fill="004C43" w:themeFill="accent1"/>
            <w:vAlign w:val="center"/>
            <w:hideMark/>
          </w:tcPr>
          <w:p w14:paraId="6CF4D10B"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Strategies</w:t>
            </w:r>
          </w:p>
        </w:tc>
        <w:tc>
          <w:tcPr>
            <w:tcW w:w="1140" w:type="pct"/>
            <w:gridSpan w:val="2"/>
            <w:tcBorders>
              <w:top w:val="nil"/>
              <w:left w:val="nil"/>
              <w:bottom w:val="single" w:sz="12" w:space="0" w:color="808080"/>
              <w:right w:val="single" w:sz="12" w:space="0" w:color="808080"/>
            </w:tcBorders>
            <w:shd w:val="clear" w:color="auto" w:fill="004C43" w:themeFill="accent1"/>
            <w:vAlign w:val="center"/>
            <w:hideMark/>
          </w:tcPr>
          <w:p w14:paraId="07047AED"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Road Map </w:t>
            </w:r>
          </w:p>
        </w:tc>
        <w:tc>
          <w:tcPr>
            <w:tcW w:w="1348" w:type="pct"/>
            <w:gridSpan w:val="2"/>
            <w:tcBorders>
              <w:top w:val="nil"/>
              <w:left w:val="nil"/>
              <w:bottom w:val="single" w:sz="12" w:space="0" w:color="808080"/>
              <w:right w:val="single" w:sz="12" w:space="0" w:color="808080"/>
            </w:tcBorders>
            <w:shd w:val="clear" w:color="auto" w:fill="004C43" w:themeFill="accent1"/>
            <w:vAlign w:val="center"/>
            <w:hideMark/>
          </w:tcPr>
          <w:p w14:paraId="51EC872D"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Implementation &amp; </w:t>
            </w:r>
          </w:p>
          <w:p w14:paraId="7A0AA236"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Development Plans</w:t>
            </w:r>
          </w:p>
        </w:tc>
      </w:tr>
      <w:tr w:rsidR="00F91404" w:rsidRPr="00F91404" w14:paraId="4BACEF67" w14:textId="77777777" w:rsidTr="00BD1985">
        <w:trPr>
          <w:gridAfter w:val="1"/>
          <w:wAfter w:w="76" w:type="pct"/>
          <w:trHeight w:val="659"/>
          <w:jc w:val="center"/>
        </w:trPr>
        <w:tc>
          <w:tcPr>
            <w:tcW w:w="1320" w:type="pct"/>
            <w:gridSpan w:val="2"/>
            <w:vMerge w:val="restart"/>
            <w:tcBorders>
              <w:top w:val="single" w:sz="12" w:space="0" w:color="808080"/>
              <w:left w:val="single" w:sz="12" w:space="0" w:color="808080"/>
              <w:bottom w:val="single" w:sz="12" w:space="0" w:color="808080"/>
              <w:right w:val="single" w:sz="12" w:space="0" w:color="808080"/>
            </w:tcBorders>
            <w:vAlign w:val="center"/>
            <w:hideMark/>
          </w:tcPr>
          <w:p w14:paraId="19E5BD0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Export-led hydrogen market focused on large-scale, capital-intensive projects</w:t>
            </w:r>
          </w:p>
          <w:p w14:paraId="1D92B8C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framework designed to address high upfront investment risk and global price uncertainty</w:t>
            </w:r>
          </w:p>
          <w:p w14:paraId="20C752F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Combines shared hub infrastructure with revenue support contracts to enable project viability</w:t>
            </w:r>
          </w:p>
          <w:p w14:paraId="19C732D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Model tailored to export-scale hydrogen and ammonia linked to ports and renewable resource zones</w:t>
            </w:r>
          </w:p>
          <w:p w14:paraId="09F70D4C" w14:textId="77777777" w:rsidR="00F91404" w:rsidRPr="00F91404" w:rsidRDefault="00F91404" w:rsidP="00BD1985">
            <w:pPr>
              <w:spacing w:after="0"/>
              <w:jc w:val="center"/>
              <w:rPr>
                <w:rFonts w:eastAsia="Times New Roman" w:cstheme="minorHAnsi"/>
                <w:b/>
                <w:bCs/>
                <w:color w:val="000000"/>
                <w:sz w:val="18"/>
                <w:szCs w:val="18"/>
                <w:lang w:eastAsia="es-MX"/>
              </w:rPr>
            </w:pPr>
          </w:p>
        </w:tc>
        <w:tc>
          <w:tcPr>
            <w:tcW w:w="1116" w:type="pct"/>
            <w:gridSpan w:val="2"/>
            <w:vMerge w:val="restart"/>
            <w:tcBorders>
              <w:top w:val="nil"/>
              <w:left w:val="single" w:sz="12" w:space="0" w:color="808080"/>
              <w:bottom w:val="single" w:sz="12" w:space="0" w:color="808080"/>
              <w:right w:val="single" w:sz="12" w:space="0" w:color="808080"/>
            </w:tcBorders>
            <w:vAlign w:val="center"/>
            <w:hideMark/>
          </w:tcPr>
          <w:p w14:paraId="65C5DB3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Positions green hydrogen as a strategic export </w:t>
            </w:r>
            <w:r w:rsidRPr="00F91404">
              <w:rPr>
                <w:rFonts w:eastAsia="Times New Roman" w:cstheme="minorHAnsi"/>
                <w:sz w:val="18"/>
                <w:szCs w:val="18"/>
                <w:lang w:eastAsia="es-MX"/>
              </w:rPr>
              <w:br/>
              <w:t>industry</w:t>
            </w:r>
          </w:p>
          <w:p w14:paraId="7278FA6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Leverages abundant renewable resources to supply international markets, particularly ammonia</w:t>
            </w:r>
          </w:p>
          <w:p w14:paraId="262ACDD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Focuses on:</w:t>
            </w:r>
          </w:p>
          <w:p w14:paraId="53282A6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Export-oriented production at scale</w:t>
            </w:r>
          </w:p>
          <w:p w14:paraId="46EF246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Development of hydrogen hubs linked to ports</w:t>
            </w:r>
          </w:p>
          <w:p w14:paraId="5F53863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Domestic decarbonisation is supported where economically viable, but export markets are the primary driver</w:t>
            </w:r>
          </w:p>
        </w:tc>
        <w:tc>
          <w:tcPr>
            <w:tcW w:w="1140" w:type="pct"/>
            <w:gridSpan w:val="2"/>
            <w:vMerge w:val="restart"/>
            <w:tcBorders>
              <w:top w:val="nil"/>
              <w:left w:val="single" w:sz="12" w:space="0" w:color="808080"/>
              <w:bottom w:val="single" w:sz="12" w:space="0" w:color="808080"/>
              <w:right w:val="single" w:sz="12" w:space="0" w:color="808080"/>
            </w:tcBorders>
            <w:vAlign w:val="center"/>
            <w:hideMark/>
          </w:tcPr>
          <w:p w14:paraId="2250B1D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Strategy adoption (2019–2020): National hydrogen strategy establishes export-oriented ambition</w:t>
            </w:r>
          </w:p>
          <w:p w14:paraId="0CC25D7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Pilot and hub development phase (2020–2022): Early pilots and planning of large-scale hydrogen hubs</w:t>
            </w:r>
          </w:p>
          <w:p w14:paraId="178977F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Market activation phase (current): Deployment of Hydrogen Headstart and CAPEX support for hubs</w:t>
            </w:r>
          </w:p>
          <w:p w14:paraId="0FCB829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Next phase: Scaling export-oriented production aligned with global hydrogen and ammonia demand</w:t>
            </w:r>
          </w:p>
        </w:tc>
        <w:tc>
          <w:tcPr>
            <w:tcW w:w="1348" w:type="pct"/>
            <w:gridSpan w:val="2"/>
            <w:vMerge w:val="restart"/>
            <w:tcBorders>
              <w:top w:val="nil"/>
              <w:left w:val="single" w:sz="12" w:space="0" w:color="808080"/>
              <w:bottom w:val="single" w:sz="12" w:space="0" w:color="808080"/>
              <w:right w:val="single" w:sz="12" w:space="0" w:color="808080"/>
            </w:tcBorders>
            <w:vAlign w:val="center"/>
            <w:hideMark/>
          </w:tcPr>
          <w:p w14:paraId="0D5CADA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Execution coordinated across federal and state governments</w:t>
            </w:r>
          </w:p>
          <w:p w14:paraId="377D886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Key instruments include:</w:t>
            </w:r>
          </w:p>
          <w:p w14:paraId="65E69083"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CAPEX support for hydrogen hubs and shared infrastructure</w:t>
            </w:r>
          </w:p>
          <w:p w14:paraId="5942DB2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Hydrogen Headstart revenue support contracts for large-scale projects</w:t>
            </w:r>
          </w:p>
          <w:p w14:paraId="74DEB17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Delivery involves public agencies and private developers, focused on export corridors and port infrastructure</w:t>
            </w:r>
          </w:p>
          <w:p w14:paraId="1E4B5948" w14:textId="77777777" w:rsidR="00F91404" w:rsidRPr="00F91404" w:rsidRDefault="00F91404" w:rsidP="00BD1985">
            <w:pPr>
              <w:spacing w:after="0"/>
              <w:jc w:val="center"/>
              <w:rPr>
                <w:rFonts w:eastAsia="Times New Roman" w:cstheme="minorHAnsi"/>
                <w:color w:val="000000"/>
                <w:sz w:val="18"/>
                <w:szCs w:val="18"/>
                <w:lang w:eastAsia="es-MX"/>
              </w:rPr>
            </w:pPr>
          </w:p>
        </w:tc>
      </w:tr>
      <w:tr w:rsidR="00F91404" w:rsidRPr="00F91404" w14:paraId="20245540" w14:textId="77777777" w:rsidTr="00BD1985">
        <w:trPr>
          <w:trHeight w:val="5584"/>
          <w:jc w:val="center"/>
        </w:trPr>
        <w:tc>
          <w:tcPr>
            <w:tcW w:w="1320" w:type="pct"/>
            <w:gridSpan w:val="2"/>
            <w:vMerge/>
            <w:tcBorders>
              <w:top w:val="single" w:sz="12" w:space="0" w:color="808080"/>
              <w:left w:val="single" w:sz="12" w:space="0" w:color="808080"/>
              <w:bottom w:val="single" w:sz="12" w:space="0" w:color="808080"/>
              <w:right w:val="single" w:sz="12" w:space="0" w:color="808080"/>
            </w:tcBorders>
            <w:vAlign w:val="center"/>
            <w:hideMark/>
          </w:tcPr>
          <w:p w14:paraId="446930DD" w14:textId="77777777" w:rsidR="00F91404" w:rsidRPr="00F91404" w:rsidRDefault="00F91404" w:rsidP="00BD1985">
            <w:pPr>
              <w:spacing w:after="0"/>
              <w:rPr>
                <w:rFonts w:eastAsia="Times New Roman" w:cstheme="minorHAnsi"/>
                <w:b/>
                <w:bCs/>
                <w:color w:val="000000"/>
                <w:sz w:val="18"/>
                <w:szCs w:val="18"/>
                <w:lang w:eastAsia="es-MX"/>
              </w:rPr>
            </w:pPr>
          </w:p>
        </w:tc>
        <w:tc>
          <w:tcPr>
            <w:tcW w:w="1116" w:type="pct"/>
            <w:gridSpan w:val="2"/>
            <w:vMerge/>
            <w:tcBorders>
              <w:top w:val="nil"/>
              <w:left w:val="single" w:sz="12" w:space="0" w:color="808080"/>
              <w:bottom w:val="single" w:sz="12" w:space="0" w:color="808080"/>
              <w:right w:val="single" w:sz="12" w:space="0" w:color="808080"/>
            </w:tcBorders>
            <w:vAlign w:val="center"/>
            <w:hideMark/>
          </w:tcPr>
          <w:p w14:paraId="12845E16" w14:textId="77777777" w:rsidR="00F91404" w:rsidRPr="00F91404" w:rsidRDefault="00F91404" w:rsidP="00BD1985">
            <w:pPr>
              <w:spacing w:after="0"/>
              <w:rPr>
                <w:rFonts w:eastAsia="Times New Roman" w:cstheme="minorHAnsi"/>
                <w:color w:val="000000"/>
                <w:sz w:val="18"/>
                <w:szCs w:val="18"/>
                <w:lang w:eastAsia="es-MX"/>
              </w:rPr>
            </w:pPr>
          </w:p>
        </w:tc>
        <w:tc>
          <w:tcPr>
            <w:tcW w:w="1140" w:type="pct"/>
            <w:gridSpan w:val="2"/>
            <w:vMerge/>
            <w:tcBorders>
              <w:top w:val="nil"/>
              <w:left w:val="single" w:sz="12" w:space="0" w:color="808080"/>
              <w:bottom w:val="single" w:sz="12" w:space="0" w:color="808080"/>
              <w:right w:val="single" w:sz="12" w:space="0" w:color="808080"/>
            </w:tcBorders>
            <w:vAlign w:val="center"/>
            <w:hideMark/>
          </w:tcPr>
          <w:p w14:paraId="7B1A36A0" w14:textId="77777777" w:rsidR="00F91404" w:rsidRPr="00F91404" w:rsidRDefault="00F91404" w:rsidP="00BD1985">
            <w:pPr>
              <w:spacing w:after="0"/>
              <w:rPr>
                <w:rFonts w:eastAsia="Times New Roman" w:cstheme="minorHAnsi"/>
                <w:color w:val="000000"/>
                <w:sz w:val="18"/>
                <w:szCs w:val="18"/>
                <w:lang w:eastAsia="es-MX"/>
              </w:rPr>
            </w:pPr>
          </w:p>
        </w:tc>
        <w:tc>
          <w:tcPr>
            <w:tcW w:w="1348" w:type="pct"/>
            <w:gridSpan w:val="2"/>
            <w:vMerge/>
            <w:tcBorders>
              <w:top w:val="nil"/>
              <w:left w:val="single" w:sz="12" w:space="0" w:color="808080"/>
              <w:bottom w:val="single" w:sz="12" w:space="0" w:color="808080"/>
              <w:right w:val="single" w:sz="12" w:space="0" w:color="808080"/>
            </w:tcBorders>
            <w:vAlign w:val="center"/>
            <w:hideMark/>
          </w:tcPr>
          <w:p w14:paraId="37AE80A7" w14:textId="77777777" w:rsidR="00F91404" w:rsidRPr="00F91404" w:rsidRDefault="00F91404" w:rsidP="00BD1985">
            <w:pPr>
              <w:spacing w:after="0"/>
              <w:rPr>
                <w:rFonts w:eastAsia="Times New Roman" w:cstheme="minorHAnsi"/>
                <w:color w:val="000000"/>
                <w:sz w:val="18"/>
                <w:szCs w:val="18"/>
                <w:lang w:eastAsia="es-MX"/>
              </w:rPr>
            </w:pPr>
          </w:p>
        </w:tc>
        <w:tc>
          <w:tcPr>
            <w:tcW w:w="76" w:type="pct"/>
            <w:tcBorders>
              <w:top w:val="nil"/>
              <w:left w:val="nil"/>
              <w:bottom w:val="nil"/>
              <w:right w:val="nil"/>
            </w:tcBorders>
            <w:noWrap/>
            <w:vAlign w:val="bottom"/>
            <w:hideMark/>
          </w:tcPr>
          <w:p w14:paraId="3C8A4921" w14:textId="77777777" w:rsidR="00F91404" w:rsidRPr="00F91404" w:rsidRDefault="00F91404" w:rsidP="00BD1985">
            <w:pPr>
              <w:spacing w:after="0"/>
              <w:jc w:val="center"/>
              <w:rPr>
                <w:rFonts w:eastAsia="Times New Roman" w:cstheme="minorHAnsi"/>
                <w:color w:val="000000"/>
                <w:sz w:val="18"/>
                <w:szCs w:val="18"/>
                <w:lang w:eastAsia="es-MX"/>
              </w:rPr>
            </w:pPr>
          </w:p>
        </w:tc>
      </w:tr>
      <w:tr w:rsidR="00F91404" w:rsidRPr="00F91404" w14:paraId="275AEBB5"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2CE73F0F"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lastRenderedPageBreak/>
              <w:t>Policies Framework</w:t>
            </w:r>
          </w:p>
        </w:tc>
        <w:tc>
          <w:tcPr>
            <w:tcW w:w="76" w:type="pct"/>
            <w:vAlign w:val="center"/>
            <w:hideMark/>
          </w:tcPr>
          <w:p w14:paraId="3E6AEEE0" w14:textId="77777777" w:rsidR="00F91404" w:rsidRPr="00F91404" w:rsidRDefault="00F91404" w:rsidP="00BD1985">
            <w:pPr>
              <w:spacing w:after="0"/>
              <w:rPr>
                <w:rFonts w:eastAsia="Times New Roman" w:cstheme="minorHAnsi"/>
                <w:sz w:val="18"/>
                <w:szCs w:val="18"/>
                <w:lang w:eastAsia="es-MX"/>
              </w:rPr>
            </w:pPr>
          </w:p>
        </w:tc>
      </w:tr>
      <w:tr w:rsidR="00F91404" w:rsidRPr="00F91404" w14:paraId="16F73128" w14:textId="77777777" w:rsidTr="00BD1985">
        <w:trPr>
          <w:trHeight w:val="1063"/>
          <w:jc w:val="center"/>
        </w:trPr>
        <w:tc>
          <w:tcPr>
            <w:tcW w:w="110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66113A8B"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Fiscal &amp; Tax </w:t>
            </w:r>
          </w:p>
          <w:p w14:paraId="3DFFE4C0"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Incentives</w:t>
            </w:r>
          </w:p>
        </w:tc>
        <w:tc>
          <w:tcPr>
            <w:tcW w:w="3818" w:type="pct"/>
            <w:gridSpan w:val="7"/>
            <w:tcBorders>
              <w:top w:val="single" w:sz="12" w:space="0" w:color="808080"/>
              <w:left w:val="nil"/>
              <w:bottom w:val="single" w:sz="12" w:space="0" w:color="808080"/>
              <w:right w:val="single" w:sz="12" w:space="0" w:color="808080"/>
            </w:tcBorders>
            <w:vAlign w:val="center"/>
            <w:hideMark/>
          </w:tcPr>
          <w:p w14:paraId="1CF77610" w14:textId="77777777" w:rsidR="00F91404" w:rsidRPr="00F91404" w:rsidRDefault="00F91404" w:rsidP="00BD1985">
            <w:pPr>
              <w:pStyle w:val="ListParagraph"/>
              <w:numPr>
                <w:ilvl w:val="0"/>
                <w:numId w:val="28"/>
              </w:numPr>
              <w:spacing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hydrogen-specific tax credits are applied at the national level</w:t>
            </w:r>
          </w:p>
          <w:p w14:paraId="5C791542" w14:textId="77777777" w:rsidR="00F91404" w:rsidRPr="00F91404" w:rsidRDefault="00F91404" w:rsidP="00BD1985">
            <w:pPr>
              <w:pStyle w:val="ListParagraph"/>
              <w:numPr>
                <w:ilvl w:val="0"/>
                <w:numId w:val="28"/>
              </w:numPr>
              <w:spacing w:before="240" w:after="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Deployment relies on non-tax instruments, rather than fiscal incentives</w:t>
            </w:r>
          </w:p>
          <w:p w14:paraId="2C316FD3" w14:textId="77777777" w:rsidR="00F91404" w:rsidRPr="00F91404" w:rsidRDefault="00F91404" w:rsidP="00BD1985">
            <w:pPr>
              <w:spacing w:after="0"/>
              <w:rPr>
                <w:rFonts w:eastAsia="Times New Roman" w:cstheme="minorHAnsi"/>
                <w:color w:val="000000"/>
                <w:sz w:val="18"/>
                <w:szCs w:val="18"/>
                <w:lang w:eastAsia="es-MX"/>
              </w:rPr>
            </w:pPr>
          </w:p>
        </w:tc>
        <w:tc>
          <w:tcPr>
            <w:tcW w:w="76" w:type="pct"/>
            <w:vAlign w:val="center"/>
            <w:hideMark/>
          </w:tcPr>
          <w:p w14:paraId="7F9BCC3D" w14:textId="77777777" w:rsidR="00F91404" w:rsidRPr="00F91404" w:rsidRDefault="00F91404" w:rsidP="00BD1985">
            <w:pPr>
              <w:spacing w:after="0"/>
              <w:rPr>
                <w:rFonts w:eastAsia="Times New Roman" w:cstheme="minorHAnsi"/>
                <w:sz w:val="18"/>
                <w:szCs w:val="18"/>
                <w:lang w:eastAsia="es-MX"/>
              </w:rPr>
            </w:pPr>
          </w:p>
        </w:tc>
      </w:tr>
      <w:tr w:rsidR="00F91404" w:rsidRPr="00F91404" w14:paraId="4F837DF4" w14:textId="77777777" w:rsidTr="00BD1985">
        <w:trPr>
          <w:trHeight w:val="2368"/>
          <w:jc w:val="center"/>
        </w:trPr>
        <w:tc>
          <w:tcPr>
            <w:tcW w:w="110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24257BB6"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Market and revenue support</w:t>
            </w:r>
          </w:p>
          <w:p w14:paraId="4D07C717"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 mechanisms</w:t>
            </w:r>
          </w:p>
        </w:tc>
        <w:tc>
          <w:tcPr>
            <w:tcW w:w="3818" w:type="pct"/>
            <w:gridSpan w:val="7"/>
            <w:tcBorders>
              <w:top w:val="single" w:sz="12" w:space="0" w:color="808080"/>
              <w:left w:val="nil"/>
              <w:bottom w:val="single" w:sz="12" w:space="0" w:color="808080"/>
              <w:right w:val="single" w:sz="12" w:space="0" w:color="808080"/>
            </w:tcBorders>
            <w:vAlign w:val="center"/>
            <w:hideMark/>
          </w:tcPr>
          <w:p w14:paraId="3E6D8C41" w14:textId="77777777" w:rsidR="00F91404" w:rsidRPr="00F91404" w:rsidRDefault="00F91404" w:rsidP="00BD1985">
            <w:pPr>
              <w:pStyle w:val="ListParagraph"/>
              <w:numPr>
                <w:ilvl w:val="0"/>
                <w:numId w:val="28"/>
              </w:numPr>
              <w:spacing w:after="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Hydrogen Headstart provides contract-based revenue support to large-scale hydrogen projects selected through competitive processes</w:t>
            </w:r>
          </w:p>
          <w:p w14:paraId="0BAA7DB9" w14:textId="77777777" w:rsidR="00F91404" w:rsidRPr="00F91404" w:rsidRDefault="00F91404" w:rsidP="00BD1985">
            <w:pPr>
              <w:pStyle w:val="ListParagraph"/>
              <w:numPr>
                <w:ilvl w:val="0"/>
                <w:numId w:val="28"/>
              </w:numPr>
              <w:spacing w:after="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Contracts are designed to bridge the cost gap during early market formation, when global hydrogen prices and long-term offtake remain uncertain</w:t>
            </w:r>
          </w:p>
          <w:p w14:paraId="26A5C919" w14:textId="77777777" w:rsidR="00F91404" w:rsidRPr="00F91404" w:rsidRDefault="00F91404" w:rsidP="00BD1985">
            <w:pPr>
              <w:pStyle w:val="ListParagraph"/>
              <w:numPr>
                <w:ilvl w:val="0"/>
                <w:numId w:val="28"/>
              </w:numPr>
              <w:spacing w:after="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The mechanism reduces merchant and price risk by providing predictable revenues over an initial operating period</w:t>
            </w:r>
          </w:p>
          <w:p w14:paraId="412081F9" w14:textId="77777777" w:rsidR="00F91404" w:rsidRPr="00F91404" w:rsidRDefault="00F91404" w:rsidP="00BD1985">
            <w:pPr>
              <w:pStyle w:val="ListParagraph"/>
              <w:numPr>
                <w:ilvl w:val="0"/>
                <w:numId w:val="28"/>
              </w:numPr>
              <w:spacing w:after="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Revenue support is explicitly linked to export-scale projects, enabling investment decisions for hydrogen and ammonia production connected to port-based hubs</w:t>
            </w:r>
          </w:p>
        </w:tc>
        <w:tc>
          <w:tcPr>
            <w:tcW w:w="76" w:type="pct"/>
            <w:vAlign w:val="center"/>
            <w:hideMark/>
          </w:tcPr>
          <w:p w14:paraId="172708A6" w14:textId="77777777" w:rsidR="00F91404" w:rsidRPr="00F91404" w:rsidRDefault="00F91404" w:rsidP="00BD1985">
            <w:pPr>
              <w:spacing w:after="0"/>
              <w:rPr>
                <w:rFonts w:eastAsia="Times New Roman" w:cstheme="minorHAnsi"/>
                <w:sz w:val="18"/>
                <w:szCs w:val="18"/>
                <w:lang w:eastAsia="es-MX"/>
              </w:rPr>
            </w:pPr>
          </w:p>
        </w:tc>
      </w:tr>
      <w:tr w:rsidR="00F91404" w:rsidRPr="00F91404" w14:paraId="49836C77" w14:textId="77777777" w:rsidTr="00BD1985">
        <w:trPr>
          <w:trHeight w:val="1954"/>
          <w:jc w:val="center"/>
        </w:trPr>
        <w:tc>
          <w:tcPr>
            <w:tcW w:w="110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0283D595"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Direct public </w:t>
            </w:r>
          </w:p>
          <w:p w14:paraId="16A563BD"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funding</w:t>
            </w:r>
          </w:p>
        </w:tc>
        <w:tc>
          <w:tcPr>
            <w:tcW w:w="3818" w:type="pct"/>
            <w:gridSpan w:val="7"/>
            <w:tcBorders>
              <w:top w:val="single" w:sz="12" w:space="0" w:color="808080"/>
              <w:left w:val="nil"/>
              <w:bottom w:val="single" w:sz="12" w:space="0" w:color="808080"/>
              <w:right w:val="single" w:sz="12" w:space="0" w:color="808080"/>
            </w:tcBorders>
            <w:vAlign w:val="center"/>
            <w:hideMark/>
          </w:tcPr>
          <w:p w14:paraId="61EFFC63" w14:textId="77777777" w:rsidR="00F91404" w:rsidRPr="00F91404" w:rsidRDefault="00F91404" w:rsidP="00BD1985">
            <w:pPr>
              <w:pStyle w:val="ListParagraph"/>
              <w:numPr>
                <w:ilvl w:val="0"/>
                <w:numId w:val="28"/>
              </w:numPr>
              <w:spacing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Federal and state governments provide CAPEX support through grants and co-investment</w:t>
            </w:r>
          </w:p>
          <w:p w14:paraId="4EB251A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Funding targets shared hub infrastructure, including:</w:t>
            </w:r>
          </w:p>
          <w:p w14:paraId="29F479BF"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Power and water interfaces</w:t>
            </w:r>
          </w:p>
          <w:p w14:paraId="22EF5FB1"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Port facilities</w:t>
            </w:r>
          </w:p>
          <w:p w14:paraId="5436D1D5"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Storage and logistics</w:t>
            </w:r>
          </w:p>
          <w:p w14:paraId="561CABA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Reduces first-mover CAPEX barriers and enables multiple projects to connect to common assets</w:t>
            </w:r>
          </w:p>
        </w:tc>
        <w:tc>
          <w:tcPr>
            <w:tcW w:w="76" w:type="pct"/>
            <w:vAlign w:val="center"/>
            <w:hideMark/>
          </w:tcPr>
          <w:p w14:paraId="24F0EB6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p>
        </w:tc>
      </w:tr>
      <w:tr w:rsidR="00F91404" w:rsidRPr="00F91404" w14:paraId="3ACC502F" w14:textId="77777777" w:rsidTr="00BD1985">
        <w:trPr>
          <w:trHeight w:val="1219"/>
          <w:jc w:val="center"/>
        </w:trPr>
        <w:tc>
          <w:tcPr>
            <w:tcW w:w="110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51E4E4DA"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Standards and </w:t>
            </w:r>
          </w:p>
          <w:p w14:paraId="552C4DF2"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certification</w:t>
            </w:r>
          </w:p>
        </w:tc>
        <w:tc>
          <w:tcPr>
            <w:tcW w:w="3818" w:type="pct"/>
            <w:gridSpan w:val="7"/>
            <w:tcBorders>
              <w:top w:val="single" w:sz="12" w:space="0" w:color="808080"/>
              <w:left w:val="nil"/>
              <w:bottom w:val="single" w:sz="12" w:space="0" w:color="808080"/>
              <w:right w:val="single" w:sz="12" w:space="0" w:color="808080"/>
            </w:tcBorders>
            <w:vAlign w:val="center"/>
            <w:hideMark/>
          </w:tcPr>
          <w:p w14:paraId="1FB71315" w14:textId="77777777" w:rsidR="00F91404" w:rsidRPr="00F91404" w:rsidRDefault="00F91404" w:rsidP="00BD1985">
            <w:pPr>
              <w:pStyle w:val="ListParagraph"/>
              <w:numPr>
                <w:ilvl w:val="0"/>
                <w:numId w:val="28"/>
              </w:numPr>
              <w:spacing w:after="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Certification schemes are under development and aligned with international market requirements</w:t>
            </w:r>
          </w:p>
          <w:p w14:paraId="4D63E21F" w14:textId="77777777" w:rsidR="00F91404" w:rsidRPr="00F91404" w:rsidRDefault="00F91404" w:rsidP="00BD1985">
            <w:pPr>
              <w:pStyle w:val="ListParagraph"/>
              <w:numPr>
                <w:ilvl w:val="0"/>
                <w:numId w:val="28"/>
              </w:numPr>
              <w:spacing w:after="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Certification functions as a market-access enabler for export projects</w:t>
            </w:r>
          </w:p>
          <w:p w14:paraId="0BE6A2C5" w14:textId="77777777" w:rsidR="00F91404" w:rsidRPr="00F91404" w:rsidRDefault="00F91404" w:rsidP="00BD1985">
            <w:pPr>
              <w:pStyle w:val="ListParagraph"/>
              <w:numPr>
                <w:ilvl w:val="0"/>
                <w:numId w:val="28"/>
              </w:numPr>
              <w:spacing w:after="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Lack of credible certification would limit offtake and financing for hydrogen and derivatives</w:t>
            </w:r>
          </w:p>
        </w:tc>
        <w:tc>
          <w:tcPr>
            <w:tcW w:w="76" w:type="pct"/>
            <w:vAlign w:val="center"/>
            <w:hideMark/>
          </w:tcPr>
          <w:p w14:paraId="29FF1B70" w14:textId="77777777" w:rsidR="00F91404" w:rsidRPr="00F91404" w:rsidRDefault="00F91404" w:rsidP="00BD1985">
            <w:pPr>
              <w:spacing w:after="0"/>
              <w:rPr>
                <w:rFonts w:eastAsia="Times New Roman" w:cstheme="minorHAnsi"/>
                <w:sz w:val="18"/>
                <w:szCs w:val="18"/>
                <w:lang w:eastAsia="es-MX"/>
              </w:rPr>
            </w:pPr>
          </w:p>
        </w:tc>
      </w:tr>
      <w:tr w:rsidR="00F91404" w:rsidRPr="00F91404" w14:paraId="4E22082F" w14:textId="77777777" w:rsidTr="00BD1985">
        <w:trPr>
          <w:trHeight w:val="1094"/>
          <w:jc w:val="center"/>
        </w:trPr>
        <w:tc>
          <w:tcPr>
            <w:tcW w:w="110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4B2CF344"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Infrastructure-</w:t>
            </w:r>
          </w:p>
          <w:p w14:paraId="167D4987"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enabling policies</w:t>
            </w:r>
          </w:p>
        </w:tc>
        <w:tc>
          <w:tcPr>
            <w:tcW w:w="3818" w:type="pct"/>
            <w:gridSpan w:val="7"/>
            <w:tcBorders>
              <w:top w:val="single" w:sz="12" w:space="0" w:color="808080"/>
              <w:left w:val="nil"/>
              <w:bottom w:val="single" w:sz="12" w:space="0" w:color="808080"/>
              <w:right w:val="single" w:sz="12" w:space="0" w:color="808080"/>
            </w:tcBorders>
            <w:vAlign w:val="center"/>
            <w:hideMark/>
          </w:tcPr>
          <w:p w14:paraId="5F7A810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Infrastructure policy focuses on export hubs and port-linked corridors</w:t>
            </w:r>
          </w:p>
          <w:p w14:paraId="79B3EFB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Shared enabling assets are aligned with large renewable resource zones</w:t>
            </w:r>
          </w:p>
          <w:p w14:paraId="06FFE59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Hub-based model supports system-scale deployment, rather than isolated projects</w:t>
            </w:r>
          </w:p>
          <w:p w14:paraId="2218C9C6" w14:textId="77777777" w:rsidR="00F91404" w:rsidRPr="00F91404" w:rsidRDefault="00F91404" w:rsidP="00BD1985">
            <w:pPr>
              <w:spacing w:after="0"/>
              <w:rPr>
                <w:rFonts w:eastAsia="Times New Roman" w:cstheme="minorHAnsi"/>
                <w:color w:val="000000"/>
                <w:sz w:val="18"/>
                <w:szCs w:val="18"/>
                <w:lang w:eastAsia="es-MX"/>
              </w:rPr>
            </w:pPr>
          </w:p>
        </w:tc>
        <w:tc>
          <w:tcPr>
            <w:tcW w:w="76" w:type="pct"/>
            <w:vAlign w:val="center"/>
            <w:hideMark/>
          </w:tcPr>
          <w:p w14:paraId="2C016F92" w14:textId="77777777" w:rsidR="00F91404" w:rsidRPr="00F91404" w:rsidRDefault="00F91404" w:rsidP="00BD1985">
            <w:pPr>
              <w:spacing w:after="0"/>
              <w:rPr>
                <w:rFonts w:eastAsia="Times New Roman" w:cstheme="minorHAnsi"/>
                <w:sz w:val="18"/>
                <w:szCs w:val="18"/>
                <w:lang w:eastAsia="es-MX"/>
              </w:rPr>
            </w:pPr>
          </w:p>
        </w:tc>
      </w:tr>
      <w:tr w:rsidR="00F91404" w:rsidRPr="00F91404" w14:paraId="797A7995"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0AA0CC3E"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Sectoral focus / Priority sectors</w:t>
            </w:r>
          </w:p>
        </w:tc>
        <w:tc>
          <w:tcPr>
            <w:tcW w:w="76" w:type="pct"/>
            <w:vAlign w:val="center"/>
          </w:tcPr>
          <w:p w14:paraId="55C81FD8" w14:textId="77777777" w:rsidR="00F91404" w:rsidRPr="00F91404" w:rsidRDefault="00F91404" w:rsidP="00BD1985">
            <w:pPr>
              <w:spacing w:after="0"/>
              <w:rPr>
                <w:rFonts w:eastAsia="Times New Roman" w:cstheme="minorHAnsi"/>
                <w:sz w:val="18"/>
                <w:szCs w:val="18"/>
                <w:lang w:eastAsia="es-MX"/>
              </w:rPr>
            </w:pPr>
          </w:p>
        </w:tc>
      </w:tr>
      <w:tr w:rsidR="00F91404" w:rsidRPr="00F91404" w14:paraId="702C0759" w14:textId="77777777" w:rsidTr="00BD1985">
        <w:trPr>
          <w:trHeight w:val="1639"/>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6A973A58" w14:textId="77777777" w:rsidR="00F91404" w:rsidRPr="00F91404" w:rsidRDefault="00F91404" w:rsidP="00BD1985">
            <w:pPr>
              <w:spacing w:after="0"/>
              <w:rPr>
                <w:rFonts w:eastAsia="Times New Roman" w:cstheme="minorHAnsi"/>
                <w:color w:val="FFFFFF"/>
                <w:sz w:val="18"/>
                <w:szCs w:val="18"/>
                <w:lang w:eastAsia="es-MX"/>
              </w:rPr>
            </w:pPr>
            <w:r w:rsidRPr="00F91404">
              <w:rPr>
                <w:rFonts w:eastAsia="Times New Roman" w:cstheme="minorHAnsi"/>
                <w:sz w:val="18"/>
                <w:szCs w:val="18"/>
                <w:lang w:eastAsia="es-MX"/>
              </w:rPr>
              <w:t>Demand is driven primarily by international export markets, with hydrogen and ammonia produced for shipping fuels, overseas power generation and industrial use. Domestic demand plays a secondary role, focused on early industrial applications and system integration.</w:t>
            </w:r>
          </w:p>
        </w:tc>
        <w:tc>
          <w:tcPr>
            <w:tcW w:w="76" w:type="pct"/>
            <w:vAlign w:val="center"/>
          </w:tcPr>
          <w:p w14:paraId="46A62D7E" w14:textId="77777777" w:rsidR="00F91404" w:rsidRPr="00F91404" w:rsidRDefault="00F91404" w:rsidP="00BD1985">
            <w:pPr>
              <w:spacing w:after="0"/>
              <w:rPr>
                <w:rFonts w:eastAsia="Times New Roman" w:cstheme="minorHAnsi"/>
                <w:sz w:val="18"/>
                <w:szCs w:val="18"/>
                <w:lang w:eastAsia="es-MX"/>
              </w:rPr>
            </w:pPr>
          </w:p>
        </w:tc>
      </w:tr>
      <w:tr w:rsidR="00F91404" w:rsidRPr="00F91404" w14:paraId="08CAB6A7" w14:textId="77777777" w:rsidTr="00BD1985">
        <w:trPr>
          <w:trHeight w:val="321"/>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6422D399"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Renewable Energy Context</w:t>
            </w:r>
          </w:p>
        </w:tc>
        <w:tc>
          <w:tcPr>
            <w:tcW w:w="76" w:type="pct"/>
            <w:vAlign w:val="center"/>
          </w:tcPr>
          <w:p w14:paraId="271C6E93" w14:textId="77777777" w:rsidR="00F91404" w:rsidRPr="00F91404" w:rsidRDefault="00F91404" w:rsidP="00BD1985">
            <w:pPr>
              <w:spacing w:after="0"/>
              <w:rPr>
                <w:rFonts w:eastAsia="Times New Roman" w:cstheme="minorHAnsi"/>
                <w:sz w:val="18"/>
                <w:szCs w:val="18"/>
                <w:lang w:eastAsia="es-MX"/>
              </w:rPr>
            </w:pPr>
          </w:p>
        </w:tc>
      </w:tr>
      <w:tr w:rsidR="00F91404" w:rsidRPr="00F91404" w14:paraId="7DFA04CC" w14:textId="77777777" w:rsidTr="00BD1985">
        <w:trPr>
          <w:trHeight w:val="2987"/>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63CDCF73"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Australia has expanded renewable electricity capacity significantly over the past decade, driven primarily by large-scale solar PV and onshore wind, supported by state-level renewable energy auctions and federal clean energy programmes. Installed renewable capacity now exceeds 70 GW, with renewables representing an increasing share of total electricity generation, particularly in states with high solar penetration.</w:t>
            </w:r>
          </w:p>
          <w:p w14:paraId="699C641D"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 xml:space="preserve">National and state policies target continued expansion of renewable generation toward 2030, including substantial offshore wind development and large renewable energy zones. Transmission build-out and grid integration remain critical to accommodate growing renewable capacity and large-scale electrolyser deployment. Australia’s </w:t>
            </w:r>
            <w:r w:rsidRPr="00F91404">
              <w:rPr>
                <w:rFonts w:eastAsia="Times New Roman" w:cstheme="minorHAnsi"/>
                <w:sz w:val="18"/>
                <w:szCs w:val="18"/>
                <w:lang w:eastAsia="es-MX"/>
              </w:rPr>
              <w:br/>
              <w:t xml:space="preserve">high-quality solar and wind resources, combined with designated renewable energy zones near ports, provide strong </w:t>
            </w:r>
            <w:r w:rsidRPr="00F91404">
              <w:rPr>
                <w:rFonts w:eastAsia="Times New Roman" w:cstheme="minorHAnsi"/>
                <w:sz w:val="18"/>
                <w:szCs w:val="18"/>
                <w:lang w:eastAsia="es-MX"/>
              </w:rPr>
              <w:br/>
              <w:t>structural conditions for export-oriented green hydrogen production.</w:t>
            </w:r>
          </w:p>
        </w:tc>
        <w:tc>
          <w:tcPr>
            <w:tcW w:w="76" w:type="pct"/>
            <w:vAlign w:val="center"/>
          </w:tcPr>
          <w:p w14:paraId="2FB9979C" w14:textId="77777777" w:rsidR="00F91404" w:rsidRPr="00F91404" w:rsidRDefault="00F91404" w:rsidP="00BD1985">
            <w:pPr>
              <w:spacing w:after="0"/>
              <w:rPr>
                <w:rFonts w:eastAsia="Times New Roman" w:cstheme="minorHAnsi"/>
                <w:sz w:val="18"/>
                <w:szCs w:val="18"/>
                <w:lang w:eastAsia="es-MX"/>
              </w:rPr>
            </w:pPr>
          </w:p>
        </w:tc>
      </w:tr>
      <w:tr w:rsidR="00F91404" w:rsidRPr="00F91404" w14:paraId="2C6001E4" w14:textId="77777777" w:rsidTr="00BD1985">
        <w:trPr>
          <w:trHeight w:val="342"/>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B971119"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c>
          <w:tcPr>
            <w:tcW w:w="76" w:type="pct"/>
            <w:vAlign w:val="center"/>
          </w:tcPr>
          <w:p w14:paraId="6D77EA2F" w14:textId="77777777" w:rsidR="00F91404" w:rsidRPr="00F91404" w:rsidRDefault="00F91404" w:rsidP="00BD1985">
            <w:pPr>
              <w:spacing w:after="0"/>
              <w:rPr>
                <w:rFonts w:eastAsia="Times New Roman" w:cstheme="minorHAnsi"/>
                <w:sz w:val="18"/>
                <w:szCs w:val="18"/>
                <w:lang w:eastAsia="es-MX"/>
              </w:rPr>
            </w:pPr>
          </w:p>
        </w:tc>
      </w:tr>
      <w:tr w:rsidR="00F91404" w:rsidRPr="00F91404" w14:paraId="03A827B2" w14:textId="77777777" w:rsidTr="00BD1985">
        <w:trPr>
          <w:trHeight w:val="4242"/>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7A354232"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Australia follows an export-led, hub-based hydrogen value chain model:</w:t>
            </w:r>
          </w:p>
          <w:p w14:paraId="6839651C"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Production:</w:t>
            </w:r>
            <w:r w:rsidRPr="00F91404">
              <w:rPr>
                <w:rFonts w:eastAsia="Times New Roman" w:cstheme="minorHAnsi"/>
                <w:sz w:val="18"/>
                <w:szCs w:val="18"/>
                <w:lang w:eastAsia="es-MX"/>
              </w:rPr>
              <w:br/>
              <w:t>Large-scale electrolysis projects located near renewable resource zones and connected to dedicated transmission or behind-the-meter arrangements; production is oriented both to domestic industrial use and export (ammonia, liquid hydrogen).</w:t>
            </w:r>
          </w:p>
          <w:p w14:paraId="7CE8C134"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Storage:</w:t>
            </w:r>
            <w:r w:rsidRPr="00F91404">
              <w:rPr>
                <w:rFonts w:eastAsia="Times New Roman" w:cstheme="minorHAnsi"/>
                <w:sz w:val="18"/>
                <w:szCs w:val="18"/>
                <w:lang w:eastAsia="es-MX"/>
              </w:rPr>
              <w:br/>
              <w:t>Hub-focused storage solutions, including intermediate storage at port-linked facilities and on-site buffer tanks, with growing interest in larger geological options for system flexibility.</w:t>
            </w:r>
          </w:p>
          <w:p w14:paraId="0848E686"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Transport / Distribution:</w:t>
            </w:r>
            <w:r w:rsidRPr="00F91404">
              <w:rPr>
                <w:rFonts w:eastAsia="Times New Roman" w:cstheme="minorHAnsi"/>
                <w:sz w:val="18"/>
                <w:szCs w:val="18"/>
                <w:lang w:eastAsia="es-MX"/>
              </w:rPr>
              <w:br/>
              <w:t>Transport infrastructure organised around hub-and-spoke models linking renewable zones, ports and industrial clusters; port terminals and shipping logistics are central for export pathways rather than a national hydrogen pipeline backbone in the near term.</w:t>
            </w:r>
          </w:p>
          <w:p w14:paraId="6FC05541"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Applications:</w:t>
            </w:r>
            <w:r w:rsidRPr="00F91404">
              <w:rPr>
                <w:rFonts w:eastAsia="Times New Roman" w:cstheme="minorHAnsi"/>
                <w:sz w:val="18"/>
                <w:szCs w:val="18"/>
                <w:lang w:eastAsia="es-MX"/>
              </w:rPr>
              <w:br/>
              <w:t>Primary focus on export markets (ammonia, shipping fuels) alongside targeted domestic industrial decarbonisation in mining, chemicals and heavy industry clusters; potential future use in power and heavy transport as domestic markets mature.</w:t>
            </w:r>
          </w:p>
          <w:p w14:paraId="40938FC1" w14:textId="77777777" w:rsidR="00F91404" w:rsidRPr="00F91404" w:rsidRDefault="00F91404" w:rsidP="00BD1985">
            <w:pPr>
              <w:spacing w:after="0"/>
              <w:rPr>
                <w:rFonts w:eastAsia="Times New Roman" w:cstheme="minorHAnsi"/>
                <w:sz w:val="18"/>
                <w:szCs w:val="18"/>
                <w:lang w:eastAsia="es-MX"/>
              </w:rPr>
            </w:pPr>
          </w:p>
        </w:tc>
        <w:tc>
          <w:tcPr>
            <w:tcW w:w="76" w:type="pct"/>
            <w:vAlign w:val="center"/>
          </w:tcPr>
          <w:p w14:paraId="77FEC3BD" w14:textId="77777777" w:rsidR="00F91404" w:rsidRPr="00F91404" w:rsidRDefault="00F91404" w:rsidP="00BD1985">
            <w:pPr>
              <w:spacing w:after="0"/>
              <w:rPr>
                <w:rFonts w:eastAsia="Times New Roman" w:cstheme="minorHAnsi"/>
                <w:sz w:val="18"/>
                <w:szCs w:val="18"/>
                <w:lang w:eastAsia="es-MX"/>
              </w:rPr>
            </w:pPr>
          </w:p>
        </w:tc>
      </w:tr>
      <w:tr w:rsidR="00F91404" w:rsidRPr="00F91404" w14:paraId="233972D2" w14:textId="77777777" w:rsidTr="00BD1985">
        <w:trPr>
          <w:trHeight w:val="522"/>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650778DB"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Strategic Stage &amp; Objective</w:t>
            </w:r>
          </w:p>
        </w:tc>
        <w:tc>
          <w:tcPr>
            <w:tcW w:w="76" w:type="pct"/>
            <w:vAlign w:val="center"/>
          </w:tcPr>
          <w:p w14:paraId="6AB4554E" w14:textId="77777777" w:rsidR="00F91404" w:rsidRPr="00F91404" w:rsidRDefault="00F91404" w:rsidP="00BD1985">
            <w:pPr>
              <w:spacing w:after="0"/>
              <w:rPr>
                <w:rFonts w:eastAsia="Times New Roman" w:cstheme="minorHAnsi"/>
                <w:sz w:val="18"/>
                <w:szCs w:val="18"/>
                <w:lang w:eastAsia="es-MX"/>
              </w:rPr>
            </w:pPr>
          </w:p>
        </w:tc>
      </w:tr>
      <w:tr w:rsidR="00F91404" w:rsidRPr="00F91404" w14:paraId="5B74EF99" w14:textId="77777777" w:rsidTr="00BD1985">
        <w:trPr>
          <w:trHeight w:val="2226"/>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6DF6A1D3"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Current Stage:</w:t>
            </w:r>
            <w:r w:rsidRPr="00F91404">
              <w:rPr>
                <w:rFonts w:eastAsia="Times New Roman" w:cstheme="minorHAnsi"/>
                <w:sz w:val="18"/>
                <w:szCs w:val="18"/>
                <w:lang w:eastAsia="es-MX"/>
              </w:rPr>
              <w:t xml:space="preserve"> Scaling / Export-focused hub deployment.</w:t>
            </w:r>
          </w:p>
          <w:p w14:paraId="29AB1D0E"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Overall Objective:</w:t>
            </w:r>
            <w:r w:rsidRPr="00F91404">
              <w:rPr>
                <w:rFonts w:eastAsia="Times New Roman" w:cstheme="minorHAnsi"/>
                <w:sz w:val="18"/>
                <w:szCs w:val="18"/>
                <w:lang w:eastAsia="es-MX"/>
              </w:rPr>
              <w:br/>
              <w:t>Develop competitive, export-scale green hydrogen and derivative supply chains that leverage Australia’s renewable resource endowment to serve international markets, while supporting domestic industrial decarbonisation and local job creation.</w:t>
            </w:r>
          </w:p>
          <w:p w14:paraId="2486703D"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 xml:space="preserve">Implementation has progressed from strategy and pilot support toward competitive CAPEX support for hubs, revenue contract pilots (e.g., Hydrogen Headstart) and coordinated federal–state delivery arrangements for large </w:t>
            </w:r>
            <w:r w:rsidRPr="00F91404">
              <w:rPr>
                <w:rFonts w:eastAsia="Times New Roman" w:cstheme="minorHAnsi"/>
                <w:sz w:val="18"/>
                <w:szCs w:val="18"/>
                <w:lang w:eastAsia="es-MX"/>
              </w:rPr>
              <w:br/>
              <w:t>projects.</w:t>
            </w:r>
          </w:p>
          <w:p w14:paraId="548C98F2" w14:textId="77777777" w:rsidR="00F91404" w:rsidRPr="00F91404" w:rsidRDefault="00F91404" w:rsidP="00BD1985">
            <w:pPr>
              <w:spacing w:after="0"/>
              <w:rPr>
                <w:rFonts w:eastAsia="Times New Roman" w:cstheme="minorHAnsi"/>
                <w:sz w:val="18"/>
                <w:szCs w:val="18"/>
                <w:lang w:eastAsia="es-MX"/>
              </w:rPr>
            </w:pPr>
          </w:p>
        </w:tc>
        <w:tc>
          <w:tcPr>
            <w:tcW w:w="76" w:type="pct"/>
            <w:vAlign w:val="center"/>
          </w:tcPr>
          <w:p w14:paraId="30D44C03" w14:textId="77777777" w:rsidR="00F91404" w:rsidRPr="00F91404" w:rsidRDefault="00F91404" w:rsidP="00BD1985">
            <w:pPr>
              <w:spacing w:after="0"/>
              <w:rPr>
                <w:rFonts w:eastAsia="Times New Roman" w:cstheme="minorHAnsi"/>
                <w:sz w:val="18"/>
                <w:szCs w:val="18"/>
                <w:lang w:eastAsia="es-MX"/>
              </w:rPr>
            </w:pPr>
          </w:p>
        </w:tc>
      </w:tr>
      <w:tr w:rsidR="00F91404" w:rsidRPr="00F91404" w14:paraId="3F219A4C" w14:textId="77777777" w:rsidTr="00BD1985">
        <w:trPr>
          <w:trHeight w:val="488"/>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01898A0"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Key Stakeholders</w:t>
            </w:r>
          </w:p>
        </w:tc>
        <w:tc>
          <w:tcPr>
            <w:tcW w:w="76" w:type="pct"/>
            <w:vAlign w:val="center"/>
          </w:tcPr>
          <w:p w14:paraId="3AA3F603" w14:textId="77777777" w:rsidR="00F91404" w:rsidRPr="00F91404" w:rsidRDefault="00F91404" w:rsidP="00BD1985">
            <w:pPr>
              <w:spacing w:after="0"/>
              <w:rPr>
                <w:rFonts w:eastAsia="Times New Roman" w:cstheme="minorHAnsi"/>
                <w:sz w:val="18"/>
                <w:szCs w:val="18"/>
                <w:lang w:eastAsia="es-MX"/>
              </w:rPr>
            </w:pPr>
          </w:p>
        </w:tc>
      </w:tr>
      <w:tr w:rsidR="00F91404" w:rsidRPr="00F91404" w14:paraId="11F2CD99" w14:textId="77777777" w:rsidTr="00BD1985">
        <w:trPr>
          <w:trHeight w:val="2961"/>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07291AD9"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Key public and private actors involved include:</w:t>
            </w:r>
          </w:p>
          <w:p w14:paraId="4EF7A403" w14:textId="77777777" w:rsidR="00F91404" w:rsidRPr="00F91404" w:rsidRDefault="00F91404" w:rsidP="00BD1985">
            <w:pPr>
              <w:numPr>
                <w:ilvl w:val="0"/>
                <w:numId w:val="5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Federal government (policy and export strategy) and relevant departments – strategic leadership</w:t>
            </w:r>
          </w:p>
          <w:p w14:paraId="0D5BF53D" w14:textId="77777777" w:rsidR="00F91404" w:rsidRPr="00F91404" w:rsidRDefault="00F91404" w:rsidP="00BD1985">
            <w:pPr>
              <w:numPr>
                <w:ilvl w:val="0"/>
                <w:numId w:val="5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State governments – hub development, permitting and local infrastructure delivery</w:t>
            </w:r>
          </w:p>
          <w:p w14:paraId="1BDBD917" w14:textId="77777777" w:rsidR="00F91404" w:rsidRPr="00F91404" w:rsidRDefault="00F91404" w:rsidP="00BD1985">
            <w:pPr>
              <w:numPr>
                <w:ilvl w:val="0"/>
                <w:numId w:val="5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ARENA (funding and innovation support) and the Clean Energy Regulator (certification functions)</w:t>
            </w:r>
          </w:p>
          <w:p w14:paraId="5C23F61C" w14:textId="77777777" w:rsidR="00F91404" w:rsidRPr="00F91404" w:rsidRDefault="00F91404" w:rsidP="00BD1985">
            <w:pPr>
              <w:numPr>
                <w:ilvl w:val="0"/>
                <w:numId w:val="5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Australian Renewable Energy Agency (ARENA) and CEFC (Clean Energy Finance Corporation) – financing and grants</w:t>
            </w:r>
          </w:p>
          <w:p w14:paraId="6AA57732" w14:textId="77777777" w:rsidR="00F91404" w:rsidRPr="00F91404" w:rsidRDefault="00F91404" w:rsidP="00BD1985">
            <w:pPr>
              <w:numPr>
                <w:ilvl w:val="0"/>
                <w:numId w:val="5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Port authorities and terminal operators – export logistics</w:t>
            </w:r>
          </w:p>
          <w:p w14:paraId="68DAB000" w14:textId="77777777" w:rsidR="00F91404" w:rsidRPr="00F91404" w:rsidRDefault="00F91404" w:rsidP="00BD1985">
            <w:pPr>
              <w:numPr>
                <w:ilvl w:val="0"/>
                <w:numId w:val="5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Major developers, utilities and mining companies – offtake and industrial demand</w:t>
            </w:r>
          </w:p>
          <w:p w14:paraId="289ECCFD" w14:textId="77777777" w:rsidR="00F91404" w:rsidRPr="00F91404" w:rsidRDefault="00F91404" w:rsidP="00BD1985">
            <w:pPr>
              <w:numPr>
                <w:ilvl w:val="0"/>
                <w:numId w:val="5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International offtakers and bilateral partners</w:t>
            </w:r>
          </w:p>
          <w:p w14:paraId="6F2AC958"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Coordination occurs through federal–state collaboration and competitive funding rounds for hub infrastructure.</w:t>
            </w:r>
          </w:p>
          <w:p w14:paraId="577B2117" w14:textId="77777777" w:rsidR="00F91404" w:rsidRPr="00F91404" w:rsidRDefault="00F91404" w:rsidP="00BD1985">
            <w:pPr>
              <w:spacing w:after="0"/>
              <w:rPr>
                <w:rFonts w:eastAsia="Times New Roman" w:cstheme="minorHAnsi"/>
                <w:sz w:val="18"/>
                <w:szCs w:val="18"/>
                <w:lang w:eastAsia="es-MX"/>
              </w:rPr>
            </w:pPr>
          </w:p>
        </w:tc>
        <w:tc>
          <w:tcPr>
            <w:tcW w:w="76" w:type="pct"/>
            <w:vAlign w:val="center"/>
          </w:tcPr>
          <w:p w14:paraId="29B14D64" w14:textId="77777777" w:rsidR="00F91404" w:rsidRPr="00F91404" w:rsidRDefault="00F91404" w:rsidP="00BD1985">
            <w:pPr>
              <w:spacing w:after="0"/>
              <w:rPr>
                <w:rFonts w:eastAsia="Times New Roman" w:cstheme="minorHAnsi"/>
                <w:sz w:val="18"/>
                <w:szCs w:val="18"/>
                <w:lang w:eastAsia="es-MX"/>
              </w:rPr>
            </w:pPr>
          </w:p>
        </w:tc>
      </w:tr>
      <w:tr w:rsidR="00F91404" w:rsidRPr="00F91404" w14:paraId="60F34B2E" w14:textId="77777777" w:rsidTr="00BD1985">
        <w:trPr>
          <w:trHeight w:val="482"/>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AC61903"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b/>
                <w:color w:val="FFFFFF"/>
                <w:sz w:val="18"/>
                <w:szCs w:val="18"/>
                <w:lang w:eastAsia="es-MX"/>
              </w:rPr>
              <w:t>Impact on project development:</w:t>
            </w:r>
          </w:p>
        </w:tc>
        <w:tc>
          <w:tcPr>
            <w:tcW w:w="76" w:type="pct"/>
            <w:vAlign w:val="center"/>
          </w:tcPr>
          <w:p w14:paraId="0CBA44EF" w14:textId="77777777" w:rsidR="00F91404" w:rsidRPr="00F91404" w:rsidRDefault="00F91404" w:rsidP="00BD1985">
            <w:pPr>
              <w:spacing w:after="0"/>
              <w:rPr>
                <w:rFonts w:eastAsia="Times New Roman" w:cstheme="minorHAnsi"/>
                <w:sz w:val="18"/>
                <w:szCs w:val="18"/>
                <w:lang w:eastAsia="es-MX"/>
              </w:rPr>
            </w:pPr>
          </w:p>
        </w:tc>
      </w:tr>
      <w:tr w:rsidR="00F91404" w:rsidRPr="00F91404" w14:paraId="6756AB17" w14:textId="77777777" w:rsidTr="00BD1985">
        <w:trPr>
          <w:trHeight w:val="984"/>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7098130D" w14:textId="77777777" w:rsidR="00F91404" w:rsidRPr="00F91404" w:rsidRDefault="00F91404" w:rsidP="00BD1985">
            <w:pPr>
              <w:pStyle w:val="ListParagraph"/>
              <w:numPr>
                <w:ilvl w:val="0"/>
                <w:numId w:val="34"/>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CAPEX hub support has</w:t>
            </w:r>
            <w:r w:rsidRPr="00F91404">
              <w:rPr>
                <w:rFonts w:eastAsia="Times New Roman" w:cstheme="minorHAnsi"/>
                <w:sz w:val="18"/>
                <w:szCs w:val="18"/>
                <w:lang w:eastAsia="es-MX"/>
              </w:rPr>
              <w:t xml:space="preserve"> reduced upfront execution risk for large-scale projects</w:t>
            </w:r>
          </w:p>
          <w:p w14:paraId="151FD6C8" w14:textId="77777777" w:rsidR="00F91404" w:rsidRPr="00F91404" w:rsidRDefault="00F91404" w:rsidP="00BD1985">
            <w:pPr>
              <w:pStyle w:val="ListParagraph"/>
              <w:numPr>
                <w:ilvl w:val="0"/>
                <w:numId w:val="34"/>
              </w:numPr>
              <w:spacing w:before="240" w:after="140" w:line="276" w:lineRule="auto"/>
              <w:rPr>
                <w:rFonts w:eastAsia="Times New Roman" w:cstheme="minorHAnsi"/>
                <w:b/>
                <w:sz w:val="18"/>
                <w:szCs w:val="18"/>
                <w:lang w:eastAsia="es-MX"/>
              </w:rPr>
            </w:pPr>
            <w:r w:rsidRPr="00F91404">
              <w:rPr>
                <w:rFonts w:eastAsia="Times New Roman" w:cstheme="minorHAnsi"/>
                <w:b/>
                <w:sz w:val="18"/>
                <w:szCs w:val="18"/>
                <w:lang w:eastAsia="es-MX"/>
              </w:rPr>
              <w:t xml:space="preserve">Revenue support contracts </w:t>
            </w:r>
            <w:r w:rsidRPr="00F91404">
              <w:rPr>
                <w:rFonts w:eastAsia="Times New Roman" w:cstheme="minorHAnsi"/>
                <w:sz w:val="18"/>
                <w:szCs w:val="18"/>
                <w:lang w:eastAsia="es-MX"/>
              </w:rPr>
              <w:t>have lowered exposure to global price uncertain</w:t>
            </w:r>
            <w:r w:rsidRPr="00F91404">
              <w:rPr>
                <w:rFonts w:eastAsia="Times New Roman" w:cstheme="minorHAnsi"/>
                <w:b/>
                <w:sz w:val="18"/>
                <w:szCs w:val="18"/>
                <w:lang w:eastAsia="es-MX"/>
              </w:rPr>
              <w:t>ty</w:t>
            </w:r>
          </w:p>
          <w:p w14:paraId="017F7048" w14:textId="77777777" w:rsidR="00F91404" w:rsidRPr="00F91404" w:rsidRDefault="00F91404" w:rsidP="00BD1985">
            <w:pPr>
              <w:pStyle w:val="ListParagraph"/>
              <w:numPr>
                <w:ilvl w:val="0"/>
                <w:numId w:val="34"/>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 xml:space="preserve">Shared export infrastructure </w:t>
            </w:r>
            <w:r w:rsidRPr="00F91404">
              <w:rPr>
                <w:rFonts w:eastAsia="Times New Roman" w:cstheme="minorHAnsi"/>
                <w:sz w:val="18"/>
                <w:szCs w:val="18"/>
                <w:lang w:eastAsia="es-MX"/>
              </w:rPr>
              <w:t>has enabled multiple projects to develop in parallel</w:t>
            </w:r>
          </w:p>
          <w:p w14:paraId="1103216C" w14:textId="77777777" w:rsidR="00F91404" w:rsidRPr="00F91404" w:rsidRDefault="00F91404" w:rsidP="00BD1985">
            <w:pPr>
              <w:pStyle w:val="ListParagraph"/>
              <w:numPr>
                <w:ilvl w:val="0"/>
                <w:numId w:val="34"/>
              </w:numPr>
              <w:spacing w:before="240" w:after="140" w:line="276" w:lineRule="auto"/>
              <w:rPr>
                <w:rFonts w:eastAsia="Times New Roman" w:cstheme="minorHAnsi"/>
                <w:b/>
                <w:sz w:val="18"/>
                <w:szCs w:val="18"/>
                <w:lang w:eastAsia="es-MX"/>
              </w:rPr>
            </w:pPr>
            <w:r w:rsidRPr="00F91404">
              <w:rPr>
                <w:rFonts w:eastAsia="Times New Roman" w:cstheme="minorHAnsi"/>
                <w:sz w:val="18"/>
                <w:szCs w:val="18"/>
                <w:lang w:eastAsia="es-MX"/>
              </w:rPr>
              <w:t>Combined instruments have supported</w:t>
            </w:r>
            <w:r w:rsidRPr="00F91404">
              <w:rPr>
                <w:rFonts w:eastAsia="Times New Roman" w:cstheme="minorHAnsi"/>
                <w:b/>
                <w:sz w:val="18"/>
                <w:szCs w:val="18"/>
                <w:lang w:eastAsia="es-MX"/>
              </w:rPr>
              <w:t xml:space="preserve"> bankable export-scale hydrogen and ammonia projects</w:t>
            </w:r>
          </w:p>
          <w:p w14:paraId="4025E69B" w14:textId="77777777" w:rsidR="00F91404" w:rsidRPr="00F91404" w:rsidRDefault="00F91404" w:rsidP="00BD1985">
            <w:pPr>
              <w:pStyle w:val="ListParagraph"/>
              <w:numPr>
                <w:ilvl w:val="0"/>
                <w:numId w:val="34"/>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Policy outcomes reflect a model optimised for</w:t>
            </w:r>
            <w:r w:rsidRPr="00F91404">
              <w:rPr>
                <w:rFonts w:eastAsia="Times New Roman" w:cstheme="minorHAnsi"/>
                <w:b/>
                <w:sz w:val="18"/>
                <w:szCs w:val="18"/>
                <w:lang w:eastAsia="es-MX"/>
              </w:rPr>
              <w:t xml:space="preserve"> global trade readiness</w:t>
            </w:r>
            <w:r w:rsidRPr="00F91404">
              <w:rPr>
                <w:rFonts w:eastAsia="Times New Roman" w:cstheme="minorHAnsi"/>
                <w:sz w:val="18"/>
                <w:szCs w:val="18"/>
                <w:lang w:eastAsia="es-MX"/>
              </w:rPr>
              <w:t>, rather than domestic market creation</w:t>
            </w:r>
          </w:p>
          <w:p w14:paraId="090C9A65" w14:textId="77777777" w:rsidR="00F91404" w:rsidRPr="00F91404" w:rsidRDefault="00F91404" w:rsidP="00BD1985">
            <w:pPr>
              <w:spacing w:after="0"/>
              <w:jc w:val="center"/>
              <w:rPr>
                <w:rFonts w:eastAsia="Times New Roman" w:cstheme="minorHAnsi"/>
                <w:sz w:val="18"/>
                <w:szCs w:val="18"/>
                <w:lang w:eastAsia="es-MX"/>
              </w:rPr>
            </w:pPr>
          </w:p>
        </w:tc>
        <w:tc>
          <w:tcPr>
            <w:tcW w:w="76" w:type="pct"/>
            <w:vAlign w:val="center"/>
          </w:tcPr>
          <w:p w14:paraId="438BDAD3" w14:textId="77777777" w:rsidR="00F91404" w:rsidRPr="00F91404" w:rsidRDefault="00F91404" w:rsidP="00BD1985">
            <w:pPr>
              <w:spacing w:after="0"/>
              <w:rPr>
                <w:rFonts w:eastAsia="Times New Roman" w:cstheme="minorHAnsi"/>
                <w:sz w:val="18"/>
                <w:szCs w:val="18"/>
                <w:lang w:eastAsia="es-MX"/>
              </w:rPr>
            </w:pPr>
          </w:p>
        </w:tc>
      </w:tr>
      <w:tr w:rsidR="00F91404" w:rsidRPr="00F91404" w14:paraId="184D81B0"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02EE746A"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c>
          <w:tcPr>
            <w:tcW w:w="76" w:type="pct"/>
            <w:vAlign w:val="center"/>
            <w:hideMark/>
          </w:tcPr>
          <w:p w14:paraId="10F4BEEF" w14:textId="77777777" w:rsidR="00F91404" w:rsidRPr="00F91404" w:rsidRDefault="00F91404" w:rsidP="00BD1985">
            <w:pPr>
              <w:spacing w:after="0"/>
              <w:rPr>
                <w:rFonts w:eastAsia="Times New Roman" w:cstheme="minorHAnsi"/>
                <w:sz w:val="18"/>
                <w:szCs w:val="18"/>
                <w:lang w:eastAsia="es-MX"/>
              </w:rPr>
            </w:pPr>
          </w:p>
        </w:tc>
      </w:tr>
      <w:tr w:rsidR="00F91404" w:rsidRPr="00F91404" w14:paraId="29F2E15B" w14:textId="77777777" w:rsidTr="00BD1985">
        <w:trPr>
          <w:trHeight w:val="1220"/>
          <w:jc w:val="center"/>
        </w:trPr>
        <w:tc>
          <w:tcPr>
            <w:tcW w:w="4924" w:type="pct"/>
            <w:gridSpan w:val="8"/>
            <w:vMerge w:val="restart"/>
            <w:tcBorders>
              <w:top w:val="single" w:sz="12" w:space="0" w:color="808080"/>
              <w:left w:val="single" w:sz="12" w:space="0" w:color="808080"/>
              <w:bottom w:val="single" w:sz="12" w:space="0" w:color="808080"/>
              <w:right w:val="single" w:sz="12" w:space="0" w:color="808080"/>
            </w:tcBorders>
            <w:vAlign w:val="center"/>
          </w:tcPr>
          <w:p w14:paraId="70750384" w14:textId="77777777" w:rsidR="00F91404" w:rsidRPr="00F91404" w:rsidRDefault="00F91404" w:rsidP="00BD1985">
            <w:pPr>
              <w:numPr>
                <w:ilvl w:val="0"/>
                <w:numId w:val="51"/>
              </w:numPr>
              <w:spacing w:after="0"/>
              <w:rPr>
                <w:rFonts w:eastAsia="Times New Roman" w:cstheme="minorHAnsi"/>
                <w:b/>
                <w:bCs/>
                <w:color w:val="000000"/>
                <w:sz w:val="18"/>
                <w:szCs w:val="18"/>
                <w:lang w:eastAsia="es-MX"/>
              </w:rPr>
            </w:pPr>
            <w:r w:rsidRPr="00F91404">
              <w:rPr>
                <w:rFonts w:eastAsia="Times New Roman" w:cstheme="minorHAnsi"/>
                <w:b/>
                <w:bCs/>
                <w:color w:val="000000"/>
                <w:sz w:val="18"/>
                <w:szCs w:val="18"/>
                <w:lang w:eastAsia="es-MX"/>
              </w:rPr>
              <w:t>Australian Government – National Hydrogen Strategy / policy information:</w:t>
            </w:r>
            <w:r w:rsidRPr="00F91404">
              <w:rPr>
                <w:rFonts w:eastAsia="Times New Roman" w:cstheme="minorHAnsi"/>
                <w:b/>
                <w:bCs/>
                <w:color w:val="000000"/>
                <w:sz w:val="18"/>
                <w:szCs w:val="18"/>
                <w:lang w:eastAsia="es-MX"/>
              </w:rPr>
              <w:br/>
            </w:r>
            <w:hyperlink r:id="rId31" w:tgtFrame="_new" w:history="1">
              <w:r w:rsidRPr="00F91404">
                <w:rPr>
                  <w:rStyle w:val="Hyperlink"/>
                  <w:rFonts w:eastAsia="Times New Roman" w:cstheme="minorHAnsi"/>
                  <w:b/>
                  <w:bCs/>
                  <w:szCs w:val="18"/>
                  <w:lang w:eastAsia="es-MX"/>
                </w:rPr>
                <w:t>https://www.dcceew.gov.au</w:t>
              </w:r>
            </w:hyperlink>
          </w:p>
          <w:p w14:paraId="5414E333" w14:textId="77777777" w:rsidR="00F91404" w:rsidRPr="00F91404" w:rsidRDefault="00F91404" w:rsidP="00BD1985">
            <w:pPr>
              <w:numPr>
                <w:ilvl w:val="0"/>
                <w:numId w:val="51"/>
              </w:numPr>
              <w:spacing w:after="0"/>
              <w:rPr>
                <w:rFonts w:eastAsia="Times New Roman" w:cstheme="minorHAnsi"/>
                <w:b/>
                <w:bCs/>
                <w:color w:val="000000"/>
                <w:sz w:val="18"/>
                <w:szCs w:val="18"/>
                <w:lang w:eastAsia="es-MX"/>
              </w:rPr>
            </w:pPr>
            <w:r w:rsidRPr="00F91404">
              <w:rPr>
                <w:rFonts w:eastAsia="Times New Roman" w:cstheme="minorHAnsi"/>
                <w:b/>
                <w:bCs/>
                <w:color w:val="000000"/>
                <w:sz w:val="18"/>
                <w:szCs w:val="18"/>
                <w:lang w:eastAsia="es-MX"/>
              </w:rPr>
              <w:t>Australian Renewable Energy Agency (ARENA) – hydrogen projects and funding:</w:t>
            </w:r>
            <w:r w:rsidRPr="00F91404">
              <w:rPr>
                <w:rFonts w:eastAsia="Times New Roman" w:cstheme="minorHAnsi"/>
                <w:b/>
                <w:bCs/>
                <w:color w:val="000000"/>
                <w:sz w:val="18"/>
                <w:szCs w:val="18"/>
                <w:lang w:eastAsia="es-MX"/>
              </w:rPr>
              <w:br/>
            </w:r>
            <w:hyperlink r:id="rId32" w:tgtFrame="_new" w:history="1">
              <w:r w:rsidRPr="00F91404">
                <w:rPr>
                  <w:rStyle w:val="Hyperlink"/>
                  <w:rFonts w:eastAsia="Times New Roman" w:cstheme="minorHAnsi"/>
                  <w:b/>
                  <w:bCs/>
                  <w:szCs w:val="18"/>
                  <w:lang w:eastAsia="es-MX"/>
                </w:rPr>
                <w:t>https://arena.gov.au</w:t>
              </w:r>
            </w:hyperlink>
          </w:p>
          <w:p w14:paraId="405D0C4B" w14:textId="77777777" w:rsidR="00F91404" w:rsidRPr="00F91404" w:rsidRDefault="00F91404" w:rsidP="00BD1985">
            <w:pPr>
              <w:numPr>
                <w:ilvl w:val="0"/>
                <w:numId w:val="51"/>
              </w:numPr>
              <w:spacing w:after="0"/>
              <w:rPr>
                <w:rFonts w:eastAsia="Times New Roman" w:cstheme="minorHAnsi"/>
                <w:b/>
                <w:bCs/>
                <w:color w:val="000000"/>
                <w:sz w:val="18"/>
                <w:szCs w:val="18"/>
                <w:lang w:eastAsia="es-MX"/>
              </w:rPr>
            </w:pPr>
            <w:r w:rsidRPr="00F91404">
              <w:rPr>
                <w:rFonts w:eastAsia="Times New Roman" w:cstheme="minorHAnsi"/>
                <w:b/>
                <w:bCs/>
                <w:color w:val="000000"/>
                <w:sz w:val="18"/>
                <w:szCs w:val="18"/>
                <w:lang w:eastAsia="es-MX"/>
              </w:rPr>
              <w:t>Clean Energy Finance Corporation (CEFC) – investment and finance for hydrogen:</w:t>
            </w:r>
            <w:r w:rsidRPr="00F91404">
              <w:rPr>
                <w:rFonts w:eastAsia="Times New Roman" w:cstheme="minorHAnsi"/>
                <w:b/>
                <w:bCs/>
                <w:color w:val="000000"/>
                <w:sz w:val="18"/>
                <w:szCs w:val="18"/>
                <w:lang w:eastAsia="es-MX"/>
              </w:rPr>
              <w:br/>
            </w:r>
            <w:hyperlink r:id="rId33" w:tgtFrame="_new" w:history="1">
              <w:r w:rsidRPr="00F91404">
                <w:rPr>
                  <w:rStyle w:val="Hyperlink"/>
                  <w:rFonts w:eastAsia="Times New Roman" w:cstheme="minorHAnsi"/>
                  <w:b/>
                  <w:bCs/>
                  <w:szCs w:val="18"/>
                  <w:lang w:eastAsia="es-MX"/>
                </w:rPr>
                <w:t>https://www.cefc.com.au</w:t>
              </w:r>
            </w:hyperlink>
          </w:p>
          <w:p w14:paraId="4CAD813F" w14:textId="77777777" w:rsidR="00F91404" w:rsidRPr="00F91404" w:rsidRDefault="00F91404" w:rsidP="00BD1985">
            <w:pPr>
              <w:numPr>
                <w:ilvl w:val="0"/>
                <w:numId w:val="51"/>
              </w:numPr>
              <w:spacing w:after="0"/>
              <w:rPr>
                <w:rFonts w:eastAsia="Times New Roman" w:cstheme="minorHAnsi"/>
                <w:b/>
                <w:bCs/>
                <w:color w:val="000000"/>
                <w:sz w:val="18"/>
                <w:szCs w:val="18"/>
                <w:lang w:eastAsia="es-MX"/>
              </w:rPr>
            </w:pPr>
            <w:r w:rsidRPr="00F91404">
              <w:rPr>
                <w:rFonts w:eastAsia="Times New Roman" w:cstheme="minorHAnsi"/>
                <w:b/>
                <w:bCs/>
                <w:color w:val="000000"/>
                <w:sz w:val="18"/>
                <w:szCs w:val="18"/>
                <w:lang w:eastAsia="es-MX"/>
              </w:rPr>
              <w:t>Clean Energy Regulator – renewable certification and reporting:</w:t>
            </w:r>
            <w:r w:rsidRPr="00F91404">
              <w:rPr>
                <w:rFonts w:eastAsia="Times New Roman" w:cstheme="minorHAnsi"/>
                <w:b/>
                <w:bCs/>
                <w:color w:val="000000"/>
                <w:sz w:val="18"/>
                <w:szCs w:val="18"/>
                <w:lang w:eastAsia="es-MX"/>
              </w:rPr>
              <w:br/>
            </w:r>
            <w:hyperlink r:id="rId34" w:tgtFrame="_new" w:history="1">
              <w:r w:rsidRPr="00F91404">
                <w:rPr>
                  <w:rStyle w:val="Hyperlink"/>
                  <w:rFonts w:eastAsia="Times New Roman" w:cstheme="minorHAnsi"/>
                  <w:b/>
                  <w:bCs/>
                  <w:szCs w:val="18"/>
                  <w:lang w:eastAsia="es-MX"/>
                </w:rPr>
                <w:t>https://www.cleanenergyregulator.gov.au</w:t>
              </w:r>
            </w:hyperlink>
          </w:p>
          <w:p w14:paraId="37442C39" w14:textId="77777777" w:rsidR="00F91404" w:rsidRPr="00F91404" w:rsidRDefault="00F91404" w:rsidP="00BD1985">
            <w:pPr>
              <w:spacing w:after="0"/>
              <w:rPr>
                <w:rFonts w:eastAsia="Times New Roman" w:cstheme="minorHAnsi"/>
                <w:b/>
                <w:bCs/>
                <w:color w:val="000000"/>
                <w:sz w:val="18"/>
                <w:szCs w:val="18"/>
                <w:lang w:eastAsia="es-MX"/>
              </w:rPr>
            </w:pPr>
          </w:p>
        </w:tc>
        <w:tc>
          <w:tcPr>
            <w:tcW w:w="76" w:type="pct"/>
            <w:vAlign w:val="center"/>
            <w:hideMark/>
          </w:tcPr>
          <w:p w14:paraId="4D61547B" w14:textId="77777777" w:rsidR="00F91404" w:rsidRPr="00F91404" w:rsidRDefault="00F91404" w:rsidP="00BD1985">
            <w:pPr>
              <w:spacing w:after="0"/>
              <w:rPr>
                <w:rFonts w:eastAsia="Times New Roman" w:cstheme="minorHAnsi"/>
                <w:sz w:val="18"/>
                <w:szCs w:val="18"/>
                <w:lang w:eastAsia="es-MX"/>
              </w:rPr>
            </w:pPr>
          </w:p>
        </w:tc>
      </w:tr>
      <w:tr w:rsidR="00F91404" w:rsidRPr="00F91404" w14:paraId="47050296" w14:textId="77777777" w:rsidTr="00BD1985">
        <w:trPr>
          <w:trHeight w:val="920"/>
          <w:jc w:val="center"/>
        </w:trPr>
        <w:tc>
          <w:tcPr>
            <w:tcW w:w="4924" w:type="pct"/>
            <w:gridSpan w:val="8"/>
            <w:vMerge/>
            <w:tcBorders>
              <w:top w:val="single" w:sz="12" w:space="0" w:color="808080"/>
              <w:left w:val="single" w:sz="12" w:space="0" w:color="808080"/>
              <w:bottom w:val="single" w:sz="12" w:space="0" w:color="808080"/>
              <w:right w:val="single" w:sz="12" w:space="0" w:color="808080"/>
            </w:tcBorders>
            <w:vAlign w:val="center"/>
          </w:tcPr>
          <w:p w14:paraId="65BC1E66" w14:textId="77777777" w:rsidR="00F91404" w:rsidRPr="00F91404" w:rsidRDefault="00F91404" w:rsidP="00BD1985">
            <w:pPr>
              <w:spacing w:after="0"/>
              <w:rPr>
                <w:rFonts w:eastAsia="Times New Roman" w:cstheme="minorHAnsi"/>
                <w:b/>
                <w:bCs/>
                <w:color w:val="000000"/>
                <w:sz w:val="18"/>
                <w:szCs w:val="18"/>
                <w:lang w:eastAsia="es-MX"/>
              </w:rPr>
            </w:pPr>
          </w:p>
        </w:tc>
        <w:tc>
          <w:tcPr>
            <w:tcW w:w="76" w:type="pct"/>
            <w:tcBorders>
              <w:top w:val="nil"/>
              <w:left w:val="nil"/>
              <w:bottom w:val="nil"/>
              <w:right w:val="nil"/>
            </w:tcBorders>
            <w:noWrap/>
            <w:vAlign w:val="bottom"/>
            <w:hideMark/>
          </w:tcPr>
          <w:p w14:paraId="7CE70DB0" w14:textId="77777777" w:rsidR="00F91404" w:rsidRPr="00F91404" w:rsidRDefault="00F91404" w:rsidP="00BD1985">
            <w:pPr>
              <w:spacing w:after="0"/>
              <w:jc w:val="center"/>
              <w:rPr>
                <w:rFonts w:eastAsia="Times New Roman" w:cstheme="minorHAnsi"/>
                <w:b/>
                <w:bCs/>
                <w:color w:val="000000"/>
                <w:sz w:val="18"/>
                <w:szCs w:val="18"/>
                <w:lang w:eastAsia="es-MX"/>
              </w:rPr>
            </w:pPr>
          </w:p>
        </w:tc>
      </w:tr>
    </w:tbl>
    <w:p w14:paraId="264112D4" w14:textId="77777777" w:rsidR="00F91404" w:rsidRPr="00F91404" w:rsidRDefault="00F91404" w:rsidP="00F91404">
      <w:pPr>
        <w:rPr>
          <w:rFonts w:cstheme="minorHAnsi"/>
          <w:sz w:val="20"/>
          <w:szCs w:val="20"/>
        </w:rPr>
      </w:pPr>
    </w:p>
    <w:p w14:paraId="297C1CCB" w14:textId="77777777" w:rsidR="00F91404" w:rsidRPr="00C1295B" w:rsidRDefault="00F91404" w:rsidP="00F91404">
      <w:pPr>
        <w:spacing w:after="0"/>
        <w:rPr>
          <w:rFonts w:cstheme="minorHAnsi"/>
          <w:b/>
          <w:bCs/>
          <w:i/>
          <w:iCs/>
          <w:sz w:val="14"/>
          <w:szCs w:val="14"/>
        </w:rPr>
      </w:pPr>
      <w:r w:rsidRPr="00C1295B">
        <w:rPr>
          <w:rFonts w:cstheme="minorHAnsi"/>
          <w:b/>
          <w:bCs/>
          <w:i/>
          <w:iCs/>
          <w:sz w:val="16"/>
          <w:szCs w:val="16"/>
        </w:rPr>
        <w:t>Sources</w:t>
      </w:r>
      <w:r w:rsidRPr="00F91404">
        <w:rPr>
          <w:rFonts w:cstheme="minorHAnsi"/>
          <w:b/>
          <w:bCs/>
          <w:i/>
          <w:iCs/>
          <w:sz w:val="16"/>
          <w:szCs w:val="16"/>
        </w:rPr>
        <w:t>:</w:t>
      </w:r>
    </w:p>
    <w:p w14:paraId="1969600E" w14:textId="77777777" w:rsidR="00F91404" w:rsidRPr="00C1295B" w:rsidRDefault="00F91404" w:rsidP="00F91404">
      <w:pPr>
        <w:spacing w:after="0"/>
        <w:rPr>
          <w:rFonts w:cstheme="minorHAnsi"/>
          <w:i/>
          <w:iCs/>
          <w:sz w:val="14"/>
          <w:szCs w:val="14"/>
        </w:rPr>
      </w:pPr>
      <w:r w:rsidRPr="00C1295B">
        <w:rPr>
          <w:rFonts w:cstheme="minorHAnsi"/>
          <w:b/>
          <w:bCs/>
          <w:i/>
          <w:iCs/>
          <w:sz w:val="14"/>
          <w:szCs w:val="14"/>
        </w:rPr>
        <w:t>Strategy, roadmap and governance framework</w:t>
      </w:r>
    </w:p>
    <w:p w14:paraId="7A96B76C" w14:textId="77777777" w:rsidR="00F91404" w:rsidRPr="00C1295B" w:rsidRDefault="00F91404" w:rsidP="00F91404">
      <w:pPr>
        <w:numPr>
          <w:ilvl w:val="0"/>
          <w:numId w:val="110"/>
        </w:numPr>
        <w:spacing w:after="0"/>
        <w:rPr>
          <w:rFonts w:cstheme="minorHAnsi"/>
          <w:i/>
          <w:iCs/>
          <w:sz w:val="14"/>
          <w:szCs w:val="14"/>
        </w:rPr>
      </w:pPr>
      <w:r w:rsidRPr="00C1295B">
        <w:rPr>
          <w:rFonts w:cstheme="minorHAnsi"/>
          <w:i/>
          <w:iCs/>
          <w:sz w:val="14"/>
          <w:szCs w:val="14"/>
        </w:rPr>
        <w:t>Australian Government (2019; updated 2023), National Hydrogen Strategy.</w:t>
      </w:r>
    </w:p>
    <w:p w14:paraId="0307AF3C" w14:textId="77777777" w:rsidR="00F91404" w:rsidRPr="00C1295B" w:rsidRDefault="00F91404" w:rsidP="00F91404">
      <w:pPr>
        <w:numPr>
          <w:ilvl w:val="0"/>
          <w:numId w:val="110"/>
        </w:numPr>
        <w:spacing w:after="0"/>
        <w:rPr>
          <w:rFonts w:cstheme="minorHAnsi"/>
          <w:i/>
          <w:iCs/>
          <w:sz w:val="14"/>
          <w:szCs w:val="14"/>
        </w:rPr>
      </w:pPr>
      <w:r w:rsidRPr="00C1295B">
        <w:rPr>
          <w:rFonts w:cstheme="minorHAnsi"/>
          <w:i/>
          <w:iCs/>
          <w:sz w:val="14"/>
          <w:szCs w:val="14"/>
        </w:rPr>
        <w:t>Department of Climate Change, Energy, the Environment and Water (DCCEEW), Hydrogen policy and strategic updates.</w:t>
      </w:r>
    </w:p>
    <w:p w14:paraId="58DA5428" w14:textId="77777777" w:rsidR="00F91404" w:rsidRPr="00C1295B" w:rsidRDefault="00F91404" w:rsidP="00F91404">
      <w:pPr>
        <w:numPr>
          <w:ilvl w:val="0"/>
          <w:numId w:val="110"/>
        </w:numPr>
        <w:spacing w:after="0"/>
        <w:rPr>
          <w:rFonts w:cstheme="minorHAnsi"/>
          <w:i/>
          <w:iCs/>
          <w:sz w:val="14"/>
          <w:szCs w:val="14"/>
        </w:rPr>
      </w:pPr>
      <w:r w:rsidRPr="00C1295B">
        <w:rPr>
          <w:rFonts w:cstheme="minorHAnsi"/>
          <w:i/>
          <w:iCs/>
          <w:sz w:val="14"/>
          <w:szCs w:val="14"/>
        </w:rPr>
        <w:t>State Government Hydrogen Strategies (e.g., Western Australia, Queensland, Northern Territory).</w:t>
      </w:r>
    </w:p>
    <w:p w14:paraId="4ADB67B0" w14:textId="77777777" w:rsidR="00F91404" w:rsidRPr="00C1295B" w:rsidRDefault="00F91404" w:rsidP="00F91404">
      <w:pPr>
        <w:spacing w:after="0"/>
        <w:rPr>
          <w:rFonts w:cstheme="minorHAnsi"/>
          <w:i/>
          <w:iCs/>
          <w:sz w:val="14"/>
          <w:szCs w:val="14"/>
        </w:rPr>
      </w:pPr>
      <w:r w:rsidRPr="00C1295B">
        <w:rPr>
          <w:rFonts w:cstheme="minorHAnsi"/>
          <w:b/>
          <w:bCs/>
          <w:i/>
          <w:iCs/>
          <w:sz w:val="14"/>
          <w:szCs w:val="14"/>
        </w:rPr>
        <w:t>Market and revenue support mechanisms (Hydrogen Headstart)</w:t>
      </w:r>
    </w:p>
    <w:p w14:paraId="5E259DA8" w14:textId="77777777" w:rsidR="00F91404" w:rsidRPr="00C1295B" w:rsidRDefault="00F91404" w:rsidP="00F91404">
      <w:pPr>
        <w:numPr>
          <w:ilvl w:val="0"/>
          <w:numId w:val="111"/>
        </w:numPr>
        <w:spacing w:after="0"/>
        <w:rPr>
          <w:rFonts w:cstheme="minorHAnsi"/>
          <w:i/>
          <w:iCs/>
          <w:sz w:val="14"/>
          <w:szCs w:val="14"/>
        </w:rPr>
      </w:pPr>
      <w:r w:rsidRPr="00C1295B">
        <w:rPr>
          <w:rFonts w:cstheme="minorHAnsi"/>
          <w:i/>
          <w:iCs/>
          <w:sz w:val="14"/>
          <w:szCs w:val="14"/>
        </w:rPr>
        <w:t>Australian Government (2023), Hydrogen Headstart Program – official programme documentation and funding guidelines.</w:t>
      </w:r>
    </w:p>
    <w:p w14:paraId="641E2440" w14:textId="77777777" w:rsidR="00F91404" w:rsidRPr="00C1295B" w:rsidRDefault="00F91404" w:rsidP="00F91404">
      <w:pPr>
        <w:numPr>
          <w:ilvl w:val="0"/>
          <w:numId w:val="111"/>
        </w:numPr>
        <w:spacing w:after="0"/>
        <w:rPr>
          <w:rFonts w:cstheme="minorHAnsi"/>
          <w:i/>
          <w:iCs/>
          <w:sz w:val="14"/>
          <w:szCs w:val="14"/>
        </w:rPr>
      </w:pPr>
      <w:r w:rsidRPr="00C1295B">
        <w:rPr>
          <w:rFonts w:cstheme="minorHAnsi"/>
          <w:i/>
          <w:iCs/>
          <w:sz w:val="14"/>
          <w:szCs w:val="14"/>
        </w:rPr>
        <w:t>DCCEEW policy announcements related to revenue support mechanisms for large-scale hydrogen projects.</w:t>
      </w:r>
    </w:p>
    <w:p w14:paraId="73618C81" w14:textId="77777777" w:rsidR="00F91404" w:rsidRPr="00C1295B" w:rsidRDefault="00F91404" w:rsidP="00F91404">
      <w:pPr>
        <w:spacing w:after="0"/>
        <w:rPr>
          <w:rFonts w:cstheme="minorHAnsi"/>
          <w:i/>
          <w:iCs/>
          <w:sz w:val="14"/>
          <w:szCs w:val="14"/>
        </w:rPr>
      </w:pPr>
      <w:r w:rsidRPr="00C1295B">
        <w:rPr>
          <w:rFonts w:cstheme="minorHAnsi"/>
          <w:b/>
          <w:bCs/>
          <w:i/>
          <w:iCs/>
          <w:sz w:val="14"/>
          <w:szCs w:val="14"/>
        </w:rPr>
        <w:t>Direct public funding and infrastructure support</w:t>
      </w:r>
    </w:p>
    <w:p w14:paraId="0058283A" w14:textId="77777777" w:rsidR="00F91404" w:rsidRPr="00C1295B" w:rsidRDefault="00F91404" w:rsidP="00F91404">
      <w:pPr>
        <w:numPr>
          <w:ilvl w:val="0"/>
          <w:numId w:val="112"/>
        </w:numPr>
        <w:spacing w:after="0"/>
        <w:rPr>
          <w:rFonts w:cstheme="minorHAnsi"/>
          <w:i/>
          <w:iCs/>
          <w:sz w:val="14"/>
          <w:szCs w:val="14"/>
        </w:rPr>
      </w:pPr>
      <w:r w:rsidRPr="00C1295B">
        <w:rPr>
          <w:rFonts w:cstheme="minorHAnsi"/>
          <w:i/>
          <w:iCs/>
          <w:sz w:val="14"/>
          <w:szCs w:val="14"/>
        </w:rPr>
        <w:t>Australian Renewable Energy Agency (ARENA), Hydrogen and Renewable Energy Funding Programmes.</w:t>
      </w:r>
    </w:p>
    <w:p w14:paraId="510BFA2F" w14:textId="77777777" w:rsidR="00F91404" w:rsidRPr="00C1295B" w:rsidRDefault="00F91404" w:rsidP="00F91404">
      <w:pPr>
        <w:numPr>
          <w:ilvl w:val="0"/>
          <w:numId w:val="112"/>
        </w:numPr>
        <w:spacing w:after="0"/>
        <w:rPr>
          <w:rFonts w:cstheme="minorHAnsi"/>
          <w:i/>
          <w:iCs/>
          <w:sz w:val="14"/>
          <w:szCs w:val="14"/>
        </w:rPr>
      </w:pPr>
      <w:r w:rsidRPr="00C1295B">
        <w:rPr>
          <w:rFonts w:cstheme="minorHAnsi"/>
          <w:i/>
          <w:iCs/>
          <w:sz w:val="14"/>
          <w:szCs w:val="14"/>
        </w:rPr>
        <w:t>Federal and State co-investment frameworks for hydrogen hubs and shared infrastructure.</w:t>
      </w:r>
    </w:p>
    <w:p w14:paraId="5389B0FF" w14:textId="77777777" w:rsidR="00F91404" w:rsidRPr="00C1295B" w:rsidRDefault="00F91404" w:rsidP="00F91404">
      <w:pPr>
        <w:numPr>
          <w:ilvl w:val="0"/>
          <w:numId w:val="112"/>
        </w:numPr>
        <w:spacing w:after="0"/>
        <w:rPr>
          <w:rFonts w:cstheme="minorHAnsi"/>
          <w:i/>
          <w:iCs/>
          <w:sz w:val="14"/>
          <w:szCs w:val="14"/>
        </w:rPr>
      </w:pPr>
      <w:r w:rsidRPr="00C1295B">
        <w:rPr>
          <w:rFonts w:cstheme="minorHAnsi"/>
          <w:i/>
          <w:iCs/>
          <w:sz w:val="14"/>
          <w:szCs w:val="14"/>
        </w:rPr>
        <w:t>Clean Energy Finance Corporation (CEFC), relevant low-carbon investment documentation (as applicable).</w:t>
      </w:r>
    </w:p>
    <w:p w14:paraId="6457F948" w14:textId="77777777" w:rsidR="00F91404" w:rsidRPr="00C1295B" w:rsidRDefault="00F91404" w:rsidP="00F91404">
      <w:pPr>
        <w:spacing w:after="0"/>
        <w:rPr>
          <w:rFonts w:cstheme="minorHAnsi"/>
          <w:i/>
          <w:iCs/>
          <w:sz w:val="14"/>
          <w:szCs w:val="14"/>
        </w:rPr>
      </w:pPr>
      <w:r w:rsidRPr="00C1295B">
        <w:rPr>
          <w:rFonts w:cstheme="minorHAnsi"/>
          <w:b/>
          <w:bCs/>
          <w:i/>
          <w:iCs/>
          <w:sz w:val="14"/>
          <w:szCs w:val="14"/>
        </w:rPr>
        <w:t>Standards and certification frameworks</w:t>
      </w:r>
    </w:p>
    <w:p w14:paraId="1E032669" w14:textId="77777777" w:rsidR="00F91404" w:rsidRPr="00C1295B" w:rsidRDefault="00F91404" w:rsidP="00F91404">
      <w:pPr>
        <w:numPr>
          <w:ilvl w:val="0"/>
          <w:numId w:val="113"/>
        </w:numPr>
        <w:spacing w:after="0"/>
        <w:rPr>
          <w:rFonts w:cstheme="minorHAnsi"/>
          <w:i/>
          <w:iCs/>
          <w:sz w:val="14"/>
          <w:szCs w:val="14"/>
        </w:rPr>
      </w:pPr>
      <w:r w:rsidRPr="00C1295B">
        <w:rPr>
          <w:rFonts w:cstheme="minorHAnsi"/>
          <w:i/>
          <w:iCs/>
          <w:sz w:val="14"/>
          <w:szCs w:val="14"/>
        </w:rPr>
        <w:t>Australian Government, Hydrogen Certification Scheme documentation (where applicable).</w:t>
      </w:r>
    </w:p>
    <w:p w14:paraId="79E54928" w14:textId="77777777" w:rsidR="00F91404" w:rsidRPr="00C1295B" w:rsidRDefault="00F91404" w:rsidP="00F91404">
      <w:pPr>
        <w:numPr>
          <w:ilvl w:val="0"/>
          <w:numId w:val="113"/>
        </w:numPr>
        <w:spacing w:after="0"/>
        <w:rPr>
          <w:rFonts w:cstheme="minorHAnsi"/>
          <w:i/>
          <w:iCs/>
          <w:sz w:val="14"/>
          <w:szCs w:val="14"/>
        </w:rPr>
      </w:pPr>
      <w:r w:rsidRPr="00C1295B">
        <w:rPr>
          <w:rFonts w:cstheme="minorHAnsi"/>
          <w:i/>
          <w:iCs/>
          <w:sz w:val="14"/>
          <w:szCs w:val="14"/>
        </w:rPr>
        <w:t>Clean Energy Regulator (CER), Renewable Energy Guarantee of Origin (REGO) framework and emissions accounting guidance.</w:t>
      </w:r>
    </w:p>
    <w:p w14:paraId="6C347A84" w14:textId="77777777" w:rsidR="00F91404" w:rsidRPr="00C1295B" w:rsidRDefault="00F91404" w:rsidP="00F91404">
      <w:pPr>
        <w:spacing w:after="0"/>
        <w:rPr>
          <w:rFonts w:cstheme="minorHAnsi"/>
          <w:i/>
          <w:iCs/>
          <w:sz w:val="14"/>
          <w:szCs w:val="14"/>
        </w:rPr>
      </w:pPr>
      <w:r w:rsidRPr="00C1295B">
        <w:rPr>
          <w:rFonts w:cstheme="minorHAnsi"/>
          <w:b/>
          <w:bCs/>
          <w:i/>
          <w:iCs/>
          <w:sz w:val="14"/>
          <w:szCs w:val="14"/>
        </w:rPr>
        <w:t>Infrastructure enabling policies (hubs and export corridors)</w:t>
      </w:r>
    </w:p>
    <w:p w14:paraId="344D04E0" w14:textId="77777777" w:rsidR="00F91404" w:rsidRPr="00C1295B" w:rsidRDefault="00F91404" w:rsidP="00F91404">
      <w:pPr>
        <w:numPr>
          <w:ilvl w:val="0"/>
          <w:numId w:val="114"/>
        </w:numPr>
        <w:spacing w:after="0"/>
        <w:rPr>
          <w:rFonts w:cstheme="minorHAnsi"/>
          <w:i/>
          <w:iCs/>
          <w:sz w:val="14"/>
          <w:szCs w:val="14"/>
        </w:rPr>
      </w:pPr>
      <w:r w:rsidRPr="00C1295B">
        <w:rPr>
          <w:rFonts w:cstheme="minorHAnsi"/>
          <w:i/>
          <w:iCs/>
          <w:sz w:val="14"/>
          <w:szCs w:val="14"/>
        </w:rPr>
        <w:t>Hydrogen Hub programme documentation (Commonwealth and State level).</w:t>
      </w:r>
    </w:p>
    <w:p w14:paraId="09C0E703" w14:textId="77777777" w:rsidR="00F91404" w:rsidRPr="00C1295B" w:rsidRDefault="00F91404" w:rsidP="00F91404">
      <w:pPr>
        <w:numPr>
          <w:ilvl w:val="0"/>
          <w:numId w:val="114"/>
        </w:numPr>
        <w:spacing w:after="0"/>
        <w:rPr>
          <w:rFonts w:cstheme="minorHAnsi"/>
          <w:i/>
          <w:iCs/>
          <w:sz w:val="14"/>
          <w:szCs w:val="14"/>
        </w:rPr>
      </w:pPr>
      <w:r w:rsidRPr="00C1295B">
        <w:rPr>
          <w:rFonts w:cstheme="minorHAnsi"/>
          <w:i/>
          <w:iCs/>
          <w:sz w:val="14"/>
          <w:szCs w:val="14"/>
        </w:rPr>
        <w:t>Port authority publications related to hydrogen and ammonia export infrastructure.</w:t>
      </w:r>
    </w:p>
    <w:p w14:paraId="486B0534" w14:textId="77777777" w:rsidR="00F91404" w:rsidRPr="00C1295B" w:rsidRDefault="00F91404" w:rsidP="00F91404">
      <w:pPr>
        <w:numPr>
          <w:ilvl w:val="0"/>
          <w:numId w:val="114"/>
        </w:numPr>
        <w:spacing w:after="0"/>
        <w:rPr>
          <w:rFonts w:cstheme="minorHAnsi"/>
          <w:i/>
          <w:iCs/>
          <w:sz w:val="14"/>
          <w:szCs w:val="14"/>
        </w:rPr>
      </w:pPr>
      <w:r w:rsidRPr="00C1295B">
        <w:rPr>
          <w:rFonts w:cstheme="minorHAnsi"/>
          <w:i/>
          <w:iCs/>
          <w:sz w:val="14"/>
          <w:szCs w:val="14"/>
        </w:rPr>
        <w:t>Regional hydrogen hub development plans aligned with renewable resource zones.</w:t>
      </w:r>
    </w:p>
    <w:p w14:paraId="4CB36EB0" w14:textId="77777777" w:rsidR="00F91404" w:rsidRPr="00C1295B" w:rsidRDefault="00F91404" w:rsidP="00F91404">
      <w:pPr>
        <w:spacing w:after="0"/>
        <w:rPr>
          <w:rFonts w:cstheme="minorHAnsi"/>
          <w:i/>
          <w:iCs/>
          <w:sz w:val="14"/>
          <w:szCs w:val="14"/>
        </w:rPr>
      </w:pPr>
      <w:r w:rsidRPr="00C1295B">
        <w:rPr>
          <w:rFonts w:cstheme="minorHAnsi"/>
          <w:b/>
          <w:bCs/>
          <w:i/>
          <w:iCs/>
          <w:sz w:val="14"/>
          <w:szCs w:val="14"/>
        </w:rPr>
        <w:t>Production capacity / pipeline and deployment status</w:t>
      </w:r>
    </w:p>
    <w:p w14:paraId="1AAA24C4" w14:textId="77777777" w:rsidR="00F91404" w:rsidRPr="00C1295B" w:rsidRDefault="00F91404" w:rsidP="00F91404">
      <w:pPr>
        <w:numPr>
          <w:ilvl w:val="0"/>
          <w:numId w:val="115"/>
        </w:numPr>
        <w:spacing w:after="0"/>
        <w:rPr>
          <w:rFonts w:cstheme="minorHAnsi"/>
          <w:i/>
          <w:iCs/>
          <w:sz w:val="14"/>
          <w:szCs w:val="14"/>
        </w:rPr>
      </w:pPr>
      <w:r w:rsidRPr="00C1295B">
        <w:rPr>
          <w:rFonts w:cstheme="minorHAnsi"/>
          <w:i/>
          <w:iCs/>
          <w:sz w:val="14"/>
          <w:szCs w:val="14"/>
        </w:rPr>
        <w:t>International Energy Agency (IEA) (2023), Global Hydrogen Review 2023, Paris: IEA.</w:t>
      </w:r>
    </w:p>
    <w:p w14:paraId="0C5129FB" w14:textId="77777777" w:rsidR="00F91404" w:rsidRPr="00C1295B" w:rsidRDefault="00F91404" w:rsidP="00F91404">
      <w:pPr>
        <w:numPr>
          <w:ilvl w:val="0"/>
          <w:numId w:val="115"/>
        </w:numPr>
        <w:spacing w:after="0"/>
        <w:rPr>
          <w:rFonts w:cstheme="minorHAnsi"/>
          <w:i/>
          <w:iCs/>
          <w:sz w:val="14"/>
          <w:szCs w:val="14"/>
        </w:rPr>
      </w:pPr>
      <w:r w:rsidRPr="00C1295B">
        <w:rPr>
          <w:rFonts w:cstheme="minorHAnsi"/>
          <w:i/>
          <w:iCs/>
          <w:sz w:val="14"/>
          <w:szCs w:val="14"/>
        </w:rPr>
        <w:t>IEA Hydrogen Projects Database (latest available edition).</w:t>
      </w:r>
    </w:p>
    <w:p w14:paraId="20C42D32" w14:textId="77777777" w:rsidR="00F91404" w:rsidRPr="00C1295B" w:rsidRDefault="00F91404" w:rsidP="00F91404">
      <w:pPr>
        <w:numPr>
          <w:ilvl w:val="0"/>
          <w:numId w:val="115"/>
        </w:numPr>
        <w:spacing w:after="0"/>
        <w:rPr>
          <w:rFonts w:cstheme="minorHAnsi"/>
          <w:i/>
          <w:iCs/>
          <w:sz w:val="14"/>
          <w:szCs w:val="14"/>
        </w:rPr>
      </w:pPr>
      <w:r w:rsidRPr="00C1295B">
        <w:rPr>
          <w:rFonts w:cstheme="minorHAnsi"/>
          <w:i/>
          <w:iCs/>
          <w:sz w:val="14"/>
          <w:szCs w:val="14"/>
        </w:rPr>
        <w:t>Public announcements of large-scale hydrogen and ammonia projects (e.g., Western Green Energy Hub, Asian Renewable Energy Hub).</w:t>
      </w:r>
    </w:p>
    <w:p w14:paraId="210694AF" w14:textId="77777777" w:rsidR="00F91404" w:rsidRPr="00C1295B" w:rsidRDefault="00F91404" w:rsidP="00F91404">
      <w:pPr>
        <w:spacing w:after="0"/>
        <w:rPr>
          <w:rFonts w:cstheme="minorHAnsi"/>
          <w:i/>
          <w:iCs/>
          <w:sz w:val="14"/>
          <w:szCs w:val="14"/>
        </w:rPr>
      </w:pPr>
      <w:r w:rsidRPr="00C1295B">
        <w:rPr>
          <w:rFonts w:cstheme="minorHAnsi"/>
          <w:b/>
          <w:bCs/>
          <w:i/>
          <w:iCs/>
          <w:sz w:val="14"/>
          <w:szCs w:val="14"/>
        </w:rPr>
        <w:t>Renewable energy context</w:t>
      </w:r>
    </w:p>
    <w:p w14:paraId="1482B5EC" w14:textId="77777777" w:rsidR="00F91404" w:rsidRPr="00C1295B" w:rsidRDefault="00F91404" w:rsidP="00F91404">
      <w:pPr>
        <w:numPr>
          <w:ilvl w:val="0"/>
          <w:numId w:val="116"/>
        </w:numPr>
        <w:spacing w:after="0"/>
        <w:rPr>
          <w:rFonts w:cstheme="minorHAnsi"/>
          <w:i/>
          <w:iCs/>
          <w:sz w:val="14"/>
          <w:szCs w:val="14"/>
        </w:rPr>
      </w:pPr>
      <w:r w:rsidRPr="00C1295B">
        <w:rPr>
          <w:rFonts w:cstheme="minorHAnsi"/>
          <w:i/>
          <w:iCs/>
          <w:sz w:val="14"/>
          <w:szCs w:val="14"/>
        </w:rPr>
        <w:t>Australian Energy Market Operator (AEMO), Electricity Statement of Opportunities and renewable capacity statistics.</w:t>
      </w:r>
    </w:p>
    <w:p w14:paraId="7589E8FC" w14:textId="77777777" w:rsidR="00F91404" w:rsidRPr="00C1295B" w:rsidRDefault="00F91404" w:rsidP="00F91404">
      <w:pPr>
        <w:numPr>
          <w:ilvl w:val="0"/>
          <w:numId w:val="116"/>
        </w:numPr>
        <w:spacing w:after="0"/>
        <w:rPr>
          <w:rFonts w:cstheme="minorHAnsi"/>
          <w:i/>
          <w:iCs/>
          <w:sz w:val="14"/>
          <w:szCs w:val="14"/>
        </w:rPr>
      </w:pPr>
      <w:r w:rsidRPr="00C1295B">
        <w:rPr>
          <w:rFonts w:cstheme="minorHAnsi"/>
          <w:i/>
          <w:iCs/>
          <w:sz w:val="14"/>
          <w:szCs w:val="14"/>
        </w:rPr>
        <w:t>Australian Government renewable energy statistics portal.</w:t>
      </w:r>
    </w:p>
    <w:p w14:paraId="73CA9BC4" w14:textId="77777777" w:rsidR="00F91404" w:rsidRDefault="00F91404" w:rsidP="00074C04">
      <w:pPr>
        <w:rPr>
          <w:rFonts w:cstheme="minorHAnsi"/>
          <w:color w:val="004F26" w:themeColor="accent4" w:themeShade="80"/>
          <w:sz w:val="20"/>
          <w:szCs w:val="20"/>
        </w:rPr>
      </w:pPr>
    </w:p>
    <w:p w14:paraId="63A56590" w14:textId="77777777" w:rsidR="00F91404" w:rsidRDefault="00F91404" w:rsidP="00074C04">
      <w:pPr>
        <w:rPr>
          <w:rFonts w:cstheme="minorHAnsi"/>
          <w:color w:val="004F26" w:themeColor="accent4" w:themeShade="80"/>
          <w:sz w:val="20"/>
          <w:szCs w:val="20"/>
        </w:rPr>
      </w:pPr>
    </w:p>
    <w:p w14:paraId="4977E8C2" w14:textId="77777777" w:rsidR="00F91404" w:rsidRDefault="00F91404" w:rsidP="00074C04">
      <w:pPr>
        <w:rPr>
          <w:rFonts w:cstheme="minorHAnsi"/>
          <w:color w:val="004F26" w:themeColor="accent4" w:themeShade="80"/>
          <w:sz w:val="20"/>
          <w:szCs w:val="20"/>
        </w:rPr>
      </w:pPr>
    </w:p>
    <w:p w14:paraId="7FE2B7EE" w14:textId="77777777" w:rsidR="00F91404" w:rsidRDefault="00F91404" w:rsidP="00074C04">
      <w:pPr>
        <w:rPr>
          <w:rFonts w:cstheme="minorHAnsi"/>
          <w:color w:val="004F26" w:themeColor="accent4" w:themeShade="80"/>
          <w:sz w:val="20"/>
          <w:szCs w:val="20"/>
        </w:rPr>
      </w:pPr>
    </w:p>
    <w:p w14:paraId="084C5B29" w14:textId="77777777" w:rsidR="00F91404" w:rsidRDefault="00F91404" w:rsidP="00074C04">
      <w:pPr>
        <w:rPr>
          <w:rFonts w:cstheme="minorHAnsi"/>
          <w:color w:val="004F26" w:themeColor="accent4" w:themeShade="80"/>
          <w:sz w:val="20"/>
          <w:szCs w:val="20"/>
        </w:rPr>
      </w:pPr>
    </w:p>
    <w:p w14:paraId="06200DF0" w14:textId="77777777" w:rsidR="00F91404" w:rsidRDefault="00F91404" w:rsidP="00074C04">
      <w:pPr>
        <w:rPr>
          <w:rFonts w:cstheme="minorHAnsi"/>
          <w:color w:val="004F26" w:themeColor="accent4" w:themeShade="80"/>
          <w:sz w:val="20"/>
          <w:szCs w:val="20"/>
        </w:rPr>
      </w:pPr>
    </w:p>
    <w:p w14:paraId="5EC819F7" w14:textId="77777777" w:rsidR="00F91404" w:rsidRDefault="00F91404" w:rsidP="00074C04">
      <w:pPr>
        <w:rPr>
          <w:rFonts w:cstheme="minorHAnsi"/>
          <w:color w:val="004F26" w:themeColor="accent4" w:themeShade="80"/>
          <w:sz w:val="20"/>
          <w:szCs w:val="20"/>
        </w:rPr>
      </w:pPr>
    </w:p>
    <w:p w14:paraId="32B7F905" w14:textId="77777777" w:rsidR="00F91404" w:rsidRDefault="00F91404" w:rsidP="00074C04">
      <w:pPr>
        <w:rPr>
          <w:rFonts w:cstheme="minorHAnsi"/>
          <w:color w:val="004F26" w:themeColor="accent4" w:themeShade="80"/>
          <w:sz w:val="20"/>
          <w:szCs w:val="20"/>
        </w:rPr>
      </w:pPr>
    </w:p>
    <w:p w14:paraId="5C48806A" w14:textId="77777777" w:rsidR="00F91404" w:rsidRDefault="00F91404" w:rsidP="00074C04">
      <w:pPr>
        <w:rPr>
          <w:rFonts w:cstheme="minorHAnsi"/>
          <w:color w:val="004F26" w:themeColor="accent4" w:themeShade="80"/>
          <w:sz w:val="20"/>
          <w:szCs w:val="20"/>
        </w:rPr>
      </w:pPr>
    </w:p>
    <w:p w14:paraId="3593E059" w14:textId="77777777" w:rsidR="00F91404" w:rsidRDefault="00F91404" w:rsidP="00074C04">
      <w:pPr>
        <w:rPr>
          <w:rFonts w:cstheme="minorHAnsi"/>
          <w:color w:val="004F26" w:themeColor="accent4" w:themeShade="80"/>
          <w:sz w:val="20"/>
          <w:szCs w:val="20"/>
        </w:rPr>
      </w:pPr>
    </w:p>
    <w:p w14:paraId="323D9029" w14:textId="77777777" w:rsidR="00F91404" w:rsidRDefault="00F91404" w:rsidP="00074C04">
      <w:pPr>
        <w:rPr>
          <w:rFonts w:cstheme="minorHAnsi"/>
          <w:color w:val="004F26" w:themeColor="accent4" w:themeShade="80"/>
          <w:sz w:val="20"/>
          <w:szCs w:val="20"/>
        </w:rPr>
      </w:pPr>
    </w:p>
    <w:p w14:paraId="4BBB899E" w14:textId="77777777" w:rsidR="00F91404" w:rsidRPr="00F91404" w:rsidRDefault="00F91404" w:rsidP="00F91404">
      <w:pPr>
        <w:rPr>
          <w:b/>
          <w:bCs/>
          <w:i/>
          <w:color w:val="004C43" w:themeColor="accent1"/>
          <w:sz w:val="24"/>
          <w:szCs w:val="32"/>
        </w:rPr>
      </w:pPr>
      <w:r w:rsidRPr="00F91404">
        <w:rPr>
          <w:b/>
          <w:bCs/>
          <w:color w:val="004C43" w:themeColor="accent1"/>
          <w:sz w:val="24"/>
          <w:szCs w:val="32"/>
        </w:rPr>
        <w:lastRenderedPageBreak/>
        <w:t>Chile</w:t>
      </w:r>
    </w:p>
    <w:p w14:paraId="749B585F" w14:textId="77777777" w:rsidR="00F91404" w:rsidRPr="00F91404" w:rsidRDefault="00F91404" w:rsidP="00F91404">
      <w:pPr>
        <w:rPr>
          <w:rFonts w:cstheme="minorHAnsi"/>
          <w:sz w:val="20"/>
          <w:szCs w:val="20"/>
        </w:rPr>
      </w:pPr>
      <w:r w:rsidRPr="00F91404">
        <w:rPr>
          <w:rFonts w:cstheme="minorHAnsi"/>
          <w:sz w:val="20"/>
          <w:szCs w:val="20"/>
        </w:rPr>
        <w:t>Chile has established a centralised but facilitative governance framework for green hydrogen. The Ministry of Energy provides strategic direction, while CORFO acts as the primary implementation agency, administering competitive CAPEX co-financing and pilot programmes. Environmental permitting and project approvals are handled through established national processes, with regional and port authorities supporting export-oriented infrastructure.</w:t>
      </w:r>
    </w:p>
    <w:p w14:paraId="069A3CE3" w14:textId="77777777" w:rsidR="00F91404" w:rsidRPr="00F91404" w:rsidRDefault="00F91404" w:rsidP="00F91404">
      <w:pPr>
        <w:rPr>
          <w:rFonts w:cstheme="minorHAnsi"/>
          <w:sz w:val="20"/>
          <w:szCs w:val="20"/>
        </w:rPr>
      </w:pPr>
      <w:r w:rsidRPr="00F91404">
        <w:rPr>
          <w:rFonts w:cstheme="minorHAnsi"/>
          <w:sz w:val="20"/>
          <w:szCs w:val="20"/>
        </w:rPr>
        <w:t>Hydrogen has been defined as a strategic priority through a national hydrogen strategy and regulatory roadmap, while certification frameworks continue to mature. Chile is positioned at an early-to-scaling stage, with governance designed to enable execution and pipeline development while keeping long-term market risk largely with the private sector.</w:t>
      </w:r>
    </w:p>
    <w:tbl>
      <w:tblPr>
        <w:tblW w:w="5000" w:type="pct"/>
        <w:jc w:val="center"/>
        <w:tblLayout w:type="fixed"/>
        <w:tblCellMar>
          <w:left w:w="70" w:type="dxa"/>
          <w:right w:w="70" w:type="dxa"/>
        </w:tblCellMar>
        <w:tblLook w:val="04A0" w:firstRow="1" w:lastRow="0" w:firstColumn="1" w:lastColumn="0" w:noHBand="0" w:noVBand="1"/>
      </w:tblPr>
      <w:tblGrid>
        <w:gridCol w:w="1889"/>
        <w:gridCol w:w="86"/>
        <w:gridCol w:w="417"/>
        <w:gridCol w:w="1384"/>
        <w:gridCol w:w="913"/>
        <w:gridCol w:w="974"/>
        <w:gridCol w:w="1326"/>
        <w:gridCol w:w="565"/>
        <w:gridCol w:w="1895"/>
        <w:gridCol w:w="160"/>
      </w:tblGrid>
      <w:tr w:rsidR="00F91404" w:rsidRPr="00F91404" w14:paraId="47125BEF" w14:textId="77777777" w:rsidTr="00BD1985">
        <w:trPr>
          <w:gridAfter w:val="1"/>
          <w:wAfter w:w="83" w:type="pct"/>
          <w:trHeight w:val="1060"/>
          <w:jc w:val="center"/>
        </w:trPr>
        <w:tc>
          <w:tcPr>
            <w:tcW w:w="983" w:type="pct"/>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661E740E"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w:t>
            </w:r>
          </w:p>
          <w:p w14:paraId="395721A4"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production capacity </w:t>
            </w:r>
          </w:p>
          <w:p w14:paraId="5EB26146"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Operational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82" w:type="pct"/>
            <w:gridSpan w:val="3"/>
            <w:tcBorders>
              <w:top w:val="single" w:sz="12" w:space="0" w:color="808080"/>
              <w:left w:val="nil"/>
              <w:bottom w:val="single" w:sz="12" w:space="0" w:color="808080"/>
              <w:right w:val="single" w:sz="12" w:space="0" w:color="808080"/>
            </w:tcBorders>
            <w:shd w:val="clear" w:color="auto" w:fill="004C43" w:themeFill="accent1"/>
            <w:vAlign w:val="center"/>
            <w:hideMark/>
          </w:tcPr>
          <w:p w14:paraId="7C4AAC51"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w:t>
            </w:r>
          </w:p>
          <w:p w14:paraId="57C1A339"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capacity Planned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82"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3A9FAF07"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Hydrogen pipelines </w:t>
            </w:r>
            <w:r w:rsidRPr="00F91404">
              <w:rPr>
                <w:rFonts w:eastAsia="Times New Roman" w:cstheme="minorHAnsi"/>
                <w:b/>
                <w:color w:val="FFFFFF" w:themeColor="background1"/>
                <w:sz w:val="18"/>
                <w:szCs w:val="18"/>
                <w:lang w:eastAsia="es-MX"/>
              </w:rPr>
              <w:br/>
              <w:t>(km)</w:t>
            </w:r>
          </w:p>
        </w:tc>
        <w:tc>
          <w:tcPr>
            <w:tcW w:w="984"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1B0A79E9"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Ammonia port </w:t>
            </w:r>
          </w:p>
          <w:p w14:paraId="7BF3955D"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storage capacity </w:t>
            </w:r>
            <w:r w:rsidRPr="00F91404">
              <w:rPr>
                <w:rFonts w:eastAsia="Times New Roman" w:cstheme="minorHAnsi"/>
                <w:b/>
                <w:color w:val="FFFFFF" w:themeColor="background1"/>
                <w:sz w:val="18"/>
                <w:szCs w:val="18"/>
                <w:lang w:eastAsia="es-MX"/>
              </w:rPr>
              <w:br/>
              <w:t>(Thousand tonnes)</w:t>
            </w:r>
          </w:p>
        </w:tc>
        <w:tc>
          <w:tcPr>
            <w:tcW w:w="986" w:type="pct"/>
            <w:tcBorders>
              <w:top w:val="single" w:sz="12" w:space="0" w:color="808080"/>
              <w:left w:val="nil"/>
              <w:bottom w:val="single" w:sz="12" w:space="0" w:color="808080"/>
              <w:right w:val="single" w:sz="12" w:space="0" w:color="808080"/>
            </w:tcBorders>
            <w:shd w:val="clear" w:color="auto" w:fill="004C43" w:themeFill="accent1"/>
            <w:vAlign w:val="center"/>
            <w:hideMark/>
          </w:tcPr>
          <w:p w14:paraId="4AB61A0E"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Dominant market model</w:t>
            </w:r>
          </w:p>
        </w:tc>
      </w:tr>
      <w:tr w:rsidR="00F91404" w:rsidRPr="00F91404" w14:paraId="4DA6B77F" w14:textId="77777777" w:rsidTr="00BD1985">
        <w:trPr>
          <w:gridAfter w:val="1"/>
          <w:wAfter w:w="83" w:type="pct"/>
          <w:trHeight w:val="2740"/>
          <w:jc w:val="center"/>
        </w:trPr>
        <w:tc>
          <w:tcPr>
            <w:tcW w:w="983" w:type="pct"/>
            <w:tcBorders>
              <w:top w:val="nil"/>
              <w:left w:val="single" w:sz="12" w:space="0" w:color="808080"/>
              <w:bottom w:val="single" w:sz="12" w:space="0" w:color="808080"/>
              <w:right w:val="single" w:sz="12" w:space="0" w:color="808080"/>
            </w:tcBorders>
            <w:noWrap/>
            <w:vAlign w:val="center"/>
            <w:hideMark/>
          </w:tcPr>
          <w:p w14:paraId="265DB94A"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0F0EABAA" wp14:editId="40DC51B4">
                  <wp:extent cx="1168842" cy="1406358"/>
                  <wp:effectExtent l="0" t="0" r="0" b="3810"/>
                  <wp:docPr id="50243196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9297"/>
                          <a:stretch>
                            <a:fillRect/>
                          </a:stretch>
                        </pic:blipFill>
                        <pic:spPr bwMode="auto">
                          <a:xfrm>
                            <a:off x="0" y="0"/>
                            <a:ext cx="1189024" cy="14306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82" w:type="pct"/>
            <w:gridSpan w:val="3"/>
            <w:tcBorders>
              <w:top w:val="nil"/>
              <w:left w:val="nil"/>
              <w:bottom w:val="single" w:sz="12" w:space="0" w:color="808080"/>
              <w:right w:val="single" w:sz="12" w:space="0" w:color="808080"/>
            </w:tcBorders>
            <w:noWrap/>
            <w:vAlign w:val="center"/>
            <w:hideMark/>
          </w:tcPr>
          <w:p w14:paraId="749A2113"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5F374207" wp14:editId="65ECE600">
                  <wp:extent cx="935566" cy="1431483"/>
                  <wp:effectExtent l="0" t="0" r="0" b="0"/>
                  <wp:docPr id="87481486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2958" r="22596" b="8872"/>
                          <a:stretch>
                            <a:fillRect/>
                          </a:stretch>
                        </pic:blipFill>
                        <pic:spPr bwMode="auto">
                          <a:xfrm>
                            <a:off x="0" y="0"/>
                            <a:ext cx="954576" cy="14605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82" w:type="pct"/>
            <w:gridSpan w:val="2"/>
            <w:tcBorders>
              <w:top w:val="nil"/>
              <w:left w:val="nil"/>
              <w:bottom w:val="single" w:sz="12" w:space="0" w:color="808080"/>
              <w:right w:val="single" w:sz="12" w:space="0" w:color="808080"/>
            </w:tcBorders>
            <w:noWrap/>
            <w:vAlign w:val="center"/>
            <w:hideMark/>
          </w:tcPr>
          <w:p w14:paraId="57F3C3E5"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150</w:t>
            </w:r>
          </w:p>
          <w:p w14:paraId="3DAF1AE8"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4C407793" wp14:editId="6038199E">
                  <wp:extent cx="1012185" cy="1097280"/>
                  <wp:effectExtent l="0" t="0" r="0" b="7620"/>
                  <wp:docPr id="181190103" name="Picture 8" descr="A group of pipes with a red x&#10;&#10;AI-generated content may be incorrect.">
                    <a:extLst xmlns:a="http://schemas.openxmlformats.org/drawingml/2006/main">
                      <a:ext uri="{FF2B5EF4-FFF2-40B4-BE49-F238E27FC236}">
                        <a16:creationId xmlns:a16="http://schemas.microsoft.com/office/drawing/2014/main" id="{C97A65ED-B493-3551-4207-C3BE91D30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oup of pipes with a red x&#10;&#10;AI-generated content may be incorrect.">
                            <a:extLst>
                              <a:ext uri="{FF2B5EF4-FFF2-40B4-BE49-F238E27FC236}">
                                <a16:creationId xmlns:a16="http://schemas.microsoft.com/office/drawing/2014/main" id="{C97A65ED-B493-3551-4207-C3BE91D30A0A}"/>
                              </a:ext>
                            </a:extLst>
                          </pic:cNvPr>
                          <pic:cNvPicPr>
                            <a:picLocks noChangeAspect="1"/>
                          </pic:cNvPicPr>
                        </pic:nvPicPr>
                        <pic:blipFill>
                          <a:blip r:embed="rId37"/>
                          <a:srcRect l="19439" t="56718" r="56197" b="3663"/>
                          <a:stretch>
                            <a:fillRect/>
                          </a:stretch>
                        </pic:blipFill>
                        <pic:spPr>
                          <a:xfrm>
                            <a:off x="0" y="0"/>
                            <a:ext cx="1031782" cy="1118525"/>
                          </a:xfrm>
                          <a:prstGeom prst="rect">
                            <a:avLst/>
                          </a:prstGeom>
                        </pic:spPr>
                      </pic:pic>
                    </a:graphicData>
                  </a:graphic>
                </wp:inline>
              </w:drawing>
            </w:r>
          </w:p>
          <w:p w14:paraId="01A813A5" w14:textId="77777777" w:rsidR="00F91404" w:rsidRPr="00F91404" w:rsidRDefault="00F91404" w:rsidP="00BD1985">
            <w:pPr>
              <w:spacing w:after="0"/>
              <w:jc w:val="center"/>
              <w:rPr>
                <w:rFonts w:eastAsia="Times New Roman" w:cstheme="minorHAnsi"/>
                <w:b/>
                <w:color w:val="000000"/>
                <w:sz w:val="18"/>
                <w:szCs w:val="18"/>
                <w:lang w:eastAsia="es-MX"/>
              </w:rPr>
            </w:pPr>
          </w:p>
        </w:tc>
        <w:tc>
          <w:tcPr>
            <w:tcW w:w="984" w:type="pct"/>
            <w:gridSpan w:val="2"/>
            <w:tcBorders>
              <w:top w:val="nil"/>
              <w:left w:val="nil"/>
              <w:bottom w:val="single" w:sz="12" w:space="0" w:color="808080"/>
              <w:right w:val="single" w:sz="12" w:space="0" w:color="808080"/>
            </w:tcBorders>
            <w:noWrap/>
            <w:vAlign w:val="center"/>
            <w:hideMark/>
          </w:tcPr>
          <w:p w14:paraId="280660DB"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30.0</w:t>
            </w:r>
          </w:p>
          <w:p w14:paraId="17BE8914"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633BACB8" wp14:editId="035E0562">
                  <wp:extent cx="811033" cy="1035363"/>
                  <wp:effectExtent l="0" t="0" r="8255" b="0"/>
                  <wp:docPr id="787131223" name="Picture 6" descr="A group of white containers with black text&#10;&#10;AI-generated content may be incorrect.">
                    <a:extLst xmlns:a="http://schemas.openxmlformats.org/drawingml/2006/main">
                      <a:ext uri="{FF2B5EF4-FFF2-40B4-BE49-F238E27FC236}">
                        <a16:creationId xmlns:a16="http://schemas.microsoft.com/office/drawing/2014/main" id="{7E3C54D5-AB43-586A-3690-E3EAF2DB81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oup of white containers with black text&#10;&#10;AI-generated content may be incorrect.">
                            <a:extLst>
                              <a:ext uri="{FF2B5EF4-FFF2-40B4-BE49-F238E27FC236}">
                                <a16:creationId xmlns:a16="http://schemas.microsoft.com/office/drawing/2014/main" id="{7E3C54D5-AB43-586A-3690-E3EAF2DB8128}"/>
                              </a:ext>
                            </a:extLst>
                          </pic:cNvPr>
                          <pic:cNvPicPr>
                            <a:picLocks noChangeAspect="1"/>
                          </pic:cNvPicPr>
                        </pic:nvPicPr>
                        <pic:blipFill>
                          <a:blip r:embed="rId38"/>
                          <a:srcRect l="22202" t="53803" r="57942" b="8175"/>
                          <a:stretch>
                            <a:fillRect/>
                          </a:stretch>
                        </pic:blipFill>
                        <pic:spPr>
                          <a:xfrm>
                            <a:off x="0" y="0"/>
                            <a:ext cx="820635" cy="1047621"/>
                          </a:xfrm>
                          <a:prstGeom prst="rect">
                            <a:avLst/>
                          </a:prstGeom>
                        </pic:spPr>
                      </pic:pic>
                    </a:graphicData>
                  </a:graphic>
                </wp:inline>
              </w:drawing>
            </w:r>
          </w:p>
        </w:tc>
        <w:tc>
          <w:tcPr>
            <w:tcW w:w="986" w:type="pct"/>
            <w:tcBorders>
              <w:top w:val="nil"/>
              <w:left w:val="nil"/>
              <w:bottom w:val="single" w:sz="12" w:space="0" w:color="808080"/>
              <w:right w:val="single" w:sz="12" w:space="0" w:color="808080"/>
            </w:tcBorders>
            <w:vAlign w:val="center"/>
            <w:hideMark/>
          </w:tcPr>
          <w:p w14:paraId="039D893E"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490141B7" wp14:editId="5042DD66">
                  <wp:extent cx="1136753" cy="1243330"/>
                  <wp:effectExtent l="0" t="0" r="6350" b="0"/>
                  <wp:docPr id="1487079525" name="Picture 7" descr="A diagram of a ship with containers and a clipboard&#10;&#10;AI-generated content may be incorrect.">
                    <a:extLst xmlns:a="http://schemas.openxmlformats.org/drawingml/2006/main">
                      <a:ext uri="{FF2B5EF4-FFF2-40B4-BE49-F238E27FC236}">
                        <a16:creationId xmlns:a16="http://schemas.microsoft.com/office/drawing/2014/main" id="{12A5DC05-B30C-85C0-D051-F0668A76A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ship with containers and a clipboard&#10;&#10;AI-generated content may be incorrect.">
                            <a:extLst>
                              <a:ext uri="{FF2B5EF4-FFF2-40B4-BE49-F238E27FC236}">
                                <a16:creationId xmlns:a16="http://schemas.microsoft.com/office/drawing/2014/main" id="{12A5DC05-B30C-85C0-D051-F0668A76AF62}"/>
                              </a:ext>
                            </a:extLst>
                          </pic:cNvPr>
                          <pic:cNvPicPr>
                            <a:picLocks noChangeAspect="1"/>
                          </pic:cNvPicPr>
                        </pic:nvPicPr>
                        <pic:blipFill rotWithShape="1">
                          <a:blip r:embed="rId39"/>
                          <a:srcRect l="6397" t="25728" r="67450" b="31366"/>
                          <a:stretch>
                            <a:fillRect/>
                          </a:stretch>
                        </pic:blipFill>
                        <pic:spPr bwMode="auto">
                          <a:xfrm>
                            <a:off x="0" y="0"/>
                            <a:ext cx="1148678" cy="1256373"/>
                          </a:xfrm>
                          <a:prstGeom prst="rect">
                            <a:avLst/>
                          </a:prstGeom>
                          <a:ln>
                            <a:noFill/>
                          </a:ln>
                          <a:extLst>
                            <a:ext uri="{53640926-AAD7-44D8-BBD7-CCE9431645EC}">
                              <a14:shadowObscured xmlns:a14="http://schemas.microsoft.com/office/drawing/2010/main"/>
                            </a:ext>
                          </a:extLst>
                        </pic:spPr>
                      </pic:pic>
                    </a:graphicData>
                  </a:graphic>
                </wp:inline>
              </w:drawing>
            </w:r>
          </w:p>
        </w:tc>
      </w:tr>
      <w:tr w:rsidR="00F91404" w:rsidRPr="00F91404" w14:paraId="44EB4739" w14:textId="77777777" w:rsidTr="00BD1985">
        <w:trPr>
          <w:gridAfter w:val="1"/>
          <w:wAfter w:w="83" w:type="pct"/>
          <w:trHeight w:val="590"/>
          <w:jc w:val="center"/>
        </w:trPr>
        <w:tc>
          <w:tcPr>
            <w:tcW w:w="1245" w:type="pct"/>
            <w:gridSpan w:val="3"/>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0FDA6C87"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Overall Status</w:t>
            </w:r>
          </w:p>
        </w:tc>
        <w:tc>
          <w:tcPr>
            <w:tcW w:w="1195" w:type="pct"/>
            <w:gridSpan w:val="2"/>
            <w:tcBorders>
              <w:top w:val="nil"/>
              <w:left w:val="nil"/>
              <w:bottom w:val="single" w:sz="12" w:space="0" w:color="808080"/>
              <w:right w:val="single" w:sz="12" w:space="0" w:color="808080"/>
            </w:tcBorders>
            <w:shd w:val="clear" w:color="auto" w:fill="004C43" w:themeFill="accent1"/>
            <w:vAlign w:val="center"/>
            <w:hideMark/>
          </w:tcPr>
          <w:p w14:paraId="498229B2"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Strategies</w:t>
            </w:r>
          </w:p>
        </w:tc>
        <w:tc>
          <w:tcPr>
            <w:tcW w:w="1197" w:type="pct"/>
            <w:gridSpan w:val="2"/>
            <w:tcBorders>
              <w:top w:val="nil"/>
              <w:left w:val="nil"/>
              <w:bottom w:val="single" w:sz="12" w:space="0" w:color="808080"/>
              <w:right w:val="single" w:sz="12" w:space="0" w:color="808080"/>
            </w:tcBorders>
            <w:shd w:val="clear" w:color="auto" w:fill="004C43" w:themeFill="accent1"/>
            <w:vAlign w:val="center"/>
            <w:hideMark/>
          </w:tcPr>
          <w:p w14:paraId="2186636A"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Road Map </w:t>
            </w:r>
          </w:p>
        </w:tc>
        <w:tc>
          <w:tcPr>
            <w:tcW w:w="1280" w:type="pct"/>
            <w:gridSpan w:val="2"/>
            <w:tcBorders>
              <w:top w:val="nil"/>
              <w:left w:val="nil"/>
              <w:bottom w:val="single" w:sz="12" w:space="0" w:color="808080"/>
              <w:right w:val="single" w:sz="12" w:space="0" w:color="808080"/>
            </w:tcBorders>
            <w:shd w:val="clear" w:color="auto" w:fill="004C43" w:themeFill="accent1"/>
            <w:vAlign w:val="center"/>
            <w:hideMark/>
          </w:tcPr>
          <w:p w14:paraId="3BA09381"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Implementation &amp; </w:t>
            </w:r>
          </w:p>
          <w:p w14:paraId="1A4785F8"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Development Plans</w:t>
            </w:r>
          </w:p>
        </w:tc>
      </w:tr>
      <w:tr w:rsidR="00F91404" w:rsidRPr="00F91404" w14:paraId="212BE85B" w14:textId="77777777" w:rsidTr="00BD1985">
        <w:trPr>
          <w:gridAfter w:val="1"/>
          <w:wAfter w:w="83" w:type="pct"/>
          <w:trHeight w:val="1246"/>
          <w:jc w:val="center"/>
        </w:trPr>
        <w:tc>
          <w:tcPr>
            <w:tcW w:w="1245" w:type="pct"/>
            <w:gridSpan w:val="3"/>
            <w:vMerge w:val="restart"/>
            <w:tcBorders>
              <w:top w:val="single" w:sz="12" w:space="0" w:color="808080"/>
              <w:left w:val="single" w:sz="12" w:space="0" w:color="808080"/>
              <w:bottom w:val="single" w:sz="12" w:space="0" w:color="808080"/>
              <w:right w:val="single" w:sz="12" w:space="0" w:color="808080"/>
            </w:tcBorders>
            <w:vAlign w:val="center"/>
            <w:hideMark/>
          </w:tcPr>
          <w:p w14:paraId="11181E2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Early-stage hydrogen market with a clear export-oriented ambition</w:t>
            </w:r>
          </w:p>
          <w:p w14:paraId="6549FD8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framework focused on moving from strategy to execution</w:t>
            </w:r>
          </w:p>
          <w:p w14:paraId="6290472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Relies on targeted public co-financing to reduce early-stage and technology risk</w:t>
            </w:r>
          </w:p>
          <w:p w14:paraId="5406DA4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b/>
                <w:bCs/>
                <w:color w:val="000000"/>
                <w:sz w:val="18"/>
                <w:szCs w:val="18"/>
                <w:lang w:eastAsia="es-MX"/>
              </w:rPr>
            </w:pPr>
            <w:r w:rsidRPr="00F91404">
              <w:rPr>
                <w:rFonts w:eastAsia="Times New Roman" w:cstheme="minorHAnsi"/>
                <w:sz w:val="18"/>
                <w:szCs w:val="18"/>
                <w:lang w:eastAsia="es-MX"/>
              </w:rPr>
              <w:t>Model designed to enable a credible project pipeline without long-term revenue guarantees</w:t>
            </w:r>
          </w:p>
        </w:tc>
        <w:tc>
          <w:tcPr>
            <w:tcW w:w="1195" w:type="pct"/>
            <w:gridSpan w:val="2"/>
            <w:vMerge w:val="restart"/>
            <w:tcBorders>
              <w:top w:val="nil"/>
              <w:left w:val="single" w:sz="12" w:space="0" w:color="808080"/>
              <w:bottom w:val="single" w:sz="12" w:space="0" w:color="808080"/>
              <w:right w:val="single" w:sz="12" w:space="0" w:color="808080"/>
            </w:tcBorders>
            <w:vAlign w:val="center"/>
            <w:hideMark/>
          </w:tcPr>
          <w:p w14:paraId="25F1466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Positions green hydrogen as a strategic export-oriented industry</w:t>
            </w:r>
          </w:p>
          <w:p w14:paraId="34262752"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Leverages strong renewable resource potential to supply international markets</w:t>
            </w:r>
          </w:p>
          <w:p w14:paraId="36BF491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Focuses on hydrogen and hydrogen-derived fuels (notably e-fuels)</w:t>
            </w:r>
          </w:p>
          <w:p w14:paraId="636391B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Supports domestic industrial decarbonisation where relevant, but exports are the primary driver</w:t>
            </w:r>
          </w:p>
        </w:tc>
        <w:tc>
          <w:tcPr>
            <w:tcW w:w="1197" w:type="pct"/>
            <w:gridSpan w:val="2"/>
            <w:vMerge w:val="restart"/>
            <w:tcBorders>
              <w:top w:val="nil"/>
              <w:left w:val="single" w:sz="12" w:space="0" w:color="808080"/>
              <w:bottom w:val="single" w:sz="12" w:space="0" w:color="808080"/>
              <w:right w:val="single" w:sz="12" w:space="0" w:color="808080"/>
            </w:tcBorders>
            <w:vAlign w:val="center"/>
            <w:hideMark/>
          </w:tcPr>
          <w:p w14:paraId="7DDA8A5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Strategy adoption (2020): National Green Hydrogen Strategy establishes export-oriented vision</w:t>
            </w:r>
          </w:p>
          <w:p w14:paraId="43FB5DB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Pilot and FOAK phase (2021–2022): Public support targets pilot and first-of-a-kind projects</w:t>
            </w:r>
          </w:p>
          <w:p w14:paraId="1D4805F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Early commercial phase (current): Expansion of export-linked projects aligned with port infrastructure</w:t>
            </w:r>
          </w:p>
          <w:p w14:paraId="6F1A64B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Next phase: Scaling export-oriented production as international market access and certification mature</w:t>
            </w:r>
          </w:p>
        </w:tc>
        <w:tc>
          <w:tcPr>
            <w:tcW w:w="1280" w:type="pct"/>
            <w:gridSpan w:val="2"/>
            <w:vMerge w:val="restart"/>
            <w:tcBorders>
              <w:top w:val="nil"/>
              <w:left w:val="single" w:sz="12" w:space="0" w:color="808080"/>
              <w:bottom w:val="single" w:sz="12" w:space="0" w:color="808080"/>
              <w:right w:val="single" w:sz="12" w:space="0" w:color="808080"/>
            </w:tcBorders>
            <w:vAlign w:val="center"/>
            <w:hideMark/>
          </w:tcPr>
          <w:p w14:paraId="6296CE5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Execution led by the </w:t>
            </w:r>
            <w:r w:rsidRPr="00F91404">
              <w:rPr>
                <w:rFonts w:eastAsia="Times New Roman" w:cstheme="minorHAnsi"/>
                <w:sz w:val="18"/>
                <w:szCs w:val="18"/>
                <w:lang w:eastAsia="es-MX"/>
              </w:rPr>
              <w:br/>
              <w:t>Ministry of Energy</w:t>
            </w:r>
          </w:p>
          <w:p w14:paraId="4E75F3C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val="es-MX" w:eastAsia="es-MX"/>
              </w:rPr>
            </w:pPr>
            <w:r w:rsidRPr="00F91404">
              <w:rPr>
                <w:rFonts w:eastAsia="Times New Roman" w:cstheme="minorHAnsi"/>
                <w:sz w:val="18"/>
                <w:szCs w:val="18"/>
                <w:lang w:val="es-MX" w:eastAsia="es-MX"/>
              </w:rPr>
              <w:t xml:space="preserve">Core </w:t>
            </w:r>
            <w:proofErr w:type="spellStart"/>
            <w:r w:rsidRPr="00F91404">
              <w:rPr>
                <w:rFonts w:eastAsia="Times New Roman" w:cstheme="minorHAnsi"/>
                <w:sz w:val="18"/>
                <w:szCs w:val="18"/>
                <w:lang w:val="es-MX" w:eastAsia="es-MX"/>
              </w:rPr>
              <w:t>implementation</w:t>
            </w:r>
            <w:proofErr w:type="spellEnd"/>
            <w:r w:rsidRPr="00F91404">
              <w:rPr>
                <w:rFonts w:eastAsia="Times New Roman" w:cstheme="minorHAnsi"/>
                <w:sz w:val="18"/>
                <w:szCs w:val="18"/>
                <w:lang w:val="es-MX" w:eastAsia="es-MX"/>
              </w:rPr>
              <w:t xml:space="preserve"> </w:t>
            </w:r>
            <w:r w:rsidRPr="00F91404">
              <w:rPr>
                <w:rFonts w:eastAsia="Times New Roman" w:cstheme="minorHAnsi"/>
                <w:sz w:val="18"/>
                <w:szCs w:val="18"/>
                <w:lang w:val="es-MX" w:eastAsia="es-MX"/>
              </w:rPr>
              <w:br/>
            </w:r>
            <w:proofErr w:type="spellStart"/>
            <w:r w:rsidRPr="00F91404">
              <w:rPr>
                <w:rFonts w:eastAsia="Times New Roman" w:cstheme="minorHAnsi"/>
                <w:sz w:val="18"/>
                <w:szCs w:val="18"/>
                <w:lang w:val="es-MX" w:eastAsia="es-MX"/>
              </w:rPr>
              <w:t>delivered</w:t>
            </w:r>
            <w:proofErr w:type="spellEnd"/>
            <w:r w:rsidRPr="00F91404">
              <w:rPr>
                <w:rFonts w:eastAsia="Times New Roman" w:cstheme="minorHAnsi"/>
                <w:sz w:val="18"/>
                <w:szCs w:val="18"/>
                <w:lang w:val="es-MX" w:eastAsia="es-MX"/>
              </w:rPr>
              <w:t xml:space="preserve"> </w:t>
            </w:r>
            <w:proofErr w:type="spellStart"/>
            <w:r w:rsidRPr="00F91404">
              <w:rPr>
                <w:rFonts w:eastAsia="Times New Roman" w:cstheme="minorHAnsi"/>
                <w:sz w:val="18"/>
                <w:szCs w:val="18"/>
                <w:lang w:val="es-MX" w:eastAsia="es-MX"/>
              </w:rPr>
              <w:t>through</w:t>
            </w:r>
            <w:proofErr w:type="spellEnd"/>
            <w:r w:rsidRPr="00F91404">
              <w:rPr>
                <w:rFonts w:eastAsia="Times New Roman" w:cstheme="minorHAnsi"/>
                <w:sz w:val="18"/>
                <w:szCs w:val="18"/>
                <w:lang w:val="es-MX" w:eastAsia="es-MX"/>
              </w:rPr>
              <w:t xml:space="preserve"> CORFO (Corporación de Fomento de la Producción)</w:t>
            </w:r>
          </w:p>
          <w:p w14:paraId="1E16314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Key instruments include:</w:t>
            </w:r>
          </w:p>
          <w:p w14:paraId="546C25D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Competitive public </w:t>
            </w:r>
            <w:r w:rsidRPr="00F91404">
              <w:rPr>
                <w:rFonts w:eastAsia="Times New Roman" w:cstheme="minorHAnsi"/>
                <w:sz w:val="18"/>
                <w:szCs w:val="18"/>
                <w:lang w:eastAsia="es-MX"/>
              </w:rPr>
              <w:br/>
              <w:t>co-financing schemes</w:t>
            </w:r>
          </w:p>
          <w:p w14:paraId="53F373E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Defined funding envelopes for pilot and FOAK projects</w:t>
            </w:r>
          </w:p>
          <w:p w14:paraId="3DB3435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Programmes specify </w:t>
            </w:r>
            <w:r w:rsidRPr="00F91404">
              <w:rPr>
                <w:rFonts w:eastAsia="Times New Roman" w:cstheme="minorHAnsi"/>
                <w:sz w:val="18"/>
                <w:szCs w:val="18"/>
                <w:lang w:eastAsia="es-MX"/>
              </w:rPr>
              <w:br/>
              <w:t>eligible project types and implementation timelines</w:t>
            </w:r>
          </w:p>
        </w:tc>
      </w:tr>
      <w:tr w:rsidR="00F91404" w:rsidRPr="00F91404" w14:paraId="132AEDC4" w14:textId="77777777" w:rsidTr="00BD1985">
        <w:trPr>
          <w:trHeight w:val="4789"/>
          <w:jc w:val="center"/>
        </w:trPr>
        <w:tc>
          <w:tcPr>
            <w:tcW w:w="1245" w:type="pct"/>
            <w:gridSpan w:val="3"/>
            <w:vMerge/>
            <w:tcBorders>
              <w:top w:val="single" w:sz="12" w:space="0" w:color="808080"/>
              <w:left w:val="single" w:sz="12" w:space="0" w:color="808080"/>
              <w:bottom w:val="single" w:sz="12" w:space="0" w:color="808080"/>
              <w:right w:val="single" w:sz="12" w:space="0" w:color="808080"/>
            </w:tcBorders>
            <w:vAlign w:val="center"/>
            <w:hideMark/>
          </w:tcPr>
          <w:p w14:paraId="2C7DACEC" w14:textId="77777777" w:rsidR="00F91404" w:rsidRPr="00F91404" w:rsidRDefault="00F91404" w:rsidP="00BD1985">
            <w:pPr>
              <w:spacing w:after="0"/>
              <w:rPr>
                <w:rFonts w:eastAsia="Times New Roman" w:cstheme="minorHAnsi"/>
                <w:b/>
                <w:bCs/>
                <w:color w:val="000000"/>
                <w:sz w:val="18"/>
                <w:szCs w:val="18"/>
                <w:lang w:eastAsia="es-MX"/>
              </w:rPr>
            </w:pPr>
          </w:p>
        </w:tc>
        <w:tc>
          <w:tcPr>
            <w:tcW w:w="1195" w:type="pct"/>
            <w:gridSpan w:val="2"/>
            <w:vMerge/>
            <w:tcBorders>
              <w:top w:val="nil"/>
              <w:left w:val="single" w:sz="12" w:space="0" w:color="808080"/>
              <w:bottom w:val="single" w:sz="12" w:space="0" w:color="808080"/>
              <w:right w:val="single" w:sz="12" w:space="0" w:color="808080"/>
            </w:tcBorders>
            <w:vAlign w:val="center"/>
            <w:hideMark/>
          </w:tcPr>
          <w:p w14:paraId="6C5FA69C" w14:textId="77777777" w:rsidR="00F91404" w:rsidRPr="00F91404" w:rsidRDefault="00F91404" w:rsidP="00BD1985">
            <w:pPr>
              <w:spacing w:after="0"/>
              <w:rPr>
                <w:rFonts w:eastAsia="Times New Roman" w:cstheme="minorHAnsi"/>
                <w:color w:val="000000"/>
                <w:sz w:val="18"/>
                <w:szCs w:val="18"/>
                <w:lang w:eastAsia="es-MX"/>
              </w:rPr>
            </w:pPr>
          </w:p>
        </w:tc>
        <w:tc>
          <w:tcPr>
            <w:tcW w:w="1197" w:type="pct"/>
            <w:gridSpan w:val="2"/>
            <w:vMerge/>
            <w:tcBorders>
              <w:top w:val="nil"/>
              <w:left w:val="single" w:sz="12" w:space="0" w:color="808080"/>
              <w:bottom w:val="single" w:sz="12" w:space="0" w:color="808080"/>
              <w:right w:val="single" w:sz="12" w:space="0" w:color="808080"/>
            </w:tcBorders>
            <w:vAlign w:val="center"/>
            <w:hideMark/>
          </w:tcPr>
          <w:p w14:paraId="2C879673" w14:textId="77777777" w:rsidR="00F91404" w:rsidRPr="00F91404" w:rsidRDefault="00F91404" w:rsidP="00BD1985">
            <w:pPr>
              <w:spacing w:after="0"/>
              <w:rPr>
                <w:rFonts w:eastAsia="Times New Roman" w:cstheme="minorHAnsi"/>
                <w:color w:val="000000"/>
                <w:sz w:val="18"/>
                <w:szCs w:val="18"/>
                <w:lang w:eastAsia="es-MX"/>
              </w:rPr>
            </w:pPr>
          </w:p>
        </w:tc>
        <w:tc>
          <w:tcPr>
            <w:tcW w:w="1280" w:type="pct"/>
            <w:gridSpan w:val="2"/>
            <w:vMerge/>
            <w:tcBorders>
              <w:top w:val="nil"/>
              <w:left w:val="single" w:sz="12" w:space="0" w:color="808080"/>
              <w:bottom w:val="single" w:sz="12" w:space="0" w:color="808080"/>
              <w:right w:val="single" w:sz="12" w:space="0" w:color="808080"/>
            </w:tcBorders>
            <w:vAlign w:val="center"/>
            <w:hideMark/>
          </w:tcPr>
          <w:p w14:paraId="68A38348" w14:textId="77777777" w:rsidR="00F91404" w:rsidRPr="00F91404" w:rsidRDefault="00F91404" w:rsidP="00BD1985">
            <w:pPr>
              <w:spacing w:after="0"/>
              <w:rPr>
                <w:rFonts w:eastAsia="Times New Roman" w:cstheme="minorHAnsi"/>
                <w:color w:val="000000"/>
                <w:sz w:val="18"/>
                <w:szCs w:val="18"/>
                <w:lang w:eastAsia="es-MX"/>
              </w:rPr>
            </w:pPr>
          </w:p>
        </w:tc>
        <w:tc>
          <w:tcPr>
            <w:tcW w:w="83" w:type="pct"/>
            <w:tcBorders>
              <w:top w:val="nil"/>
              <w:left w:val="nil"/>
              <w:bottom w:val="nil"/>
              <w:right w:val="nil"/>
            </w:tcBorders>
            <w:noWrap/>
            <w:vAlign w:val="bottom"/>
            <w:hideMark/>
          </w:tcPr>
          <w:p w14:paraId="63F04243" w14:textId="77777777" w:rsidR="00F91404" w:rsidRPr="00F91404" w:rsidRDefault="00F91404" w:rsidP="00BD1985">
            <w:pPr>
              <w:spacing w:after="0"/>
              <w:jc w:val="center"/>
              <w:rPr>
                <w:rFonts w:eastAsia="Times New Roman" w:cstheme="minorHAnsi"/>
                <w:color w:val="000000"/>
                <w:sz w:val="18"/>
                <w:szCs w:val="18"/>
                <w:lang w:eastAsia="es-MX"/>
              </w:rPr>
            </w:pPr>
          </w:p>
        </w:tc>
      </w:tr>
      <w:tr w:rsidR="00F91404" w:rsidRPr="00F91404" w14:paraId="2982ACC0" w14:textId="77777777" w:rsidTr="00BD1985">
        <w:trPr>
          <w:trHeight w:val="400"/>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70F0417B"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lastRenderedPageBreak/>
              <w:t>Policies Framework</w:t>
            </w:r>
          </w:p>
        </w:tc>
        <w:tc>
          <w:tcPr>
            <w:tcW w:w="83" w:type="pct"/>
            <w:vAlign w:val="center"/>
            <w:hideMark/>
          </w:tcPr>
          <w:p w14:paraId="4C0CFE40" w14:textId="77777777" w:rsidR="00F91404" w:rsidRPr="00F91404" w:rsidRDefault="00F91404" w:rsidP="00BD1985">
            <w:pPr>
              <w:spacing w:after="0"/>
              <w:rPr>
                <w:rFonts w:eastAsia="Times New Roman" w:cstheme="minorHAnsi"/>
                <w:sz w:val="18"/>
                <w:szCs w:val="18"/>
                <w:lang w:eastAsia="es-MX"/>
              </w:rPr>
            </w:pPr>
          </w:p>
        </w:tc>
      </w:tr>
      <w:tr w:rsidR="00F91404" w:rsidRPr="00F91404" w14:paraId="081FE40D" w14:textId="77777777" w:rsidTr="00BD1985">
        <w:trPr>
          <w:trHeight w:val="1092"/>
          <w:jc w:val="center"/>
        </w:trPr>
        <w:tc>
          <w:tcPr>
            <w:tcW w:w="1028"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152A10E1"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Fiscal &amp; Tax </w:t>
            </w:r>
          </w:p>
          <w:p w14:paraId="09D63406"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Incentives</w:t>
            </w:r>
          </w:p>
        </w:tc>
        <w:tc>
          <w:tcPr>
            <w:tcW w:w="3889" w:type="pct"/>
            <w:gridSpan w:val="7"/>
            <w:tcBorders>
              <w:top w:val="single" w:sz="12" w:space="0" w:color="808080"/>
              <w:left w:val="nil"/>
              <w:bottom w:val="single" w:sz="12" w:space="0" w:color="808080"/>
              <w:right w:val="single" w:sz="12" w:space="0" w:color="808080"/>
            </w:tcBorders>
            <w:vAlign w:val="center"/>
            <w:hideMark/>
          </w:tcPr>
          <w:p w14:paraId="79968B1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hydrogen-specific tax incentives are applied</w:t>
            </w:r>
          </w:p>
          <w:p w14:paraId="1F61F08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Fiscal support through the tax system is minimal</w:t>
            </w:r>
          </w:p>
        </w:tc>
        <w:tc>
          <w:tcPr>
            <w:tcW w:w="83" w:type="pct"/>
            <w:vAlign w:val="center"/>
            <w:hideMark/>
          </w:tcPr>
          <w:p w14:paraId="0B56484A" w14:textId="77777777" w:rsidR="00F91404" w:rsidRPr="00F91404" w:rsidRDefault="00F91404" w:rsidP="00BD1985">
            <w:pPr>
              <w:spacing w:after="0"/>
              <w:rPr>
                <w:rFonts w:eastAsia="Times New Roman" w:cstheme="minorHAnsi"/>
                <w:sz w:val="18"/>
                <w:szCs w:val="18"/>
                <w:lang w:eastAsia="es-MX"/>
              </w:rPr>
            </w:pPr>
          </w:p>
        </w:tc>
      </w:tr>
      <w:tr w:rsidR="00F91404" w:rsidRPr="00F91404" w14:paraId="37521CA4" w14:textId="77777777" w:rsidTr="00BD1985">
        <w:trPr>
          <w:trHeight w:val="1248"/>
          <w:jc w:val="center"/>
        </w:trPr>
        <w:tc>
          <w:tcPr>
            <w:tcW w:w="1028"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4A7C7DCB"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Market and revenue support </w:t>
            </w:r>
          </w:p>
          <w:p w14:paraId="24F2C1FE"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mechanisms</w:t>
            </w:r>
          </w:p>
        </w:tc>
        <w:tc>
          <w:tcPr>
            <w:tcW w:w="3889" w:type="pct"/>
            <w:gridSpan w:val="7"/>
            <w:tcBorders>
              <w:top w:val="single" w:sz="12" w:space="0" w:color="808080"/>
              <w:left w:val="nil"/>
              <w:bottom w:val="single" w:sz="12" w:space="0" w:color="808080"/>
              <w:right w:val="single" w:sz="12" w:space="0" w:color="808080"/>
            </w:tcBorders>
            <w:vAlign w:val="center"/>
            <w:hideMark/>
          </w:tcPr>
          <w:p w14:paraId="100900A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No </w:t>
            </w:r>
            <w:proofErr w:type="spellStart"/>
            <w:r w:rsidRPr="00F91404">
              <w:rPr>
                <w:rFonts w:eastAsia="Times New Roman" w:cstheme="minorHAnsi"/>
                <w:sz w:val="18"/>
                <w:szCs w:val="18"/>
                <w:lang w:eastAsia="es-MX"/>
              </w:rPr>
              <w:t>CfD</w:t>
            </w:r>
            <w:proofErr w:type="spellEnd"/>
            <w:r w:rsidRPr="00F91404">
              <w:rPr>
                <w:rFonts w:eastAsia="Times New Roman" w:cstheme="minorHAnsi"/>
                <w:sz w:val="18"/>
                <w:szCs w:val="18"/>
                <w:lang w:eastAsia="es-MX"/>
              </w:rPr>
              <w:t>-type price guarantees or standardised revenue contracts</w:t>
            </w:r>
          </w:p>
          <w:p w14:paraId="446B805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Market and price risk are intentionally left with the private sector</w:t>
            </w:r>
          </w:p>
          <w:p w14:paraId="6B26F90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choice avoids long-term fiscal exposure and allows market discovery</w:t>
            </w:r>
          </w:p>
          <w:p w14:paraId="512D15BA" w14:textId="77777777" w:rsidR="00F91404" w:rsidRPr="00F91404" w:rsidRDefault="00F91404" w:rsidP="00BD1985">
            <w:pPr>
              <w:spacing w:after="0"/>
              <w:rPr>
                <w:rFonts w:eastAsia="Times New Roman" w:cstheme="minorHAnsi"/>
                <w:color w:val="000000"/>
                <w:sz w:val="18"/>
                <w:szCs w:val="18"/>
                <w:lang w:eastAsia="es-MX"/>
              </w:rPr>
            </w:pPr>
          </w:p>
        </w:tc>
        <w:tc>
          <w:tcPr>
            <w:tcW w:w="83" w:type="pct"/>
            <w:vAlign w:val="center"/>
            <w:hideMark/>
          </w:tcPr>
          <w:p w14:paraId="49A76ECA" w14:textId="77777777" w:rsidR="00F91404" w:rsidRPr="00F91404" w:rsidRDefault="00F91404" w:rsidP="00BD1985">
            <w:pPr>
              <w:spacing w:after="0"/>
              <w:rPr>
                <w:rFonts w:eastAsia="Times New Roman" w:cstheme="minorHAnsi"/>
                <w:sz w:val="18"/>
                <w:szCs w:val="18"/>
                <w:lang w:eastAsia="es-MX"/>
              </w:rPr>
            </w:pPr>
          </w:p>
        </w:tc>
      </w:tr>
      <w:tr w:rsidR="00F91404" w:rsidRPr="00F91404" w14:paraId="43454020" w14:textId="77777777" w:rsidTr="00BD1985">
        <w:trPr>
          <w:trHeight w:val="1810"/>
          <w:jc w:val="center"/>
        </w:trPr>
        <w:tc>
          <w:tcPr>
            <w:tcW w:w="1028"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64219093"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Direct public </w:t>
            </w:r>
          </w:p>
          <w:p w14:paraId="76B43ECD"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funding</w:t>
            </w:r>
          </w:p>
        </w:tc>
        <w:tc>
          <w:tcPr>
            <w:tcW w:w="3889" w:type="pct"/>
            <w:gridSpan w:val="7"/>
            <w:tcBorders>
              <w:top w:val="single" w:sz="12" w:space="0" w:color="808080"/>
              <w:left w:val="nil"/>
              <w:bottom w:val="single" w:sz="12" w:space="0" w:color="808080"/>
              <w:right w:val="single" w:sz="12" w:space="0" w:color="808080"/>
            </w:tcBorders>
            <w:vAlign w:val="center"/>
            <w:hideMark/>
          </w:tcPr>
          <w:p w14:paraId="7BDA31C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CORFO provides competitive grants and CAPEX co-financing for pilot and first-of-a-kind projects</w:t>
            </w:r>
          </w:p>
          <w:p w14:paraId="7CB4DAD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Support typically covers a portion of upfront investment, rather than full project costs</w:t>
            </w:r>
          </w:p>
          <w:p w14:paraId="413C367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Funding is designed to reduce:</w:t>
            </w:r>
          </w:p>
          <w:p w14:paraId="3E0203F1" w14:textId="77777777" w:rsidR="00F91404" w:rsidRPr="00F91404" w:rsidRDefault="00F91404" w:rsidP="00BD1985">
            <w:pPr>
              <w:pStyle w:val="ListParagraph"/>
              <w:numPr>
                <w:ilvl w:val="1"/>
                <w:numId w:val="28"/>
              </w:numPr>
              <w:spacing w:before="240" w:after="140" w:line="276" w:lineRule="auto"/>
              <w:ind w:left="479" w:hanging="141"/>
              <w:rPr>
                <w:rFonts w:eastAsia="Times New Roman" w:cstheme="minorHAnsi"/>
                <w:sz w:val="18"/>
                <w:szCs w:val="18"/>
                <w:lang w:eastAsia="es-MX"/>
              </w:rPr>
            </w:pPr>
            <w:r w:rsidRPr="00F91404">
              <w:rPr>
                <w:rFonts w:eastAsia="Times New Roman" w:cstheme="minorHAnsi"/>
                <w:sz w:val="18"/>
                <w:szCs w:val="18"/>
                <w:lang w:eastAsia="es-MX"/>
              </w:rPr>
              <w:t>Early-stage development risk</w:t>
            </w:r>
          </w:p>
          <w:p w14:paraId="6E5DFB6E" w14:textId="77777777" w:rsidR="00F91404" w:rsidRPr="00F91404" w:rsidRDefault="00F91404" w:rsidP="00BD1985">
            <w:pPr>
              <w:pStyle w:val="ListParagraph"/>
              <w:numPr>
                <w:ilvl w:val="1"/>
                <w:numId w:val="28"/>
              </w:numPr>
              <w:spacing w:before="240" w:after="140" w:line="276" w:lineRule="auto"/>
              <w:ind w:left="479" w:hanging="141"/>
              <w:rPr>
                <w:rFonts w:eastAsia="Times New Roman" w:cstheme="minorHAnsi"/>
                <w:sz w:val="18"/>
                <w:szCs w:val="18"/>
                <w:lang w:eastAsia="es-MX"/>
              </w:rPr>
            </w:pPr>
            <w:r w:rsidRPr="00F91404">
              <w:rPr>
                <w:rFonts w:eastAsia="Times New Roman" w:cstheme="minorHAnsi"/>
                <w:sz w:val="18"/>
                <w:szCs w:val="18"/>
                <w:lang w:eastAsia="es-MX"/>
              </w:rPr>
              <w:t>Technology and execution risk</w:t>
            </w:r>
          </w:p>
          <w:p w14:paraId="2683A4B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Lever is particularly targeted at export-oriented hydrogen and e-fuels projects</w:t>
            </w:r>
          </w:p>
        </w:tc>
        <w:tc>
          <w:tcPr>
            <w:tcW w:w="83" w:type="pct"/>
            <w:vAlign w:val="center"/>
            <w:hideMark/>
          </w:tcPr>
          <w:p w14:paraId="23530721" w14:textId="77777777" w:rsidR="00F91404" w:rsidRPr="00F91404" w:rsidRDefault="00F91404" w:rsidP="00BD1985">
            <w:pPr>
              <w:spacing w:after="0"/>
              <w:rPr>
                <w:rFonts w:eastAsia="Times New Roman" w:cstheme="minorHAnsi"/>
                <w:sz w:val="18"/>
                <w:szCs w:val="18"/>
                <w:lang w:eastAsia="es-MX"/>
              </w:rPr>
            </w:pPr>
          </w:p>
        </w:tc>
      </w:tr>
      <w:tr w:rsidR="00F91404" w:rsidRPr="00F91404" w14:paraId="4ADE0D19" w14:textId="77777777" w:rsidTr="00BD1985">
        <w:trPr>
          <w:trHeight w:val="1240"/>
          <w:jc w:val="center"/>
        </w:trPr>
        <w:tc>
          <w:tcPr>
            <w:tcW w:w="1028"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52B9DBDF"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Standards and </w:t>
            </w:r>
          </w:p>
          <w:p w14:paraId="3F34E875"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certification</w:t>
            </w:r>
          </w:p>
        </w:tc>
        <w:tc>
          <w:tcPr>
            <w:tcW w:w="3889" w:type="pct"/>
            <w:gridSpan w:val="7"/>
            <w:tcBorders>
              <w:top w:val="single" w:sz="12" w:space="0" w:color="808080"/>
              <w:left w:val="nil"/>
              <w:bottom w:val="single" w:sz="12" w:space="0" w:color="808080"/>
              <w:right w:val="single" w:sz="12" w:space="0" w:color="808080"/>
            </w:tcBorders>
            <w:vAlign w:val="center"/>
            <w:hideMark/>
          </w:tcPr>
          <w:p w14:paraId="6BC6A04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National strategy and regulatory roadmap are in place</w:t>
            </w:r>
          </w:p>
          <w:p w14:paraId="3E0094F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Certification frameworks are evolving to define eligibility and sustainability criteria</w:t>
            </w:r>
          </w:p>
          <w:p w14:paraId="375FD69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Alignment with international standards is prioritised to support export markets</w:t>
            </w:r>
          </w:p>
        </w:tc>
        <w:tc>
          <w:tcPr>
            <w:tcW w:w="83" w:type="pct"/>
            <w:vAlign w:val="center"/>
            <w:hideMark/>
          </w:tcPr>
          <w:p w14:paraId="72B95425" w14:textId="77777777" w:rsidR="00F91404" w:rsidRPr="00F91404" w:rsidRDefault="00F91404" w:rsidP="00BD1985">
            <w:pPr>
              <w:spacing w:after="0"/>
              <w:rPr>
                <w:rFonts w:eastAsia="Times New Roman" w:cstheme="minorHAnsi"/>
                <w:sz w:val="18"/>
                <w:szCs w:val="18"/>
                <w:lang w:eastAsia="es-MX"/>
              </w:rPr>
            </w:pPr>
          </w:p>
        </w:tc>
      </w:tr>
      <w:tr w:rsidR="00F91404" w:rsidRPr="00F91404" w14:paraId="0D342627" w14:textId="77777777" w:rsidTr="00BD1985">
        <w:trPr>
          <w:trHeight w:val="1668"/>
          <w:jc w:val="center"/>
        </w:trPr>
        <w:tc>
          <w:tcPr>
            <w:tcW w:w="1028"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43A94316"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Infrastructure-</w:t>
            </w:r>
          </w:p>
          <w:p w14:paraId="4F7F7603"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enabling policies</w:t>
            </w:r>
          </w:p>
        </w:tc>
        <w:tc>
          <w:tcPr>
            <w:tcW w:w="3889" w:type="pct"/>
            <w:gridSpan w:val="7"/>
            <w:tcBorders>
              <w:top w:val="single" w:sz="12" w:space="0" w:color="808080"/>
              <w:left w:val="nil"/>
              <w:bottom w:val="single" w:sz="12" w:space="0" w:color="808080"/>
              <w:right w:val="single" w:sz="12" w:space="0" w:color="808080"/>
            </w:tcBorders>
            <w:vAlign w:val="center"/>
            <w:hideMark/>
          </w:tcPr>
          <w:p w14:paraId="67DF34D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Infrastructure policy focuses on:</w:t>
            </w:r>
          </w:p>
          <w:p w14:paraId="78FA2D0F" w14:textId="77777777" w:rsidR="00F91404" w:rsidRPr="00F91404" w:rsidRDefault="00F91404" w:rsidP="00BD1985">
            <w:pPr>
              <w:pStyle w:val="ListParagraph"/>
              <w:numPr>
                <w:ilvl w:val="1"/>
                <w:numId w:val="28"/>
              </w:numPr>
              <w:spacing w:before="240" w:after="140" w:line="276" w:lineRule="auto"/>
              <w:ind w:left="479" w:hanging="141"/>
              <w:rPr>
                <w:rFonts w:eastAsia="Times New Roman" w:cstheme="minorHAnsi"/>
                <w:sz w:val="18"/>
                <w:szCs w:val="18"/>
                <w:lang w:eastAsia="es-MX"/>
              </w:rPr>
            </w:pPr>
            <w:r w:rsidRPr="00F91404">
              <w:rPr>
                <w:rFonts w:eastAsia="Times New Roman" w:cstheme="minorHAnsi"/>
                <w:sz w:val="18"/>
                <w:szCs w:val="18"/>
                <w:lang w:eastAsia="es-MX"/>
              </w:rPr>
              <w:t>Hydrogen hubs</w:t>
            </w:r>
          </w:p>
          <w:p w14:paraId="309F914F" w14:textId="77777777" w:rsidR="00F91404" w:rsidRPr="00F91404" w:rsidRDefault="00F91404" w:rsidP="00BD1985">
            <w:pPr>
              <w:pStyle w:val="ListParagraph"/>
              <w:numPr>
                <w:ilvl w:val="1"/>
                <w:numId w:val="28"/>
              </w:numPr>
              <w:spacing w:before="240" w:after="140" w:line="276" w:lineRule="auto"/>
              <w:ind w:left="479" w:hanging="141"/>
              <w:rPr>
                <w:rFonts w:eastAsia="Times New Roman" w:cstheme="minorHAnsi"/>
                <w:sz w:val="18"/>
                <w:szCs w:val="18"/>
                <w:lang w:eastAsia="es-MX"/>
              </w:rPr>
            </w:pPr>
            <w:r w:rsidRPr="00F91404">
              <w:rPr>
                <w:rFonts w:eastAsia="Times New Roman" w:cstheme="minorHAnsi"/>
                <w:sz w:val="18"/>
                <w:szCs w:val="18"/>
                <w:lang w:eastAsia="es-MX"/>
              </w:rPr>
              <w:t>Industrial clusters</w:t>
            </w:r>
          </w:p>
          <w:p w14:paraId="74965D16" w14:textId="77777777" w:rsidR="00F91404" w:rsidRPr="00F91404" w:rsidRDefault="00F91404" w:rsidP="00BD1985">
            <w:pPr>
              <w:pStyle w:val="ListParagraph"/>
              <w:numPr>
                <w:ilvl w:val="1"/>
                <w:numId w:val="28"/>
              </w:numPr>
              <w:spacing w:before="240" w:after="140" w:line="276" w:lineRule="auto"/>
              <w:ind w:left="479" w:hanging="141"/>
              <w:rPr>
                <w:rFonts w:eastAsia="Times New Roman" w:cstheme="minorHAnsi"/>
                <w:sz w:val="18"/>
                <w:szCs w:val="18"/>
                <w:lang w:eastAsia="es-MX"/>
              </w:rPr>
            </w:pPr>
            <w:r w:rsidRPr="00F91404">
              <w:rPr>
                <w:rFonts w:eastAsia="Times New Roman" w:cstheme="minorHAnsi"/>
                <w:sz w:val="18"/>
                <w:szCs w:val="18"/>
                <w:lang w:eastAsia="es-MX"/>
              </w:rPr>
              <w:t>Port-based export infrastructure</w:t>
            </w:r>
          </w:p>
          <w:p w14:paraId="477E099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Alignment with logistics and export corridors reduces system integration risk</w:t>
            </w:r>
          </w:p>
          <w:p w14:paraId="494264E2" w14:textId="77777777" w:rsidR="00F91404" w:rsidRPr="00F91404" w:rsidRDefault="00F91404" w:rsidP="00BD1985">
            <w:pPr>
              <w:spacing w:after="0"/>
              <w:rPr>
                <w:rFonts w:eastAsia="Times New Roman" w:cstheme="minorHAnsi"/>
                <w:color w:val="000000"/>
                <w:sz w:val="18"/>
                <w:szCs w:val="18"/>
                <w:lang w:eastAsia="es-MX"/>
              </w:rPr>
            </w:pPr>
          </w:p>
        </w:tc>
        <w:tc>
          <w:tcPr>
            <w:tcW w:w="83" w:type="pct"/>
            <w:vAlign w:val="center"/>
            <w:hideMark/>
          </w:tcPr>
          <w:p w14:paraId="1324FE15" w14:textId="77777777" w:rsidR="00F91404" w:rsidRPr="00F91404" w:rsidRDefault="00F91404" w:rsidP="00BD1985">
            <w:pPr>
              <w:spacing w:after="0"/>
              <w:rPr>
                <w:rFonts w:eastAsia="Times New Roman" w:cstheme="minorHAnsi"/>
                <w:sz w:val="18"/>
                <w:szCs w:val="18"/>
                <w:lang w:eastAsia="es-MX"/>
              </w:rPr>
            </w:pPr>
          </w:p>
        </w:tc>
      </w:tr>
      <w:tr w:rsidR="00F91404" w:rsidRPr="00F91404" w14:paraId="6DC5622F" w14:textId="77777777" w:rsidTr="00BD1985">
        <w:trPr>
          <w:trHeight w:val="400"/>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4A85453"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Sectoral focus / Priority sectors</w:t>
            </w:r>
          </w:p>
        </w:tc>
        <w:tc>
          <w:tcPr>
            <w:tcW w:w="83" w:type="pct"/>
            <w:vAlign w:val="center"/>
          </w:tcPr>
          <w:p w14:paraId="68B7C9CB" w14:textId="77777777" w:rsidR="00F91404" w:rsidRPr="00F91404" w:rsidRDefault="00F91404" w:rsidP="00BD1985">
            <w:pPr>
              <w:spacing w:after="0"/>
              <w:rPr>
                <w:rFonts w:eastAsia="Times New Roman" w:cstheme="minorHAnsi"/>
                <w:sz w:val="18"/>
                <w:szCs w:val="18"/>
                <w:lang w:eastAsia="es-MX"/>
              </w:rPr>
            </w:pPr>
          </w:p>
        </w:tc>
      </w:tr>
      <w:tr w:rsidR="00F91404" w:rsidRPr="00F91404" w14:paraId="2DD87046" w14:textId="77777777" w:rsidTr="00BD1985">
        <w:trPr>
          <w:trHeight w:val="1874"/>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4854A56D" w14:textId="77777777" w:rsidR="00F91404" w:rsidRPr="00F91404" w:rsidRDefault="00F91404" w:rsidP="00BD1985">
            <w:pPr>
              <w:spacing w:after="0"/>
              <w:rPr>
                <w:rFonts w:eastAsia="Times New Roman" w:cstheme="minorHAnsi"/>
                <w:color w:val="FFFFFF"/>
                <w:sz w:val="18"/>
                <w:szCs w:val="18"/>
                <w:lang w:eastAsia="es-MX"/>
              </w:rPr>
            </w:pPr>
            <w:r w:rsidRPr="00F91404">
              <w:rPr>
                <w:rFonts w:eastAsia="Times New Roman" w:cstheme="minorHAnsi"/>
                <w:sz w:val="18"/>
                <w:szCs w:val="18"/>
                <w:lang w:eastAsia="es-MX"/>
              </w:rPr>
              <w:t>Demand is driven by export-oriented hydrogen and synthetic fuels, particularly e-fuels for international markets. Domestic demand also arises from mining operations, where hydrogen can replace diesel and support decarbonisation of energy-intensive processes.</w:t>
            </w:r>
          </w:p>
        </w:tc>
        <w:tc>
          <w:tcPr>
            <w:tcW w:w="83" w:type="pct"/>
            <w:vAlign w:val="center"/>
          </w:tcPr>
          <w:p w14:paraId="725B2647" w14:textId="77777777" w:rsidR="00F91404" w:rsidRPr="00F91404" w:rsidRDefault="00F91404" w:rsidP="00BD1985">
            <w:pPr>
              <w:spacing w:after="0"/>
              <w:rPr>
                <w:rFonts w:eastAsia="Times New Roman" w:cstheme="minorHAnsi"/>
                <w:sz w:val="18"/>
                <w:szCs w:val="18"/>
                <w:lang w:eastAsia="es-MX"/>
              </w:rPr>
            </w:pPr>
          </w:p>
        </w:tc>
      </w:tr>
      <w:tr w:rsidR="00F91404" w:rsidRPr="00F91404" w14:paraId="71C878EA" w14:textId="77777777" w:rsidTr="00BD1985">
        <w:trPr>
          <w:trHeight w:val="361"/>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6357F848"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Renewable Energy Context</w:t>
            </w:r>
          </w:p>
        </w:tc>
        <w:tc>
          <w:tcPr>
            <w:tcW w:w="83" w:type="pct"/>
            <w:vAlign w:val="center"/>
          </w:tcPr>
          <w:p w14:paraId="40DCCD9B" w14:textId="77777777" w:rsidR="00F91404" w:rsidRPr="00F91404" w:rsidRDefault="00F91404" w:rsidP="00BD1985">
            <w:pPr>
              <w:spacing w:after="0"/>
              <w:rPr>
                <w:rFonts w:eastAsia="Times New Roman" w:cstheme="minorHAnsi"/>
                <w:sz w:val="18"/>
                <w:szCs w:val="18"/>
                <w:lang w:eastAsia="es-MX"/>
              </w:rPr>
            </w:pPr>
          </w:p>
        </w:tc>
      </w:tr>
      <w:tr w:rsidR="00F91404" w:rsidRPr="00F91404" w14:paraId="7FF6AF3D" w14:textId="77777777" w:rsidTr="00BD1985">
        <w:trPr>
          <w:trHeight w:val="2947"/>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32D39F65"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Chile has rapidly expanded renewable electricity capacity over the past decade, driven primarily by utility-scale solar PV in the northern regions and growing onshore wind deployment. Installed renewable capacity exceeds 30 GW, with renewables representing a significant and growing share of the national electricity mix. The country’s exceptional solar irradiation levels in the Atacama Desert and strong wind resources in the south provide a structural advantage for low-cost renewable generation.</w:t>
            </w:r>
          </w:p>
          <w:p w14:paraId="7B96BF3A"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National energy policy targets continued renewable expansion toward 2030, aligned with Chile’s carbon neutrality objective by 2050. Transmission expansion and curtailment management remain important system considerations, particularly in renewable-rich regions. The combination of high renewable potential, geographic concentration and proximity to port infrastructure provides favourable conditions for export-oriented green hydrogen production.</w:t>
            </w:r>
          </w:p>
        </w:tc>
        <w:tc>
          <w:tcPr>
            <w:tcW w:w="83" w:type="pct"/>
            <w:vAlign w:val="center"/>
          </w:tcPr>
          <w:p w14:paraId="61331698" w14:textId="77777777" w:rsidR="00F91404" w:rsidRPr="00F91404" w:rsidRDefault="00F91404" w:rsidP="00BD1985">
            <w:pPr>
              <w:spacing w:after="0"/>
              <w:rPr>
                <w:rFonts w:eastAsia="Times New Roman" w:cstheme="minorHAnsi"/>
                <w:sz w:val="18"/>
                <w:szCs w:val="18"/>
                <w:lang w:eastAsia="es-MX"/>
              </w:rPr>
            </w:pPr>
          </w:p>
        </w:tc>
      </w:tr>
      <w:tr w:rsidR="00F91404" w:rsidRPr="00F91404" w14:paraId="18087A6F" w14:textId="77777777" w:rsidTr="00BD1985">
        <w:trPr>
          <w:trHeight w:val="427"/>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5ADB830"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c>
          <w:tcPr>
            <w:tcW w:w="83" w:type="pct"/>
            <w:vAlign w:val="center"/>
          </w:tcPr>
          <w:p w14:paraId="647FDB2F" w14:textId="77777777" w:rsidR="00F91404" w:rsidRPr="00F91404" w:rsidRDefault="00F91404" w:rsidP="00BD1985">
            <w:pPr>
              <w:spacing w:after="0"/>
              <w:rPr>
                <w:rFonts w:eastAsia="Times New Roman" w:cstheme="minorHAnsi"/>
                <w:sz w:val="18"/>
                <w:szCs w:val="18"/>
                <w:lang w:eastAsia="es-MX"/>
              </w:rPr>
            </w:pPr>
          </w:p>
        </w:tc>
      </w:tr>
      <w:tr w:rsidR="00F91404" w:rsidRPr="00F91404" w14:paraId="6306FA1D" w14:textId="77777777" w:rsidTr="00BD1985">
        <w:trPr>
          <w:trHeight w:val="3337"/>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184DBE6E"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Chile applies an export-oriented and project-led hydrogen value chain model:</w:t>
            </w:r>
          </w:p>
          <w:p w14:paraId="798F4E16"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Production:</w:t>
            </w:r>
            <w:r w:rsidRPr="00F91404">
              <w:rPr>
                <w:rFonts w:eastAsia="Times New Roman" w:cstheme="minorHAnsi"/>
                <w:sz w:val="18"/>
                <w:szCs w:val="18"/>
                <w:lang w:eastAsia="es-MX"/>
              </w:rPr>
              <w:br/>
              <w:t>Electrolysis projects co-located with large-scale solar and wind resources, particularly in northern and southern renewable-rich regions; strong focus on ammonia and e-fuels production for export markets.</w:t>
            </w:r>
          </w:p>
          <w:p w14:paraId="09B390D1"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Storage:</w:t>
            </w:r>
            <w:r w:rsidRPr="00F91404">
              <w:rPr>
                <w:rFonts w:eastAsia="Times New Roman" w:cstheme="minorHAnsi"/>
                <w:sz w:val="18"/>
                <w:szCs w:val="18"/>
                <w:lang w:eastAsia="es-MX"/>
              </w:rPr>
              <w:br/>
              <w:t>On-site and port-linked storage solutions supporting hydrogen derivatives, with integration into export logistics infrastructure.</w:t>
            </w:r>
          </w:p>
          <w:p w14:paraId="48C747EA"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Transport / Distribution:</w:t>
            </w:r>
            <w:r w:rsidRPr="00F91404">
              <w:rPr>
                <w:rFonts w:eastAsia="Times New Roman" w:cstheme="minorHAnsi"/>
                <w:sz w:val="18"/>
                <w:szCs w:val="18"/>
                <w:lang w:eastAsia="es-MX"/>
              </w:rPr>
              <w:br/>
              <w:t>Infrastructure development centred on hydrogen hubs and port corridors, linking renewable generation sites to export terminals; long-distance domestic pipeline networks are not yet a primary focus.</w:t>
            </w:r>
          </w:p>
          <w:p w14:paraId="201EB95F"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Applications:</w:t>
            </w:r>
            <w:r w:rsidRPr="00F91404">
              <w:rPr>
                <w:rFonts w:eastAsia="Times New Roman" w:cstheme="minorHAnsi"/>
                <w:sz w:val="18"/>
                <w:szCs w:val="18"/>
                <w:lang w:eastAsia="es-MX"/>
              </w:rPr>
              <w:br/>
              <w:t>Primary emphasis on export of hydrogen derivatives (notably ammonia and e-fuels), alongside emerging domestic applications in mining and heavy industry.</w:t>
            </w:r>
          </w:p>
        </w:tc>
        <w:tc>
          <w:tcPr>
            <w:tcW w:w="83" w:type="pct"/>
            <w:vAlign w:val="center"/>
          </w:tcPr>
          <w:p w14:paraId="55BA316D" w14:textId="77777777" w:rsidR="00F91404" w:rsidRPr="00F91404" w:rsidRDefault="00F91404" w:rsidP="00BD1985">
            <w:pPr>
              <w:spacing w:after="0"/>
              <w:rPr>
                <w:rFonts w:eastAsia="Times New Roman" w:cstheme="minorHAnsi"/>
                <w:sz w:val="18"/>
                <w:szCs w:val="18"/>
                <w:lang w:eastAsia="es-MX"/>
              </w:rPr>
            </w:pPr>
          </w:p>
        </w:tc>
      </w:tr>
      <w:tr w:rsidR="00F91404" w:rsidRPr="00F91404" w14:paraId="2499F381" w14:textId="77777777" w:rsidTr="00BD1985">
        <w:trPr>
          <w:trHeight w:val="396"/>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1DB60A5F"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Strategic Stage &amp; Objective</w:t>
            </w:r>
          </w:p>
        </w:tc>
        <w:tc>
          <w:tcPr>
            <w:tcW w:w="83" w:type="pct"/>
            <w:vAlign w:val="center"/>
          </w:tcPr>
          <w:p w14:paraId="6BB89E33" w14:textId="77777777" w:rsidR="00F91404" w:rsidRPr="00F91404" w:rsidRDefault="00F91404" w:rsidP="00BD1985">
            <w:pPr>
              <w:spacing w:after="0"/>
              <w:rPr>
                <w:rFonts w:eastAsia="Times New Roman" w:cstheme="minorHAnsi"/>
                <w:sz w:val="18"/>
                <w:szCs w:val="18"/>
                <w:lang w:eastAsia="es-MX"/>
              </w:rPr>
            </w:pPr>
          </w:p>
        </w:tc>
      </w:tr>
      <w:tr w:rsidR="00F91404" w:rsidRPr="00F91404" w14:paraId="00C1EA73" w14:textId="77777777" w:rsidTr="00BD1985">
        <w:trPr>
          <w:trHeight w:val="2525"/>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411F61C6"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Current Stage:</w:t>
            </w:r>
            <w:r w:rsidRPr="00F91404">
              <w:rPr>
                <w:rFonts w:eastAsia="Times New Roman" w:cstheme="minorHAnsi"/>
                <w:sz w:val="18"/>
                <w:szCs w:val="18"/>
                <w:lang w:eastAsia="es-MX"/>
              </w:rPr>
              <w:t xml:space="preserve"> Early-to-scaling, export-driven development.</w:t>
            </w:r>
          </w:p>
          <w:p w14:paraId="6BF6AE76"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Overall Objective:</w:t>
            </w:r>
            <w:r w:rsidRPr="00F91404">
              <w:rPr>
                <w:rFonts w:eastAsia="Times New Roman" w:cstheme="minorHAnsi"/>
                <w:sz w:val="18"/>
                <w:szCs w:val="18"/>
                <w:lang w:eastAsia="es-MX"/>
              </w:rPr>
              <w:br/>
              <w:t>Position Chile as a competitive global exporter of green hydrogen and derivatives by leveraging its renewable resource advantage, while gradually supporting domestic industrial decarbonisation.</w:t>
            </w:r>
          </w:p>
          <w:p w14:paraId="718FD448"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Implementation has progressed from strategy publication toward competitive CAPEX support for pilot and first-of-a-kind projects, infrastructure planning for export hubs and alignment with international certification standards.</w:t>
            </w:r>
          </w:p>
        </w:tc>
        <w:tc>
          <w:tcPr>
            <w:tcW w:w="83" w:type="pct"/>
            <w:vAlign w:val="center"/>
          </w:tcPr>
          <w:p w14:paraId="35CFD241" w14:textId="77777777" w:rsidR="00F91404" w:rsidRPr="00F91404" w:rsidRDefault="00F91404" w:rsidP="00BD1985">
            <w:pPr>
              <w:spacing w:after="0"/>
              <w:rPr>
                <w:rFonts w:eastAsia="Times New Roman" w:cstheme="minorHAnsi"/>
                <w:sz w:val="18"/>
                <w:szCs w:val="18"/>
                <w:lang w:eastAsia="es-MX"/>
              </w:rPr>
            </w:pPr>
          </w:p>
        </w:tc>
      </w:tr>
      <w:tr w:rsidR="00F91404" w:rsidRPr="00F91404" w14:paraId="207AE6B4" w14:textId="77777777" w:rsidTr="00BD1985">
        <w:trPr>
          <w:trHeight w:val="433"/>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A4BE14C"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Key Stakeholders</w:t>
            </w:r>
          </w:p>
        </w:tc>
        <w:tc>
          <w:tcPr>
            <w:tcW w:w="83" w:type="pct"/>
            <w:vAlign w:val="center"/>
          </w:tcPr>
          <w:p w14:paraId="3C0ED7D5" w14:textId="77777777" w:rsidR="00F91404" w:rsidRPr="00F91404" w:rsidRDefault="00F91404" w:rsidP="00BD1985">
            <w:pPr>
              <w:spacing w:after="0"/>
              <w:rPr>
                <w:rFonts w:eastAsia="Times New Roman" w:cstheme="minorHAnsi"/>
                <w:sz w:val="18"/>
                <w:szCs w:val="18"/>
                <w:lang w:eastAsia="es-MX"/>
              </w:rPr>
            </w:pPr>
          </w:p>
        </w:tc>
      </w:tr>
      <w:tr w:rsidR="00F91404" w:rsidRPr="00F91404" w14:paraId="754BC555" w14:textId="77777777" w:rsidTr="00BD1985">
        <w:trPr>
          <w:trHeight w:val="3469"/>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25F13ACB"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Hydrogen governance and implementation involve coordinated public and industrial actors:</w:t>
            </w:r>
          </w:p>
          <w:p w14:paraId="32694873" w14:textId="77777777" w:rsidR="00F91404" w:rsidRPr="00F91404" w:rsidRDefault="00F91404" w:rsidP="00BD1985">
            <w:pPr>
              <w:numPr>
                <w:ilvl w:val="0"/>
                <w:numId w:val="6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Ministry of Energy – strategic leadership and hydrogen policy design</w:t>
            </w:r>
          </w:p>
          <w:p w14:paraId="0C0D414B" w14:textId="77777777" w:rsidR="00F91404" w:rsidRPr="00F91404" w:rsidRDefault="00F91404" w:rsidP="00BD1985">
            <w:pPr>
              <w:numPr>
                <w:ilvl w:val="0"/>
                <w:numId w:val="6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CORFO (Economic Development Agency) – competitive funding and project co-financing</w:t>
            </w:r>
          </w:p>
          <w:p w14:paraId="738E81BB" w14:textId="77777777" w:rsidR="00F91404" w:rsidRPr="00F91404" w:rsidRDefault="00F91404" w:rsidP="00BD1985">
            <w:pPr>
              <w:numPr>
                <w:ilvl w:val="0"/>
                <w:numId w:val="6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Environmental authorities – permitting and environmental approvals</w:t>
            </w:r>
          </w:p>
          <w:p w14:paraId="3D13D892" w14:textId="77777777" w:rsidR="00F91404" w:rsidRPr="00F91404" w:rsidRDefault="00F91404" w:rsidP="00BD1985">
            <w:pPr>
              <w:numPr>
                <w:ilvl w:val="0"/>
                <w:numId w:val="6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Port authorities and regional governments – infrastructure and logistics support</w:t>
            </w:r>
          </w:p>
          <w:p w14:paraId="3D6839C6" w14:textId="77777777" w:rsidR="00F91404" w:rsidRPr="00F91404" w:rsidRDefault="00F91404" w:rsidP="00BD1985">
            <w:pPr>
              <w:numPr>
                <w:ilvl w:val="0"/>
                <w:numId w:val="6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Mining companies and industrial offtakers – potential domestic demand anchors</w:t>
            </w:r>
          </w:p>
          <w:p w14:paraId="627D2783" w14:textId="77777777" w:rsidR="00F91404" w:rsidRPr="00F91404" w:rsidRDefault="00F91404" w:rsidP="00BD1985">
            <w:pPr>
              <w:numPr>
                <w:ilvl w:val="0"/>
                <w:numId w:val="60"/>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International investors and export partners</w:t>
            </w:r>
          </w:p>
          <w:p w14:paraId="7661AA79"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Stakeholder engagement is structured through competitive funding rounds and public–private collaboration platforms supporting pilot and export-oriented projects.</w:t>
            </w:r>
          </w:p>
        </w:tc>
        <w:tc>
          <w:tcPr>
            <w:tcW w:w="83" w:type="pct"/>
            <w:vAlign w:val="center"/>
          </w:tcPr>
          <w:p w14:paraId="1BD5D4A7" w14:textId="77777777" w:rsidR="00F91404" w:rsidRPr="00F91404" w:rsidRDefault="00F91404" w:rsidP="00BD1985">
            <w:pPr>
              <w:spacing w:after="0"/>
              <w:rPr>
                <w:rFonts w:eastAsia="Times New Roman" w:cstheme="minorHAnsi"/>
                <w:sz w:val="18"/>
                <w:szCs w:val="18"/>
                <w:lang w:eastAsia="es-MX"/>
              </w:rPr>
            </w:pPr>
          </w:p>
        </w:tc>
      </w:tr>
      <w:tr w:rsidR="00F91404" w:rsidRPr="00F91404" w14:paraId="7E57AD9A" w14:textId="77777777" w:rsidTr="00BD1985">
        <w:trPr>
          <w:trHeight w:val="469"/>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6DE56B2"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b/>
                <w:color w:val="FFFFFF"/>
                <w:sz w:val="18"/>
                <w:szCs w:val="18"/>
                <w:lang w:eastAsia="es-MX"/>
              </w:rPr>
              <w:t>Impact on project development:</w:t>
            </w:r>
          </w:p>
        </w:tc>
        <w:tc>
          <w:tcPr>
            <w:tcW w:w="83" w:type="pct"/>
            <w:vAlign w:val="center"/>
          </w:tcPr>
          <w:p w14:paraId="4AB0DE94" w14:textId="77777777" w:rsidR="00F91404" w:rsidRPr="00F91404" w:rsidRDefault="00F91404" w:rsidP="00BD1985">
            <w:pPr>
              <w:spacing w:after="0"/>
              <w:rPr>
                <w:rFonts w:eastAsia="Times New Roman" w:cstheme="minorHAnsi"/>
                <w:sz w:val="18"/>
                <w:szCs w:val="18"/>
                <w:lang w:eastAsia="es-MX"/>
              </w:rPr>
            </w:pPr>
          </w:p>
        </w:tc>
      </w:tr>
      <w:tr w:rsidR="00F91404" w:rsidRPr="00F91404" w14:paraId="73B63B37" w14:textId="77777777" w:rsidTr="00BD1985">
        <w:trPr>
          <w:trHeight w:val="2595"/>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04ABE4FC" w14:textId="77777777" w:rsidR="00F91404" w:rsidRPr="00F91404" w:rsidRDefault="00F91404" w:rsidP="00BD1985">
            <w:pPr>
              <w:pStyle w:val="ListParagraph"/>
              <w:numPr>
                <w:ilvl w:val="0"/>
                <w:numId w:val="38"/>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 xml:space="preserve">Public co-financing </w:t>
            </w:r>
            <w:r w:rsidRPr="00F91404">
              <w:rPr>
                <w:rFonts w:eastAsia="Times New Roman" w:cstheme="minorHAnsi"/>
                <w:sz w:val="18"/>
                <w:szCs w:val="18"/>
                <w:lang w:eastAsia="es-MX"/>
              </w:rPr>
              <w:t>has reduced upfront risk for pilot and first-of-a-kind projects</w:t>
            </w:r>
          </w:p>
          <w:p w14:paraId="517C4AB9" w14:textId="77777777" w:rsidR="00F91404" w:rsidRPr="00F91404" w:rsidRDefault="00F91404" w:rsidP="00BD1985">
            <w:pPr>
              <w:pStyle w:val="ListParagraph"/>
              <w:numPr>
                <w:ilvl w:val="0"/>
                <w:numId w:val="38"/>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 xml:space="preserve">Targeted CAPEX support </w:t>
            </w:r>
            <w:r w:rsidRPr="00F91404">
              <w:rPr>
                <w:rFonts w:eastAsia="Times New Roman" w:cstheme="minorHAnsi"/>
                <w:sz w:val="18"/>
                <w:szCs w:val="18"/>
                <w:lang w:eastAsia="es-MX"/>
              </w:rPr>
              <w:t>has enabled projects to progress without revenue guarantees</w:t>
            </w:r>
          </w:p>
          <w:p w14:paraId="284B775F" w14:textId="77777777" w:rsidR="00F91404" w:rsidRPr="00F91404" w:rsidRDefault="00F91404" w:rsidP="00BD1985">
            <w:pPr>
              <w:pStyle w:val="ListParagraph"/>
              <w:numPr>
                <w:ilvl w:val="0"/>
                <w:numId w:val="38"/>
              </w:numPr>
              <w:spacing w:before="240" w:after="140" w:line="276" w:lineRule="auto"/>
              <w:rPr>
                <w:rFonts w:eastAsia="Times New Roman" w:cstheme="minorHAnsi"/>
                <w:b/>
                <w:sz w:val="18"/>
                <w:szCs w:val="18"/>
                <w:lang w:eastAsia="es-MX"/>
              </w:rPr>
            </w:pPr>
            <w:r w:rsidRPr="00F91404">
              <w:rPr>
                <w:rFonts w:eastAsia="Times New Roman" w:cstheme="minorHAnsi"/>
                <w:b/>
                <w:sz w:val="18"/>
                <w:szCs w:val="18"/>
                <w:lang w:eastAsia="es-MX"/>
              </w:rPr>
              <w:t xml:space="preserve">Infrastructure alignment with ports </w:t>
            </w:r>
            <w:r w:rsidRPr="00F91404">
              <w:rPr>
                <w:rFonts w:eastAsia="Times New Roman" w:cstheme="minorHAnsi"/>
                <w:sz w:val="18"/>
                <w:szCs w:val="18"/>
                <w:lang w:eastAsia="es-MX"/>
              </w:rPr>
              <w:t>has improved export readiness</w:t>
            </w:r>
          </w:p>
          <w:p w14:paraId="722F3B05" w14:textId="77777777" w:rsidR="00F91404" w:rsidRPr="00F91404" w:rsidRDefault="00F91404" w:rsidP="00BD1985">
            <w:pPr>
              <w:pStyle w:val="ListParagraph"/>
              <w:numPr>
                <w:ilvl w:val="0"/>
                <w:numId w:val="38"/>
              </w:numPr>
              <w:spacing w:before="240" w:after="140" w:line="276" w:lineRule="auto"/>
              <w:rPr>
                <w:rFonts w:eastAsia="Times New Roman" w:cstheme="minorHAnsi"/>
                <w:b/>
                <w:sz w:val="18"/>
                <w:szCs w:val="18"/>
                <w:lang w:eastAsia="es-MX"/>
              </w:rPr>
            </w:pPr>
            <w:r w:rsidRPr="00F91404">
              <w:rPr>
                <w:rFonts w:eastAsia="Times New Roman" w:cstheme="minorHAnsi"/>
                <w:sz w:val="18"/>
                <w:szCs w:val="18"/>
                <w:lang w:eastAsia="es-MX"/>
              </w:rPr>
              <w:t>Early projects have advanced</w:t>
            </w:r>
            <w:r w:rsidRPr="00F91404">
              <w:rPr>
                <w:rFonts w:eastAsia="Times New Roman" w:cstheme="minorHAnsi"/>
                <w:b/>
                <w:sz w:val="18"/>
                <w:szCs w:val="18"/>
                <w:lang w:eastAsia="es-MX"/>
              </w:rPr>
              <w:t xml:space="preserve"> from pilot to early commercial stages</w:t>
            </w:r>
          </w:p>
          <w:p w14:paraId="18F821E9" w14:textId="77777777" w:rsidR="00F91404" w:rsidRPr="00F91404" w:rsidRDefault="00F91404" w:rsidP="00BD1985">
            <w:pPr>
              <w:pStyle w:val="ListParagraph"/>
              <w:numPr>
                <w:ilvl w:val="0"/>
                <w:numId w:val="38"/>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Outcomes reflect an</w:t>
            </w:r>
            <w:r w:rsidRPr="00F91404">
              <w:rPr>
                <w:rFonts w:eastAsia="Times New Roman" w:cstheme="minorHAnsi"/>
                <w:b/>
                <w:sz w:val="18"/>
                <w:szCs w:val="18"/>
                <w:lang w:eastAsia="es-MX"/>
              </w:rPr>
              <w:t xml:space="preserve"> execution-oriented early market</w:t>
            </w:r>
            <w:r w:rsidRPr="00F91404">
              <w:rPr>
                <w:rFonts w:eastAsia="Times New Roman" w:cstheme="minorHAnsi"/>
                <w:sz w:val="18"/>
                <w:szCs w:val="18"/>
                <w:lang w:eastAsia="es-MX"/>
              </w:rPr>
              <w:t>, rather than a fully de-risked investment environment</w:t>
            </w:r>
          </w:p>
          <w:p w14:paraId="02399B20" w14:textId="77777777" w:rsidR="00F91404" w:rsidRPr="00F91404" w:rsidRDefault="00F91404" w:rsidP="00BD1985">
            <w:pPr>
              <w:spacing w:after="0"/>
              <w:jc w:val="center"/>
              <w:rPr>
                <w:rFonts w:eastAsia="Times New Roman" w:cstheme="minorHAnsi"/>
                <w:sz w:val="18"/>
                <w:szCs w:val="18"/>
                <w:lang w:eastAsia="es-MX"/>
              </w:rPr>
            </w:pPr>
          </w:p>
        </w:tc>
        <w:tc>
          <w:tcPr>
            <w:tcW w:w="83" w:type="pct"/>
            <w:vAlign w:val="center"/>
          </w:tcPr>
          <w:p w14:paraId="7700C5EE" w14:textId="77777777" w:rsidR="00F91404" w:rsidRPr="00F91404" w:rsidRDefault="00F91404" w:rsidP="00BD1985">
            <w:pPr>
              <w:spacing w:after="0"/>
              <w:rPr>
                <w:rFonts w:eastAsia="Times New Roman" w:cstheme="minorHAnsi"/>
                <w:sz w:val="18"/>
                <w:szCs w:val="18"/>
                <w:lang w:eastAsia="es-MX"/>
              </w:rPr>
            </w:pPr>
          </w:p>
        </w:tc>
      </w:tr>
      <w:tr w:rsidR="00F91404" w:rsidRPr="00F91404" w14:paraId="47213102" w14:textId="77777777" w:rsidTr="00BD1985">
        <w:trPr>
          <w:trHeight w:val="400"/>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10A9236"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c>
          <w:tcPr>
            <w:tcW w:w="83" w:type="pct"/>
            <w:vAlign w:val="center"/>
            <w:hideMark/>
          </w:tcPr>
          <w:p w14:paraId="7D97E460" w14:textId="77777777" w:rsidR="00F91404" w:rsidRPr="00F91404" w:rsidRDefault="00F91404" w:rsidP="00BD1985">
            <w:pPr>
              <w:spacing w:after="0"/>
              <w:rPr>
                <w:rFonts w:eastAsia="Times New Roman" w:cstheme="minorHAnsi"/>
                <w:sz w:val="18"/>
                <w:szCs w:val="18"/>
                <w:lang w:eastAsia="es-MX"/>
              </w:rPr>
            </w:pPr>
          </w:p>
        </w:tc>
      </w:tr>
      <w:tr w:rsidR="00F91404" w:rsidRPr="00F91404" w14:paraId="47716280" w14:textId="77777777" w:rsidTr="00BD1985">
        <w:trPr>
          <w:trHeight w:val="1220"/>
          <w:jc w:val="center"/>
        </w:trPr>
        <w:tc>
          <w:tcPr>
            <w:tcW w:w="4917" w:type="pct"/>
            <w:gridSpan w:val="9"/>
            <w:vMerge w:val="restart"/>
            <w:tcBorders>
              <w:top w:val="single" w:sz="12" w:space="0" w:color="808080"/>
              <w:left w:val="single" w:sz="12" w:space="0" w:color="808080"/>
              <w:bottom w:val="single" w:sz="12" w:space="0" w:color="808080"/>
              <w:right w:val="single" w:sz="12" w:space="0" w:color="808080"/>
            </w:tcBorders>
            <w:vAlign w:val="center"/>
          </w:tcPr>
          <w:p w14:paraId="5F61F690" w14:textId="77777777" w:rsidR="00F91404" w:rsidRPr="00F91404" w:rsidRDefault="00F91404" w:rsidP="00BD1985">
            <w:pPr>
              <w:pStyle w:val="ListParagraph"/>
              <w:numPr>
                <w:ilvl w:val="0"/>
                <w:numId w:val="60"/>
              </w:numPr>
              <w:spacing w:after="0"/>
              <w:rPr>
                <w:rFonts w:eastAsia="Times New Roman" w:cstheme="minorHAnsi"/>
                <w:b/>
                <w:bCs/>
                <w:color w:val="000000"/>
                <w:sz w:val="18"/>
                <w:szCs w:val="18"/>
                <w:lang w:eastAsia="es-MX"/>
              </w:rPr>
            </w:pPr>
            <w:r w:rsidRPr="00F91404">
              <w:rPr>
                <w:rFonts w:eastAsia="Times New Roman" w:cstheme="minorHAnsi"/>
                <w:b/>
                <w:bCs/>
                <w:color w:val="000000"/>
                <w:sz w:val="18"/>
                <w:szCs w:val="18"/>
                <w:lang w:eastAsia="es-MX"/>
              </w:rPr>
              <w:t>Ministry of Energy – National Green Hydrogen Strategy:</w:t>
            </w:r>
            <w:r w:rsidRPr="00F91404">
              <w:rPr>
                <w:rFonts w:eastAsia="Times New Roman" w:cstheme="minorHAnsi"/>
                <w:b/>
                <w:bCs/>
                <w:color w:val="000000"/>
                <w:sz w:val="18"/>
                <w:szCs w:val="18"/>
                <w:lang w:eastAsia="es-MX"/>
              </w:rPr>
              <w:br/>
            </w:r>
            <w:hyperlink r:id="rId40" w:tgtFrame="_new" w:history="1">
              <w:r w:rsidRPr="00F91404">
                <w:rPr>
                  <w:rStyle w:val="Hyperlink"/>
                  <w:rFonts w:eastAsia="Times New Roman" w:cstheme="minorHAnsi"/>
                  <w:b/>
                  <w:bCs/>
                  <w:szCs w:val="18"/>
                  <w:lang w:eastAsia="es-MX"/>
                </w:rPr>
                <w:t>https://energia.gob.cl</w:t>
              </w:r>
            </w:hyperlink>
          </w:p>
          <w:p w14:paraId="4C3CCE2D" w14:textId="77777777" w:rsidR="00F91404" w:rsidRPr="00F91404" w:rsidRDefault="00F91404" w:rsidP="00BD1985">
            <w:pPr>
              <w:pStyle w:val="ListParagraph"/>
              <w:numPr>
                <w:ilvl w:val="0"/>
                <w:numId w:val="60"/>
              </w:numPr>
              <w:spacing w:after="0"/>
              <w:rPr>
                <w:rFonts w:eastAsia="Times New Roman" w:cstheme="minorHAnsi"/>
                <w:b/>
                <w:bCs/>
                <w:color w:val="000000"/>
                <w:sz w:val="18"/>
                <w:szCs w:val="18"/>
                <w:lang w:eastAsia="es-MX"/>
              </w:rPr>
            </w:pPr>
            <w:r w:rsidRPr="00F91404">
              <w:rPr>
                <w:rFonts w:eastAsia="Times New Roman" w:cstheme="minorHAnsi"/>
                <w:b/>
                <w:bCs/>
                <w:color w:val="000000"/>
                <w:sz w:val="18"/>
                <w:szCs w:val="18"/>
                <w:lang w:eastAsia="es-MX"/>
              </w:rPr>
              <w:t>National Green Hydrogen Strategy documentation:</w:t>
            </w:r>
            <w:r w:rsidRPr="00F91404">
              <w:rPr>
                <w:rFonts w:eastAsia="Times New Roman" w:cstheme="minorHAnsi"/>
                <w:b/>
                <w:bCs/>
                <w:color w:val="000000"/>
                <w:sz w:val="18"/>
                <w:szCs w:val="18"/>
                <w:lang w:eastAsia="es-MX"/>
              </w:rPr>
              <w:br/>
            </w:r>
            <w:hyperlink r:id="rId41" w:history="1">
              <w:r w:rsidRPr="00F91404">
                <w:rPr>
                  <w:rStyle w:val="Hyperlink"/>
                  <w:rFonts w:eastAsia="Times New Roman" w:cstheme="minorHAnsi"/>
                  <w:b/>
                  <w:bCs/>
                  <w:szCs w:val="18"/>
                  <w:lang w:eastAsia="es-MX"/>
                </w:rPr>
                <w:t>https://energia.gob.cl/hidrogeno-verde</w:t>
              </w:r>
            </w:hyperlink>
            <w:r w:rsidRPr="00F91404">
              <w:rPr>
                <w:rFonts w:eastAsia="Times New Roman" w:cstheme="minorHAnsi"/>
                <w:b/>
                <w:bCs/>
                <w:color w:val="000000"/>
                <w:sz w:val="18"/>
                <w:szCs w:val="18"/>
                <w:lang w:eastAsia="es-MX"/>
              </w:rPr>
              <w:t xml:space="preserve"> </w:t>
            </w:r>
          </w:p>
          <w:p w14:paraId="53BE6259" w14:textId="77777777" w:rsidR="00F91404" w:rsidRPr="00F91404" w:rsidRDefault="00F91404" w:rsidP="00BD1985">
            <w:pPr>
              <w:pStyle w:val="ListParagraph"/>
              <w:numPr>
                <w:ilvl w:val="0"/>
                <w:numId w:val="60"/>
              </w:numPr>
              <w:spacing w:after="0"/>
              <w:rPr>
                <w:rFonts w:eastAsia="Times New Roman" w:cstheme="minorHAnsi"/>
                <w:b/>
                <w:bCs/>
                <w:color w:val="000000"/>
                <w:sz w:val="18"/>
                <w:szCs w:val="18"/>
                <w:lang w:eastAsia="es-MX"/>
              </w:rPr>
            </w:pPr>
            <w:r w:rsidRPr="00F91404">
              <w:rPr>
                <w:rFonts w:eastAsia="Times New Roman" w:cstheme="minorHAnsi"/>
                <w:b/>
                <w:bCs/>
                <w:color w:val="000000"/>
                <w:sz w:val="18"/>
                <w:szCs w:val="18"/>
                <w:lang w:eastAsia="es-MX"/>
              </w:rPr>
              <w:t>CORFO – hydrogen funding programmes and co-financing schemes:</w:t>
            </w:r>
            <w:r w:rsidRPr="00F91404">
              <w:rPr>
                <w:rFonts w:eastAsia="Times New Roman" w:cstheme="minorHAnsi"/>
                <w:b/>
                <w:bCs/>
                <w:color w:val="000000"/>
                <w:sz w:val="18"/>
                <w:szCs w:val="18"/>
                <w:lang w:eastAsia="es-MX"/>
              </w:rPr>
              <w:br/>
            </w:r>
            <w:hyperlink r:id="rId42" w:tgtFrame="_new" w:history="1">
              <w:r w:rsidRPr="00F91404">
                <w:rPr>
                  <w:rStyle w:val="Hyperlink"/>
                  <w:rFonts w:eastAsia="Times New Roman" w:cstheme="minorHAnsi"/>
                  <w:b/>
                  <w:bCs/>
                  <w:szCs w:val="18"/>
                  <w:lang w:eastAsia="es-MX"/>
                </w:rPr>
                <w:t>https://www.corfo.cl</w:t>
              </w:r>
            </w:hyperlink>
          </w:p>
          <w:p w14:paraId="49CFCD8B" w14:textId="77777777" w:rsidR="00F91404" w:rsidRPr="00F91404" w:rsidRDefault="00F91404" w:rsidP="00BD1985">
            <w:pPr>
              <w:pStyle w:val="ListParagraph"/>
              <w:numPr>
                <w:ilvl w:val="0"/>
                <w:numId w:val="60"/>
              </w:numPr>
              <w:spacing w:after="0"/>
              <w:rPr>
                <w:rFonts w:eastAsia="Times New Roman" w:cstheme="minorHAnsi"/>
                <w:b/>
                <w:bCs/>
                <w:color w:val="000000"/>
                <w:sz w:val="18"/>
                <w:szCs w:val="18"/>
                <w:lang w:eastAsia="es-MX"/>
              </w:rPr>
            </w:pPr>
            <w:proofErr w:type="spellStart"/>
            <w:r w:rsidRPr="00F91404">
              <w:rPr>
                <w:rFonts w:eastAsia="Times New Roman" w:cstheme="minorHAnsi"/>
                <w:b/>
                <w:bCs/>
                <w:color w:val="000000"/>
                <w:sz w:val="18"/>
                <w:szCs w:val="18"/>
                <w:lang w:eastAsia="es-MX"/>
              </w:rPr>
              <w:t>InvestChile</w:t>
            </w:r>
            <w:proofErr w:type="spellEnd"/>
            <w:r w:rsidRPr="00F91404">
              <w:rPr>
                <w:rFonts w:eastAsia="Times New Roman" w:cstheme="minorHAnsi"/>
                <w:b/>
                <w:bCs/>
                <w:color w:val="000000"/>
                <w:sz w:val="18"/>
                <w:szCs w:val="18"/>
                <w:lang w:eastAsia="es-MX"/>
              </w:rPr>
              <w:t xml:space="preserve"> – investment promotion and hydrogen project information:</w:t>
            </w:r>
            <w:r w:rsidRPr="00F91404">
              <w:rPr>
                <w:rFonts w:eastAsia="Times New Roman" w:cstheme="minorHAnsi"/>
                <w:b/>
                <w:bCs/>
                <w:color w:val="000000"/>
                <w:sz w:val="18"/>
                <w:szCs w:val="18"/>
                <w:lang w:eastAsia="es-MX"/>
              </w:rPr>
              <w:br/>
            </w:r>
            <w:hyperlink r:id="rId43" w:history="1">
              <w:r w:rsidRPr="00F91404">
                <w:rPr>
                  <w:rStyle w:val="Hyperlink"/>
                  <w:rFonts w:eastAsia="Times New Roman" w:cstheme="minorHAnsi"/>
                  <w:b/>
                  <w:bCs/>
                  <w:szCs w:val="18"/>
                  <w:lang w:eastAsia="es-MX"/>
                </w:rPr>
                <w:t>https://investchile.gob.cl</w:t>
              </w:r>
            </w:hyperlink>
            <w:r w:rsidRPr="00F91404">
              <w:rPr>
                <w:rFonts w:eastAsia="Times New Roman" w:cstheme="minorHAnsi"/>
                <w:b/>
                <w:bCs/>
                <w:color w:val="000000"/>
                <w:sz w:val="18"/>
                <w:szCs w:val="18"/>
                <w:lang w:eastAsia="es-MX"/>
              </w:rPr>
              <w:t xml:space="preserve"> </w:t>
            </w:r>
          </w:p>
        </w:tc>
        <w:tc>
          <w:tcPr>
            <w:tcW w:w="83" w:type="pct"/>
            <w:vAlign w:val="center"/>
            <w:hideMark/>
          </w:tcPr>
          <w:p w14:paraId="440D25D6" w14:textId="77777777" w:rsidR="00F91404" w:rsidRPr="00F91404" w:rsidRDefault="00F91404" w:rsidP="00BD1985">
            <w:pPr>
              <w:spacing w:after="0"/>
              <w:rPr>
                <w:rFonts w:eastAsia="Times New Roman" w:cstheme="minorHAnsi"/>
                <w:sz w:val="18"/>
                <w:szCs w:val="18"/>
                <w:lang w:eastAsia="es-MX"/>
              </w:rPr>
            </w:pPr>
          </w:p>
        </w:tc>
      </w:tr>
      <w:tr w:rsidR="00F91404" w:rsidRPr="00F91404" w14:paraId="1B143288" w14:textId="77777777" w:rsidTr="00BD1985">
        <w:trPr>
          <w:trHeight w:val="920"/>
          <w:jc w:val="center"/>
        </w:trPr>
        <w:tc>
          <w:tcPr>
            <w:tcW w:w="4917" w:type="pct"/>
            <w:gridSpan w:val="9"/>
            <w:vMerge/>
            <w:tcBorders>
              <w:top w:val="single" w:sz="12" w:space="0" w:color="808080"/>
              <w:left w:val="single" w:sz="12" w:space="0" w:color="808080"/>
              <w:bottom w:val="single" w:sz="12" w:space="0" w:color="808080"/>
              <w:right w:val="single" w:sz="12" w:space="0" w:color="808080"/>
            </w:tcBorders>
            <w:vAlign w:val="center"/>
          </w:tcPr>
          <w:p w14:paraId="63DCA795" w14:textId="77777777" w:rsidR="00F91404" w:rsidRPr="00F91404" w:rsidRDefault="00F91404" w:rsidP="00BD1985">
            <w:pPr>
              <w:spacing w:after="0"/>
              <w:rPr>
                <w:rFonts w:eastAsia="Times New Roman" w:cstheme="minorHAnsi"/>
                <w:b/>
                <w:bCs/>
                <w:color w:val="000000"/>
                <w:sz w:val="18"/>
                <w:szCs w:val="18"/>
                <w:lang w:eastAsia="es-MX"/>
              </w:rPr>
            </w:pPr>
          </w:p>
        </w:tc>
        <w:tc>
          <w:tcPr>
            <w:tcW w:w="83" w:type="pct"/>
            <w:tcBorders>
              <w:top w:val="nil"/>
              <w:left w:val="nil"/>
              <w:bottom w:val="nil"/>
              <w:right w:val="nil"/>
            </w:tcBorders>
            <w:noWrap/>
            <w:vAlign w:val="bottom"/>
            <w:hideMark/>
          </w:tcPr>
          <w:p w14:paraId="2315EC3A" w14:textId="77777777" w:rsidR="00F91404" w:rsidRPr="00F91404" w:rsidRDefault="00F91404" w:rsidP="00BD1985">
            <w:pPr>
              <w:spacing w:after="0"/>
              <w:jc w:val="center"/>
              <w:rPr>
                <w:rFonts w:eastAsia="Times New Roman" w:cstheme="minorHAnsi"/>
                <w:b/>
                <w:bCs/>
                <w:color w:val="000000"/>
                <w:sz w:val="18"/>
                <w:szCs w:val="18"/>
                <w:lang w:eastAsia="es-MX"/>
              </w:rPr>
            </w:pPr>
          </w:p>
        </w:tc>
      </w:tr>
    </w:tbl>
    <w:p w14:paraId="70E34D7E" w14:textId="77777777" w:rsidR="00F91404" w:rsidRPr="00F91404" w:rsidRDefault="00F91404" w:rsidP="00F91404">
      <w:pPr>
        <w:rPr>
          <w:rFonts w:cstheme="minorHAnsi"/>
          <w:sz w:val="20"/>
          <w:szCs w:val="20"/>
        </w:rPr>
      </w:pPr>
    </w:p>
    <w:p w14:paraId="5B20BC8E" w14:textId="77777777" w:rsidR="00F91404" w:rsidRPr="007007D8" w:rsidRDefault="00F91404" w:rsidP="00F91404">
      <w:pPr>
        <w:spacing w:after="0"/>
        <w:rPr>
          <w:b/>
          <w:bCs/>
          <w:i/>
          <w:iCs/>
          <w:sz w:val="16"/>
          <w:szCs w:val="16"/>
        </w:rPr>
      </w:pPr>
      <w:r w:rsidRPr="007007D8">
        <w:rPr>
          <w:b/>
          <w:bCs/>
          <w:i/>
          <w:iCs/>
          <w:sz w:val="16"/>
          <w:szCs w:val="16"/>
        </w:rPr>
        <w:t>Sources</w:t>
      </w:r>
      <w:r w:rsidRPr="00F91404">
        <w:rPr>
          <w:b/>
          <w:bCs/>
          <w:i/>
          <w:iCs/>
          <w:sz w:val="16"/>
          <w:szCs w:val="16"/>
        </w:rPr>
        <w:t>:</w:t>
      </w:r>
    </w:p>
    <w:p w14:paraId="11EE6F14" w14:textId="77777777" w:rsidR="00F91404" w:rsidRPr="007007D8" w:rsidRDefault="00F91404" w:rsidP="00F91404">
      <w:pPr>
        <w:spacing w:after="0"/>
        <w:rPr>
          <w:b/>
          <w:bCs/>
          <w:i/>
          <w:iCs/>
          <w:sz w:val="14"/>
          <w:szCs w:val="14"/>
        </w:rPr>
      </w:pPr>
      <w:r w:rsidRPr="007007D8">
        <w:rPr>
          <w:b/>
          <w:bCs/>
          <w:i/>
          <w:iCs/>
          <w:sz w:val="14"/>
          <w:szCs w:val="14"/>
        </w:rPr>
        <w:t>Strategy, roadmap and governance framework</w:t>
      </w:r>
    </w:p>
    <w:p w14:paraId="0327FD6E"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 xml:space="preserve">Ministry of Energy (Chile) (2020), </w:t>
      </w:r>
      <w:proofErr w:type="spellStart"/>
      <w:r w:rsidRPr="00F91404">
        <w:rPr>
          <w:rFonts w:cstheme="minorHAnsi"/>
          <w:i/>
          <w:iCs/>
          <w:sz w:val="14"/>
          <w:szCs w:val="14"/>
        </w:rPr>
        <w:t>Estrategia</w:t>
      </w:r>
      <w:proofErr w:type="spellEnd"/>
      <w:r w:rsidRPr="00F91404">
        <w:rPr>
          <w:rFonts w:cstheme="minorHAnsi"/>
          <w:i/>
          <w:iCs/>
          <w:sz w:val="14"/>
          <w:szCs w:val="14"/>
        </w:rPr>
        <w:t xml:space="preserve"> Nacional de </w:t>
      </w:r>
      <w:proofErr w:type="spellStart"/>
      <w:r w:rsidRPr="00F91404">
        <w:rPr>
          <w:rFonts w:cstheme="minorHAnsi"/>
          <w:i/>
          <w:iCs/>
          <w:sz w:val="14"/>
          <w:szCs w:val="14"/>
        </w:rPr>
        <w:t>Hidrógeno</w:t>
      </w:r>
      <w:proofErr w:type="spellEnd"/>
      <w:r w:rsidRPr="00F91404">
        <w:rPr>
          <w:rFonts w:cstheme="minorHAnsi"/>
          <w:i/>
          <w:iCs/>
          <w:sz w:val="14"/>
          <w:szCs w:val="14"/>
        </w:rPr>
        <w:t xml:space="preserve"> Verde (official national hydrogen strategy).</w:t>
      </w:r>
    </w:p>
    <w:p w14:paraId="30320A0D" w14:textId="77777777" w:rsidR="00F91404" w:rsidRPr="00F91404" w:rsidRDefault="00F91404" w:rsidP="00F91404">
      <w:pPr>
        <w:numPr>
          <w:ilvl w:val="0"/>
          <w:numId w:val="137"/>
        </w:numPr>
        <w:spacing w:after="0"/>
        <w:rPr>
          <w:rFonts w:cstheme="minorHAnsi"/>
          <w:i/>
          <w:iCs/>
          <w:sz w:val="14"/>
          <w:szCs w:val="14"/>
          <w:lang w:val="es-MX"/>
        </w:rPr>
      </w:pPr>
      <w:proofErr w:type="spellStart"/>
      <w:r w:rsidRPr="00F91404">
        <w:rPr>
          <w:rFonts w:cstheme="minorHAnsi"/>
          <w:i/>
          <w:iCs/>
          <w:sz w:val="14"/>
          <w:szCs w:val="14"/>
          <w:lang w:val="es-MX"/>
        </w:rPr>
        <w:t>Ministry</w:t>
      </w:r>
      <w:proofErr w:type="spellEnd"/>
      <w:r w:rsidRPr="00F91404">
        <w:rPr>
          <w:rFonts w:cstheme="minorHAnsi"/>
          <w:i/>
          <w:iCs/>
          <w:sz w:val="14"/>
          <w:szCs w:val="14"/>
          <w:lang w:val="es-MX"/>
        </w:rPr>
        <w:t xml:space="preserve"> </w:t>
      </w:r>
      <w:proofErr w:type="spellStart"/>
      <w:r w:rsidRPr="00F91404">
        <w:rPr>
          <w:rFonts w:cstheme="minorHAnsi"/>
          <w:i/>
          <w:iCs/>
          <w:sz w:val="14"/>
          <w:szCs w:val="14"/>
          <w:lang w:val="es-MX"/>
        </w:rPr>
        <w:t>of</w:t>
      </w:r>
      <w:proofErr w:type="spellEnd"/>
      <w:r w:rsidRPr="00F91404">
        <w:rPr>
          <w:rFonts w:cstheme="minorHAnsi"/>
          <w:i/>
          <w:iCs/>
          <w:sz w:val="14"/>
          <w:szCs w:val="14"/>
          <w:lang w:val="es-MX"/>
        </w:rPr>
        <w:t xml:space="preserve"> Energy (Chile) (2023), Plan de Acción de Hidrógeno Verde 2023–2030.</w:t>
      </w:r>
    </w:p>
    <w:p w14:paraId="0AB86B32" w14:textId="77777777" w:rsidR="00F91404" w:rsidRPr="00F91404" w:rsidRDefault="00F91404" w:rsidP="00F91404">
      <w:pPr>
        <w:numPr>
          <w:ilvl w:val="0"/>
          <w:numId w:val="137"/>
        </w:numPr>
        <w:spacing w:after="0"/>
        <w:rPr>
          <w:rFonts w:cstheme="minorHAnsi"/>
          <w:i/>
          <w:iCs/>
          <w:sz w:val="14"/>
          <w:szCs w:val="14"/>
          <w:lang w:val="es-MX"/>
        </w:rPr>
      </w:pPr>
      <w:r w:rsidRPr="00F91404">
        <w:rPr>
          <w:rFonts w:cstheme="minorHAnsi"/>
          <w:i/>
          <w:iCs/>
          <w:sz w:val="14"/>
          <w:szCs w:val="14"/>
          <w:lang w:val="es-MX"/>
        </w:rPr>
        <w:t xml:space="preserve">CORFO (Corporación de Fomento de la Producción), </w:t>
      </w:r>
      <w:proofErr w:type="spellStart"/>
      <w:r w:rsidRPr="00F91404">
        <w:rPr>
          <w:rFonts w:cstheme="minorHAnsi"/>
          <w:i/>
          <w:iCs/>
          <w:sz w:val="14"/>
          <w:szCs w:val="14"/>
          <w:lang w:val="es-MX"/>
        </w:rPr>
        <w:t>Hydrogen</w:t>
      </w:r>
      <w:proofErr w:type="spellEnd"/>
      <w:r w:rsidRPr="00F91404">
        <w:rPr>
          <w:rFonts w:cstheme="minorHAnsi"/>
          <w:i/>
          <w:iCs/>
          <w:sz w:val="14"/>
          <w:szCs w:val="14"/>
          <w:lang w:val="es-MX"/>
        </w:rPr>
        <w:t xml:space="preserve"> </w:t>
      </w:r>
      <w:proofErr w:type="spellStart"/>
      <w:r w:rsidRPr="00F91404">
        <w:rPr>
          <w:rFonts w:cstheme="minorHAnsi"/>
          <w:i/>
          <w:iCs/>
          <w:sz w:val="14"/>
          <w:szCs w:val="14"/>
          <w:lang w:val="es-MX"/>
        </w:rPr>
        <w:t>Programme</w:t>
      </w:r>
      <w:proofErr w:type="spellEnd"/>
      <w:r w:rsidRPr="00F91404">
        <w:rPr>
          <w:rFonts w:cstheme="minorHAnsi"/>
          <w:i/>
          <w:iCs/>
          <w:sz w:val="14"/>
          <w:szCs w:val="14"/>
          <w:lang w:val="es-MX"/>
        </w:rPr>
        <w:t xml:space="preserve"> Framework and </w:t>
      </w:r>
      <w:proofErr w:type="spellStart"/>
      <w:r w:rsidRPr="00F91404">
        <w:rPr>
          <w:rFonts w:cstheme="minorHAnsi"/>
          <w:i/>
          <w:iCs/>
          <w:sz w:val="14"/>
          <w:szCs w:val="14"/>
          <w:lang w:val="es-MX"/>
        </w:rPr>
        <w:t>Implementation</w:t>
      </w:r>
      <w:proofErr w:type="spellEnd"/>
      <w:r w:rsidRPr="00F91404">
        <w:rPr>
          <w:rFonts w:cstheme="minorHAnsi"/>
          <w:i/>
          <w:iCs/>
          <w:sz w:val="14"/>
          <w:szCs w:val="14"/>
          <w:lang w:val="es-MX"/>
        </w:rPr>
        <w:t xml:space="preserve"> </w:t>
      </w:r>
      <w:proofErr w:type="spellStart"/>
      <w:r w:rsidRPr="00F91404">
        <w:rPr>
          <w:rFonts w:cstheme="minorHAnsi"/>
          <w:i/>
          <w:iCs/>
          <w:sz w:val="14"/>
          <w:szCs w:val="14"/>
          <w:lang w:val="es-MX"/>
        </w:rPr>
        <w:t>Guidelines</w:t>
      </w:r>
      <w:proofErr w:type="spellEnd"/>
      <w:r w:rsidRPr="00F91404">
        <w:rPr>
          <w:rFonts w:cstheme="minorHAnsi"/>
          <w:i/>
          <w:iCs/>
          <w:sz w:val="14"/>
          <w:szCs w:val="14"/>
          <w:lang w:val="es-MX"/>
        </w:rPr>
        <w:t>.</w:t>
      </w:r>
    </w:p>
    <w:p w14:paraId="5FF518CE"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Government of Chile publications on hydrogen policy coordination within the national energy transition framework.</w:t>
      </w:r>
    </w:p>
    <w:p w14:paraId="58C58727" w14:textId="77777777" w:rsidR="00F91404" w:rsidRPr="007007D8" w:rsidRDefault="00F91404" w:rsidP="00F91404">
      <w:pPr>
        <w:spacing w:after="0"/>
        <w:rPr>
          <w:i/>
          <w:iCs/>
          <w:sz w:val="14"/>
          <w:szCs w:val="14"/>
        </w:rPr>
      </w:pPr>
      <w:r w:rsidRPr="007007D8">
        <w:rPr>
          <w:b/>
          <w:bCs/>
          <w:i/>
          <w:iCs/>
          <w:sz w:val="14"/>
          <w:szCs w:val="14"/>
        </w:rPr>
        <w:t>Market and revenue support mechanisms</w:t>
      </w:r>
    </w:p>
    <w:p w14:paraId="2CDEC7B9"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Government of Chile policy communications outlining hydrogen market development and export positioning.</w:t>
      </w:r>
    </w:p>
    <w:p w14:paraId="79A0D4E7"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Ministry of Energy regulatory roadmap publications clarifying market structure and enabling conditions.</w:t>
      </w:r>
    </w:p>
    <w:p w14:paraId="2A1493D0"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 xml:space="preserve">Official government documentation confirming the absence of </w:t>
      </w:r>
      <w:proofErr w:type="spellStart"/>
      <w:r w:rsidRPr="007007D8">
        <w:rPr>
          <w:rFonts w:cstheme="minorHAnsi"/>
          <w:i/>
          <w:iCs/>
          <w:sz w:val="14"/>
          <w:szCs w:val="14"/>
        </w:rPr>
        <w:t>CfD</w:t>
      </w:r>
      <w:proofErr w:type="spellEnd"/>
      <w:r w:rsidRPr="007007D8">
        <w:rPr>
          <w:rFonts w:cstheme="minorHAnsi"/>
          <w:i/>
          <w:iCs/>
          <w:sz w:val="14"/>
          <w:szCs w:val="14"/>
        </w:rPr>
        <w:t>-type revenue guarantees and reliance on market-based price discovery.</w:t>
      </w:r>
    </w:p>
    <w:p w14:paraId="727749A2" w14:textId="77777777" w:rsidR="00F91404" w:rsidRPr="007007D8" w:rsidRDefault="00F91404" w:rsidP="00F91404">
      <w:pPr>
        <w:spacing w:after="0"/>
        <w:rPr>
          <w:i/>
          <w:iCs/>
          <w:sz w:val="14"/>
          <w:szCs w:val="14"/>
        </w:rPr>
      </w:pPr>
      <w:r w:rsidRPr="007007D8">
        <w:rPr>
          <w:b/>
          <w:bCs/>
          <w:i/>
          <w:iCs/>
          <w:sz w:val="14"/>
          <w:szCs w:val="14"/>
        </w:rPr>
        <w:t>Direct public funding and financing mechanisms</w:t>
      </w:r>
    </w:p>
    <w:p w14:paraId="6550B918"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CORFO competitive funding calls for Green Hydrogen and Derivatives (H2V and e-fuels programmes).</w:t>
      </w:r>
    </w:p>
    <w:p w14:paraId="64D9C7A0"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CORFO public co-financing programme guidelines for pilot and first-of-a-kind (FOAK) hydrogen projects.</w:t>
      </w:r>
    </w:p>
    <w:p w14:paraId="11CC3346"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Government award announcements and funding resolutions under national hydrogen innovation programmes.</w:t>
      </w:r>
    </w:p>
    <w:p w14:paraId="61D7B85A" w14:textId="77777777" w:rsidR="00F91404" w:rsidRPr="007007D8" w:rsidRDefault="00F91404" w:rsidP="00F91404">
      <w:pPr>
        <w:spacing w:after="0"/>
        <w:rPr>
          <w:i/>
          <w:iCs/>
          <w:sz w:val="14"/>
          <w:szCs w:val="14"/>
        </w:rPr>
      </w:pPr>
      <w:r w:rsidRPr="007007D8">
        <w:rPr>
          <w:b/>
          <w:bCs/>
          <w:i/>
          <w:iCs/>
          <w:sz w:val="14"/>
          <w:szCs w:val="14"/>
        </w:rPr>
        <w:t>Standards and certification frameworks</w:t>
      </w:r>
    </w:p>
    <w:p w14:paraId="2BC8502E"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Ministry of Energy regulatory roadmap outlining certification and sustainability criteria for hydrogen.</w:t>
      </w:r>
    </w:p>
    <w:p w14:paraId="3EB8B560"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Government publications on alignment with international hydrogen certification standards for export markets.</w:t>
      </w:r>
    </w:p>
    <w:p w14:paraId="4F12F459"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National environmental and sustainability eligibility criteria applicable to hydrogen projects.</w:t>
      </w:r>
    </w:p>
    <w:p w14:paraId="2534D752" w14:textId="77777777" w:rsidR="00F91404" w:rsidRPr="007007D8" w:rsidRDefault="00F91404" w:rsidP="00F91404">
      <w:pPr>
        <w:spacing w:after="0"/>
        <w:rPr>
          <w:i/>
          <w:iCs/>
          <w:sz w:val="14"/>
          <w:szCs w:val="14"/>
        </w:rPr>
      </w:pPr>
      <w:r w:rsidRPr="007007D8">
        <w:rPr>
          <w:b/>
          <w:bCs/>
          <w:i/>
          <w:iCs/>
          <w:sz w:val="14"/>
          <w:szCs w:val="14"/>
        </w:rPr>
        <w:t>Infrastructure enabling policies</w:t>
      </w:r>
    </w:p>
    <w:p w14:paraId="77352839"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Ministry of Energy documentation on hydrogen hubs and regional development initiatives.</w:t>
      </w:r>
    </w:p>
    <w:p w14:paraId="4D54FED4"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Port authority publications related to hydrogen and derivatives export infrastructure (e.g., Magallanes, Antofagasta).</w:t>
      </w:r>
    </w:p>
    <w:p w14:paraId="50C0E90D"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Government planning documents on logistics corridors and port-based hydrogen integration.</w:t>
      </w:r>
    </w:p>
    <w:p w14:paraId="13B96FFE" w14:textId="77777777" w:rsidR="00F91404" w:rsidRPr="007007D8" w:rsidRDefault="00F91404" w:rsidP="00F91404">
      <w:pPr>
        <w:spacing w:after="0"/>
        <w:rPr>
          <w:i/>
          <w:iCs/>
          <w:sz w:val="14"/>
          <w:szCs w:val="14"/>
        </w:rPr>
      </w:pPr>
      <w:r w:rsidRPr="007007D8">
        <w:rPr>
          <w:b/>
          <w:bCs/>
          <w:i/>
          <w:iCs/>
          <w:sz w:val="14"/>
          <w:szCs w:val="14"/>
        </w:rPr>
        <w:t>Production capacity / pipeline and deployment status</w:t>
      </w:r>
    </w:p>
    <w:p w14:paraId="4C0A15B3"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International Energy Agency (IEA) (2023), Global Hydrogen Review 2023, Paris: IEA.</w:t>
      </w:r>
    </w:p>
    <w:p w14:paraId="39EF573C"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IEA Hydrogen Projects Database (latest available edition).</w:t>
      </w:r>
    </w:p>
    <w:p w14:paraId="2DF25F28"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Public announcements from HIF Global, ENAP, Engie and other hydrogen/e-fuels project developers in Chile.</w:t>
      </w:r>
    </w:p>
    <w:p w14:paraId="46394A83" w14:textId="77777777" w:rsidR="00F91404" w:rsidRPr="007007D8" w:rsidRDefault="00F91404" w:rsidP="00F91404">
      <w:pPr>
        <w:spacing w:after="0"/>
        <w:rPr>
          <w:i/>
          <w:iCs/>
          <w:sz w:val="14"/>
          <w:szCs w:val="14"/>
        </w:rPr>
      </w:pPr>
      <w:r w:rsidRPr="007007D8">
        <w:rPr>
          <w:b/>
          <w:bCs/>
          <w:i/>
          <w:iCs/>
          <w:sz w:val="14"/>
          <w:szCs w:val="14"/>
        </w:rPr>
        <w:t>Renewable energy context</w:t>
      </w:r>
    </w:p>
    <w:p w14:paraId="1EEC5A49"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Ministry of Energy (Chile), National Energy Balance and Renewable Capacity Statistics.</w:t>
      </w:r>
    </w:p>
    <w:p w14:paraId="6C505C10" w14:textId="77777777" w:rsidR="00F91404" w:rsidRPr="007007D8" w:rsidRDefault="00F91404" w:rsidP="00F91404">
      <w:pPr>
        <w:numPr>
          <w:ilvl w:val="0"/>
          <w:numId w:val="137"/>
        </w:numPr>
        <w:spacing w:after="0"/>
        <w:rPr>
          <w:rFonts w:cstheme="minorHAnsi"/>
          <w:i/>
          <w:iCs/>
          <w:sz w:val="14"/>
          <w:szCs w:val="14"/>
        </w:rPr>
      </w:pPr>
      <w:proofErr w:type="spellStart"/>
      <w:r w:rsidRPr="007007D8">
        <w:rPr>
          <w:rFonts w:cstheme="minorHAnsi"/>
          <w:i/>
          <w:iCs/>
          <w:sz w:val="14"/>
          <w:szCs w:val="14"/>
        </w:rPr>
        <w:t>Coordinador</w:t>
      </w:r>
      <w:proofErr w:type="spellEnd"/>
      <w:r w:rsidRPr="007007D8">
        <w:rPr>
          <w:rFonts w:cstheme="minorHAnsi"/>
          <w:i/>
          <w:iCs/>
          <w:sz w:val="14"/>
          <w:szCs w:val="14"/>
        </w:rPr>
        <w:t xml:space="preserve"> </w:t>
      </w:r>
      <w:proofErr w:type="spellStart"/>
      <w:r w:rsidRPr="007007D8">
        <w:rPr>
          <w:rFonts w:cstheme="minorHAnsi"/>
          <w:i/>
          <w:iCs/>
          <w:sz w:val="14"/>
          <w:szCs w:val="14"/>
        </w:rPr>
        <w:t>Eléctrico</w:t>
      </w:r>
      <w:proofErr w:type="spellEnd"/>
      <w:r w:rsidRPr="007007D8">
        <w:rPr>
          <w:rFonts w:cstheme="minorHAnsi"/>
          <w:i/>
          <w:iCs/>
          <w:sz w:val="14"/>
          <w:szCs w:val="14"/>
        </w:rPr>
        <w:t xml:space="preserve"> Nacional (CEN), Electricity Generation and Renewable Deployment Reports.</w:t>
      </w:r>
    </w:p>
    <w:p w14:paraId="61E8BED5" w14:textId="77777777" w:rsidR="00F91404" w:rsidRPr="007007D8" w:rsidRDefault="00F91404" w:rsidP="00F91404">
      <w:pPr>
        <w:numPr>
          <w:ilvl w:val="0"/>
          <w:numId w:val="137"/>
        </w:numPr>
        <w:spacing w:after="0"/>
        <w:rPr>
          <w:rFonts w:cstheme="minorHAnsi"/>
          <w:i/>
          <w:iCs/>
          <w:sz w:val="14"/>
          <w:szCs w:val="14"/>
        </w:rPr>
      </w:pPr>
      <w:r w:rsidRPr="007007D8">
        <w:rPr>
          <w:rFonts w:cstheme="minorHAnsi"/>
          <w:i/>
          <w:iCs/>
          <w:sz w:val="14"/>
          <w:szCs w:val="14"/>
        </w:rPr>
        <w:t>International Renewable Energy Agency (IRENA), Renewable Energy Statistics (Chile profile).</w:t>
      </w:r>
    </w:p>
    <w:p w14:paraId="38EDD64F" w14:textId="77777777" w:rsidR="00F91404" w:rsidRPr="00F91404" w:rsidRDefault="00F91404" w:rsidP="00F91404"/>
    <w:p w14:paraId="174361E1" w14:textId="77777777" w:rsidR="00F91404" w:rsidRPr="00F91404" w:rsidRDefault="00F91404" w:rsidP="00F91404">
      <w:pPr>
        <w:rPr>
          <w:rFonts w:cstheme="minorHAnsi"/>
          <w:b/>
          <w:bCs/>
          <w:sz w:val="20"/>
          <w:szCs w:val="20"/>
        </w:rPr>
      </w:pPr>
    </w:p>
    <w:p w14:paraId="1691E92E" w14:textId="77777777" w:rsidR="00F91404" w:rsidRDefault="00F91404" w:rsidP="00074C04">
      <w:pPr>
        <w:rPr>
          <w:rFonts w:cstheme="minorHAnsi"/>
          <w:color w:val="004F26" w:themeColor="accent4" w:themeShade="80"/>
          <w:sz w:val="20"/>
          <w:szCs w:val="20"/>
        </w:rPr>
      </w:pPr>
    </w:p>
    <w:p w14:paraId="25D803C3" w14:textId="77777777" w:rsidR="00F91404" w:rsidRDefault="00F91404" w:rsidP="00074C04">
      <w:pPr>
        <w:rPr>
          <w:rFonts w:cstheme="minorHAnsi"/>
          <w:color w:val="004F26" w:themeColor="accent4" w:themeShade="80"/>
          <w:sz w:val="20"/>
          <w:szCs w:val="20"/>
        </w:rPr>
      </w:pPr>
    </w:p>
    <w:p w14:paraId="22EA6C8B" w14:textId="77777777" w:rsidR="00F91404" w:rsidRDefault="00F91404" w:rsidP="00074C04">
      <w:pPr>
        <w:rPr>
          <w:rFonts w:cstheme="minorHAnsi"/>
          <w:color w:val="004F26" w:themeColor="accent4" w:themeShade="80"/>
          <w:sz w:val="20"/>
          <w:szCs w:val="20"/>
        </w:rPr>
      </w:pPr>
    </w:p>
    <w:p w14:paraId="04B2C567" w14:textId="77777777" w:rsidR="00F91404" w:rsidRDefault="00F91404" w:rsidP="00074C04">
      <w:pPr>
        <w:rPr>
          <w:rFonts w:cstheme="minorHAnsi"/>
          <w:color w:val="004F26" w:themeColor="accent4" w:themeShade="80"/>
          <w:sz w:val="20"/>
          <w:szCs w:val="20"/>
        </w:rPr>
      </w:pPr>
    </w:p>
    <w:p w14:paraId="485DE892" w14:textId="77777777" w:rsidR="00F91404" w:rsidRDefault="00F91404" w:rsidP="00074C04">
      <w:pPr>
        <w:rPr>
          <w:rFonts w:cstheme="minorHAnsi"/>
          <w:color w:val="004F26" w:themeColor="accent4" w:themeShade="80"/>
          <w:sz w:val="20"/>
          <w:szCs w:val="20"/>
        </w:rPr>
      </w:pPr>
    </w:p>
    <w:p w14:paraId="5BECC919" w14:textId="77777777" w:rsidR="00F91404" w:rsidRDefault="00F91404" w:rsidP="00074C04">
      <w:pPr>
        <w:rPr>
          <w:rFonts w:cstheme="minorHAnsi"/>
          <w:color w:val="004F26" w:themeColor="accent4" w:themeShade="80"/>
          <w:sz w:val="20"/>
          <w:szCs w:val="20"/>
        </w:rPr>
      </w:pPr>
    </w:p>
    <w:p w14:paraId="5F324912" w14:textId="77777777" w:rsidR="00F91404" w:rsidRDefault="00F91404" w:rsidP="00074C04">
      <w:pPr>
        <w:rPr>
          <w:rFonts w:cstheme="minorHAnsi"/>
          <w:color w:val="004F26" w:themeColor="accent4" w:themeShade="80"/>
          <w:sz w:val="20"/>
          <w:szCs w:val="20"/>
        </w:rPr>
      </w:pPr>
    </w:p>
    <w:p w14:paraId="1F181D7B" w14:textId="77777777" w:rsidR="00F91404" w:rsidRPr="00F91404" w:rsidRDefault="00F91404" w:rsidP="00F91404">
      <w:pPr>
        <w:rPr>
          <w:b/>
          <w:bCs/>
          <w:i/>
          <w:iCs/>
          <w:color w:val="004C43" w:themeColor="accent1"/>
          <w:sz w:val="24"/>
          <w:szCs w:val="32"/>
        </w:rPr>
      </w:pPr>
      <w:r w:rsidRPr="00F91404">
        <w:rPr>
          <w:b/>
          <w:bCs/>
          <w:color w:val="004C43" w:themeColor="accent1"/>
          <w:sz w:val="24"/>
          <w:szCs w:val="32"/>
        </w:rPr>
        <w:lastRenderedPageBreak/>
        <w:t>China</w:t>
      </w:r>
    </w:p>
    <w:p w14:paraId="7B2FC90D" w14:textId="77777777" w:rsidR="00F91404" w:rsidRPr="00F91404" w:rsidRDefault="00F91404" w:rsidP="00F91404">
      <w:pPr>
        <w:rPr>
          <w:rFonts w:cstheme="minorHAnsi"/>
          <w:sz w:val="20"/>
          <w:szCs w:val="20"/>
        </w:rPr>
      </w:pPr>
      <w:r w:rsidRPr="00F91404">
        <w:rPr>
          <w:rFonts w:cstheme="minorHAnsi"/>
          <w:sz w:val="20"/>
          <w:szCs w:val="20"/>
        </w:rPr>
        <w:t>China’s hydrogen development is embedded within a planning-led, multi-level governance system. Strategic direction is set by central authorities, notably the National Development and Reform Commission (NDRC) and the National Energy Administration (NEA). Provincial governments and state-owned enterprises (SOEs) are responsible for project execution, infrastructure development and financing, typically within industrial parks and renewable energy bases.</w:t>
      </w:r>
    </w:p>
    <w:p w14:paraId="734101F6" w14:textId="77777777" w:rsidR="00F91404" w:rsidRPr="00F91404" w:rsidRDefault="00F91404" w:rsidP="00F91404">
      <w:pPr>
        <w:rPr>
          <w:rFonts w:cstheme="minorHAnsi"/>
          <w:sz w:val="20"/>
          <w:szCs w:val="20"/>
        </w:rPr>
      </w:pPr>
      <w:r w:rsidRPr="00F91404">
        <w:rPr>
          <w:rFonts w:cstheme="minorHAnsi"/>
          <w:sz w:val="20"/>
          <w:szCs w:val="20"/>
        </w:rPr>
        <w:t>Rather than a standalone hydrogen market law, governance is anchored in national and provincial planning frameworks and sectoral regulations. This places China in an industrial-scale, execution-oriented pathway, driven by administrative coordination and SOE investment rather than market-based contracting.</w:t>
      </w:r>
    </w:p>
    <w:tbl>
      <w:tblPr>
        <w:tblW w:w="5000" w:type="pct"/>
        <w:jc w:val="center"/>
        <w:tblCellMar>
          <w:left w:w="70" w:type="dxa"/>
          <w:right w:w="70" w:type="dxa"/>
        </w:tblCellMar>
        <w:tblLook w:val="04A0" w:firstRow="1" w:lastRow="0" w:firstColumn="1" w:lastColumn="0" w:noHBand="0" w:noVBand="1"/>
      </w:tblPr>
      <w:tblGrid>
        <w:gridCol w:w="1991"/>
        <w:gridCol w:w="444"/>
        <w:gridCol w:w="1254"/>
        <w:gridCol w:w="878"/>
        <w:gridCol w:w="973"/>
        <w:gridCol w:w="1426"/>
        <w:gridCol w:w="631"/>
        <w:gridCol w:w="1867"/>
        <w:gridCol w:w="145"/>
      </w:tblGrid>
      <w:tr w:rsidR="00F91404" w:rsidRPr="00F91404" w14:paraId="1861DD66" w14:textId="77777777" w:rsidTr="00BD1985">
        <w:trPr>
          <w:gridAfter w:val="1"/>
          <w:wAfter w:w="75" w:type="pct"/>
          <w:trHeight w:val="1060"/>
          <w:jc w:val="center"/>
        </w:trPr>
        <w:tc>
          <w:tcPr>
            <w:tcW w:w="1036" w:type="pct"/>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1FF53F84"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capacity </w:t>
            </w:r>
          </w:p>
          <w:p w14:paraId="1E927C41"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Operational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884"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74B58028"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w:t>
            </w:r>
          </w:p>
          <w:p w14:paraId="720287B9"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capacity Planned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63"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661DB486"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Hydrogen pipelines </w:t>
            </w:r>
            <w:r w:rsidRPr="00F91404">
              <w:rPr>
                <w:rFonts w:eastAsia="Times New Roman" w:cstheme="minorHAnsi"/>
                <w:b/>
                <w:color w:val="FFFFFF" w:themeColor="background1"/>
                <w:sz w:val="18"/>
                <w:szCs w:val="18"/>
                <w:lang w:eastAsia="es-MX"/>
              </w:rPr>
              <w:br/>
              <w:t>(km)</w:t>
            </w:r>
          </w:p>
        </w:tc>
        <w:tc>
          <w:tcPr>
            <w:tcW w:w="1070"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1CA35D50"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Ammonia port </w:t>
            </w:r>
          </w:p>
          <w:p w14:paraId="423F775E"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storage capacity </w:t>
            </w:r>
            <w:r w:rsidRPr="00F91404">
              <w:rPr>
                <w:rFonts w:eastAsia="Times New Roman" w:cstheme="minorHAnsi"/>
                <w:b/>
                <w:color w:val="FFFFFF" w:themeColor="background1"/>
                <w:sz w:val="18"/>
                <w:szCs w:val="18"/>
                <w:lang w:eastAsia="es-MX"/>
              </w:rPr>
              <w:br/>
              <w:t>(Thousand tonnes)</w:t>
            </w:r>
          </w:p>
        </w:tc>
        <w:tc>
          <w:tcPr>
            <w:tcW w:w="971" w:type="pct"/>
            <w:tcBorders>
              <w:top w:val="single" w:sz="12" w:space="0" w:color="808080"/>
              <w:left w:val="nil"/>
              <w:bottom w:val="single" w:sz="12" w:space="0" w:color="808080"/>
              <w:right w:val="single" w:sz="12" w:space="0" w:color="808080"/>
            </w:tcBorders>
            <w:shd w:val="clear" w:color="auto" w:fill="004C43" w:themeFill="accent1"/>
            <w:vAlign w:val="center"/>
            <w:hideMark/>
          </w:tcPr>
          <w:p w14:paraId="17D3188F"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Dominant market model</w:t>
            </w:r>
          </w:p>
        </w:tc>
      </w:tr>
      <w:tr w:rsidR="00F91404" w:rsidRPr="00F91404" w14:paraId="38F59313" w14:textId="77777777" w:rsidTr="00BD1985">
        <w:trPr>
          <w:gridAfter w:val="1"/>
          <w:wAfter w:w="75" w:type="pct"/>
          <w:trHeight w:val="2740"/>
          <w:jc w:val="center"/>
        </w:trPr>
        <w:tc>
          <w:tcPr>
            <w:tcW w:w="1036" w:type="pct"/>
            <w:tcBorders>
              <w:top w:val="nil"/>
              <w:left w:val="single" w:sz="12" w:space="0" w:color="808080"/>
              <w:bottom w:val="single" w:sz="12" w:space="0" w:color="808080"/>
              <w:right w:val="single" w:sz="12" w:space="0" w:color="808080"/>
            </w:tcBorders>
            <w:noWrap/>
            <w:vAlign w:val="center"/>
            <w:hideMark/>
          </w:tcPr>
          <w:p w14:paraId="7D775569" w14:textId="77777777" w:rsidR="00F91404" w:rsidRPr="00F91404" w:rsidRDefault="00F91404" w:rsidP="00BD1985">
            <w:p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 </w:t>
            </w:r>
            <w:r w:rsidRPr="00F91404">
              <w:rPr>
                <w:rFonts w:eastAsia="Times New Roman" w:cstheme="minorHAnsi"/>
                <w:b/>
                <w:noProof/>
                <w:color w:val="000000"/>
                <w:sz w:val="18"/>
                <w:szCs w:val="18"/>
                <w:lang w:eastAsia="es-MX"/>
              </w:rPr>
              <w:drawing>
                <wp:inline distT="0" distB="0" distL="0" distR="0" wp14:anchorId="54050727" wp14:editId="5FF034C3">
                  <wp:extent cx="1216550" cy="1402617"/>
                  <wp:effectExtent l="0" t="0" r="0" b="7620"/>
                  <wp:docPr id="118792518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9832"/>
                          <a:stretch>
                            <a:fillRect/>
                          </a:stretch>
                        </pic:blipFill>
                        <pic:spPr bwMode="auto">
                          <a:xfrm>
                            <a:off x="0" y="0"/>
                            <a:ext cx="1231980" cy="14204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84" w:type="pct"/>
            <w:gridSpan w:val="2"/>
            <w:tcBorders>
              <w:top w:val="nil"/>
              <w:left w:val="nil"/>
              <w:bottom w:val="single" w:sz="12" w:space="0" w:color="808080"/>
              <w:right w:val="single" w:sz="12" w:space="0" w:color="808080"/>
            </w:tcBorders>
            <w:noWrap/>
            <w:vAlign w:val="center"/>
            <w:hideMark/>
          </w:tcPr>
          <w:p w14:paraId="6614A8A9"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1D2515A0" wp14:editId="32BB6D79">
                  <wp:extent cx="1036946" cy="1526015"/>
                  <wp:effectExtent l="0" t="0" r="0" b="0"/>
                  <wp:docPr id="40632250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20811" r="21316" b="6835"/>
                          <a:stretch>
                            <a:fillRect/>
                          </a:stretch>
                        </pic:blipFill>
                        <pic:spPr bwMode="auto">
                          <a:xfrm>
                            <a:off x="0" y="0"/>
                            <a:ext cx="1060294" cy="15603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63" w:type="pct"/>
            <w:gridSpan w:val="2"/>
            <w:tcBorders>
              <w:top w:val="nil"/>
              <w:left w:val="nil"/>
              <w:bottom w:val="single" w:sz="12" w:space="0" w:color="808080"/>
              <w:right w:val="single" w:sz="12" w:space="0" w:color="808080"/>
            </w:tcBorders>
            <w:noWrap/>
            <w:vAlign w:val="center"/>
            <w:hideMark/>
          </w:tcPr>
          <w:p w14:paraId="41973DA0"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6,035</w:t>
            </w:r>
          </w:p>
          <w:p w14:paraId="622401FC"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bCs/>
                <w:noProof/>
                <w:color w:val="000000"/>
                <w:sz w:val="18"/>
                <w:szCs w:val="18"/>
                <w:lang w:eastAsia="es-MX"/>
              </w:rPr>
              <w:drawing>
                <wp:inline distT="0" distB="0" distL="0" distR="0" wp14:anchorId="5B638655" wp14:editId="142560BE">
                  <wp:extent cx="1143000" cy="771837"/>
                  <wp:effectExtent l="0" t="0" r="0" b="9525"/>
                  <wp:docPr id="135469650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171264" cy="790923"/>
                          </a:xfrm>
                          <a:prstGeom prst="rect">
                            <a:avLst/>
                          </a:prstGeom>
                          <a:noFill/>
                        </pic:spPr>
                      </pic:pic>
                    </a:graphicData>
                  </a:graphic>
                </wp:inline>
              </w:drawing>
            </w:r>
          </w:p>
        </w:tc>
        <w:tc>
          <w:tcPr>
            <w:tcW w:w="1070" w:type="pct"/>
            <w:gridSpan w:val="2"/>
            <w:tcBorders>
              <w:top w:val="nil"/>
              <w:left w:val="nil"/>
              <w:bottom w:val="single" w:sz="12" w:space="0" w:color="808080"/>
              <w:right w:val="single" w:sz="12" w:space="0" w:color="808080"/>
            </w:tcBorders>
            <w:noWrap/>
            <w:vAlign w:val="center"/>
            <w:hideMark/>
          </w:tcPr>
          <w:p w14:paraId="1A6CF8BD"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401.7</w:t>
            </w:r>
          </w:p>
          <w:p w14:paraId="618F3C7B"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78FD2825" wp14:editId="22FA0C74">
                  <wp:extent cx="1286442" cy="851949"/>
                  <wp:effectExtent l="0" t="0" r="0" b="5715"/>
                  <wp:docPr id="449672054" name="Picture 2" descr="A group of white containers with black text&#10;&#10;AI-generated content may be incorrect.">
                    <a:extLst xmlns:a="http://schemas.openxmlformats.org/drawingml/2006/main">
                      <a:ext uri="{FF2B5EF4-FFF2-40B4-BE49-F238E27FC236}">
                        <a16:creationId xmlns:a16="http://schemas.microsoft.com/office/drawing/2014/main" id="{44F775F3-16A3-8C2A-C0CC-93EDCE338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oup of white containers with black text&#10;&#10;AI-generated content may be incorrect.">
                            <a:extLst>
                              <a:ext uri="{FF2B5EF4-FFF2-40B4-BE49-F238E27FC236}">
                                <a16:creationId xmlns:a16="http://schemas.microsoft.com/office/drawing/2014/main" id="{44F775F3-16A3-8C2A-C0CC-93EDCE338966}"/>
                              </a:ext>
                            </a:extLst>
                          </pic:cNvPr>
                          <pic:cNvPicPr>
                            <a:picLocks noChangeAspect="1"/>
                          </pic:cNvPicPr>
                        </pic:nvPicPr>
                        <pic:blipFill>
                          <a:blip r:embed="rId38"/>
                          <a:srcRect l="12315" t="7225" r="49409" b="54753"/>
                          <a:stretch>
                            <a:fillRect/>
                          </a:stretch>
                        </pic:blipFill>
                        <pic:spPr>
                          <a:xfrm>
                            <a:off x="0" y="0"/>
                            <a:ext cx="1314304" cy="870401"/>
                          </a:xfrm>
                          <a:prstGeom prst="rect">
                            <a:avLst/>
                          </a:prstGeom>
                        </pic:spPr>
                      </pic:pic>
                    </a:graphicData>
                  </a:graphic>
                </wp:inline>
              </w:drawing>
            </w:r>
          </w:p>
        </w:tc>
        <w:tc>
          <w:tcPr>
            <w:tcW w:w="971" w:type="pct"/>
            <w:tcBorders>
              <w:top w:val="nil"/>
              <w:left w:val="nil"/>
              <w:bottom w:val="single" w:sz="12" w:space="0" w:color="808080"/>
              <w:right w:val="single" w:sz="12" w:space="0" w:color="808080"/>
            </w:tcBorders>
            <w:vAlign w:val="center"/>
            <w:hideMark/>
          </w:tcPr>
          <w:p w14:paraId="4F102202"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6DBC7F1A" wp14:editId="7364F4CA">
                  <wp:extent cx="1162835" cy="1446807"/>
                  <wp:effectExtent l="0" t="0" r="0" b="1270"/>
                  <wp:docPr id="13" name="Picture 12" descr="A screenshot of a computer&#10;&#10;AI-generated content may be incorrect.">
                    <a:extLst xmlns:a="http://schemas.openxmlformats.org/drawingml/2006/main">
                      <a:ext uri="{FF2B5EF4-FFF2-40B4-BE49-F238E27FC236}">
                        <a16:creationId xmlns:a16="http://schemas.microsoft.com/office/drawing/2014/main" id="{69444DD2-CEBA-ABE3-61E3-8D03E3B8D7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69444DD2-CEBA-ABE3-61E3-8D03E3B8D788}"/>
                              </a:ext>
                            </a:extLst>
                          </pic:cNvPr>
                          <pic:cNvPicPr>
                            <a:picLocks noChangeAspect="1"/>
                          </pic:cNvPicPr>
                        </pic:nvPicPr>
                        <pic:blipFill>
                          <a:blip r:embed="rId47"/>
                          <a:srcRect l="30599" t="53793" r="47906" b="6092"/>
                          <a:stretch>
                            <a:fillRect/>
                          </a:stretch>
                        </pic:blipFill>
                        <pic:spPr>
                          <a:xfrm>
                            <a:off x="0" y="0"/>
                            <a:ext cx="1169399" cy="1454975"/>
                          </a:xfrm>
                          <a:prstGeom prst="rect">
                            <a:avLst/>
                          </a:prstGeom>
                        </pic:spPr>
                      </pic:pic>
                    </a:graphicData>
                  </a:graphic>
                </wp:inline>
              </w:drawing>
            </w:r>
          </w:p>
        </w:tc>
      </w:tr>
      <w:tr w:rsidR="00F91404" w:rsidRPr="00F91404" w14:paraId="3AE33673" w14:textId="77777777" w:rsidTr="00BD1985">
        <w:trPr>
          <w:gridAfter w:val="1"/>
          <w:wAfter w:w="75" w:type="pct"/>
          <w:trHeight w:val="590"/>
          <w:jc w:val="center"/>
        </w:trPr>
        <w:tc>
          <w:tcPr>
            <w:tcW w:w="1264" w:type="pct"/>
            <w:gridSpan w:val="2"/>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40180C68"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Overall Status</w:t>
            </w:r>
          </w:p>
        </w:tc>
        <w:tc>
          <w:tcPr>
            <w:tcW w:w="1112" w:type="pct"/>
            <w:gridSpan w:val="2"/>
            <w:tcBorders>
              <w:top w:val="nil"/>
              <w:left w:val="nil"/>
              <w:bottom w:val="single" w:sz="12" w:space="0" w:color="808080"/>
              <w:right w:val="single" w:sz="12" w:space="0" w:color="808080"/>
            </w:tcBorders>
            <w:shd w:val="clear" w:color="auto" w:fill="004C43" w:themeFill="accent1"/>
            <w:vAlign w:val="center"/>
            <w:hideMark/>
          </w:tcPr>
          <w:p w14:paraId="75A0B6B6"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Strategies</w:t>
            </w:r>
          </w:p>
        </w:tc>
        <w:tc>
          <w:tcPr>
            <w:tcW w:w="1251" w:type="pct"/>
            <w:gridSpan w:val="2"/>
            <w:tcBorders>
              <w:top w:val="nil"/>
              <w:left w:val="nil"/>
              <w:bottom w:val="single" w:sz="12" w:space="0" w:color="808080"/>
              <w:right w:val="single" w:sz="12" w:space="0" w:color="808080"/>
            </w:tcBorders>
            <w:shd w:val="clear" w:color="auto" w:fill="004C43" w:themeFill="accent1"/>
            <w:vAlign w:val="center"/>
            <w:hideMark/>
          </w:tcPr>
          <w:p w14:paraId="318E6884"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 xml:space="preserve">Road Map </w:t>
            </w:r>
          </w:p>
        </w:tc>
        <w:tc>
          <w:tcPr>
            <w:tcW w:w="1297" w:type="pct"/>
            <w:gridSpan w:val="2"/>
            <w:tcBorders>
              <w:top w:val="nil"/>
              <w:left w:val="nil"/>
              <w:bottom w:val="single" w:sz="12" w:space="0" w:color="808080"/>
              <w:right w:val="single" w:sz="12" w:space="0" w:color="808080"/>
            </w:tcBorders>
            <w:shd w:val="clear" w:color="auto" w:fill="004C43" w:themeFill="accent1"/>
            <w:vAlign w:val="center"/>
            <w:hideMark/>
          </w:tcPr>
          <w:p w14:paraId="3F4C684B"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 xml:space="preserve">Implementation &amp; </w:t>
            </w:r>
          </w:p>
          <w:p w14:paraId="7149E500"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Development Plans</w:t>
            </w:r>
          </w:p>
        </w:tc>
      </w:tr>
      <w:tr w:rsidR="00F91404" w:rsidRPr="00F91404" w14:paraId="64BEDD9E" w14:textId="77777777" w:rsidTr="00BD1985">
        <w:trPr>
          <w:gridAfter w:val="1"/>
          <w:wAfter w:w="75" w:type="pct"/>
          <w:trHeight w:val="6578"/>
          <w:jc w:val="center"/>
        </w:trPr>
        <w:tc>
          <w:tcPr>
            <w:tcW w:w="1264" w:type="pct"/>
            <w:gridSpan w:val="2"/>
            <w:tcBorders>
              <w:top w:val="single" w:sz="12" w:space="0" w:color="808080"/>
              <w:left w:val="single" w:sz="12" w:space="0" w:color="808080"/>
              <w:bottom w:val="single" w:sz="12" w:space="0" w:color="808080"/>
              <w:right w:val="single" w:sz="12" w:space="0" w:color="808080"/>
            </w:tcBorders>
            <w:vAlign w:val="center"/>
            <w:hideMark/>
          </w:tcPr>
          <w:p w14:paraId="39ACA09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Large-scale hydrogen deployment driven by a state-led, planning-based model</w:t>
            </w:r>
          </w:p>
          <w:p w14:paraId="2E9966E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Hydrogen is treated as an industrial input, not as a standalone energy market</w:t>
            </w:r>
          </w:p>
          <w:p w14:paraId="4E0E29B3"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framework prioritises cost reduction, scale and technology learning</w:t>
            </w:r>
          </w:p>
          <w:p w14:paraId="10629A3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Deployment is embedded in industrial planning and SOE investment, rather than market-based mechanisms</w:t>
            </w:r>
          </w:p>
          <w:p w14:paraId="31C1D4F7" w14:textId="77777777" w:rsidR="00F91404" w:rsidRPr="00F91404" w:rsidRDefault="00F91404" w:rsidP="00BD1985">
            <w:pPr>
              <w:spacing w:after="0"/>
              <w:jc w:val="center"/>
              <w:rPr>
                <w:rFonts w:eastAsia="Times New Roman" w:cstheme="minorHAnsi"/>
                <w:b/>
                <w:bCs/>
                <w:color w:val="000000"/>
                <w:sz w:val="18"/>
                <w:szCs w:val="18"/>
                <w:lang w:eastAsia="es-MX"/>
              </w:rPr>
            </w:pPr>
          </w:p>
        </w:tc>
        <w:tc>
          <w:tcPr>
            <w:tcW w:w="1112" w:type="pct"/>
            <w:gridSpan w:val="2"/>
            <w:tcBorders>
              <w:top w:val="nil"/>
              <w:left w:val="single" w:sz="12" w:space="0" w:color="808080"/>
              <w:bottom w:val="single" w:sz="12" w:space="0" w:color="808080"/>
              <w:right w:val="single" w:sz="12" w:space="0" w:color="808080"/>
            </w:tcBorders>
            <w:vAlign w:val="center"/>
            <w:hideMark/>
          </w:tcPr>
          <w:p w14:paraId="7413E40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Positions hydrogen as a supporting technology for industrial upgrading and energy system transformation</w:t>
            </w:r>
          </w:p>
          <w:p w14:paraId="3A204B72"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Focuses on large-scale use in heavy industry, chemicals and renewable energy integration</w:t>
            </w:r>
          </w:p>
          <w:p w14:paraId="03FB18F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Emphasises scale and learning effects over short-term competitiveness</w:t>
            </w:r>
          </w:p>
          <w:p w14:paraId="52F9EA03"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Export readiness and market liberalisation are not near-term priorities</w:t>
            </w:r>
          </w:p>
          <w:p w14:paraId="589361F6" w14:textId="77777777" w:rsidR="00F91404" w:rsidRPr="00F91404" w:rsidRDefault="00F91404" w:rsidP="00BD1985">
            <w:pPr>
              <w:spacing w:after="0"/>
              <w:jc w:val="center"/>
              <w:rPr>
                <w:rFonts w:eastAsia="Times New Roman" w:cstheme="minorHAnsi"/>
                <w:color w:val="000000"/>
                <w:sz w:val="18"/>
                <w:szCs w:val="18"/>
                <w:lang w:eastAsia="es-MX"/>
              </w:rPr>
            </w:pPr>
          </w:p>
        </w:tc>
        <w:tc>
          <w:tcPr>
            <w:tcW w:w="1251" w:type="pct"/>
            <w:gridSpan w:val="2"/>
            <w:tcBorders>
              <w:top w:val="nil"/>
              <w:left w:val="single" w:sz="12" w:space="0" w:color="808080"/>
              <w:bottom w:val="single" w:sz="12" w:space="0" w:color="808080"/>
              <w:right w:val="single" w:sz="12" w:space="0" w:color="808080"/>
            </w:tcBorders>
            <w:vAlign w:val="center"/>
            <w:hideMark/>
          </w:tcPr>
          <w:p w14:paraId="2921F14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Strategic positioning (2019–2020): Hydrogen integrated into national energy and industrial planning frameworks</w:t>
            </w:r>
          </w:p>
          <w:p w14:paraId="16324BF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Demonstration phase (2020–2022): Deployment through pilot projects and industrial demonstration zones</w:t>
            </w:r>
          </w:p>
          <w:p w14:paraId="229949C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Scaling phase (current): </w:t>
            </w:r>
            <w:r w:rsidRPr="00F91404">
              <w:rPr>
                <w:rFonts w:eastAsia="Times New Roman" w:cstheme="minorHAnsi"/>
                <w:sz w:val="18"/>
                <w:szCs w:val="18"/>
                <w:lang w:eastAsia="es-MX"/>
              </w:rPr>
              <w:br/>
              <w:t>Expansion of hydrogen use within industrial parks and renewable energy bases</w:t>
            </w:r>
          </w:p>
          <w:p w14:paraId="6DAF30B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Next phase: Continued industrial-scale deployment aligned with broader energy and industrial planning </w:t>
            </w:r>
            <w:r w:rsidRPr="00F91404">
              <w:rPr>
                <w:rFonts w:eastAsia="Times New Roman" w:cstheme="minorHAnsi"/>
                <w:sz w:val="18"/>
                <w:szCs w:val="18"/>
                <w:lang w:eastAsia="es-MX"/>
              </w:rPr>
              <w:br/>
              <w:t>cycles</w:t>
            </w:r>
          </w:p>
        </w:tc>
        <w:tc>
          <w:tcPr>
            <w:tcW w:w="1297" w:type="pct"/>
            <w:gridSpan w:val="2"/>
            <w:tcBorders>
              <w:top w:val="nil"/>
              <w:left w:val="single" w:sz="12" w:space="0" w:color="808080"/>
              <w:bottom w:val="single" w:sz="12" w:space="0" w:color="808080"/>
              <w:right w:val="single" w:sz="12" w:space="0" w:color="808080"/>
            </w:tcBorders>
            <w:vAlign w:val="center"/>
            <w:hideMark/>
          </w:tcPr>
          <w:p w14:paraId="74ED3193"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Execution led by central and provincial authorities under NDRC and NEA guidance</w:t>
            </w:r>
          </w:p>
          <w:p w14:paraId="4A93C4B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Deployment driven by:</w:t>
            </w:r>
          </w:p>
          <w:p w14:paraId="21EEAB7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Provincial governments</w:t>
            </w:r>
          </w:p>
          <w:p w14:paraId="5C35189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State-owned enterprises (SOEs)</w:t>
            </w:r>
          </w:p>
          <w:p w14:paraId="7BFE798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Projects implemented through industrial parks and cluster-based development</w:t>
            </w:r>
          </w:p>
          <w:p w14:paraId="6C89343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Financing relies on SOE balance sheets and policy-directed funding, not market contracts</w:t>
            </w:r>
          </w:p>
          <w:p w14:paraId="66A50BB4" w14:textId="77777777" w:rsidR="00F91404" w:rsidRPr="00F91404" w:rsidRDefault="00F91404" w:rsidP="00BD1985">
            <w:pPr>
              <w:spacing w:after="0"/>
              <w:jc w:val="center"/>
              <w:rPr>
                <w:rFonts w:eastAsia="Times New Roman" w:cstheme="minorHAnsi"/>
                <w:color w:val="000000"/>
                <w:sz w:val="18"/>
                <w:szCs w:val="18"/>
                <w:lang w:eastAsia="es-MX"/>
              </w:rPr>
            </w:pPr>
          </w:p>
        </w:tc>
      </w:tr>
      <w:tr w:rsidR="00F91404" w:rsidRPr="00F91404" w14:paraId="62160D92" w14:textId="77777777" w:rsidTr="00BD1985">
        <w:trPr>
          <w:trHeight w:val="400"/>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0948DF74"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lastRenderedPageBreak/>
              <w:t>Policies Framework</w:t>
            </w:r>
          </w:p>
        </w:tc>
        <w:tc>
          <w:tcPr>
            <w:tcW w:w="75" w:type="pct"/>
            <w:vAlign w:val="center"/>
            <w:hideMark/>
          </w:tcPr>
          <w:p w14:paraId="4BB10B94" w14:textId="77777777" w:rsidR="00F91404" w:rsidRPr="00F91404" w:rsidRDefault="00F91404" w:rsidP="00BD1985">
            <w:pPr>
              <w:spacing w:after="0"/>
              <w:rPr>
                <w:rFonts w:eastAsia="Times New Roman" w:cstheme="minorHAnsi"/>
                <w:sz w:val="20"/>
                <w:szCs w:val="20"/>
                <w:lang w:eastAsia="es-MX"/>
              </w:rPr>
            </w:pPr>
          </w:p>
        </w:tc>
      </w:tr>
      <w:tr w:rsidR="00F91404" w:rsidRPr="00F91404" w14:paraId="0CD9682F" w14:textId="77777777" w:rsidTr="00BD1985">
        <w:trPr>
          <w:trHeight w:val="1092"/>
          <w:jc w:val="center"/>
        </w:trPr>
        <w:tc>
          <w:tcPr>
            <w:tcW w:w="103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03138DF5"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Fiscal &amp; Tax </w:t>
            </w:r>
          </w:p>
          <w:p w14:paraId="2039A368"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Incentives</w:t>
            </w:r>
          </w:p>
        </w:tc>
        <w:tc>
          <w:tcPr>
            <w:tcW w:w="3889" w:type="pct"/>
            <w:gridSpan w:val="7"/>
            <w:tcBorders>
              <w:top w:val="single" w:sz="12" w:space="0" w:color="808080"/>
              <w:left w:val="nil"/>
              <w:bottom w:val="single" w:sz="12" w:space="0" w:color="808080"/>
              <w:right w:val="single" w:sz="12" w:space="0" w:color="808080"/>
            </w:tcBorders>
            <w:vAlign w:val="center"/>
            <w:hideMark/>
          </w:tcPr>
          <w:p w14:paraId="5E3E977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explicit national tax incentives specific to green hydrogen</w:t>
            </w:r>
          </w:p>
          <w:p w14:paraId="2246649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Fiscal policy plays a limited role, with support delivered mainly through non-tax mechanisms</w:t>
            </w:r>
          </w:p>
        </w:tc>
        <w:tc>
          <w:tcPr>
            <w:tcW w:w="75" w:type="pct"/>
            <w:vAlign w:val="center"/>
            <w:hideMark/>
          </w:tcPr>
          <w:p w14:paraId="018CAD1A" w14:textId="77777777" w:rsidR="00F91404" w:rsidRPr="00F91404" w:rsidRDefault="00F91404" w:rsidP="00BD1985">
            <w:pPr>
              <w:spacing w:after="0"/>
              <w:rPr>
                <w:rFonts w:eastAsia="Times New Roman" w:cstheme="minorHAnsi"/>
                <w:sz w:val="20"/>
                <w:szCs w:val="20"/>
                <w:lang w:eastAsia="es-MX"/>
              </w:rPr>
            </w:pPr>
          </w:p>
        </w:tc>
      </w:tr>
      <w:tr w:rsidR="00F91404" w:rsidRPr="00F91404" w14:paraId="466CDCD8" w14:textId="77777777" w:rsidTr="00BD1985">
        <w:trPr>
          <w:trHeight w:val="1390"/>
          <w:jc w:val="center"/>
        </w:trPr>
        <w:tc>
          <w:tcPr>
            <w:tcW w:w="103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0B7E8D39"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Market and revenue support </w:t>
            </w:r>
          </w:p>
          <w:p w14:paraId="10FC80E4"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mechanisms</w:t>
            </w:r>
          </w:p>
        </w:tc>
        <w:tc>
          <w:tcPr>
            <w:tcW w:w="3889" w:type="pct"/>
            <w:gridSpan w:val="7"/>
            <w:tcBorders>
              <w:top w:val="single" w:sz="12" w:space="0" w:color="808080"/>
              <w:left w:val="nil"/>
              <w:bottom w:val="single" w:sz="12" w:space="0" w:color="808080"/>
              <w:right w:val="single" w:sz="12" w:space="0" w:color="808080"/>
            </w:tcBorders>
            <w:vAlign w:val="center"/>
            <w:hideMark/>
          </w:tcPr>
          <w:p w14:paraId="41E9570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No market-based revenue instruments (e.g. </w:t>
            </w:r>
            <w:proofErr w:type="spellStart"/>
            <w:r w:rsidRPr="00F91404">
              <w:rPr>
                <w:rFonts w:eastAsia="Times New Roman" w:cstheme="minorHAnsi"/>
                <w:sz w:val="18"/>
                <w:szCs w:val="18"/>
                <w:lang w:eastAsia="es-MX"/>
              </w:rPr>
              <w:t>CfDs</w:t>
            </w:r>
            <w:proofErr w:type="spellEnd"/>
            <w:r w:rsidRPr="00F91404">
              <w:rPr>
                <w:rFonts w:eastAsia="Times New Roman" w:cstheme="minorHAnsi"/>
                <w:sz w:val="18"/>
                <w:szCs w:val="18"/>
                <w:lang w:eastAsia="es-MX"/>
              </w:rPr>
              <w:t xml:space="preserve">, price guarantees, standardised offtake </w:t>
            </w:r>
            <w:r w:rsidRPr="00F91404">
              <w:rPr>
                <w:rFonts w:eastAsia="Times New Roman" w:cstheme="minorHAnsi"/>
                <w:sz w:val="18"/>
                <w:szCs w:val="18"/>
                <w:lang w:eastAsia="es-MX"/>
              </w:rPr>
              <w:br/>
              <w:t>contracts)</w:t>
            </w:r>
          </w:p>
          <w:p w14:paraId="2FBB649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Revenue expectations are shaped by planning targets and industrial policy signals</w:t>
            </w:r>
          </w:p>
          <w:p w14:paraId="430FD9D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Investment decisions are guided administratively rather than through contractual demand support</w:t>
            </w:r>
          </w:p>
        </w:tc>
        <w:tc>
          <w:tcPr>
            <w:tcW w:w="75" w:type="pct"/>
            <w:vAlign w:val="center"/>
            <w:hideMark/>
          </w:tcPr>
          <w:p w14:paraId="5223E74A" w14:textId="77777777" w:rsidR="00F91404" w:rsidRPr="00F91404" w:rsidRDefault="00F91404" w:rsidP="00BD1985">
            <w:pPr>
              <w:spacing w:after="0"/>
              <w:rPr>
                <w:rFonts w:eastAsia="Times New Roman" w:cstheme="minorHAnsi"/>
                <w:sz w:val="20"/>
                <w:szCs w:val="20"/>
                <w:lang w:eastAsia="es-MX"/>
              </w:rPr>
            </w:pPr>
          </w:p>
        </w:tc>
      </w:tr>
      <w:tr w:rsidR="00F91404" w:rsidRPr="00F91404" w14:paraId="7B49B343" w14:textId="77777777" w:rsidTr="00BD1985">
        <w:trPr>
          <w:trHeight w:val="1673"/>
          <w:jc w:val="center"/>
        </w:trPr>
        <w:tc>
          <w:tcPr>
            <w:tcW w:w="103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596137F0"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Direct public </w:t>
            </w:r>
          </w:p>
          <w:p w14:paraId="01ABDA7E"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funding</w:t>
            </w:r>
          </w:p>
        </w:tc>
        <w:tc>
          <w:tcPr>
            <w:tcW w:w="3889" w:type="pct"/>
            <w:gridSpan w:val="7"/>
            <w:tcBorders>
              <w:top w:val="single" w:sz="12" w:space="0" w:color="808080"/>
              <w:left w:val="nil"/>
              <w:bottom w:val="single" w:sz="12" w:space="0" w:color="808080"/>
              <w:right w:val="single" w:sz="12" w:space="0" w:color="808080"/>
            </w:tcBorders>
            <w:vAlign w:val="center"/>
            <w:hideMark/>
          </w:tcPr>
          <w:p w14:paraId="38E9C14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Public funding delivered primarily through provincial governments, SOEs and policy banks</w:t>
            </w:r>
          </w:p>
          <w:p w14:paraId="7AA7BE4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CAPEX support takes the form of:</w:t>
            </w:r>
          </w:p>
          <w:p w14:paraId="103B3DE1"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Public equity participation</w:t>
            </w:r>
          </w:p>
          <w:p w14:paraId="4BC187ED"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Concessional loans</w:t>
            </w:r>
          </w:p>
          <w:p w14:paraId="5A8868DC"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Land access</w:t>
            </w:r>
          </w:p>
          <w:p w14:paraId="3E2BB0FD"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Direct investment in industrial parks and demonstration projects</w:t>
            </w:r>
          </w:p>
          <w:p w14:paraId="2D31B76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 xml:space="preserve">Funding allocation is administrative, not competitive, and is closely linked to industrial policy </w:t>
            </w:r>
            <w:r w:rsidRPr="00F91404">
              <w:rPr>
                <w:rFonts w:eastAsia="Times New Roman" w:cstheme="minorHAnsi"/>
                <w:sz w:val="18"/>
                <w:szCs w:val="18"/>
                <w:lang w:eastAsia="es-MX"/>
              </w:rPr>
              <w:br/>
              <w:t>priorities</w:t>
            </w:r>
          </w:p>
        </w:tc>
        <w:tc>
          <w:tcPr>
            <w:tcW w:w="75" w:type="pct"/>
            <w:vAlign w:val="center"/>
            <w:hideMark/>
          </w:tcPr>
          <w:p w14:paraId="67567815" w14:textId="77777777" w:rsidR="00F91404" w:rsidRPr="00F91404" w:rsidRDefault="00F91404" w:rsidP="00BD1985">
            <w:pPr>
              <w:spacing w:after="0"/>
              <w:rPr>
                <w:rFonts w:eastAsia="Times New Roman" w:cstheme="minorHAnsi"/>
                <w:sz w:val="20"/>
                <w:szCs w:val="20"/>
                <w:lang w:eastAsia="es-MX"/>
              </w:rPr>
            </w:pPr>
          </w:p>
        </w:tc>
      </w:tr>
      <w:tr w:rsidR="00F91404" w:rsidRPr="00F91404" w14:paraId="1F1BE985" w14:textId="77777777" w:rsidTr="00BD1985">
        <w:trPr>
          <w:trHeight w:val="1514"/>
          <w:jc w:val="center"/>
        </w:trPr>
        <w:tc>
          <w:tcPr>
            <w:tcW w:w="103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556F1849"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Standards and </w:t>
            </w:r>
          </w:p>
          <w:p w14:paraId="2203879B"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certification</w:t>
            </w:r>
          </w:p>
        </w:tc>
        <w:tc>
          <w:tcPr>
            <w:tcW w:w="3889" w:type="pct"/>
            <w:gridSpan w:val="7"/>
            <w:tcBorders>
              <w:top w:val="single" w:sz="12" w:space="0" w:color="808080"/>
              <w:left w:val="nil"/>
              <w:bottom w:val="single" w:sz="12" w:space="0" w:color="808080"/>
              <w:right w:val="single" w:sz="12" w:space="0" w:color="808080"/>
            </w:tcBorders>
            <w:vAlign w:val="center"/>
            <w:hideMark/>
          </w:tcPr>
          <w:p w14:paraId="7C760C0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Standards and certification are government-led and evolving alongside deployment</w:t>
            </w:r>
          </w:p>
          <w:p w14:paraId="57B8C77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Focus on technical, safety and operational standards for industrial use</w:t>
            </w:r>
          </w:p>
          <w:p w14:paraId="66C895A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Limited alignment with international or market-oriented certification schemes, constraining export interoperability</w:t>
            </w:r>
          </w:p>
        </w:tc>
        <w:tc>
          <w:tcPr>
            <w:tcW w:w="75" w:type="pct"/>
            <w:vAlign w:val="center"/>
            <w:hideMark/>
          </w:tcPr>
          <w:p w14:paraId="38228382" w14:textId="77777777" w:rsidR="00F91404" w:rsidRPr="00F91404" w:rsidRDefault="00F91404" w:rsidP="00BD1985">
            <w:pPr>
              <w:spacing w:after="0"/>
              <w:rPr>
                <w:rFonts w:eastAsia="Times New Roman" w:cstheme="minorHAnsi"/>
                <w:sz w:val="20"/>
                <w:szCs w:val="20"/>
                <w:lang w:eastAsia="es-MX"/>
              </w:rPr>
            </w:pPr>
          </w:p>
        </w:tc>
      </w:tr>
      <w:tr w:rsidR="00F91404" w:rsidRPr="00F91404" w14:paraId="725B0DFD" w14:textId="77777777" w:rsidTr="00BD1985">
        <w:trPr>
          <w:trHeight w:val="1385"/>
          <w:jc w:val="center"/>
        </w:trPr>
        <w:tc>
          <w:tcPr>
            <w:tcW w:w="103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0CDA5E40"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Infrastructure-</w:t>
            </w:r>
          </w:p>
          <w:p w14:paraId="305E62F1"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enabling policies</w:t>
            </w:r>
          </w:p>
        </w:tc>
        <w:tc>
          <w:tcPr>
            <w:tcW w:w="3889" w:type="pct"/>
            <w:gridSpan w:val="7"/>
            <w:tcBorders>
              <w:top w:val="single" w:sz="12" w:space="0" w:color="808080"/>
              <w:left w:val="nil"/>
              <w:bottom w:val="single" w:sz="12" w:space="0" w:color="808080"/>
              <w:right w:val="single" w:sz="12" w:space="0" w:color="808080"/>
            </w:tcBorders>
            <w:vAlign w:val="center"/>
            <w:hideMark/>
          </w:tcPr>
          <w:p w14:paraId="3006790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color w:val="000000"/>
                <w:sz w:val="18"/>
                <w:szCs w:val="18"/>
                <w:lang w:eastAsia="es-MX"/>
              </w:rPr>
              <w:br w:type="page"/>
            </w:r>
            <w:r w:rsidRPr="00F91404">
              <w:rPr>
                <w:rFonts w:eastAsia="Times New Roman" w:cstheme="minorHAnsi"/>
                <w:sz w:val="18"/>
                <w:szCs w:val="18"/>
                <w:lang w:eastAsia="es-MX"/>
              </w:rPr>
              <w:t>Infrastructure development organised around industrial parks and cluster-based deployment</w:t>
            </w:r>
          </w:p>
          <w:p w14:paraId="035E450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Hydrogen production, storage and consumption are co-located to support industrial demand</w:t>
            </w:r>
          </w:p>
          <w:p w14:paraId="528B19E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emphasis on a national hydrogen pipeline backbone</w:t>
            </w:r>
          </w:p>
          <w:p w14:paraId="3D6E60A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Model reduces transport complexity but limits system-wide integration</w:t>
            </w:r>
          </w:p>
        </w:tc>
        <w:tc>
          <w:tcPr>
            <w:tcW w:w="75" w:type="pct"/>
            <w:vAlign w:val="center"/>
            <w:hideMark/>
          </w:tcPr>
          <w:p w14:paraId="4E7ED26A" w14:textId="77777777" w:rsidR="00F91404" w:rsidRPr="00F91404" w:rsidRDefault="00F91404" w:rsidP="00BD1985">
            <w:pPr>
              <w:spacing w:after="0"/>
              <w:rPr>
                <w:rFonts w:eastAsia="Times New Roman" w:cstheme="minorHAnsi"/>
                <w:sz w:val="20"/>
                <w:szCs w:val="20"/>
                <w:lang w:eastAsia="es-MX"/>
              </w:rPr>
            </w:pPr>
          </w:p>
        </w:tc>
      </w:tr>
      <w:tr w:rsidR="00F91404" w:rsidRPr="00F91404" w14:paraId="66ACD805" w14:textId="77777777" w:rsidTr="00BD1985">
        <w:trPr>
          <w:trHeight w:val="400"/>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A3488D0"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Sectoral focus / Priority sectors</w:t>
            </w:r>
          </w:p>
        </w:tc>
        <w:tc>
          <w:tcPr>
            <w:tcW w:w="75" w:type="pct"/>
            <w:vAlign w:val="center"/>
          </w:tcPr>
          <w:p w14:paraId="3C716E9A" w14:textId="77777777" w:rsidR="00F91404" w:rsidRPr="00F91404" w:rsidRDefault="00F91404" w:rsidP="00BD1985">
            <w:pPr>
              <w:spacing w:after="0"/>
              <w:rPr>
                <w:rFonts w:eastAsia="Times New Roman" w:cstheme="minorHAnsi"/>
                <w:sz w:val="20"/>
                <w:szCs w:val="20"/>
                <w:lang w:eastAsia="es-MX"/>
              </w:rPr>
            </w:pPr>
          </w:p>
        </w:tc>
      </w:tr>
      <w:tr w:rsidR="00F91404" w:rsidRPr="00F91404" w14:paraId="0E6086B2" w14:textId="77777777" w:rsidTr="00BD1985">
        <w:trPr>
          <w:trHeight w:val="901"/>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0FE81C00" w14:textId="77777777" w:rsidR="00F91404" w:rsidRPr="00F91404" w:rsidRDefault="00F91404" w:rsidP="00BD1985">
            <w:pPr>
              <w:spacing w:after="0"/>
              <w:rPr>
                <w:rFonts w:eastAsia="Times New Roman" w:cstheme="minorHAnsi"/>
                <w:color w:val="FFFFFF"/>
                <w:sz w:val="18"/>
                <w:szCs w:val="18"/>
                <w:lang w:eastAsia="es-MX"/>
              </w:rPr>
            </w:pPr>
            <w:r w:rsidRPr="00F91404">
              <w:rPr>
                <w:rFonts w:eastAsia="Times New Roman" w:cstheme="minorHAnsi"/>
                <w:sz w:val="18"/>
                <w:szCs w:val="18"/>
                <w:lang w:eastAsia="es-MX"/>
              </w:rPr>
              <w:t>Demand is driven by heavy industry, including steel, chemicals and refining, where hydrogen is used to replace fossil feedstocks and support industrial upgrading. Additional demand arises from energy storage and industrial hydrogen substitution within state-led industrial parks.</w:t>
            </w:r>
          </w:p>
        </w:tc>
        <w:tc>
          <w:tcPr>
            <w:tcW w:w="75" w:type="pct"/>
            <w:vAlign w:val="center"/>
          </w:tcPr>
          <w:p w14:paraId="5686D9DB" w14:textId="77777777" w:rsidR="00F91404" w:rsidRPr="00F91404" w:rsidRDefault="00F91404" w:rsidP="00BD1985">
            <w:pPr>
              <w:spacing w:after="0"/>
              <w:rPr>
                <w:rFonts w:eastAsia="Times New Roman" w:cstheme="minorHAnsi"/>
                <w:sz w:val="20"/>
                <w:szCs w:val="20"/>
                <w:lang w:eastAsia="es-MX"/>
              </w:rPr>
            </w:pPr>
          </w:p>
        </w:tc>
      </w:tr>
      <w:tr w:rsidR="00F91404" w:rsidRPr="00F91404" w14:paraId="337BBEA0" w14:textId="77777777" w:rsidTr="00BD1985">
        <w:trPr>
          <w:trHeight w:val="335"/>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81C0FDD"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Renewable Energy Context</w:t>
            </w:r>
          </w:p>
        </w:tc>
        <w:tc>
          <w:tcPr>
            <w:tcW w:w="75" w:type="pct"/>
            <w:vAlign w:val="center"/>
          </w:tcPr>
          <w:p w14:paraId="579969C6" w14:textId="77777777" w:rsidR="00F91404" w:rsidRPr="00F91404" w:rsidRDefault="00F91404" w:rsidP="00BD1985">
            <w:pPr>
              <w:spacing w:after="0"/>
              <w:rPr>
                <w:rFonts w:eastAsia="Times New Roman" w:cstheme="minorHAnsi"/>
                <w:sz w:val="20"/>
                <w:szCs w:val="20"/>
                <w:lang w:eastAsia="es-MX"/>
              </w:rPr>
            </w:pPr>
          </w:p>
        </w:tc>
      </w:tr>
      <w:tr w:rsidR="00F91404" w:rsidRPr="00F91404" w14:paraId="799EED63" w14:textId="77777777" w:rsidTr="00BD1985">
        <w:trPr>
          <w:trHeight w:val="2678"/>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2D4CD6F8"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 xml:space="preserve">China has the world’s largest installed renewable electricity capacity, exceeding 1,000 GW when combining solar PV, onshore and offshore wind, and hydropower. Over the past decade, renewable deployment has accelerated significantly, with solar and wind representing </w:t>
            </w:r>
            <w:proofErr w:type="gramStart"/>
            <w:r w:rsidRPr="00F91404">
              <w:rPr>
                <w:rFonts w:eastAsia="Times New Roman" w:cstheme="minorHAnsi"/>
                <w:sz w:val="18"/>
                <w:szCs w:val="18"/>
                <w:lang w:eastAsia="es-MX"/>
              </w:rPr>
              <w:t>the majority of</w:t>
            </w:r>
            <w:proofErr w:type="gramEnd"/>
            <w:r w:rsidRPr="00F91404">
              <w:rPr>
                <w:rFonts w:eastAsia="Times New Roman" w:cstheme="minorHAnsi"/>
                <w:sz w:val="18"/>
                <w:szCs w:val="18"/>
                <w:lang w:eastAsia="es-MX"/>
              </w:rPr>
              <w:t xml:space="preserve"> new annual capacity additions. Despite this expansion, coal-fired generation remains a substantial component of the overall electricity mix, reflecting the scale and structure of the national power system.</w:t>
            </w:r>
          </w:p>
          <w:p w14:paraId="77DFAF92"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National planning targets continued renewable expansion toward 2030 and alignment with the 2060 carbon neutrality objective. Large renewable bases in northern and western provinces are increasingly integrated with industrial clusters and designated hydrogen pilot zones, enabling co-location of electrolysis and renewable generation. This scale and regional concentration provide structural conditions for industrial-scale green hydrogen production under provincial and central planning frameworks.</w:t>
            </w:r>
          </w:p>
        </w:tc>
        <w:tc>
          <w:tcPr>
            <w:tcW w:w="75" w:type="pct"/>
            <w:vAlign w:val="center"/>
          </w:tcPr>
          <w:p w14:paraId="5B5F7F2E" w14:textId="77777777" w:rsidR="00F91404" w:rsidRPr="00F91404" w:rsidRDefault="00F91404" w:rsidP="00BD1985">
            <w:pPr>
              <w:spacing w:after="0"/>
              <w:rPr>
                <w:rFonts w:eastAsia="Times New Roman" w:cstheme="minorHAnsi"/>
                <w:sz w:val="20"/>
                <w:szCs w:val="20"/>
                <w:lang w:eastAsia="es-MX"/>
              </w:rPr>
            </w:pPr>
          </w:p>
        </w:tc>
      </w:tr>
      <w:tr w:rsidR="00F91404" w:rsidRPr="00F91404" w14:paraId="62CE4B64" w14:textId="77777777" w:rsidTr="00BD1985">
        <w:trPr>
          <w:trHeight w:val="381"/>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6105DB76"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c>
          <w:tcPr>
            <w:tcW w:w="75" w:type="pct"/>
            <w:vAlign w:val="center"/>
          </w:tcPr>
          <w:p w14:paraId="38C1184E" w14:textId="77777777" w:rsidR="00F91404" w:rsidRPr="00F91404" w:rsidRDefault="00F91404" w:rsidP="00BD1985">
            <w:pPr>
              <w:spacing w:after="0"/>
              <w:rPr>
                <w:rFonts w:eastAsia="Times New Roman" w:cstheme="minorHAnsi"/>
                <w:sz w:val="20"/>
                <w:szCs w:val="20"/>
                <w:lang w:eastAsia="es-MX"/>
              </w:rPr>
            </w:pPr>
          </w:p>
        </w:tc>
      </w:tr>
      <w:tr w:rsidR="00F91404" w:rsidRPr="00F91404" w14:paraId="49837B19" w14:textId="77777777" w:rsidTr="00BD1985">
        <w:trPr>
          <w:trHeight w:val="4669"/>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1F2F1A1D"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China follows a planning-led, industrial park and SOE-driven hydrogen value chain model:</w:t>
            </w:r>
          </w:p>
          <w:p w14:paraId="6D099BC1"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Production:</w:t>
            </w:r>
            <w:r w:rsidRPr="00F91404">
              <w:rPr>
                <w:rFonts w:eastAsia="Times New Roman" w:cstheme="minorHAnsi"/>
                <w:sz w:val="18"/>
                <w:szCs w:val="18"/>
                <w:lang w:eastAsia="es-MX"/>
              </w:rPr>
              <w:br/>
              <w:t>State-directed deployment combining electrolytic hydrogen in renewable-rich provinces and large-scale grey/blue hydrogen production within industrial clusters; production decisions frequently aligned with provincial planning and SOE investment priorities.</w:t>
            </w:r>
          </w:p>
          <w:p w14:paraId="24A9376C"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Storage:</w:t>
            </w:r>
            <w:r w:rsidRPr="00F91404">
              <w:rPr>
                <w:rFonts w:eastAsia="Times New Roman" w:cstheme="minorHAnsi"/>
                <w:sz w:val="18"/>
                <w:szCs w:val="18"/>
                <w:lang w:eastAsia="es-MX"/>
              </w:rPr>
              <w:br/>
              <w:t>On-site and cluster-level storage solutions co-located with production and industrial users; geological storage and large commercial salt-cavern projects are emerging in select regions.</w:t>
            </w:r>
          </w:p>
          <w:p w14:paraId="0ABFEAE7"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Transport / Distribution:</w:t>
            </w:r>
            <w:r w:rsidRPr="00F91404">
              <w:rPr>
                <w:rFonts w:eastAsia="Times New Roman" w:cstheme="minorHAnsi"/>
                <w:sz w:val="18"/>
                <w:szCs w:val="18"/>
                <w:lang w:eastAsia="es-MX"/>
              </w:rPr>
              <w:br/>
              <w:t>Transport generally organised around co-located production and consumption within industrial parks; limited long-distance hydrogen pipelines to date, with road and rail transport and ammonia shipping used for distribution and export-import options.</w:t>
            </w:r>
          </w:p>
          <w:p w14:paraId="7FA34A06"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Applications:</w:t>
            </w:r>
            <w:r w:rsidRPr="00F91404">
              <w:rPr>
                <w:rFonts w:eastAsia="Times New Roman" w:cstheme="minorHAnsi"/>
                <w:sz w:val="18"/>
                <w:szCs w:val="18"/>
                <w:lang w:eastAsia="es-MX"/>
              </w:rPr>
              <w:br/>
              <w:t>Primary use in heavy industry (steel, chemicals, refining) and industrial feedstock substitution, with growing pilot applications for power balancing and mobility in selected provinces.</w:t>
            </w:r>
          </w:p>
          <w:p w14:paraId="365BCB88" w14:textId="77777777" w:rsidR="00F91404" w:rsidRPr="00F91404" w:rsidRDefault="00F91404" w:rsidP="00BD1985">
            <w:pPr>
              <w:spacing w:after="0"/>
              <w:rPr>
                <w:rFonts w:eastAsia="Times New Roman" w:cstheme="minorHAnsi"/>
                <w:sz w:val="18"/>
                <w:szCs w:val="18"/>
                <w:lang w:eastAsia="es-MX"/>
              </w:rPr>
            </w:pPr>
          </w:p>
        </w:tc>
        <w:tc>
          <w:tcPr>
            <w:tcW w:w="75" w:type="pct"/>
            <w:vAlign w:val="center"/>
          </w:tcPr>
          <w:p w14:paraId="7A9BE3EA" w14:textId="77777777" w:rsidR="00F91404" w:rsidRPr="00F91404" w:rsidRDefault="00F91404" w:rsidP="00BD1985">
            <w:pPr>
              <w:spacing w:after="0"/>
              <w:rPr>
                <w:rFonts w:eastAsia="Times New Roman" w:cstheme="minorHAnsi"/>
                <w:sz w:val="20"/>
                <w:szCs w:val="20"/>
                <w:lang w:eastAsia="es-MX"/>
              </w:rPr>
            </w:pPr>
          </w:p>
        </w:tc>
      </w:tr>
      <w:tr w:rsidR="00F91404" w:rsidRPr="00F91404" w14:paraId="1380412C" w14:textId="77777777" w:rsidTr="00BD1985">
        <w:trPr>
          <w:trHeight w:val="396"/>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541647EC"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Strategic Stage &amp; Objective</w:t>
            </w:r>
          </w:p>
        </w:tc>
        <w:tc>
          <w:tcPr>
            <w:tcW w:w="75" w:type="pct"/>
            <w:vAlign w:val="center"/>
          </w:tcPr>
          <w:p w14:paraId="75D1FA67" w14:textId="77777777" w:rsidR="00F91404" w:rsidRPr="00F91404" w:rsidRDefault="00F91404" w:rsidP="00BD1985">
            <w:pPr>
              <w:spacing w:after="0"/>
              <w:rPr>
                <w:rFonts w:eastAsia="Times New Roman" w:cstheme="minorHAnsi"/>
                <w:sz w:val="20"/>
                <w:szCs w:val="20"/>
                <w:lang w:eastAsia="es-MX"/>
              </w:rPr>
            </w:pPr>
          </w:p>
        </w:tc>
      </w:tr>
      <w:tr w:rsidR="00F91404" w:rsidRPr="00F91404" w14:paraId="7A2F62D3" w14:textId="77777777" w:rsidTr="00BD1985">
        <w:trPr>
          <w:trHeight w:val="2090"/>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3A510349"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Current Stage:</w:t>
            </w:r>
            <w:r w:rsidRPr="00F91404">
              <w:rPr>
                <w:rFonts w:eastAsia="Times New Roman" w:cstheme="minorHAnsi"/>
                <w:sz w:val="18"/>
                <w:szCs w:val="18"/>
                <w:lang w:eastAsia="es-MX"/>
              </w:rPr>
              <w:t xml:space="preserve"> Industrial scaling under provincial and central planning.</w:t>
            </w:r>
          </w:p>
          <w:p w14:paraId="50F7DA3D"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Overall Objective:</w:t>
            </w:r>
            <w:r w:rsidRPr="00F91404">
              <w:rPr>
                <w:rFonts w:eastAsia="Times New Roman" w:cstheme="minorHAnsi"/>
                <w:sz w:val="18"/>
                <w:szCs w:val="18"/>
                <w:lang w:eastAsia="es-MX"/>
              </w:rPr>
              <w:br/>
              <w:t>Drive large-scale industrial deployment to reduce carbon intensity in manufacturing and accelerate technology learning at scale, leveraging state investment and SOE-led projects to achieve cost reductions and domestic capability development.</w:t>
            </w:r>
          </w:p>
          <w:p w14:paraId="4F7C4461"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Implementation emphasizes administrative planning, provincial pilot zones and coordinated SOE financing rather than market-based revenue contracts.</w:t>
            </w:r>
          </w:p>
          <w:p w14:paraId="6D581E7E" w14:textId="77777777" w:rsidR="00F91404" w:rsidRPr="00F91404" w:rsidRDefault="00F91404" w:rsidP="00BD1985">
            <w:pPr>
              <w:spacing w:after="0"/>
              <w:ind w:left="0"/>
              <w:rPr>
                <w:rFonts w:eastAsia="Times New Roman" w:cstheme="minorHAnsi"/>
                <w:sz w:val="18"/>
                <w:szCs w:val="18"/>
                <w:lang w:eastAsia="es-MX"/>
              </w:rPr>
            </w:pPr>
          </w:p>
        </w:tc>
        <w:tc>
          <w:tcPr>
            <w:tcW w:w="75" w:type="pct"/>
            <w:vAlign w:val="center"/>
          </w:tcPr>
          <w:p w14:paraId="6896BF22" w14:textId="77777777" w:rsidR="00F91404" w:rsidRPr="00F91404" w:rsidRDefault="00F91404" w:rsidP="00BD1985">
            <w:pPr>
              <w:spacing w:after="0"/>
              <w:rPr>
                <w:rFonts w:eastAsia="Times New Roman" w:cstheme="minorHAnsi"/>
                <w:sz w:val="20"/>
                <w:szCs w:val="20"/>
                <w:lang w:eastAsia="es-MX"/>
              </w:rPr>
            </w:pPr>
          </w:p>
        </w:tc>
      </w:tr>
      <w:tr w:rsidR="00F91404" w:rsidRPr="00F91404" w14:paraId="0F4C3277" w14:textId="77777777" w:rsidTr="00BD1985">
        <w:trPr>
          <w:trHeight w:val="459"/>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06EF32F0"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Key Stakeholders</w:t>
            </w:r>
          </w:p>
        </w:tc>
        <w:tc>
          <w:tcPr>
            <w:tcW w:w="75" w:type="pct"/>
            <w:vAlign w:val="center"/>
          </w:tcPr>
          <w:p w14:paraId="2181E573" w14:textId="77777777" w:rsidR="00F91404" w:rsidRPr="00F91404" w:rsidRDefault="00F91404" w:rsidP="00BD1985">
            <w:pPr>
              <w:spacing w:after="0"/>
              <w:rPr>
                <w:rFonts w:eastAsia="Times New Roman" w:cstheme="minorHAnsi"/>
                <w:sz w:val="20"/>
                <w:szCs w:val="20"/>
                <w:lang w:eastAsia="es-MX"/>
              </w:rPr>
            </w:pPr>
          </w:p>
        </w:tc>
      </w:tr>
      <w:tr w:rsidR="00F91404" w:rsidRPr="00F91404" w14:paraId="13620FCA" w14:textId="77777777" w:rsidTr="00BD1985">
        <w:trPr>
          <w:trHeight w:val="2878"/>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7938AFDB"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Principal actors in governance and delivery include:</w:t>
            </w:r>
          </w:p>
          <w:p w14:paraId="0EBF6058" w14:textId="77777777" w:rsidR="00F91404" w:rsidRPr="00F91404" w:rsidRDefault="00F91404" w:rsidP="00BD1985">
            <w:pPr>
              <w:numPr>
                <w:ilvl w:val="0"/>
                <w:numId w:val="5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National Development and Reform Commission (NDRC) – strategic planning and policy guidance</w:t>
            </w:r>
          </w:p>
          <w:p w14:paraId="5EDFC624" w14:textId="77777777" w:rsidR="00F91404" w:rsidRPr="00F91404" w:rsidRDefault="00F91404" w:rsidP="00BD1985">
            <w:pPr>
              <w:numPr>
                <w:ilvl w:val="0"/>
                <w:numId w:val="5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National Energy Administration (NEA) – energy system planning and project approvals</w:t>
            </w:r>
          </w:p>
          <w:p w14:paraId="49C1396E" w14:textId="77777777" w:rsidR="00F91404" w:rsidRPr="00F91404" w:rsidRDefault="00F91404" w:rsidP="00BD1985">
            <w:pPr>
              <w:numPr>
                <w:ilvl w:val="0"/>
                <w:numId w:val="5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Provincial governments – regional planning, pilot zones and permitting</w:t>
            </w:r>
          </w:p>
          <w:p w14:paraId="14C50F73" w14:textId="77777777" w:rsidR="00F91404" w:rsidRPr="00F91404" w:rsidRDefault="00F91404" w:rsidP="00BD1985">
            <w:pPr>
              <w:numPr>
                <w:ilvl w:val="0"/>
                <w:numId w:val="5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State-owned enterprises (SOEs) – major developers, investors and operators (power, oil &amp; gas, industrial groups)</w:t>
            </w:r>
          </w:p>
          <w:p w14:paraId="66EE6420" w14:textId="77777777" w:rsidR="00F91404" w:rsidRPr="00F91404" w:rsidRDefault="00F91404" w:rsidP="00BD1985">
            <w:pPr>
              <w:numPr>
                <w:ilvl w:val="0"/>
                <w:numId w:val="5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State policy banks and provincial financing vehicles – CAPEX and project financing</w:t>
            </w:r>
          </w:p>
          <w:p w14:paraId="6284060D" w14:textId="77777777" w:rsidR="00F91404" w:rsidRPr="00F91404" w:rsidRDefault="00F91404" w:rsidP="00BD1985">
            <w:pPr>
              <w:numPr>
                <w:ilvl w:val="0"/>
                <w:numId w:val="5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Research institutes and domestic electrolyser manufacturers</w:t>
            </w:r>
          </w:p>
          <w:p w14:paraId="7DE9062C"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Coordination is executed through a mix of central directives and provincial implementation led by SOEs.</w:t>
            </w:r>
          </w:p>
          <w:p w14:paraId="6F9EC3F0" w14:textId="77777777" w:rsidR="00F91404" w:rsidRPr="00F91404" w:rsidRDefault="00F91404" w:rsidP="00BD1985">
            <w:pPr>
              <w:spacing w:after="0"/>
              <w:rPr>
                <w:rFonts w:eastAsia="Times New Roman" w:cstheme="minorHAnsi"/>
                <w:sz w:val="18"/>
                <w:szCs w:val="18"/>
                <w:lang w:eastAsia="es-MX"/>
              </w:rPr>
            </w:pPr>
          </w:p>
        </w:tc>
        <w:tc>
          <w:tcPr>
            <w:tcW w:w="75" w:type="pct"/>
            <w:vAlign w:val="center"/>
          </w:tcPr>
          <w:p w14:paraId="38CFB511" w14:textId="77777777" w:rsidR="00F91404" w:rsidRPr="00F91404" w:rsidRDefault="00F91404" w:rsidP="00BD1985">
            <w:pPr>
              <w:spacing w:after="0"/>
              <w:rPr>
                <w:rFonts w:eastAsia="Times New Roman" w:cstheme="minorHAnsi"/>
                <w:sz w:val="20"/>
                <w:szCs w:val="20"/>
                <w:lang w:eastAsia="es-MX"/>
              </w:rPr>
            </w:pPr>
          </w:p>
        </w:tc>
      </w:tr>
      <w:tr w:rsidR="00F91404" w:rsidRPr="00F91404" w14:paraId="3F75FFD2" w14:textId="77777777" w:rsidTr="00BD1985">
        <w:trPr>
          <w:trHeight w:val="419"/>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4047E38"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b/>
                <w:color w:val="FFFFFF"/>
                <w:sz w:val="18"/>
                <w:szCs w:val="18"/>
                <w:lang w:eastAsia="es-MX"/>
              </w:rPr>
              <w:t>Impact on project development:</w:t>
            </w:r>
          </w:p>
        </w:tc>
        <w:tc>
          <w:tcPr>
            <w:tcW w:w="75" w:type="pct"/>
            <w:vAlign w:val="center"/>
          </w:tcPr>
          <w:p w14:paraId="2B6AE8E9" w14:textId="77777777" w:rsidR="00F91404" w:rsidRPr="00F91404" w:rsidRDefault="00F91404" w:rsidP="00BD1985">
            <w:pPr>
              <w:spacing w:after="0"/>
              <w:rPr>
                <w:rFonts w:eastAsia="Times New Roman" w:cstheme="minorHAnsi"/>
                <w:sz w:val="20"/>
                <w:szCs w:val="20"/>
                <w:lang w:eastAsia="es-MX"/>
              </w:rPr>
            </w:pPr>
          </w:p>
        </w:tc>
      </w:tr>
      <w:tr w:rsidR="00F91404" w:rsidRPr="00F91404" w14:paraId="09232F86" w14:textId="77777777" w:rsidTr="00BD1985">
        <w:trPr>
          <w:trHeight w:val="2217"/>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2CE3F894" w14:textId="77777777" w:rsidR="00F91404" w:rsidRPr="00F91404" w:rsidRDefault="00F91404" w:rsidP="00BD1985">
            <w:pPr>
              <w:pStyle w:val="ListParagraph"/>
              <w:numPr>
                <w:ilvl w:val="0"/>
                <w:numId w:val="36"/>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State-led planning and SOE investment</w:t>
            </w:r>
            <w:r w:rsidRPr="00F91404">
              <w:rPr>
                <w:rFonts w:eastAsia="Times New Roman" w:cstheme="minorHAnsi"/>
                <w:sz w:val="18"/>
                <w:szCs w:val="18"/>
                <w:lang w:eastAsia="es-MX"/>
              </w:rPr>
              <w:t xml:space="preserve"> have enabled rapid deployment beyond pilot scale</w:t>
            </w:r>
          </w:p>
          <w:p w14:paraId="40C3FEB6" w14:textId="77777777" w:rsidR="00F91404" w:rsidRPr="00F91404" w:rsidRDefault="00F91404" w:rsidP="00BD1985">
            <w:pPr>
              <w:pStyle w:val="ListParagraph"/>
              <w:numPr>
                <w:ilvl w:val="0"/>
                <w:numId w:val="36"/>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Administrative CAPEX support</w:t>
            </w:r>
            <w:r w:rsidRPr="00F91404">
              <w:rPr>
                <w:rFonts w:eastAsia="Times New Roman" w:cstheme="minorHAnsi"/>
                <w:sz w:val="18"/>
                <w:szCs w:val="18"/>
                <w:lang w:eastAsia="es-MX"/>
              </w:rPr>
              <w:t xml:space="preserve"> has reduced upfront investment risk without relying on market contracts</w:t>
            </w:r>
          </w:p>
          <w:p w14:paraId="3A0F67C1" w14:textId="77777777" w:rsidR="00F91404" w:rsidRPr="00F91404" w:rsidRDefault="00F91404" w:rsidP="00BD1985">
            <w:pPr>
              <w:pStyle w:val="ListParagraph"/>
              <w:numPr>
                <w:ilvl w:val="0"/>
                <w:numId w:val="36"/>
              </w:numPr>
              <w:spacing w:before="240" w:after="140" w:line="276" w:lineRule="auto"/>
              <w:rPr>
                <w:rFonts w:eastAsia="Times New Roman" w:cstheme="minorHAnsi"/>
                <w:sz w:val="18"/>
                <w:szCs w:val="18"/>
                <w:lang w:eastAsia="es-MX"/>
              </w:rPr>
            </w:pPr>
            <w:proofErr w:type="gramStart"/>
            <w:r w:rsidRPr="00F91404">
              <w:rPr>
                <w:rFonts w:eastAsia="Times New Roman" w:cstheme="minorHAnsi"/>
                <w:b/>
                <w:sz w:val="18"/>
                <w:szCs w:val="18"/>
                <w:lang w:eastAsia="es-MX"/>
              </w:rPr>
              <w:t>Industrial park</w:t>
            </w:r>
            <w:proofErr w:type="gramEnd"/>
            <w:r w:rsidRPr="00F91404">
              <w:rPr>
                <w:rFonts w:eastAsia="Times New Roman" w:cstheme="minorHAnsi"/>
                <w:b/>
                <w:sz w:val="18"/>
                <w:szCs w:val="18"/>
                <w:lang w:eastAsia="es-MX"/>
              </w:rPr>
              <w:t xml:space="preserve"> integration</w:t>
            </w:r>
            <w:r w:rsidRPr="00F91404">
              <w:rPr>
                <w:rFonts w:eastAsia="Times New Roman" w:cstheme="minorHAnsi"/>
                <w:sz w:val="18"/>
                <w:szCs w:val="18"/>
                <w:lang w:eastAsia="es-MX"/>
              </w:rPr>
              <w:t xml:space="preserve"> has facilitated scale and learning effects in heavy industry</w:t>
            </w:r>
          </w:p>
          <w:p w14:paraId="7C0C3692" w14:textId="77777777" w:rsidR="00F91404" w:rsidRPr="00F91404" w:rsidRDefault="00F91404" w:rsidP="00BD1985">
            <w:pPr>
              <w:pStyle w:val="ListParagraph"/>
              <w:numPr>
                <w:ilvl w:val="0"/>
                <w:numId w:val="36"/>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 xml:space="preserve">Absence of market-based revenue mechanisms limits </w:t>
            </w:r>
            <w:r w:rsidRPr="00F91404">
              <w:rPr>
                <w:rFonts w:eastAsia="Times New Roman" w:cstheme="minorHAnsi"/>
                <w:b/>
                <w:sz w:val="18"/>
                <w:szCs w:val="18"/>
                <w:lang w:eastAsia="es-MX"/>
              </w:rPr>
              <w:t>bankability and private project finance</w:t>
            </w:r>
          </w:p>
          <w:p w14:paraId="7B96689C"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sz w:val="18"/>
                <w:szCs w:val="18"/>
                <w:lang w:eastAsia="es-MX"/>
              </w:rPr>
              <w:t xml:space="preserve">Outcomes reflect an </w:t>
            </w:r>
            <w:r w:rsidRPr="00F91404">
              <w:rPr>
                <w:rFonts w:eastAsia="Times New Roman" w:cstheme="minorHAnsi"/>
                <w:b/>
                <w:sz w:val="18"/>
                <w:szCs w:val="18"/>
                <w:lang w:eastAsia="es-MX"/>
              </w:rPr>
              <w:t>industrial scaling model</w:t>
            </w:r>
            <w:r w:rsidRPr="00F91404">
              <w:rPr>
                <w:rFonts w:eastAsia="Times New Roman" w:cstheme="minorHAnsi"/>
                <w:sz w:val="18"/>
                <w:szCs w:val="18"/>
                <w:lang w:eastAsia="es-MX"/>
              </w:rPr>
              <w:t>, rather than a market-driven hydrogen ecosystem</w:t>
            </w:r>
          </w:p>
        </w:tc>
        <w:tc>
          <w:tcPr>
            <w:tcW w:w="75" w:type="pct"/>
            <w:vAlign w:val="center"/>
          </w:tcPr>
          <w:p w14:paraId="54382653" w14:textId="77777777" w:rsidR="00F91404" w:rsidRPr="00F91404" w:rsidRDefault="00F91404" w:rsidP="00BD1985">
            <w:pPr>
              <w:spacing w:after="0"/>
              <w:rPr>
                <w:rFonts w:eastAsia="Times New Roman" w:cstheme="minorHAnsi"/>
                <w:sz w:val="20"/>
                <w:szCs w:val="20"/>
                <w:lang w:eastAsia="es-MX"/>
              </w:rPr>
            </w:pPr>
          </w:p>
        </w:tc>
      </w:tr>
      <w:tr w:rsidR="00F91404" w:rsidRPr="00F91404" w14:paraId="288F833B" w14:textId="77777777" w:rsidTr="00BD1985">
        <w:trPr>
          <w:trHeight w:val="400"/>
          <w:jc w:val="center"/>
        </w:trPr>
        <w:tc>
          <w:tcPr>
            <w:tcW w:w="4925"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5E2D457"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c>
          <w:tcPr>
            <w:tcW w:w="75" w:type="pct"/>
            <w:vAlign w:val="center"/>
            <w:hideMark/>
          </w:tcPr>
          <w:p w14:paraId="09F8CAFA" w14:textId="77777777" w:rsidR="00F91404" w:rsidRPr="00F91404" w:rsidRDefault="00F91404" w:rsidP="00BD1985">
            <w:pPr>
              <w:spacing w:after="0"/>
              <w:rPr>
                <w:rFonts w:eastAsia="Times New Roman" w:cstheme="minorHAnsi"/>
                <w:sz w:val="20"/>
                <w:szCs w:val="20"/>
                <w:lang w:eastAsia="es-MX"/>
              </w:rPr>
            </w:pPr>
          </w:p>
        </w:tc>
      </w:tr>
      <w:tr w:rsidR="00F91404" w:rsidRPr="00F91404" w14:paraId="519967F2" w14:textId="77777777" w:rsidTr="00BD1985">
        <w:trPr>
          <w:trHeight w:val="1220"/>
          <w:jc w:val="center"/>
        </w:trPr>
        <w:tc>
          <w:tcPr>
            <w:tcW w:w="4925" w:type="pct"/>
            <w:gridSpan w:val="8"/>
            <w:vMerge w:val="restart"/>
            <w:tcBorders>
              <w:top w:val="single" w:sz="12" w:space="0" w:color="808080"/>
              <w:left w:val="single" w:sz="12" w:space="0" w:color="808080"/>
              <w:bottom w:val="single" w:sz="12" w:space="0" w:color="808080"/>
              <w:right w:val="single" w:sz="12" w:space="0" w:color="808080"/>
            </w:tcBorders>
            <w:vAlign w:val="center"/>
          </w:tcPr>
          <w:p w14:paraId="24AA40EE" w14:textId="77777777" w:rsidR="00F91404" w:rsidRPr="00F91404" w:rsidRDefault="00F91404" w:rsidP="00BD1985">
            <w:pPr>
              <w:pStyle w:val="ListParagraph"/>
              <w:numPr>
                <w:ilvl w:val="0"/>
                <w:numId w:val="54"/>
              </w:numPr>
              <w:spacing w:before="240" w:after="140" w:line="276" w:lineRule="auto"/>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National Development and Reform Commission (NDRC) – Hydrogen policy and national planning guidance:</w:t>
            </w:r>
            <w:r w:rsidRPr="00F91404">
              <w:rPr>
                <w:rFonts w:eastAsia="Times New Roman" w:cstheme="minorHAnsi"/>
                <w:b/>
                <w:color w:val="000000"/>
                <w:sz w:val="18"/>
                <w:szCs w:val="18"/>
                <w:lang w:eastAsia="es-MX"/>
              </w:rPr>
              <w:br/>
            </w:r>
            <w:hyperlink r:id="rId48" w:history="1">
              <w:r w:rsidRPr="00F91404">
                <w:rPr>
                  <w:rStyle w:val="Hyperlink"/>
                  <w:rFonts w:eastAsia="Times New Roman" w:cstheme="minorHAnsi"/>
                  <w:b/>
                  <w:szCs w:val="18"/>
                  <w:lang w:eastAsia="es-MX"/>
                </w:rPr>
                <w:t>http://www.ndrc.gov.cn</w:t>
              </w:r>
            </w:hyperlink>
            <w:r w:rsidRPr="00F91404">
              <w:rPr>
                <w:rFonts w:eastAsia="Times New Roman" w:cstheme="minorHAnsi"/>
                <w:b/>
                <w:color w:val="000000"/>
                <w:sz w:val="18"/>
                <w:szCs w:val="18"/>
                <w:lang w:eastAsia="es-MX"/>
              </w:rPr>
              <w:t xml:space="preserve"> </w:t>
            </w:r>
          </w:p>
          <w:p w14:paraId="3289C3C7" w14:textId="77777777" w:rsidR="00F91404" w:rsidRPr="00F91404" w:rsidRDefault="00F91404" w:rsidP="00BD1985">
            <w:pPr>
              <w:pStyle w:val="ListParagraph"/>
              <w:numPr>
                <w:ilvl w:val="0"/>
                <w:numId w:val="54"/>
              </w:numPr>
              <w:spacing w:before="240" w:after="140" w:line="276" w:lineRule="auto"/>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National Energy Administration (NEA) – Energy system planning and hydrogen-related implementation:</w:t>
            </w:r>
            <w:r w:rsidRPr="00F91404">
              <w:rPr>
                <w:rFonts w:eastAsia="Times New Roman" w:cstheme="minorHAnsi"/>
                <w:b/>
                <w:color w:val="000000"/>
                <w:sz w:val="18"/>
                <w:szCs w:val="18"/>
                <w:lang w:eastAsia="es-MX"/>
              </w:rPr>
              <w:br/>
            </w:r>
            <w:hyperlink r:id="rId49" w:history="1">
              <w:r w:rsidRPr="00F91404">
                <w:rPr>
                  <w:rStyle w:val="Hyperlink"/>
                  <w:rFonts w:eastAsia="Times New Roman" w:cstheme="minorHAnsi"/>
                  <w:b/>
                  <w:szCs w:val="18"/>
                  <w:lang w:eastAsia="es-MX"/>
                </w:rPr>
                <w:t>http://www.nea.gov.cn</w:t>
              </w:r>
            </w:hyperlink>
            <w:r w:rsidRPr="00F91404">
              <w:rPr>
                <w:rFonts w:eastAsia="Times New Roman" w:cstheme="minorHAnsi"/>
                <w:b/>
                <w:color w:val="000000"/>
                <w:sz w:val="18"/>
                <w:szCs w:val="18"/>
                <w:lang w:eastAsia="es-MX"/>
              </w:rPr>
              <w:t xml:space="preserve"> </w:t>
            </w:r>
          </w:p>
          <w:p w14:paraId="6A28708C" w14:textId="77777777" w:rsidR="00F91404" w:rsidRPr="00F91404" w:rsidRDefault="00F91404" w:rsidP="00BD1985">
            <w:pPr>
              <w:pStyle w:val="ListParagraph"/>
              <w:numPr>
                <w:ilvl w:val="0"/>
                <w:numId w:val="54"/>
              </w:numPr>
              <w:spacing w:before="240" w:after="140" w:line="276" w:lineRule="auto"/>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Ministry of Industry and Information Technology (MIIT) – Industrial policy and hydrogen manufacturing development:</w:t>
            </w:r>
            <w:r w:rsidRPr="00F91404">
              <w:rPr>
                <w:rFonts w:eastAsia="Times New Roman" w:cstheme="minorHAnsi"/>
                <w:b/>
                <w:color w:val="000000"/>
                <w:sz w:val="18"/>
                <w:szCs w:val="18"/>
                <w:lang w:eastAsia="es-MX"/>
              </w:rPr>
              <w:br/>
            </w:r>
            <w:hyperlink r:id="rId50" w:history="1">
              <w:r w:rsidRPr="00F91404">
                <w:rPr>
                  <w:rStyle w:val="Hyperlink"/>
                  <w:rFonts w:eastAsia="Times New Roman" w:cstheme="minorHAnsi"/>
                  <w:b/>
                  <w:szCs w:val="18"/>
                  <w:lang w:eastAsia="es-MX"/>
                </w:rPr>
                <w:t>http://www.miit.gov.cn</w:t>
              </w:r>
            </w:hyperlink>
            <w:r w:rsidRPr="00F91404">
              <w:rPr>
                <w:rFonts w:eastAsia="Times New Roman" w:cstheme="minorHAnsi"/>
                <w:b/>
                <w:color w:val="000000"/>
                <w:sz w:val="18"/>
                <w:szCs w:val="18"/>
                <w:lang w:eastAsia="es-MX"/>
              </w:rPr>
              <w:t xml:space="preserve"> </w:t>
            </w:r>
          </w:p>
          <w:p w14:paraId="2C72A119" w14:textId="77777777" w:rsidR="00F91404" w:rsidRPr="00F91404" w:rsidRDefault="00F91404" w:rsidP="00BD1985">
            <w:pPr>
              <w:pStyle w:val="ListParagraph"/>
              <w:numPr>
                <w:ilvl w:val="0"/>
                <w:numId w:val="54"/>
              </w:numPr>
              <w:spacing w:before="240" w:after="140" w:line="276" w:lineRule="auto"/>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China Hydrogen Alliance (industry platform supported by NDRC and SOEs):</w:t>
            </w:r>
            <w:r w:rsidRPr="00F91404">
              <w:rPr>
                <w:rFonts w:eastAsia="Times New Roman" w:cstheme="minorHAnsi"/>
                <w:b/>
                <w:color w:val="000000"/>
                <w:sz w:val="18"/>
                <w:szCs w:val="18"/>
                <w:lang w:eastAsia="es-MX"/>
              </w:rPr>
              <w:br/>
            </w:r>
            <w:hyperlink r:id="rId51" w:history="1">
              <w:r w:rsidRPr="00F91404">
                <w:rPr>
                  <w:rStyle w:val="Hyperlink"/>
                  <w:rFonts w:eastAsia="Times New Roman" w:cstheme="minorHAnsi"/>
                  <w:b/>
                  <w:szCs w:val="18"/>
                  <w:lang w:eastAsia="es-MX"/>
                </w:rPr>
                <w:t>http://www.chinah2.org</w:t>
              </w:r>
            </w:hyperlink>
            <w:r w:rsidRPr="00F91404">
              <w:rPr>
                <w:rFonts w:eastAsia="Times New Roman" w:cstheme="minorHAnsi"/>
                <w:b/>
                <w:color w:val="000000"/>
                <w:sz w:val="18"/>
                <w:szCs w:val="18"/>
                <w:lang w:eastAsia="es-MX"/>
              </w:rPr>
              <w:t xml:space="preserve"> </w:t>
            </w:r>
          </w:p>
          <w:p w14:paraId="449B07AF" w14:textId="77777777" w:rsidR="00F91404" w:rsidRPr="00F91404" w:rsidRDefault="00F91404" w:rsidP="00BD1985">
            <w:pPr>
              <w:spacing w:before="240" w:after="140" w:line="276" w:lineRule="auto"/>
              <w:rPr>
                <w:rFonts w:eastAsia="Times New Roman" w:cstheme="minorHAnsi"/>
                <w:b/>
                <w:color w:val="000000"/>
                <w:sz w:val="18"/>
                <w:szCs w:val="18"/>
                <w:lang w:eastAsia="es-MX"/>
              </w:rPr>
            </w:pPr>
          </w:p>
        </w:tc>
        <w:tc>
          <w:tcPr>
            <w:tcW w:w="75" w:type="pct"/>
            <w:vAlign w:val="center"/>
            <w:hideMark/>
          </w:tcPr>
          <w:p w14:paraId="0A82A8FB" w14:textId="77777777" w:rsidR="00F91404" w:rsidRPr="00F91404" w:rsidRDefault="00F91404" w:rsidP="00BD1985">
            <w:pPr>
              <w:spacing w:after="0"/>
              <w:rPr>
                <w:rFonts w:eastAsia="Times New Roman" w:cstheme="minorHAnsi"/>
                <w:sz w:val="20"/>
                <w:szCs w:val="20"/>
                <w:lang w:eastAsia="es-MX"/>
              </w:rPr>
            </w:pPr>
          </w:p>
        </w:tc>
      </w:tr>
      <w:tr w:rsidR="00F91404" w:rsidRPr="00F91404" w14:paraId="5B8AE844" w14:textId="77777777" w:rsidTr="00BD1985">
        <w:trPr>
          <w:trHeight w:val="920"/>
          <w:jc w:val="center"/>
        </w:trPr>
        <w:tc>
          <w:tcPr>
            <w:tcW w:w="4925" w:type="pct"/>
            <w:gridSpan w:val="8"/>
            <w:vMerge/>
            <w:tcBorders>
              <w:top w:val="single" w:sz="12" w:space="0" w:color="808080"/>
              <w:left w:val="single" w:sz="12" w:space="0" w:color="808080"/>
              <w:bottom w:val="single" w:sz="12" w:space="0" w:color="808080"/>
              <w:right w:val="single" w:sz="12" w:space="0" w:color="808080"/>
            </w:tcBorders>
            <w:vAlign w:val="center"/>
          </w:tcPr>
          <w:p w14:paraId="053582B0" w14:textId="77777777" w:rsidR="00F91404" w:rsidRPr="00F91404" w:rsidRDefault="00F91404" w:rsidP="00BD1985">
            <w:pPr>
              <w:spacing w:after="0"/>
              <w:rPr>
                <w:rFonts w:eastAsia="Times New Roman" w:cstheme="minorHAnsi"/>
                <w:b/>
                <w:bCs/>
                <w:color w:val="000000"/>
                <w:sz w:val="20"/>
                <w:szCs w:val="20"/>
                <w:lang w:eastAsia="es-MX"/>
              </w:rPr>
            </w:pPr>
          </w:p>
        </w:tc>
        <w:tc>
          <w:tcPr>
            <w:tcW w:w="75" w:type="pct"/>
            <w:tcBorders>
              <w:top w:val="nil"/>
              <w:left w:val="nil"/>
              <w:bottom w:val="nil"/>
              <w:right w:val="nil"/>
            </w:tcBorders>
            <w:noWrap/>
            <w:vAlign w:val="bottom"/>
            <w:hideMark/>
          </w:tcPr>
          <w:p w14:paraId="70E35042" w14:textId="77777777" w:rsidR="00F91404" w:rsidRPr="00F91404" w:rsidRDefault="00F91404" w:rsidP="00BD1985">
            <w:pPr>
              <w:spacing w:after="0"/>
              <w:jc w:val="center"/>
              <w:rPr>
                <w:rFonts w:eastAsia="Times New Roman" w:cstheme="minorHAnsi"/>
                <w:b/>
                <w:bCs/>
                <w:color w:val="000000"/>
                <w:sz w:val="20"/>
                <w:szCs w:val="20"/>
                <w:lang w:eastAsia="es-MX"/>
              </w:rPr>
            </w:pPr>
          </w:p>
        </w:tc>
      </w:tr>
    </w:tbl>
    <w:p w14:paraId="7AFD4EF1" w14:textId="77777777" w:rsidR="00F91404" w:rsidRPr="00F91404" w:rsidRDefault="00F91404" w:rsidP="00F91404">
      <w:pPr>
        <w:rPr>
          <w:rFonts w:cstheme="minorHAnsi"/>
          <w:sz w:val="20"/>
          <w:szCs w:val="20"/>
        </w:rPr>
      </w:pPr>
    </w:p>
    <w:p w14:paraId="62CA7660" w14:textId="77777777" w:rsidR="00F91404" w:rsidRPr="006A7AFC" w:rsidRDefault="00F91404" w:rsidP="00F91404">
      <w:pPr>
        <w:spacing w:after="0"/>
        <w:rPr>
          <w:b/>
          <w:bCs/>
          <w:i/>
          <w:iCs/>
          <w:sz w:val="14"/>
          <w:szCs w:val="14"/>
        </w:rPr>
      </w:pPr>
      <w:r w:rsidRPr="006A7AFC">
        <w:rPr>
          <w:b/>
          <w:bCs/>
          <w:i/>
          <w:iCs/>
          <w:sz w:val="16"/>
          <w:szCs w:val="16"/>
        </w:rPr>
        <w:t>Sources</w:t>
      </w:r>
      <w:r w:rsidRPr="00F91404">
        <w:rPr>
          <w:b/>
          <w:bCs/>
          <w:i/>
          <w:iCs/>
          <w:sz w:val="16"/>
          <w:szCs w:val="16"/>
        </w:rPr>
        <w:t>:</w:t>
      </w:r>
    </w:p>
    <w:p w14:paraId="0C2C2069" w14:textId="77777777" w:rsidR="00F91404" w:rsidRPr="006A7AFC" w:rsidRDefault="00F91404" w:rsidP="00F91404">
      <w:pPr>
        <w:spacing w:after="0"/>
        <w:rPr>
          <w:i/>
          <w:iCs/>
          <w:sz w:val="14"/>
          <w:szCs w:val="14"/>
        </w:rPr>
      </w:pPr>
      <w:r w:rsidRPr="006A7AFC">
        <w:rPr>
          <w:b/>
          <w:bCs/>
          <w:i/>
          <w:iCs/>
          <w:sz w:val="14"/>
          <w:szCs w:val="14"/>
        </w:rPr>
        <w:t>Strategy, roadmap and governance framework</w:t>
      </w:r>
    </w:p>
    <w:p w14:paraId="13E42654" w14:textId="77777777" w:rsidR="00F91404" w:rsidRPr="006A7AFC" w:rsidRDefault="00F91404" w:rsidP="00F91404">
      <w:pPr>
        <w:numPr>
          <w:ilvl w:val="0"/>
          <w:numId w:val="124"/>
        </w:numPr>
        <w:spacing w:after="0"/>
        <w:rPr>
          <w:i/>
          <w:iCs/>
          <w:sz w:val="14"/>
          <w:szCs w:val="14"/>
        </w:rPr>
      </w:pPr>
      <w:r w:rsidRPr="006A7AFC">
        <w:rPr>
          <w:i/>
          <w:iCs/>
          <w:sz w:val="14"/>
          <w:szCs w:val="14"/>
        </w:rPr>
        <w:t>National Development and Reform Commission (NDRC) (2022), Medium and Long-Term Plan for the Development of the Hydrogen Energy Industry (2021–2035).</w:t>
      </w:r>
    </w:p>
    <w:p w14:paraId="329F1140" w14:textId="77777777" w:rsidR="00F91404" w:rsidRPr="006A7AFC" w:rsidRDefault="00F91404" w:rsidP="00F91404">
      <w:pPr>
        <w:numPr>
          <w:ilvl w:val="0"/>
          <w:numId w:val="124"/>
        </w:numPr>
        <w:spacing w:after="0"/>
        <w:rPr>
          <w:i/>
          <w:iCs/>
          <w:sz w:val="14"/>
          <w:szCs w:val="14"/>
        </w:rPr>
      </w:pPr>
      <w:r w:rsidRPr="006A7AFC">
        <w:rPr>
          <w:i/>
          <w:iCs/>
          <w:sz w:val="14"/>
          <w:szCs w:val="14"/>
        </w:rPr>
        <w:t>National Energy Administration (NEA), Hydrogen and Renewable Energy Policy Updates.</w:t>
      </w:r>
    </w:p>
    <w:p w14:paraId="1B658896" w14:textId="77777777" w:rsidR="00F91404" w:rsidRPr="006A7AFC" w:rsidRDefault="00F91404" w:rsidP="00F91404">
      <w:pPr>
        <w:numPr>
          <w:ilvl w:val="0"/>
          <w:numId w:val="124"/>
        </w:numPr>
        <w:spacing w:after="0"/>
        <w:rPr>
          <w:i/>
          <w:iCs/>
          <w:sz w:val="14"/>
          <w:szCs w:val="14"/>
        </w:rPr>
      </w:pPr>
      <w:r w:rsidRPr="006A7AFC">
        <w:rPr>
          <w:i/>
          <w:iCs/>
          <w:sz w:val="14"/>
          <w:szCs w:val="14"/>
        </w:rPr>
        <w:t>Provincial Hydrogen Development Plans (e.g., Guangdong, Hebei, Inner Mongolia).</w:t>
      </w:r>
    </w:p>
    <w:p w14:paraId="2135AF25" w14:textId="77777777" w:rsidR="00F91404" w:rsidRPr="006A7AFC" w:rsidRDefault="00F91404" w:rsidP="00F91404">
      <w:pPr>
        <w:spacing w:after="0"/>
        <w:rPr>
          <w:i/>
          <w:iCs/>
          <w:sz w:val="14"/>
          <w:szCs w:val="14"/>
        </w:rPr>
      </w:pPr>
      <w:r w:rsidRPr="006A7AFC">
        <w:rPr>
          <w:b/>
          <w:bCs/>
          <w:i/>
          <w:iCs/>
          <w:sz w:val="14"/>
          <w:szCs w:val="14"/>
        </w:rPr>
        <w:t>Market and revenue support mechanisms</w:t>
      </w:r>
    </w:p>
    <w:p w14:paraId="238CF150" w14:textId="77777777" w:rsidR="00F91404" w:rsidRPr="006A7AFC" w:rsidRDefault="00F91404" w:rsidP="00F91404">
      <w:pPr>
        <w:numPr>
          <w:ilvl w:val="0"/>
          <w:numId w:val="125"/>
        </w:numPr>
        <w:spacing w:after="0"/>
        <w:rPr>
          <w:i/>
          <w:iCs/>
          <w:sz w:val="14"/>
          <w:szCs w:val="14"/>
        </w:rPr>
      </w:pPr>
      <w:r w:rsidRPr="006A7AFC">
        <w:rPr>
          <w:i/>
          <w:iCs/>
          <w:sz w:val="14"/>
          <w:szCs w:val="14"/>
        </w:rPr>
        <w:t>NDRC and provincial government planning documents outlining hydrogen deployment targets.</w:t>
      </w:r>
    </w:p>
    <w:p w14:paraId="71125FDA" w14:textId="77777777" w:rsidR="00F91404" w:rsidRPr="006A7AFC" w:rsidRDefault="00F91404" w:rsidP="00F91404">
      <w:pPr>
        <w:numPr>
          <w:ilvl w:val="0"/>
          <w:numId w:val="125"/>
        </w:numPr>
        <w:spacing w:after="0"/>
        <w:rPr>
          <w:i/>
          <w:iCs/>
          <w:sz w:val="14"/>
          <w:szCs w:val="14"/>
        </w:rPr>
      </w:pPr>
      <w:r w:rsidRPr="006A7AFC">
        <w:rPr>
          <w:i/>
          <w:iCs/>
          <w:sz w:val="14"/>
          <w:szCs w:val="14"/>
        </w:rPr>
        <w:t>Government policy releases on industrial integration of hydrogen in steel, chemicals and refining.</w:t>
      </w:r>
    </w:p>
    <w:p w14:paraId="68F42D92" w14:textId="77777777" w:rsidR="00F91404" w:rsidRPr="006A7AFC" w:rsidRDefault="00F91404" w:rsidP="00F91404">
      <w:pPr>
        <w:numPr>
          <w:ilvl w:val="0"/>
          <w:numId w:val="125"/>
        </w:numPr>
        <w:spacing w:after="0"/>
        <w:rPr>
          <w:i/>
          <w:iCs/>
          <w:sz w:val="14"/>
          <w:szCs w:val="14"/>
        </w:rPr>
      </w:pPr>
      <w:r w:rsidRPr="006A7AFC">
        <w:rPr>
          <w:i/>
          <w:iCs/>
          <w:sz w:val="14"/>
          <w:szCs w:val="14"/>
        </w:rPr>
        <w:t>Administrative guidance documents shaping SOE investment in hydrogen projects.</w:t>
      </w:r>
    </w:p>
    <w:p w14:paraId="7A853225" w14:textId="77777777" w:rsidR="00F91404" w:rsidRPr="006A7AFC" w:rsidRDefault="00F91404" w:rsidP="00F91404">
      <w:pPr>
        <w:spacing w:after="0"/>
        <w:rPr>
          <w:i/>
          <w:iCs/>
          <w:sz w:val="14"/>
          <w:szCs w:val="14"/>
        </w:rPr>
      </w:pPr>
      <w:r w:rsidRPr="006A7AFC">
        <w:rPr>
          <w:b/>
          <w:bCs/>
          <w:i/>
          <w:iCs/>
          <w:sz w:val="14"/>
          <w:szCs w:val="14"/>
        </w:rPr>
        <w:t>Direct public funding and financing mechanisms</w:t>
      </w:r>
    </w:p>
    <w:p w14:paraId="62E1BC29" w14:textId="77777777" w:rsidR="00F91404" w:rsidRPr="006A7AFC" w:rsidRDefault="00F91404" w:rsidP="00F91404">
      <w:pPr>
        <w:numPr>
          <w:ilvl w:val="0"/>
          <w:numId w:val="126"/>
        </w:numPr>
        <w:spacing w:after="0"/>
        <w:rPr>
          <w:i/>
          <w:iCs/>
          <w:sz w:val="14"/>
          <w:szCs w:val="14"/>
        </w:rPr>
      </w:pPr>
      <w:r w:rsidRPr="006A7AFC">
        <w:rPr>
          <w:i/>
          <w:iCs/>
          <w:sz w:val="14"/>
          <w:szCs w:val="14"/>
        </w:rPr>
        <w:t>China Development Bank (CDB), Green and Industrial Financing Programmes (as applicable to hydrogen projects).</w:t>
      </w:r>
    </w:p>
    <w:p w14:paraId="08FC6184" w14:textId="77777777" w:rsidR="00F91404" w:rsidRPr="006A7AFC" w:rsidRDefault="00F91404" w:rsidP="00F91404">
      <w:pPr>
        <w:numPr>
          <w:ilvl w:val="0"/>
          <w:numId w:val="126"/>
        </w:numPr>
        <w:spacing w:after="0"/>
        <w:rPr>
          <w:i/>
          <w:iCs/>
          <w:sz w:val="14"/>
          <w:szCs w:val="14"/>
        </w:rPr>
      </w:pPr>
      <w:r w:rsidRPr="006A7AFC">
        <w:rPr>
          <w:i/>
          <w:iCs/>
          <w:sz w:val="14"/>
          <w:szCs w:val="14"/>
        </w:rPr>
        <w:t>Provincial government funding programmes for hydrogen industrial parks and demonstration zones.</w:t>
      </w:r>
    </w:p>
    <w:p w14:paraId="5535B8A7" w14:textId="77777777" w:rsidR="00F91404" w:rsidRPr="006A7AFC" w:rsidRDefault="00F91404" w:rsidP="00F91404">
      <w:pPr>
        <w:numPr>
          <w:ilvl w:val="0"/>
          <w:numId w:val="126"/>
        </w:numPr>
        <w:spacing w:after="0"/>
        <w:rPr>
          <w:i/>
          <w:iCs/>
          <w:sz w:val="14"/>
          <w:szCs w:val="14"/>
        </w:rPr>
      </w:pPr>
      <w:r w:rsidRPr="006A7AFC">
        <w:rPr>
          <w:i/>
          <w:iCs/>
          <w:sz w:val="14"/>
          <w:szCs w:val="14"/>
        </w:rPr>
        <w:t>SOE investment announcements and balance-sheet financing disclosures.</w:t>
      </w:r>
    </w:p>
    <w:p w14:paraId="08F9C540" w14:textId="77777777" w:rsidR="00F91404" w:rsidRPr="006A7AFC" w:rsidRDefault="00F91404" w:rsidP="00F91404">
      <w:pPr>
        <w:spacing w:after="0"/>
        <w:rPr>
          <w:i/>
          <w:iCs/>
          <w:sz w:val="14"/>
          <w:szCs w:val="14"/>
        </w:rPr>
      </w:pPr>
      <w:r w:rsidRPr="006A7AFC">
        <w:rPr>
          <w:b/>
          <w:bCs/>
          <w:i/>
          <w:iCs/>
          <w:sz w:val="14"/>
          <w:szCs w:val="14"/>
        </w:rPr>
        <w:t>Standards and certification frameworks</w:t>
      </w:r>
    </w:p>
    <w:p w14:paraId="7110CEE9" w14:textId="77777777" w:rsidR="00F91404" w:rsidRPr="006A7AFC" w:rsidRDefault="00F91404" w:rsidP="00F91404">
      <w:pPr>
        <w:numPr>
          <w:ilvl w:val="0"/>
          <w:numId w:val="127"/>
        </w:numPr>
        <w:spacing w:after="0"/>
        <w:rPr>
          <w:i/>
          <w:iCs/>
          <w:sz w:val="14"/>
          <w:szCs w:val="14"/>
        </w:rPr>
      </w:pPr>
      <w:r w:rsidRPr="006A7AFC">
        <w:rPr>
          <w:i/>
          <w:iCs/>
          <w:sz w:val="14"/>
          <w:szCs w:val="14"/>
        </w:rPr>
        <w:t>Standardization Administration of China (SAC), Hydrogen-related technical and safety standards.</w:t>
      </w:r>
    </w:p>
    <w:p w14:paraId="2CDEB65C" w14:textId="77777777" w:rsidR="00F91404" w:rsidRPr="006A7AFC" w:rsidRDefault="00F91404" w:rsidP="00F91404">
      <w:pPr>
        <w:numPr>
          <w:ilvl w:val="0"/>
          <w:numId w:val="127"/>
        </w:numPr>
        <w:spacing w:after="0"/>
        <w:rPr>
          <w:i/>
          <w:iCs/>
          <w:sz w:val="14"/>
          <w:szCs w:val="14"/>
        </w:rPr>
      </w:pPr>
      <w:r w:rsidRPr="006A7AFC">
        <w:rPr>
          <w:i/>
          <w:iCs/>
          <w:sz w:val="14"/>
          <w:szCs w:val="14"/>
        </w:rPr>
        <w:t>Government publications on hydrogen safety and operational standards.</w:t>
      </w:r>
    </w:p>
    <w:p w14:paraId="7706A8AE" w14:textId="77777777" w:rsidR="00F91404" w:rsidRPr="006A7AFC" w:rsidRDefault="00F91404" w:rsidP="00F91404">
      <w:pPr>
        <w:numPr>
          <w:ilvl w:val="0"/>
          <w:numId w:val="127"/>
        </w:numPr>
        <w:spacing w:after="0"/>
        <w:rPr>
          <w:i/>
          <w:iCs/>
          <w:sz w:val="14"/>
          <w:szCs w:val="14"/>
        </w:rPr>
      </w:pPr>
      <w:r w:rsidRPr="006A7AFC">
        <w:rPr>
          <w:i/>
          <w:iCs/>
          <w:sz w:val="14"/>
          <w:szCs w:val="14"/>
        </w:rPr>
        <w:t>National technical guidelines for renewable hydrogen integration.</w:t>
      </w:r>
    </w:p>
    <w:p w14:paraId="5582236E" w14:textId="77777777" w:rsidR="00F91404" w:rsidRPr="006A7AFC" w:rsidRDefault="00F91404" w:rsidP="00F91404">
      <w:pPr>
        <w:spacing w:after="0"/>
        <w:rPr>
          <w:i/>
          <w:iCs/>
          <w:sz w:val="14"/>
          <w:szCs w:val="14"/>
        </w:rPr>
      </w:pPr>
      <w:r w:rsidRPr="006A7AFC">
        <w:rPr>
          <w:b/>
          <w:bCs/>
          <w:i/>
          <w:iCs/>
          <w:sz w:val="14"/>
          <w:szCs w:val="14"/>
        </w:rPr>
        <w:t>Infrastructure enabling policies (industrial parks and clustering)</w:t>
      </w:r>
    </w:p>
    <w:p w14:paraId="7C96157D" w14:textId="77777777" w:rsidR="00F91404" w:rsidRPr="006A7AFC" w:rsidRDefault="00F91404" w:rsidP="00F91404">
      <w:pPr>
        <w:numPr>
          <w:ilvl w:val="0"/>
          <w:numId w:val="128"/>
        </w:numPr>
        <w:spacing w:after="0"/>
        <w:rPr>
          <w:i/>
          <w:iCs/>
          <w:sz w:val="14"/>
          <w:szCs w:val="14"/>
        </w:rPr>
      </w:pPr>
      <w:r w:rsidRPr="006A7AFC">
        <w:rPr>
          <w:i/>
          <w:iCs/>
          <w:sz w:val="14"/>
          <w:szCs w:val="14"/>
        </w:rPr>
        <w:t>Provincial industrial park development plans incorporating hydrogen production and use.</w:t>
      </w:r>
    </w:p>
    <w:p w14:paraId="24C35725" w14:textId="77777777" w:rsidR="00F91404" w:rsidRPr="006A7AFC" w:rsidRDefault="00F91404" w:rsidP="00F91404">
      <w:pPr>
        <w:numPr>
          <w:ilvl w:val="0"/>
          <w:numId w:val="128"/>
        </w:numPr>
        <w:spacing w:after="0"/>
        <w:rPr>
          <w:i/>
          <w:iCs/>
          <w:sz w:val="14"/>
          <w:szCs w:val="14"/>
        </w:rPr>
      </w:pPr>
      <w:r w:rsidRPr="006A7AFC">
        <w:rPr>
          <w:i/>
          <w:iCs/>
          <w:sz w:val="14"/>
          <w:szCs w:val="14"/>
        </w:rPr>
        <w:t>Government publications on renewable-hydrogen integration in large renewable energy bases.</w:t>
      </w:r>
    </w:p>
    <w:p w14:paraId="74F2EE4B" w14:textId="77777777" w:rsidR="00F91404" w:rsidRPr="006A7AFC" w:rsidRDefault="00F91404" w:rsidP="00F91404">
      <w:pPr>
        <w:numPr>
          <w:ilvl w:val="0"/>
          <w:numId w:val="128"/>
        </w:numPr>
        <w:spacing w:after="0"/>
        <w:rPr>
          <w:i/>
          <w:iCs/>
          <w:sz w:val="14"/>
          <w:szCs w:val="14"/>
        </w:rPr>
      </w:pPr>
      <w:r w:rsidRPr="006A7AFC">
        <w:rPr>
          <w:i/>
          <w:iCs/>
          <w:sz w:val="14"/>
          <w:szCs w:val="14"/>
        </w:rPr>
        <w:t>State-owned enterprise infrastructure planning documents.</w:t>
      </w:r>
    </w:p>
    <w:p w14:paraId="26ACBADE" w14:textId="77777777" w:rsidR="00F91404" w:rsidRPr="006A7AFC" w:rsidRDefault="00F91404" w:rsidP="00F91404">
      <w:pPr>
        <w:spacing w:after="0"/>
        <w:rPr>
          <w:i/>
          <w:iCs/>
          <w:sz w:val="14"/>
          <w:szCs w:val="14"/>
        </w:rPr>
      </w:pPr>
      <w:r w:rsidRPr="006A7AFC">
        <w:rPr>
          <w:b/>
          <w:bCs/>
          <w:i/>
          <w:iCs/>
          <w:sz w:val="14"/>
          <w:szCs w:val="14"/>
        </w:rPr>
        <w:t>Production capacity / pipeline and deployment status</w:t>
      </w:r>
    </w:p>
    <w:p w14:paraId="4B89A7CC" w14:textId="77777777" w:rsidR="00F91404" w:rsidRPr="006A7AFC" w:rsidRDefault="00F91404" w:rsidP="00F91404">
      <w:pPr>
        <w:numPr>
          <w:ilvl w:val="0"/>
          <w:numId w:val="129"/>
        </w:numPr>
        <w:spacing w:after="0"/>
        <w:rPr>
          <w:i/>
          <w:iCs/>
          <w:sz w:val="14"/>
          <w:szCs w:val="14"/>
        </w:rPr>
      </w:pPr>
      <w:r w:rsidRPr="006A7AFC">
        <w:rPr>
          <w:i/>
          <w:iCs/>
          <w:sz w:val="14"/>
          <w:szCs w:val="14"/>
        </w:rPr>
        <w:t>International Energy Agency (IEA) (2023), Global Hydrogen Review 2023, Paris: IEA.</w:t>
      </w:r>
    </w:p>
    <w:p w14:paraId="7AF70C15" w14:textId="77777777" w:rsidR="00F91404" w:rsidRPr="006A7AFC" w:rsidRDefault="00F91404" w:rsidP="00F91404">
      <w:pPr>
        <w:numPr>
          <w:ilvl w:val="0"/>
          <w:numId w:val="129"/>
        </w:numPr>
        <w:spacing w:after="0"/>
        <w:rPr>
          <w:i/>
          <w:iCs/>
          <w:sz w:val="14"/>
          <w:szCs w:val="14"/>
        </w:rPr>
      </w:pPr>
      <w:r w:rsidRPr="006A7AFC">
        <w:rPr>
          <w:i/>
          <w:iCs/>
          <w:sz w:val="14"/>
          <w:szCs w:val="14"/>
        </w:rPr>
        <w:t>IEA Hydrogen Projects Database (latest available edition).</w:t>
      </w:r>
    </w:p>
    <w:p w14:paraId="72976CB3" w14:textId="77777777" w:rsidR="00F91404" w:rsidRPr="006A7AFC" w:rsidRDefault="00F91404" w:rsidP="00F91404">
      <w:pPr>
        <w:numPr>
          <w:ilvl w:val="0"/>
          <w:numId w:val="129"/>
        </w:numPr>
        <w:spacing w:after="0"/>
        <w:rPr>
          <w:i/>
          <w:iCs/>
          <w:sz w:val="14"/>
          <w:szCs w:val="14"/>
        </w:rPr>
      </w:pPr>
      <w:r w:rsidRPr="006A7AFC">
        <w:rPr>
          <w:i/>
          <w:iCs/>
          <w:sz w:val="14"/>
          <w:szCs w:val="14"/>
        </w:rPr>
        <w:t xml:space="preserve">Public announcements from Sinopec, </w:t>
      </w:r>
      <w:proofErr w:type="spellStart"/>
      <w:r w:rsidRPr="006A7AFC">
        <w:rPr>
          <w:i/>
          <w:iCs/>
          <w:sz w:val="14"/>
          <w:szCs w:val="14"/>
        </w:rPr>
        <w:t>Baowu</w:t>
      </w:r>
      <w:proofErr w:type="spellEnd"/>
      <w:r w:rsidRPr="006A7AFC">
        <w:rPr>
          <w:i/>
          <w:iCs/>
          <w:sz w:val="14"/>
          <w:szCs w:val="14"/>
        </w:rPr>
        <w:t xml:space="preserve"> Steel and other SOEs regarding hydrogen projects.</w:t>
      </w:r>
    </w:p>
    <w:p w14:paraId="3631FE99" w14:textId="77777777" w:rsidR="00F91404" w:rsidRPr="006A7AFC" w:rsidRDefault="00F91404" w:rsidP="00F91404">
      <w:pPr>
        <w:spacing w:after="0"/>
        <w:rPr>
          <w:i/>
          <w:iCs/>
          <w:sz w:val="14"/>
          <w:szCs w:val="14"/>
        </w:rPr>
      </w:pPr>
      <w:r w:rsidRPr="006A7AFC">
        <w:rPr>
          <w:b/>
          <w:bCs/>
          <w:i/>
          <w:iCs/>
          <w:sz w:val="14"/>
          <w:szCs w:val="14"/>
        </w:rPr>
        <w:t>Renewable energy context</w:t>
      </w:r>
    </w:p>
    <w:p w14:paraId="3700F8E4" w14:textId="77777777" w:rsidR="00F91404" w:rsidRPr="006A7AFC" w:rsidRDefault="00F91404" w:rsidP="00F91404">
      <w:pPr>
        <w:numPr>
          <w:ilvl w:val="0"/>
          <w:numId w:val="130"/>
        </w:numPr>
        <w:spacing w:after="0"/>
        <w:rPr>
          <w:i/>
          <w:iCs/>
          <w:sz w:val="14"/>
          <w:szCs w:val="14"/>
        </w:rPr>
      </w:pPr>
      <w:r w:rsidRPr="006A7AFC">
        <w:rPr>
          <w:i/>
          <w:iCs/>
          <w:sz w:val="14"/>
          <w:szCs w:val="14"/>
        </w:rPr>
        <w:t>National Energy Administration (NEA), Renewable Energy Development Reports.</w:t>
      </w:r>
    </w:p>
    <w:p w14:paraId="3B591D58" w14:textId="77777777" w:rsidR="00F91404" w:rsidRPr="006A7AFC" w:rsidRDefault="00F91404" w:rsidP="00F91404">
      <w:pPr>
        <w:numPr>
          <w:ilvl w:val="0"/>
          <w:numId w:val="130"/>
        </w:numPr>
        <w:spacing w:after="0"/>
        <w:rPr>
          <w:i/>
          <w:iCs/>
          <w:sz w:val="14"/>
          <w:szCs w:val="14"/>
        </w:rPr>
      </w:pPr>
      <w:r w:rsidRPr="006A7AFC">
        <w:rPr>
          <w:i/>
          <w:iCs/>
          <w:sz w:val="14"/>
          <w:szCs w:val="14"/>
        </w:rPr>
        <w:t>China Electricity Council (CEC), Annual Electricity Statistics.</w:t>
      </w:r>
    </w:p>
    <w:p w14:paraId="64C77CA1" w14:textId="77777777" w:rsidR="00F91404" w:rsidRPr="00F91404" w:rsidRDefault="00F91404" w:rsidP="00F91404">
      <w:r w:rsidRPr="00F91404">
        <w:br w:type="page"/>
      </w:r>
    </w:p>
    <w:p w14:paraId="754C77C6" w14:textId="77777777" w:rsidR="00F91404" w:rsidRPr="00F91404" w:rsidRDefault="00F91404" w:rsidP="00F91404">
      <w:pPr>
        <w:rPr>
          <w:b/>
          <w:bCs/>
          <w:i/>
          <w:sz w:val="20"/>
          <w:szCs w:val="24"/>
        </w:rPr>
      </w:pPr>
      <w:r w:rsidRPr="00F91404">
        <w:rPr>
          <w:b/>
          <w:bCs/>
          <w:color w:val="004C43" w:themeColor="accent1"/>
          <w:sz w:val="24"/>
          <w:szCs w:val="32"/>
        </w:rPr>
        <w:lastRenderedPageBreak/>
        <w:t>Colombia</w:t>
      </w:r>
    </w:p>
    <w:p w14:paraId="119BE350" w14:textId="77777777" w:rsidR="00F91404" w:rsidRPr="00F91404" w:rsidRDefault="00F91404" w:rsidP="00F91404">
      <w:pPr>
        <w:rPr>
          <w:rFonts w:cstheme="minorHAnsi"/>
          <w:sz w:val="20"/>
          <w:szCs w:val="20"/>
        </w:rPr>
      </w:pPr>
      <w:r w:rsidRPr="00F91404">
        <w:rPr>
          <w:rFonts w:cstheme="minorHAnsi"/>
          <w:sz w:val="20"/>
          <w:szCs w:val="20"/>
        </w:rPr>
        <w:t>Colombia remains in an early-stage governance and regulatory-building phase, with hydrogen policy embedded within the broader energy transition agenda. The Ministry of Mines and Energy (MME) leads policy development, supported by planning and regulatory institutions depending on project configuration. Implementation to date has focused on pilots and learning.</w:t>
      </w:r>
    </w:p>
    <w:p w14:paraId="246C3B9F" w14:textId="77777777" w:rsidR="00F91404" w:rsidRPr="00F91404" w:rsidRDefault="00F91404" w:rsidP="00F91404">
      <w:pPr>
        <w:rPr>
          <w:rFonts w:cstheme="minorHAnsi"/>
          <w:sz w:val="20"/>
          <w:szCs w:val="20"/>
        </w:rPr>
      </w:pPr>
      <w:r w:rsidRPr="00F91404">
        <w:rPr>
          <w:rFonts w:cstheme="minorHAnsi"/>
          <w:sz w:val="20"/>
          <w:szCs w:val="20"/>
        </w:rPr>
        <w:t>Legal recognition and technical standards for hydrogen are under development, complemented by regulatory sandboxes that allow controlled testing. Colombia is positioned as a pilot-oriented market, focused on regulatory clarification rather than system-scale deployment.</w:t>
      </w:r>
    </w:p>
    <w:tbl>
      <w:tblPr>
        <w:tblW w:w="5000" w:type="pct"/>
        <w:jc w:val="center"/>
        <w:tblLayout w:type="fixed"/>
        <w:tblCellMar>
          <w:left w:w="70" w:type="dxa"/>
          <w:right w:w="70" w:type="dxa"/>
        </w:tblCellMar>
        <w:tblLook w:val="04A0" w:firstRow="1" w:lastRow="0" w:firstColumn="1" w:lastColumn="0" w:noHBand="0" w:noVBand="1"/>
      </w:tblPr>
      <w:tblGrid>
        <w:gridCol w:w="1879"/>
        <w:gridCol w:w="310"/>
        <w:gridCol w:w="411"/>
        <w:gridCol w:w="1165"/>
        <w:gridCol w:w="1082"/>
        <w:gridCol w:w="807"/>
        <w:gridCol w:w="1438"/>
        <w:gridCol w:w="452"/>
        <w:gridCol w:w="1905"/>
        <w:gridCol w:w="160"/>
      </w:tblGrid>
      <w:tr w:rsidR="00F91404" w:rsidRPr="00F91404" w14:paraId="0A07309B" w14:textId="77777777" w:rsidTr="00BD1985">
        <w:trPr>
          <w:gridAfter w:val="1"/>
          <w:wAfter w:w="83" w:type="pct"/>
          <w:trHeight w:val="1060"/>
          <w:jc w:val="center"/>
        </w:trPr>
        <w:tc>
          <w:tcPr>
            <w:tcW w:w="978" w:type="pct"/>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67380825"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w:t>
            </w:r>
          </w:p>
          <w:p w14:paraId="6B9D54EC"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production capacity </w:t>
            </w:r>
          </w:p>
          <w:p w14:paraId="0DCFC7A4"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Operational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82" w:type="pct"/>
            <w:gridSpan w:val="3"/>
            <w:tcBorders>
              <w:top w:val="single" w:sz="12" w:space="0" w:color="808080"/>
              <w:left w:val="nil"/>
              <w:bottom w:val="single" w:sz="12" w:space="0" w:color="808080"/>
              <w:right w:val="single" w:sz="12" w:space="0" w:color="808080"/>
            </w:tcBorders>
            <w:shd w:val="clear" w:color="auto" w:fill="004C43" w:themeFill="accent1"/>
            <w:vAlign w:val="center"/>
            <w:hideMark/>
          </w:tcPr>
          <w:p w14:paraId="772A9340"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w:t>
            </w:r>
          </w:p>
          <w:p w14:paraId="375FF2B0"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capacity Planned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83"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76EE2E43"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Hydrogen pipelines </w:t>
            </w:r>
            <w:r w:rsidRPr="00F91404">
              <w:rPr>
                <w:rFonts w:eastAsia="Times New Roman" w:cstheme="minorHAnsi"/>
                <w:b/>
                <w:color w:val="FFFFFF" w:themeColor="background1"/>
                <w:sz w:val="18"/>
                <w:szCs w:val="18"/>
                <w:lang w:eastAsia="es-MX"/>
              </w:rPr>
              <w:br/>
              <w:t>(km)</w:t>
            </w:r>
          </w:p>
        </w:tc>
        <w:tc>
          <w:tcPr>
            <w:tcW w:w="983"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2A71C8DC"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Ammonia port </w:t>
            </w:r>
          </w:p>
          <w:p w14:paraId="6A3377F6"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storage capacity </w:t>
            </w:r>
            <w:r w:rsidRPr="00F91404">
              <w:rPr>
                <w:rFonts w:eastAsia="Times New Roman" w:cstheme="minorHAnsi"/>
                <w:b/>
                <w:color w:val="FFFFFF" w:themeColor="background1"/>
                <w:sz w:val="18"/>
                <w:szCs w:val="18"/>
                <w:lang w:eastAsia="es-MX"/>
              </w:rPr>
              <w:br/>
              <w:t>(Thousand tonnes)</w:t>
            </w:r>
          </w:p>
        </w:tc>
        <w:tc>
          <w:tcPr>
            <w:tcW w:w="990" w:type="pct"/>
            <w:tcBorders>
              <w:top w:val="single" w:sz="12" w:space="0" w:color="808080"/>
              <w:left w:val="nil"/>
              <w:bottom w:val="single" w:sz="12" w:space="0" w:color="808080"/>
              <w:right w:val="single" w:sz="12" w:space="0" w:color="808080"/>
            </w:tcBorders>
            <w:shd w:val="clear" w:color="auto" w:fill="004C43" w:themeFill="accent1"/>
            <w:vAlign w:val="center"/>
            <w:hideMark/>
          </w:tcPr>
          <w:p w14:paraId="538E029D"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Dominant market model</w:t>
            </w:r>
          </w:p>
        </w:tc>
      </w:tr>
      <w:tr w:rsidR="00F91404" w:rsidRPr="00F91404" w14:paraId="23DBAF3F" w14:textId="77777777" w:rsidTr="00BD1985">
        <w:trPr>
          <w:gridAfter w:val="1"/>
          <w:wAfter w:w="83" w:type="pct"/>
          <w:trHeight w:val="2740"/>
          <w:jc w:val="center"/>
        </w:trPr>
        <w:tc>
          <w:tcPr>
            <w:tcW w:w="978" w:type="pct"/>
            <w:tcBorders>
              <w:top w:val="nil"/>
              <w:left w:val="single" w:sz="12" w:space="0" w:color="808080"/>
              <w:bottom w:val="single" w:sz="12" w:space="0" w:color="808080"/>
              <w:right w:val="single" w:sz="12" w:space="0" w:color="808080"/>
            </w:tcBorders>
            <w:noWrap/>
            <w:vAlign w:val="center"/>
            <w:hideMark/>
          </w:tcPr>
          <w:p w14:paraId="50E06F8B"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14BB978E" wp14:editId="7BB1F1A2">
                  <wp:extent cx="1311965" cy="1593441"/>
                  <wp:effectExtent l="0" t="0" r="0" b="0"/>
                  <wp:docPr id="46274101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8635"/>
                          <a:stretch>
                            <a:fillRect/>
                          </a:stretch>
                        </pic:blipFill>
                        <pic:spPr bwMode="auto">
                          <a:xfrm>
                            <a:off x="0" y="0"/>
                            <a:ext cx="1333657" cy="16197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82" w:type="pct"/>
            <w:gridSpan w:val="3"/>
            <w:tcBorders>
              <w:top w:val="nil"/>
              <w:left w:val="nil"/>
              <w:bottom w:val="single" w:sz="12" w:space="0" w:color="808080"/>
              <w:right w:val="single" w:sz="12" w:space="0" w:color="808080"/>
            </w:tcBorders>
            <w:noWrap/>
            <w:vAlign w:val="center"/>
            <w:hideMark/>
          </w:tcPr>
          <w:p w14:paraId="4D23FB0A"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748FC5E4" wp14:editId="4AA7A75A">
                  <wp:extent cx="1019246" cy="1526126"/>
                  <wp:effectExtent l="0" t="0" r="0" b="0"/>
                  <wp:docPr id="22122840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2602" r="23663" b="10372"/>
                          <a:stretch>
                            <a:fillRect/>
                          </a:stretch>
                        </pic:blipFill>
                        <pic:spPr bwMode="auto">
                          <a:xfrm>
                            <a:off x="0" y="0"/>
                            <a:ext cx="1028596" cy="15401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83" w:type="pct"/>
            <w:gridSpan w:val="2"/>
            <w:tcBorders>
              <w:top w:val="nil"/>
              <w:left w:val="nil"/>
              <w:bottom w:val="single" w:sz="12" w:space="0" w:color="808080"/>
              <w:right w:val="single" w:sz="12" w:space="0" w:color="808080"/>
            </w:tcBorders>
            <w:noWrap/>
            <w:vAlign w:val="center"/>
            <w:hideMark/>
          </w:tcPr>
          <w:p w14:paraId="78629CC6"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bCs/>
                <w:noProof/>
                <w:color w:val="000000"/>
                <w:sz w:val="18"/>
                <w:szCs w:val="18"/>
                <w:lang w:eastAsia="es-MX"/>
              </w:rPr>
              <w:drawing>
                <wp:inline distT="0" distB="0" distL="0" distR="0" wp14:anchorId="1CCBF459" wp14:editId="5769CD34">
                  <wp:extent cx="889284" cy="824230"/>
                  <wp:effectExtent l="0" t="0" r="6350" b="0"/>
                  <wp:docPr id="846864225" name="Picture 9" descr="A group of pipes with a red x&#10;&#10;AI-generated content may be incorrect.">
                    <a:extLst xmlns:a="http://schemas.openxmlformats.org/drawingml/2006/main">
                      <a:ext uri="{FF2B5EF4-FFF2-40B4-BE49-F238E27FC236}">
                        <a16:creationId xmlns:a16="http://schemas.microsoft.com/office/drawing/2014/main" id="{6E4743CC-529A-8701-D911-D8A99AD40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oup of pipes with a red x&#10;&#10;AI-generated content may be incorrect.">
                            <a:extLst>
                              <a:ext uri="{FF2B5EF4-FFF2-40B4-BE49-F238E27FC236}">
                                <a16:creationId xmlns:a16="http://schemas.microsoft.com/office/drawing/2014/main" id="{6E4743CC-529A-8701-D911-D8A99AD4050C}"/>
                              </a:ext>
                            </a:extLst>
                          </pic:cNvPr>
                          <pic:cNvPicPr>
                            <a:picLocks noChangeAspect="1"/>
                          </pic:cNvPicPr>
                        </pic:nvPicPr>
                        <pic:blipFill rotWithShape="1">
                          <a:blip r:embed="rId37"/>
                          <a:srcRect l="55774" t="56144" r="15730" b="4237"/>
                          <a:stretch>
                            <a:fillRect/>
                          </a:stretch>
                        </pic:blipFill>
                        <pic:spPr bwMode="auto">
                          <a:xfrm>
                            <a:off x="0" y="0"/>
                            <a:ext cx="924680" cy="857037"/>
                          </a:xfrm>
                          <a:prstGeom prst="rect">
                            <a:avLst/>
                          </a:prstGeom>
                          <a:ln>
                            <a:noFill/>
                          </a:ln>
                          <a:extLst>
                            <a:ext uri="{53640926-AAD7-44D8-BBD7-CCE9431645EC}">
                              <a14:shadowObscured xmlns:a14="http://schemas.microsoft.com/office/drawing/2010/main"/>
                            </a:ext>
                          </a:extLst>
                        </pic:spPr>
                      </pic:pic>
                    </a:graphicData>
                  </a:graphic>
                </wp:inline>
              </w:drawing>
            </w:r>
          </w:p>
        </w:tc>
        <w:tc>
          <w:tcPr>
            <w:tcW w:w="983" w:type="pct"/>
            <w:gridSpan w:val="2"/>
            <w:tcBorders>
              <w:top w:val="nil"/>
              <w:left w:val="nil"/>
              <w:bottom w:val="single" w:sz="12" w:space="0" w:color="808080"/>
              <w:right w:val="single" w:sz="12" w:space="0" w:color="808080"/>
            </w:tcBorders>
            <w:noWrap/>
            <w:vAlign w:val="center"/>
            <w:hideMark/>
          </w:tcPr>
          <w:p w14:paraId="7A255894"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9.4</w:t>
            </w:r>
          </w:p>
          <w:p w14:paraId="05C42154"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10F219B0" wp14:editId="32D02797">
                  <wp:extent cx="771348" cy="984701"/>
                  <wp:effectExtent l="0" t="0" r="0" b="6350"/>
                  <wp:docPr id="809617312" name="Picture 6" descr="A group of white containers with black text&#10;&#10;AI-generated content may be incorrect.">
                    <a:extLst xmlns:a="http://schemas.openxmlformats.org/drawingml/2006/main">
                      <a:ext uri="{FF2B5EF4-FFF2-40B4-BE49-F238E27FC236}">
                        <a16:creationId xmlns:a16="http://schemas.microsoft.com/office/drawing/2014/main" id="{7E3C54D5-AB43-586A-3690-E3EAF2DB81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oup of white containers with black text&#10;&#10;AI-generated content may be incorrect.">
                            <a:extLst>
                              <a:ext uri="{FF2B5EF4-FFF2-40B4-BE49-F238E27FC236}">
                                <a16:creationId xmlns:a16="http://schemas.microsoft.com/office/drawing/2014/main" id="{7E3C54D5-AB43-586A-3690-E3EAF2DB8128}"/>
                              </a:ext>
                            </a:extLst>
                          </pic:cNvPr>
                          <pic:cNvPicPr>
                            <a:picLocks noChangeAspect="1"/>
                          </pic:cNvPicPr>
                        </pic:nvPicPr>
                        <pic:blipFill>
                          <a:blip r:embed="rId38"/>
                          <a:srcRect l="22202" t="53803" r="57942" b="8175"/>
                          <a:stretch>
                            <a:fillRect/>
                          </a:stretch>
                        </pic:blipFill>
                        <pic:spPr>
                          <a:xfrm>
                            <a:off x="0" y="0"/>
                            <a:ext cx="793802" cy="1013366"/>
                          </a:xfrm>
                          <a:prstGeom prst="rect">
                            <a:avLst/>
                          </a:prstGeom>
                        </pic:spPr>
                      </pic:pic>
                    </a:graphicData>
                  </a:graphic>
                </wp:inline>
              </w:drawing>
            </w:r>
          </w:p>
        </w:tc>
        <w:tc>
          <w:tcPr>
            <w:tcW w:w="990" w:type="pct"/>
            <w:tcBorders>
              <w:top w:val="nil"/>
              <w:left w:val="nil"/>
              <w:bottom w:val="single" w:sz="12" w:space="0" w:color="808080"/>
              <w:right w:val="single" w:sz="12" w:space="0" w:color="808080"/>
            </w:tcBorders>
            <w:vAlign w:val="center"/>
            <w:hideMark/>
          </w:tcPr>
          <w:p w14:paraId="503F34DC"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768B9D99" wp14:editId="6529FD4D">
                  <wp:extent cx="1112332" cy="1125620"/>
                  <wp:effectExtent l="0" t="0" r="0" b="0"/>
                  <wp:docPr id="15" name="Picture 14" descr="A screenshot of a computer&#10;&#10;AI-generated content may be incorrect.">
                    <a:extLst xmlns:a="http://schemas.openxmlformats.org/drawingml/2006/main">
                      <a:ext uri="{FF2B5EF4-FFF2-40B4-BE49-F238E27FC236}">
                        <a16:creationId xmlns:a16="http://schemas.microsoft.com/office/drawing/2014/main" id="{C3E06909-1DCA-9827-0B88-15C5C85138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screenshot of a computer&#10;&#10;AI-generated content may be incorrect.">
                            <a:extLst>
                              <a:ext uri="{FF2B5EF4-FFF2-40B4-BE49-F238E27FC236}">
                                <a16:creationId xmlns:a16="http://schemas.microsoft.com/office/drawing/2014/main" id="{C3E06909-1DCA-9827-0B88-15C5C85138F4}"/>
                              </a:ext>
                            </a:extLst>
                          </pic:cNvPr>
                          <pic:cNvPicPr>
                            <a:picLocks noChangeAspect="1"/>
                          </pic:cNvPicPr>
                        </pic:nvPicPr>
                        <pic:blipFill>
                          <a:blip r:embed="rId47"/>
                          <a:srcRect l="76820" t="61423" r="5006" b="10991"/>
                          <a:stretch>
                            <a:fillRect/>
                          </a:stretch>
                        </pic:blipFill>
                        <pic:spPr>
                          <a:xfrm>
                            <a:off x="0" y="0"/>
                            <a:ext cx="1143662" cy="1157324"/>
                          </a:xfrm>
                          <a:prstGeom prst="rect">
                            <a:avLst/>
                          </a:prstGeom>
                        </pic:spPr>
                      </pic:pic>
                    </a:graphicData>
                  </a:graphic>
                </wp:inline>
              </w:drawing>
            </w:r>
          </w:p>
        </w:tc>
      </w:tr>
      <w:tr w:rsidR="00F91404" w:rsidRPr="00F91404" w14:paraId="2E37EAED" w14:textId="77777777" w:rsidTr="00BD1985">
        <w:trPr>
          <w:gridAfter w:val="1"/>
          <w:wAfter w:w="83" w:type="pct"/>
          <w:trHeight w:val="590"/>
          <w:jc w:val="center"/>
        </w:trPr>
        <w:tc>
          <w:tcPr>
            <w:tcW w:w="1354" w:type="pct"/>
            <w:gridSpan w:val="3"/>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3DDEB6C3"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Overall Status</w:t>
            </w:r>
          </w:p>
        </w:tc>
        <w:tc>
          <w:tcPr>
            <w:tcW w:w="1169" w:type="pct"/>
            <w:gridSpan w:val="2"/>
            <w:tcBorders>
              <w:top w:val="nil"/>
              <w:left w:val="nil"/>
              <w:bottom w:val="single" w:sz="12" w:space="0" w:color="808080"/>
              <w:right w:val="single" w:sz="12" w:space="0" w:color="808080"/>
            </w:tcBorders>
            <w:shd w:val="clear" w:color="auto" w:fill="004C43" w:themeFill="accent1"/>
            <w:vAlign w:val="center"/>
            <w:hideMark/>
          </w:tcPr>
          <w:p w14:paraId="24163D7E"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Strategies</w:t>
            </w:r>
          </w:p>
        </w:tc>
        <w:tc>
          <w:tcPr>
            <w:tcW w:w="1168" w:type="pct"/>
            <w:gridSpan w:val="2"/>
            <w:tcBorders>
              <w:top w:val="nil"/>
              <w:left w:val="nil"/>
              <w:bottom w:val="single" w:sz="12" w:space="0" w:color="808080"/>
              <w:right w:val="single" w:sz="12" w:space="0" w:color="808080"/>
            </w:tcBorders>
            <w:shd w:val="clear" w:color="auto" w:fill="004C43" w:themeFill="accent1"/>
            <w:vAlign w:val="center"/>
            <w:hideMark/>
          </w:tcPr>
          <w:p w14:paraId="0441DEC6"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 xml:space="preserve">Road Map </w:t>
            </w:r>
          </w:p>
        </w:tc>
        <w:tc>
          <w:tcPr>
            <w:tcW w:w="1225" w:type="pct"/>
            <w:gridSpan w:val="2"/>
            <w:tcBorders>
              <w:top w:val="nil"/>
              <w:left w:val="nil"/>
              <w:bottom w:val="single" w:sz="12" w:space="0" w:color="808080"/>
              <w:right w:val="single" w:sz="12" w:space="0" w:color="808080"/>
            </w:tcBorders>
            <w:shd w:val="clear" w:color="auto" w:fill="004C43" w:themeFill="accent1"/>
            <w:vAlign w:val="center"/>
            <w:hideMark/>
          </w:tcPr>
          <w:p w14:paraId="6E0BF6CB"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 xml:space="preserve">Implementation &amp; </w:t>
            </w:r>
          </w:p>
          <w:p w14:paraId="5C07B1AC"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Development Plans</w:t>
            </w:r>
          </w:p>
        </w:tc>
      </w:tr>
      <w:tr w:rsidR="00F91404" w:rsidRPr="00F91404" w14:paraId="594CB25C" w14:textId="77777777" w:rsidTr="00BD1985">
        <w:trPr>
          <w:gridAfter w:val="1"/>
          <w:wAfter w:w="83" w:type="pct"/>
          <w:trHeight w:val="458"/>
          <w:jc w:val="center"/>
        </w:trPr>
        <w:tc>
          <w:tcPr>
            <w:tcW w:w="1354" w:type="pct"/>
            <w:gridSpan w:val="3"/>
            <w:vMerge w:val="restart"/>
            <w:tcBorders>
              <w:top w:val="single" w:sz="12" w:space="0" w:color="808080"/>
              <w:left w:val="single" w:sz="12" w:space="0" w:color="808080"/>
              <w:bottom w:val="single" w:sz="12" w:space="0" w:color="808080"/>
              <w:right w:val="single" w:sz="12" w:space="0" w:color="808080"/>
            </w:tcBorders>
            <w:vAlign w:val="center"/>
            <w:hideMark/>
          </w:tcPr>
          <w:p w14:paraId="323C5EF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Early-stage hydrogen market focused on pilot deployment and regulatory </w:t>
            </w:r>
            <w:r w:rsidRPr="00F91404">
              <w:rPr>
                <w:rFonts w:eastAsia="Times New Roman" w:cstheme="minorHAnsi"/>
                <w:sz w:val="18"/>
                <w:szCs w:val="18"/>
                <w:lang w:eastAsia="es-MX"/>
              </w:rPr>
              <w:br/>
              <w:t>learning</w:t>
            </w:r>
          </w:p>
          <w:p w14:paraId="5113ED8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framework prioritises early market creation and regulatory clarity</w:t>
            </w:r>
          </w:p>
          <w:p w14:paraId="048CAFB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Deployment remains concentrated in small-scale </w:t>
            </w:r>
            <w:r w:rsidRPr="00F91404">
              <w:rPr>
                <w:rFonts w:eastAsia="Times New Roman" w:cstheme="minorHAnsi"/>
                <w:sz w:val="18"/>
                <w:szCs w:val="18"/>
                <w:lang w:eastAsia="es-MX"/>
              </w:rPr>
              <w:br/>
              <w:t>pilots, not industrial rollout</w:t>
            </w:r>
          </w:p>
          <w:p w14:paraId="243E88A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Model relies on fiscal </w:t>
            </w:r>
            <w:r w:rsidRPr="00F91404">
              <w:rPr>
                <w:rFonts w:eastAsia="Times New Roman" w:cstheme="minorHAnsi"/>
                <w:sz w:val="18"/>
                <w:szCs w:val="18"/>
                <w:lang w:eastAsia="es-MX"/>
              </w:rPr>
              <w:br/>
              <w:t xml:space="preserve">incentives and regulatory flexibility, rather than </w:t>
            </w:r>
            <w:r w:rsidRPr="00F91404">
              <w:rPr>
                <w:rFonts w:eastAsia="Times New Roman" w:cstheme="minorHAnsi"/>
                <w:sz w:val="18"/>
                <w:szCs w:val="18"/>
                <w:lang w:eastAsia="es-MX"/>
              </w:rPr>
              <w:br/>
              <w:t>market or infrastructure support</w:t>
            </w:r>
          </w:p>
          <w:p w14:paraId="0E0D41D7" w14:textId="77777777" w:rsidR="00F91404" w:rsidRPr="00F91404" w:rsidRDefault="00F91404" w:rsidP="00BD1985">
            <w:pPr>
              <w:spacing w:after="0"/>
              <w:jc w:val="center"/>
              <w:rPr>
                <w:rFonts w:eastAsia="Times New Roman" w:cstheme="minorHAnsi"/>
                <w:b/>
                <w:bCs/>
                <w:color w:val="000000"/>
                <w:sz w:val="18"/>
                <w:szCs w:val="18"/>
                <w:lang w:eastAsia="es-MX"/>
              </w:rPr>
            </w:pPr>
          </w:p>
        </w:tc>
        <w:tc>
          <w:tcPr>
            <w:tcW w:w="1169" w:type="pct"/>
            <w:gridSpan w:val="2"/>
            <w:vMerge w:val="restart"/>
            <w:tcBorders>
              <w:top w:val="nil"/>
              <w:left w:val="single" w:sz="12" w:space="0" w:color="808080"/>
              <w:bottom w:val="single" w:sz="12" w:space="0" w:color="808080"/>
              <w:right w:val="single" w:sz="12" w:space="0" w:color="808080"/>
            </w:tcBorders>
            <w:vAlign w:val="center"/>
            <w:hideMark/>
          </w:tcPr>
          <w:p w14:paraId="2DA3A06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Positions green hydrogen as an enabling component of the energy transition</w:t>
            </w:r>
          </w:p>
          <w:p w14:paraId="794DA4A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Initial focus on domestic industrial pilots and learning-by-doing</w:t>
            </w:r>
          </w:p>
          <w:p w14:paraId="32B3541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Prioritises regulatory definition and early experimentation over scale</w:t>
            </w:r>
          </w:p>
          <w:p w14:paraId="24ADEF1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Large-scale deployment and exports are not near-term objectives</w:t>
            </w:r>
          </w:p>
          <w:p w14:paraId="3FB92A8E" w14:textId="77777777" w:rsidR="00F91404" w:rsidRPr="00F91404" w:rsidRDefault="00F91404" w:rsidP="00BD1985">
            <w:pPr>
              <w:spacing w:after="0"/>
              <w:jc w:val="center"/>
              <w:rPr>
                <w:rFonts w:eastAsia="Times New Roman" w:cstheme="minorHAnsi"/>
                <w:color w:val="000000"/>
                <w:sz w:val="18"/>
                <w:szCs w:val="18"/>
                <w:lang w:eastAsia="es-MX"/>
              </w:rPr>
            </w:pPr>
          </w:p>
        </w:tc>
        <w:tc>
          <w:tcPr>
            <w:tcW w:w="1168" w:type="pct"/>
            <w:gridSpan w:val="2"/>
            <w:vMerge w:val="restart"/>
            <w:tcBorders>
              <w:top w:val="nil"/>
              <w:left w:val="single" w:sz="12" w:space="0" w:color="808080"/>
              <w:bottom w:val="single" w:sz="12" w:space="0" w:color="808080"/>
              <w:right w:val="single" w:sz="12" w:space="0" w:color="808080"/>
            </w:tcBorders>
            <w:vAlign w:val="center"/>
            <w:hideMark/>
          </w:tcPr>
          <w:p w14:paraId="3DA2591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Strategy adoption (2021): Hydrogen integrated into national energy transition agenda</w:t>
            </w:r>
          </w:p>
          <w:p w14:paraId="1840701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Pilot phase (2021–2023): Deployment of early industrial pilots supported by </w:t>
            </w:r>
            <w:r w:rsidRPr="00F91404">
              <w:rPr>
                <w:rFonts w:eastAsia="Times New Roman" w:cstheme="minorHAnsi"/>
                <w:sz w:val="18"/>
                <w:szCs w:val="18"/>
                <w:lang w:eastAsia="es-MX"/>
              </w:rPr>
              <w:br/>
              <w:t>fiscal incentives</w:t>
            </w:r>
          </w:p>
          <w:p w14:paraId="7B1A018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Regulatory clarification phase (current): Development of standards and </w:t>
            </w:r>
            <w:r w:rsidRPr="00F91404">
              <w:rPr>
                <w:rFonts w:eastAsia="Times New Roman" w:cstheme="minorHAnsi"/>
                <w:sz w:val="18"/>
                <w:szCs w:val="18"/>
                <w:lang w:eastAsia="es-MX"/>
              </w:rPr>
              <w:br/>
              <w:t>regulatory sandboxes</w:t>
            </w:r>
          </w:p>
          <w:p w14:paraId="2FBA18C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Next phase: Gradual </w:t>
            </w:r>
            <w:r w:rsidRPr="00F91404">
              <w:rPr>
                <w:rFonts w:eastAsia="Times New Roman" w:cstheme="minorHAnsi"/>
                <w:sz w:val="18"/>
                <w:szCs w:val="18"/>
                <w:lang w:eastAsia="es-MX"/>
              </w:rPr>
              <w:br/>
              <w:t>scaling contingent on future market and infrastructure instruments</w:t>
            </w:r>
          </w:p>
          <w:p w14:paraId="11543CEB" w14:textId="77777777" w:rsidR="00F91404" w:rsidRPr="00F91404" w:rsidRDefault="00F91404" w:rsidP="00BD1985">
            <w:pPr>
              <w:spacing w:after="0"/>
              <w:jc w:val="center"/>
              <w:rPr>
                <w:rFonts w:eastAsia="Times New Roman" w:cstheme="minorHAnsi"/>
                <w:color w:val="000000"/>
                <w:sz w:val="18"/>
                <w:szCs w:val="18"/>
                <w:lang w:eastAsia="es-MX"/>
              </w:rPr>
            </w:pPr>
          </w:p>
        </w:tc>
        <w:tc>
          <w:tcPr>
            <w:tcW w:w="1225" w:type="pct"/>
            <w:gridSpan w:val="2"/>
            <w:vMerge w:val="restart"/>
            <w:tcBorders>
              <w:top w:val="nil"/>
              <w:left w:val="single" w:sz="12" w:space="0" w:color="808080"/>
              <w:bottom w:val="single" w:sz="12" w:space="0" w:color="808080"/>
              <w:right w:val="single" w:sz="12" w:space="0" w:color="808080"/>
            </w:tcBorders>
            <w:vAlign w:val="center"/>
            <w:hideMark/>
          </w:tcPr>
          <w:p w14:paraId="67B1BB9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Execution led by the Ministry of Mines and Energy (MME)</w:t>
            </w:r>
          </w:p>
          <w:p w14:paraId="28758C5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Key implementation tools include:</w:t>
            </w:r>
          </w:p>
          <w:p w14:paraId="4096615D"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Fiscal incentives under the renewable energy framework</w:t>
            </w:r>
          </w:p>
          <w:p w14:paraId="6422129C"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Pilot-support programmes and feasibility studies</w:t>
            </w:r>
          </w:p>
          <w:p w14:paraId="0A30E51C"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Regulatory sandboxes allowing flexible testing of hydrogen projects</w:t>
            </w:r>
          </w:p>
          <w:p w14:paraId="10D20F02"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Large-scale infrastructure and revenue support programmes are not yet in place</w:t>
            </w:r>
          </w:p>
          <w:p w14:paraId="65967D2A" w14:textId="77777777" w:rsidR="00F91404" w:rsidRPr="00F91404" w:rsidRDefault="00F91404" w:rsidP="00BD1985">
            <w:pPr>
              <w:spacing w:after="0"/>
              <w:jc w:val="center"/>
              <w:rPr>
                <w:rFonts w:eastAsia="Times New Roman" w:cstheme="minorHAnsi"/>
                <w:color w:val="000000"/>
                <w:sz w:val="18"/>
                <w:szCs w:val="18"/>
                <w:lang w:eastAsia="es-MX"/>
              </w:rPr>
            </w:pPr>
          </w:p>
        </w:tc>
      </w:tr>
      <w:tr w:rsidR="00F91404" w:rsidRPr="00F91404" w14:paraId="7B8C3D89" w14:textId="77777777" w:rsidTr="00BD1985">
        <w:trPr>
          <w:trHeight w:val="6002"/>
          <w:jc w:val="center"/>
        </w:trPr>
        <w:tc>
          <w:tcPr>
            <w:tcW w:w="1354" w:type="pct"/>
            <w:gridSpan w:val="3"/>
            <w:vMerge/>
            <w:tcBorders>
              <w:top w:val="single" w:sz="12" w:space="0" w:color="808080"/>
              <w:left w:val="single" w:sz="12" w:space="0" w:color="808080"/>
              <w:bottom w:val="single" w:sz="12" w:space="0" w:color="808080"/>
              <w:right w:val="single" w:sz="12" w:space="0" w:color="808080"/>
            </w:tcBorders>
            <w:vAlign w:val="center"/>
            <w:hideMark/>
          </w:tcPr>
          <w:p w14:paraId="6E636828" w14:textId="77777777" w:rsidR="00F91404" w:rsidRPr="00F91404" w:rsidRDefault="00F91404" w:rsidP="00BD1985">
            <w:pPr>
              <w:spacing w:after="0"/>
              <w:rPr>
                <w:rFonts w:eastAsia="Times New Roman" w:cstheme="minorHAnsi"/>
                <w:b/>
                <w:bCs/>
                <w:color w:val="000000"/>
                <w:sz w:val="18"/>
                <w:szCs w:val="18"/>
                <w:lang w:eastAsia="es-MX"/>
              </w:rPr>
            </w:pPr>
          </w:p>
        </w:tc>
        <w:tc>
          <w:tcPr>
            <w:tcW w:w="1169" w:type="pct"/>
            <w:gridSpan w:val="2"/>
            <w:vMerge/>
            <w:tcBorders>
              <w:top w:val="nil"/>
              <w:left w:val="single" w:sz="12" w:space="0" w:color="808080"/>
              <w:bottom w:val="single" w:sz="12" w:space="0" w:color="808080"/>
              <w:right w:val="single" w:sz="12" w:space="0" w:color="808080"/>
            </w:tcBorders>
            <w:vAlign w:val="center"/>
            <w:hideMark/>
          </w:tcPr>
          <w:p w14:paraId="769FC695" w14:textId="77777777" w:rsidR="00F91404" w:rsidRPr="00F91404" w:rsidRDefault="00F91404" w:rsidP="00BD1985">
            <w:pPr>
              <w:spacing w:after="0"/>
              <w:rPr>
                <w:rFonts w:eastAsia="Times New Roman" w:cstheme="minorHAnsi"/>
                <w:color w:val="000000"/>
                <w:sz w:val="18"/>
                <w:szCs w:val="18"/>
                <w:lang w:eastAsia="es-MX"/>
              </w:rPr>
            </w:pPr>
          </w:p>
        </w:tc>
        <w:tc>
          <w:tcPr>
            <w:tcW w:w="1168" w:type="pct"/>
            <w:gridSpan w:val="2"/>
            <w:vMerge/>
            <w:tcBorders>
              <w:top w:val="nil"/>
              <w:left w:val="single" w:sz="12" w:space="0" w:color="808080"/>
              <w:bottom w:val="single" w:sz="12" w:space="0" w:color="808080"/>
              <w:right w:val="single" w:sz="12" w:space="0" w:color="808080"/>
            </w:tcBorders>
            <w:vAlign w:val="center"/>
            <w:hideMark/>
          </w:tcPr>
          <w:p w14:paraId="6A922C4D" w14:textId="77777777" w:rsidR="00F91404" w:rsidRPr="00F91404" w:rsidRDefault="00F91404" w:rsidP="00BD1985">
            <w:pPr>
              <w:spacing w:after="0"/>
              <w:rPr>
                <w:rFonts w:eastAsia="Times New Roman" w:cstheme="minorHAnsi"/>
                <w:color w:val="000000"/>
                <w:sz w:val="18"/>
                <w:szCs w:val="18"/>
                <w:lang w:eastAsia="es-MX"/>
              </w:rPr>
            </w:pPr>
          </w:p>
        </w:tc>
        <w:tc>
          <w:tcPr>
            <w:tcW w:w="1225" w:type="pct"/>
            <w:gridSpan w:val="2"/>
            <w:vMerge/>
            <w:tcBorders>
              <w:top w:val="nil"/>
              <w:left w:val="single" w:sz="12" w:space="0" w:color="808080"/>
              <w:bottom w:val="single" w:sz="12" w:space="0" w:color="808080"/>
              <w:right w:val="single" w:sz="12" w:space="0" w:color="808080"/>
            </w:tcBorders>
            <w:vAlign w:val="center"/>
            <w:hideMark/>
          </w:tcPr>
          <w:p w14:paraId="04BA6EA7" w14:textId="77777777" w:rsidR="00F91404" w:rsidRPr="00F91404" w:rsidRDefault="00F91404" w:rsidP="00BD1985">
            <w:pPr>
              <w:spacing w:after="0"/>
              <w:rPr>
                <w:rFonts w:eastAsia="Times New Roman" w:cstheme="minorHAnsi"/>
                <w:color w:val="000000"/>
                <w:sz w:val="18"/>
                <w:szCs w:val="18"/>
                <w:lang w:eastAsia="es-MX"/>
              </w:rPr>
            </w:pPr>
          </w:p>
        </w:tc>
        <w:tc>
          <w:tcPr>
            <w:tcW w:w="83" w:type="pct"/>
            <w:tcBorders>
              <w:top w:val="nil"/>
              <w:left w:val="nil"/>
              <w:bottom w:val="nil"/>
              <w:right w:val="nil"/>
            </w:tcBorders>
            <w:noWrap/>
            <w:vAlign w:val="bottom"/>
            <w:hideMark/>
          </w:tcPr>
          <w:p w14:paraId="7F33A6A0" w14:textId="77777777" w:rsidR="00F91404" w:rsidRPr="00F91404" w:rsidRDefault="00F91404" w:rsidP="00BD1985">
            <w:pPr>
              <w:spacing w:after="0"/>
              <w:jc w:val="center"/>
              <w:rPr>
                <w:rFonts w:eastAsia="Times New Roman" w:cstheme="minorHAnsi"/>
                <w:color w:val="000000"/>
                <w:sz w:val="20"/>
                <w:szCs w:val="20"/>
                <w:lang w:eastAsia="es-MX"/>
              </w:rPr>
            </w:pPr>
          </w:p>
        </w:tc>
      </w:tr>
      <w:tr w:rsidR="00F91404" w:rsidRPr="00F91404" w14:paraId="790471CD" w14:textId="77777777" w:rsidTr="00BD1985">
        <w:trPr>
          <w:trHeight w:val="400"/>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4E21A2E3"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lastRenderedPageBreak/>
              <w:t>Policies Framework</w:t>
            </w:r>
          </w:p>
        </w:tc>
        <w:tc>
          <w:tcPr>
            <w:tcW w:w="83" w:type="pct"/>
            <w:vAlign w:val="center"/>
            <w:hideMark/>
          </w:tcPr>
          <w:p w14:paraId="7B72AA84" w14:textId="77777777" w:rsidR="00F91404" w:rsidRPr="00F91404" w:rsidRDefault="00F91404" w:rsidP="00BD1985">
            <w:pPr>
              <w:spacing w:after="0"/>
              <w:rPr>
                <w:rFonts w:eastAsia="Times New Roman" w:cstheme="minorHAnsi"/>
                <w:sz w:val="20"/>
                <w:szCs w:val="20"/>
                <w:lang w:eastAsia="es-MX"/>
              </w:rPr>
            </w:pPr>
          </w:p>
        </w:tc>
      </w:tr>
      <w:tr w:rsidR="00F91404" w:rsidRPr="00F91404" w14:paraId="511AD61B" w14:textId="77777777" w:rsidTr="00BD1985">
        <w:trPr>
          <w:trHeight w:val="1800"/>
          <w:jc w:val="center"/>
        </w:trPr>
        <w:tc>
          <w:tcPr>
            <w:tcW w:w="1140"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3A8EBC62"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Fiscal &amp; Tax </w:t>
            </w:r>
          </w:p>
          <w:p w14:paraId="10DDDFA2"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Incentives</w:t>
            </w:r>
          </w:p>
        </w:tc>
        <w:tc>
          <w:tcPr>
            <w:tcW w:w="3777" w:type="pct"/>
            <w:gridSpan w:val="7"/>
            <w:tcBorders>
              <w:top w:val="single" w:sz="12" w:space="0" w:color="808080"/>
              <w:left w:val="nil"/>
              <w:bottom w:val="single" w:sz="12" w:space="0" w:color="808080"/>
              <w:right w:val="single" w:sz="12" w:space="0" w:color="808080"/>
            </w:tcBorders>
            <w:vAlign w:val="center"/>
            <w:hideMark/>
          </w:tcPr>
          <w:p w14:paraId="2AD91023"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Tax exemptions and deductions apply to renewable energy and hydrogen projects</w:t>
            </w:r>
          </w:p>
          <w:p w14:paraId="644CD0B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Incentives include:</w:t>
            </w:r>
          </w:p>
          <w:p w14:paraId="71F04A61"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VAT exemptions</w:t>
            </w:r>
          </w:p>
          <w:p w14:paraId="2A627123"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Income tax deductions</w:t>
            </w:r>
          </w:p>
          <w:p w14:paraId="1D9B15F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Measures improve project economics at early stages but do not address revenue or demand risk</w:t>
            </w:r>
          </w:p>
        </w:tc>
        <w:tc>
          <w:tcPr>
            <w:tcW w:w="83" w:type="pct"/>
            <w:vAlign w:val="center"/>
            <w:hideMark/>
          </w:tcPr>
          <w:p w14:paraId="61A6A528" w14:textId="77777777" w:rsidR="00F91404" w:rsidRPr="00F91404" w:rsidRDefault="00F91404" w:rsidP="00BD1985">
            <w:pPr>
              <w:spacing w:after="0"/>
              <w:rPr>
                <w:rFonts w:eastAsia="Times New Roman" w:cstheme="minorHAnsi"/>
                <w:sz w:val="20"/>
                <w:szCs w:val="20"/>
                <w:lang w:eastAsia="es-MX"/>
              </w:rPr>
            </w:pPr>
          </w:p>
        </w:tc>
      </w:tr>
      <w:tr w:rsidR="00F91404" w:rsidRPr="00F91404" w14:paraId="69335CA6" w14:textId="77777777" w:rsidTr="00BD1985">
        <w:trPr>
          <w:trHeight w:val="1244"/>
          <w:jc w:val="center"/>
        </w:trPr>
        <w:tc>
          <w:tcPr>
            <w:tcW w:w="1140"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0D94BD34"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Market and revenue support </w:t>
            </w:r>
          </w:p>
          <w:p w14:paraId="1E2B1CE1"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mechanisms</w:t>
            </w:r>
          </w:p>
        </w:tc>
        <w:tc>
          <w:tcPr>
            <w:tcW w:w="3777" w:type="pct"/>
            <w:gridSpan w:val="7"/>
            <w:tcBorders>
              <w:top w:val="single" w:sz="12" w:space="0" w:color="808080"/>
              <w:left w:val="nil"/>
              <w:bottom w:val="single" w:sz="12" w:space="0" w:color="808080"/>
              <w:right w:val="single" w:sz="12" w:space="0" w:color="808080"/>
            </w:tcBorders>
            <w:vAlign w:val="center"/>
            <w:hideMark/>
          </w:tcPr>
          <w:p w14:paraId="76FFA4E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No market-based revenue instruments (e.g. </w:t>
            </w:r>
            <w:proofErr w:type="spellStart"/>
            <w:r w:rsidRPr="00F91404">
              <w:rPr>
                <w:rFonts w:eastAsia="Times New Roman" w:cstheme="minorHAnsi"/>
                <w:sz w:val="18"/>
                <w:szCs w:val="18"/>
                <w:lang w:eastAsia="es-MX"/>
              </w:rPr>
              <w:t>CfDs</w:t>
            </w:r>
            <w:proofErr w:type="spellEnd"/>
            <w:r w:rsidRPr="00F91404">
              <w:rPr>
                <w:rFonts w:eastAsia="Times New Roman" w:cstheme="minorHAnsi"/>
                <w:sz w:val="18"/>
                <w:szCs w:val="18"/>
                <w:lang w:eastAsia="es-MX"/>
              </w:rPr>
              <w:t>, price guarantees or demand mandates)</w:t>
            </w:r>
          </w:p>
          <w:p w14:paraId="4866F2F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Projects face full exposure to price and demand uncertainty</w:t>
            </w:r>
          </w:p>
        </w:tc>
        <w:tc>
          <w:tcPr>
            <w:tcW w:w="83" w:type="pct"/>
            <w:vAlign w:val="center"/>
            <w:hideMark/>
          </w:tcPr>
          <w:p w14:paraId="30849420" w14:textId="77777777" w:rsidR="00F91404" w:rsidRPr="00F91404" w:rsidRDefault="00F91404" w:rsidP="00BD1985">
            <w:pPr>
              <w:spacing w:after="0"/>
              <w:rPr>
                <w:rFonts w:eastAsia="Times New Roman" w:cstheme="minorHAnsi"/>
                <w:sz w:val="20"/>
                <w:szCs w:val="20"/>
                <w:lang w:eastAsia="es-MX"/>
              </w:rPr>
            </w:pPr>
          </w:p>
        </w:tc>
      </w:tr>
      <w:tr w:rsidR="00F91404" w:rsidRPr="00F91404" w14:paraId="358C66CC" w14:textId="77777777" w:rsidTr="00BD1985">
        <w:trPr>
          <w:trHeight w:val="1518"/>
          <w:jc w:val="center"/>
        </w:trPr>
        <w:tc>
          <w:tcPr>
            <w:tcW w:w="1140"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72764204"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Direct public </w:t>
            </w:r>
          </w:p>
          <w:p w14:paraId="3DCF7B01"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funding</w:t>
            </w:r>
          </w:p>
        </w:tc>
        <w:tc>
          <w:tcPr>
            <w:tcW w:w="3777" w:type="pct"/>
            <w:gridSpan w:val="7"/>
            <w:tcBorders>
              <w:top w:val="single" w:sz="12" w:space="0" w:color="808080"/>
              <w:left w:val="nil"/>
              <w:bottom w:val="single" w:sz="12" w:space="0" w:color="808080"/>
              <w:right w:val="single" w:sz="12" w:space="0" w:color="808080"/>
            </w:tcBorders>
            <w:vAlign w:val="center"/>
            <w:hideMark/>
          </w:tcPr>
          <w:p w14:paraId="5BAEB06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Public funding is limited and primarily supports:</w:t>
            </w:r>
          </w:p>
          <w:p w14:paraId="57B22D7E"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Pilots</w:t>
            </w:r>
          </w:p>
          <w:p w14:paraId="69881EF3"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Feasibility studies</w:t>
            </w:r>
          </w:p>
          <w:p w14:paraId="26184ADD"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Demonstration projects</w:t>
            </w:r>
          </w:p>
          <w:p w14:paraId="0CFCBA0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dedicated large-scale CAPEX programmes for industrial hydrogen deployment</w:t>
            </w:r>
          </w:p>
        </w:tc>
        <w:tc>
          <w:tcPr>
            <w:tcW w:w="83" w:type="pct"/>
            <w:vAlign w:val="center"/>
            <w:hideMark/>
          </w:tcPr>
          <w:p w14:paraId="567A86A6" w14:textId="77777777" w:rsidR="00F91404" w:rsidRPr="00F91404" w:rsidRDefault="00F91404" w:rsidP="00BD1985">
            <w:pPr>
              <w:spacing w:after="0"/>
              <w:rPr>
                <w:rFonts w:eastAsia="Times New Roman" w:cstheme="minorHAnsi"/>
                <w:sz w:val="20"/>
                <w:szCs w:val="20"/>
                <w:lang w:eastAsia="es-MX"/>
              </w:rPr>
            </w:pPr>
          </w:p>
        </w:tc>
      </w:tr>
      <w:tr w:rsidR="00F91404" w:rsidRPr="00F91404" w14:paraId="4AFDFAD3" w14:textId="77777777" w:rsidTr="00BD1985">
        <w:trPr>
          <w:trHeight w:val="1216"/>
          <w:jc w:val="center"/>
        </w:trPr>
        <w:tc>
          <w:tcPr>
            <w:tcW w:w="1140"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66506770"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Standards and </w:t>
            </w:r>
          </w:p>
          <w:p w14:paraId="359D30E5"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certification</w:t>
            </w:r>
          </w:p>
        </w:tc>
        <w:tc>
          <w:tcPr>
            <w:tcW w:w="3777" w:type="pct"/>
            <w:gridSpan w:val="7"/>
            <w:tcBorders>
              <w:top w:val="single" w:sz="12" w:space="0" w:color="808080"/>
              <w:left w:val="nil"/>
              <w:bottom w:val="single" w:sz="12" w:space="0" w:color="808080"/>
              <w:right w:val="single" w:sz="12" w:space="0" w:color="808080"/>
            </w:tcBorders>
            <w:vAlign w:val="center"/>
            <w:hideMark/>
          </w:tcPr>
          <w:p w14:paraId="6A6988A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Legal recognition of green hydrogen has been established</w:t>
            </w:r>
          </w:p>
          <w:p w14:paraId="6DAD1343"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Technical standards and regulatory sandboxes enable controlled testing</w:t>
            </w:r>
          </w:p>
          <w:p w14:paraId="23C8D6F2"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Regulatory tools support learning, but certification remains at an early stage</w:t>
            </w:r>
          </w:p>
        </w:tc>
        <w:tc>
          <w:tcPr>
            <w:tcW w:w="83" w:type="pct"/>
            <w:vAlign w:val="center"/>
            <w:hideMark/>
          </w:tcPr>
          <w:p w14:paraId="6AEAC114" w14:textId="77777777" w:rsidR="00F91404" w:rsidRPr="00F91404" w:rsidRDefault="00F91404" w:rsidP="00BD1985">
            <w:pPr>
              <w:spacing w:after="0"/>
              <w:rPr>
                <w:rFonts w:eastAsia="Times New Roman" w:cstheme="minorHAnsi"/>
                <w:sz w:val="20"/>
                <w:szCs w:val="20"/>
                <w:lang w:eastAsia="es-MX"/>
              </w:rPr>
            </w:pPr>
          </w:p>
        </w:tc>
      </w:tr>
      <w:tr w:rsidR="00F91404" w:rsidRPr="00F91404" w14:paraId="7FCE1A2F" w14:textId="77777777" w:rsidTr="00BD1985">
        <w:trPr>
          <w:trHeight w:val="1106"/>
          <w:jc w:val="center"/>
        </w:trPr>
        <w:tc>
          <w:tcPr>
            <w:tcW w:w="1140"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0C8C537C"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Infrastructure-</w:t>
            </w:r>
          </w:p>
          <w:p w14:paraId="7E6B85EC"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enabling policies</w:t>
            </w:r>
          </w:p>
        </w:tc>
        <w:tc>
          <w:tcPr>
            <w:tcW w:w="3777" w:type="pct"/>
            <w:gridSpan w:val="7"/>
            <w:tcBorders>
              <w:top w:val="single" w:sz="12" w:space="0" w:color="808080"/>
              <w:left w:val="nil"/>
              <w:bottom w:val="single" w:sz="12" w:space="0" w:color="808080"/>
              <w:right w:val="single" w:sz="12" w:space="0" w:color="808080"/>
            </w:tcBorders>
            <w:vAlign w:val="center"/>
            <w:hideMark/>
          </w:tcPr>
          <w:p w14:paraId="7DFDB2A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dedicated hydrogen transport networks or shared hubs are in place</w:t>
            </w:r>
          </w:p>
          <w:p w14:paraId="08BCB87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Infrastructure planning remains at an early, conceptual stage</w:t>
            </w:r>
          </w:p>
        </w:tc>
        <w:tc>
          <w:tcPr>
            <w:tcW w:w="83" w:type="pct"/>
            <w:vAlign w:val="center"/>
            <w:hideMark/>
          </w:tcPr>
          <w:p w14:paraId="4AFDA5CA" w14:textId="77777777" w:rsidR="00F91404" w:rsidRPr="00F91404" w:rsidRDefault="00F91404" w:rsidP="00BD1985">
            <w:pPr>
              <w:spacing w:after="0"/>
              <w:rPr>
                <w:rFonts w:eastAsia="Times New Roman" w:cstheme="minorHAnsi"/>
                <w:sz w:val="20"/>
                <w:szCs w:val="20"/>
                <w:lang w:eastAsia="es-MX"/>
              </w:rPr>
            </w:pPr>
          </w:p>
        </w:tc>
      </w:tr>
      <w:tr w:rsidR="00F91404" w:rsidRPr="00F91404" w14:paraId="13839F8E" w14:textId="77777777" w:rsidTr="00BD1985">
        <w:trPr>
          <w:trHeight w:val="400"/>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0CF7B2E"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Sectoral focus / Priority sectors</w:t>
            </w:r>
          </w:p>
        </w:tc>
        <w:tc>
          <w:tcPr>
            <w:tcW w:w="83" w:type="pct"/>
            <w:vAlign w:val="center"/>
          </w:tcPr>
          <w:p w14:paraId="52B56229" w14:textId="77777777" w:rsidR="00F91404" w:rsidRPr="00F91404" w:rsidRDefault="00F91404" w:rsidP="00BD1985">
            <w:pPr>
              <w:spacing w:after="0"/>
              <w:rPr>
                <w:rFonts w:eastAsia="Times New Roman" w:cstheme="minorHAnsi"/>
                <w:sz w:val="20"/>
                <w:szCs w:val="20"/>
                <w:lang w:eastAsia="es-MX"/>
              </w:rPr>
            </w:pPr>
          </w:p>
        </w:tc>
      </w:tr>
      <w:tr w:rsidR="00F91404" w:rsidRPr="00F91404" w14:paraId="662699B9" w14:textId="77777777" w:rsidTr="00BD1985">
        <w:trPr>
          <w:trHeight w:val="1501"/>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3B8CCA33" w14:textId="77777777" w:rsidR="00F91404" w:rsidRPr="00F91404" w:rsidRDefault="00F91404" w:rsidP="00BD1985">
            <w:pPr>
              <w:spacing w:after="0"/>
              <w:jc w:val="center"/>
              <w:rPr>
                <w:rFonts w:eastAsia="Times New Roman" w:cstheme="minorHAnsi"/>
                <w:color w:val="FFFFFF"/>
                <w:sz w:val="18"/>
                <w:szCs w:val="18"/>
                <w:lang w:eastAsia="es-MX"/>
              </w:rPr>
            </w:pPr>
            <w:r w:rsidRPr="00F91404">
              <w:rPr>
                <w:rFonts w:eastAsia="Times New Roman" w:cstheme="minorHAnsi"/>
                <w:sz w:val="18"/>
                <w:szCs w:val="18"/>
                <w:lang w:eastAsia="es-MX"/>
              </w:rPr>
              <w:t>Demand is currently driven by existing industrial use, mainly in refining and pilot industrial applications, where hydrogen is tested as a cleaner substitute. Transport pilots also contribute to early demand, though applications remain small-scale.</w:t>
            </w:r>
          </w:p>
        </w:tc>
        <w:tc>
          <w:tcPr>
            <w:tcW w:w="83" w:type="pct"/>
            <w:vAlign w:val="center"/>
          </w:tcPr>
          <w:p w14:paraId="2335E889" w14:textId="77777777" w:rsidR="00F91404" w:rsidRPr="00F91404" w:rsidRDefault="00F91404" w:rsidP="00BD1985">
            <w:pPr>
              <w:spacing w:after="0"/>
              <w:rPr>
                <w:rFonts w:eastAsia="Times New Roman" w:cstheme="minorHAnsi"/>
                <w:sz w:val="20"/>
                <w:szCs w:val="20"/>
                <w:lang w:eastAsia="es-MX"/>
              </w:rPr>
            </w:pPr>
          </w:p>
        </w:tc>
      </w:tr>
      <w:tr w:rsidR="00F91404" w:rsidRPr="00F91404" w14:paraId="69D200BC" w14:textId="77777777" w:rsidTr="00BD1985">
        <w:trPr>
          <w:trHeight w:val="392"/>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1E432C2"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Renewable Energy Context</w:t>
            </w:r>
          </w:p>
        </w:tc>
        <w:tc>
          <w:tcPr>
            <w:tcW w:w="83" w:type="pct"/>
            <w:vAlign w:val="center"/>
          </w:tcPr>
          <w:p w14:paraId="5A7C3389" w14:textId="77777777" w:rsidR="00F91404" w:rsidRPr="00F91404" w:rsidRDefault="00F91404" w:rsidP="00BD1985">
            <w:pPr>
              <w:spacing w:after="0"/>
              <w:rPr>
                <w:rFonts w:eastAsia="Times New Roman" w:cstheme="minorHAnsi"/>
                <w:sz w:val="20"/>
                <w:szCs w:val="20"/>
                <w:lang w:eastAsia="es-MX"/>
              </w:rPr>
            </w:pPr>
          </w:p>
        </w:tc>
      </w:tr>
      <w:tr w:rsidR="00F91404" w:rsidRPr="00F91404" w14:paraId="139187F1" w14:textId="77777777" w:rsidTr="00BD1985">
        <w:trPr>
          <w:trHeight w:val="3669"/>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387310B4"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sz w:val="18"/>
                <w:szCs w:val="18"/>
                <w:lang w:eastAsia="es-MX"/>
              </w:rPr>
              <w:t xml:space="preserve">Colombia has expanded renewable electricity capacity in recent years, with significant contributions from large-scale hydroelectricity and growing additions of onshore wind and solar PV. Installed renewable capacity exceeds 20 GW, with hydropower still supplying </w:t>
            </w:r>
            <w:proofErr w:type="gramStart"/>
            <w:r w:rsidRPr="00F91404">
              <w:rPr>
                <w:rFonts w:eastAsia="Times New Roman" w:cstheme="minorHAnsi"/>
                <w:sz w:val="18"/>
                <w:szCs w:val="18"/>
                <w:lang w:eastAsia="es-MX"/>
              </w:rPr>
              <w:t>the majority of</w:t>
            </w:r>
            <w:proofErr w:type="gramEnd"/>
            <w:r w:rsidRPr="00F91404">
              <w:rPr>
                <w:rFonts w:eastAsia="Times New Roman" w:cstheme="minorHAnsi"/>
                <w:sz w:val="18"/>
                <w:szCs w:val="18"/>
                <w:lang w:eastAsia="es-MX"/>
              </w:rPr>
              <w:t xml:space="preserve"> low-carbon generation; however, solar and wind account for most recent incremental capacity additions. National planning targets and auctions aim to diversify the generation mix and increase variable renewables toward 2030, while transmission reinforcement and regional integration remain key constraints for large-scale electrolyser deployment. The country’s renewable resource distribution and existing hydropower base create opportunities for co-location of hydrogen projects in specific regions with industrial demand.</w:t>
            </w:r>
          </w:p>
        </w:tc>
        <w:tc>
          <w:tcPr>
            <w:tcW w:w="83" w:type="pct"/>
            <w:vAlign w:val="center"/>
          </w:tcPr>
          <w:p w14:paraId="31548C27" w14:textId="77777777" w:rsidR="00F91404" w:rsidRPr="00F91404" w:rsidRDefault="00F91404" w:rsidP="00BD1985">
            <w:pPr>
              <w:spacing w:after="0"/>
              <w:rPr>
                <w:rFonts w:eastAsia="Times New Roman" w:cstheme="minorHAnsi"/>
                <w:sz w:val="20"/>
                <w:szCs w:val="20"/>
                <w:lang w:eastAsia="es-MX"/>
              </w:rPr>
            </w:pPr>
          </w:p>
        </w:tc>
      </w:tr>
      <w:tr w:rsidR="00F91404" w:rsidRPr="00F91404" w14:paraId="07773138" w14:textId="77777777" w:rsidTr="00BD1985">
        <w:trPr>
          <w:trHeight w:val="411"/>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5118DEE0"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c>
          <w:tcPr>
            <w:tcW w:w="83" w:type="pct"/>
            <w:vAlign w:val="center"/>
          </w:tcPr>
          <w:p w14:paraId="422B054D" w14:textId="77777777" w:rsidR="00F91404" w:rsidRPr="00F91404" w:rsidRDefault="00F91404" w:rsidP="00BD1985">
            <w:pPr>
              <w:spacing w:after="0"/>
              <w:rPr>
                <w:rFonts w:eastAsia="Times New Roman" w:cstheme="minorHAnsi"/>
                <w:sz w:val="20"/>
                <w:szCs w:val="20"/>
                <w:lang w:eastAsia="es-MX"/>
              </w:rPr>
            </w:pPr>
          </w:p>
        </w:tc>
      </w:tr>
      <w:tr w:rsidR="00F91404" w:rsidRPr="00F91404" w14:paraId="058A363F" w14:textId="77777777" w:rsidTr="00BD1985">
        <w:trPr>
          <w:trHeight w:val="3507"/>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02A7E772"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Colombia follows a pilot-to-scaling, project-led hydrogen value chain model:</w:t>
            </w:r>
          </w:p>
          <w:p w14:paraId="7E66B96E"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Production:</w:t>
            </w:r>
            <w:r w:rsidRPr="00F91404">
              <w:rPr>
                <w:rFonts w:eastAsia="Times New Roman" w:cstheme="minorHAnsi"/>
                <w:sz w:val="18"/>
                <w:szCs w:val="18"/>
                <w:lang w:eastAsia="es-MX"/>
              </w:rPr>
              <w:br/>
              <w:t>Early-stage electrolysis projects co-located with renewable and hydropower resources; pilot projects focus on technical feasibility and industrial substitution.</w:t>
            </w:r>
          </w:p>
          <w:p w14:paraId="45E4B9EF"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Storage:</w:t>
            </w:r>
            <w:r w:rsidRPr="00F91404">
              <w:rPr>
                <w:rFonts w:eastAsia="Times New Roman" w:cstheme="minorHAnsi"/>
                <w:sz w:val="18"/>
                <w:szCs w:val="18"/>
                <w:lang w:eastAsia="es-MX"/>
              </w:rPr>
              <w:br/>
              <w:t>On-site and cluster-level storage solutions predominate at pilot scale, with larger geological or system-level storage options still at exploratory stages.</w:t>
            </w:r>
          </w:p>
          <w:p w14:paraId="72BDD1E0"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Transport / Distribution:</w:t>
            </w:r>
            <w:r w:rsidRPr="00F91404">
              <w:rPr>
                <w:rFonts w:eastAsia="Times New Roman" w:cstheme="minorHAnsi"/>
                <w:sz w:val="18"/>
                <w:szCs w:val="18"/>
                <w:lang w:eastAsia="es-MX"/>
              </w:rPr>
              <w:br/>
              <w:t>Transport organised around short-distance distribution linking production sites to nearby industrial users and ports; national long-distance hydrogen pipelines are not yet developed.</w:t>
            </w:r>
          </w:p>
          <w:p w14:paraId="77296639"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Applications:</w:t>
            </w:r>
            <w:r w:rsidRPr="00F91404">
              <w:rPr>
                <w:rFonts w:eastAsia="Times New Roman" w:cstheme="minorHAnsi"/>
                <w:sz w:val="18"/>
                <w:szCs w:val="18"/>
                <w:lang w:eastAsia="es-MX"/>
              </w:rPr>
              <w:br/>
              <w:t>Initial applications target industrial substitution (mining, refining), export potential is assessed but domestic demand for hard-to-abate sectors is the near-term focus.</w:t>
            </w:r>
          </w:p>
          <w:p w14:paraId="0A438F9F" w14:textId="77777777" w:rsidR="00F91404" w:rsidRPr="00F91404" w:rsidRDefault="00F91404" w:rsidP="00BD1985">
            <w:pPr>
              <w:spacing w:after="0"/>
              <w:rPr>
                <w:rFonts w:eastAsia="Times New Roman" w:cstheme="minorHAnsi"/>
                <w:sz w:val="18"/>
                <w:szCs w:val="18"/>
                <w:lang w:eastAsia="es-MX"/>
              </w:rPr>
            </w:pPr>
          </w:p>
        </w:tc>
        <w:tc>
          <w:tcPr>
            <w:tcW w:w="83" w:type="pct"/>
            <w:vAlign w:val="center"/>
          </w:tcPr>
          <w:p w14:paraId="5CE9846D" w14:textId="77777777" w:rsidR="00F91404" w:rsidRPr="00F91404" w:rsidRDefault="00F91404" w:rsidP="00BD1985">
            <w:pPr>
              <w:spacing w:after="0"/>
              <w:rPr>
                <w:rFonts w:eastAsia="Times New Roman" w:cstheme="minorHAnsi"/>
                <w:sz w:val="20"/>
                <w:szCs w:val="20"/>
                <w:lang w:eastAsia="es-MX"/>
              </w:rPr>
            </w:pPr>
          </w:p>
        </w:tc>
      </w:tr>
      <w:tr w:rsidR="00F91404" w:rsidRPr="00F91404" w14:paraId="0EB20FAF" w14:textId="77777777" w:rsidTr="00BD1985">
        <w:trPr>
          <w:trHeight w:val="415"/>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24FD0E7"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Strategic Stage &amp; Objective</w:t>
            </w:r>
          </w:p>
        </w:tc>
        <w:tc>
          <w:tcPr>
            <w:tcW w:w="83" w:type="pct"/>
            <w:vAlign w:val="center"/>
          </w:tcPr>
          <w:p w14:paraId="6B0DE25E" w14:textId="77777777" w:rsidR="00F91404" w:rsidRPr="00F91404" w:rsidRDefault="00F91404" w:rsidP="00BD1985">
            <w:pPr>
              <w:spacing w:after="0"/>
              <w:rPr>
                <w:rFonts w:eastAsia="Times New Roman" w:cstheme="minorHAnsi"/>
                <w:sz w:val="20"/>
                <w:szCs w:val="20"/>
                <w:lang w:eastAsia="es-MX"/>
              </w:rPr>
            </w:pPr>
          </w:p>
        </w:tc>
      </w:tr>
      <w:tr w:rsidR="00F91404" w:rsidRPr="00F91404" w14:paraId="509A4A7D" w14:textId="77777777" w:rsidTr="00BD1985">
        <w:trPr>
          <w:trHeight w:val="2216"/>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601076D4"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Current Stage:</w:t>
            </w:r>
            <w:r w:rsidRPr="00F91404">
              <w:rPr>
                <w:rFonts w:eastAsia="Times New Roman" w:cstheme="minorHAnsi"/>
                <w:sz w:val="18"/>
                <w:szCs w:val="18"/>
                <w:lang w:eastAsia="es-MX"/>
              </w:rPr>
              <w:t xml:space="preserve"> Early-stage / pilot-to-scaling.</w:t>
            </w:r>
          </w:p>
          <w:p w14:paraId="72AB7D14"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Overall Objective:</w:t>
            </w:r>
            <w:r w:rsidRPr="00F91404">
              <w:rPr>
                <w:rFonts w:eastAsia="Times New Roman" w:cstheme="minorHAnsi"/>
                <w:sz w:val="18"/>
                <w:szCs w:val="18"/>
                <w:lang w:eastAsia="es-MX"/>
              </w:rPr>
              <w:br/>
              <w:t>Develop a credible domestic pilot pipeline to validate technical and regulatory approaches, clarify permitting, and build investor confidence with a view to scaling industrial substitution and exploring export opportunities.</w:t>
            </w:r>
          </w:p>
          <w:p w14:paraId="37EA4ED8"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Implementation has progressed from roadmap and pilot support toward regulatory sandboxes and targeted pilot funding to reduce early-stage execution risk.</w:t>
            </w:r>
          </w:p>
          <w:p w14:paraId="32DF8192" w14:textId="77777777" w:rsidR="00F91404" w:rsidRPr="00F91404" w:rsidRDefault="00F91404" w:rsidP="00BD1985">
            <w:pPr>
              <w:spacing w:after="0"/>
              <w:rPr>
                <w:rFonts w:eastAsia="Times New Roman" w:cstheme="minorHAnsi"/>
                <w:sz w:val="18"/>
                <w:szCs w:val="18"/>
                <w:lang w:eastAsia="es-MX"/>
              </w:rPr>
            </w:pPr>
          </w:p>
        </w:tc>
        <w:tc>
          <w:tcPr>
            <w:tcW w:w="83" w:type="pct"/>
            <w:vAlign w:val="center"/>
          </w:tcPr>
          <w:p w14:paraId="437A945B" w14:textId="77777777" w:rsidR="00F91404" w:rsidRPr="00F91404" w:rsidRDefault="00F91404" w:rsidP="00BD1985">
            <w:pPr>
              <w:spacing w:after="0"/>
              <w:rPr>
                <w:rFonts w:eastAsia="Times New Roman" w:cstheme="minorHAnsi"/>
                <w:sz w:val="20"/>
                <w:szCs w:val="20"/>
                <w:lang w:eastAsia="es-MX"/>
              </w:rPr>
            </w:pPr>
          </w:p>
        </w:tc>
      </w:tr>
      <w:tr w:rsidR="00F91404" w:rsidRPr="00F91404" w14:paraId="579E4A0C" w14:textId="77777777" w:rsidTr="00BD1985">
        <w:trPr>
          <w:trHeight w:val="506"/>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4A2878AC"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Key Stakeholders</w:t>
            </w:r>
          </w:p>
        </w:tc>
        <w:tc>
          <w:tcPr>
            <w:tcW w:w="83" w:type="pct"/>
            <w:vAlign w:val="center"/>
          </w:tcPr>
          <w:p w14:paraId="0DAA4178" w14:textId="77777777" w:rsidR="00F91404" w:rsidRPr="00F91404" w:rsidRDefault="00F91404" w:rsidP="00BD1985">
            <w:pPr>
              <w:spacing w:after="0"/>
              <w:rPr>
                <w:rFonts w:eastAsia="Times New Roman" w:cstheme="minorHAnsi"/>
                <w:sz w:val="20"/>
                <w:szCs w:val="20"/>
                <w:lang w:eastAsia="es-MX"/>
              </w:rPr>
            </w:pPr>
          </w:p>
        </w:tc>
      </w:tr>
      <w:tr w:rsidR="00F91404" w:rsidRPr="00F91404" w14:paraId="06422AEE" w14:textId="77777777" w:rsidTr="00BD1985">
        <w:trPr>
          <w:trHeight w:val="3546"/>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6E8B83B3"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Principal public and private stakeholders include:</w:t>
            </w:r>
          </w:p>
          <w:p w14:paraId="794865F5" w14:textId="77777777" w:rsidR="00F91404" w:rsidRPr="00F91404" w:rsidRDefault="00F91404" w:rsidP="00BD1985">
            <w:pPr>
              <w:numPr>
                <w:ilvl w:val="0"/>
                <w:numId w:val="62"/>
              </w:numPr>
              <w:spacing w:after="0"/>
              <w:rPr>
                <w:rFonts w:eastAsia="Times New Roman" w:cstheme="minorHAnsi"/>
                <w:sz w:val="18"/>
                <w:szCs w:val="18"/>
                <w:lang w:eastAsia="es-MX"/>
              </w:rPr>
            </w:pPr>
            <w:r w:rsidRPr="00F91404">
              <w:rPr>
                <w:rFonts w:eastAsia="Times New Roman" w:cstheme="minorHAnsi"/>
                <w:sz w:val="18"/>
                <w:szCs w:val="18"/>
                <w:lang w:eastAsia="es-MX"/>
              </w:rPr>
              <w:t>Ministry of Mines and Energy (</w:t>
            </w:r>
            <w:proofErr w:type="spellStart"/>
            <w:r w:rsidRPr="00F91404">
              <w:rPr>
                <w:rFonts w:eastAsia="Times New Roman" w:cstheme="minorHAnsi"/>
                <w:sz w:val="18"/>
                <w:szCs w:val="18"/>
                <w:lang w:eastAsia="es-MX"/>
              </w:rPr>
              <w:t>MinEnergia</w:t>
            </w:r>
            <w:proofErr w:type="spellEnd"/>
            <w:r w:rsidRPr="00F91404">
              <w:rPr>
                <w:rFonts w:eastAsia="Times New Roman" w:cstheme="minorHAnsi"/>
                <w:sz w:val="18"/>
                <w:szCs w:val="18"/>
                <w:lang w:eastAsia="es-MX"/>
              </w:rPr>
              <w:t>) – strategic leadership and policy coordination</w:t>
            </w:r>
          </w:p>
          <w:p w14:paraId="697C52A0" w14:textId="77777777" w:rsidR="00F91404" w:rsidRPr="00F91404" w:rsidRDefault="00F91404" w:rsidP="00BD1985">
            <w:pPr>
              <w:numPr>
                <w:ilvl w:val="0"/>
                <w:numId w:val="62"/>
              </w:numPr>
              <w:spacing w:after="0"/>
              <w:rPr>
                <w:rFonts w:eastAsia="Times New Roman" w:cstheme="minorHAnsi"/>
                <w:sz w:val="18"/>
                <w:szCs w:val="18"/>
                <w:lang w:eastAsia="es-MX"/>
              </w:rPr>
            </w:pPr>
            <w:r w:rsidRPr="00F91404">
              <w:rPr>
                <w:rFonts w:eastAsia="Times New Roman" w:cstheme="minorHAnsi"/>
                <w:sz w:val="18"/>
                <w:szCs w:val="18"/>
                <w:lang w:eastAsia="es-MX"/>
              </w:rPr>
              <w:t>Mining and Energy Planning Unit (UPME) – planning, project pipeline and system integration analysis</w:t>
            </w:r>
          </w:p>
          <w:p w14:paraId="617AB03F" w14:textId="77777777" w:rsidR="00F91404" w:rsidRPr="00F91404" w:rsidRDefault="00F91404" w:rsidP="00BD1985">
            <w:pPr>
              <w:numPr>
                <w:ilvl w:val="0"/>
                <w:numId w:val="62"/>
              </w:numPr>
              <w:spacing w:after="0"/>
              <w:rPr>
                <w:rFonts w:eastAsia="Times New Roman" w:cstheme="minorHAnsi"/>
                <w:sz w:val="18"/>
                <w:szCs w:val="18"/>
                <w:lang w:eastAsia="es-MX"/>
              </w:rPr>
            </w:pPr>
            <w:r w:rsidRPr="00F91404">
              <w:rPr>
                <w:rFonts w:eastAsia="Times New Roman" w:cstheme="minorHAnsi"/>
                <w:sz w:val="18"/>
                <w:szCs w:val="18"/>
                <w:lang w:eastAsia="es-MX"/>
              </w:rPr>
              <w:t>Energy regulator (CREG) – market and regulatory oversight for energy-related interfaces</w:t>
            </w:r>
          </w:p>
          <w:p w14:paraId="3AC83ED9" w14:textId="77777777" w:rsidR="00F91404" w:rsidRPr="00F91404" w:rsidRDefault="00F91404" w:rsidP="00BD1985">
            <w:pPr>
              <w:numPr>
                <w:ilvl w:val="0"/>
                <w:numId w:val="62"/>
              </w:numPr>
              <w:spacing w:after="0"/>
              <w:rPr>
                <w:rFonts w:eastAsia="Times New Roman" w:cstheme="minorHAnsi"/>
                <w:sz w:val="18"/>
                <w:szCs w:val="18"/>
                <w:lang w:eastAsia="es-MX"/>
              </w:rPr>
            </w:pPr>
            <w:r w:rsidRPr="00F91404">
              <w:rPr>
                <w:rFonts w:eastAsia="Times New Roman" w:cstheme="minorHAnsi"/>
                <w:sz w:val="18"/>
                <w:szCs w:val="18"/>
                <w:lang w:eastAsia="es-MX"/>
              </w:rPr>
              <w:t>Environmental authorities (ANLA / regional agencies) – permitting and environmental approvals</w:t>
            </w:r>
          </w:p>
          <w:p w14:paraId="2F1FDC21" w14:textId="77777777" w:rsidR="00F91404" w:rsidRPr="00F91404" w:rsidRDefault="00F91404" w:rsidP="00BD1985">
            <w:pPr>
              <w:numPr>
                <w:ilvl w:val="0"/>
                <w:numId w:val="62"/>
              </w:numPr>
              <w:spacing w:after="0"/>
              <w:rPr>
                <w:rFonts w:eastAsia="Times New Roman" w:cstheme="minorHAnsi"/>
                <w:sz w:val="18"/>
                <w:szCs w:val="18"/>
                <w:lang w:eastAsia="es-MX"/>
              </w:rPr>
            </w:pPr>
            <w:r w:rsidRPr="00F91404">
              <w:rPr>
                <w:rFonts w:eastAsia="Times New Roman" w:cstheme="minorHAnsi"/>
                <w:sz w:val="18"/>
                <w:szCs w:val="18"/>
                <w:lang w:eastAsia="es-MX"/>
              </w:rPr>
              <w:t>Regional governments, port authorities and industrial offtakers (mining, refining) – local implementation and demand anchors</w:t>
            </w:r>
          </w:p>
          <w:p w14:paraId="744CBAE6" w14:textId="77777777" w:rsidR="00F91404" w:rsidRPr="00F91404" w:rsidRDefault="00F91404" w:rsidP="00BD1985">
            <w:pPr>
              <w:numPr>
                <w:ilvl w:val="0"/>
                <w:numId w:val="62"/>
              </w:numPr>
              <w:spacing w:after="0"/>
              <w:rPr>
                <w:rFonts w:eastAsia="Times New Roman" w:cstheme="minorHAnsi"/>
                <w:sz w:val="18"/>
                <w:szCs w:val="18"/>
                <w:lang w:eastAsia="es-MX"/>
              </w:rPr>
            </w:pPr>
            <w:r w:rsidRPr="00F91404">
              <w:rPr>
                <w:rFonts w:eastAsia="Times New Roman" w:cstheme="minorHAnsi"/>
                <w:sz w:val="18"/>
                <w:szCs w:val="18"/>
                <w:lang w:eastAsia="es-MX"/>
              </w:rPr>
              <w:t>Private developers, financiers and international technical partners</w:t>
            </w:r>
          </w:p>
          <w:p w14:paraId="3EAAEC63"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Stakeholder engagement is emerging through public–private pilots, regulatory sandboxes and multi-stakeholder consultation platforms.</w:t>
            </w:r>
          </w:p>
        </w:tc>
        <w:tc>
          <w:tcPr>
            <w:tcW w:w="83" w:type="pct"/>
            <w:vAlign w:val="center"/>
          </w:tcPr>
          <w:p w14:paraId="3E3B5BEB" w14:textId="77777777" w:rsidR="00F91404" w:rsidRPr="00F91404" w:rsidRDefault="00F91404" w:rsidP="00BD1985">
            <w:pPr>
              <w:spacing w:after="0"/>
              <w:rPr>
                <w:rFonts w:eastAsia="Times New Roman" w:cstheme="minorHAnsi"/>
                <w:sz w:val="20"/>
                <w:szCs w:val="20"/>
                <w:lang w:eastAsia="es-MX"/>
              </w:rPr>
            </w:pPr>
          </w:p>
        </w:tc>
      </w:tr>
      <w:tr w:rsidR="00F91404" w:rsidRPr="00F91404" w14:paraId="0AC4D9A7" w14:textId="77777777" w:rsidTr="00BD1985">
        <w:trPr>
          <w:trHeight w:val="433"/>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37596CC"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b/>
                <w:color w:val="FFFFFF"/>
                <w:sz w:val="18"/>
                <w:szCs w:val="18"/>
                <w:lang w:eastAsia="es-MX"/>
              </w:rPr>
              <w:t>Impact on project development:</w:t>
            </w:r>
          </w:p>
        </w:tc>
        <w:tc>
          <w:tcPr>
            <w:tcW w:w="83" w:type="pct"/>
            <w:vAlign w:val="center"/>
          </w:tcPr>
          <w:p w14:paraId="4126DBA3" w14:textId="77777777" w:rsidR="00F91404" w:rsidRPr="00F91404" w:rsidRDefault="00F91404" w:rsidP="00BD1985">
            <w:pPr>
              <w:spacing w:after="0"/>
              <w:rPr>
                <w:rFonts w:eastAsia="Times New Roman" w:cstheme="minorHAnsi"/>
                <w:sz w:val="20"/>
                <w:szCs w:val="20"/>
                <w:lang w:eastAsia="es-MX"/>
              </w:rPr>
            </w:pPr>
          </w:p>
        </w:tc>
      </w:tr>
      <w:tr w:rsidR="00F91404" w:rsidRPr="00F91404" w14:paraId="534728CF" w14:textId="77777777" w:rsidTr="00BD1985">
        <w:trPr>
          <w:trHeight w:val="2327"/>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3CDEA28D" w14:textId="77777777" w:rsidR="00F91404" w:rsidRPr="00F91404" w:rsidRDefault="00F91404" w:rsidP="00BD1985">
            <w:pPr>
              <w:pStyle w:val="ListParagraph"/>
              <w:numPr>
                <w:ilvl w:val="0"/>
                <w:numId w:val="39"/>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 xml:space="preserve">Fiscal incentives </w:t>
            </w:r>
            <w:r w:rsidRPr="00F91404">
              <w:rPr>
                <w:rFonts w:eastAsia="Times New Roman" w:cstheme="minorHAnsi"/>
                <w:sz w:val="18"/>
                <w:szCs w:val="18"/>
                <w:lang w:eastAsia="es-MX"/>
              </w:rPr>
              <w:t>have enabled early pilot activity and initial project experimentation</w:t>
            </w:r>
          </w:p>
          <w:p w14:paraId="440ECE9E" w14:textId="77777777" w:rsidR="00F91404" w:rsidRPr="00F91404" w:rsidRDefault="00F91404" w:rsidP="00BD1985">
            <w:pPr>
              <w:pStyle w:val="ListParagraph"/>
              <w:numPr>
                <w:ilvl w:val="0"/>
                <w:numId w:val="39"/>
              </w:numPr>
              <w:spacing w:before="240" w:after="140" w:line="276" w:lineRule="auto"/>
              <w:rPr>
                <w:rFonts w:eastAsia="Times New Roman" w:cstheme="minorHAnsi"/>
                <w:b/>
                <w:sz w:val="18"/>
                <w:szCs w:val="18"/>
                <w:lang w:eastAsia="es-MX"/>
              </w:rPr>
            </w:pPr>
            <w:r w:rsidRPr="00F91404">
              <w:rPr>
                <w:rFonts w:eastAsia="Times New Roman" w:cstheme="minorHAnsi"/>
                <w:b/>
                <w:sz w:val="18"/>
                <w:szCs w:val="18"/>
                <w:lang w:eastAsia="es-MX"/>
              </w:rPr>
              <w:t xml:space="preserve">Regulatory sandboxes </w:t>
            </w:r>
            <w:r w:rsidRPr="00F91404">
              <w:rPr>
                <w:rFonts w:eastAsia="Times New Roman" w:cstheme="minorHAnsi"/>
                <w:sz w:val="18"/>
                <w:szCs w:val="18"/>
                <w:lang w:eastAsia="es-MX"/>
              </w:rPr>
              <w:t>have reduced permitting barriers for first movers</w:t>
            </w:r>
          </w:p>
          <w:p w14:paraId="0719639C" w14:textId="77777777" w:rsidR="00F91404" w:rsidRPr="00F91404" w:rsidRDefault="00F91404" w:rsidP="00BD1985">
            <w:pPr>
              <w:pStyle w:val="ListParagraph"/>
              <w:numPr>
                <w:ilvl w:val="0"/>
                <w:numId w:val="39"/>
              </w:numPr>
              <w:spacing w:before="240" w:after="140" w:line="276" w:lineRule="auto"/>
              <w:rPr>
                <w:rFonts w:eastAsia="Times New Roman" w:cstheme="minorHAnsi"/>
                <w:b/>
                <w:sz w:val="18"/>
                <w:szCs w:val="18"/>
                <w:lang w:eastAsia="es-MX"/>
              </w:rPr>
            </w:pPr>
            <w:r w:rsidRPr="00F91404">
              <w:rPr>
                <w:rFonts w:eastAsia="Times New Roman" w:cstheme="minorHAnsi"/>
                <w:sz w:val="18"/>
                <w:szCs w:val="18"/>
                <w:lang w:eastAsia="es-MX"/>
              </w:rPr>
              <w:t>Absence of revenue support leaves projects exposed to</w:t>
            </w:r>
            <w:r w:rsidRPr="00F91404">
              <w:rPr>
                <w:rFonts w:eastAsia="Times New Roman" w:cstheme="minorHAnsi"/>
                <w:b/>
                <w:sz w:val="18"/>
                <w:szCs w:val="18"/>
                <w:lang w:eastAsia="es-MX"/>
              </w:rPr>
              <w:t xml:space="preserve"> price and demand risk</w:t>
            </w:r>
          </w:p>
          <w:p w14:paraId="740F13D6" w14:textId="77777777" w:rsidR="00F91404" w:rsidRPr="00F91404" w:rsidRDefault="00F91404" w:rsidP="00BD1985">
            <w:pPr>
              <w:pStyle w:val="ListParagraph"/>
              <w:numPr>
                <w:ilvl w:val="0"/>
                <w:numId w:val="39"/>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Lack of shared infrastructure constrains scalability beyond pilots</w:t>
            </w:r>
          </w:p>
          <w:p w14:paraId="0178F37B" w14:textId="77777777" w:rsidR="00F91404" w:rsidRPr="00F91404" w:rsidRDefault="00F91404" w:rsidP="00BD1985">
            <w:pPr>
              <w:pStyle w:val="ListParagraph"/>
              <w:numPr>
                <w:ilvl w:val="0"/>
                <w:numId w:val="39"/>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Outcomes reflect a</w:t>
            </w:r>
            <w:r w:rsidRPr="00F91404">
              <w:rPr>
                <w:rFonts w:eastAsia="Times New Roman" w:cstheme="minorHAnsi"/>
                <w:b/>
                <w:sz w:val="18"/>
                <w:szCs w:val="18"/>
                <w:lang w:eastAsia="es-MX"/>
              </w:rPr>
              <w:t xml:space="preserve"> learning-focused pilot market</w:t>
            </w:r>
            <w:r w:rsidRPr="00F91404">
              <w:rPr>
                <w:rFonts w:eastAsia="Times New Roman" w:cstheme="minorHAnsi"/>
                <w:sz w:val="18"/>
                <w:szCs w:val="18"/>
                <w:lang w:eastAsia="es-MX"/>
              </w:rPr>
              <w:t>, rather than an investable industrial ecosystem</w:t>
            </w:r>
          </w:p>
          <w:p w14:paraId="1821572E" w14:textId="77777777" w:rsidR="00F91404" w:rsidRPr="00F91404" w:rsidRDefault="00F91404" w:rsidP="00BD1985">
            <w:pPr>
              <w:spacing w:after="0"/>
              <w:jc w:val="center"/>
              <w:rPr>
                <w:rFonts w:eastAsia="Times New Roman" w:cstheme="minorHAnsi"/>
                <w:sz w:val="18"/>
                <w:szCs w:val="18"/>
                <w:lang w:eastAsia="es-MX"/>
              </w:rPr>
            </w:pPr>
          </w:p>
        </w:tc>
        <w:tc>
          <w:tcPr>
            <w:tcW w:w="83" w:type="pct"/>
            <w:vAlign w:val="center"/>
          </w:tcPr>
          <w:p w14:paraId="521A3A9B" w14:textId="77777777" w:rsidR="00F91404" w:rsidRPr="00F91404" w:rsidRDefault="00F91404" w:rsidP="00BD1985">
            <w:pPr>
              <w:spacing w:after="0"/>
              <w:rPr>
                <w:rFonts w:eastAsia="Times New Roman" w:cstheme="minorHAnsi"/>
                <w:sz w:val="20"/>
                <w:szCs w:val="20"/>
                <w:lang w:eastAsia="es-MX"/>
              </w:rPr>
            </w:pPr>
          </w:p>
        </w:tc>
      </w:tr>
      <w:tr w:rsidR="00F91404" w:rsidRPr="00F91404" w14:paraId="31E8FE90" w14:textId="77777777" w:rsidTr="00BD1985">
        <w:trPr>
          <w:trHeight w:val="400"/>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6BF55CEC"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c>
          <w:tcPr>
            <w:tcW w:w="83" w:type="pct"/>
            <w:vAlign w:val="center"/>
            <w:hideMark/>
          </w:tcPr>
          <w:p w14:paraId="3EFAADC4" w14:textId="77777777" w:rsidR="00F91404" w:rsidRPr="00F91404" w:rsidRDefault="00F91404" w:rsidP="00BD1985">
            <w:pPr>
              <w:spacing w:after="0"/>
              <w:rPr>
                <w:rFonts w:eastAsia="Times New Roman" w:cstheme="minorHAnsi"/>
                <w:sz w:val="20"/>
                <w:szCs w:val="20"/>
                <w:lang w:eastAsia="es-MX"/>
              </w:rPr>
            </w:pPr>
          </w:p>
        </w:tc>
      </w:tr>
      <w:tr w:rsidR="00F91404" w:rsidRPr="00F91404" w14:paraId="0CE57309" w14:textId="77777777" w:rsidTr="00BD1985">
        <w:trPr>
          <w:trHeight w:val="1220"/>
          <w:jc w:val="center"/>
        </w:trPr>
        <w:tc>
          <w:tcPr>
            <w:tcW w:w="4917" w:type="pct"/>
            <w:gridSpan w:val="9"/>
            <w:vMerge w:val="restart"/>
            <w:tcBorders>
              <w:top w:val="single" w:sz="12" w:space="0" w:color="808080"/>
              <w:left w:val="single" w:sz="12" w:space="0" w:color="808080"/>
              <w:bottom w:val="single" w:sz="12" w:space="0" w:color="808080"/>
              <w:right w:val="single" w:sz="12" w:space="0" w:color="808080"/>
            </w:tcBorders>
            <w:vAlign w:val="center"/>
          </w:tcPr>
          <w:p w14:paraId="527AA34B" w14:textId="77777777" w:rsidR="00F91404" w:rsidRPr="00F91404" w:rsidRDefault="00F91404" w:rsidP="00BD1985">
            <w:pPr>
              <w:numPr>
                <w:ilvl w:val="0"/>
                <w:numId w:val="63"/>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Ministry of Mines and Energy (</w:t>
            </w:r>
            <w:proofErr w:type="spellStart"/>
            <w:r w:rsidRPr="00F91404">
              <w:rPr>
                <w:rFonts w:eastAsia="Times New Roman" w:cstheme="minorHAnsi"/>
                <w:b/>
                <w:color w:val="000000"/>
                <w:sz w:val="18"/>
                <w:szCs w:val="18"/>
                <w:lang w:eastAsia="es-MX"/>
              </w:rPr>
              <w:t>MinEnergia</w:t>
            </w:r>
            <w:proofErr w:type="spellEnd"/>
            <w:r w:rsidRPr="00F91404">
              <w:rPr>
                <w:rFonts w:eastAsia="Times New Roman" w:cstheme="minorHAnsi"/>
                <w:b/>
                <w:color w:val="000000"/>
                <w:sz w:val="18"/>
                <w:szCs w:val="18"/>
                <w:lang w:eastAsia="es-MX"/>
              </w:rPr>
              <w:t>) – policy and national planning:</w:t>
            </w:r>
            <w:r w:rsidRPr="00F91404">
              <w:rPr>
                <w:rFonts w:eastAsia="Times New Roman" w:cstheme="minorHAnsi"/>
                <w:b/>
                <w:color w:val="000000"/>
                <w:sz w:val="18"/>
                <w:szCs w:val="18"/>
                <w:lang w:eastAsia="es-MX"/>
              </w:rPr>
              <w:br/>
            </w:r>
            <w:hyperlink r:id="rId54" w:tgtFrame="_new" w:history="1">
              <w:r w:rsidRPr="00F91404">
                <w:rPr>
                  <w:rStyle w:val="Hyperlink"/>
                  <w:rFonts w:eastAsia="Times New Roman" w:cstheme="minorHAnsi"/>
                  <w:b/>
                  <w:szCs w:val="18"/>
                  <w:lang w:eastAsia="es-MX"/>
                </w:rPr>
                <w:t>https://www.minenergia.gov.co</w:t>
              </w:r>
            </w:hyperlink>
          </w:p>
          <w:p w14:paraId="45D74AF0" w14:textId="77777777" w:rsidR="00F91404" w:rsidRPr="00F91404" w:rsidRDefault="00F91404" w:rsidP="00BD1985">
            <w:pPr>
              <w:numPr>
                <w:ilvl w:val="0"/>
                <w:numId w:val="63"/>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Colombia Hydrogen Roadmap (official documentation):</w:t>
            </w:r>
            <w:r w:rsidRPr="00F91404">
              <w:rPr>
                <w:rFonts w:eastAsia="Times New Roman" w:cstheme="minorHAnsi"/>
                <w:b/>
                <w:color w:val="000000"/>
                <w:sz w:val="18"/>
                <w:szCs w:val="18"/>
                <w:lang w:eastAsia="es-MX"/>
              </w:rPr>
              <w:br/>
            </w:r>
            <w:hyperlink r:id="rId55" w:tgtFrame="_new" w:history="1">
              <w:r w:rsidRPr="00F91404">
                <w:rPr>
                  <w:rStyle w:val="Hyperlink"/>
                  <w:rFonts w:eastAsia="Times New Roman" w:cstheme="minorHAnsi"/>
                  <w:b/>
                  <w:szCs w:val="18"/>
                  <w:lang w:eastAsia="es-MX"/>
                </w:rPr>
                <w:t>https://www.minenergia.gov.co/documents/5862/Colombias_Hydrogen_Roadmap_2810.pdf</w:t>
              </w:r>
            </w:hyperlink>
          </w:p>
          <w:p w14:paraId="6F62B918" w14:textId="77777777" w:rsidR="00F91404" w:rsidRPr="00F91404" w:rsidRDefault="00F91404" w:rsidP="00BD1985">
            <w:pPr>
              <w:numPr>
                <w:ilvl w:val="0"/>
                <w:numId w:val="63"/>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Mining and Energy Planning Unit (UPME) – planning and project information:</w:t>
            </w:r>
            <w:r w:rsidRPr="00F91404">
              <w:rPr>
                <w:rFonts w:eastAsia="Times New Roman" w:cstheme="minorHAnsi"/>
                <w:b/>
                <w:color w:val="000000"/>
                <w:sz w:val="18"/>
                <w:szCs w:val="18"/>
                <w:lang w:eastAsia="es-MX"/>
              </w:rPr>
              <w:br/>
            </w:r>
            <w:hyperlink r:id="rId56" w:tgtFrame="_new" w:history="1">
              <w:r w:rsidRPr="00F91404">
                <w:rPr>
                  <w:rStyle w:val="Hyperlink"/>
                  <w:rFonts w:eastAsia="Times New Roman" w:cstheme="minorHAnsi"/>
                  <w:b/>
                  <w:szCs w:val="18"/>
                  <w:lang w:eastAsia="es-MX"/>
                </w:rPr>
                <w:t>https://www.upme.gov.co</w:t>
              </w:r>
            </w:hyperlink>
          </w:p>
          <w:p w14:paraId="3963BABD" w14:textId="77777777" w:rsidR="00F91404" w:rsidRPr="00F91404" w:rsidRDefault="00F91404" w:rsidP="00BD1985">
            <w:pPr>
              <w:numPr>
                <w:ilvl w:val="0"/>
                <w:numId w:val="63"/>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Energy and Gas Regulatory Commission (CREG) – regulatory guidance and market rules:</w:t>
            </w:r>
            <w:r w:rsidRPr="00F91404">
              <w:rPr>
                <w:rFonts w:eastAsia="Times New Roman" w:cstheme="minorHAnsi"/>
                <w:b/>
                <w:color w:val="000000"/>
                <w:sz w:val="18"/>
                <w:szCs w:val="18"/>
                <w:lang w:eastAsia="es-MX"/>
              </w:rPr>
              <w:br/>
            </w:r>
            <w:hyperlink r:id="rId57" w:history="1">
              <w:r w:rsidRPr="00F91404">
                <w:rPr>
                  <w:rStyle w:val="Hyperlink"/>
                  <w:rFonts w:eastAsia="Times New Roman" w:cstheme="minorHAnsi"/>
                  <w:b/>
                  <w:szCs w:val="18"/>
                  <w:lang w:eastAsia="es-MX"/>
                </w:rPr>
                <w:t>https://www.creg.gov.co</w:t>
              </w:r>
            </w:hyperlink>
            <w:r w:rsidRPr="00F91404">
              <w:rPr>
                <w:rFonts w:eastAsia="Times New Roman" w:cstheme="minorHAnsi"/>
                <w:b/>
                <w:color w:val="000000"/>
                <w:sz w:val="18"/>
                <w:szCs w:val="18"/>
                <w:lang w:eastAsia="es-MX"/>
              </w:rPr>
              <w:t xml:space="preserve"> </w:t>
            </w:r>
          </w:p>
        </w:tc>
        <w:tc>
          <w:tcPr>
            <w:tcW w:w="83" w:type="pct"/>
            <w:vAlign w:val="center"/>
            <w:hideMark/>
          </w:tcPr>
          <w:p w14:paraId="41FFC997" w14:textId="77777777" w:rsidR="00F91404" w:rsidRPr="00F91404" w:rsidRDefault="00F91404" w:rsidP="00BD1985">
            <w:pPr>
              <w:spacing w:after="0"/>
              <w:rPr>
                <w:rFonts w:eastAsia="Times New Roman" w:cstheme="minorHAnsi"/>
                <w:sz w:val="20"/>
                <w:szCs w:val="20"/>
                <w:lang w:eastAsia="es-MX"/>
              </w:rPr>
            </w:pPr>
          </w:p>
        </w:tc>
      </w:tr>
      <w:tr w:rsidR="00F91404" w:rsidRPr="00F91404" w14:paraId="4CC0D7CF" w14:textId="77777777" w:rsidTr="00BD1985">
        <w:trPr>
          <w:trHeight w:val="920"/>
          <w:jc w:val="center"/>
        </w:trPr>
        <w:tc>
          <w:tcPr>
            <w:tcW w:w="4917" w:type="pct"/>
            <w:gridSpan w:val="9"/>
            <w:vMerge/>
            <w:tcBorders>
              <w:top w:val="single" w:sz="12" w:space="0" w:color="808080"/>
              <w:left w:val="single" w:sz="12" w:space="0" w:color="808080"/>
              <w:bottom w:val="single" w:sz="12" w:space="0" w:color="808080"/>
              <w:right w:val="single" w:sz="12" w:space="0" w:color="808080"/>
            </w:tcBorders>
            <w:vAlign w:val="center"/>
          </w:tcPr>
          <w:p w14:paraId="597AD731" w14:textId="77777777" w:rsidR="00F91404" w:rsidRPr="00F91404" w:rsidRDefault="00F91404" w:rsidP="00BD1985">
            <w:pPr>
              <w:spacing w:after="0"/>
              <w:rPr>
                <w:rFonts w:eastAsia="Times New Roman" w:cstheme="minorHAnsi"/>
                <w:b/>
                <w:bCs/>
                <w:color w:val="000000"/>
                <w:sz w:val="20"/>
                <w:szCs w:val="20"/>
                <w:lang w:eastAsia="es-MX"/>
              </w:rPr>
            </w:pPr>
          </w:p>
        </w:tc>
        <w:tc>
          <w:tcPr>
            <w:tcW w:w="83" w:type="pct"/>
            <w:tcBorders>
              <w:top w:val="nil"/>
              <w:left w:val="nil"/>
              <w:bottom w:val="nil"/>
              <w:right w:val="nil"/>
            </w:tcBorders>
            <w:noWrap/>
            <w:vAlign w:val="bottom"/>
            <w:hideMark/>
          </w:tcPr>
          <w:p w14:paraId="589E521C" w14:textId="77777777" w:rsidR="00F91404" w:rsidRPr="00F91404" w:rsidRDefault="00F91404" w:rsidP="00BD1985">
            <w:pPr>
              <w:spacing w:after="0"/>
              <w:jc w:val="center"/>
              <w:rPr>
                <w:rFonts w:eastAsia="Times New Roman" w:cstheme="minorHAnsi"/>
                <w:b/>
                <w:bCs/>
                <w:color w:val="000000"/>
                <w:sz w:val="20"/>
                <w:szCs w:val="20"/>
                <w:lang w:eastAsia="es-MX"/>
              </w:rPr>
            </w:pPr>
          </w:p>
        </w:tc>
      </w:tr>
    </w:tbl>
    <w:p w14:paraId="1D23FFA9" w14:textId="77777777" w:rsidR="00F91404" w:rsidRPr="00F91404" w:rsidRDefault="00F91404" w:rsidP="00F91404">
      <w:pPr>
        <w:rPr>
          <w:rFonts w:cstheme="minorHAnsi"/>
          <w:sz w:val="20"/>
          <w:szCs w:val="20"/>
        </w:rPr>
      </w:pPr>
    </w:p>
    <w:p w14:paraId="0913B99C" w14:textId="77777777" w:rsidR="00F91404" w:rsidRPr="00F91404" w:rsidRDefault="00F91404" w:rsidP="00F91404">
      <w:pPr>
        <w:spacing w:after="0"/>
        <w:rPr>
          <w:rFonts w:cstheme="minorHAnsi"/>
          <w:b/>
          <w:bCs/>
          <w:i/>
          <w:iCs/>
          <w:sz w:val="16"/>
          <w:szCs w:val="16"/>
        </w:rPr>
      </w:pPr>
      <w:r w:rsidRPr="00F91404">
        <w:rPr>
          <w:rFonts w:cstheme="minorHAnsi"/>
          <w:b/>
          <w:bCs/>
          <w:i/>
          <w:iCs/>
          <w:sz w:val="16"/>
          <w:szCs w:val="16"/>
        </w:rPr>
        <w:t>Sources:</w:t>
      </w:r>
    </w:p>
    <w:p w14:paraId="54C44686"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Strategy, roadmap and governance framework</w:t>
      </w:r>
    </w:p>
    <w:p w14:paraId="08D26D02" w14:textId="77777777" w:rsidR="00F91404" w:rsidRPr="00F91404" w:rsidRDefault="00F91404" w:rsidP="00F91404">
      <w:pPr>
        <w:numPr>
          <w:ilvl w:val="0"/>
          <w:numId w:val="137"/>
        </w:numPr>
        <w:spacing w:after="0"/>
        <w:rPr>
          <w:rFonts w:cstheme="minorHAnsi"/>
          <w:i/>
          <w:iCs/>
          <w:sz w:val="14"/>
          <w:szCs w:val="14"/>
          <w:lang w:val="es-MX"/>
        </w:rPr>
      </w:pPr>
      <w:proofErr w:type="spellStart"/>
      <w:r w:rsidRPr="00F91404">
        <w:rPr>
          <w:rFonts w:cstheme="minorHAnsi"/>
          <w:i/>
          <w:iCs/>
          <w:sz w:val="14"/>
          <w:szCs w:val="14"/>
          <w:lang w:val="es-MX"/>
        </w:rPr>
        <w:t>Ministry</w:t>
      </w:r>
      <w:proofErr w:type="spellEnd"/>
      <w:r w:rsidRPr="00F91404">
        <w:rPr>
          <w:rFonts w:cstheme="minorHAnsi"/>
          <w:i/>
          <w:iCs/>
          <w:sz w:val="14"/>
          <w:szCs w:val="14"/>
          <w:lang w:val="es-MX"/>
        </w:rPr>
        <w:t xml:space="preserve"> </w:t>
      </w:r>
      <w:proofErr w:type="spellStart"/>
      <w:r w:rsidRPr="00F91404">
        <w:rPr>
          <w:rFonts w:cstheme="minorHAnsi"/>
          <w:i/>
          <w:iCs/>
          <w:sz w:val="14"/>
          <w:szCs w:val="14"/>
          <w:lang w:val="es-MX"/>
        </w:rPr>
        <w:t>of</w:t>
      </w:r>
      <w:proofErr w:type="spellEnd"/>
      <w:r w:rsidRPr="00F91404">
        <w:rPr>
          <w:rFonts w:cstheme="minorHAnsi"/>
          <w:i/>
          <w:iCs/>
          <w:sz w:val="14"/>
          <w:szCs w:val="14"/>
          <w:lang w:val="es-MX"/>
        </w:rPr>
        <w:t xml:space="preserve"> Mines and Energy (MME) (2021), Hoja de Ruta del Hidrógeno en Colombia.</w:t>
      </w:r>
    </w:p>
    <w:p w14:paraId="0BAC8F8A"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Ministry of Mines and Energy (MME), Hydrogen Policy and Energy Transition publications.</w:t>
      </w:r>
    </w:p>
    <w:p w14:paraId="760B623E"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National Planning Department (DNP), Energy Transition and Decarbonisation policy documents (as applicable to hydrogen).</w:t>
      </w:r>
    </w:p>
    <w:p w14:paraId="2DC4DECF"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UPME (Unidad de Planeación Minero Energética), Planning and technical studies supporting hydrogen deployment.</w:t>
      </w:r>
    </w:p>
    <w:p w14:paraId="74A46F75"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Market and revenue support mechanisms</w:t>
      </w:r>
    </w:p>
    <w:p w14:paraId="6354C78C"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Government of Colombia policy communications outlining hydrogen development under the energy transition agenda.</w:t>
      </w:r>
    </w:p>
    <w:p w14:paraId="4678435D"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 xml:space="preserve">Ministry of Mines and Energy publications clarifying the absence of </w:t>
      </w:r>
      <w:proofErr w:type="spellStart"/>
      <w:r w:rsidRPr="00F91404">
        <w:rPr>
          <w:rFonts w:cstheme="minorHAnsi"/>
          <w:i/>
          <w:iCs/>
          <w:sz w:val="14"/>
          <w:szCs w:val="14"/>
        </w:rPr>
        <w:t>CfD</w:t>
      </w:r>
      <w:proofErr w:type="spellEnd"/>
      <w:r w:rsidRPr="00F91404">
        <w:rPr>
          <w:rFonts w:cstheme="minorHAnsi"/>
          <w:i/>
          <w:iCs/>
          <w:sz w:val="14"/>
          <w:szCs w:val="14"/>
        </w:rPr>
        <w:t>-type revenue support mechanisms.</w:t>
      </w:r>
    </w:p>
    <w:p w14:paraId="0EBD2A25"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Regulatory sandbox documentation for hydrogen pilot projects.</w:t>
      </w:r>
    </w:p>
    <w:p w14:paraId="0A067B60"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Direct public funding and financing mechanisms</w:t>
      </w:r>
    </w:p>
    <w:p w14:paraId="35B7D29D"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Government of Colombia pilot support programmes for renewable energy and hydrogen demonstration projects.</w:t>
      </w:r>
    </w:p>
    <w:p w14:paraId="6817A879"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Public funding announcements and feasibility study support linked to hydrogen pilots.</w:t>
      </w:r>
    </w:p>
    <w:p w14:paraId="6EA7292F"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Multilateral cooperation references supporting hydrogen studies (where applicable).</w:t>
      </w:r>
    </w:p>
    <w:p w14:paraId="1DE3DA40"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Standards and certification frameworks</w:t>
      </w:r>
    </w:p>
    <w:p w14:paraId="49388B90"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Legal recognition of green hydrogen within Colombia’s renewable energy framework.</w:t>
      </w:r>
    </w:p>
    <w:p w14:paraId="194EE3A3"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Technical standards and regulatory sandbox provisions applicable to hydrogen projects.</w:t>
      </w:r>
    </w:p>
    <w:p w14:paraId="027FB345"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Environmental licensing guidance issued by ANLA for energy transition projects (as applicable to hydrogen).</w:t>
      </w:r>
    </w:p>
    <w:p w14:paraId="780D0361"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Infrastructure enabling policies</w:t>
      </w:r>
    </w:p>
    <w:p w14:paraId="26478B9D"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Government planning documents referencing hydrogen infrastructure development.</w:t>
      </w:r>
    </w:p>
    <w:p w14:paraId="21C3DBAE"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Ministry of Mines and Energy publications on pilot-scale integration within existing industrial facilities.</w:t>
      </w:r>
    </w:p>
    <w:p w14:paraId="71CF6D49"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Policy documents confirming the absence of dedicated national hydrogen transport networks or hubs.</w:t>
      </w:r>
    </w:p>
    <w:p w14:paraId="3DA089DF"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Production capacity / pipeline and deployment status</w:t>
      </w:r>
    </w:p>
    <w:p w14:paraId="52D60FB2"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International Energy Agency (IEA) (2023), Global Hydrogen Review 2023, Paris: IEA.</w:t>
      </w:r>
    </w:p>
    <w:p w14:paraId="7924F7C7"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IEA Hydrogen Projects Database (latest available edition).</w:t>
      </w:r>
    </w:p>
    <w:p w14:paraId="1A427E83"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Public announcements of pilot projects led by Ecopetrol and other national energy actors.</w:t>
      </w:r>
    </w:p>
    <w:p w14:paraId="03FC2CC1"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Renewable energy context</w:t>
      </w:r>
    </w:p>
    <w:p w14:paraId="7C4D8E53"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Ministry of Mines and Energy, National Energy Balance and Renewable Capacity Statistics.</w:t>
      </w:r>
    </w:p>
    <w:p w14:paraId="4659F86B"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UPME electricity and renewable deployment reports.</w:t>
      </w:r>
    </w:p>
    <w:p w14:paraId="049BFADD"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International Renewable Energy Agency (IRENA), Renewable Energy Statistics (Colombia profile).</w:t>
      </w:r>
    </w:p>
    <w:p w14:paraId="6EF3A987" w14:textId="77777777" w:rsidR="00F91404" w:rsidRPr="00F91404" w:rsidRDefault="00F91404" w:rsidP="00F91404">
      <w:pPr>
        <w:rPr>
          <w:rFonts w:cstheme="minorHAnsi"/>
          <w:sz w:val="20"/>
          <w:szCs w:val="20"/>
        </w:rPr>
      </w:pPr>
    </w:p>
    <w:p w14:paraId="2468CA70" w14:textId="77777777" w:rsidR="00F91404" w:rsidRDefault="00F91404" w:rsidP="00F91404">
      <w:pPr>
        <w:ind w:left="0"/>
        <w:rPr>
          <w:rFonts w:cstheme="minorHAnsi"/>
          <w:color w:val="004F26" w:themeColor="accent4" w:themeShade="80"/>
          <w:sz w:val="20"/>
          <w:szCs w:val="20"/>
        </w:rPr>
      </w:pPr>
    </w:p>
    <w:p w14:paraId="2E92C1B4" w14:textId="77777777" w:rsidR="00F91404" w:rsidRDefault="00F91404" w:rsidP="00F91404">
      <w:pPr>
        <w:ind w:left="0"/>
        <w:rPr>
          <w:rFonts w:cstheme="minorHAnsi"/>
          <w:color w:val="004F26" w:themeColor="accent4" w:themeShade="80"/>
          <w:sz w:val="20"/>
          <w:szCs w:val="20"/>
        </w:rPr>
      </w:pPr>
    </w:p>
    <w:p w14:paraId="48347486" w14:textId="77777777" w:rsidR="00F91404" w:rsidRDefault="00F91404" w:rsidP="00F91404">
      <w:pPr>
        <w:ind w:left="0"/>
        <w:rPr>
          <w:rFonts w:cstheme="minorHAnsi"/>
          <w:color w:val="004F26" w:themeColor="accent4" w:themeShade="80"/>
          <w:sz w:val="20"/>
          <w:szCs w:val="20"/>
        </w:rPr>
      </w:pPr>
    </w:p>
    <w:p w14:paraId="4EDF99C4" w14:textId="77777777" w:rsidR="00F91404" w:rsidRDefault="00F91404" w:rsidP="00F91404">
      <w:pPr>
        <w:ind w:left="0"/>
        <w:rPr>
          <w:rFonts w:cstheme="minorHAnsi"/>
          <w:color w:val="004F26" w:themeColor="accent4" w:themeShade="80"/>
          <w:sz w:val="20"/>
          <w:szCs w:val="20"/>
        </w:rPr>
      </w:pPr>
    </w:p>
    <w:p w14:paraId="66E94775" w14:textId="77777777" w:rsidR="00F91404" w:rsidRDefault="00F91404" w:rsidP="00F91404">
      <w:pPr>
        <w:ind w:left="0"/>
        <w:rPr>
          <w:rFonts w:cstheme="minorHAnsi"/>
          <w:color w:val="004F26" w:themeColor="accent4" w:themeShade="80"/>
          <w:sz w:val="20"/>
          <w:szCs w:val="20"/>
        </w:rPr>
      </w:pPr>
    </w:p>
    <w:p w14:paraId="7C11A349" w14:textId="77777777" w:rsidR="00F91404" w:rsidRDefault="00F91404" w:rsidP="00F91404">
      <w:pPr>
        <w:ind w:left="0"/>
        <w:rPr>
          <w:rFonts w:cstheme="minorHAnsi"/>
          <w:color w:val="004F26" w:themeColor="accent4" w:themeShade="80"/>
          <w:sz w:val="20"/>
          <w:szCs w:val="20"/>
        </w:rPr>
      </w:pPr>
    </w:p>
    <w:p w14:paraId="0CBBF52E" w14:textId="77777777" w:rsidR="00F91404" w:rsidRDefault="00F91404" w:rsidP="00F91404">
      <w:pPr>
        <w:ind w:left="0"/>
        <w:rPr>
          <w:rFonts w:cstheme="minorHAnsi"/>
          <w:color w:val="004F26" w:themeColor="accent4" w:themeShade="80"/>
          <w:sz w:val="20"/>
          <w:szCs w:val="20"/>
        </w:rPr>
      </w:pPr>
    </w:p>
    <w:p w14:paraId="6B3BD552" w14:textId="77777777" w:rsidR="00F91404" w:rsidRDefault="00F91404" w:rsidP="00F91404">
      <w:pPr>
        <w:ind w:left="0"/>
        <w:rPr>
          <w:rFonts w:cstheme="minorHAnsi"/>
          <w:color w:val="004F26" w:themeColor="accent4" w:themeShade="80"/>
          <w:sz w:val="20"/>
          <w:szCs w:val="20"/>
        </w:rPr>
      </w:pPr>
    </w:p>
    <w:p w14:paraId="68A46FDB" w14:textId="74B0CEEC" w:rsidR="00074C04" w:rsidRPr="00F91404" w:rsidRDefault="00074C04" w:rsidP="00074C04">
      <w:pPr>
        <w:rPr>
          <w:b/>
          <w:bCs/>
          <w:i/>
          <w:iCs/>
          <w:color w:val="004C43" w:themeColor="accent1"/>
          <w:sz w:val="24"/>
          <w:szCs w:val="32"/>
        </w:rPr>
      </w:pPr>
      <w:r w:rsidRPr="00F91404">
        <w:rPr>
          <w:b/>
          <w:bCs/>
          <w:color w:val="004C43" w:themeColor="accent1"/>
          <w:sz w:val="24"/>
          <w:szCs w:val="32"/>
        </w:rPr>
        <w:lastRenderedPageBreak/>
        <w:t>Germany</w:t>
      </w:r>
    </w:p>
    <w:p w14:paraId="232F4671" w14:textId="77777777" w:rsidR="00074C04" w:rsidRPr="00F91404" w:rsidRDefault="00074C04" w:rsidP="00074C04">
      <w:pPr>
        <w:rPr>
          <w:rFonts w:cstheme="minorHAnsi"/>
          <w:sz w:val="20"/>
          <w:szCs w:val="20"/>
        </w:rPr>
      </w:pPr>
      <w:r w:rsidRPr="00F91404">
        <w:rPr>
          <w:rFonts w:cstheme="minorHAnsi"/>
          <w:sz w:val="20"/>
          <w:szCs w:val="20"/>
        </w:rPr>
        <w:t>Germany operates under one of the most consolidated governance frameworks for green hydrogen in the benchmark sample. Strategic leadership is exercised at the federal level by the Federal Ministry for Economic Affairs and Climate Action (BMWK), which defines hydrogen strategy, market mechanisms and alignment with industrial and climate policy. Regulatory oversight of energy systems and future hydrogen networks is provided by the Federal Network Agency (BNetzA), while KfW, the public development bank, plays a central role in financing and risk-sharing. Länder governments are responsible for permitting and regional implementation, particularly for large industrial and IPCEI-supported projects.</w:t>
      </w:r>
    </w:p>
    <w:p w14:paraId="21293E41" w14:textId="10FA3A53" w:rsidR="00074C04" w:rsidRPr="00F91404" w:rsidRDefault="00074C04" w:rsidP="00074C04">
      <w:pPr>
        <w:rPr>
          <w:rFonts w:cstheme="minorHAnsi"/>
          <w:sz w:val="20"/>
          <w:szCs w:val="20"/>
        </w:rPr>
      </w:pPr>
      <w:r w:rsidRPr="00F91404">
        <w:rPr>
          <w:rFonts w:cstheme="minorHAnsi"/>
          <w:sz w:val="20"/>
          <w:szCs w:val="20"/>
        </w:rPr>
        <w:t>From a legal and regulatory perspective, Germany applies EU-aligned sustainability and certification frameworks, including RFNBO criteria and Guarantees of Origin, which define eligibility, emissions accounting and access to support. This combination of clear institutional roles and regulatory certainty places Germany at an advanced, system-scale stage, enabling coordinated deployment of market-based instruments and hydrogen infrastructure.</w:t>
      </w:r>
    </w:p>
    <w:tbl>
      <w:tblPr>
        <w:tblW w:w="9463" w:type="dxa"/>
        <w:tblLayout w:type="fixed"/>
        <w:tblCellMar>
          <w:top w:w="15" w:type="dxa"/>
          <w:left w:w="70" w:type="dxa"/>
          <w:right w:w="70" w:type="dxa"/>
        </w:tblCellMar>
        <w:tblLook w:val="04A0" w:firstRow="1" w:lastRow="0" w:firstColumn="1" w:lastColumn="0" w:noHBand="0" w:noVBand="1"/>
      </w:tblPr>
      <w:tblGrid>
        <w:gridCol w:w="1892"/>
        <w:gridCol w:w="70"/>
        <w:gridCol w:w="403"/>
        <w:gridCol w:w="1420"/>
        <w:gridCol w:w="946"/>
        <w:gridCol w:w="946"/>
        <w:gridCol w:w="1420"/>
        <w:gridCol w:w="473"/>
        <w:gridCol w:w="1893"/>
      </w:tblGrid>
      <w:tr w:rsidR="00D31919" w:rsidRPr="00F91404" w14:paraId="329F7B4F" w14:textId="77777777" w:rsidTr="00D31919">
        <w:trPr>
          <w:trHeight w:val="948"/>
        </w:trPr>
        <w:tc>
          <w:tcPr>
            <w:tcW w:w="1892" w:type="dxa"/>
            <w:tcBorders>
              <w:top w:val="single" w:sz="4" w:space="0" w:color="auto"/>
              <w:left w:val="single" w:sz="4" w:space="0" w:color="auto"/>
              <w:bottom w:val="single" w:sz="4" w:space="0" w:color="auto"/>
              <w:right w:val="single" w:sz="4" w:space="0" w:color="auto"/>
            </w:tcBorders>
            <w:shd w:val="clear" w:color="auto" w:fill="004C43" w:themeFill="accent1"/>
            <w:vAlign w:val="center"/>
            <w:hideMark/>
          </w:tcPr>
          <w:p w14:paraId="4BEC7523" w14:textId="77777777" w:rsidR="00D31919" w:rsidRPr="00F91404" w:rsidRDefault="00D31919" w:rsidP="00843227">
            <w:pPr>
              <w:spacing w:after="0"/>
              <w:jc w:val="center"/>
              <w:rPr>
                <w:rFonts w:asciiTheme="majorHAnsi" w:eastAsia="Times New Roman" w:hAnsiTheme="majorHAnsi" w:cstheme="majorHAnsi"/>
                <w:b/>
                <w:bCs/>
                <w:color w:val="FFFFFF" w:themeColor="background1"/>
                <w:sz w:val="18"/>
                <w:szCs w:val="18"/>
                <w:lang w:eastAsia="es-MX"/>
              </w:rPr>
            </w:pPr>
            <w:r w:rsidRPr="00F91404">
              <w:rPr>
                <w:rFonts w:asciiTheme="majorHAnsi" w:eastAsia="Times New Roman" w:hAnsiTheme="majorHAnsi" w:cstheme="majorHAnsi"/>
                <w:b/>
                <w:color w:val="FFFFFF" w:themeColor="background1"/>
                <w:sz w:val="18"/>
                <w:szCs w:val="18"/>
                <w:lang w:eastAsia="es-MX"/>
              </w:rPr>
              <w:t xml:space="preserve">Green Hydrogen production </w:t>
            </w:r>
          </w:p>
          <w:p w14:paraId="4956A1CC" w14:textId="77777777" w:rsidR="00D31919" w:rsidRPr="00F91404" w:rsidRDefault="00D31919" w:rsidP="00843227">
            <w:pPr>
              <w:spacing w:after="0"/>
              <w:jc w:val="center"/>
              <w:rPr>
                <w:rFonts w:asciiTheme="majorHAnsi" w:eastAsia="Times New Roman" w:hAnsiTheme="majorHAnsi" w:cstheme="majorHAnsi"/>
                <w:b/>
                <w:color w:val="FFFFFF" w:themeColor="background1"/>
                <w:sz w:val="18"/>
                <w:szCs w:val="18"/>
                <w:lang w:eastAsia="es-MX"/>
              </w:rPr>
            </w:pPr>
            <w:r w:rsidRPr="00F91404">
              <w:rPr>
                <w:rFonts w:asciiTheme="majorHAnsi" w:eastAsia="Times New Roman" w:hAnsiTheme="majorHAnsi" w:cstheme="majorHAnsi"/>
                <w:b/>
                <w:color w:val="FFFFFF" w:themeColor="background1"/>
                <w:sz w:val="18"/>
                <w:szCs w:val="18"/>
                <w:lang w:eastAsia="es-MX"/>
              </w:rPr>
              <w:t xml:space="preserve">capacity </w:t>
            </w:r>
          </w:p>
          <w:p w14:paraId="1B89E009" w14:textId="77777777" w:rsidR="00D31919" w:rsidRPr="00F91404" w:rsidRDefault="00D31919" w:rsidP="00843227">
            <w:pPr>
              <w:spacing w:after="0"/>
              <w:jc w:val="center"/>
              <w:rPr>
                <w:rFonts w:asciiTheme="majorHAnsi" w:eastAsia="Times New Roman" w:hAnsiTheme="majorHAnsi" w:cstheme="majorHAnsi"/>
                <w:b/>
                <w:color w:val="FFFFFF" w:themeColor="background1"/>
                <w:sz w:val="18"/>
                <w:szCs w:val="18"/>
                <w:lang w:eastAsia="es-MX"/>
              </w:rPr>
            </w:pPr>
            <w:r w:rsidRPr="00F91404">
              <w:rPr>
                <w:rFonts w:asciiTheme="majorHAnsi" w:eastAsia="Times New Roman" w:hAnsiTheme="majorHAnsi" w:cstheme="majorHAnsi"/>
                <w:b/>
                <w:color w:val="FFFFFF" w:themeColor="background1"/>
                <w:sz w:val="18"/>
                <w:szCs w:val="18"/>
                <w:lang w:eastAsia="es-MX"/>
              </w:rPr>
              <w:t xml:space="preserve">Operational </w:t>
            </w:r>
            <w:r w:rsidRPr="00F91404">
              <w:rPr>
                <w:rFonts w:asciiTheme="majorHAnsi" w:eastAsia="Times New Roman" w:hAnsiTheme="majorHAnsi" w:cstheme="maj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asciiTheme="majorHAnsi" w:eastAsia="Times New Roman" w:hAnsiTheme="majorHAnsi" w:cstheme="majorHAnsi"/>
                <w:b/>
                <w:color w:val="FFFFFF" w:themeColor="background1"/>
                <w:sz w:val="18"/>
                <w:szCs w:val="18"/>
                <w:lang w:eastAsia="es-MX"/>
              </w:rPr>
              <w:t>/y)</w:t>
            </w:r>
          </w:p>
        </w:tc>
        <w:tc>
          <w:tcPr>
            <w:tcW w:w="1893" w:type="dxa"/>
            <w:gridSpan w:val="3"/>
            <w:tcBorders>
              <w:top w:val="single" w:sz="4" w:space="0" w:color="auto"/>
              <w:left w:val="single" w:sz="4" w:space="0" w:color="auto"/>
              <w:bottom w:val="single" w:sz="4" w:space="0" w:color="auto"/>
              <w:right w:val="single" w:sz="4" w:space="0" w:color="auto"/>
            </w:tcBorders>
            <w:shd w:val="clear" w:color="auto" w:fill="004C43" w:themeFill="accent1"/>
            <w:vAlign w:val="center"/>
            <w:hideMark/>
          </w:tcPr>
          <w:p w14:paraId="13647358" w14:textId="77777777" w:rsidR="00D31919" w:rsidRPr="00F91404" w:rsidRDefault="00D31919" w:rsidP="00843227">
            <w:pPr>
              <w:spacing w:after="0"/>
              <w:jc w:val="center"/>
              <w:rPr>
                <w:rFonts w:asciiTheme="majorHAnsi" w:eastAsia="Times New Roman" w:hAnsiTheme="majorHAnsi" w:cstheme="majorHAnsi"/>
                <w:b/>
                <w:bCs/>
                <w:color w:val="FFFFFF" w:themeColor="background1"/>
                <w:sz w:val="18"/>
                <w:szCs w:val="18"/>
                <w:lang w:eastAsia="es-MX"/>
              </w:rPr>
            </w:pPr>
            <w:r w:rsidRPr="00F91404">
              <w:rPr>
                <w:rFonts w:asciiTheme="majorHAnsi" w:eastAsia="Times New Roman" w:hAnsiTheme="majorHAnsi" w:cstheme="majorHAnsi"/>
                <w:b/>
                <w:color w:val="FFFFFF" w:themeColor="background1"/>
                <w:sz w:val="18"/>
                <w:szCs w:val="18"/>
                <w:lang w:eastAsia="es-MX"/>
              </w:rPr>
              <w:t xml:space="preserve">Green Hydrogen production </w:t>
            </w:r>
          </w:p>
          <w:p w14:paraId="0FA9A1AE" w14:textId="77777777" w:rsidR="00D31919" w:rsidRPr="00F91404" w:rsidRDefault="00D31919" w:rsidP="00843227">
            <w:pPr>
              <w:spacing w:after="0"/>
              <w:jc w:val="center"/>
              <w:rPr>
                <w:rFonts w:asciiTheme="majorHAnsi" w:eastAsia="Times New Roman" w:hAnsiTheme="majorHAnsi" w:cstheme="majorHAnsi"/>
                <w:b/>
                <w:color w:val="FFFFFF" w:themeColor="background1"/>
                <w:sz w:val="18"/>
                <w:szCs w:val="18"/>
                <w:lang w:eastAsia="es-MX"/>
              </w:rPr>
            </w:pPr>
            <w:r w:rsidRPr="00F91404">
              <w:rPr>
                <w:rFonts w:asciiTheme="majorHAnsi" w:eastAsia="Times New Roman" w:hAnsiTheme="majorHAnsi" w:cstheme="majorHAnsi"/>
                <w:b/>
                <w:color w:val="FFFFFF" w:themeColor="background1"/>
                <w:sz w:val="18"/>
                <w:szCs w:val="18"/>
                <w:lang w:eastAsia="es-MX"/>
              </w:rPr>
              <w:t xml:space="preserve">capacity Planned </w:t>
            </w:r>
            <w:r w:rsidRPr="00F91404">
              <w:rPr>
                <w:rFonts w:asciiTheme="majorHAnsi" w:eastAsia="Times New Roman" w:hAnsiTheme="majorHAnsi" w:cstheme="maj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asciiTheme="majorHAnsi" w:eastAsia="Times New Roman" w:hAnsiTheme="majorHAnsi" w:cstheme="majorHAnsi"/>
                <w:b/>
                <w:color w:val="FFFFFF" w:themeColor="background1"/>
                <w:sz w:val="18"/>
                <w:szCs w:val="18"/>
                <w:lang w:eastAsia="es-MX"/>
              </w:rPr>
              <w:t>/y)</w:t>
            </w:r>
          </w:p>
        </w:tc>
        <w:tc>
          <w:tcPr>
            <w:tcW w:w="1892" w:type="dxa"/>
            <w:gridSpan w:val="2"/>
            <w:tcBorders>
              <w:top w:val="single" w:sz="4" w:space="0" w:color="auto"/>
              <w:left w:val="single" w:sz="4" w:space="0" w:color="auto"/>
              <w:bottom w:val="single" w:sz="4" w:space="0" w:color="auto"/>
              <w:right w:val="single" w:sz="4" w:space="0" w:color="auto"/>
            </w:tcBorders>
            <w:shd w:val="clear" w:color="auto" w:fill="004C43" w:themeFill="accent1"/>
            <w:vAlign w:val="center"/>
            <w:hideMark/>
          </w:tcPr>
          <w:p w14:paraId="79AC5837" w14:textId="77777777" w:rsidR="00D31919" w:rsidRPr="00F91404" w:rsidRDefault="00D31919" w:rsidP="00843227">
            <w:pPr>
              <w:spacing w:after="0"/>
              <w:jc w:val="center"/>
              <w:rPr>
                <w:rFonts w:asciiTheme="majorHAnsi" w:eastAsia="Times New Roman" w:hAnsiTheme="majorHAnsi" w:cstheme="majorHAnsi"/>
                <w:b/>
                <w:bCs/>
                <w:color w:val="FFFFFF" w:themeColor="background1"/>
                <w:sz w:val="18"/>
                <w:szCs w:val="18"/>
                <w:lang w:eastAsia="es-MX"/>
              </w:rPr>
            </w:pPr>
            <w:r w:rsidRPr="00F91404">
              <w:rPr>
                <w:rFonts w:asciiTheme="majorHAnsi" w:eastAsia="Times New Roman" w:hAnsiTheme="majorHAnsi" w:cstheme="majorHAnsi"/>
                <w:b/>
                <w:color w:val="FFFFFF" w:themeColor="background1"/>
                <w:sz w:val="18"/>
                <w:szCs w:val="18"/>
                <w:lang w:eastAsia="es-MX"/>
              </w:rPr>
              <w:t xml:space="preserve">Hydrogen </w:t>
            </w:r>
          </w:p>
          <w:p w14:paraId="63C1252C" w14:textId="77777777" w:rsidR="00D31919" w:rsidRPr="00F91404" w:rsidRDefault="00D31919" w:rsidP="00843227">
            <w:pPr>
              <w:spacing w:after="0"/>
              <w:jc w:val="center"/>
              <w:rPr>
                <w:rFonts w:asciiTheme="majorHAnsi" w:eastAsia="Times New Roman" w:hAnsiTheme="majorHAnsi" w:cstheme="majorHAnsi"/>
                <w:b/>
                <w:color w:val="FFFFFF" w:themeColor="background1"/>
                <w:sz w:val="18"/>
                <w:szCs w:val="18"/>
                <w:lang w:eastAsia="es-MX"/>
              </w:rPr>
            </w:pPr>
            <w:r w:rsidRPr="00F91404">
              <w:rPr>
                <w:rFonts w:asciiTheme="majorHAnsi" w:eastAsia="Times New Roman" w:hAnsiTheme="majorHAnsi" w:cstheme="majorHAnsi"/>
                <w:b/>
                <w:color w:val="FFFFFF" w:themeColor="background1"/>
                <w:sz w:val="18"/>
                <w:szCs w:val="18"/>
                <w:lang w:eastAsia="es-MX"/>
              </w:rPr>
              <w:t xml:space="preserve">pipelines </w:t>
            </w:r>
            <w:r w:rsidRPr="00F91404">
              <w:rPr>
                <w:rFonts w:asciiTheme="majorHAnsi" w:eastAsia="Times New Roman" w:hAnsiTheme="majorHAnsi" w:cstheme="majorHAnsi"/>
                <w:b/>
                <w:color w:val="FFFFFF" w:themeColor="background1"/>
                <w:sz w:val="18"/>
                <w:szCs w:val="18"/>
                <w:lang w:eastAsia="es-MX"/>
              </w:rPr>
              <w:br/>
              <w:t>(km)</w:t>
            </w:r>
          </w:p>
        </w:tc>
        <w:tc>
          <w:tcPr>
            <w:tcW w:w="1893" w:type="dxa"/>
            <w:gridSpan w:val="2"/>
            <w:tcBorders>
              <w:top w:val="single" w:sz="4" w:space="0" w:color="auto"/>
              <w:left w:val="single" w:sz="4" w:space="0" w:color="auto"/>
              <w:bottom w:val="single" w:sz="4" w:space="0" w:color="auto"/>
              <w:right w:val="single" w:sz="4" w:space="0" w:color="auto"/>
            </w:tcBorders>
            <w:shd w:val="clear" w:color="auto" w:fill="004C43" w:themeFill="accent1"/>
            <w:vAlign w:val="center"/>
            <w:hideMark/>
          </w:tcPr>
          <w:p w14:paraId="03BBF81B" w14:textId="77777777" w:rsidR="00D31919" w:rsidRPr="00F91404" w:rsidRDefault="00D31919" w:rsidP="00843227">
            <w:pPr>
              <w:spacing w:after="0"/>
              <w:jc w:val="center"/>
              <w:rPr>
                <w:rFonts w:asciiTheme="majorHAnsi" w:eastAsia="Times New Roman" w:hAnsiTheme="majorHAnsi" w:cstheme="majorHAnsi"/>
                <w:b/>
                <w:color w:val="FFFFFF" w:themeColor="background1"/>
                <w:sz w:val="18"/>
                <w:szCs w:val="18"/>
                <w:lang w:eastAsia="es-MX"/>
              </w:rPr>
            </w:pPr>
            <w:r w:rsidRPr="00F91404">
              <w:rPr>
                <w:rFonts w:asciiTheme="majorHAnsi" w:eastAsia="Times New Roman" w:hAnsiTheme="majorHAnsi" w:cstheme="majorHAnsi"/>
                <w:b/>
                <w:color w:val="FFFFFF" w:themeColor="background1"/>
                <w:sz w:val="18"/>
                <w:szCs w:val="18"/>
                <w:lang w:eastAsia="es-MX"/>
              </w:rPr>
              <w:t xml:space="preserve">Ammonia port </w:t>
            </w:r>
          </w:p>
          <w:p w14:paraId="5D29E598" w14:textId="77777777" w:rsidR="00D31919" w:rsidRPr="00F91404" w:rsidRDefault="00D31919" w:rsidP="00843227">
            <w:pPr>
              <w:spacing w:after="0"/>
              <w:jc w:val="center"/>
              <w:rPr>
                <w:rFonts w:asciiTheme="majorHAnsi" w:eastAsia="Times New Roman" w:hAnsiTheme="majorHAnsi" w:cstheme="majorHAnsi"/>
                <w:b/>
                <w:color w:val="FFFFFF" w:themeColor="background1"/>
                <w:sz w:val="18"/>
                <w:szCs w:val="18"/>
                <w:lang w:eastAsia="es-MX"/>
              </w:rPr>
            </w:pPr>
            <w:r w:rsidRPr="00F91404">
              <w:rPr>
                <w:rFonts w:asciiTheme="majorHAnsi" w:eastAsia="Times New Roman" w:hAnsiTheme="majorHAnsi" w:cstheme="majorHAnsi"/>
                <w:b/>
                <w:color w:val="FFFFFF" w:themeColor="background1"/>
                <w:sz w:val="18"/>
                <w:szCs w:val="18"/>
                <w:lang w:eastAsia="es-MX"/>
              </w:rPr>
              <w:t xml:space="preserve">storage capacity </w:t>
            </w:r>
            <w:r w:rsidRPr="00F91404">
              <w:rPr>
                <w:rFonts w:asciiTheme="majorHAnsi" w:eastAsia="Times New Roman" w:hAnsiTheme="majorHAnsi" w:cstheme="majorHAnsi"/>
                <w:b/>
                <w:color w:val="FFFFFF" w:themeColor="background1"/>
                <w:sz w:val="18"/>
                <w:szCs w:val="18"/>
                <w:lang w:eastAsia="es-MX"/>
              </w:rPr>
              <w:br/>
              <w:t>(Thousand tonnes)</w:t>
            </w:r>
          </w:p>
        </w:tc>
        <w:tc>
          <w:tcPr>
            <w:tcW w:w="1893" w:type="dxa"/>
            <w:tcBorders>
              <w:top w:val="single" w:sz="4" w:space="0" w:color="auto"/>
              <w:left w:val="single" w:sz="4" w:space="0" w:color="auto"/>
              <w:bottom w:val="single" w:sz="4" w:space="0" w:color="auto"/>
              <w:right w:val="single" w:sz="4" w:space="0" w:color="auto"/>
            </w:tcBorders>
            <w:shd w:val="clear" w:color="auto" w:fill="004C43" w:themeFill="accent1"/>
            <w:vAlign w:val="center"/>
            <w:hideMark/>
          </w:tcPr>
          <w:p w14:paraId="2B59E47E" w14:textId="77777777" w:rsidR="00D31919" w:rsidRPr="00F91404" w:rsidRDefault="00D31919" w:rsidP="00843227">
            <w:pPr>
              <w:spacing w:after="0"/>
              <w:jc w:val="center"/>
              <w:rPr>
                <w:rFonts w:asciiTheme="majorHAnsi" w:eastAsia="Times New Roman" w:hAnsiTheme="majorHAnsi" w:cstheme="majorHAnsi"/>
                <w:b/>
                <w:color w:val="FFFFFF" w:themeColor="background1"/>
                <w:sz w:val="18"/>
                <w:szCs w:val="18"/>
                <w:lang w:eastAsia="es-MX"/>
              </w:rPr>
            </w:pPr>
            <w:r w:rsidRPr="00F91404">
              <w:rPr>
                <w:rFonts w:asciiTheme="majorHAnsi" w:eastAsia="Times New Roman" w:hAnsiTheme="majorHAnsi" w:cstheme="majorHAnsi"/>
                <w:b/>
                <w:color w:val="FFFFFF" w:themeColor="background1"/>
                <w:sz w:val="18"/>
                <w:szCs w:val="18"/>
                <w:lang w:eastAsia="es-MX"/>
              </w:rPr>
              <w:t>Dominant market model</w:t>
            </w:r>
          </w:p>
        </w:tc>
      </w:tr>
      <w:tr w:rsidR="00D31919" w:rsidRPr="00F91404" w14:paraId="16440092" w14:textId="77777777" w:rsidTr="00D31919">
        <w:trPr>
          <w:trHeight w:val="2171"/>
        </w:trPr>
        <w:tc>
          <w:tcPr>
            <w:tcW w:w="1892" w:type="dxa"/>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noWrap/>
            <w:vAlign w:val="center"/>
            <w:hideMark/>
          </w:tcPr>
          <w:p w14:paraId="2B4A4EC2" w14:textId="77777777" w:rsidR="00D31919" w:rsidRPr="00F91404" w:rsidRDefault="00D31919" w:rsidP="00843227">
            <w:pPr>
              <w:spacing w:after="0"/>
              <w:jc w:val="center"/>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b/>
                <w:noProof/>
                <w:color w:val="000000"/>
                <w:sz w:val="18"/>
                <w:szCs w:val="18"/>
                <w:lang w:eastAsia="es-MX"/>
              </w:rPr>
              <w:drawing>
                <wp:inline distT="0" distB="0" distL="0" distR="0" wp14:anchorId="0B53A6C3" wp14:editId="25EEEF3E">
                  <wp:extent cx="1194804" cy="1470992"/>
                  <wp:effectExtent l="0" t="0" r="0" b="0"/>
                  <wp:docPr id="1273184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7191"/>
                          <a:stretch>
                            <a:fillRect/>
                          </a:stretch>
                        </pic:blipFill>
                        <pic:spPr bwMode="auto">
                          <a:xfrm>
                            <a:off x="0" y="0"/>
                            <a:ext cx="1206463" cy="14853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3" w:type="dxa"/>
            <w:gridSpan w:val="3"/>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noWrap/>
            <w:vAlign w:val="center"/>
            <w:hideMark/>
          </w:tcPr>
          <w:p w14:paraId="5CBC1FC6" w14:textId="77777777" w:rsidR="00D31919" w:rsidRPr="00F91404" w:rsidRDefault="00D31919" w:rsidP="00843227">
            <w:pPr>
              <w:spacing w:after="0"/>
              <w:jc w:val="center"/>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b/>
                <w:noProof/>
                <w:color w:val="000000"/>
                <w:sz w:val="18"/>
                <w:szCs w:val="18"/>
                <w:lang w:eastAsia="es-MX"/>
              </w:rPr>
              <w:drawing>
                <wp:inline distT="0" distB="0" distL="0" distR="0" wp14:anchorId="350F6AA6" wp14:editId="48A9675B">
                  <wp:extent cx="1123602" cy="1438772"/>
                  <wp:effectExtent l="0" t="0" r="0" b="9525"/>
                  <wp:docPr id="1100016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5767" t="-1598" r="19230" b="8451"/>
                          <a:stretch>
                            <a:fillRect/>
                          </a:stretch>
                        </pic:blipFill>
                        <pic:spPr bwMode="auto">
                          <a:xfrm>
                            <a:off x="0" y="0"/>
                            <a:ext cx="1153413" cy="14769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2" w:type="dxa"/>
            <w:gridSpan w:val="2"/>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noWrap/>
            <w:vAlign w:val="center"/>
            <w:hideMark/>
          </w:tcPr>
          <w:p w14:paraId="381BCAB8" w14:textId="77777777" w:rsidR="00D31919" w:rsidRPr="00F91404" w:rsidRDefault="00D31919" w:rsidP="00843227">
            <w:pPr>
              <w:spacing w:after="0"/>
              <w:jc w:val="center"/>
              <w:rPr>
                <w:rFonts w:asciiTheme="majorHAnsi" w:eastAsia="Times New Roman" w:hAnsiTheme="majorHAnsi" w:cstheme="majorHAnsi"/>
                <w:b/>
                <w:color w:val="000000"/>
                <w:sz w:val="18"/>
                <w:szCs w:val="18"/>
                <w:lang w:eastAsia="es-MX"/>
              </w:rPr>
            </w:pPr>
          </w:p>
          <w:p w14:paraId="1D3CBBE1" w14:textId="77777777" w:rsidR="00D31919" w:rsidRPr="00F91404" w:rsidRDefault="00D31919" w:rsidP="00843227">
            <w:pPr>
              <w:spacing w:after="0"/>
              <w:jc w:val="center"/>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b/>
                <w:color w:val="000000"/>
                <w:sz w:val="18"/>
                <w:szCs w:val="18"/>
                <w:lang w:eastAsia="es-MX"/>
              </w:rPr>
              <w:t>7,023</w:t>
            </w:r>
          </w:p>
          <w:p w14:paraId="3E0061B5" w14:textId="77777777" w:rsidR="00D31919" w:rsidRPr="00F91404" w:rsidRDefault="00D31919" w:rsidP="00843227">
            <w:pPr>
              <w:spacing w:after="0"/>
              <w:jc w:val="center"/>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b/>
                <w:bCs/>
                <w:noProof/>
                <w:color w:val="000000"/>
                <w:sz w:val="18"/>
                <w:szCs w:val="18"/>
                <w:lang w:eastAsia="es-MX"/>
              </w:rPr>
              <w:drawing>
                <wp:inline distT="0" distB="0" distL="0" distR="0" wp14:anchorId="2E0A93CB" wp14:editId="66D49701">
                  <wp:extent cx="1180327" cy="783590"/>
                  <wp:effectExtent l="0" t="0" r="1270" b="0"/>
                  <wp:docPr id="1366727814" name="Picture 5" descr="A group of pipes with a red x&#10;&#10;AI-generated content may be incorrect.">
                    <a:extLst xmlns:a="http://schemas.openxmlformats.org/drawingml/2006/main">
                      <a:ext uri="{FF2B5EF4-FFF2-40B4-BE49-F238E27FC236}">
                        <a16:creationId xmlns:a16="http://schemas.microsoft.com/office/drawing/2014/main" id="{72E630C7-5A94-9021-B076-473D6ECA69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oup of pipes with a red x&#10;&#10;AI-generated content may be incorrect.">
                            <a:extLst>
                              <a:ext uri="{FF2B5EF4-FFF2-40B4-BE49-F238E27FC236}">
                                <a16:creationId xmlns:a16="http://schemas.microsoft.com/office/drawing/2014/main" id="{72E630C7-5A94-9021-B076-473D6ECA692D}"/>
                              </a:ext>
                            </a:extLst>
                          </pic:cNvPr>
                          <pic:cNvPicPr>
                            <a:picLocks noChangeAspect="1"/>
                          </pic:cNvPicPr>
                        </pic:nvPicPr>
                        <pic:blipFill>
                          <a:blip r:embed="rId37"/>
                          <a:srcRect l="7293" t="3678" r="50000" b="53793"/>
                          <a:stretch>
                            <a:fillRect/>
                          </a:stretch>
                        </pic:blipFill>
                        <pic:spPr>
                          <a:xfrm>
                            <a:off x="0" y="0"/>
                            <a:ext cx="1310597" cy="870073"/>
                          </a:xfrm>
                          <a:prstGeom prst="rect">
                            <a:avLst/>
                          </a:prstGeom>
                        </pic:spPr>
                      </pic:pic>
                    </a:graphicData>
                  </a:graphic>
                </wp:inline>
              </w:drawing>
            </w:r>
          </w:p>
          <w:p w14:paraId="2FB134B9" w14:textId="77777777" w:rsidR="00D31919" w:rsidRPr="00F91404" w:rsidRDefault="00D31919" w:rsidP="00843227">
            <w:pPr>
              <w:spacing w:after="0"/>
              <w:jc w:val="center"/>
              <w:rPr>
                <w:rFonts w:asciiTheme="majorHAnsi" w:eastAsia="Times New Roman" w:hAnsiTheme="majorHAnsi" w:cstheme="majorHAnsi"/>
                <w:b/>
                <w:color w:val="000000"/>
                <w:sz w:val="18"/>
                <w:szCs w:val="18"/>
                <w:lang w:eastAsia="es-MX"/>
              </w:rPr>
            </w:pPr>
          </w:p>
          <w:p w14:paraId="3C405A20" w14:textId="77777777" w:rsidR="00D31919" w:rsidRPr="00F91404" w:rsidRDefault="00D31919" w:rsidP="00843227">
            <w:pPr>
              <w:spacing w:after="0"/>
              <w:jc w:val="center"/>
              <w:rPr>
                <w:rFonts w:asciiTheme="majorHAnsi" w:eastAsia="Times New Roman" w:hAnsiTheme="majorHAnsi" w:cstheme="majorHAnsi"/>
                <w:b/>
                <w:color w:val="000000"/>
                <w:sz w:val="18"/>
                <w:szCs w:val="18"/>
                <w:lang w:eastAsia="es-MX"/>
              </w:rPr>
            </w:pPr>
          </w:p>
        </w:tc>
        <w:tc>
          <w:tcPr>
            <w:tcW w:w="1893" w:type="dxa"/>
            <w:gridSpan w:val="2"/>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noWrap/>
            <w:vAlign w:val="center"/>
            <w:hideMark/>
          </w:tcPr>
          <w:p w14:paraId="0BCE4AF4" w14:textId="77777777" w:rsidR="00D31919" w:rsidRPr="00F91404" w:rsidRDefault="00D31919" w:rsidP="00843227">
            <w:pPr>
              <w:spacing w:after="0"/>
              <w:jc w:val="center"/>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b/>
                <w:color w:val="000000"/>
                <w:sz w:val="18"/>
                <w:szCs w:val="18"/>
                <w:lang w:eastAsia="es-MX"/>
              </w:rPr>
              <w:t>204.1</w:t>
            </w:r>
            <w:r w:rsidRPr="00F91404">
              <w:rPr>
                <w:rFonts w:asciiTheme="majorHAnsi" w:eastAsia="Times New Roman" w:hAnsiTheme="majorHAnsi" w:cstheme="majorHAnsi"/>
                <w:b/>
                <w:noProof/>
                <w:color w:val="000000"/>
                <w:sz w:val="18"/>
                <w:szCs w:val="18"/>
                <w:lang w:eastAsia="es-MX"/>
              </w:rPr>
              <w:drawing>
                <wp:inline distT="0" distB="0" distL="0" distR="0" wp14:anchorId="04B1ED6A" wp14:editId="38EDAC23">
                  <wp:extent cx="1107137" cy="733204"/>
                  <wp:effectExtent l="0" t="0" r="0" b="0"/>
                  <wp:docPr id="3" name="Picture 2" descr="A group of white containers with black text&#10;&#10;AI-generated content may be incorrect.">
                    <a:extLst xmlns:a="http://schemas.openxmlformats.org/drawingml/2006/main">
                      <a:ext uri="{FF2B5EF4-FFF2-40B4-BE49-F238E27FC236}">
                        <a16:creationId xmlns:a16="http://schemas.microsoft.com/office/drawing/2014/main" id="{44F775F3-16A3-8C2A-C0CC-93EDCE338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oup of white containers with black text&#10;&#10;AI-generated content may be incorrect.">
                            <a:extLst>
                              <a:ext uri="{FF2B5EF4-FFF2-40B4-BE49-F238E27FC236}">
                                <a16:creationId xmlns:a16="http://schemas.microsoft.com/office/drawing/2014/main" id="{44F775F3-16A3-8C2A-C0CC-93EDCE338966}"/>
                              </a:ext>
                            </a:extLst>
                          </pic:cNvPr>
                          <pic:cNvPicPr>
                            <a:picLocks noChangeAspect="1"/>
                          </pic:cNvPicPr>
                        </pic:nvPicPr>
                        <pic:blipFill>
                          <a:blip r:embed="rId38"/>
                          <a:srcRect l="12315" t="7225" r="49409" b="54753"/>
                          <a:stretch>
                            <a:fillRect/>
                          </a:stretch>
                        </pic:blipFill>
                        <pic:spPr>
                          <a:xfrm>
                            <a:off x="0" y="0"/>
                            <a:ext cx="1154708" cy="764708"/>
                          </a:xfrm>
                          <a:prstGeom prst="rect">
                            <a:avLst/>
                          </a:prstGeom>
                        </pic:spPr>
                      </pic:pic>
                    </a:graphicData>
                  </a:graphic>
                </wp:inline>
              </w:drawing>
            </w:r>
          </w:p>
        </w:tc>
        <w:tc>
          <w:tcPr>
            <w:tcW w:w="1893" w:type="dxa"/>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041E3781" w14:textId="77777777" w:rsidR="00D31919" w:rsidRPr="00F91404" w:rsidRDefault="00D31919" w:rsidP="00843227">
            <w:pPr>
              <w:spacing w:after="0"/>
              <w:jc w:val="center"/>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b/>
                <w:noProof/>
                <w:color w:val="000000"/>
                <w:sz w:val="18"/>
                <w:szCs w:val="18"/>
                <w:lang w:eastAsia="es-MX"/>
              </w:rPr>
              <w:drawing>
                <wp:inline distT="0" distB="0" distL="0" distR="0" wp14:anchorId="10F19023" wp14:editId="1E3344E4">
                  <wp:extent cx="902020" cy="1289804"/>
                  <wp:effectExtent l="0" t="0" r="0" b="5715"/>
                  <wp:docPr id="140534720" name="Picture 5" descr="A screenshot of a computer&#10;&#10;AI-generated content may be incorrect.">
                    <a:extLst xmlns:a="http://schemas.openxmlformats.org/drawingml/2006/main">
                      <a:ext uri="{FF2B5EF4-FFF2-40B4-BE49-F238E27FC236}">
                        <a16:creationId xmlns:a16="http://schemas.microsoft.com/office/drawing/2014/main" id="{FDB2132D-C667-D84E-FC40-C2E96AE159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FDB2132D-C667-D84E-FC40-C2E96AE159BF}"/>
                              </a:ext>
                            </a:extLst>
                          </pic:cNvPr>
                          <pic:cNvPicPr>
                            <a:picLocks noChangeAspect="1"/>
                          </pic:cNvPicPr>
                        </pic:nvPicPr>
                        <pic:blipFill>
                          <a:blip r:embed="rId47"/>
                          <a:srcRect l="9744" t="10115" r="73857" b="54713"/>
                          <a:stretch>
                            <a:fillRect/>
                          </a:stretch>
                        </pic:blipFill>
                        <pic:spPr>
                          <a:xfrm>
                            <a:off x="0" y="0"/>
                            <a:ext cx="916201" cy="1310082"/>
                          </a:xfrm>
                          <a:prstGeom prst="rect">
                            <a:avLst/>
                          </a:prstGeom>
                        </pic:spPr>
                      </pic:pic>
                    </a:graphicData>
                  </a:graphic>
                </wp:inline>
              </w:drawing>
            </w:r>
          </w:p>
        </w:tc>
      </w:tr>
      <w:tr w:rsidR="00D31919" w:rsidRPr="00F91404" w14:paraId="6161461A" w14:textId="77777777" w:rsidTr="00D31919">
        <w:trPr>
          <w:trHeight w:val="590"/>
        </w:trPr>
        <w:tc>
          <w:tcPr>
            <w:tcW w:w="2365" w:type="dxa"/>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FFFFFF" w:themeColor="background1"/>
            </w:tcBorders>
            <w:shd w:val="clear" w:color="auto" w:fill="004C43" w:themeFill="accent1"/>
            <w:vAlign w:val="center"/>
            <w:hideMark/>
          </w:tcPr>
          <w:p w14:paraId="49D69710" w14:textId="77777777" w:rsidR="00D31919" w:rsidRPr="00F91404" w:rsidRDefault="00D31919" w:rsidP="00843227">
            <w:pPr>
              <w:spacing w:after="0"/>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Overall Status</w:t>
            </w:r>
          </w:p>
        </w:tc>
        <w:tc>
          <w:tcPr>
            <w:tcW w:w="2366" w:type="dxa"/>
            <w:gridSpan w:val="2"/>
            <w:tcBorders>
              <w:top w:val="single" w:sz="2" w:space="0" w:color="808080" w:themeColor="background1" w:themeShade="80"/>
              <w:left w:val="single" w:sz="2" w:space="0" w:color="FFFFFF" w:themeColor="background1"/>
              <w:bottom w:val="single" w:sz="2" w:space="0" w:color="808080" w:themeColor="background1" w:themeShade="80"/>
              <w:right w:val="single" w:sz="2" w:space="0" w:color="FFFFFF" w:themeColor="background1"/>
            </w:tcBorders>
            <w:shd w:val="clear" w:color="auto" w:fill="004C43" w:themeFill="accent1"/>
            <w:vAlign w:val="center"/>
            <w:hideMark/>
          </w:tcPr>
          <w:p w14:paraId="486E193A" w14:textId="77777777" w:rsidR="00D31919" w:rsidRPr="00F91404" w:rsidRDefault="00D31919" w:rsidP="00843227">
            <w:pPr>
              <w:spacing w:after="0"/>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Strategies</w:t>
            </w:r>
          </w:p>
        </w:tc>
        <w:tc>
          <w:tcPr>
            <w:tcW w:w="2366" w:type="dxa"/>
            <w:gridSpan w:val="2"/>
            <w:tcBorders>
              <w:top w:val="single" w:sz="2" w:space="0" w:color="808080" w:themeColor="background1" w:themeShade="80"/>
              <w:left w:val="single" w:sz="2" w:space="0" w:color="FFFFFF" w:themeColor="background1"/>
              <w:bottom w:val="single" w:sz="2" w:space="0" w:color="808080" w:themeColor="background1" w:themeShade="80"/>
              <w:right w:val="single" w:sz="2" w:space="0" w:color="FFFFFF" w:themeColor="background1"/>
            </w:tcBorders>
            <w:shd w:val="clear" w:color="auto" w:fill="004C43" w:themeFill="accent1"/>
            <w:vAlign w:val="center"/>
            <w:hideMark/>
          </w:tcPr>
          <w:p w14:paraId="42CAACCC" w14:textId="77777777" w:rsidR="00D31919" w:rsidRPr="00F91404" w:rsidRDefault="00D31919" w:rsidP="00843227">
            <w:pPr>
              <w:spacing w:after="0"/>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 xml:space="preserve">Road Map </w:t>
            </w:r>
          </w:p>
        </w:tc>
        <w:tc>
          <w:tcPr>
            <w:tcW w:w="2366" w:type="dxa"/>
            <w:gridSpan w:val="2"/>
            <w:tcBorders>
              <w:top w:val="single" w:sz="2" w:space="0" w:color="808080" w:themeColor="background1" w:themeShade="80"/>
              <w:left w:val="single" w:sz="2" w:space="0" w:color="FFFFFF" w:themeColor="background1"/>
              <w:bottom w:val="single" w:sz="2" w:space="0" w:color="808080" w:themeColor="background1" w:themeShade="80"/>
              <w:right w:val="single" w:sz="2" w:space="0" w:color="808080" w:themeColor="background1" w:themeShade="80"/>
            </w:tcBorders>
            <w:shd w:val="clear" w:color="auto" w:fill="004C43" w:themeFill="accent1"/>
            <w:vAlign w:val="center"/>
            <w:hideMark/>
          </w:tcPr>
          <w:p w14:paraId="7453E912" w14:textId="77777777" w:rsidR="00D31919" w:rsidRPr="00F91404" w:rsidRDefault="00D31919" w:rsidP="00843227">
            <w:pPr>
              <w:spacing w:after="0"/>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 xml:space="preserve">Implementation &amp; </w:t>
            </w:r>
          </w:p>
          <w:p w14:paraId="52214502" w14:textId="77777777" w:rsidR="00D31919" w:rsidRPr="00F91404" w:rsidRDefault="00D31919" w:rsidP="00843227">
            <w:pPr>
              <w:spacing w:after="0"/>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Development Plans</w:t>
            </w:r>
          </w:p>
        </w:tc>
      </w:tr>
      <w:tr w:rsidR="00D31919" w:rsidRPr="00F91404" w14:paraId="1407BAD2" w14:textId="77777777" w:rsidTr="00D31919">
        <w:trPr>
          <w:trHeight w:val="264"/>
        </w:trPr>
        <w:tc>
          <w:tcPr>
            <w:tcW w:w="2365" w:type="dxa"/>
            <w:gridSpan w:val="3"/>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6BCB2E42"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Advanced hydrogen market with bankable, industrial-scale projects</w:t>
            </w:r>
          </w:p>
          <w:p w14:paraId="6CBA7982"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Policy framework explicitly designed to address:</w:t>
            </w:r>
          </w:p>
          <w:p w14:paraId="48D460D8" w14:textId="77777777" w:rsidR="00D31919" w:rsidRPr="00F91404" w:rsidRDefault="00D31919" w:rsidP="008D5DDD">
            <w:pPr>
              <w:pStyle w:val="ListParagraph"/>
              <w:numPr>
                <w:ilvl w:val="1"/>
                <w:numId w:val="28"/>
              </w:numPr>
              <w:spacing w:before="240" w:after="140" w:line="276" w:lineRule="auto"/>
              <w:ind w:left="473" w:hanging="283"/>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High production costs</w:t>
            </w:r>
          </w:p>
          <w:p w14:paraId="1694189C" w14:textId="77777777" w:rsidR="00D31919" w:rsidRPr="00F91404" w:rsidRDefault="00D31919" w:rsidP="008D5DDD">
            <w:pPr>
              <w:pStyle w:val="ListParagraph"/>
              <w:numPr>
                <w:ilvl w:val="1"/>
                <w:numId w:val="28"/>
              </w:numPr>
              <w:spacing w:before="240" w:after="140" w:line="276" w:lineRule="auto"/>
              <w:ind w:left="473" w:hanging="283"/>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Demand and price uncertainty</w:t>
            </w:r>
          </w:p>
          <w:p w14:paraId="4A80DFDA" w14:textId="77777777" w:rsidR="00D31919" w:rsidRPr="00F91404" w:rsidRDefault="00D31919" w:rsidP="008D5DDD">
            <w:pPr>
              <w:pStyle w:val="ListParagraph"/>
              <w:numPr>
                <w:ilvl w:val="1"/>
                <w:numId w:val="28"/>
              </w:numPr>
              <w:spacing w:before="240" w:after="140" w:line="276" w:lineRule="auto"/>
              <w:ind w:left="473" w:hanging="283"/>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Infrastructure and integration risk</w:t>
            </w:r>
          </w:p>
          <w:p w14:paraId="4D189D77"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color w:val="000000"/>
                <w:sz w:val="18"/>
                <w:szCs w:val="18"/>
                <w:lang w:eastAsia="es-MX"/>
              </w:rPr>
              <w:t>Relies on direct market intervention, not broad fiscal incentives</w:t>
            </w:r>
          </w:p>
        </w:tc>
        <w:tc>
          <w:tcPr>
            <w:tcW w:w="2366" w:type="dxa"/>
            <w:gridSpan w:val="2"/>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445DADF4" w14:textId="77777777" w:rsidR="00D31919" w:rsidRPr="00F91404" w:rsidRDefault="00D31919" w:rsidP="008D5DDD">
            <w:pPr>
              <w:pStyle w:val="ListParagraph"/>
              <w:numPr>
                <w:ilvl w:val="0"/>
                <w:numId w:val="29"/>
              </w:numPr>
              <w:spacing w:before="240" w:after="140" w:line="276" w:lineRule="auto"/>
              <w:ind w:left="221"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Positions green hydrogen as a core instrument for industrial decarbonization and energy system transformation</w:t>
            </w:r>
          </w:p>
          <w:p w14:paraId="58E74DAB" w14:textId="77777777" w:rsidR="00D31919" w:rsidRPr="00F91404" w:rsidRDefault="00D31919" w:rsidP="008D5DDD">
            <w:pPr>
              <w:pStyle w:val="ListParagraph"/>
              <w:numPr>
                <w:ilvl w:val="0"/>
                <w:numId w:val="29"/>
              </w:numPr>
              <w:spacing w:before="240" w:after="140" w:line="276" w:lineRule="auto"/>
              <w:ind w:left="221"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Focuses on hard-to-abate, hydrogen-intensive sectors (steel, chemicals, refining), where electrification is limited</w:t>
            </w:r>
          </w:p>
          <w:p w14:paraId="3C9B85C5" w14:textId="77777777" w:rsidR="00D31919" w:rsidRPr="00F91404" w:rsidRDefault="00D31919" w:rsidP="008D5DDD">
            <w:pPr>
              <w:pStyle w:val="ListParagraph"/>
              <w:numPr>
                <w:ilvl w:val="0"/>
                <w:numId w:val="29"/>
              </w:numPr>
              <w:spacing w:before="240" w:after="140" w:line="276" w:lineRule="auto"/>
              <w:ind w:left="221"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Emphasizes early demand creation and scale, rather than cost reduction alone</w:t>
            </w:r>
          </w:p>
          <w:p w14:paraId="35679894" w14:textId="77777777" w:rsidR="00D31919" w:rsidRPr="00F91404" w:rsidRDefault="00D31919" w:rsidP="008D5DDD">
            <w:pPr>
              <w:pStyle w:val="ListParagraph"/>
              <w:numPr>
                <w:ilvl w:val="0"/>
                <w:numId w:val="29"/>
              </w:numPr>
              <w:spacing w:before="240" w:after="140" w:line="276" w:lineRule="auto"/>
              <w:ind w:left="221"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Designed to integrate hydrogen policy with industrial policy, infrastructure planning and EU climate objectives</w:t>
            </w:r>
          </w:p>
        </w:tc>
        <w:tc>
          <w:tcPr>
            <w:tcW w:w="2366" w:type="dxa"/>
            <w:gridSpan w:val="2"/>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62554094" w14:textId="77777777" w:rsidR="00D31919" w:rsidRPr="00F91404" w:rsidRDefault="00D31919" w:rsidP="008D5DDD">
            <w:pPr>
              <w:pStyle w:val="ListParagraph"/>
              <w:numPr>
                <w:ilvl w:val="0"/>
                <w:numId w:val="29"/>
              </w:numPr>
              <w:spacing w:before="240" w:after="140" w:line="276" w:lineRule="auto"/>
              <w:ind w:left="221"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Strategy adoption: (2021) National Hydrogen Strategy establishes hydrogen as a strategic priority for industry</w:t>
            </w:r>
          </w:p>
          <w:p w14:paraId="7B9B4D4C" w14:textId="77777777" w:rsidR="00D31919" w:rsidRPr="00F91404" w:rsidRDefault="00D31919" w:rsidP="008D5DDD">
            <w:pPr>
              <w:pStyle w:val="ListParagraph"/>
              <w:numPr>
                <w:ilvl w:val="0"/>
                <w:numId w:val="29"/>
              </w:numPr>
              <w:spacing w:before="240" w:after="140" w:line="276" w:lineRule="auto"/>
              <w:ind w:left="221"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Market creation phase:</w:t>
            </w:r>
            <w:r w:rsidRPr="00F91404">
              <w:rPr>
                <w:rFonts w:asciiTheme="majorHAnsi" w:hAnsiTheme="majorHAnsi" w:cstheme="majorHAnsi"/>
                <w:sz w:val="18"/>
                <w:szCs w:val="18"/>
              </w:rPr>
              <w:t xml:space="preserve"> (</w:t>
            </w:r>
            <w:r w:rsidRPr="00F91404">
              <w:rPr>
                <w:rFonts w:asciiTheme="majorHAnsi" w:eastAsia="Times New Roman" w:hAnsiTheme="majorHAnsi" w:cstheme="majorHAnsi"/>
                <w:color w:val="000000"/>
                <w:sz w:val="18"/>
                <w:szCs w:val="18"/>
                <w:lang w:eastAsia="es-MX"/>
              </w:rPr>
              <w:t>2023) Introduction of H2Global and IPCEI to enable first large-scale projects</w:t>
            </w:r>
          </w:p>
          <w:p w14:paraId="0FF14D28" w14:textId="77777777" w:rsidR="00D31919" w:rsidRPr="00F91404" w:rsidRDefault="00D31919" w:rsidP="008D5DDD">
            <w:pPr>
              <w:pStyle w:val="ListParagraph"/>
              <w:numPr>
                <w:ilvl w:val="0"/>
                <w:numId w:val="29"/>
              </w:numPr>
              <w:spacing w:before="240" w:after="140" w:line="276" w:lineRule="auto"/>
              <w:ind w:left="221"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Scaling phase (current): Expansion of procurement mechanisms and rollout of hydrogen backbone</w:t>
            </w:r>
          </w:p>
          <w:p w14:paraId="3729A46A" w14:textId="77777777" w:rsidR="00D31919" w:rsidRPr="00F91404" w:rsidRDefault="00D31919" w:rsidP="008D5DDD">
            <w:pPr>
              <w:pStyle w:val="ListParagraph"/>
              <w:numPr>
                <w:ilvl w:val="0"/>
                <w:numId w:val="29"/>
              </w:numPr>
              <w:spacing w:before="240" w:after="140" w:line="276" w:lineRule="auto"/>
              <w:ind w:left="221"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Next phase: Integration with EU hydrogen markets and cross-border infrastructure</w:t>
            </w:r>
          </w:p>
          <w:p w14:paraId="539548C7" w14:textId="77777777" w:rsidR="00D31919" w:rsidRPr="00F91404" w:rsidRDefault="00D31919" w:rsidP="00843227">
            <w:pPr>
              <w:spacing w:before="240"/>
              <w:rPr>
                <w:rFonts w:asciiTheme="majorHAnsi" w:eastAsia="Times New Roman" w:hAnsiTheme="majorHAnsi" w:cstheme="majorHAnsi"/>
                <w:color w:val="000000"/>
                <w:sz w:val="18"/>
                <w:szCs w:val="18"/>
                <w:lang w:eastAsia="es-MX"/>
              </w:rPr>
            </w:pPr>
          </w:p>
        </w:tc>
        <w:tc>
          <w:tcPr>
            <w:tcW w:w="2366" w:type="dxa"/>
            <w:gridSpan w:val="2"/>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2115E511" w14:textId="77777777" w:rsidR="00D31919" w:rsidRPr="00F91404" w:rsidRDefault="00D31919" w:rsidP="008D5DDD">
            <w:pPr>
              <w:pStyle w:val="ListParagraph"/>
              <w:numPr>
                <w:ilvl w:val="0"/>
                <w:numId w:val="29"/>
              </w:numPr>
              <w:spacing w:before="240" w:after="140" w:line="276" w:lineRule="auto"/>
              <w:ind w:left="221"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Execution focused on three core levers:</w:t>
            </w:r>
          </w:p>
          <w:p w14:paraId="600190CB" w14:textId="77777777" w:rsidR="00D31919" w:rsidRPr="00F91404" w:rsidRDefault="00D31919" w:rsidP="008D5DDD">
            <w:pPr>
              <w:pStyle w:val="ListParagraph"/>
              <w:numPr>
                <w:ilvl w:val="1"/>
                <w:numId w:val="29"/>
              </w:numPr>
              <w:spacing w:before="240" w:after="140" w:line="276" w:lineRule="auto"/>
              <w:ind w:left="404"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H2Global for demand creation and revenue certainty</w:t>
            </w:r>
          </w:p>
          <w:p w14:paraId="371CB0DC" w14:textId="77777777" w:rsidR="00D31919" w:rsidRPr="00F91404" w:rsidRDefault="00D31919" w:rsidP="008D5DDD">
            <w:pPr>
              <w:pStyle w:val="ListParagraph"/>
              <w:numPr>
                <w:ilvl w:val="1"/>
                <w:numId w:val="29"/>
              </w:numPr>
              <w:spacing w:before="240" w:after="140" w:line="276" w:lineRule="auto"/>
              <w:ind w:left="404"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IPCEI for large-scale CAPEX co-financing</w:t>
            </w:r>
          </w:p>
          <w:p w14:paraId="62B9BE16" w14:textId="77777777" w:rsidR="00D31919" w:rsidRPr="00F91404" w:rsidRDefault="00D31919" w:rsidP="008D5DDD">
            <w:pPr>
              <w:pStyle w:val="ListParagraph"/>
              <w:numPr>
                <w:ilvl w:val="1"/>
                <w:numId w:val="29"/>
              </w:numPr>
              <w:spacing w:before="240" w:after="140" w:line="276" w:lineRule="auto"/>
              <w:ind w:left="404"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National funding schemes for system-relevant projects</w:t>
            </w:r>
          </w:p>
          <w:p w14:paraId="0ABE4DDA" w14:textId="77777777" w:rsidR="00D31919" w:rsidRPr="00F91404" w:rsidRDefault="00D31919" w:rsidP="008D5DDD">
            <w:pPr>
              <w:pStyle w:val="ListParagraph"/>
              <w:numPr>
                <w:ilvl w:val="0"/>
                <w:numId w:val="29"/>
              </w:numPr>
              <w:spacing w:before="240" w:after="140" w:line="276" w:lineRule="auto"/>
              <w:ind w:left="221"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 xml:space="preserve">Infrastructure delivery </w:t>
            </w:r>
            <w:r w:rsidRPr="00F91404">
              <w:rPr>
                <w:rFonts w:asciiTheme="majorHAnsi" w:eastAsia="Times New Roman" w:hAnsiTheme="majorHAnsi" w:cstheme="majorHAnsi"/>
                <w:color w:val="000000"/>
                <w:sz w:val="18"/>
                <w:szCs w:val="18"/>
                <w:lang w:eastAsia="es-MX"/>
              </w:rPr>
              <w:br/>
              <w:t>prioritizes:</w:t>
            </w:r>
          </w:p>
          <w:p w14:paraId="41BD6156" w14:textId="77777777" w:rsidR="00D31919" w:rsidRPr="00F91404" w:rsidRDefault="00D31919" w:rsidP="008D5DDD">
            <w:pPr>
              <w:pStyle w:val="ListParagraph"/>
              <w:numPr>
                <w:ilvl w:val="1"/>
                <w:numId w:val="29"/>
              </w:numPr>
              <w:spacing w:before="240" w:after="140" w:line="276" w:lineRule="auto"/>
              <w:ind w:left="404"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Hydrogen backbone</w:t>
            </w:r>
          </w:p>
          <w:p w14:paraId="194C027A" w14:textId="77777777" w:rsidR="00D31919" w:rsidRPr="00F91404" w:rsidRDefault="00D31919" w:rsidP="008D5DDD">
            <w:pPr>
              <w:pStyle w:val="ListParagraph"/>
              <w:numPr>
                <w:ilvl w:val="1"/>
                <w:numId w:val="29"/>
              </w:numPr>
              <w:spacing w:before="240" w:after="140" w:line="276" w:lineRule="auto"/>
              <w:ind w:left="404"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Storage linked to industrial cluster.</w:t>
            </w:r>
          </w:p>
        </w:tc>
      </w:tr>
      <w:tr w:rsidR="00D31919" w:rsidRPr="00F91404" w14:paraId="1DB3D385" w14:textId="77777777" w:rsidTr="00D31919">
        <w:trPr>
          <w:trHeight w:val="5863"/>
        </w:trPr>
        <w:tc>
          <w:tcPr>
            <w:tcW w:w="2365" w:type="dxa"/>
            <w:gridSpan w:val="3"/>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0796BC1F" w14:textId="77777777" w:rsidR="00D31919" w:rsidRPr="00F91404" w:rsidRDefault="00D31919" w:rsidP="00843227">
            <w:pPr>
              <w:spacing w:after="0"/>
              <w:rPr>
                <w:rFonts w:asciiTheme="majorHAnsi" w:eastAsia="Times New Roman" w:hAnsiTheme="majorHAnsi" w:cstheme="majorHAnsi"/>
                <w:b/>
                <w:color w:val="000000"/>
                <w:sz w:val="18"/>
                <w:szCs w:val="18"/>
                <w:lang w:eastAsia="es-MX"/>
              </w:rPr>
            </w:pPr>
          </w:p>
        </w:tc>
        <w:tc>
          <w:tcPr>
            <w:tcW w:w="2366" w:type="dxa"/>
            <w:gridSpan w:val="2"/>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3CBB9CB8" w14:textId="77777777" w:rsidR="00D31919" w:rsidRPr="00F91404" w:rsidRDefault="00D31919" w:rsidP="00843227">
            <w:pPr>
              <w:spacing w:after="0"/>
              <w:rPr>
                <w:rFonts w:asciiTheme="majorHAnsi" w:eastAsia="Times New Roman" w:hAnsiTheme="majorHAnsi" w:cstheme="majorHAnsi"/>
                <w:color w:val="000000"/>
                <w:sz w:val="18"/>
                <w:szCs w:val="18"/>
                <w:lang w:eastAsia="es-MX"/>
              </w:rPr>
            </w:pPr>
          </w:p>
        </w:tc>
        <w:tc>
          <w:tcPr>
            <w:tcW w:w="2366" w:type="dxa"/>
            <w:gridSpan w:val="2"/>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0478262C" w14:textId="77777777" w:rsidR="00D31919" w:rsidRPr="00F91404" w:rsidRDefault="00D31919" w:rsidP="00843227">
            <w:pPr>
              <w:spacing w:after="0"/>
              <w:rPr>
                <w:rFonts w:asciiTheme="majorHAnsi" w:eastAsia="Times New Roman" w:hAnsiTheme="majorHAnsi" w:cstheme="majorHAnsi"/>
                <w:color w:val="000000"/>
                <w:sz w:val="18"/>
                <w:szCs w:val="18"/>
                <w:lang w:eastAsia="es-MX"/>
              </w:rPr>
            </w:pPr>
          </w:p>
        </w:tc>
        <w:tc>
          <w:tcPr>
            <w:tcW w:w="2366" w:type="dxa"/>
            <w:gridSpan w:val="2"/>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105D2BF8" w14:textId="77777777" w:rsidR="00D31919" w:rsidRPr="00F91404" w:rsidRDefault="00D31919" w:rsidP="00843227">
            <w:pPr>
              <w:spacing w:after="0"/>
              <w:rPr>
                <w:rFonts w:asciiTheme="majorHAnsi" w:eastAsia="Times New Roman" w:hAnsiTheme="majorHAnsi" w:cstheme="majorHAnsi"/>
                <w:color w:val="000000"/>
                <w:sz w:val="18"/>
                <w:szCs w:val="18"/>
                <w:lang w:eastAsia="es-MX"/>
              </w:rPr>
            </w:pPr>
          </w:p>
        </w:tc>
      </w:tr>
      <w:tr w:rsidR="00D31919" w:rsidRPr="00F91404" w14:paraId="011DBD24" w14:textId="77777777" w:rsidTr="00D31919">
        <w:trPr>
          <w:trHeight w:val="400"/>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4C43" w:themeFill="accent1"/>
            <w:vAlign w:val="center"/>
            <w:hideMark/>
          </w:tcPr>
          <w:p w14:paraId="16C64CFE" w14:textId="77777777" w:rsidR="00D31919" w:rsidRPr="00F91404" w:rsidRDefault="00D31919" w:rsidP="00843227">
            <w:pPr>
              <w:spacing w:after="0"/>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Policies Framework</w:t>
            </w:r>
          </w:p>
        </w:tc>
      </w:tr>
      <w:tr w:rsidR="00D31919" w:rsidRPr="00F91404" w14:paraId="412B42B6" w14:textId="77777777" w:rsidTr="00D31919">
        <w:trPr>
          <w:trHeight w:val="1210"/>
        </w:trPr>
        <w:tc>
          <w:tcPr>
            <w:tcW w:w="1962"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F1DF" w:themeFill="accent2" w:themeFillTint="33"/>
            <w:vAlign w:val="center"/>
            <w:hideMark/>
          </w:tcPr>
          <w:p w14:paraId="6CEDCAEB" w14:textId="77777777" w:rsidR="00D31919" w:rsidRPr="00F91404" w:rsidRDefault="00D31919" w:rsidP="00843227">
            <w:pPr>
              <w:spacing w:after="0"/>
              <w:jc w:val="center"/>
              <w:rPr>
                <w:rFonts w:asciiTheme="majorHAnsi" w:eastAsia="Times New Roman" w:hAnsiTheme="majorHAnsi" w:cstheme="majorHAnsi"/>
                <w:b/>
                <w:color w:val="0B3040"/>
                <w:sz w:val="18"/>
                <w:szCs w:val="18"/>
                <w:lang w:eastAsia="es-MX"/>
              </w:rPr>
            </w:pPr>
            <w:r w:rsidRPr="00F91404">
              <w:rPr>
                <w:rFonts w:asciiTheme="majorHAnsi" w:eastAsia="Times New Roman" w:hAnsiTheme="majorHAnsi" w:cstheme="majorHAnsi"/>
                <w:b/>
                <w:color w:val="0B3040"/>
                <w:sz w:val="18"/>
                <w:szCs w:val="18"/>
                <w:lang w:eastAsia="es-MX"/>
              </w:rPr>
              <w:t xml:space="preserve">Fiscal &amp; Tax </w:t>
            </w:r>
          </w:p>
          <w:p w14:paraId="798E8617" w14:textId="77777777" w:rsidR="00D31919" w:rsidRPr="00F91404" w:rsidRDefault="00D31919" w:rsidP="00843227">
            <w:pPr>
              <w:spacing w:after="0"/>
              <w:jc w:val="center"/>
              <w:rPr>
                <w:rFonts w:asciiTheme="majorHAnsi" w:eastAsia="Times New Roman" w:hAnsiTheme="majorHAnsi" w:cstheme="majorHAnsi"/>
                <w:b/>
                <w:color w:val="0B3040"/>
                <w:sz w:val="18"/>
                <w:szCs w:val="18"/>
                <w:lang w:eastAsia="es-MX"/>
              </w:rPr>
            </w:pPr>
            <w:r w:rsidRPr="00F91404">
              <w:rPr>
                <w:rFonts w:asciiTheme="majorHAnsi" w:eastAsia="Times New Roman" w:hAnsiTheme="majorHAnsi" w:cstheme="majorHAnsi"/>
                <w:b/>
                <w:color w:val="0B3040"/>
                <w:sz w:val="18"/>
                <w:szCs w:val="18"/>
                <w:lang w:eastAsia="es-MX"/>
              </w:rPr>
              <w:t>Incentives</w:t>
            </w:r>
          </w:p>
        </w:tc>
        <w:tc>
          <w:tcPr>
            <w:tcW w:w="7501" w:type="dxa"/>
            <w:gridSpan w:val="7"/>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6BBB1B4F"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No hydrogen-specific tax credits are used as a deployment tool</w:t>
            </w:r>
          </w:p>
          <w:p w14:paraId="0413A8C1"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Limited electricity charge relief applies to renewable power used in electrolysis, lowering operating costs</w:t>
            </w:r>
          </w:p>
          <w:p w14:paraId="013D9BC1"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Fiscal measures are intentionally secondary to direct market intervention</w:t>
            </w:r>
          </w:p>
        </w:tc>
      </w:tr>
      <w:tr w:rsidR="00D31919" w:rsidRPr="00F91404" w14:paraId="30ECDDD3" w14:textId="77777777" w:rsidTr="00D31919">
        <w:trPr>
          <w:trHeight w:val="2759"/>
        </w:trPr>
        <w:tc>
          <w:tcPr>
            <w:tcW w:w="1962"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F1DF" w:themeFill="accent2" w:themeFillTint="33"/>
            <w:vAlign w:val="center"/>
            <w:hideMark/>
          </w:tcPr>
          <w:p w14:paraId="33AB0504" w14:textId="77777777" w:rsidR="00D31919" w:rsidRPr="00F91404" w:rsidRDefault="00D31919" w:rsidP="00843227">
            <w:pPr>
              <w:spacing w:after="0"/>
              <w:ind w:firstLine="51"/>
              <w:jc w:val="center"/>
              <w:rPr>
                <w:rFonts w:asciiTheme="majorHAnsi" w:eastAsia="Times New Roman" w:hAnsiTheme="majorHAnsi" w:cstheme="majorHAnsi"/>
                <w:b/>
                <w:bCs/>
                <w:color w:val="0B3040"/>
                <w:sz w:val="18"/>
                <w:szCs w:val="18"/>
                <w:lang w:eastAsia="es-MX"/>
              </w:rPr>
            </w:pPr>
            <w:r w:rsidRPr="00F91404">
              <w:rPr>
                <w:rFonts w:asciiTheme="majorHAnsi" w:eastAsia="Times New Roman" w:hAnsiTheme="majorHAnsi" w:cstheme="majorHAnsi"/>
                <w:b/>
                <w:color w:val="0B3040"/>
                <w:sz w:val="18"/>
                <w:szCs w:val="18"/>
                <w:lang w:eastAsia="es-MX"/>
              </w:rPr>
              <w:t xml:space="preserve">Market and revenue support </w:t>
            </w:r>
          </w:p>
          <w:p w14:paraId="42EC31C9" w14:textId="77777777" w:rsidR="00D31919" w:rsidRPr="00F91404" w:rsidRDefault="00D31919" w:rsidP="00843227">
            <w:pPr>
              <w:spacing w:after="0"/>
              <w:ind w:firstLine="51"/>
              <w:jc w:val="center"/>
              <w:rPr>
                <w:rFonts w:asciiTheme="majorHAnsi" w:eastAsia="Times New Roman" w:hAnsiTheme="majorHAnsi" w:cstheme="majorHAnsi"/>
                <w:b/>
                <w:color w:val="0B3040"/>
                <w:sz w:val="18"/>
                <w:szCs w:val="18"/>
                <w:lang w:eastAsia="es-MX"/>
              </w:rPr>
            </w:pPr>
            <w:r w:rsidRPr="00F91404">
              <w:rPr>
                <w:rFonts w:asciiTheme="majorHAnsi" w:eastAsia="Times New Roman" w:hAnsiTheme="majorHAnsi" w:cstheme="majorHAnsi"/>
                <w:b/>
                <w:color w:val="0B3040"/>
                <w:sz w:val="18"/>
                <w:szCs w:val="18"/>
                <w:lang w:eastAsia="es-MX"/>
              </w:rPr>
              <w:t>mechanisms</w:t>
            </w:r>
          </w:p>
        </w:tc>
        <w:tc>
          <w:tcPr>
            <w:tcW w:w="7501" w:type="dxa"/>
            <w:gridSpan w:val="7"/>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7A3EC2DC"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H2Global operates as a government-backed procurement mechanism using Contracts-for-Difference–type (</w:t>
            </w:r>
            <w:proofErr w:type="spellStart"/>
            <w:r w:rsidRPr="00F91404">
              <w:rPr>
                <w:rFonts w:asciiTheme="majorHAnsi" w:eastAsia="Times New Roman" w:hAnsiTheme="majorHAnsi" w:cstheme="majorHAnsi"/>
                <w:color w:val="000000"/>
                <w:sz w:val="18"/>
                <w:szCs w:val="18"/>
                <w:lang w:eastAsia="es-MX"/>
              </w:rPr>
              <w:t>CfD</w:t>
            </w:r>
            <w:proofErr w:type="spellEnd"/>
            <w:r w:rsidRPr="00F91404">
              <w:rPr>
                <w:rFonts w:asciiTheme="majorHAnsi" w:eastAsia="Times New Roman" w:hAnsiTheme="majorHAnsi" w:cstheme="majorHAnsi"/>
                <w:color w:val="000000"/>
                <w:sz w:val="18"/>
                <w:szCs w:val="18"/>
                <w:lang w:eastAsia="es-MX"/>
              </w:rPr>
              <w:t>-type) contracts, where hydrogen producers are awarded long-term supply agreements through competitive auctions</w:t>
            </w:r>
          </w:p>
          <w:p w14:paraId="54C65FC4"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Under this model, producers bid the price at which they can supply hydrogen or hydrogen-based derivatives, while the government commits to covering the difference between this contracted price and the prevailing market resale price</w:t>
            </w:r>
          </w:p>
          <w:p w14:paraId="5954C721"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Hydrogen is resold to the market at market-linked prices, and the public sector absorbs the price gap per unit delivered, effectively removing price volatility and demand risk</w:t>
            </w:r>
          </w:p>
          <w:p w14:paraId="24683088"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 xml:space="preserve">This structure converts policy support into predictable, contract-backed revenues, enabling project development and financing without exposure to merchant market </w:t>
            </w:r>
            <w:r w:rsidRPr="00F91404">
              <w:rPr>
                <w:rFonts w:asciiTheme="majorHAnsi" w:eastAsia="Times New Roman" w:hAnsiTheme="majorHAnsi" w:cstheme="majorHAnsi"/>
                <w:color w:val="000000"/>
                <w:sz w:val="18"/>
                <w:szCs w:val="18"/>
                <w:lang w:eastAsia="es-MX"/>
              </w:rPr>
              <w:br/>
              <w:t>conditions</w:t>
            </w:r>
          </w:p>
        </w:tc>
      </w:tr>
      <w:tr w:rsidR="00D31919" w:rsidRPr="00F91404" w14:paraId="3A63F11C" w14:textId="77777777" w:rsidTr="00D31919">
        <w:trPr>
          <w:trHeight w:val="35"/>
        </w:trPr>
        <w:tc>
          <w:tcPr>
            <w:tcW w:w="1962"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F1DF" w:themeFill="accent2" w:themeFillTint="33"/>
            <w:vAlign w:val="center"/>
            <w:hideMark/>
          </w:tcPr>
          <w:p w14:paraId="0A06C34B" w14:textId="77777777" w:rsidR="00D31919" w:rsidRPr="00F91404" w:rsidRDefault="00D31919" w:rsidP="00843227">
            <w:pPr>
              <w:spacing w:after="0"/>
              <w:jc w:val="center"/>
              <w:rPr>
                <w:rFonts w:asciiTheme="majorHAnsi" w:eastAsia="Times New Roman" w:hAnsiTheme="majorHAnsi" w:cstheme="majorHAnsi"/>
                <w:b/>
                <w:bCs/>
                <w:color w:val="0B3040"/>
                <w:sz w:val="18"/>
                <w:szCs w:val="18"/>
                <w:lang w:eastAsia="es-MX"/>
              </w:rPr>
            </w:pPr>
            <w:r w:rsidRPr="00F91404">
              <w:rPr>
                <w:rFonts w:asciiTheme="majorHAnsi" w:eastAsia="Times New Roman" w:hAnsiTheme="majorHAnsi" w:cstheme="majorHAnsi"/>
                <w:b/>
                <w:color w:val="0B3040"/>
                <w:sz w:val="18"/>
                <w:szCs w:val="18"/>
                <w:lang w:eastAsia="es-MX"/>
              </w:rPr>
              <w:t xml:space="preserve">Direct public </w:t>
            </w:r>
          </w:p>
          <w:p w14:paraId="407ECD57" w14:textId="77777777" w:rsidR="00D31919" w:rsidRPr="00F91404" w:rsidRDefault="00D31919" w:rsidP="00843227">
            <w:pPr>
              <w:spacing w:after="0"/>
              <w:jc w:val="center"/>
              <w:rPr>
                <w:rFonts w:asciiTheme="majorHAnsi" w:eastAsia="Times New Roman" w:hAnsiTheme="majorHAnsi" w:cstheme="majorHAnsi"/>
                <w:b/>
                <w:color w:val="0B3040"/>
                <w:sz w:val="18"/>
                <w:szCs w:val="18"/>
                <w:lang w:eastAsia="es-MX"/>
              </w:rPr>
            </w:pPr>
            <w:r w:rsidRPr="00F91404">
              <w:rPr>
                <w:rFonts w:asciiTheme="majorHAnsi" w:eastAsia="Times New Roman" w:hAnsiTheme="majorHAnsi" w:cstheme="majorHAnsi"/>
                <w:b/>
                <w:color w:val="0B3040"/>
                <w:sz w:val="18"/>
                <w:szCs w:val="18"/>
                <w:lang w:eastAsia="es-MX"/>
              </w:rPr>
              <w:t>funding</w:t>
            </w:r>
          </w:p>
        </w:tc>
        <w:tc>
          <w:tcPr>
            <w:tcW w:w="7501" w:type="dxa"/>
            <w:gridSpan w:val="7"/>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5B986C2E"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CAPEX co-financing delivered through:</w:t>
            </w:r>
          </w:p>
          <w:p w14:paraId="017AF7EE" w14:textId="77777777" w:rsidR="00D31919" w:rsidRPr="00F91404" w:rsidRDefault="00D31919" w:rsidP="008D5DDD">
            <w:pPr>
              <w:pStyle w:val="ListParagraph"/>
              <w:numPr>
                <w:ilvl w:val="1"/>
                <w:numId w:val="28"/>
              </w:numPr>
              <w:spacing w:before="240" w:after="140" w:line="276" w:lineRule="auto"/>
              <w:ind w:left="479" w:hanging="283"/>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National hydrogen programs</w:t>
            </w:r>
          </w:p>
          <w:p w14:paraId="6586296B" w14:textId="77777777" w:rsidR="00D31919" w:rsidRPr="00F91404" w:rsidRDefault="00D31919" w:rsidP="008D5DDD">
            <w:pPr>
              <w:pStyle w:val="ListParagraph"/>
              <w:numPr>
                <w:ilvl w:val="1"/>
                <w:numId w:val="28"/>
              </w:numPr>
              <w:spacing w:before="240" w:after="140" w:line="276" w:lineRule="auto"/>
              <w:ind w:left="479" w:hanging="283"/>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IPCEI, supporting first-of-a-kind and system-relevant projects with high capital intensity</w:t>
            </w:r>
          </w:p>
          <w:p w14:paraId="66EFE468"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Targets electrolysers, transport infrastructure and industrial conversion assets</w:t>
            </w:r>
          </w:p>
        </w:tc>
      </w:tr>
      <w:tr w:rsidR="00D31919" w:rsidRPr="00F91404" w14:paraId="0AF6E29A" w14:textId="77777777" w:rsidTr="00D31919">
        <w:trPr>
          <w:trHeight w:val="35"/>
        </w:trPr>
        <w:tc>
          <w:tcPr>
            <w:tcW w:w="1962"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F1DF" w:themeFill="accent2" w:themeFillTint="33"/>
            <w:vAlign w:val="center"/>
            <w:hideMark/>
          </w:tcPr>
          <w:p w14:paraId="27259916" w14:textId="77777777" w:rsidR="00D31919" w:rsidRPr="00F91404" w:rsidRDefault="00D31919" w:rsidP="00843227">
            <w:pPr>
              <w:spacing w:after="0"/>
              <w:jc w:val="center"/>
              <w:rPr>
                <w:rFonts w:asciiTheme="majorHAnsi" w:eastAsia="Times New Roman" w:hAnsiTheme="majorHAnsi" w:cstheme="majorHAnsi"/>
                <w:b/>
                <w:color w:val="0B3040"/>
                <w:sz w:val="18"/>
                <w:szCs w:val="18"/>
                <w:lang w:eastAsia="es-MX"/>
              </w:rPr>
            </w:pPr>
            <w:r w:rsidRPr="00F91404">
              <w:rPr>
                <w:rFonts w:asciiTheme="majorHAnsi" w:eastAsia="Times New Roman" w:hAnsiTheme="majorHAnsi" w:cstheme="majorHAnsi"/>
                <w:b/>
                <w:color w:val="0B3040"/>
                <w:sz w:val="18"/>
                <w:szCs w:val="18"/>
                <w:lang w:eastAsia="es-MX"/>
              </w:rPr>
              <w:t xml:space="preserve">Standards and </w:t>
            </w:r>
          </w:p>
          <w:p w14:paraId="686EB9A1" w14:textId="77777777" w:rsidR="00D31919" w:rsidRPr="00F91404" w:rsidRDefault="00D31919" w:rsidP="00843227">
            <w:pPr>
              <w:spacing w:after="0"/>
              <w:jc w:val="center"/>
              <w:rPr>
                <w:rFonts w:asciiTheme="majorHAnsi" w:eastAsia="Times New Roman" w:hAnsiTheme="majorHAnsi" w:cstheme="majorHAnsi"/>
                <w:b/>
                <w:color w:val="0B3040"/>
                <w:sz w:val="18"/>
                <w:szCs w:val="18"/>
                <w:lang w:eastAsia="es-MX"/>
              </w:rPr>
            </w:pPr>
            <w:r w:rsidRPr="00F91404">
              <w:rPr>
                <w:rFonts w:asciiTheme="majorHAnsi" w:eastAsia="Times New Roman" w:hAnsiTheme="majorHAnsi" w:cstheme="majorHAnsi"/>
                <w:b/>
                <w:color w:val="0B3040"/>
                <w:sz w:val="18"/>
                <w:szCs w:val="18"/>
                <w:lang w:eastAsia="es-MX"/>
              </w:rPr>
              <w:t>certification</w:t>
            </w:r>
          </w:p>
        </w:tc>
        <w:tc>
          <w:tcPr>
            <w:tcW w:w="7501" w:type="dxa"/>
            <w:gridSpan w:val="7"/>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7AD4511E"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EU-aligned frameworks apply:</w:t>
            </w:r>
          </w:p>
          <w:p w14:paraId="3E38E0DD" w14:textId="77777777" w:rsidR="00D31919" w:rsidRPr="00F91404" w:rsidRDefault="00D31919" w:rsidP="008D5DDD">
            <w:pPr>
              <w:pStyle w:val="ListParagraph"/>
              <w:numPr>
                <w:ilvl w:val="1"/>
                <w:numId w:val="28"/>
              </w:numPr>
              <w:spacing w:before="240" w:after="140" w:line="276" w:lineRule="auto"/>
              <w:ind w:left="479" w:hanging="283"/>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Renewable Fuels of Non-Biological Origin (RFNBO) criteria</w:t>
            </w:r>
          </w:p>
          <w:p w14:paraId="27174698" w14:textId="77777777" w:rsidR="00D31919" w:rsidRPr="00F91404" w:rsidRDefault="00D31919" w:rsidP="008D5DDD">
            <w:pPr>
              <w:pStyle w:val="ListParagraph"/>
              <w:numPr>
                <w:ilvl w:val="1"/>
                <w:numId w:val="28"/>
              </w:numPr>
              <w:spacing w:before="240" w:after="140" w:line="276" w:lineRule="auto"/>
              <w:ind w:left="479" w:hanging="283"/>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Guarantees of Origin</w:t>
            </w:r>
          </w:p>
          <w:p w14:paraId="42FBF38F"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Certification defines eligibility, emissions accounting and verification requirements</w:t>
            </w:r>
          </w:p>
          <w:p w14:paraId="56BB9395"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Enables access to finance, public support and cross-border markets</w:t>
            </w:r>
          </w:p>
          <w:p w14:paraId="7519A4C6" w14:textId="77777777" w:rsidR="00D31919" w:rsidRPr="00F91404" w:rsidRDefault="00D31919" w:rsidP="00843227">
            <w:pPr>
              <w:spacing w:after="0"/>
              <w:rPr>
                <w:rFonts w:asciiTheme="majorHAnsi" w:eastAsia="Times New Roman" w:hAnsiTheme="majorHAnsi" w:cstheme="majorHAnsi"/>
                <w:color w:val="000000"/>
                <w:sz w:val="18"/>
                <w:szCs w:val="18"/>
                <w:lang w:eastAsia="es-MX"/>
              </w:rPr>
            </w:pPr>
          </w:p>
        </w:tc>
      </w:tr>
      <w:tr w:rsidR="00D31919" w:rsidRPr="00F91404" w14:paraId="39054729" w14:textId="77777777" w:rsidTr="00D31919">
        <w:trPr>
          <w:trHeight w:val="1175"/>
        </w:trPr>
        <w:tc>
          <w:tcPr>
            <w:tcW w:w="1962"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F1DF" w:themeFill="accent2" w:themeFillTint="33"/>
            <w:vAlign w:val="center"/>
            <w:hideMark/>
          </w:tcPr>
          <w:p w14:paraId="3C5FDF2C" w14:textId="77777777" w:rsidR="00D31919" w:rsidRPr="00F91404" w:rsidRDefault="00D31919" w:rsidP="00843227">
            <w:pPr>
              <w:spacing w:after="0"/>
              <w:jc w:val="center"/>
              <w:rPr>
                <w:rFonts w:asciiTheme="majorHAnsi" w:eastAsia="Times New Roman" w:hAnsiTheme="majorHAnsi" w:cstheme="majorHAnsi"/>
                <w:b/>
                <w:color w:val="0B3040"/>
                <w:sz w:val="18"/>
                <w:szCs w:val="18"/>
                <w:lang w:eastAsia="es-MX"/>
              </w:rPr>
            </w:pPr>
            <w:r w:rsidRPr="00F91404">
              <w:rPr>
                <w:rFonts w:asciiTheme="majorHAnsi" w:eastAsia="Times New Roman" w:hAnsiTheme="majorHAnsi" w:cstheme="majorHAnsi"/>
                <w:b/>
                <w:color w:val="0B3040"/>
                <w:sz w:val="18"/>
                <w:szCs w:val="18"/>
                <w:lang w:eastAsia="es-MX"/>
              </w:rPr>
              <w:t>Infrastructure-</w:t>
            </w:r>
          </w:p>
          <w:p w14:paraId="450181C9" w14:textId="77777777" w:rsidR="00D31919" w:rsidRPr="00F91404" w:rsidRDefault="00D31919" w:rsidP="00843227">
            <w:pPr>
              <w:spacing w:after="0"/>
              <w:jc w:val="center"/>
              <w:rPr>
                <w:rFonts w:asciiTheme="majorHAnsi" w:eastAsia="Times New Roman" w:hAnsiTheme="majorHAnsi" w:cstheme="majorHAnsi"/>
                <w:b/>
                <w:color w:val="0B3040"/>
                <w:sz w:val="18"/>
                <w:szCs w:val="18"/>
                <w:lang w:eastAsia="es-MX"/>
              </w:rPr>
            </w:pPr>
            <w:r w:rsidRPr="00F91404">
              <w:rPr>
                <w:rFonts w:asciiTheme="majorHAnsi" w:eastAsia="Times New Roman" w:hAnsiTheme="majorHAnsi" w:cstheme="majorHAnsi"/>
                <w:b/>
                <w:color w:val="0B3040"/>
                <w:sz w:val="18"/>
                <w:szCs w:val="18"/>
                <w:lang w:eastAsia="es-MX"/>
              </w:rPr>
              <w:t>enabling policies</w:t>
            </w:r>
          </w:p>
        </w:tc>
        <w:tc>
          <w:tcPr>
            <w:tcW w:w="7501" w:type="dxa"/>
            <w:gridSpan w:val="7"/>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65DCDDF3"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Development of a national hydrogen backbone through pipeline repurposing</w:t>
            </w:r>
          </w:p>
          <w:p w14:paraId="653B9CA0"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Deployment of storage infrastructure linked to industrial demand centres</w:t>
            </w:r>
          </w:p>
          <w:p w14:paraId="3AF48ECD" w14:textId="77777777" w:rsidR="00D31919" w:rsidRPr="00F91404" w:rsidRDefault="00D31919" w:rsidP="008D5DDD">
            <w:pPr>
              <w:pStyle w:val="ListParagraph"/>
              <w:numPr>
                <w:ilvl w:val="0"/>
                <w:numId w:val="28"/>
              </w:numPr>
              <w:spacing w:before="240" w:after="140" w:line="276" w:lineRule="auto"/>
              <w:ind w:left="190" w:hanging="142"/>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color w:val="000000"/>
                <w:sz w:val="18"/>
                <w:szCs w:val="18"/>
                <w:lang w:eastAsia="es-MX"/>
              </w:rPr>
              <w:t>Coordinated planning enables system-wide integration at scale</w:t>
            </w:r>
          </w:p>
        </w:tc>
      </w:tr>
      <w:tr w:rsidR="00D31919" w:rsidRPr="00F91404" w14:paraId="2FA99026" w14:textId="77777777" w:rsidTr="00D31919">
        <w:trPr>
          <w:trHeight w:val="400"/>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4C43" w:themeFill="accent1"/>
            <w:vAlign w:val="center"/>
          </w:tcPr>
          <w:p w14:paraId="1A87BB93" w14:textId="77777777" w:rsidR="00D31919" w:rsidRPr="00F91404" w:rsidRDefault="00D31919" w:rsidP="006113E3">
            <w:pPr>
              <w:spacing w:after="0"/>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t>Sectoral focus / Priority sectors</w:t>
            </w:r>
          </w:p>
        </w:tc>
      </w:tr>
      <w:tr w:rsidR="00D31919" w:rsidRPr="00F91404" w14:paraId="0B8062BD" w14:textId="77777777" w:rsidTr="00D31919">
        <w:trPr>
          <w:trHeight w:val="928"/>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vAlign w:val="center"/>
          </w:tcPr>
          <w:p w14:paraId="170BD5F4" w14:textId="77777777" w:rsidR="00D31919" w:rsidRPr="00F91404" w:rsidRDefault="00D31919" w:rsidP="006113E3">
            <w:pPr>
              <w:spacing w:after="0"/>
              <w:rPr>
                <w:rFonts w:asciiTheme="majorHAnsi" w:eastAsia="Times New Roman" w:hAnsiTheme="majorHAnsi" w:cstheme="majorHAnsi"/>
                <w:color w:val="FFFFFF"/>
                <w:sz w:val="18"/>
                <w:szCs w:val="18"/>
                <w:lang w:eastAsia="es-MX"/>
              </w:rPr>
            </w:pPr>
            <w:r w:rsidRPr="00F91404">
              <w:rPr>
                <w:rFonts w:asciiTheme="majorHAnsi" w:eastAsia="Times New Roman" w:hAnsiTheme="majorHAnsi" w:cstheme="majorHAnsi"/>
                <w:sz w:val="18"/>
                <w:szCs w:val="18"/>
                <w:lang w:eastAsia="es-MX"/>
              </w:rPr>
              <w:t xml:space="preserve">Demand for hydrogen is primarily driven by industrial decarbonisation, especially in steelmaking, chemicals and refining, where hydrogen is used as a reducing agent or feedstock to replace fossil-based inputs. Additional demand arises from power system balancing and industrial heat applications linked to renewable </w:t>
            </w:r>
            <w:r w:rsidRPr="00F91404">
              <w:rPr>
                <w:rFonts w:asciiTheme="majorHAnsi" w:eastAsia="Times New Roman" w:hAnsiTheme="majorHAnsi" w:cstheme="majorHAnsi"/>
                <w:sz w:val="18"/>
                <w:szCs w:val="18"/>
                <w:lang w:eastAsia="es-MX"/>
              </w:rPr>
              <w:br/>
              <w:t>integration.</w:t>
            </w:r>
          </w:p>
        </w:tc>
      </w:tr>
      <w:tr w:rsidR="00816A15" w:rsidRPr="00F91404" w14:paraId="1C90EA58" w14:textId="77777777" w:rsidTr="00816A15">
        <w:trPr>
          <w:trHeight w:val="357"/>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4C43" w:themeFill="accent1"/>
            <w:vAlign w:val="center"/>
          </w:tcPr>
          <w:p w14:paraId="61F8B050" w14:textId="757A7BBE" w:rsidR="00816A15" w:rsidRPr="00F91404" w:rsidRDefault="00816A15" w:rsidP="00816A15">
            <w:pPr>
              <w:spacing w:after="0"/>
              <w:jc w:val="center"/>
              <w:rPr>
                <w:rFonts w:asciiTheme="majorHAnsi" w:eastAsia="Times New Roman" w:hAnsiTheme="majorHAnsi" w:cstheme="majorHAnsi"/>
                <w:b/>
                <w:bCs/>
                <w:sz w:val="18"/>
                <w:szCs w:val="18"/>
                <w:lang w:eastAsia="es-MX"/>
              </w:rPr>
            </w:pPr>
            <w:r w:rsidRPr="00F91404">
              <w:rPr>
                <w:rFonts w:asciiTheme="majorHAnsi" w:eastAsia="Times New Roman" w:hAnsiTheme="majorHAnsi" w:cstheme="majorHAnsi"/>
                <w:b/>
                <w:bCs/>
                <w:sz w:val="18"/>
                <w:szCs w:val="18"/>
                <w:lang w:eastAsia="es-MX"/>
              </w:rPr>
              <w:t>Renewable Energy Context</w:t>
            </w:r>
          </w:p>
        </w:tc>
      </w:tr>
      <w:tr w:rsidR="00816A15" w:rsidRPr="00F91404" w14:paraId="4FCBE987" w14:textId="77777777" w:rsidTr="0064603E">
        <w:trPr>
          <w:trHeight w:val="2814"/>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vAlign w:val="center"/>
          </w:tcPr>
          <w:p w14:paraId="730B6624" w14:textId="77777777" w:rsidR="0064603E" w:rsidRPr="00F91404" w:rsidRDefault="0064603E" w:rsidP="006C1494">
            <w:pPr>
              <w:spacing w:after="0"/>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Germany has one of the largest renewable energy systems in Europe. Installed renewable electricity capacity exceeds 170 GW, dominated by onshore wind and solar PV, with renewables accounting for more than 50% of gross electricity generation in recent years. Over the past decade, renewable capacity has expanded steadily, supported by long-term energy transition policies (Energiewende) and competitive auction mechanisms.</w:t>
            </w:r>
          </w:p>
          <w:p w14:paraId="175A55FC" w14:textId="77777777" w:rsidR="0064603E" w:rsidRPr="00F91404" w:rsidRDefault="0064603E" w:rsidP="006C1494">
            <w:pPr>
              <w:spacing w:after="0"/>
              <w:rPr>
                <w:rFonts w:asciiTheme="majorHAnsi" w:eastAsia="Times New Roman" w:hAnsiTheme="majorHAnsi" w:cstheme="majorHAnsi"/>
                <w:sz w:val="18"/>
                <w:szCs w:val="18"/>
                <w:lang w:eastAsia="es-MX"/>
              </w:rPr>
            </w:pPr>
          </w:p>
          <w:p w14:paraId="7E7B006A" w14:textId="7FA17564" w:rsidR="00816A15" w:rsidRPr="00F91404" w:rsidRDefault="0064603E" w:rsidP="006C1494">
            <w:pPr>
              <w:spacing w:after="0"/>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National targets aim to increase the share of renewables in electricity generation to at least 80% by 2030, alongside accelerated grid expansion and system integration. This large and growing renewable base provides the structural foundation for domestic green hydrogen production, while acknowledging that Germany will remain partially import-dependent due to land and resource constraints.</w:t>
            </w:r>
          </w:p>
        </w:tc>
      </w:tr>
      <w:tr w:rsidR="00816A15" w:rsidRPr="00F91404" w14:paraId="1AF62F64" w14:textId="77777777" w:rsidTr="00816A15">
        <w:trPr>
          <w:trHeight w:val="447"/>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4C43" w:themeFill="accent1"/>
            <w:vAlign w:val="center"/>
          </w:tcPr>
          <w:p w14:paraId="6A214F90" w14:textId="2AF87A74" w:rsidR="00816A15" w:rsidRPr="00F91404" w:rsidRDefault="00816A15" w:rsidP="00816A15">
            <w:pPr>
              <w:spacing w:after="0"/>
              <w:jc w:val="center"/>
              <w:rPr>
                <w:rFonts w:asciiTheme="majorHAnsi" w:eastAsia="Times New Roman" w:hAnsiTheme="majorHAnsi" w:cstheme="majorHAnsi"/>
                <w:b/>
                <w:bCs/>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r>
      <w:tr w:rsidR="00816A15" w:rsidRPr="00F91404" w14:paraId="0EE9F6B9" w14:textId="77777777" w:rsidTr="00E12584">
        <w:trPr>
          <w:trHeight w:val="3900"/>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vAlign w:val="center"/>
          </w:tcPr>
          <w:p w14:paraId="0A7AD242" w14:textId="0FB028A4" w:rsidR="00E12584" w:rsidRPr="00F91404" w:rsidRDefault="00E12584" w:rsidP="006A7AFC">
            <w:p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Germany applies an integrated, system-scale hydrogen value chain model:</w:t>
            </w:r>
          </w:p>
          <w:p w14:paraId="24E0DDC8" w14:textId="77777777" w:rsidR="00E12584" w:rsidRPr="00F91404" w:rsidRDefault="00E12584" w:rsidP="006A7AFC">
            <w:pPr>
              <w:spacing w:after="0" w:line="276" w:lineRule="auto"/>
              <w:rPr>
                <w:rFonts w:asciiTheme="majorHAnsi" w:eastAsia="Times New Roman" w:hAnsiTheme="majorHAnsi" w:cstheme="majorHAnsi"/>
                <w:b/>
                <w:bCs/>
                <w:sz w:val="18"/>
                <w:szCs w:val="18"/>
                <w:lang w:eastAsia="es-MX"/>
              </w:rPr>
            </w:pPr>
            <w:r w:rsidRPr="00F91404">
              <w:rPr>
                <w:rFonts w:asciiTheme="majorHAnsi" w:eastAsia="Times New Roman" w:hAnsiTheme="majorHAnsi" w:cstheme="majorHAnsi"/>
                <w:b/>
                <w:bCs/>
                <w:sz w:val="18"/>
                <w:szCs w:val="18"/>
                <w:lang w:eastAsia="es-MX"/>
              </w:rPr>
              <w:t>Production:</w:t>
            </w:r>
          </w:p>
          <w:p w14:paraId="2EE9F050" w14:textId="7413DCC3" w:rsidR="00E12584" w:rsidRPr="00F91404" w:rsidRDefault="00E12584" w:rsidP="006A7AFC">
            <w:p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Domestic production through electrolysis linked to renewable electricity, complemented by large-scale imports of hydrogen and hydrogen derivatives (e.g. ammonia, e-fuels) to meet projected demand.</w:t>
            </w:r>
          </w:p>
          <w:p w14:paraId="5FB4E8EE" w14:textId="77777777" w:rsidR="00E12584" w:rsidRPr="00F91404" w:rsidRDefault="00E12584" w:rsidP="006A7AFC">
            <w:pPr>
              <w:spacing w:after="0" w:line="276" w:lineRule="auto"/>
              <w:rPr>
                <w:rFonts w:asciiTheme="majorHAnsi" w:eastAsia="Times New Roman" w:hAnsiTheme="majorHAnsi" w:cstheme="majorHAnsi"/>
                <w:b/>
                <w:bCs/>
                <w:sz w:val="18"/>
                <w:szCs w:val="18"/>
                <w:lang w:eastAsia="es-MX"/>
              </w:rPr>
            </w:pPr>
            <w:r w:rsidRPr="00F91404">
              <w:rPr>
                <w:rFonts w:asciiTheme="majorHAnsi" w:eastAsia="Times New Roman" w:hAnsiTheme="majorHAnsi" w:cstheme="majorHAnsi"/>
                <w:b/>
                <w:bCs/>
                <w:sz w:val="18"/>
                <w:szCs w:val="18"/>
                <w:lang w:eastAsia="es-MX"/>
              </w:rPr>
              <w:t>Storage:</w:t>
            </w:r>
          </w:p>
          <w:p w14:paraId="7C630EFA" w14:textId="39092618" w:rsidR="00E12584" w:rsidRPr="00F91404" w:rsidRDefault="00E12584" w:rsidP="006A7AFC">
            <w:p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Development of dedicated hydrogen storage infrastructure, including salt caverns and repurposed gas storage facilities, primarily linked to industrial clusters.</w:t>
            </w:r>
          </w:p>
          <w:p w14:paraId="7F428500" w14:textId="77777777" w:rsidR="00E12584" w:rsidRPr="00F91404" w:rsidRDefault="00E12584" w:rsidP="006A7AFC">
            <w:pPr>
              <w:spacing w:after="0" w:line="276" w:lineRule="auto"/>
              <w:rPr>
                <w:rFonts w:asciiTheme="majorHAnsi" w:eastAsia="Times New Roman" w:hAnsiTheme="majorHAnsi" w:cstheme="majorHAnsi"/>
                <w:b/>
                <w:bCs/>
                <w:sz w:val="18"/>
                <w:szCs w:val="18"/>
                <w:lang w:eastAsia="es-MX"/>
              </w:rPr>
            </w:pPr>
            <w:r w:rsidRPr="00F91404">
              <w:rPr>
                <w:rFonts w:asciiTheme="majorHAnsi" w:eastAsia="Times New Roman" w:hAnsiTheme="majorHAnsi" w:cstheme="majorHAnsi"/>
                <w:b/>
                <w:bCs/>
                <w:sz w:val="18"/>
                <w:szCs w:val="18"/>
                <w:lang w:eastAsia="es-MX"/>
              </w:rPr>
              <w:t>Transport / Distribution:</w:t>
            </w:r>
          </w:p>
          <w:p w14:paraId="213E725C" w14:textId="2F0726EF" w:rsidR="00E12584" w:rsidRPr="00F91404" w:rsidRDefault="00E12584" w:rsidP="006A7AFC">
            <w:p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Rollout of a national hydrogen backbone through repurposing of existing natural gas pipelines, coordinated at federal level and integrated with emerging EU cross-border corridors.</w:t>
            </w:r>
          </w:p>
          <w:p w14:paraId="73B606E4" w14:textId="77777777" w:rsidR="00E12584" w:rsidRPr="00F91404" w:rsidRDefault="00E12584" w:rsidP="006A7AFC">
            <w:pPr>
              <w:spacing w:after="0" w:line="276" w:lineRule="auto"/>
              <w:rPr>
                <w:rFonts w:asciiTheme="majorHAnsi" w:eastAsia="Times New Roman" w:hAnsiTheme="majorHAnsi" w:cstheme="majorHAnsi"/>
                <w:b/>
                <w:bCs/>
                <w:sz w:val="18"/>
                <w:szCs w:val="18"/>
                <w:lang w:eastAsia="es-MX"/>
              </w:rPr>
            </w:pPr>
            <w:r w:rsidRPr="00F91404">
              <w:rPr>
                <w:rFonts w:asciiTheme="majorHAnsi" w:eastAsia="Times New Roman" w:hAnsiTheme="majorHAnsi" w:cstheme="majorHAnsi"/>
                <w:b/>
                <w:bCs/>
                <w:sz w:val="18"/>
                <w:szCs w:val="18"/>
                <w:lang w:eastAsia="es-MX"/>
              </w:rPr>
              <w:t>Applications:</w:t>
            </w:r>
          </w:p>
          <w:p w14:paraId="7184CE44" w14:textId="29334002" w:rsidR="00816A15" w:rsidRPr="00F91404" w:rsidRDefault="00E12584" w:rsidP="006A7AFC">
            <w:p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Primary use in hard-to-abate industrial sectors such as steel, chemicals and refining, with additional applications in power system balancing and selected heavy transport segments.</w:t>
            </w:r>
          </w:p>
        </w:tc>
      </w:tr>
      <w:tr w:rsidR="00816A15" w:rsidRPr="00F91404" w14:paraId="2D3F5C3A" w14:textId="77777777" w:rsidTr="00816A15">
        <w:trPr>
          <w:trHeight w:val="406"/>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4C43" w:themeFill="accent1"/>
            <w:vAlign w:val="center"/>
          </w:tcPr>
          <w:p w14:paraId="765EC884" w14:textId="3AD07791" w:rsidR="00816A15" w:rsidRPr="00F91404" w:rsidRDefault="00816A15" w:rsidP="00816A15">
            <w:pPr>
              <w:spacing w:after="0"/>
              <w:jc w:val="center"/>
              <w:rPr>
                <w:rFonts w:asciiTheme="majorHAnsi" w:eastAsia="Times New Roman" w:hAnsiTheme="majorHAnsi" w:cstheme="majorHAnsi"/>
                <w:b/>
                <w:bCs/>
                <w:sz w:val="18"/>
                <w:szCs w:val="18"/>
                <w:lang w:eastAsia="es-MX"/>
              </w:rPr>
            </w:pPr>
            <w:r w:rsidRPr="00F91404">
              <w:rPr>
                <w:rFonts w:asciiTheme="majorHAnsi" w:eastAsia="Times New Roman" w:hAnsiTheme="majorHAnsi" w:cstheme="majorHAnsi"/>
                <w:b/>
                <w:bCs/>
                <w:sz w:val="18"/>
                <w:szCs w:val="18"/>
                <w:lang w:eastAsia="es-MX"/>
              </w:rPr>
              <w:t>Strategic Stage &amp; Objective</w:t>
            </w:r>
          </w:p>
        </w:tc>
      </w:tr>
      <w:tr w:rsidR="00816A15" w:rsidRPr="00F91404" w14:paraId="1321FD3D" w14:textId="77777777" w:rsidTr="00E12584">
        <w:trPr>
          <w:trHeight w:val="1972"/>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vAlign w:val="center"/>
          </w:tcPr>
          <w:p w14:paraId="30EA391E" w14:textId="77777777" w:rsidR="00E12584" w:rsidRPr="00F91404" w:rsidRDefault="00E12584" w:rsidP="00E12584">
            <w:pPr>
              <w:spacing w:after="0"/>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Current Stage: Advanced / Scaling toward system integration.</w:t>
            </w:r>
          </w:p>
          <w:p w14:paraId="249E0CD7" w14:textId="77777777" w:rsidR="00E12584" w:rsidRPr="00F91404" w:rsidRDefault="00E12584" w:rsidP="00E12584">
            <w:pPr>
              <w:spacing w:after="0"/>
              <w:rPr>
                <w:rFonts w:asciiTheme="majorHAnsi" w:eastAsia="Times New Roman" w:hAnsiTheme="majorHAnsi" w:cstheme="majorHAnsi"/>
                <w:sz w:val="18"/>
                <w:szCs w:val="18"/>
                <w:lang w:eastAsia="es-MX"/>
              </w:rPr>
            </w:pPr>
          </w:p>
          <w:p w14:paraId="5E5F5EE2" w14:textId="77777777" w:rsidR="00E12584" w:rsidRPr="00F91404" w:rsidRDefault="00E12584" w:rsidP="00E12584">
            <w:pPr>
              <w:spacing w:after="0"/>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Overall Objective:</w:t>
            </w:r>
          </w:p>
          <w:p w14:paraId="0BC7E895" w14:textId="77777777" w:rsidR="00E12584" w:rsidRPr="00F91404" w:rsidRDefault="00E12584" w:rsidP="00E12584">
            <w:pPr>
              <w:spacing w:after="0"/>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Position green hydrogen as a central instrument for industrial decarbonisation, energy system transformation and long-term climate neutrality, while reinforcing Germany’s industrial competitiveness within the European Union.</w:t>
            </w:r>
          </w:p>
          <w:p w14:paraId="0F3265DD" w14:textId="77777777" w:rsidR="00E12584" w:rsidRPr="00F91404" w:rsidRDefault="00E12584" w:rsidP="00E12584">
            <w:pPr>
              <w:spacing w:after="0"/>
              <w:rPr>
                <w:rFonts w:asciiTheme="majorHAnsi" w:eastAsia="Times New Roman" w:hAnsiTheme="majorHAnsi" w:cstheme="majorHAnsi"/>
                <w:sz w:val="18"/>
                <w:szCs w:val="18"/>
                <w:lang w:eastAsia="es-MX"/>
              </w:rPr>
            </w:pPr>
          </w:p>
          <w:p w14:paraId="72C1E2AD" w14:textId="1B7A7893" w:rsidR="00816A15" w:rsidRPr="00F91404" w:rsidRDefault="00E12584" w:rsidP="00E12584">
            <w:pPr>
              <w:spacing w:after="0"/>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Hydrogen strategy implementation has progressed from early project funding toward coordinated market creation (H2Global), infrastructure rollout and cross-border integration within the EU hydrogen market.</w:t>
            </w:r>
          </w:p>
        </w:tc>
      </w:tr>
      <w:tr w:rsidR="00816A15" w:rsidRPr="00F91404" w14:paraId="106B7F68" w14:textId="77777777" w:rsidTr="00816A15">
        <w:trPr>
          <w:trHeight w:val="448"/>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4C43" w:themeFill="accent1"/>
            <w:vAlign w:val="center"/>
          </w:tcPr>
          <w:p w14:paraId="19FCC057" w14:textId="1BBE072A" w:rsidR="00816A15" w:rsidRPr="00F91404" w:rsidRDefault="00816A15" w:rsidP="00816A15">
            <w:pPr>
              <w:spacing w:after="0"/>
              <w:jc w:val="center"/>
              <w:rPr>
                <w:rFonts w:asciiTheme="majorHAnsi" w:eastAsia="Times New Roman" w:hAnsiTheme="majorHAnsi" w:cstheme="majorHAnsi"/>
                <w:b/>
                <w:bCs/>
                <w:sz w:val="18"/>
                <w:szCs w:val="18"/>
                <w:lang w:eastAsia="es-MX"/>
              </w:rPr>
            </w:pPr>
            <w:r w:rsidRPr="00F91404">
              <w:rPr>
                <w:rFonts w:asciiTheme="majorHAnsi" w:eastAsia="Times New Roman" w:hAnsiTheme="majorHAnsi" w:cstheme="majorHAnsi"/>
                <w:b/>
                <w:bCs/>
                <w:sz w:val="18"/>
                <w:szCs w:val="18"/>
                <w:lang w:eastAsia="es-MX"/>
              </w:rPr>
              <w:t>Key Stakeholders</w:t>
            </w:r>
          </w:p>
        </w:tc>
      </w:tr>
      <w:tr w:rsidR="00816A15" w:rsidRPr="00F91404" w14:paraId="2BC415F9" w14:textId="77777777" w:rsidTr="00F91404">
        <w:trPr>
          <w:trHeight w:val="3046"/>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vAlign w:val="center"/>
          </w:tcPr>
          <w:p w14:paraId="06E1BFA0" w14:textId="77777777" w:rsidR="00E12584" w:rsidRPr="00F91404" w:rsidRDefault="00E12584" w:rsidP="00B63B53">
            <w:p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Hydrogen governance and implementation involve multiple public and semi-public actors:</w:t>
            </w:r>
          </w:p>
          <w:p w14:paraId="33BB5F72" w14:textId="77777777" w:rsidR="00E12584" w:rsidRPr="00F91404" w:rsidRDefault="00E12584" w:rsidP="00B63B53">
            <w:pPr>
              <w:pStyle w:val="ListParagraph"/>
              <w:numPr>
                <w:ilvl w:val="0"/>
                <w:numId w:val="42"/>
              </w:num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Federal Ministry for Economic Affairs and Climate Action (BMWK) – strategic leadership</w:t>
            </w:r>
          </w:p>
          <w:p w14:paraId="52BB6CB2" w14:textId="77777777" w:rsidR="00E12584" w:rsidRPr="00F91404" w:rsidRDefault="00E12584" w:rsidP="00B63B53">
            <w:pPr>
              <w:pStyle w:val="ListParagraph"/>
              <w:numPr>
                <w:ilvl w:val="0"/>
                <w:numId w:val="42"/>
              </w:num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Federal Network Agency (BNetzA) – energy system regulation and network oversight</w:t>
            </w:r>
          </w:p>
          <w:p w14:paraId="47610CFE" w14:textId="77777777" w:rsidR="00E12584" w:rsidRPr="00F91404" w:rsidRDefault="00E12584" w:rsidP="00B63B53">
            <w:pPr>
              <w:pStyle w:val="ListParagraph"/>
              <w:numPr>
                <w:ilvl w:val="0"/>
                <w:numId w:val="42"/>
              </w:num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KfW Development Bank – financing and risk-sharing mechanisms</w:t>
            </w:r>
          </w:p>
          <w:p w14:paraId="04FA1208" w14:textId="77777777" w:rsidR="00E12584" w:rsidRPr="00F91404" w:rsidRDefault="00E12584" w:rsidP="00B63B53">
            <w:pPr>
              <w:pStyle w:val="ListParagraph"/>
              <w:numPr>
                <w:ilvl w:val="0"/>
                <w:numId w:val="42"/>
              </w:num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Länder governments – permitting and regional implementation</w:t>
            </w:r>
          </w:p>
          <w:p w14:paraId="1666E224" w14:textId="77777777" w:rsidR="00E12584" w:rsidRPr="00F91404" w:rsidRDefault="00E12584" w:rsidP="00B63B53">
            <w:pPr>
              <w:pStyle w:val="ListParagraph"/>
              <w:numPr>
                <w:ilvl w:val="0"/>
                <w:numId w:val="42"/>
              </w:num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Industrial consortia and IPCEI project developers</w:t>
            </w:r>
          </w:p>
          <w:p w14:paraId="1B63A902" w14:textId="77777777" w:rsidR="00E12584" w:rsidRPr="00F91404" w:rsidRDefault="00E12584" w:rsidP="00B63B53">
            <w:pPr>
              <w:pStyle w:val="ListParagraph"/>
              <w:numPr>
                <w:ilvl w:val="0"/>
                <w:numId w:val="42"/>
              </w:num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Transmission system operators (TSOs) and Gasunie Deutschland (infrastructure coordination)</w:t>
            </w:r>
          </w:p>
          <w:p w14:paraId="0E3F9FC6" w14:textId="5C6EA2AD" w:rsidR="00E12584" w:rsidRPr="00F91404" w:rsidRDefault="00E12584" w:rsidP="00B63B53">
            <w:pPr>
              <w:pStyle w:val="ListParagraph"/>
              <w:numPr>
                <w:ilvl w:val="0"/>
                <w:numId w:val="42"/>
              </w:num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European Union institutions (regulatory alignment and funding frameworks)</w:t>
            </w:r>
          </w:p>
          <w:p w14:paraId="07037C4C" w14:textId="1010DD81" w:rsidR="00816A15" w:rsidRPr="00F91404" w:rsidRDefault="00E12584" w:rsidP="00B63B53">
            <w:pPr>
              <w:spacing w:after="0" w:line="276" w:lineRule="auto"/>
              <w:rPr>
                <w:rFonts w:asciiTheme="majorHAnsi" w:eastAsia="Times New Roman" w:hAnsiTheme="majorHAnsi" w:cstheme="majorHAnsi"/>
                <w:sz w:val="18"/>
                <w:szCs w:val="18"/>
                <w:lang w:eastAsia="es-MX"/>
              </w:rPr>
            </w:pPr>
            <w:r w:rsidRPr="00F91404">
              <w:rPr>
                <w:rFonts w:asciiTheme="majorHAnsi" w:eastAsia="Times New Roman" w:hAnsiTheme="majorHAnsi" w:cstheme="majorHAnsi"/>
                <w:sz w:val="18"/>
                <w:szCs w:val="18"/>
                <w:lang w:eastAsia="es-MX"/>
              </w:rPr>
              <w:t>Stakeholder engagement is institutionalised through industry platforms and structured consultation processes linked to strategy updates.</w:t>
            </w:r>
          </w:p>
        </w:tc>
      </w:tr>
      <w:tr w:rsidR="00816A15" w:rsidRPr="00F91404" w14:paraId="0110C8F3" w14:textId="77777777" w:rsidTr="00816A15">
        <w:trPr>
          <w:trHeight w:val="445"/>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4C43" w:themeFill="accent1"/>
            <w:vAlign w:val="center"/>
          </w:tcPr>
          <w:p w14:paraId="5AEE3FC1" w14:textId="25709E06" w:rsidR="00816A15" w:rsidRPr="00F91404" w:rsidRDefault="00816A15" w:rsidP="00816A15">
            <w:pPr>
              <w:spacing w:after="0"/>
              <w:jc w:val="center"/>
              <w:rPr>
                <w:rFonts w:asciiTheme="majorHAnsi" w:eastAsia="Times New Roman" w:hAnsiTheme="majorHAnsi" w:cstheme="majorHAnsi"/>
                <w:sz w:val="18"/>
                <w:szCs w:val="18"/>
                <w:lang w:eastAsia="es-MX"/>
              </w:rPr>
            </w:pPr>
            <w:r w:rsidRPr="00F91404">
              <w:rPr>
                <w:rFonts w:asciiTheme="majorHAnsi" w:eastAsia="Times New Roman" w:hAnsiTheme="majorHAnsi" w:cstheme="majorHAnsi"/>
                <w:b/>
                <w:color w:val="FFFFFF"/>
                <w:sz w:val="18"/>
                <w:szCs w:val="18"/>
                <w:lang w:eastAsia="es-MX"/>
              </w:rPr>
              <w:t>Impact on project development:</w:t>
            </w:r>
          </w:p>
        </w:tc>
      </w:tr>
      <w:tr w:rsidR="00816A15" w:rsidRPr="00F91404" w14:paraId="3A23F7C4" w14:textId="77777777" w:rsidTr="006A7AFC">
        <w:trPr>
          <w:trHeight w:val="3002"/>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vAlign w:val="center"/>
          </w:tcPr>
          <w:p w14:paraId="6C6B2172" w14:textId="77777777" w:rsidR="00816A15" w:rsidRPr="00F91404" w:rsidRDefault="00816A15" w:rsidP="00816A15">
            <w:pPr>
              <w:pStyle w:val="ListParagraph"/>
              <w:numPr>
                <w:ilvl w:val="0"/>
                <w:numId w:val="30"/>
              </w:numPr>
              <w:spacing w:before="240" w:after="14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color w:val="000000"/>
                <w:sz w:val="18"/>
                <w:szCs w:val="18"/>
                <w:lang w:eastAsia="es-MX"/>
              </w:rPr>
              <w:t>Demand-side contracts</w:t>
            </w:r>
            <w:r w:rsidRPr="00F91404">
              <w:rPr>
                <w:rFonts w:asciiTheme="majorHAnsi" w:eastAsia="Times New Roman" w:hAnsiTheme="majorHAnsi" w:cstheme="majorHAnsi"/>
                <w:color w:val="000000"/>
                <w:sz w:val="18"/>
                <w:szCs w:val="18"/>
                <w:lang w:eastAsia="es-MX"/>
              </w:rPr>
              <w:t xml:space="preserve"> have converted policy support into predictable revenues, shifting projects from merchant exposure to contract-backed development</w:t>
            </w:r>
          </w:p>
          <w:p w14:paraId="64EF0760" w14:textId="77777777" w:rsidR="00816A15" w:rsidRPr="00F91404" w:rsidRDefault="00816A15" w:rsidP="00816A15">
            <w:pPr>
              <w:pStyle w:val="ListParagraph"/>
              <w:numPr>
                <w:ilvl w:val="0"/>
                <w:numId w:val="30"/>
              </w:numPr>
              <w:spacing w:before="240" w:after="14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color w:val="000000"/>
                <w:sz w:val="18"/>
                <w:szCs w:val="18"/>
                <w:lang w:eastAsia="es-MX"/>
              </w:rPr>
              <w:t>Public co-financing</w:t>
            </w:r>
            <w:r w:rsidRPr="00F91404">
              <w:rPr>
                <w:rFonts w:asciiTheme="majorHAnsi" w:eastAsia="Times New Roman" w:hAnsiTheme="majorHAnsi" w:cstheme="majorHAnsi"/>
                <w:color w:val="000000"/>
                <w:sz w:val="18"/>
                <w:szCs w:val="18"/>
                <w:lang w:eastAsia="es-MX"/>
              </w:rPr>
              <w:t xml:space="preserve"> has lowered upfront risk and accelerated industrial-scale project execution</w:t>
            </w:r>
          </w:p>
          <w:p w14:paraId="40FADC8B" w14:textId="77777777" w:rsidR="00816A15" w:rsidRPr="00F91404" w:rsidRDefault="00816A15" w:rsidP="00816A15">
            <w:pPr>
              <w:pStyle w:val="ListParagraph"/>
              <w:numPr>
                <w:ilvl w:val="0"/>
                <w:numId w:val="30"/>
              </w:numPr>
              <w:spacing w:before="240" w:after="14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color w:val="000000"/>
                <w:sz w:val="18"/>
                <w:szCs w:val="18"/>
                <w:lang w:eastAsia="es-MX"/>
              </w:rPr>
              <w:t>Infrastructure planning</w:t>
            </w:r>
            <w:r w:rsidRPr="00F91404">
              <w:rPr>
                <w:rFonts w:asciiTheme="majorHAnsi" w:eastAsia="Times New Roman" w:hAnsiTheme="majorHAnsi" w:cstheme="majorHAnsi"/>
                <w:color w:val="000000"/>
                <w:sz w:val="18"/>
                <w:szCs w:val="18"/>
                <w:lang w:eastAsia="es-MX"/>
              </w:rPr>
              <w:t xml:space="preserve"> has enabled system-level integration across production, transport and end use</w:t>
            </w:r>
          </w:p>
          <w:p w14:paraId="72EBA532" w14:textId="77777777" w:rsidR="00816A15" w:rsidRPr="00F91404" w:rsidRDefault="00816A15" w:rsidP="00816A15">
            <w:pPr>
              <w:pStyle w:val="ListParagraph"/>
              <w:numPr>
                <w:ilvl w:val="0"/>
                <w:numId w:val="30"/>
              </w:numPr>
              <w:spacing w:before="240" w:after="140"/>
              <w:rPr>
                <w:rFonts w:asciiTheme="majorHAnsi" w:eastAsia="Times New Roman" w:hAnsiTheme="majorHAnsi" w:cstheme="majorHAnsi"/>
                <w:color w:val="000000"/>
                <w:sz w:val="18"/>
                <w:szCs w:val="18"/>
                <w:lang w:eastAsia="es-MX"/>
              </w:rPr>
            </w:pPr>
            <w:r w:rsidRPr="00F91404">
              <w:rPr>
                <w:rFonts w:asciiTheme="majorHAnsi" w:eastAsia="Times New Roman" w:hAnsiTheme="majorHAnsi" w:cstheme="majorHAnsi"/>
                <w:b/>
                <w:color w:val="000000"/>
                <w:sz w:val="18"/>
                <w:szCs w:val="18"/>
                <w:lang w:eastAsia="es-MX"/>
              </w:rPr>
              <w:t>Regulatory and certification clarity</w:t>
            </w:r>
            <w:r w:rsidRPr="00F91404">
              <w:rPr>
                <w:rFonts w:asciiTheme="majorHAnsi" w:eastAsia="Times New Roman" w:hAnsiTheme="majorHAnsi" w:cstheme="majorHAnsi"/>
                <w:color w:val="000000"/>
                <w:sz w:val="18"/>
                <w:szCs w:val="18"/>
                <w:lang w:eastAsia="es-MX"/>
              </w:rPr>
              <w:t xml:space="preserve"> has improved access to finance and cross-border market participation</w:t>
            </w:r>
          </w:p>
          <w:p w14:paraId="7BF9D316" w14:textId="552D7429" w:rsidR="00816A15" w:rsidRPr="00F91404" w:rsidRDefault="00816A15" w:rsidP="00816A15">
            <w:pPr>
              <w:spacing w:after="0"/>
              <w:jc w:val="center"/>
              <w:rPr>
                <w:rFonts w:asciiTheme="majorHAnsi" w:eastAsia="Times New Roman" w:hAnsiTheme="majorHAnsi" w:cstheme="majorHAnsi"/>
                <w:sz w:val="18"/>
                <w:szCs w:val="18"/>
                <w:lang w:eastAsia="es-MX"/>
              </w:rPr>
            </w:pPr>
            <w:r w:rsidRPr="00F91404">
              <w:rPr>
                <w:rFonts w:asciiTheme="majorHAnsi" w:eastAsia="Times New Roman" w:hAnsiTheme="majorHAnsi" w:cstheme="majorHAnsi"/>
                <w:color w:val="000000"/>
                <w:sz w:val="18"/>
                <w:szCs w:val="18"/>
                <w:lang w:eastAsia="es-MX"/>
              </w:rPr>
              <w:t xml:space="preserve">Together, these elements have supported the emergence of a </w:t>
            </w:r>
            <w:r w:rsidRPr="00F91404">
              <w:rPr>
                <w:rFonts w:asciiTheme="majorHAnsi" w:eastAsia="Times New Roman" w:hAnsiTheme="majorHAnsi" w:cstheme="majorHAnsi"/>
                <w:b/>
                <w:color w:val="000000"/>
                <w:sz w:val="18"/>
                <w:szCs w:val="18"/>
                <w:lang w:eastAsia="es-MX"/>
              </w:rPr>
              <w:t>coordinated, industrial hydrogen ecosystem</w:t>
            </w:r>
            <w:r w:rsidRPr="00F91404">
              <w:rPr>
                <w:rFonts w:asciiTheme="majorHAnsi" w:eastAsia="Times New Roman" w:hAnsiTheme="majorHAnsi" w:cstheme="majorHAnsi"/>
                <w:color w:val="000000"/>
                <w:sz w:val="18"/>
                <w:szCs w:val="18"/>
                <w:lang w:eastAsia="es-MX"/>
              </w:rPr>
              <w:t>, rather than isolated pilot projects</w:t>
            </w:r>
          </w:p>
        </w:tc>
      </w:tr>
      <w:tr w:rsidR="00284F2B" w:rsidRPr="00F91404" w14:paraId="196D9BDF" w14:textId="77777777" w:rsidTr="00D31919">
        <w:trPr>
          <w:trHeight w:val="400"/>
        </w:trPr>
        <w:tc>
          <w:tcPr>
            <w:tcW w:w="9463" w:type="dxa"/>
            <w:gridSpan w:val="9"/>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004C43" w:themeFill="accent1"/>
            <w:vAlign w:val="center"/>
            <w:hideMark/>
          </w:tcPr>
          <w:p w14:paraId="57589E69" w14:textId="0E386844" w:rsidR="00284F2B" w:rsidRPr="00F91404" w:rsidRDefault="00284F2B" w:rsidP="00284F2B">
            <w:pPr>
              <w:spacing w:after="0"/>
              <w:jc w:val="center"/>
              <w:rPr>
                <w:rFonts w:asciiTheme="majorHAnsi" w:eastAsia="Times New Roman" w:hAnsiTheme="majorHAnsi" w:cstheme="maj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r>
      <w:tr w:rsidR="00284F2B" w:rsidRPr="00F91404" w14:paraId="77A46F23" w14:textId="77777777" w:rsidTr="00D31919">
        <w:trPr>
          <w:trHeight w:val="587"/>
        </w:trPr>
        <w:tc>
          <w:tcPr>
            <w:tcW w:w="9463" w:type="dxa"/>
            <w:gridSpan w:val="9"/>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146DEF86" w14:textId="1E86ACB8" w:rsidR="00284F2B" w:rsidRPr="00F91404" w:rsidRDefault="00284F2B" w:rsidP="00284F2B">
            <w:pPr>
              <w:pStyle w:val="ListParagraph"/>
              <w:numPr>
                <w:ilvl w:val="0"/>
                <w:numId w:val="42"/>
              </w:numPr>
              <w:spacing w:after="140"/>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b/>
                <w:color w:val="000000"/>
                <w:sz w:val="18"/>
                <w:szCs w:val="18"/>
                <w:lang w:eastAsia="es-MX"/>
              </w:rPr>
              <w:t>Federal Ministry for Economic Affairs and Climate Action (BMWK) – Hydrogen Strategy:</w:t>
            </w:r>
            <w:r w:rsidRPr="00F91404">
              <w:rPr>
                <w:rFonts w:asciiTheme="majorHAnsi" w:eastAsia="Times New Roman" w:hAnsiTheme="majorHAnsi" w:cstheme="majorHAnsi"/>
                <w:b/>
                <w:color w:val="000000"/>
                <w:sz w:val="18"/>
                <w:szCs w:val="18"/>
                <w:lang w:eastAsia="es-MX"/>
              </w:rPr>
              <w:br/>
            </w:r>
            <w:hyperlink r:id="rId60" w:tgtFrame="_new" w:history="1">
              <w:r w:rsidRPr="00F91404">
                <w:rPr>
                  <w:rStyle w:val="Hyperlink"/>
                  <w:rFonts w:asciiTheme="majorHAnsi" w:eastAsia="Times New Roman" w:hAnsiTheme="majorHAnsi" w:cstheme="majorHAnsi"/>
                  <w:b/>
                  <w:szCs w:val="18"/>
                  <w:lang w:eastAsia="es-MX"/>
                </w:rPr>
                <w:t>https://www.bmwk.de</w:t>
              </w:r>
            </w:hyperlink>
          </w:p>
          <w:p w14:paraId="588AA412" w14:textId="402EEB96" w:rsidR="00284F2B" w:rsidRPr="00F91404" w:rsidRDefault="00284F2B" w:rsidP="00284F2B">
            <w:pPr>
              <w:pStyle w:val="ListParagraph"/>
              <w:numPr>
                <w:ilvl w:val="0"/>
                <w:numId w:val="42"/>
              </w:numPr>
              <w:spacing w:after="140"/>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b/>
                <w:color w:val="000000"/>
                <w:sz w:val="18"/>
                <w:szCs w:val="18"/>
                <w:lang w:eastAsia="es-MX"/>
              </w:rPr>
              <w:t>National Hydrogen Strategy (official documentation):</w:t>
            </w:r>
            <w:r w:rsidRPr="00F91404">
              <w:rPr>
                <w:rFonts w:asciiTheme="majorHAnsi" w:eastAsia="Times New Roman" w:hAnsiTheme="majorHAnsi" w:cstheme="majorHAnsi"/>
                <w:b/>
                <w:color w:val="000000"/>
                <w:sz w:val="18"/>
                <w:szCs w:val="18"/>
                <w:lang w:eastAsia="es-MX"/>
              </w:rPr>
              <w:br/>
            </w:r>
            <w:hyperlink r:id="rId61" w:tgtFrame="_new" w:history="1">
              <w:r w:rsidRPr="00F91404">
                <w:rPr>
                  <w:rStyle w:val="Hyperlink"/>
                  <w:rFonts w:asciiTheme="majorHAnsi" w:eastAsia="Times New Roman" w:hAnsiTheme="majorHAnsi" w:cstheme="majorHAnsi"/>
                  <w:b/>
                  <w:szCs w:val="18"/>
                  <w:lang w:eastAsia="es-MX"/>
                </w:rPr>
                <w:t>https://www.bmwk.de/Redaktion/EN/Dossier/hydrogen.html</w:t>
              </w:r>
            </w:hyperlink>
          </w:p>
          <w:p w14:paraId="59C52FD0" w14:textId="0E9935C3" w:rsidR="00284F2B" w:rsidRPr="00F91404" w:rsidRDefault="00284F2B" w:rsidP="00284F2B">
            <w:pPr>
              <w:pStyle w:val="ListParagraph"/>
              <w:numPr>
                <w:ilvl w:val="0"/>
                <w:numId w:val="42"/>
              </w:numPr>
              <w:spacing w:after="140"/>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b/>
                <w:color w:val="000000"/>
                <w:sz w:val="18"/>
                <w:szCs w:val="18"/>
                <w:lang w:eastAsia="es-MX"/>
              </w:rPr>
              <w:t>H2Global procurement mechanism:</w:t>
            </w:r>
            <w:r w:rsidRPr="00F91404">
              <w:rPr>
                <w:rFonts w:asciiTheme="majorHAnsi" w:eastAsia="Times New Roman" w:hAnsiTheme="majorHAnsi" w:cstheme="majorHAnsi"/>
                <w:b/>
                <w:color w:val="000000"/>
                <w:sz w:val="18"/>
                <w:szCs w:val="18"/>
                <w:lang w:eastAsia="es-MX"/>
              </w:rPr>
              <w:br/>
              <w:t>https://www.h2global.de</w:t>
            </w:r>
          </w:p>
          <w:p w14:paraId="58F942C8" w14:textId="33F1D7B9" w:rsidR="00284F2B" w:rsidRPr="00F91404" w:rsidRDefault="00284F2B" w:rsidP="00284F2B">
            <w:pPr>
              <w:pStyle w:val="ListParagraph"/>
              <w:numPr>
                <w:ilvl w:val="0"/>
                <w:numId w:val="42"/>
              </w:numPr>
              <w:spacing w:after="140"/>
              <w:rPr>
                <w:rFonts w:asciiTheme="majorHAnsi" w:eastAsia="Times New Roman" w:hAnsiTheme="majorHAnsi" w:cstheme="majorHAnsi"/>
                <w:b/>
                <w:color w:val="000000"/>
                <w:sz w:val="18"/>
                <w:szCs w:val="18"/>
                <w:lang w:eastAsia="es-MX"/>
              </w:rPr>
            </w:pPr>
            <w:r w:rsidRPr="00F91404">
              <w:rPr>
                <w:rFonts w:asciiTheme="majorHAnsi" w:eastAsia="Times New Roman" w:hAnsiTheme="majorHAnsi" w:cstheme="majorHAnsi"/>
                <w:b/>
                <w:color w:val="000000"/>
                <w:sz w:val="18"/>
                <w:szCs w:val="18"/>
                <w:lang w:eastAsia="es-MX"/>
              </w:rPr>
              <w:t>Federal Network Agency (BNetzA) – hydrogen network regulation:</w:t>
            </w:r>
            <w:r w:rsidRPr="00F91404">
              <w:rPr>
                <w:rFonts w:asciiTheme="majorHAnsi" w:eastAsia="Times New Roman" w:hAnsiTheme="majorHAnsi" w:cstheme="majorHAnsi"/>
                <w:b/>
                <w:color w:val="000000"/>
                <w:sz w:val="18"/>
                <w:szCs w:val="18"/>
                <w:lang w:eastAsia="es-MX"/>
              </w:rPr>
              <w:br/>
            </w:r>
            <w:hyperlink r:id="rId62" w:tgtFrame="_new" w:history="1">
              <w:r w:rsidRPr="00F91404">
                <w:rPr>
                  <w:rStyle w:val="Hyperlink"/>
                  <w:rFonts w:asciiTheme="majorHAnsi" w:eastAsia="Times New Roman" w:hAnsiTheme="majorHAnsi" w:cstheme="majorHAnsi"/>
                  <w:b/>
                  <w:szCs w:val="18"/>
                  <w:lang w:eastAsia="es-MX"/>
                </w:rPr>
                <w:t>https://www.bundesnetzagentur.de</w:t>
              </w:r>
            </w:hyperlink>
          </w:p>
        </w:tc>
      </w:tr>
      <w:tr w:rsidR="00284F2B" w:rsidRPr="00F91404" w14:paraId="73BA308B" w14:textId="77777777" w:rsidTr="00D31919">
        <w:trPr>
          <w:trHeight w:val="840"/>
        </w:trPr>
        <w:tc>
          <w:tcPr>
            <w:tcW w:w="9463" w:type="dxa"/>
            <w:gridSpan w:val="9"/>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hideMark/>
          </w:tcPr>
          <w:p w14:paraId="7A488CF8" w14:textId="77777777" w:rsidR="00284F2B" w:rsidRPr="00F91404" w:rsidRDefault="00284F2B" w:rsidP="00284F2B">
            <w:pPr>
              <w:spacing w:after="0"/>
              <w:rPr>
                <w:rFonts w:asciiTheme="majorHAnsi" w:eastAsia="Times New Roman" w:hAnsiTheme="majorHAnsi" w:cstheme="majorHAnsi"/>
                <w:b/>
                <w:color w:val="000000"/>
                <w:sz w:val="18"/>
                <w:szCs w:val="18"/>
                <w:lang w:eastAsia="es-MX"/>
              </w:rPr>
            </w:pPr>
          </w:p>
        </w:tc>
      </w:tr>
    </w:tbl>
    <w:p w14:paraId="279A1A44" w14:textId="77777777" w:rsidR="006113E3" w:rsidRPr="00F91404" w:rsidRDefault="006113E3" w:rsidP="006113E3">
      <w:pPr>
        <w:spacing w:after="0"/>
        <w:ind w:left="0"/>
        <w:rPr>
          <w:rFonts w:asciiTheme="majorHAnsi" w:eastAsia="Times New Roman" w:hAnsiTheme="majorHAnsi" w:cstheme="majorHAnsi"/>
          <w:b/>
          <w:bCs/>
          <w:color w:val="000000"/>
          <w:sz w:val="18"/>
          <w:szCs w:val="18"/>
          <w:lang w:eastAsia="es-MX"/>
        </w:rPr>
      </w:pPr>
    </w:p>
    <w:p w14:paraId="7493085A" w14:textId="77777777" w:rsidR="006113E3" w:rsidRPr="00F91404" w:rsidRDefault="006113E3" w:rsidP="006113E3">
      <w:pPr>
        <w:spacing w:after="0"/>
        <w:ind w:left="0"/>
        <w:rPr>
          <w:rFonts w:asciiTheme="majorHAnsi" w:eastAsia="Times New Roman" w:hAnsiTheme="majorHAnsi" w:cstheme="majorHAnsi"/>
          <w:b/>
          <w:bCs/>
          <w:i/>
          <w:iCs/>
          <w:color w:val="000000"/>
          <w:sz w:val="14"/>
          <w:szCs w:val="14"/>
          <w:lang w:eastAsia="es-MX"/>
        </w:rPr>
      </w:pPr>
    </w:p>
    <w:p w14:paraId="46F5C2A2" w14:textId="63201FF0" w:rsidR="006113E3" w:rsidRPr="00F91404" w:rsidRDefault="006113E3" w:rsidP="006113E3">
      <w:pPr>
        <w:spacing w:after="0"/>
        <w:ind w:left="0"/>
        <w:rPr>
          <w:rFonts w:asciiTheme="majorHAnsi" w:eastAsia="Times New Roman" w:hAnsiTheme="majorHAnsi" w:cstheme="majorHAnsi"/>
          <w:b/>
          <w:bCs/>
          <w:i/>
          <w:iCs/>
          <w:color w:val="000000"/>
          <w:sz w:val="14"/>
          <w:szCs w:val="14"/>
          <w:lang w:eastAsia="es-MX"/>
        </w:rPr>
      </w:pPr>
      <w:r w:rsidRPr="00F91404">
        <w:rPr>
          <w:rFonts w:asciiTheme="majorHAnsi" w:eastAsia="Times New Roman" w:hAnsiTheme="majorHAnsi" w:cstheme="majorHAnsi"/>
          <w:b/>
          <w:bCs/>
          <w:i/>
          <w:iCs/>
          <w:color w:val="000000"/>
          <w:sz w:val="16"/>
          <w:szCs w:val="16"/>
          <w:lang w:eastAsia="es-MX"/>
        </w:rPr>
        <w:t>Sources:</w:t>
      </w:r>
    </w:p>
    <w:p w14:paraId="0B614A34" w14:textId="77777777" w:rsidR="006C1494" w:rsidRPr="00F91404" w:rsidRDefault="006C1494" w:rsidP="006C1494">
      <w:pPr>
        <w:spacing w:after="0" w:line="276" w:lineRule="auto"/>
        <w:ind w:left="0"/>
        <w:rPr>
          <w:rFonts w:asciiTheme="majorHAnsi" w:hAnsiTheme="majorHAnsi" w:cstheme="majorHAnsi"/>
          <w:b/>
          <w:bCs/>
          <w:i/>
          <w:iCs/>
          <w:sz w:val="14"/>
          <w:szCs w:val="14"/>
        </w:rPr>
      </w:pPr>
    </w:p>
    <w:p w14:paraId="5AC9B7B7" w14:textId="10E71019" w:rsidR="006C1494" w:rsidRPr="006C1494" w:rsidRDefault="006C1494" w:rsidP="006C1494">
      <w:pPr>
        <w:spacing w:after="0" w:line="276" w:lineRule="auto"/>
        <w:ind w:left="0"/>
        <w:rPr>
          <w:rFonts w:asciiTheme="majorHAnsi" w:hAnsiTheme="majorHAnsi" w:cstheme="majorHAnsi"/>
          <w:i/>
          <w:iCs/>
          <w:sz w:val="14"/>
          <w:szCs w:val="14"/>
        </w:rPr>
      </w:pPr>
      <w:r w:rsidRPr="006C1494">
        <w:rPr>
          <w:rFonts w:asciiTheme="majorHAnsi" w:hAnsiTheme="majorHAnsi" w:cstheme="majorHAnsi"/>
          <w:b/>
          <w:bCs/>
          <w:i/>
          <w:iCs/>
          <w:sz w:val="14"/>
          <w:szCs w:val="14"/>
        </w:rPr>
        <w:t>Production capacity, project pipeline and infrastructure data</w:t>
      </w:r>
    </w:p>
    <w:p w14:paraId="0799D328" w14:textId="77777777" w:rsidR="006C1494" w:rsidRPr="006C1494" w:rsidRDefault="006C1494" w:rsidP="006C1494">
      <w:pPr>
        <w:numPr>
          <w:ilvl w:val="0"/>
          <w:numId w:val="89"/>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International Energy Agency (IEA) (2023), Global Hydrogen Review 2023, Paris: IEA.</w:t>
      </w:r>
    </w:p>
    <w:p w14:paraId="334659AF" w14:textId="77777777" w:rsidR="006C1494" w:rsidRPr="006C1494" w:rsidRDefault="006C1494" w:rsidP="006C1494">
      <w:pPr>
        <w:numPr>
          <w:ilvl w:val="0"/>
          <w:numId w:val="89"/>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International Energy Agency (IEA), Hydrogen Projects Database (latest available edition).</w:t>
      </w:r>
    </w:p>
    <w:p w14:paraId="2CEB523C" w14:textId="77777777" w:rsidR="006C1494" w:rsidRPr="006C1494" w:rsidRDefault="006C1494" w:rsidP="006C1494">
      <w:pPr>
        <w:numPr>
          <w:ilvl w:val="0"/>
          <w:numId w:val="89"/>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Federal Network Agency (BNetzA), Hydrogen Network Development Planning documents.</w:t>
      </w:r>
    </w:p>
    <w:p w14:paraId="5ABEA275" w14:textId="77777777" w:rsidR="006C1494" w:rsidRPr="006C1494" w:rsidRDefault="006C1494" w:rsidP="006C1494">
      <w:pPr>
        <w:spacing w:after="0" w:line="276" w:lineRule="auto"/>
        <w:ind w:left="0"/>
        <w:rPr>
          <w:rFonts w:asciiTheme="majorHAnsi" w:hAnsiTheme="majorHAnsi" w:cstheme="majorHAnsi"/>
          <w:i/>
          <w:iCs/>
          <w:sz w:val="14"/>
          <w:szCs w:val="14"/>
        </w:rPr>
      </w:pPr>
      <w:r w:rsidRPr="006C1494">
        <w:rPr>
          <w:rFonts w:asciiTheme="majorHAnsi" w:hAnsiTheme="majorHAnsi" w:cstheme="majorHAnsi"/>
          <w:b/>
          <w:bCs/>
          <w:i/>
          <w:iCs/>
          <w:sz w:val="14"/>
          <w:szCs w:val="14"/>
        </w:rPr>
        <w:t>Strategy, roadmap and governance framework</w:t>
      </w:r>
    </w:p>
    <w:p w14:paraId="5E6B5A76" w14:textId="77777777" w:rsidR="006C1494" w:rsidRPr="006C1494" w:rsidRDefault="006C1494" w:rsidP="006C1494">
      <w:pPr>
        <w:numPr>
          <w:ilvl w:val="0"/>
          <w:numId w:val="90"/>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Federal Ministry for Economic Affairs and Climate Action (BMWK) (2021), The National Hydrogen Strategy.</w:t>
      </w:r>
    </w:p>
    <w:p w14:paraId="577A59A7" w14:textId="77777777" w:rsidR="006C1494" w:rsidRPr="006C1494" w:rsidRDefault="006C1494" w:rsidP="006C1494">
      <w:pPr>
        <w:numPr>
          <w:ilvl w:val="0"/>
          <w:numId w:val="90"/>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BMWK (2023), Update of the National Hydrogen Strategy.</w:t>
      </w:r>
    </w:p>
    <w:p w14:paraId="0BCE2E05" w14:textId="77777777" w:rsidR="006C1494" w:rsidRPr="006C1494" w:rsidRDefault="006C1494" w:rsidP="006C1494">
      <w:pPr>
        <w:numPr>
          <w:ilvl w:val="0"/>
          <w:numId w:val="90"/>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European Commission (2022–2023), Important Projects of Common European Interest (IPCEI) – Hydrogen documentation.</w:t>
      </w:r>
    </w:p>
    <w:p w14:paraId="7FC81AD4" w14:textId="77777777" w:rsidR="006C1494" w:rsidRPr="006C1494" w:rsidRDefault="006C1494" w:rsidP="006C1494">
      <w:pPr>
        <w:spacing w:after="0" w:line="276" w:lineRule="auto"/>
        <w:ind w:left="0"/>
        <w:rPr>
          <w:rFonts w:asciiTheme="majorHAnsi" w:hAnsiTheme="majorHAnsi" w:cstheme="majorHAnsi"/>
          <w:i/>
          <w:iCs/>
          <w:sz w:val="14"/>
          <w:szCs w:val="14"/>
        </w:rPr>
      </w:pPr>
      <w:r w:rsidRPr="006C1494">
        <w:rPr>
          <w:rFonts w:asciiTheme="majorHAnsi" w:hAnsiTheme="majorHAnsi" w:cstheme="majorHAnsi"/>
          <w:b/>
          <w:bCs/>
          <w:i/>
          <w:iCs/>
          <w:sz w:val="14"/>
          <w:szCs w:val="14"/>
        </w:rPr>
        <w:t>Market and revenue support mechanisms (H2Global)</w:t>
      </w:r>
    </w:p>
    <w:p w14:paraId="3ABA2CE1" w14:textId="77777777" w:rsidR="006C1494" w:rsidRPr="006C1494" w:rsidRDefault="006C1494" w:rsidP="006C1494">
      <w:pPr>
        <w:numPr>
          <w:ilvl w:val="0"/>
          <w:numId w:val="91"/>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H2Global Foundation, Official Programme Framework and Auction Documentation.</w:t>
      </w:r>
    </w:p>
    <w:p w14:paraId="135882F1" w14:textId="77777777" w:rsidR="006C1494" w:rsidRPr="006C1494" w:rsidRDefault="006C1494" w:rsidP="006C1494">
      <w:pPr>
        <w:numPr>
          <w:ilvl w:val="0"/>
          <w:numId w:val="91"/>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BMWK, Public Procurement and Hydrogen Market Activation Communications.</w:t>
      </w:r>
    </w:p>
    <w:p w14:paraId="45A40ACD" w14:textId="77777777" w:rsidR="006C1494" w:rsidRPr="006C1494" w:rsidRDefault="006C1494" w:rsidP="006C1494">
      <w:pPr>
        <w:spacing w:after="0" w:line="276" w:lineRule="auto"/>
        <w:ind w:left="0"/>
        <w:rPr>
          <w:rFonts w:asciiTheme="majorHAnsi" w:hAnsiTheme="majorHAnsi" w:cstheme="majorHAnsi"/>
          <w:i/>
          <w:iCs/>
          <w:sz w:val="14"/>
          <w:szCs w:val="14"/>
        </w:rPr>
      </w:pPr>
      <w:r w:rsidRPr="006C1494">
        <w:rPr>
          <w:rFonts w:asciiTheme="majorHAnsi" w:hAnsiTheme="majorHAnsi" w:cstheme="majorHAnsi"/>
          <w:b/>
          <w:bCs/>
          <w:i/>
          <w:iCs/>
          <w:sz w:val="14"/>
          <w:szCs w:val="14"/>
        </w:rPr>
        <w:t>Public funding and financing mechanisms</w:t>
      </w:r>
    </w:p>
    <w:p w14:paraId="413F3D9A" w14:textId="77777777" w:rsidR="006C1494" w:rsidRPr="006C1494" w:rsidRDefault="006C1494" w:rsidP="006C1494">
      <w:pPr>
        <w:numPr>
          <w:ilvl w:val="0"/>
          <w:numId w:val="92"/>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KfW Development Bank, Hydrogen Financing Instruments and Climate Transition Lending Programmes.</w:t>
      </w:r>
    </w:p>
    <w:p w14:paraId="322B22B3" w14:textId="77777777" w:rsidR="006C1494" w:rsidRPr="006C1494" w:rsidRDefault="006C1494" w:rsidP="006C1494">
      <w:pPr>
        <w:numPr>
          <w:ilvl w:val="0"/>
          <w:numId w:val="92"/>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European Commission State Aid Decisions related to IPCEI Hydrogen.</w:t>
      </w:r>
    </w:p>
    <w:p w14:paraId="3BDEFA21" w14:textId="77777777" w:rsidR="006C1494" w:rsidRPr="006C1494" w:rsidRDefault="006C1494" w:rsidP="006C1494">
      <w:pPr>
        <w:spacing w:after="0" w:line="276" w:lineRule="auto"/>
        <w:ind w:left="0"/>
        <w:rPr>
          <w:rFonts w:asciiTheme="majorHAnsi" w:hAnsiTheme="majorHAnsi" w:cstheme="majorHAnsi"/>
          <w:i/>
          <w:iCs/>
          <w:sz w:val="14"/>
          <w:szCs w:val="14"/>
        </w:rPr>
      </w:pPr>
      <w:r w:rsidRPr="006C1494">
        <w:rPr>
          <w:rFonts w:asciiTheme="majorHAnsi" w:hAnsiTheme="majorHAnsi" w:cstheme="majorHAnsi"/>
          <w:b/>
          <w:bCs/>
          <w:i/>
          <w:iCs/>
          <w:sz w:val="14"/>
          <w:szCs w:val="14"/>
        </w:rPr>
        <w:t>Standards and certification frameworks</w:t>
      </w:r>
    </w:p>
    <w:p w14:paraId="742E9A4E" w14:textId="77777777" w:rsidR="006C1494" w:rsidRPr="006C1494" w:rsidRDefault="006C1494" w:rsidP="006C1494">
      <w:pPr>
        <w:numPr>
          <w:ilvl w:val="0"/>
          <w:numId w:val="93"/>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European Commission, Delegated Acts under the Renewable Energy Directive defining Renewable Fuels of Non-Biological Origin (RFNBO).</w:t>
      </w:r>
    </w:p>
    <w:p w14:paraId="3AE285C4" w14:textId="77777777" w:rsidR="006C1494" w:rsidRPr="006C1494" w:rsidRDefault="006C1494" w:rsidP="006C1494">
      <w:pPr>
        <w:numPr>
          <w:ilvl w:val="0"/>
          <w:numId w:val="93"/>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Association of Issuing Bodies (AIB), Guarantees of Origin framework (EECS).</w:t>
      </w:r>
    </w:p>
    <w:p w14:paraId="1F328B8B" w14:textId="77777777" w:rsidR="006C1494" w:rsidRPr="006C1494" w:rsidRDefault="006C1494" w:rsidP="006C1494">
      <w:pPr>
        <w:spacing w:after="0" w:line="276" w:lineRule="auto"/>
        <w:ind w:left="0"/>
        <w:rPr>
          <w:rFonts w:asciiTheme="majorHAnsi" w:hAnsiTheme="majorHAnsi" w:cstheme="majorHAnsi"/>
          <w:i/>
          <w:iCs/>
          <w:sz w:val="14"/>
          <w:szCs w:val="14"/>
        </w:rPr>
      </w:pPr>
      <w:r w:rsidRPr="006C1494">
        <w:rPr>
          <w:rFonts w:asciiTheme="majorHAnsi" w:hAnsiTheme="majorHAnsi" w:cstheme="majorHAnsi"/>
          <w:b/>
          <w:bCs/>
          <w:i/>
          <w:iCs/>
          <w:sz w:val="14"/>
          <w:szCs w:val="14"/>
        </w:rPr>
        <w:t>Renewable energy context</w:t>
      </w:r>
    </w:p>
    <w:p w14:paraId="71201714" w14:textId="77777777" w:rsidR="006C1494" w:rsidRPr="006C1494" w:rsidRDefault="006C1494" w:rsidP="006C1494">
      <w:pPr>
        <w:numPr>
          <w:ilvl w:val="0"/>
          <w:numId w:val="94"/>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BMWK Renewable Energy Statistics Portal (Energiewende Monitoring).</w:t>
      </w:r>
    </w:p>
    <w:p w14:paraId="77225452" w14:textId="77777777" w:rsidR="006C1494" w:rsidRPr="006C1494" w:rsidRDefault="006C1494" w:rsidP="006C1494">
      <w:pPr>
        <w:numPr>
          <w:ilvl w:val="0"/>
          <w:numId w:val="94"/>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IEA Electricity Market Reports – Germany sections.</w:t>
      </w:r>
    </w:p>
    <w:p w14:paraId="7B09C9F1" w14:textId="77777777" w:rsidR="006C1494" w:rsidRPr="006C1494" w:rsidRDefault="006C1494" w:rsidP="006C1494">
      <w:pPr>
        <w:spacing w:after="0" w:line="276" w:lineRule="auto"/>
        <w:ind w:left="0"/>
        <w:rPr>
          <w:rFonts w:asciiTheme="majorHAnsi" w:hAnsiTheme="majorHAnsi" w:cstheme="majorHAnsi"/>
          <w:i/>
          <w:iCs/>
          <w:sz w:val="14"/>
          <w:szCs w:val="14"/>
        </w:rPr>
      </w:pPr>
      <w:r w:rsidRPr="006C1494">
        <w:rPr>
          <w:rFonts w:asciiTheme="majorHAnsi" w:hAnsiTheme="majorHAnsi" w:cstheme="majorHAnsi"/>
          <w:b/>
          <w:bCs/>
          <w:i/>
          <w:iCs/>
          <w:sz w:val="14"/>
          <w:szCs w:val="14"/>
        </w:rPr>
        <w:t>Hydrogen value chain and infrastructure planning</w:t>
      </w:r>
    </w:p>
    <w:p w14:paraId="41952201" w14:textId="77777777" w:rsidR="006C1494" w:rsidRPr="006C1494" w:rsidRDefault="006C1494" w:rsidP="006C1494">
      <w:pPr>
        <w:numPr>
          <w:ilvl w:val="0"/>
          <w:numId w:val="95"/>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European Hydrogen Backbone Initiative (latest published report).</w:t>
      </w:r>
    </w:p>
    <w:p w14:paraId="11465928" w14:textId="77777777" w:rsidR="006C1494" w:rsidRPr="006C1494" w:rsidRDefault="006C1494" w:rsidP="006C1494">
      <w:pPr>
        <w:numPr>
          <w:ilvl w:val="0"/>
          <w:numId w:val="95"/>
        </w:numPr>
        <w:spacing w:after="0" w:line="276" w:lineRule="auto"/>
        <w:rPr>
          <w:rFonts w:asciiTheme="majorHAnsi" w:hAnsiTheme="majorHAnsi" w:cstheme="majorHAnsi"/>
          <w:i/>
          <w:iCs/>
          <w:sz w:val="14"/>
          <w:szCs w:val="14"/>
        </w:rPr>
      </w:pPr>
      <w:r w:rsidRPr="006C1494">
        <w:rPr>
          <w:rFonts w:asciiTheme="majorHAnsi" w:hAnsiTheme="majorHAnsi" w:cstheme="majorHAnsi"/>
          <w:i/>
          <w:iCs/>
          <w:sz w:val="14"/>
          <w:szCs w:val="14"/>
        </w:rPr>
        <w:t>BNetzA Hydrogen Backbone Planning Documentation.</w:t>
      </w:r>
    </w:p>
    <w:p w14:paraId="1EAD0094" w14:textId="5BDC0DF6" w:rsidR="00816A15" w:rsidRPr="00F91404" w:rsidRDefault="00816A15" w:rsidP="006C1494">
      <w:pPr>
        <w:spacing w:after="0" w:line="276" w:lineRule="auto"/>
        <w:ind w:left="0"/>
        <w:rPr>
          <w:rFonts w:asciiTheme="majorHAnsi" w:hAnsiTheme="majorHAnsi" w:cstheme="majorHAnsi"/>
          <w:i/>
          <w:iCs/>
          <w:sz w:val="14"/>
          <w:szCs w:val="14"/>
        </w:rPr>
      </w:pPr>
      <w:r w:rsidRPr="00F91404">
        <w:rPr>
          <w:rFonts w:asciiTheme="majorHAnsi" w:hAnsiTheme="majorHAnsi" w:cstheme="majorHAnsi"/>
          <w:i/>
          <w:iCs/>
          <w:sz w:val="14"/>
          <w:szCs w:val="14"/>
        </w:rPr>
        <w:br w:type="page"/>
      </w:r>
    </w:p>
    <w:p w14:paraId="443F743D" w14:textId="77777777" w:rsidR="00F91404" w:rsidRPr="00F91404" w:rsidRDefault="00F91404" w:rsidP="00F91404">
      <w:pPr>
        <w:rPr>
          <w:b/>
          <w:bCs/>
          <w:i/>
          <w:color w:val="004C43" w:themeColor="accent1"/>
          <w:sz w:val="22"/>
          <w:szCs w:val="28"/>
        </w:rPr>
      </w:pPr>
      <w:r w:rsidRPr="00F91404">
        <w:rPr>
          <w:b/>
          <w:bCs/>
          <w:color w:val="004C43" w:themeColor="accent1"/>
          <w:sz w:val="24"/>
          <w:szCs w:val="32"/>
        </w:rPr>
        <w:lastRenderedPageBreak/>
        <w:t>India</w:t>
      </w:r>
    </w:p>
    <w:p w14:paraId="515B15DC" w14:textId="77777777" w:rsidR="00F91404" w:rsidRPr="00F91404" w:rsidRDefault="00F91404" w:rsidP="00F91404">
      <w:pPr>
        <w:rPr>
          <w:rFonts w:cstheme="minorHAnsi"/>
          <w:sz w:val="20"/>
          <w:szCs w:val="20"/>
        </w:rPr>
      </w:pPr>
      <w:r w:rsidRPr="00F91404">
        <w:rPr>
          <w:rFonts w:cstheme="minorHAnsi"/>
          <w:sz w:val="20"/>
          <w:szCs w:val="20"/>
        </w:rPr>
        <w:t>India applies a mission-based governance framework under the National Green Hydrogen Mission (NGHM), with the Ministry of New and Renewable Energy (MNRE) holding the overall mandate for programme design and incentives. Hydrogen development spans multiple ministries, including Power, Petroleum and Natural Gas, Heavy Industry, Ports and Shipping, and Environment, creating a fragmented institutional landscape.</w:t>
      </w:r>
    </w:p>
    <w:p w14:paraId="2E6280A0" w14:textId="77777777" w:rsidR="00F91404" w:rsidRPr="00F91404" w:rsidRDefault="00F91404" w:rsidP="00F91404">
      <w:pPr>
        <w:rPr>
          <w:rFonts w:cstheme="minorHAnsi"/>
          <w:sz w:val="20"/>
          <w:szCs w:val="20"/>
        </w:rPr>
      </w:pPr>
      <w:r w:rsidRPr="00F91404">
        <w:rPr>
          <w:rFonts w:cstheme="minorHAnsi"/>
          <w:sz w:val="20"/>
          <w:szCs w:val="20"/>
        </w:rPr>
        <w:t>To support coordination, India has established inter-ministerial mechanisms under the NGHM, including a Steering/Oversight Committee chaired by MNRE and an R&amp;D advisory structure led by the Principal Scientific Adviser, alongside multi-stakeholder platforms such as the Strategic Hydrogen Innovation Partnership (SHIP). Legal definitions and certification frameworks are still evolving, positioning India as an emerging, scale-first market focused on rapid capacity build-out and domestic manufacturing.</w:t>
      </w:r>
    </w:p>
    <w:tbl>
      <w:tblPr>
        <w:tblW w:w="5000" w:type="pct"/>
        <w:jc w:val="center"/>
        <w:tblCellMar>
          <w:left w:w="70" w:type="dxa"/>
          <w:right w:w="70" w:type="dxa"/>
        </w:tblCellMar>
        <w:tblLook w:val="04A0" w:firstRow="1" w:lastRow="0" w:firstColumn="1" w:lastColumn="0" w:noHBand="0" w:noVBand="1"/>
      </w:tblPr>
      <w:tblGrid>
        <w:gridCol w:w="2067"/>
        <w:gridCol w:w="416"/>
        <w:gridCol w:w="1285"/>
        <w:gridCol w:w="793"/>
        <w:gridCol w:w="879"/>
        <w:gridCol w:w="1575"/>
        <w:gridCol w:w="666"/>
        <w:gridCol w:w="1782"/>
        <w:gridCol w:w="146"/>
      </w:tblGrid>
      <w:tr w:rsidR="00F91404" w:rsidRPr="00F91404" w14:paraId="020364F9" w14:textId="77777777" w:rsidTr="00BD1985">
        <w:trPr>
          <w:gridAfter w:val="1"/>
          <w:wAfter w:w="76" w:type="pct"/>
          <w:trHeight w:val="1060"/>
          <w:jc w:val="center"/>
        </w:trPr>
        <w:tc>
          <w:tcPr>
            <w:tcW w:w="1076" w:type="pct"/>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13ED3C97"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w:t>
            </w:r>
          </w:p>
          <w:p w14:paraId="0F3A24C1"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production capacity </w:t>
            </w:r>
          </w:p>
          <w:p w14:paraId="44A0C6EC"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Operational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885"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66FC1829"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w:t>
            </w:r>
          </w:p>
          <w:p w14:paraId="7037C139"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capacity Planned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870"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25FC89DD"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Hydrogen </w:t>
            </w:r>
          </w:p>
          <w:p w14:paraId="6441BB53"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pipelines </w:t>
            </w:r>
            <w:r w:rsidRPr="00F91404">
              <w:rPr>
                <w:rFonts w:eastAsia="Times New Roman" w:cstheme="minorHAnsi"/>
                <w:b/>
                <w:color w:val="FFFFFF" w:themeColor="background1"/>
                <w:sz w:val="18"/>
                <w:szCs w:val="18"/>
                <w:lang w:eastAsia="es-MX"/>
              </w:rPr>
              <w:br/>
              <w:t>(km)</w:t>
            </w:r>
          </w:p>
        </w:tc>
        <w:tc>
          <w:tcPr>
            <w:tcW w:w="1166"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48BC4967"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Ammonia port </w:t>
            </w:r>
          </w:p>
          <w:p w14:paraId="7A58BD9F"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storage capacity </w:t>
            </w:r>
            <w:r w:rsidRPr="00F91404">
              <w:rPr>
                <w:rFonts w:eastAsia="Times New Roman" w:cstheme="minorHAnsi"/>
                <w:b/>
                <w:color w:val="FFFFFF" w:themeColor="background1"/>
                <w:sz w:val="18"/>
                <w:szCs w:val="18"/>
                <w:lang w:eastAsia="es-MX"/>
              </w:rPr>
              <w:br/>
              <w:t>(Thousand tonnes)</w:t>
            </w:r>
          </w:p>
        </w:tc>
        <w:tc>
          <w:tcPr>
            <w:tcW w:w="927" w:type="pct"/>
            <w:tcBorders>
              <w:top w:val="single" w:sz="12" w:space="0" w:color="808080"/>
              <w:left w:val="nil"/>
              <w:bottom w:val="single" w:sz="12" w:space="0" w:color="808080"/>
              <w:right w:val="single" w:sz="12" w:space="0" w:color="808080"/>
            </w:tcBorders>
            <w:shd w:val="clear" w:color="auto" w:fill="004C43" w:themeFill="accent1"/>
            <w:vAlign w:val="center"/>
            <w:hideMark/>
          </w:tcPr>
          <w:p w14:paraId="396F685C"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Dominant market model</w:t>
            </w:r>
          </w:p>
        </w:tc>
      </w:tr>
      <w:tr w:rsidR="00F91404" w:rsidRPr="00F91404" w14:paraId="4401A7F1" w14:textId="77777777" w:rsidTr="00BD1985">
        <w:trPr>
          <w:gridAfter w:val="1"/>
          <w:wAfter w:w="76" w:type="pct"/>
          <w:trHeight w:val="1956"/>
          <w:jc w:val="center"/>
        </w:trPr>
        <w:tc>
          <w:tcPr>
            <w:tcW w:w="1076" w:type="pct"/>
            <w:tcBorders>
              <w:top w:val="nil"/>
              <w:left w:val="single" w:sz="12" w:space="0" w:color="808080"/>
              <w:bottom w:val="single" w:sz="12" w:space="0" w:color="808080"/>
              <w:right w:val="single" w:sz="12" w:space="0" w:color="808080"/>
            </w:tcBorders>
            <w:noWrap/>
            <w:vAlign w:val="center"/>
            <w:hideMark/>
          </w:tcPr>
          <w:p w14:paraId="574545E0"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23B6E45A" wp14:editId="3A6310C2">
                  <wp:extent cx="1224280" cy="1455089"/>
                  <wp:effectExtent l="0" t="0" r="0" b="0"/>
                  <wp:docPr id="54330387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b="10404"/>
                          <a:stretch>
                            <a:fillRect/>
                          </a:stretch>
                        </pic:blipFill>
                        <pic:spPr bwMode="auto">
                          <a:xfrm>
                            <a:off x="0" y="0"/>
                            <a:ext cx="1239471" cy="14731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85" w:type="pct"/>
            <w:gridSpan w:val="2"/>
            <w:tcBorders>
              <w:top w:val="nil"/>
              <w:left w:val="nil"/>
              <w:bottom w:val="single" w:sz="12" w:space="0" w:color="808080"/>
              <w:right w:val="single" w:sz="12" w:space="0" w:color="808080"/>
            </w:tcBorders>
            <w:noWrap/>
            <w:vAlign w:val="center"/>
            <w:hideMark/>
          </w:tcPr>
          <w:p w14:paraId="17967CAB"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0586C7EF" wp14:editId="1EB0CD0E">
                  <wp:extent cx="980923" cy="1565082"/>
                  <wp:effectExtent l="0" t="0" r="0" b="0"/>
                  <wp:docPr id="67918625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23490" r="24197" b="8696"/>
                          <a:stretch>
                            <a:fillRect/>
                          </a:stretch>
                        </pic:blipFill>
                        <pic:spPr bwMode="auto">
                          <a:xfrm>
                            <a:off x="0" y="0"/>
                            <a:ext cx="993370" cy="158494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70" w:type="pct"/>
            <w:gridSpan w:val="2"/>
            <w:tcBorders>
              <w:top w:val="nil"/>
              <w:left w:val="nil"/>
              <w:bottom w:val="single" w:sz="12" w:space="0" w:color="808080"/>
              <w:right w:val="single" w:sz="12" w:space="0" w:color="808080"/>
            </w:tcBorders>
            <w:noWrap/>
            <w:vAlign w:val="center"/>
            <w:hideMark/>
          </w:tcPr>
          <w:p w14:paraId="033971E2"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bCs/>
                <w:noProof/>
                <w:color w:val="000000"/>
                <w:sz w:val="18"/>
                <w:szCs w:val="18"/>
                <w:lang w:eastAsia="es-MX"/>
              </w:rPr>
              <w:drawing>
                <wp:inline distT="0" distB="0" distL="0" distR="0" wp14:anchorId="7FB75285" wp14:editId="36E5C09D">
                  <wp:extent cx="962025" cy="785654"/>
                  <wp:effectExtent l="0" t="0" r="0" b="0"/>
                  <wp:docPr id="1731705868" name="Picture 9" descr="A group of pipes with a red x&#10;&#10;AI-generated content may be incorrect.">
                    <a:extLst xmlns:a="http://schemas.openxmlformats.org/drawingml/2006/main">
                      <a:ext uri="{FF2B5EF4-FFF2-40B4-BE49-F238E27FC236}">
                        <a16:creationId xmlns:a16="http://schemas.microsoft.com/office/drawing/2014/main" id="{6E4743CC-529A-8701-D911-D8A99AD40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oup of pipes with a red x&#10;&#10;AI-generated content may be incorrect.">
                            <a:extLst>
                              <a:ext uri="{FF2B5EF4-FFF2-40B4-BE49-F238E27FC236}">
                                <a16:creationId xmlns:a16="http://schemas.microsoft.com/office/drawing/2014/main" id="{6E4743CC-529A-8701-D911-D8A99AD4050C}"/>
                              </a:ext>
                            </a:extLst>
                          </pic:cNvPr>
                          <pic:cNvPicPr>
                            <a:picLocks noChangeAspect="1"/>
                          </pic:cNvPicPr>
                        </pic:nvPicPr>
                        <pic:blipFill>
                          <a:blip r:embed="rId37"/>
                          <a:srcRect l="54168" t="56144" r="13491" b="4237"/>
                          <a:stretch>
                            <a:fillRect/>
                          </a:stretch>
                        </pic:blipFill>
                        <pic:spPr>
                          <a:xfrm>
                            <a:off x="0" y="0"/>
                            <a:ext cx="985677" cy="804970"/>
                          </a:xfrm>
                          <a:prstGeom prst="rect">
                            <a:avLst/>
                          </a:prstGeom>
                        </pic:spPr>
                      </pic:pic>
                    </a:graphicData>
                  </a:graphic>
                </wp:inline>
              </w:drawing>
            </w:r>
          </w:p>
        </w:tc>
        <w:tc>
          <w:tcPr>
            <w:tcW w:w="1166" w:type="pct"/>
            <w:gridSpan w:val="2"/>
            <w:tcBorders>
              <w:top w:val="nil"/>
              <w:left w:val="nil"/>
              <w:bottom w:val="single" w:sz="12" w:space="0" w:color="808080"/>
              <w:right w:val="single" w:sz="12" w:space="0" w:color="808080"/>
            </w:tcBorders>
            <w:noWrap/>
            <w:vAlign w:val="center"/>
            <w:hideMark/>
          </w:tcPr>
          <w:p w14:paraId="4DD2A2B3"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330.0</w:t>
            </w:r>
          </w:p>
          <w:p w14:paraId="24B87E54"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271B0A19" wp14:editId="535F2A5C">
                  <wp:extent cx="1328685" cy="882595"/>
                  <wp:effectExtent l="0" t="0" r="5080" b="0"/>
                  <wp:docPr id="108894834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75973" cy="914007"/>
                          </a:xfrm>
                          <a:prstGeom prst="rect">
                            <a:avLst/>
                          </a:prstGeom>
                          <a:noFill/>
                        </pic:spPr>
                      </pic:pic>
                    </a:graphicData>
                  </a:graphic>
                </wp:inline>
              </w:drawing>
            </w:r>
          </w:p>
        </w:tc>
        <w:tc>
          <w:tcPr>
            <w:tcW w:w="927" w:type="pct"/>
            <w:tcBorders>
              <w:top w:val="nil"/>
              <w:left w:val="nil"/>
              <w:bottom w:val="single" w:sz="12" w:space="0" w:color="808080"/>
              <w:right w:val="single" w:sz="12" w:space="0" w:color="808080"/>
            </w:tcBorders>
            <w:vAlign w:val="center"/>
            <w:hideMark/>
          </w:tcPr>
          <w:p w14:paraId="54D32A11"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04E8FDFE" wp14:editId="7964A255">
                  <wp:extent cx="1036960" cy="1289877"/>
                  <wp:effectExtent l="0" t="0" r="0" b="5715"/>
                  <wp:docPr id="12" name="Picture 11" descr="A screenshot of a computer&#10;&#10;AI-generated content may be incorrect.">
                    <a:extLst xmlns:a="http://schemas.openxmlformats.org/drawingml/2006/main">
                      <a:ext uri="{FF2B5EF4-FFF2-40B4-BE49-F238E27FC236}">
                        <a16:creationId xmlns:a16="http://schemas.microsoft.com/office/drawing/2014/main" id="{DF3BE5BE-FE85-FD2E-CE4C-8DCC217E5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computer&#10;&#10;AI-generated content may be incorrect.">
                            <a:extLst>
                              <a:ext uri="{FF2B5EF4-FFF2-40B4-BE49-F238E27FC236}">
                                <a16:creationId xmlns:a16="http://schemas.microsoft.com/office/drawing/2014/main" id="{DF3BE5BE-FE85-FD2E-CE4C-8DCC217E5526}"/>
                              </a:ext>
                            </a:extLst>
                          </pic:cNvPr>
                          <pic:cNvPicPr>
                            <a:picLocks noChangeAspect="1"/>
                          </pic:cNvPicPr>
                        </pic:nvPicPr>
                        <pic:blipFill>
                          <a:blip r:embed="rId47"/>
                          <a:srcRect l="54329" t="58736" r="26820" b="6092"/>
                          <a:stretch>
                            <a:fillRect/>
                          </a:stretch>
                        </pic:blipFill>
                        <pic:spPr>
                          <a:xfrm>
                            <a:off x="0" y="0"/>
                            <a:ext cx="1050825" cy="1307124"/>
                          </a:xfrm>
                          <a:prstGeom prst="rect">
                            <a:avLst/>
                          </a:prstGeom>
                        </pic:spPr>
                      </pic:pic>
                    </a:graphicData>
                  </a:graphic>
                </wp:inline>
              </w:drawing>
            </w:r>
          </w:p>
        </w:tc>
      </w:tr>
      <w:tr w:rsidR="00F91404" w:rsidRPr="00F91404" w14:paraId="15C55A60" w14:textId="77777777" w:rsidTr="00BD1985">
        <w:trPr>
          <w:gridAfter w:val="1"/>
          <w:wAfter w:w="76" w:type="pct"/>
          <w:trHeight w:val="590"/>
          <w:jc w:val="center"/>
        </w:trPr>
        <w:tc>
          <w:tcPr>
            <w:tcW w:w="1291" w:type="pct"/>
            <w:gridSpan w:val="2"/>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0E949342"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Overall Status</w:t>
            </w:r>
          </w:p>
        </w:tc>
        <w:tc>
          <w:tcPr>
            <w:tcW w:w="1082" w:type="pct"/>
            <w:gridSpan w:val="2"/>
            <w:tcBorders>
              <w:top w:val="nil"/>
              <w:left w:val="nil"/>
              <w:bottom w:val="single" w:sz="12" w:space="0" w:color="808080"/>
              <w:right w:val="single" w:sz="12" w:space="0" w:color="808080"/>
            </w:tcBorders>
            <w:shd w:val="clear" w:color="auto" w:fill="004C43" w:themeFill="accent1"/>
            <w:vAlign w:val="center"/>
            <w:hideMark/>
          </w:tcPr>
          <w:p w14:paraId="74E2021F"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Strategies</w:t>
            </w:r>
          </w:p>
        </w:tc>
        <w:tc>
          <w:tcPr>
            <w:tcW w:w="1278" w:type="pct"/>
            <w:gridSpan w:val="2"/>
            <w:tcBorders>
              <w:top w:val="nil"/>
              <w:left w:val="nil"/>
              <w:bottom w:val="single" w:sz="12" w:space="0" w:color="808080"/>
              <w:right w:val="single" w:sz="12" w:space="0" w:color="808080"/>
            </w:tcBorders>
            <w:shd w:val="clear" w:color="auto" w:fill="004C43" w:themeFill="accent1"/>
            <w:vAlign w:val="center"/>
            <w:hideMark/>
          </w:tcPr>
          <w:p w14:paraId="1D78537A"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 xml:space="preserve">Road Map </w:t>
            </w:r>
          </w:p>
        </w:tc>
        <w:tc>
          <w:tcPr>
            <w:tcW w:w="1273" w:type="pct"/>
            <w:gridSpan w:val="2"/>
            <w:tcBorders>
              <w:top w:val="nil"/>
              <w:left w:val="nil"/>
              <w:bottom w:val="single" w:sz="12" w:space="0" w:color="808080"/>
              <w:right w:val="single" w:sz="12" w:space="0" w:color="808080"/>
            </w:tcBorders>
            <w:shd w:val="clear" w:color="auto" w:fill="004C43" w:themeFill="accent1"/>
            <w:vAlign w:val="center"/>
            <w:hideMark/>
          </w:tcPr>
          <w:p w14:paraId="2C273EAC"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 xml:space="preserve">Implementation &amp; </w:t>
            </w:r>
          </w:p>
          <w:p w14:paraId="789C0DAB"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Development Plans</w:t>
            </w:r>
          </w:p>
        </w:tc>
      </w:tr>
      <w:tr w:rsidR="00F91404" w:rsidRPr="00F91404" w14:paraId="00EE52C5" w14:textId="77777777" w:rsidTr="00BD1985">
        <w:trPr>
          <w:gridAfter w:val="1"/>
          <w:wAfter w:w="76" w:type="pct"/>
          <w:trHeight w:val="6454"/>
          <w:jc w:val="center"/>
        </w:trPr>
        <w:tc>
          <w:tcPr>
            <w:tcW w:w="1291" w:type="pct"/>
            <w:gridSpan w:val="2"/>
            <w:tcBorders>
              <w:top w:val="single" w:sz="12" w:space="0" w:color="808080"/>
              <w:left w:val="single" w:sz="12" w:space="0" w:color="808080"/>
              <w:bottom w:val="single" w:sz="12" w:space="0" w:color="808080"/>
              <w:right w:val="single" w:sz="12" w:space="0" w:color="808080"/>
            </w:tcBorders>
            <w:vAlign w:val="center"/>
            <w:hideMark/>
          </w:tcPr>
          <w:p w14:paraId="4F28D51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Mission-led hydrogen market focused on rapid scale-up and cost reduction</w:t>
            </w:r>
          </w:p>
          <w:p w14:paraId="6C83A06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framework prioritises industrial substitution and domestic manufacturing</w:t>
            </w:r>
          </w:p>
          <w:p w14:paraId="10AC9EF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Deployment driven by CAPEX incentives, rather than market-based revenue support</w:t>
            </w:r>
          </w:p>
          <w:p w14:paraId="495AB7E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Model designed to accelerate volumes quickly, with market mechanisms evolving later</w:t>
            </w:r>
          </w:p>
          <w:p w14:paraId="384DFAC6" w14:textId="77777777" w:rsidR="00F91404" w:rsidRPr="00F91404" w:rsidRDefault="00F91404" w:rsidP="00BD1985">
            <w:pPr>
              <w:spacing w:after="0"/>
              <w:jc w:val="center"/>
              <w:rPr>
                <w:rFonts w:eastAsia="Times New Roman" w:cstheme="minorHAnsi"/>
                <w:b/>
                <w:bCs/>
                <w:color w:val="000000"/>
                <w:sz w:val="18"/>
                <w:szCs w:val="18"/>
                <w:lang w:eastAsia="es-MX"/>
              </w:rPr>
            </w:pPr>
            <w:r w:rsidRPr="00F91404">
              <w:rPr>
                <w:rFonts w:eastAsia="Times New Roman" w:cstheme="minorHAnsi"/>
                <w:b/>
                <w:color w:val="000000"/>
                <w:sz w:val="18"/>
                <w:szCs w:val="18"/>
                <w:lang w:eastAsia="es-MX"/>
              </w:rPr>
              <w:t>.</w:t>
            </w:r>
          </w:p>
        </w:tc>
        <w:tc>
          <w:tcPr>
            <w:tcW w:w="1082" w:type="pct"/>
            <w:gridSpan w:val="2"/>
            <w:tcBorders>
              <w:top w:val="nil"/>
              <w:left w:val="single" w:sz="12" w:space="0" w:color="808080"/>
              <w:bottom w:val="single" w:sz="12" w:space="0" w:color="808080"/>
              <w:right w:val="single" w:sz="12" w:space="0" w:color="808080"/>
            </w:tcBorders>
            <w:vAlign w:val="center"/>
            <w:hideMark/>
          </w:tcPr>
          <w:p w14:paraId="229A605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Positions green hydrogen as a strategic tool for industrial decarbonisation and energy security</w:t>
            </w:r>
          </w:p>
          <w:p w14:paraId="176DA37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Strong focus on substituting existing grey hydrogen in priority sectors:</w:t>
            </w:r>
          </w:p>
          <w:p w14:paraId="64260F15" w14:textId="77777777" w:rsidR="00F91404" w:rsidRPr="00F91404" w:rsidRDefault="00F91404" w:rsidP="00BD1985">
            <w:pPr>
              <w:pStyle w:val="ListParagraph"/>
              <w:numPr>
                <w:ilvl w:val="1"/>
                <w:numId w:val="28"/>
              </w:numPr>
              <w:spacing w:before="240" w:after="140" w:line="276" w:lineRule="auto"/>
              <w:ind w:left="504" w:hanging="283"/>
              <w:rPr>
                <w:rFonts w:eastAsia="Times New Roman" w:cstheme="minorHAnsi"/>
                <w:sz w:val="18"/>
                <w:szCs w:val="18"/>
                <w:lang w:eastAsia="es-MX"/>
              </w:rPr>
            </w:pPr>
            <w:r w:rsidRPr="00F91404">
              <w:rPr>
                <w:rFonts w:eastAsia="Times New Roman" w:cstheme="minorHAnsi"/>
                <w:sz w:val="18"/>
                <w:szCs w:val="18"/>
                <w:lang w:eastAsia="es-MX"/>
              </w:rPr>
              <w:t>Refineries</w:t>
            </w:r>
          </w:p>
          <w:p w14:paraId="231D9191" w14:textId="77777777" w:rsidR="00F91404" w:rsidRPr="00F91404" w:rsidRDefault="00F91404" w:rsidP="00BD1985">
            <w:pPr>
              <w:pStyle w:val="ListParagraph"/>
              <w:numPr>
                <w:ilvl w:val="1"/>
                <w:numId w:val="28"/>
              </w:numPr>
              <w:spacing w:before="240" w:after="140" w:line="276" w:lineRule="auto"/>
              <w:ind w:left="504" w:hanging="283"/>
              <w:rPr>
                <w:rFonts w:eastAsia="Times New Roman" w:cstheme="minorHAnsi"/>
                <w:sz w:val="18"/>
                <w:szCs w:val="18"/>
                <w:lang w:eastAsia="es-MX"/>
              </w:rPr>
            </w:pPr>
            <w:r w:rsidRPr="00F91404">
              <w:rPr>
                <w:rFonts w:eastAsia="Times New Roman" w:cstheme="minorHAnsi"/>
                <w:sz w:val="18"/>
                <w:szCs w:val="18"/>
                <w:lang w:eastAsia="es-MX"/>
              </w:rPr>
              <w:t>Fertilisers</w:t>
            </w:r>
          </w:p>
          <w:p w14:paraId="40662198" w14:textId="77777777" w:rsidR="00F91404" w:rsidRPr="00F91404" w:rsidRDefault="00F91404" w:rsidP="00BD1985">
            <w:pPr>
              <w:pStyle w:val="ListParagraph"/>
              <w:numPr>
                <w:ilvl w:val="1"/>
                <w:numId w:val="28"/>
              </w:numPr>
              <w:spacing w:before="240" w:after="140" w:line="276" w:lineRule="auto"/>
              <w:ind w:left="504" w:hanging="283"/>
              <w:rPr>
                <w:rFonts w:eastAsia="Times New Roman" w:cstheme="minorHAnsi"/>
                <w:sz w:val="18"/>
                <w:szCs w:val="18"/>
                <w:lang w:eastAsia="es-MX"/>
              </w:rPr>
            </w:pPr>
            <w:r w:rsidRPr="00F91404">
              <w:rPr>
                <w:rFonts w:eastAsia="Times New Roman" w:cstheme="minorHAnsi"/>
                <w:sz w:val="18"/>
                <w:szCs w:val="18"/>
                <w:lang w:eastAsia="es-MX"/>
              </w:rPr>
              <w:t>Chemicals</w:t>
            </w:r>
          </w:p>
          <w:p w14:paraId="2923ADB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Emphasises domestic manufacturing, particularly electrolyser production</w:t>
            </w:r>
          </w:p>
          <w:p w14:paraId="58CC3C1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Prioritises scale and learning effects over early market liberalisation</w:t>
            </w:r>
          </w:p>
          <w:p w14:paraId="2E2A2CCD" w14:textId="77777777" w:rsidR="00F91404" w:rsidRPr="00F91404" w:rsidRDefault="00F91404" w:rsidP="00BD1985">
            <w:pPr>
              <w:spacing w:after="0"/>
              <w:jc w:val="center"/>
              <w:rPr>
                <w:rFonts w:eastAsia="Times New Roman" w:cstheme="minorHAnsi"/>
                <w:color w:val="000000"/>
                <w:sz w:val="18"/>
                <w:szCs w:val="18"/>
                <w:lang w:eastAsia="es-MX"/>
              </w:rPr>
            </w:pPr>
          </w:p>
        </w:tc>
        <w:tc>
          <w:tcPr>
            <w:tcW w:w="1278" w:type="pct"/>
            <w:gridSpan w:val="2"/>
            <w:tcBorders>
              <w:top w:val="nil"/>
              <w:left w:val="single" w:sz="12" w:space="0" w:color="808080"/>
              <w:bottom w:val="single" w:sz="12" w:space="0" w:color="808080"/>
              <w:right w:val="single" w:sz="12" w:space="0" w:color="808080"/>
            </w:tcBorders>
            <w:vAlign w:val="center"/>
            <w:hideMark/>
          </w:tcPr>
          <w:p w14:paraId="2305844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Mission launch (2022): National Green Hydrogen Mission establishes scale-up and cost-reduction </w:t>
            </w:r>
            <w:r w:rsidRPr="00F91404">
              <w:rPr>
                <w:rFonts w:eastAsia="Times New Roman" w:cstheme="minorHAnsi"/>
                <w:sz w:val="18"/>
                <w:szCs w:val="18"/>
                <w:lang w:eastAsia="es-MX"/>
              </w:rPr>
              <w:br/>
              <w:t>objectives</w:t>
            </w:r>
          </w:p>
          <w:p w14:paraId="25B0361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Industrial substitution phase (2022–2024): CAPEX incentives target replacement of grey hydrogen in industry</w:t>
            </w:r>
          </w:p>
          <w:p w14:paraId="7416EC5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Scaling phase (current): </w:t>
            </w:r>
            <w:r w:rsidRPr="00F91404">
              <w:rPr>
                <w:rFonts w:eastAsia="Times New Roman" w:cstheme="minorHAnsi"/>
                <w:sz w:val="18"/>
                <w:szCs w:val="18"/>
                <w:lang w:eastAsia="es-MX"/>
              </w:rPr>
              <w:br/>
              <w:t>Expansion of domestic</w:t>
            </w:r>
            <w:r w:rsidRPr="00F91404">
              <w:rPr>
                <w:rFonts w:eastAsia="Times New Roman" w:cstheme="minorHAnsi"/>
                <w:sz w:val="18"/>
                <w:szCs w:val="18"/>
                <w:lang w:eastAsia="es-MX"/>
              </w:rPr>
              <w:br/>
              <w:t xml:space="preserve">hydrogen production and electrolyser manufacturing </w:t>
            </w:r>
            <w:r w:rsidRPr="00F91404">
              <w:rPr>
                <w:rFonts w:eastAsia="Times New Roman" w:cstheme="minorHAnsi"/>
                <w:sz w:val="18"/>
                <w:szCs w:val="18"/>
                <w:lang w:eastAsia="es-MX"/>
              </w:rPr>
              <w:br/>
              <w:t>capacity</w:t>
            </w:r>
          </w:p>
          <w:p w14:paraId="2E7587F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Next phase: Gradual introduction of demand-side mechanisms as volumes and costs mature</w:t>
            </w:r>
          </w:p>
          <w:p w14:paraId="6DEEF2B6" w14:textId="77777777" w:rsidR="00F91404" w:rsidRPr="00F91404" w:rsidRDefault="00F91404" w:rsidP="00BD1985">
            <w:pPr>
              <w:spacing w:after="0"/>
              <w:jc w:val="center"/>
              <w:rPr>
                <w:rFonts w:eastAsia="Times New Roman" w:cstheme="minorHAnsi"/>
                <w:color w:val="000000"/>
                <w:sz w:val="18"/>
                <w:szCs w:val="18"/>
                <w:lang w:eastAsia="es-MX"/>
              </w:rPr>
            </w:pPr>
          </w:p>
        </w:tc>
        <w:tc>
          <w:tcPr>
            <w:tcW w:w="1273" w:type="pct"/>
            <w:gridSpan w:val="2"/>
            <w:tcBorders>
              <w:top w:val="nil"/>
              <w:left w:val="single" w:sz="12" w:space="0" w:color="808080"/>
              <w:bottom w:val="single" w:sz="12" w:space="0" w:color="808080"/>
              <w:right w:val="single" w:sz="12" w:space="0" w:color="808080"/>
            </w:tcBorders>
            <w:vAlign w:val="center"/>
            <w:hideMark/>
          </w:tcPr>
          <w:p w14:paraId="02E22F5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Execution led by the Ministry of New and Renewable Energy (MNRE)</w:t>
            </w:r>
          </w:p>
          <w:p w14:paraId="3A3F2D4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Core implementation instruments include:</w:t>
            </w:r>
          </w:p>
          <w:p w14:paraId="24B9666C"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National Green Hydrogen Mission</w:t>
            </w:r>
          </w:p>
          <w:p w14:paraId="779B1559"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 xml:space="preserve">SIGHT (Strategic Interventions for Green </w:t>
            </w:r>
            <w:r w:rsidRPr="00F91404">
              <w:rPr>
                <w:rFonts w:eastAsia="Times New Roman" w:cstheme="minorHAnsi"/>
                <w:sz w:val="18"/>
                <w:szCs w:val="18"/>
                <w:lang w:eastAsia="es-MX"/>
              </w:rPr>
              <w:br/>
              <w:t>Hydrogen Transition) programme</w:t>
            </w:r>
          </w:p>
          <w:p w14:paraId="138EE88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Programmes define:</w:t>
            </w:r>
          </w:p>
          <w:p w14:paraId="6C7C2E61"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Eligible projects</w:t>
            </w:r>
          </w:p>
          <w:p w14:paraId="730C322D"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Support levels</w:t>
            </w:r>
          </w:p>
          <w:p w14:paraId="35EDDAC4"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Capacity-linked incentives for production and manufacturing</w:t>
            </w:r>
          </w:p>
        </w:tc>
      </w:tr>
      <w:tr w:rsidR="00F91404" w:rsidRPr="00F91404" w14:paraId="2FF17496"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51EA0092"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lastRenderedPageBreak/>
              <w:t>Policies Framework</w:t>
            </w:r>
          </w:p>
        </w:tc>
        <w:tc>
          <w:tcPr>
            <w:tcW w:w="76" w:type="pct"/>
            <w:vAlign w:val="center"/>
            <w:hideMark/>
          </w:tcPr>
          <w:p w14:paraId="1924B2F1" w14:textId="77777777" w:rsidR="00F91404" w:rsidRPr="00F91404" w:rsidRDefault="00F91404" w:rsidP="00BD1985">
            <w:pPr>
              <w:spacing w:after="0"/>
              <w:rPr>
                <w:rFonts w:eastAsia="Times New Roman" w:cstheme="minorHAnsi"/>
                <w:sz w:val="20"/>
                <w:szCs w:val="20"/>
                <w:lang w:eastAsia="es-MX"/>
              </w:rPr>
            </w:pPr>
          </w:p>
        </w:tc>
      </w:tr>
      <w:tr w:rsidR="00F91404" w:rsidRPr="00F91404" w14:paraId="34082EA6" w14:textId="77777777" w:rsidTr="00BD1985">
        <w:trPr>
          <w:trHeight w:val="950"/>
          <w:jc w:val="center"/>
        </w:trPr>
        <w:tc>
          <w:tcPr>
            <w:tcW w:w="107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5D125856"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Fiscal &amp; Tax </w:t>
            </w:r>
          </w:p>
          <w:p w14:paraId="23D3BDC6"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Incentives</w:t>
            </w:r>
          </w:p>
        </w:tc>
        <w:tc>
          <w:tcPr>
            <w:tcW w:w="3848" w:type="pct"/>
            <w:gridSpan w:val="7"/>
            <w:tcBorders>
              <w:top w:val="single" w:sz="12" w:space="0" w:color="808080"/>
              <w:left w:val="nil"/>
              <w:bottom w:val="single" w:sz="12" w:space="0" w:color="808080"/>
              <w:right w:val="single" w:sz="12" w:space="0" w:color="808080"/>
            </w:tcBorders>
            <w:vAlign w:val="center"/>
            <w:hideMark/>
          </w:tcPr>
          <w:p w14:paraId="0D24294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Limited tax incentives available through renewable energy and manufacturing frameworks</w:t>
            </w:r>
          </w:p>
          <w:p w14:paraId="3F5136A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No hydrogen-specific tax credits currently applied</w:t>
            </w:r>
          </w:p>
        </w:tc>
        <w:tc>
          <w:tcPr>
            <w:tcW w:w="76" w:type="pct"/>
            <w:vAlign w:val="center"/>
            <w:hideMark/>
          </w:tcPr>
          <w:p w14:paraId="29AB8488" w14:textId="77777777" w:rsidR="00F91404" w:rsidRPr="00F91404" w:rsidRDefault="00F91404" w:rsidP="00BD1985">
            <w:pPr>
              <w:spacing w:after="0"/>
              <w:rPr>
                <w:rFonts w:eastAsia="Times New Roman" w:cstheme="minorHAnsi"/>
                <w:sz w:val="20"/>
                <w:szCs w:val="20"/>
                <w:lang w:eastAsia="es-MX"/>
              </w:rPr>
            </w:pPr>
          </w:p>
        </w:tc>
      </w:tr>
      <w:tr w:rsidR="00F91404" w:rsidRPr="00F91404" w14:paraId="03331731" w14:textId="77777777" w:rsidTr="00BD1985">
        <w:trPr>
          <w:trHeight w:val="1261"/>
          <w:jc w:val="center"/>
        </w:trPr>
        <w:tc>
          <w:tcPr>
            <w:tcW w:w="107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38F25698"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Market and revenue support </w:t>
            </w:r>
          </w:p>
          <w:p w14:paraId="43F0D937"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mechanisms</w:t>
            </w:r>
          </w:p>
        </w:tc>
        <w:tc>
          <w:tcPr>
            <w:tcW w:w="3848" w:type="pct"/>
            <w:gridSpan w:val="7"/>
            <w:tcBorders>
              <w:top w:val="single" w:sz="12" w:space="0" w:color="808080"/>
              <w:left w:val="nil"/>
              <w:bottom w:val="single" w:sz="12" w:space="0" w:color="808080"/>
              <w:right w:val="single" w:sz="12" w:space="0" w:color="808080"/>
            </w:tcBorders>
            <w:vAlign w:val="center"/>
            <w:hideMark/>
          </w:tcPr>
          <w:p w14:paraId="09C9DE3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No market-wide revenue stabilisation instruments (e.g. </w:t>
            </w:r>
            <w:proofErr w:type="spellStart"/>
            <w:r w:rsidRPr="00F91404">
              <w:rPr>
                <w:rFonts w:eastAsia="Times New Roman" w:cstheme="minorHAnsi"/>
                <w:sz w:val="18"/>
                <w:szCs w:val="18"/>
                <w:lang w:eastAsia="es-MX"/>
              </w:rPr>
              <w:t>CfDs</w:t>
            </w:r>
            <w:proofErr w:type="spellEnd"/>
            <w:r w:rsidRPr="00F91404">
              <w:rPr>
                <w:rFonts w:eastAsia="Times New Roman" w:cstheme="minorHAnsi"/>
                <w:sz w:val="18"/>
                <w:szCs w:val="18"/>
                <w:lang w:eastAsia="es-MX"/>
              </w:rPr>
              <w:t xml:space="preserve"> or price guarantees) in place</w:t>
            </w:r>
          </w:p>
          <w:p w14:paraId="205E7F2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signals future demand through targets and potential obligations under development</w:t>
            </w:r>
          </w:p>
          <w:p w14:paraId="6441DF13"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Revenue and price risk largely remain with project developers at this stage</w:t>
            </w:r>
          </w:p>
        </w:tc>
        <w:tc>
          <w:tcPr>
            <w:tcW w:w="76" w:type="pct"/>
            <w:vAlign w:val="center"/>
            <w:hideMark/>
          </w:tcPr>
          <w:p w14:paraId="4E17D429" w14:textId="77777777" w:rsidR="00F91404" w:rsidRPr="00F91404" w:rsidRDefault="00F91404" w:rsidP="00BD1985">
            <w:pPr>
              <w:spacing w:after="0"/>
              <w:rPr>
                <w:rFonts w:eastAsia="Times New Roman" w:cstheme="minorHAnsi"/>
                <w:sz w:val="20"/>
                <w:szCs w:val="20"/>
                <w:lang w:eastAsia="es-MX"/>
              </w:rPr>
            </w:pPr>
          </w:p>
        </w:tc>
      </w:tr>
      <w:tr w:rsidR="00F91404" w:rsidRPr="00F91404" w14:paraId="007D67BF" w14:textId="77777777" w:rsidTr="00BD1985">
        <w:trPr>
          <w:trHeight w:val="2229"/>
          <w:jc w:val="center"/>
        </w:trPr>
        <w:tc>
          <w:tcPr>
            <w:tcW w:w="107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5A0D74A9"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Direct public </w:t>
            </w:r>
          </w:p>
          <w:p w14:paraId="51416AA3"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funding</w:t>
            </w:r>
          </w:p>
        </w:tc>
        <w:tc>
          <w:tcPr>
            <w:tcW w:w="3848" w:type="pct"/>
            <w:gridSpan w:val="7"/>
            <w:tcBorders>
              <w:top w:val="single" w:sz="12" w:space="0" w:color="808080"/>
              <w:left w:val="nil"/>
              <w:bottom w:val="single" w:sz="12" w:space="0" w:color="808080"/>
              <w:right w:val="single" w:sz="12" w:space="0" w:color="808080"/>
            </w:tcBorders>
            <w:vAlign w:val="center"/>
            <w:hideMark/>
          </w:tcPr>
          <w:p w14:paraId="55A4C7A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National Green Hydrogen Mission provides CAPEX incentives for hydrogen production and </w:t>
            </w:r>
            <w:r w:rsidRPr="00F91404">
              <w:rPr>
                <w:rFonts w:eastAsia="Times New Roman" w:cstheme="minorHAnsi"/>
                <w:sz w:val="18"/>
                <w:szCs w:val="18"/>
                <w:lang w:eastAsia="es-MX"/>
              </w:rPr>
              <w:br/>
              <w:t>electrolyser manufacturing</w:t>
            </w:r>
          </w:p>
          <w:p w14:paraId="2D8B523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SIGHT awards support through competitive selection, linked to installed capacity and </w:t>
            </w:r>
            <w:r w:rsidRPr="00F91404">
              <w:rPr>
                <w:rFonts w:eastAsia="Times New Roman" w:cstheme="minorHAnsi"/>
                <w:sz w:val="18"/>
                <w:szCs w:val="18"/>
                <w:lang w:eastAsia="es-MX"/>
              </w:rPr>
              <w:br/>
              <w:t>cost-reduction targets</w:t>
            </w:r>
          </w:p>
          <w:p w14:paraId="54DDE2F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Funding directly reduces upfront investment risk and accelerates deployment at scale</w:t>
            </w:r>
          </w:p>
          <w:p w14:paraId="5F58250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Mission-based approach prioritises speed, volume and domestic capability building, rather than early bankability</w:t>
            </w:r>
          </w:p>
        </w:tc>
        <w:tc>
          <w:tcPr>
            <w:tcW w:w="76" w:type="pct"/>
            <w:vAlign w:val="center"/>
            <w:hideMark/>
          </w:tcPr>
          <w:p w14:paraId="5391191E" w14:textId="77777777" w:rsidR="00F91404" w:rsidRPr="00F91404" w:rsidRDefault="00F91404" w:rsidP="00BD1985">
            <w:pPr>
              <w:spacing w:after="0"/>
              <w:rPr>
                <w:rFonts w:eastAsia="Times New Roman" w:cstheme="minorHAnsi"/>
                <w:sz w:val="20"/>
                <w:szCs w:val="20"/>
                <w:lang w:eastAsia="es-MX"/>
              </w:rPr>
            </w:pPr>
          </w:p>
        </w:tc>
      </w:tr>
      <w:tr w:rsidR="00F91404" w:rsidRPr="00F91404" w14:paraId="49F04484" w14:textId="77777777" w:rsidTr="00BD1985">
        <w:trPr>
          <w:trHeight w:val="1524"/>
          <w:jc w:val="center"/>
        </w:trPr>
        <w:tc>
          <w:tcPr>
            <w:tcW w:w="107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6601C7AD"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Standards and </w:t>
            </w:r>
          </w:p>
          <w:p w14:paraId="6D562804"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certification</w:t>
            </w:r>
          </w:p>
        </w:tc>
        <w:tc>
          <w:tcPr>
            <w:tcW w:w="3848" w:type="pct"/>
            <w:gridSpan w:val="7"/>
            <w:tcBorders>
              <w:top w:val="single" w:sz="12" w:space="0" w:color="808080"/>
              <w:left w:val="nil"/>
              <w:bottom w:val="single" w:sz="12" w:space="0" w:color="808080"/>
              <w:right w:val="single" w:sz="12" w:space="0" w:color="808080"/>
            </w:tcBorders>
            <w:vAlign w:val="center"/>
            <w:hideMark/>
          </w:tcPr>
          <w:p w14:paraId="1D4A038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Initial definitions and standards for green hydrogen have been issued under the mission framework</w:t>
            </w:r>
          </w:p>
          <w:p w14:paraId="3B766FC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Standards establish eligibility for public support and reporting requirements</w:t>
            </w:r>
          </w:p>
          <w:p w14:paraId="49AA999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Certification systems are still evolving and not yet fully aligned with international frameworks</w:t>
            </w:r>
          </w:p>
          <w:p w14:paraId="30D39C43" w14:textId="77777777" w:rsidR="00F91404" w:rsidRPr="00F91404" w:rsidRDefault="00F91404" w:rsidP="00BD1985">
            <w:pPr>
              <w:spacing w:after="0"/>
              <w:rPr>
                <w:rFonts w:eastAsia="Times New Roman" w:cstheme="minorHAnsi"/>
                <w:color w:val="000000"/>
                <w:sz w:val="18"/>
                <w:szCs w:val="18"/>
                <w:lang w:eastAsia="es-MX"/>
              </w:rPr>
            </w:pPr>
          </w:p>
        </w:tc>
        <w:tc>
          <w:tcPr>
            <w:tcW w:w="76" w:type="pct"/>
            <w:vAlign w:val="center"/>
            <w:hideMark/>
          </w:tcPr>
          <w:p w14:paraId="411E7EB9" w14:textId="77777777" w:rsidR="00F91404" w:rsidRPr="00F91404" w:rsidRDefault="00F91404" w:rsidP="00BD1985">
            <w:pPr>
              <w:spacing w:after="0"/>
              <w:rPr>
                <w:rFonts w:eastAsia="Times New Roman" w:cstheme="minorHAnsi"/>
                <w:sz w:val="20"/>
                <w:szCs w:val="20"/>
                <w:lang w:eastAsia="es-MX"/>
              </w:rPr>
            </w:pPr>
          </w:p>
        </w:tc>
      </w:tr>
      <w:tr w:rsidR="00F91404" w:rsidRPr="00F91404" w14:paraId="263A24C2" w14:textId="77777777" w:rsidTr="00BD1985">
        <w:trPr>
          <w:trHeight w:val="1531"/>
          <w:jc w:val="center"/>
        </w:trPr>
        <w:tc>
          <w:tcPr>
            <w:tcW w:w="107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21815678"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Infrastructure-</w:t>
            </w:r>
          </w:p>
          <w:p w14:paraId="79DEFD40"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enabling policies</w:t>
            </w:r>
          </w:p>
        </w:tc>
        <w:tc>
          <w:tcPr>
            <w:tcW w:w="3848" w:type="pct"/>
            <w:gridSpan w:val="7"/>
            <w:tcBorders>
              <w:top w:val="single" w:sz="12" w:space="0" w:color="808080"/>
              <w:left w:val="nil"/>
              <w:bottom w:val="single" w:sz="12" w:space="0" w:color="808080"/>
              <w:right w:val="single" w:sz="12" w:space="0" w:color="808080"/>
            </w:tcBorders>
            <w:vAlign w:val="center"/>
            <w:hideMark/>
          </w:tcPr>
          <w:p w14:paraId="7AA6814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Infrastructure development focuses on on-site industrial integration and early hydrogen hubs</w:t>
            </w:r>
          </w:p>
          <w:p w14:paraId="60BA528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Priority locations include refineries, fertiliser plants and chemical facilities</w:t>
            </w:r>
          </w:p>
          <w:p w14:paraId="66FD589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Large national transport networks are deliberately deferred to reduce complexity in early stages</w:t>
            </w:r>
          </w:p>
        </w:tc>
        <w:tc>
          <w:tcPr>
            <w:tcW w:w="76" w:type="pct"/>
            <w:vAlign w:val="center"/>
            <w:hideMark/>
          </w:tcPr>
          <w:p w14:paraId="203B83C0" w14:textId="77777777" w:rsidR="00F91404" w:rsidRPr="00F91404" w:rsidRDefault="00F91404" w:rsidP="00BD1985">
            <w:pPr>
              <w:spacing w:after="0"/>
              <w:rPr>
                <w:rFonts w:eastAsia="Times New Roman" w:cstheme="minorHAnsi"/>
                <w:sz w:val="20"/>
                <w:szCs w:val="20"/>
                <w:lang w:eastAsia="es-MX"/>
              </w:rPr>
            </w:pPr>
          </w:p>
        </w:tc>
      </w:tr>
      <w:tr w:rsidR="00F91404" w:rsidRPr="00F91404" w14:paraId="1178B44B"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1FA0EF4F"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Sectoral focus / Priority sectors</w:t>
            </w:r>
          </w:p>
        </w:tc>
        <w:tc>
          <w:tcPr>
            <w:tcW w:w="76" w:type="pct"/>
            <w:vAlign w:val="center"/>
          </w:tcPr>
          <w:p w14:paraId="7C097274" w14:textId="77777777" w:rsidR="00F91404" w:rsidRPr="00F91404" w:rsidRDefault="00F91404" w:rsidP="00BD1985">
            <w:pPr>
              <w:spacing w:after="0"/>
              <w:rPr>
                <w:rFonts w:eastAsia="Times New Roman" w:cstheme="minorHAnsi"/>
                <w:sz w:val="20"/>
                <w:szCs w:val="20"/>
                <w:lang w:eastAsia="es-MX"/>
              </w:rPr>
            </w:pPr>
          </w:p>
        </w:tc>
      </w:tr>
      <w:tr w:rsidR="00F91404" w:rsidRPr="00F91404" w14:paraId="53923C03" w14:textId="77777777" w:rsidTr="00BD1985">
        <w:trPr>
          <w:trHeight w:val="951"/>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EA9674D" w14:textId="77777777" w:rsidR="00F91404" w:rsidRPr="00F91404" w:rsidRDefault="00F91404" w:rsidP="00BD1985">
            <w:pPr>
              <w:spacing w:after="0"/>
              <w:rPr>
                <w:rFonts w:eastAsia="Times New Roman" w:cstheme="minorHAnsi"/>
                <w:color w:val="FFFFFF"/>
                <w:sz w:val="18"/>
                <w:szCs w:val="18"/>
                <w:lang w:eastAsia="es-MX"/>
              </w:rPr>
            </w:pPr>
            <w:r w:rsidRPr="00F91404">
              <w:rPr>
                <w:rFonts w:eastAsia="Times New Roman" w:cstheme="minorHAnsi"/>
                <w:sz w:val="18"/>
                <w:szCs w:val="18"/>
                <w:lang w:eastAsia="es-MX"/>
              </w:rPr>
              <w:t>Hydrogen demand is anchored in refining and fertiliser production, where hydrogen is already a critical input, particularly for ammonia synthesis. Emerging demand is also linked to industrial decarbonisation and domestic manufacturing, supported by national policy targets.</w:t>
            </w:r>
          </w:p>
        </w:tc>
        <w:tc>
          <w:tcPr>
            <w:tcW w:w="76" w:type="pct"/>
            <w:vAlign w:val="center"/>
          </w:tcPr>
          <w:p w14:paraId="23ECEECF" w14:textId="77777777" w:rsidR="00F91404" w:rsidRPr="00F91404" w:rsidRDefault="00F91404" w:rsidP="00BD1985">
            <w:pPr>
              <w:spacing w:after="0"/>
              <w:rPr>
                <w:rFonts w:eastAsia="Times New Roman" w:cstheme="minorHAnsi"/>
                <w:sz w:val="20"/>
                <w:szCs w:val="20"/>
                <w:lang w:eastAsia="es-MX"/>
              </w:rPr>
            </w:pPr>
          </w:p>
        </w:tc>
      </w:tr>
      <w:tr w:rsidR="00F91404" w:rsidRPr="00F91404" w14:paraId="0C261113" w14:textId="77777777" w:rsidTr="00BD1985">
        <w:trPr>
          <w:trHeight w:val="383"/>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C151D80"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Renewable Energy Context</w:t>
            </w:r>
          </w:p>
        </w:tc>
        <w:tc>
          <w:tcPr>
            <w:tcW w:w="76" w:type="pct"/>
            <w:vAlign w:val="center"/>
          </w:tcPr>
          <w:p w14:paraId="41198C3F" w14:textId="77777777" w:rsidR="00F91404" w:rsidRPr="00F91404" w:rsidRDefault="00F91404" w:rsidP="00BD1985">
            <w:pPr>
              <w:spacing w:after="0"/>
              <w:rPr>
                <w:rFonts w:eastAsia="Times New Roman" w:cstheme="minorHAnsi"/>
                <w:sz w:val="20"/>
                <w:szCs w:val="20"/>
                <w:lang w:eastAsia="es-MX"/>
              </w:rPr>
            </w:pPr>
          </w:p>
        </w:tc>
      </w:tr>
      <w:tr w:rsidR="00F91404" w:rsidRPr="00F91404" w14:paraId="0DBBA0EA" w14:textId="77777777" w:rsidTr="00BD1985">
        <w:trPr>
          <w:trHeight w:val="3237"/>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2B69C49E"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 xml:space="preserve">India has rapidly expanded renewable electricity capacity over the past decade, with installed renewable capacity exceeding 180 GW, driven primarily by large-scale solar PV and onshore wind deployment. Renewables account for a growing share of total installed power capacity and represent </w:t>
            </w:r>
            <w:proofErr w:type="gramStart"/>
            <w:r w:rsidRPr="00F91404">
              <w:rPr>
                <w:rFonts w:eastAsia="Times New Roman" w:cstheme="minorHAnsi"/>
                <w:sz w:val="18"/>
                <w:szCs w:val="18"/>
                <w:lang w:eastAsia="es-MX"/>
              </w:rPr>
              <w:t>the majority of</w:t>
            </w:r>
            <w:proofErr w:type="gramEnd"/>
            <w:r w:rsidRPr="00F91404">
              <w:rPr>
                <w:rFonts w:eastAsia="Times New Roman" w:cstheme="minorHAnsi"/>
                <w:sz w:val="18"/>
                <w:szCs w:val="18"/>
                <w:lang w:eastAsia="es-MX"/>
              </w:rPr>
              <w:t xml:space="preserve"> new generation additions in recent years. Competitive auctions, falling solar costs and national policy support have accelerated deployment across multiple states.</w:t>
            </w:r>
          </w:p>
          <w:p w14:paraId="13A8BC84"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National energy policy targets 500 GW of non-fossil electricity capacity by 2030, forming a central pillar of India’s long-term decarbonisation strategy. Transmission expansion and grid integration remain critical to accommodate both renewable growth and future electrolyser load. The scale of renewable deployment, combined with strong industrial demand centres, provides structural conditions for domestic green hydrogen production under the National Green Hydrogen Mission.</w:t>
            </w:r>
          </w:p>
        </w:tc>
        <w:tc>
          <w:tcPr>
            <w:tcW w:w="76" w:type="pct"/>
            <w:vAlign w:val="center"/>
          </w:tcPr>
          <w:p w14:paraId="4B54C2A2" w14:textId="77777777" w:rsidR="00F91404" w:rsidRPr="00F91404" w:rsidRDefault="00F91404" w:rsidP="00BD1985">
            <w:pPr>
              <w:spacing w:after="0"/>
              <w:rPr>
                <w:rFonts w:eastAsia="Times New Roman" w:cstheme="minorHAnsi"/>
                <w:sz w:val="20"/>
                <w:szCs w:val="20"/>
                <w:lang w:eastAsia="es-MX"/>
              </w:rPr>
            </w:pPr>
          </w:p>
        </w:tc>
      </w:tr>
      <w:tr w:rsidR="00F91404" w:rsidRPr="00F91404" w14:paraId="095289E4" w14:textId="77777777" w:rsidTr="00BD1985">
        <w:trPr>
          <w:trHeight w:val="402"/>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218DF3C"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c>
          <w:tcPr>
            <w:tcW w:w="76" w:type="pct"/>
            <w:vAlign w:val="center"/>
          </w:tcPr>
          <w:p w14:paraId="3F3903C6" w14:textId="77777777" w:rsidR="00F91404" w:rsidRPr="00F91404" w:rsidRDefault="00F91404" w:rsidP="00BD1985">
            <w:pPr>
              <w:spacing w:after="0"/>
              <w:rPr>
                <w:rFonts w:eastAsia="Times New Roman" w:cstheme="minorHAnsi"/>
                <w:sz w:val="20"/>
                <w:szCs w:val="20"/>
                <w:lang w:eastAsia="es-MX"/>
              </w:rPr>
            </w:pPr>
          </w:p>
        </w:tc>
      </w:tr>
      <w:tr w:rsidR="00F91404" w:rsidRPr="00F91404" w14:paraId="5F533F36" w14:textId="77777777" w:rsidTr="00BD1985">
        <w:trPr>
          <w:trHeight w:val="4215"/>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3E80A3D4"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India follows a mission-led, scale-first hydrogen value chain model:</w:t>
            </w:r>
          </w:p>
          <w:p w14:paraId="6819D81A"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Production:</w:t>
            </w:r>
            <w:r w:rsidRPr="00F91404">
              <w:rPr>
                <w:rFonts w:eastAsia="Times New Roman" w:cstheme="minorHAnsi"/>
                <w:sz w:val="18"/>
                <w:szCs w:val="18"/>
                <w:lang w:eastAsia="es-MX"/>
              </w:rPr>
              <w:br/>
              <w:t>Rapid deployment of electrolyser projects co-located with industrial demand and renewable generation zones; strong emphasis on domestic manufacturing of electrolysers and allied supply chains to reduce costs.</w:t>
            </w:r>
          </w:p>
          <w:p w14:paraId="4284405A"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Storage:</w:t>
            </w:r>
            <w:r w:rsidRPr="00F91404">
              <w:rPr>
                <w:rFonts w:eastAsia="Times New Roman" w:cstheme="minorHAnsi"/>
                <w:sz w:val="18"/>
                <w:szCs w:val="18"/>
                <w:lang w:eastAsia="es-MX"/>
              </w:rPr>
              <w:br/>
              <w:t>On-site and cluster-level storage solutions are prioritised for industrial offtake; larger geological storage options are at early assessment stages.</w:t>
            </w:r>
          </w:p>
          <w:p w14:paraId="66A58D8A"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Transport / Distribution:</w:t>
            </w:r>
            <w:r w:rsidRPr="00F91404">
              <w:rPr>
                <w:rFonts w:eastAsia="Times New Roman" w:cstheme="minorHAnsi"/>
                <w:sz w:val="18"/>
                <w:szCs w:val="18"/>
                <w:lang w:eastAsia="es-MX"/>
              </w:rPr>
              <w:br/>
              <w:t>Distribution focused on site-to-site and short-distance logistics linking production hubs with refineries, fertiliser plants and industrial parks; long-distance pipeline networks are not yet widespread.</w:t>
            </w:r>
          </w:p>
          <w:p w14:paraId="7833E6F5"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Applications:</w:t>
            </w:r>
            <w:r w:rsidRPr="00F91404">
              <w:rPr>
                <w:rFonts w:eastAsia="Times New Roman" w:cstheme="minorHAnsi"/>
                <w:sz w:val="18"/>
                <w:szCs w:val="18"/>
                <w:lang w:eastAsia="es-MX"/>
              </w:rPr>
              <w:br/>
              <w:t>Primary focus on industrial substitution (refineries, fertiliser, chemicals) and domestic manufacturing feedstocks, with pilot applications in mobility and power-sector blending planned as volumes grow.</w:t>
            </w:r>
          </w:p>
          <w:p w14:paraId="7A30408F" w14:textId="77777777" w:rsidR="00F91404" w:rsidRPr="00F91404" w:rsidRDefault="00F91404" w:rsidP="00BD1985">
            <w:pPr>
              <w:spacing w:after="0"/>
              <w:jc w:val="center"/>
              <w:rPr>
                <w:rFonts w:eastAsia="Times New Roman" w:cstheme="minorHAnsi"/>
                <w:sz w:val="18"/>
                <w:szCs w:val="18"/>
                <w:lang w:eastAsia="es-MX"/>
              </w:rPr>
            </w:pPr>
          </w:p>
        </w:tc>
        <w:tc>
          <w:tcPr>
            <w:tcW w:w="76" w:type="pct"/>
            <w:vAlign w:val="center"/>
          </w:tcPr>
          <w:p w14:paraId="28299C05" w14:textId="77777777" w:rsidR="00F91404" w:rsidRPr="00F91404" w:rsidRDefault="00F91404" w:rsidP="00BD1985">
            <w:pPr>
              <w:spacing w:after="0"/>
              <w:rPr>
                <w:rFonts w:eastAsia="Times New Roman" w:cstheme="minorHAnsi"/>
                <w:sz w:val="20"/>
                <w:szCs w:val="20"/>
                <w:lang w:eastAsia="es-MX"/>
              </w:rPr>
            </w:pPr>
          </w:p>
        </w:tc>
      </w:tr>
      <w:tr w:rsidR="00F91404" w:rsidRPr="00F91404" w14:paraId="6F0DE671" w14:textId="77777777" w:rsidTr="00BD1985">
        <w:trPr>
          <w:trHeight w:val="396"/>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17ACDAD4"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Strategic Stage &amp; Objective</w:t>
            </w:r>
          </w:p>
        </w:tc>
        <w:tc>
          <w:tcPr>
            <w:tcW w:w="76" w:type="pct"/>
            <w:vAlign w:val="center"/>
          </w:tcPr>
          <w:p w14:paraId="5D53B32E" w14:textId="77777777" w:rsidR="00F91404" w:rsidRPr="00F91404" w:rsidRDefault="00F91404" w:rsidP="00BD1985">
            <w:pPr>
              <w:spacing w:after="0"/>
              <w:rPr>
                <w:rFonts w:eastAsia="Times New Roman" w:cstheme="minorHAnsi"/>
                <w:sz w:val="20"/>
                <w:szCs w:val="20"/>
                <w:lang w:eastAsia="es-MX"/>
              </w:rPr>
            </w:pPr>
          </w:p>
        </w:tc>
      </w:tr>
      <w:tr w:rsidR="00F91404" w:rsidRPr="00F91404" w14:paraId="76DCA483" w14:textId="77777777" w:rsidTr="00BD1985">
        <w:trPr>
          <w:trHeight w:val="2381"/>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034E6B20"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Current Stage:</w:t>
            </w:r>
            <w:r w:rsidRPr="00F91404">
              <w:rPr>
                <w:rFonts w:eastAsia="Times New Roman" w:cstheme="minorHAnsi"/>
                <w:sz w:val="18"/>
                <w:szCs w:val="18"/>
                <w:lang w:eastAsia="es-MX"/>
              </w:rPr>
              <w:t xml:space="preserve"> Emerging to scaling under the National Green Hydrogen Mission.</w:t>
            </w:r>
          </w:p>
          <w:p w14:paraId="727057A7"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Overall Objective:</w:t>
            </w:r>
            <w:r w:rsidRPr="00F91404">
              <w:rPr>
                <w:rFonts w:eastAsia="Times New Roman" w:cstheme="minorHAnsi"/>
                <w:sz w:val="18"/>
                <w:szCs w:val="18"/>
                <w:lang w:eastAsia="es-MX"/>
              </w:rPr>
              <w:br/>
              <w:t>Rapidly scale domestic green hydrogen production and electrolyser manufacturing to achieve cost reductions, support industrial decarbonisation and enhance energy security through domestic capability building.</w:t>
            </w:r>
          </w:p>
          <w:p w14:paraId="5ADFA83D"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Implementation emphasises CAPEX incentives, manufacturing support and target-driven deployment to create domestic supply chains and stimulate early market volumes.</w:t>
            </w:r>
          </w:p>
          <w:p w14:paraId="514625C5" w14:textId="77777777" w:rsidR="00F91404" w:rsidRPr="00F91404" w:rsidRDefault="00F91404" w:rsidP="00BD1985">
            <w:pPr>
              <w:spacing w:after="0"/>
              <w:rPr>
                <w:rFonts w:eastAsia="Times New Roman" w:cstheme="minorHAnsi"/>
                <w:sz w:val="18"/>
                <w:szCs w:val="18"/>
                <w:lang w:eastAsia="es-MX"/>
              </w:rPr>
            </w:pPr>
          </w:p>
        </w:tc>
        <w:tc>
          <w:tcPr>
            <w:tcW w:w="76" w:type="pct"/>
            <w:vAlign w:val="center"/>
          </w:tcPr>
          <w:p w14:paraId="0B23C8D7" w14:textId="77777777" w:rsidR="00F91404" w:rsidRPr="00F91404" w:rsidRDefault="00F91404" w:rsidP="00BD1985">
            <w:pPr>
              <w:spacing w:after="0"/>
              <w:rPr>
                <w:rFonts w:eastAsia="Times New Roman" w:cstheme="minorHAnsi"/>
                <w:sz w:val="20"/>
                <w:szCs w:val="20"/>
                <w:lang w:eastAsia="es-MX"/>
              </w:rPr>
            </w:pPr>
          </w:p>
        </w:tc>
      </w:tr>
      <w:tr w:rsidR="00F91404" w:rsidRPr="00F91404" w14:paraId="04F65357" w14:textId="77777777" w:rsidTr="00BD1985">
        <w:trPr>
          <w:trHeight w:val="401"/>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09A02F94"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Key Stakeholders</w:t>
            </w:r>
          </w:p>
        </w:tc>
        <w:tc>
          <w:tcPr>
            <w:tcW w:w="76" w:type="pct"/>
            <w:vAlign w:val="center"/>
          </w:tcPr>
          <w:p w14:paraId="614DE926" w14:textId="77777777" w:rsidR="00F91404" w:rsidRPr="00F91404" w:rsidRDefault="00F91404" w:rsidP="00BD1985">
            <w:pPr>
              <w:spacing w:after="0"/>
              <w:rPr>
                <w:rFonts w:eastAsia="Times New Roman" w:cstheme="minorHAnsi"/>
                <w:sz w:val="20"/>
                <w:szCs w:val="20"/>
                <w:lang w:eastAsia="es-MX"/>
              </w:rPr>
            </w:pPr>
          </w:p>
        </w:tc>
      </w:tr>
      <w:tr w:rsidR="00F91404" w:rsidRPr="00F91404" w14:paraId="6A254904" w14:textId="77777777" w:rsidTr="00BD1985">
        <w:trPr>
          <w:trHeight w:val="3371"/>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78E7DFBB"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Core public and private stakeholders include:</w:t>
            </w:r>
          </w:p>
          <w:p w14:paraId="727F12CD" w14:textId="77777777" w:rsidR="00F91404" w:rsidRPr="00F91404" w:rsidRDefault="00F91404" w:rsidP="00BD1985">
            <w:pPr>
              <w:numPr>
                <w:ilvl w:val="0"/>
                <w:numId w:val="5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Ministry of New and Renewable Energy (MNRE) – mission leadership and programme design</w:t>
            </w:r>
          </w:p>
          <w:p w14:paraId="100124B5" w14:textId="77777777" w:rsidR="00F91404" w:rsidRPr="00F91404" w:rsidRDefault="00F91404" w:rsidP="00BD1985">
            <w:pPr>
              <w:numPr>
                <w:ilvl w:val="0"/>
                <w:numId w:val="5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Ministry of Petroleum &amp; Natural Gas, Ministry of Power and Ministry of Heavy Industry – cross-cutting roles for demand and industry policy</w:t>
            </w:r>
          </w:p>
          <w:p w14:paraId="16E9EC54" w14:textId="77777777" w:rsidR="00F91404" w:rsidRPr="00F91404" w:rsidRDefault="00F91404" w:rsidP="00BD1985">
            <w:pPr>
              <w:numPr>
                <w:ilvl w:val="0"/>
                <w:numId w:val="5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State governments – site allocation, permitting and local infrastructure delivery</w:t>
            </w:r>
          </w:p>
          <w:p w14:paraId="271C0B50" w14:textId="77777777" w:rsidR="00F91404" w:rsidRPr="00F91404" w:rsidRDefault="00F91404" w:rsidP="00BD1985">
            <w:pPr>
              <w:numPr>
                <w:ilvl w:val="0"/>
                <w:numId w:val="5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Public sector undertakings and large industrial offtakers (refineries, fertiliser producers) – primary demand anchors</w:t>
            </w:r>
          </w:p>
          <w:p w14:paraId="79EAC9C3" w14:textId="77777777" w:rsidR="00F91404" w:rsidRPr="00F91404" w:rsidRDefault="00F91404" w:rsidP="00BD1985">
            <w:pPr>
              <w:numPr>
                <w:ilvl w:val="0"/>
                <w:numId w:val="5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Financial institutions and scheme administrators (programme implementation bodies)</w:t>
            </w:r>
          </w:p>
          <w:p w14:paraId="3F4B258A" w14:textId="77777777" w:rsidR="00F91404" w:rsidRPr="00F91404" w:rsidRDefault="00F91404" w:rsidP="00BD1985">
            <w:pPr>
              <w:numPr>
                <w:ilvl w:val="0"/>
                <w:numId w:val="5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Domestic electrolyser manufacturers, research institutions and industry associations</w:t>
            </w:r>
          </w:p>
          <w:p w14:paraId="40EC07F5"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Coordination is delivered through inter-ministerial committees and mission governance structures to align supply, demand and manufacturing objectives.</w:t>
            </w:r>
          </w:p>
          <w:p w14:paraId="39FA2044" w14:textId="77777777" w:rsidR="00F91404" w:rsidRPr="00F91404" w:rsidRDefault="00F91404" w:rsidP="00BD1985">
            <w:pPr>
              <w:spacing w:after="0"/>
              <w:rPr>
                <w:rFonts w:eastAsia="Times New Roman" w:cstheme="minorHAnsi"/>
                <w:sz w:val="18"/>
                <w:szCs w:val="18"/>
                <w:lang w:eastAsia="es-MX"/>
              </w:rPr>
            </w:pPr>
          </w:p>
        </w:tc>
        <w:tc>
          <w:tcPr>
            <w:tcW w:w="76" w:type="pct"/>
            <w:vAlign w:val="center"/>
          </w:tcPr>
          <w:p w14:paraId="4BB49783" w14:textId="77777777" w:rsidR="00F91404" w:rsidRPr="00F91404" w:rsidRDefault="00F91404" w:rsidP="00BD1985">
            <w:pPr>
              <w:spacing w:after="0"/>
              <w:rPr>
                <w:rFonts w:eastAsia="Times New Roman" w:cstheme="minorHAnsi"/>
                <w:sz w:val="20"/>
                <w:szCs w:val="20"/>
                <w:lang w:eastAsia="es-MX"/>
              </w:rPr>
            </w:pPr>
          </w:p>
        </w:tc>
      </w:tr>
      <w:tr w:rsidR="00F91404" w:rsidRPr="00F91404" w14:paraId="2ABBC774" w14:textId="77777777" w:rsidTr="00BD1985">
        <w:trPr>
          <w:trHeight w:val="437"/>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36F02C8"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b/>
                <w:color w:val="FFFFFF"/>
                <w:sz w:val="18"/>
                <w:szCs w:val="18"/>
                <w:lang w:eastAsia="es-MX"/>
              </w:rPr>
              <w:t>Impact on project development:</w:t>
            </w:r>
          </w:p>
        </w:tc>
        <w:tc>
          <w:tcPr>
            <w:tcW w:w="76" w:type="pct"/>
            <w:vAlign w:val="center"/>
          </w:tcPr>
          <w:p w14:paraId="44CA94D0" w14:textId="77777777" w:rsidR="00F91404" w:rsidRPr="00F91404" w:rsidRDefault="00F91404" w:rsidP="00BD1985">
            <w:pPr>
              <w:spacing w:after="0"/>
              <w:rPr>
                <w:rFonts w:eastAsia="Times New Roman" w:cstheme="minorHAnsi"/>
                <w:sz w:val="20"/>
                <w:szCs w:val="20"/>
                <w:lang w:eastAsia="es-MX"/>
              </w:rPr>
            </w:pPr>
          </w:p>
        </w:tc>
      </w:tr>
      <w:tr w:rsidR="00F91404" w:rsidRPr="00F91404" w14:paraId="52CC37EC" w14:textId="77777777" w:rsidTr="00BD1985">
        <w:trPr>
          <w:trHeight w:val="1882"/>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00DF8975" w14:textId="77777777" w:rsidR="00F91404" w:rsidRPr="00F91404" w:rsidRDefault="00F91404" w:rsidP="00BD1985">
            <w:pPr>
              <w:pStyle w:val="ListParagraph"/>
              <w:numPr>
                <w:ilvl w:val="0"/>
                <w:numId w:val="37"/>
              </w:numPr>
              <w:spacing w:before="240" w:after="140" w:line="276" w:lineRule="auto"/>
              <w:rPr>
                <w:rFonts w:eastAsia="Times New Roman" w:cstheme="minorHAnsi"/>
                <w:b/>
                <w:sz w:val="18"/>
                <w:szCs w:val="18"/>
                <w:lang w:eastAsia="es-MX"/>
              </w:rPr>
            </w:pPr>
            <w:r w:rsidRPr="00F91404">
              <w:rPr>
                <w:rFonts w:eastAsia="Times New Roman" w:cstheme="minorHAnsi"/>
                <w:b/>
                <w:sz w:val="18"/>
                <w:szCs w:val="18"/>
                <w:lang w:eastAsia="es-MX"/>
              </w:rPr>
              <w:t xml:space="preserve">CAPEX incentives </w:t>
            </w:r>
            <w:r w:rsidRPr="00F91404">
              <w:rPr>
                <w:rFonts w:eastAsia="Times New Roman" w:cstheme="minorHAnsi"/>
                <w:sz w:val="18"/>
                <w:szCs w:val="18"/>
                <w:lang w:eastAsia="es-MX"/>
              </w:rPr>
              <w:t>have enabled early industrial-scale projects by reducing upfront costs</w:t>
            </w:r>
          </w:p>
          <w:p w14:paraId="1AA8F897" w14:textId="77777777" w:rsidR="00F91404" w:rsidRPr="00F91404" w:rsidRDefault="00F91404" w:rsidP="00BD1985">
            <w:pPr>
              <w:pStyle w:val="ListParagraph"/>
              <w:numPr>
                <w:ilvl w:val="0"/>
                <w:numId w:val="37"/>
              </w:numPr>
              <w:spacing w:before="240" w:after="140" w:line="276" w:lineRule="auto"/>
              <w:rPr>
                <w:rFonts w:eastAsia="Times New Roman" w:cstheme="minorHAnsi"/>
                <w:b/>
                <w:sz w:val="18"/>
                <w:szCs w:val="18"/>
                <w:lang w:eastAsia="es-MX"/>
              </w:rPr>
            </w:pPr>
            <w:r w:rsidRPr="00F91404">
              <w:rPr>
                <w:rFonts w:eastAsia="Times New Roman" w:cstheme="minorHAnsi"/>
                <w:b/>
                <w:sz w:val="18"/>
                <w:szCs w:val="18"/>
                <w:lang w:eastAsia="es-MX"/>
              </w:rPr>
              <w:t xml:space="preserve">Mission-based signalling </w:t>
            </w:r>
            <w:r w:rsidRPr="00F91404">
              <w:rPr>
                <w:rFonts w:eastAsia="Times New Roman" w:cstheme="minorHAnsi"/>
                <w:sz w:val="18"/>
                <w:szCs w:val="18"/>
                <w:lang w:eastAsia="es-MX"/>
              </w:rPr>
              <w:t>has provided long-term policy confidence to investors and manufacturers</w:t>
            </w:r>
          </w:p>
          <w:p w14:paraId="5F557D57" w14:textId="77777777" w:rsidR="00F91404" w:rsidRPr="00F91404" w:rsidRDefault="00F91404" w:rsidP="00BD1985">
            <w:pPr>
              <w:pStyle w:val="ListParagraph"/>
              <w:numPr>
                <w:ilvl w:val="0"/>
                <w:numId w:val="37"/>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 xml:space="preserve">Domestic manufacturing support </w:t>
            </w:r>
            <w:r w:rsidRPr="00F91404">
              <w:rPr>
                <w:rFonts w:eastAsia="Times New Roman" w:cstheme="minorHAnsi"/>
                <w:sz w:val="18"/>
                <w:szCs w:val="18"/>
                <w:lang w:eastAsia="es-MX"/>
              </w:rPr>
              <w:t>has accelerated electrolyser capacity build-out</w:t>
            </w:r>
          </w:p>
          <w:p w14:paraId="6DB658B1" w14:textId="77777777" w:rsidR="00F91404" w:rsidRPr="00F91404" w:rsidRDefault="00F91404" w:rsidP="00BD1985">
            <w:pPr>
              <w:pStyle w:val="ListParagraph"/>
              <w:numPr>
                <w:ilvl w:val="0"/>
                <w:numId w:val="37"/>
              </w:numPr>
              <w:spacing w:before="240" w:after="140" w:line="276" w:lineRule="auto"/>
              <w:rPr>
                <w:rFonts w:eastAsia="Times New Roman" w:cstheme="minorHAnsi"/>
                <w:b/>
                <w:sz w:val="18"/>
                <w:szCs w:val="18"/>
                <w:lang w:eastAsia="es-MX"/>
              </w:rPr>
            </w:pPr>
            <w:r w:rsidRPr="00F91404">
              <w:rPr>
                <w:rFonts w:eastAsia="Times New Roman" w:cstheme="minorHAnsi"/>
                <w:sz w:val="18"/>
                <w:szCs w:val="18"/>
                <w:lang w:eastAsia="es-MX"/>
              </w:rPr>
              <w:t>Absence of revenue support means projects continue to rely on</w:t>
            </w:r>
            <w:r w:rsidRPr="00F91404">
              <w:rPr>
                <w:rFonts w:eastAsia="Times New Roman" w:cstheme="minorHAnsi"/>
                <w:b/>
                <w:sz w:val="18"/>
                <w:szCs w:val="18"/>
                <w:lang w:eastAsia="es-MX"/>
              </w:rPr>
              <w:t xml:space="preserve"> balance-sheet financing</w:t>
            </w:r>
          </w:p>
          <w:p w14:paraId="07757DFB"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sz w:val="18"/>
                <w:szCs w:val="18"/>
                <w:lang w:eastAsia="es-MX"/>
              </w:rPr>
              <w:t>Outcomes reflect a</w:t>
            </w:r>
            <w:r w:rsidRPr="00F91404">
              <w:rPr>
                <w:rFonts w:eastAsia="Times New Roman" w:cstheme="minorHAnsi"/>
                <w:b/>
                <w:sz w:val="18"/>
                <w:szCs w:val="18"/>
                <w:lang w:eastAsia="es-MX"/>
              </w:rPr>
              <w:t xml:space="preserve"> scale-first deployment model, </w:t>
            </w:r>
            <w:r w:rsidRPr="00F91404">
              <w:rPr>
                <w:rFonts w:eastAsia="Times New Roman" w:cstheme="minorHAnsi"/>
                <w:sz w:val="18"/>
                <w:szCs w:val="18"/>
                <w:lang w:eastAsia="es-MX"/>
              </w:rPr>
              <w:t>with market-based bankability expected to emerge over time</w:t>
            </w:r>
          </w:p>
        </w:tc>
        <w:tc>
          <w:tcPr>
            <w:tcW w:w="76" w:type="pct"/>
            <w:vAlign w:val="center"/>
          </w:tcPr>
          <w:p w14:paraId="416ECD71" w14:textId="77777777" w:rsidR="00F91404" w:rsidRPr="00F91404" w:rsidRDefault="00F91404" w:rsidP="00BD1985">
            <w:pPr>
              <w:spacing w:after="0"/>
              <w:rPr>
                <w:rFonts w:eastAsia="Times New Roman" w:cstheme="minorHAnsi"/>
                <w:sz w:val="20"/>
                <w:szCs w:val="20"/>
                <w:lang w:eastAsia="es-MX"/>
              </w:rPr>
            </w:pPr>
          </w:p>
        </w:tc>
      </w:tr>
      <w:tr w:rsidR="00F91404" w:rsidRPr="00F91404" w14:paraId="4FEAFA16"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F8A4AB2"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c>
          <w:tcPr>
            <w:tcW w:w="76" w:type="pct"/>
            <w:vAlign w:val="center"/>
            <w:hideMark/>
          </w:tcPr>
          <w:p w14:paraId="7760996E" w14:textId="77777777" w:rsidR="00F91404" w:rsidRPr="00F91404" w:rsidRDefault="00F91404" w:rsidP="00BD1985">
            <w:pPr>
              <w:spacing w:after="0"/>
              <w:rPr>
                <w:rFonts w:eastAsia="Times New Roman" w:cstheme="minorHAnsi"/>
                <w:sz w:val="20"/>
                <w:szCs w:val="20"/>
                <w:lang w:eastAsia="es-MX"/>
              </w:rPr>
            </w:pPr>
          </w:p>
        </w:tc>
      </w:tr>
      <w:tr w:rsidR="00F91404" w:rsidRPr="00F91404" w14:paraId="0DFAE8AF" w14:textId="77777777" w:rsidTr="00BD1985">
        <w:trPr>
          <w:trHeight w:val="1220"/>
          <w:jc w:val="center"/>
        </w:trPr>
        <w:tc>
          <w:tcPr>
            <w:tcW w:w="4924" w:type="pct"/>
            <w:gridSpan w:val="8"/>
            <w:vMerge w:val="restart"/>
            <w:tcBorders>
              <w:top w:val="single" w:sz="12" w:space="0" w:color="808080"/>
              <w:left w:val="single" w:sz="12" w:space="0" w:color="808080"/>
              <w:bottom w:val="single" w:sz="12" w:space="0" w:color="808080"/>
              <w:right w:val="single" w:sz="12" w:space="0" w:color="808080"/>
            </w:tcBorders>
            <w:vAlign w:val="center"/>
          </w:tcPr>
          <w:p w14:paraId="0488F1D7" w14:textId="77777777" w:rsidR="00F91404" w:rsidRPr="00F91404" w:rsidRDefault="00F91404" w:rsidP="00BD1985">
            <w:pPr>
              <w:numPr>
                <w:ilvl w:val="0"/>
                <w:numId w:val="58"/>
              </w:numPr>
              <w:spacing w:before="240" w:after="140" w:line="276" w:lineRule="auto"/>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Ministry of New and Renewable Energy (MNRE) – National Green Hydrogen Mission:</w:t>
            </w:r>
            <w:r w:rsidRPr="00F91404">
              <w:rPr>
                <w:rFonts w:eastAsia="Times New Roman" w:cstheme="minorHAnsi"/>
                <w:b/>
                <w:color w:val="000000"/>
                <w:sz w:val="18"/>
                <w:szCs w:val="18"/>
                <w:lang w:eastAsia="es-MX"/>
              </w:rPr>
              <w:br/>
            </w:r>
            <w:hyperlink r:id="rId66" w:tgtFrame="_new" w:history="1">
              <w:r w:rsidRPr="00F91404">
                <w:rPr>
                  <w:rStyle w:val="Hyperlink"/>
                  <w:rFonts w:eastAsia="Times New Roman" w:cstheme="minorHAnsi"/>
                  <w:b/>
                  <w:szCs w:val="18"/>
                  <w:lang w:eastAsia="es-MX"/>
                </w:rPr>
                <w:t>https://mnre.gov.in</w:t>
              </w:r>
            </w:hyperlink>
          </w:p>
          <w:p w14:paraId="14B28266" w14:textId="77777777" w:rsidR="00F91404" w:rsidRPr="00F91404" w:rsidRDefault="00F91404" w:rsidP="00BD1985">
            <w:pPr>
              <w:numPr>
                <w:ilvl w:val="0"/>
                <w:numId w:val="58"/>
              </w:numPr>
              <w:spacing w:before="240" w:after="140" w:line="276" w:lineRule="auto"/>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National Green Hydrogen Mission official documentation:</w:t>
            </w:r>
            <w:r w:rsidRPr="00F91404">
              <w:rPr>
                <w:rFonts w:eastAsia="Times New Roman" w:cstheme="minorHAnsi"/>
                <w:b/>
                <w:color w:val="000000"/>
                <w:sz w:val="18"/>
                <w:szCs w:val="18"/>
                <w:lang w:eastAsia="es-MX"/>
              </w:rPr>
              <w:br/>
            </w:r>
            <w:hyperlink r:id="rId67" w:history="1">
              <w:r w:rsidRPr="00F91404">
                <w:rPr>
                  <w:rStyle w:val="Hyperlink"/>
                  <w:rFonts w:eastAsia="Times New Roman" w:cstheme="minorHAnsi"/>
                  <w:b/>
                  <w:szCs w:val="18"/>
                  <w:lang w:eastAsia="es-MX"/>
                </w:rPr>
                <w:t>https://mnre.gov.in/green-hydrogen</w:t>
              </w:r>
            </w:hyperlink>
            <w:r w:rsidRPr="00F91404">
              <w:rPr>
                <w:rFonts w:eastAsia="Times New Roman" w:cstheme="minorHAnsi"/>
                <w:b/>
                <w:color w:val="000000"/>
                <w:sz w:val="18"/>
                <w:szCs w:val="18"/>
                <w:lang w:eastAsia="es-MX"/>
              </w:rPr>
              <w:t xml:space="preserve"> </w:t>
            </w:r>
          </w:p>
          <w:p w14:paraId="1F414CDD" w14:textId="77777777" w:rsidR="00F91404" w:rsidRPr="00F91404" w:rsidRDefault="00F91404" w:rsidP="00BD1985">
            <w:pPr>
              <w:numPr>
                <w:ilvl w:val="0"/>
                <w:numId w:val="58"/>
              </w:numPr>
              <w:spacing w:before="240" w:after="140" w:line="276" w:lineRule="auto"/>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Strategic Interventions for Green Hydrogen Transition (SIGHT) Programme:</w:t>
            </w:r>
            <w:r w:rsidRPr="00F91404">
              <w:rPr>
                <w:rFonts w:eastAsia="Times New Roman" w:cstheme="minorHAnsi"/>
                <w:b/>
                <w:color w:val="000000"/>
                <w:sz w:val="18"/>
                <w:szCs w:val="18"/>
                <w:lang w:eastAsia="es-MX"/>
              </w:rPr>
              <w:br/>
            </w:r>
            <w:hyperlink r:id="rId68" w:history="1">
              <w:r w:rsidRPr="00F91404">
                <w:rPr>
                  <w:rStyle w:val="Hyperlink"/>
                  <w:rFonts w:eastAsia="Times New Roman" w:cstheme="minorHAnsi"/>
                  <w:b/>
                  <w:szCs w:val="18"/>
                  <w:lang w:eastAsia="es-MX"/>
                </w:rPr>
                <w:t>https://mnre.gov.in/green-hydrogen/sight-programme</w:t>
              </w:r>
            </w:hyperlink>
            <w:r w:rsidRPr="00F91404">
              <w:rPr>
                <w:rFonts w:eastAsia="Times New Roman" w:cstheme="minorHAnsi"/>
                <w:b/>
                <w:color w:val="000000"/>
                <w:sz w:val="18"/>
                <w:szCs w:val="18"/>
                <w:lang w:eastAsia="es-MX"/>
              </w:rPr>
              <w:t xml:space="preserve"> </w:t>
            </w:r>
          </w:p>
          <w:p w14:paraId="272E6A8A" w14:textId="77777777" w:rsidR="00F91404" w:rsidRPr="00F91404" w:rsidRDefault="00F91404" w:rsidP="00BD1985">
            <w:pPr>
              <w:numPr>
                <w:ilvl w:val="0"/>
                <w:numId w:val="58"/>
              </w:numPr>
              <w:spacing w:before="240" w:after="140" w:line="276" w:lineRule="auto"/>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Ministry of Petroleum and Natural Gas – hydrogen and industrial integration policies:</w:t>
            </w:r>
            <w:r w:rsidRPr="00F91404">
              <w:rPr>
                <w:rFonts w:eastAsia="Times New Roman" w:cstheme="minorHAnsi"/>
                <w:b/>
                <w:color w:val="000000"/>
                <w:sz w:val="18"/>
                <w:szCs w:val="18"/>
                <w:lang w:eastAsia="es-MX"/>
              </w:rPr>
              <w:br/>
            </w:r>
            <w:hyperlink r:id="rId69" w:history="1">
              <w:r w:rsidRPr="00F91404">
                <w:rPr>
                  <w:rStyle w:val="Hyperlink"/>
                  <w:rFonts w:eastAsia="Times New Roman" w:cstheme="minorHAnsi"/>
                  <w:b/>
                  <w:szCs w:val="18"/>
                  <w:lang w:eastAsia="es-MX"/>
                </w:rPr>
                <w:t>https://mopng.gov.in</w:t>
              </w:r>
            </w:hyperlink>
            <w:r w:rsidRPr="00F91404">
              <w:rPr>
                <w:rFonts w:eastAsia="Times New Roman" w:cstheme="minorHAnsi"/>
                <w:b/>
                <w:color w:val="000000"/>
                <w:sz w:val="18"/>
                <w:szCs w:val="18"/>
                <w:lang w:eastAsia="es-MX"/>
              </w:rPr>
              <w:t xml:space="preserve"> </w:t>
            </w:r>
          </w:p>
        </w:tc>
        <w:tc>
          <w:tcPr>
            <w:tcW w:w="76" w:type="pct"/>
            <w:vAlign w:val="center"/>
            <w:hideMark/>
          </w:tcPr>
          <w:p w14:paraId="3ABA0913" w14:textId="77777777" w:rsidR="00F91404" w:rsidRPr="00F91404" w:rsidRDefault="00F91404" w:rsidP="00BD1985">
            <w:pPr>
              <w:spacing w:after="0"/>
              <w:rPr>
                <w:rFonts w:eastAsia="Times New Roman" w:cstheme="minorHAnsi"/>
                <w:sz w:val="20"/>
                <w:szCs w:val="20"/>
                <w:lang w:eastAsia="es-MX"/>
              </w:rPr>
            </w:pPr>
          </w:p>
        </w:tc>
      </w:tr>
      <w:tr w:rsidR="00F91404" w:rsidRPr="00F91404" w14:paraId="304F898E" w14:textId="77777777" w:rsidTr="00BD1985">
        <w:trPr>
          <w:trHeight w:val="920"/>
          <w:jc w:val="center"/>
        </w:trPr>
        <w:tc>
          <w:tcPr>
            <w:tcW w:w="4924" w:type="pct"/>
            <w:gridSpan w:val="8"/>
            <w:vMerge/>
            <w:tcBorders>
              <w:top w:val="single" w:sz="12" w:space="0" w:color="808080"/>
              <w:left w:val="single" w:sz="12" w:space="0" w:color="808080"/>
              <w:bottom w:val="single" w:sz="12" w:space="0" w:color="808080"/>
              <w:right w:val="single" w:sz="12" w:space="0" w:color="808080"/>
            </w:tcBorders>
            <w:vAlign w:val="center"/>
          </w:tcPr>
          <w:p w14:paraId="6DBD3FB0" w14:textId="77777777" w:rsidR="00F91404" w:rsidRPr="00F91404" w:rsidRDefault="00F91404" w:rsidP="00BD1985">
            <w:pPr>
              <w:spacing w:after="0"/>
              <w:rPr>
                <w:rFonts w:eastAsia="Times New Roman" w:cstheme="minorHAnsi"/>
                <w:b/>
                <w:bCs/>
                <w:color w:val="000000"/>
                <w:sz w:val="20"/>
                <w:szCs w:val="20"/>
                <w:lang w:eastAsia="es-MX"/>
              </w:rPr>
            </w:pPr>
          </w:p>
        </w:tc>
        <w:tc>
          <w:tcPr>
            <w:tcW w:w="76" w:type="pct"/>
            <w:tcBorders>
              <w:top w:val="nil"/>
              <w:left w:val="nil"/>
              <w:bottom w:val="nil"/>
              <w:right w:val="nil"/>
            </w:tcBorders>
            <w:noWrap/>
            <w:vAlign w:val="bottom"/>
            <w:hideMark/>
          </w:tcPr>
          <w:p w14:paraId="10413309" w14:textId="77777777" w:rsidR="00F91404" w:rsidRPr="00F91404" w:rsidRDefault="00F91404" w:rsidP="00BD1985">
            <w:pPr>
              <w:spacing w:after="0"/>
              <w:jc w:val="center"/>
              <w:rPr>
                <w:rFonts w:eastAsia="Times New Roman" w:cstheme="minorHAnsi"/>
                <w:b/>
                <w:bCs/>
                <w:color w:val="000000"/>
                <w:sz w:val="20"/>
                <w:szCs w:val="20"/>
                <w:lang w:eastAsia="es-MX"/>
              </w:rPr>
            </w:pPr>
          </w:p>
        </w:tc>
      </w:tr>
    </w:tbl>
    <w:p w14:paraId="765CE9A5" w14:textId="77777777" w:rsidR="00F91404" w:rsidRPr="00F91404" w:rsidRDefault="00F91404" w:rsidP="00F91404">
      <w:pPr>
        <w:rPr>
          <w:rFonts w:cstheme="minorHAnsi"/>
          <w:sz w:val="20"/>
          <w:szCs w:val="20"/>
        </w:rPr>
      </w:pPr>
    </w:p>
    <w:p w14:paraId="657C4FB5" w14:textId="77777777" w:rsidR="00F91404" w:rsidRPr="00F509B3" w:rsidRDefault="00F91404" w:rsidP="00F91404">
      <w:pPr>
        <w:spacing w:after="0"/>
        <w:rPr>
          <w:rFonts w:cstheme="minorHAnsi"/>
          <w:b/>
          <w:bCs/>
          <w:i/>
          <w:iCs/>
          <w:sz w:val="16"/>
          <w:szCs w:val="16"/>
        </w:rPr>
      </w:pPr>
      <w:r w:rsidRPr="00F509B3">
        <w:rPr>
          <w:rFonts w:cstheme="minorHAnsi"/>
          <w:b/>
          <w:bCs/>
          <w:i/>
          <w:iCs/>
          <w:sz w:val="16"/>
          <w:szCs w:val="16"/>
        </w:rPr>
        <w:t>Sources</w:t>
      </w:r>
      <w:r w:rsidRPr="00F91404">
        <w:rPr>
          <w:rFonts w:cstheme="minorHAnsi"/>
          <w:b/>
          <w:bCs/>
          <w:i/>
          <w:iCs/>
          <w:sz w:val="16"/>
          <w:szCs w:val="16"/>
        </w:rPr>
        <w:t>:</w:t>
      </w:r>
    </w:p>
    <w:p w14:paraId="6D0ABAD4" w14:textId="77777777" w:rsidR="00F91404" w:rsidRPr="00F509B3" w:rsidRDefault="00F91404" w:rsidP="00F91404">
      <w:pPr>
        <w:spacing w:after="0"/>
        <w:rPr>
          <w:rFonts w:cstheme="minorHAnsi"/>
          <w:i/>
          <w:iCs/>
          <w:sz w:val="14"/>
          <w:szCs w:val="14"/>
        </w:rPr>
      </w:pPr>
      <w:r w:rsidRPr="00F509B3">
        <w:rPr>
          <w:rFonts w:cstheme="minorHAnsi"/>
          <w:b/>
          <w:bCs/>
          <w:i/>
          <w:iCs/>
          <w:sz w:val="14"/>
          <w:szCs w:val="14"/>
        </w:rPr>
        <w:t>Strategy, roadmap and governance framework</w:t>
      </w:r>
    </w:p>
    <w:p w14:paraId="4FAE3C51" w14:textId="77777777" w:rsidR="00F91404" w:rsidRPr="00F509B3" w:rsidRDefault="00F91404" w:rsidP="00F91404">
      <w:pPr>
        <w:numPr>
          <w:ilvl w:val="0"/>
          <w:numId w:val="131"/>
        </w:numPr>
        <w:spacing w:after="0"/>
        <w:rPr>
          <w:rFonts w:cstheme="minorHAnsi"/>
          <w:i/>
          <w:iCs/>
          <w:sz w:val="14"/>
          <w:szCs w:val="14"/>
        </w:rPr>
      </w:pPr>
      <w:r w:rsidRPr="00F509B3">
        <w:rPr>
          <w:rFonts w:cstheme="minorHAnsi"/>
          <w:i/>
          <w:iCs/>
          <w:sz w:val="14"/>
          <w:szCs w:val="14"/>
        </w:rPr>
        <w:t>Government of India (2022), National Green Hydrogen Mission (official policy document).</w:t>
      </w:r>
    </w:p>
    <w:p w14:paraId="6A4CDF71" w14:textId="77777777" w:rsidR="00F91404" w:rsidRPr="00F509B3" w:rsidRDefault="00F91404" w:rsidP="00F91404">
      <w:pPr>
        <w:numPr>
          <w:ilvl w:val="0"/>
          <w:numId w:val="131"/>
        </w:numPr>
        <w:spacing w:after="0"/>
        <w:rPr>
          <w:rFonts w:cstheme="minorHAnsi"/>
          <w:i/>
          <w:iCs/>
          <w:sz w:val="14"/>
          <w:szCs w:val="14"/>
        </w:rPr>
      </w:pPr>
      <w:r w:rsidRPr="00F509B3">
        <w:rPr>
          <w:rFonts w:cstheme="minorHAnsi"/>
          <w:i/>
          <w:iCs/>
          <w:sz w:val="14"/>
          <w:szCs w:val="14"/>
        </w:rPr>
        <w:t>Ministry of New and Renewable Energy (MNRE), Hydrogen Mission Implementation Guidelines.</w:t>
      </w:r>
    </w:p>
    <w:p w14:paraId="2224E119" w14:textId="77777777" w:rsidR="00F91404" w:rsidRPr="00F509B3" w:rsidRDefault="00F91404" w:rsidP="00F91404">
      <w:pPr>
        <w:numPr>
          <w:ilvl w:val="0"/>
          <w:numId w:val="131"/>
        </w:numPr>
        <w:spacing w:after="0"/>
        <w:rPr>
          <w:rFonts w:cstheme="minorHAnsi"/>
          <w:i/>
          <w:iCs/>
          <w:sz w:val="14"/>
          <w:szCs w:val="14"/>
        </w:rPr>
      </w:pPr>
      <w:r w:rsidRPr="00F509B3">
        <w:rPr>
          <w:rFonts w:cstheme="minorHAnsi"/>
          <w:i/>
          <w:iCs/>
          <w:sz w:val="14"/>
          <w:szCs w:val="14"/>
        </w:rPr>
        <w:t>NITI Aayog, Strategic policy papers related to green hydrogen and industrial decarbonisation.</w:t>
      </w:r>
    </w:p>
    <w:p w14:paraId="7BDC36E6" w14:textId="77777777" w:rsidR="00F91404" w:rsidRPr="00F509B3" w:rsidRDefault="00F91404" w:rsidP="00F91404">
      <w:pPr>
        <w:spacing w:after="0"/>
        <w:rPr>
          <w:rFonts w:cstheme="minorHAnsi"/>
          <w:i/>
          <w:iCs/>
          <w:sz w:val="14"/>
          <w:szCs w:val="14"/>
        </w:rPr>
      </w:pPr>
      <w:r w:rsidRPr="00F509B3">
        <w:rPr>
          <w:rFonts w:cstheme="minorHAnsi"/>
          <w:b/>
          <w:bCs/>
          <w:i/>
          <w:iCs/>
          <w:sz w:val="14"/>
          <w:szCs w:val="14"/>
        </w:rPr>
        <w:t>Market and revenue support mechanisms</w:t>
      </w:r>
    </w:p>
    <w:p w14:paraId="4A3305F2" w14:textId="77777777" w:rsidR="00F91404" w:rsidRPr="00F509B3" w:rsidRDefault="00F91404" w:rsidP="00F91404">
      <w:pPr>
        <w:numPr>
          <w:ilvl w:val="0"/>
          <w:numId w:val="132"/>
        </w:numPr>
        <w:spacing w:after="0"/>
        <w:rPr>
          <w:rFonts w:cstheme="minorHAnsi"/>
          <w:i/>
          <w:iCs/>
          <w:sz w:val="14"/>
          <w:szCs w:val="14"/>
        </w:rPr>
      </w:pPr>
      <w:r w:rsidRPr="00F509B3">
        <w:rPr>
          <w:rFonts w:cstheme="minorHAnsi"/>
          <w:i/>
          <w:iCs/>
          <w:sz w:val="14"/>
          <w:szCs w:val="14"/>
        </w:rPr>
        <w:t>MNRE policy notifications regarding demand targets and green hydrogen procurement frameworks (where applicable).</w:t>
      </w:r>
    </w:p>
    <w:p w14:paraId="22780070" w14:textId="77777777" w:rsidR="00F91404" w:rsidRPr="00F509B3" w:rsidRDefault="00F91404" w:rsidP="00F91404">
      <w:pPr>
        <w:numPr>
          <w:ilvl w:val="0"/>
          <w:numId w:val="132"/>
        </w:numPr>
        <w:spacing w:after="0"/>
        <w:rPr>
          <w:rFonts w:cstheme="minorHAnsi"/>
          <w:i/>
          <w:iCs/>
          <w:sz w:val="14"/>
          <w:szCs w:val="14"/>
        </w:rPr>
      </w:pPr>
      <w:r w:rsidRPr="00F509B3">
        <w:rPr>
          <w:rFonts w:cstheme="minorHAnsi"/>
          <w:i/>
          <w:iCs/>
          <w:sz w:val="14"/>
          <w:szCs w:val="14"/>
        </w:rPr>
        <w:t>Ministry of Power, relevant electricity market integration policies linked to hydrogen production.</w:t>
      </w:r>
    </w:p>
    <w:p w14:paraId="70B59543" w14:textId="77777777" w:rsidR="00F91404" w:rsidRPr="00F509B3" w:rsidRDefault="00F91404" w:rsidP="00F91404">
      <w:pPr>
        <w:numPr>
          <w:ilvl w:val="0"/>
          <w:numId w:val="132"/>
        </w:numPr>
        <w:spacing w:after="0"/>
        <w:rPr>
          <w:rFonts w:cstheme="minorHAnsi"/>
          <w:i/>
          <w:iCs/>
          <w:sz w:val="14"/>
          <w:szCs w:val="14"/>
        </w:rPr>
      </w:pPr>
      <w:r w:rsidRPr="00F509B3">
        <w:rPr>
          <w:rFonts w:cstheme="minorHAnsi"/>
          <w:i/>
          <w:iCs/>
          <w:sz w:val="14"/>
          <w:szCs w:val="14"/>
        </w:rPr>
        <w:t>Government releases on potential demand-side mechanisms under development.</w:t>
      </w:r>
    </w:p>
    <w:p w14:paraId="012C1D9C" w14:textId="77777777" w:rsidR="00F91404" w:rsidRPr="00F509B3" w:rsidRDefault="00F91404" w:rsidP="00F91404">
      <w:pPr>
        <w:spacing w:after="0"/>
        <w:rPr>
          <w:rFonts w:cstheme="minorHAnsi"/>
          <w:i/>
          <w:iCs/>
          <w:sz w:val="14"/>
          <w:szCs w:val="14"/>
        </w:rPr>
      </w:pPr>
      <w:r w:rsidRPr="00F509B3">
        <w:rPr>
          <w:rFonts w:cstheme="minorHAnsi"/>
          <w:b/>
          <w:bCs/>
          <w:i/>
          <w:iCs/>
          <w:sz w:val="14"/>
          <w:szCs w:val="14"/>
        </w:rPr>
        <w:t>Direct public funding and CAPEX support (SIGHT)</w:t>
      </w:r>
    </w:p>
    <w:p w14:paraId="14789D4D" w14:textId="77777777" w:rsidR="00F91404" w:rsidRPr="00F509B3" w:rsidRDefault="00F91404" w:rsidP="00F91404">
      <w:pPr>
        <w:numPr>
          <w:ilvl w:val="0"/>
          <w:numId w:val="133"/>
        </w:numPr>
        <w:spacing w:after="0"/>
        <w:rPr>
          <w:rFonts w:cstheme="minorHAnsi"/>
          <w:i/>
          <w:iCs/>
          <w:sz w:val="14"/>
          <w:szCs w:val="14"/>
        </w:rPr>
      </w:pPr>
      <w:r w:rsidRPr="00F509B3">
        <w:rPr>
          <w:rFonts w:cstheme="minorHAnsi"/>
          <w:i/>
          <w:iCs/>
          <w:sz w:val="14"/>
          <w:szCs w:val="14"/>
        </w:rPr>
        <w:t>MNRE (2023), Strategic Interventions for Green Hydrogen Transition (SIGHT) Programme Guidelines.</w:t>
      </w:r>
    </w:p>
    <w:p w14:paraId="72374C37" w14:textId="77777777" w:rsidR="00F91404" w:rsidRPr="00F509B3" w:rsidRDefault="00F91404" w:rsidP="00F91404">
      <w:pPr>
        <w:numPr>
          <w:ilvl w:val="0"/>
          <w:numId w:val="133"/>
        </w:numPr>
        <w:spacing w:after="0"/>
        <w:rPr>
          <w:rFonts w:cstheme="minorHAnsi"/>
          <w:i/>
          <w:iCs/>
          <w:sz w:val="14"/>
          <w:szCs w:val="14"/>
        </w:rPr>
      </w:pPr>
      <w:r w:rsidRPr="00F509B3">
        <w:rPr>
          <w:rFonts w:cstheme="minorHAnsi"/>
          <w:i/>
          <w:iCs/>
          <w:sz w:val="14"/>
          <w:szCs w:val="14"/>
        </w:rPr>
        <w:t>Government of India announcements on electrolyser manufacturing incentives under the Mission.</w:t>
      </w:r>
    </w:p>
    <w:p w14:paraId="4E73DCFE" w14:textId="77777777" w:rsidR="00F91404" w:rsidRPr="00F509B3" w:rsidRDefault="00F91404" w:rsidP="00F91404">
      <w:pPr>
        <w:numPr>
          <w:ilvl w:val="0"/>
          <w:numId w:val="133"/>
        </w:numPr>
        <w:spacing w:after="0"/>
        <w:rPr>
          <w:rFonts w:cstheme="minorHAnsi"/>
          <w:i/>
          <w:iCs/>
          <w:sz w:val="14"/>
          <w:szCs w:val="14"/>
        </w:rPr>
      </w:pPr>
      <w:r w:rsidRPr="00F509B3">
        <w:rPr>
          <w:rFonts w:cstheme="minorHAnsi"/>
          <w:i/>
          <w:iCs/>
          <w:sz w:val="14"/>
          <w:szCs w:val="14"/>
        </w:rPr>
        <w:t>Public tender documents and award announcements under the National Green Hydrogen Mission.</w:t>
      </w:r>
    </w:p>
    <w:p w14:paraId="4DF1DA02" w14:textId="77777777" w:rsidR="00F91404" w:rsidRPr="00F509B3" w:rsidRDefault="00F91404" w:rsidP="00F91404">
      <w:pPr>
        <w:spacing w:after="0"/>
        <w:rPr>
          <w:rFonts w:cstheme="minorHAnsi"/>
          <w:i/>
          <w:iCs/>
          <w:sz w:val="14"/>
          <w:szCs w:val="14"/>
        </w:rPr>
      </w:pPr>
      <w:r w:rsidRPr="00F509B3">
        <w:rPr>
          <w:rFonts w:cstheme="minorHAnsi"/>
          <w:b/>
          <w:bCs/>
          <w:i/>
          <w:iCs/>
          <w:sz w:val="14"/>
          <w:szCs w:val="14"/>
        </w:rPr>
        <w:t>Standards and certification frameworks</w:t>
      </w:r>
    </w:p>
    <w:p w14:paraId="5245617B" w14:textId="77777777" w:rsidR="00F91404" w:rsidRPr="00F509B3" w:rsidRDefault="00F91404" w:rsidP="00F91404">
      <w:pPr>
        <w:numPr>
          <w:ilvl w:val="0"/>
          <w:numId w:val="134"/>
        </w:numPr>
        <w:spacing w:after="0"/>
        <w:rPr>
          <w:rFonts w:cstheme="minorHAnsi"/>
          <w:i/>
          <w:iCs/>
          <w:sz w:val="14"/>
          <w:szCs w:val="14"/>
        </w:rPr>
      </w:pPr>
      <w:r w:rsidRPr="00F509B3">
        <w:rPr>
          <w:rFonts w:cstheme="minorHAnsi"/>
          <w:i/>
          <w:iCs/>
          <w:sz w:val="14"/>
          <w:szCs w:val="14"/>
        </w:rPr>
        <w:t>MNRE notifications defining “Green Hydrogen” and eligibility criteria for support schemes.</w:t>
      </w:r>
    </w:p>
    <w:p w14:paraId="4AB994F5" w14:textId="77777777" w:rsidR="00F91404" w:rsidRPr="00F509B3" w:rsidRDefault="00F91404" w:rsidP="00F91404">
      <w:pPr>
        <w:numPr>
          <w:ilvl w:val="0"/>
          <w:numId w:val="134"/>
        </w:numPr>
        <w:spacing w:after="0"/>
        <w:rPr>
          <w:rFonts w:cstheme="minorHAnsi"/>
          <w:i/>
          <w:iCs/>
          <w:sz w:val="14"/>
          <w:szCs w:val="14"/>
        </w:rPr>
      </w:pPr>
      <w:r w:rsidRPr="00F509B3">
        <w:rPr>
          <w:rFonts w:cstheme="minorHAnsi"/>
          <w:i/>
          <w:iCs/>
          <w:sz w:val="14"/>
          <w:szCs w:val="14"/>
        </w:rPr>
        <w:t>Bureau of Energy Efficiency (BEE) or related agencies’ technical definitions and reporting requirements (as applicable).</w:t>
      </w:r>
    </w:p>
    <w:p w14:paraId="4C945CB6" w14:textId="77777777" w:rsidR="00F91404" w:rsidRPr="00F509B3" w:rsidRDefault="00F91404" w:rsidP="00F91404">
      <w:pPr>
        <w:numPr>
          <w:ilvl w:val="0"/>
          <w:numId w:val="134"/>
        </w:numPr>
        <w:spacing w:after="0"/>
        <w:rPr>
          <w:rFonts w:cstheme="minorHAnsi"/>
          <w:i/>
          <w:iCs/>
          <w:sz w:val="14"/>
          <w:szCs w:val="14"/>
        </w:rPr>
      </w:pPr>
      <w:r w:rsidRPr="00F509B3">
        <w:rPr>
          <w:rFonts w:cstheme="minorHAnsi"/>
          <w:i/>
          <w:iCs/>
          <w:sz w:val="14"/>
          <w:szCs w:val="14"/>
        </w:rPr>
        <w:t>Government publications outlining evolving certification and emissions accounting frameworks.</w:t>
      </w:r>
    </w:p>
    <w:p w14:paraId="72B5868F" w14:textId="77777777" w:rsidR="00F91404" w:rsidRPr="00F509B3" w:rsidRDefault="00F91404" w:rsidP="00F91404">
      <w:pPr>
        <w:spacing w:after="0"/>
        <w:rPr>
          <w:rFonts w:cstheme="minorHAnsi"/>
          <w:i/>
          <w:iCs/>
          <w:sz w:val="14"/>
          <w:szCs w:val="14"/>
        </w:rPr>
      </w:pPr>
      <w:r w:rsidRPr="00F509B3">
        <w:rPr>
          <w:rFonts w:cstheme="minorHAnsi"/>
          <w:b/>
          <w:bCs/>
          <w:i/>
          <w:iCs/>
          <w:sz w:val="14"/>
          <w:szCs w:val="14"/>
        </w:rPr>
        <w:t>Infrastructure enabling policies (industrial integration)</w:t>
      </w:r>
    </w:p>
    <w:p w14:paraId="38F810FD" w14:textId="77777777" w:rsidR="00F91404" w:rsidRPr="00F509B3" w:rsidRDefault="00F91404" w:rsidP="00F91404">
      <w:pPr>
        <w:numPr>
          <w:ilvl w:val="0"/>
          <w:numId w:val="135"/>
        </w:numPr>
        <w:spacing w:after="0"/>
        <w:rPr>
          <w:rFonts w:cstheme="minorHAnsi"/>
          <w:i/>
          <w:iCs/>
          <w:sz w:val="14"/>
          <w:szCs w:val="14"/>
        </w:rPr>
      </w:pPr>
      <w:r w:rsidRPr="00F509B3">
        <w:rPr>
          <w:rFonts w:cstheme="minorHAnsi"/>
          <w:i/>
          <w:iCs/>
          <w:sz w:val="14"/>
          <w:szCs w:val="14"/>
        </w:rPr>
        <w:t>Government of India publications on hydrogen hubs and industrial integration (refineries, fertilisers, chemicals).</w:t>
      </w:r>
    </w:p>
    <w:p w14:paraId="1FB08943" w14:textId="77777777" w:rsidR="00F91404" w:rsidRPr="00F509B3" w:rsidRDefault="00F91404" w:rsidP="00F91404">
      <w:pPr>
        <w:numPr>
          <w:ilvl w:val="0"/>
          <w:numId w:val="135"/>
        </w:numPr>
        <w:spacing w:after="0"/>
        <w:rPr>
          <w:rFonts w:cstheme="minorHAnsi"/>
          <w:i/>
          <w:iCs/>
          <w:sz w:val="14"/>
          <w:szCs w:val="14"/>
        </w:rPr>
      </w:pPr>
      <w:r w:rsidRPr="00F509B3">
        <w:rPr>
          <w:rFonts w:cstheme="minorHAnsi"/>
          <w:i/>
          <w:iCs/>
          <w:sz w:val="14"/>
          <w:szCs w:val="14"/>
        </w:rPr>
        <w:t>Ministry of Petroleum and Natural Gas (</w:t>
      </w:r>
      <w:proofErr w:type="spellStart"/>
      <w:r w:rsidRPr="00F509B3">
        <w:rPr>
          <w:rFonts w:cstheme="minorHAnsi"/>
          <w:i/>
          <w:iCs/>
          <w:sz w:val="14"/>
          <w:szCs w:val="14"/>
        </w:rPr>
        <w:t>MoPNG</w:t>
      </w:r>
      <w:proofErr w:type="spellEnd"/>
      <w:r w:rsidRPr="00F509B3">
        <w:rPr>
          <w:rFonts w:cstheme="minorHAnsi"/>
          <w:i/>
          <w:iCs/>
          <w:sz w:val="14"/>
          <w:szCs w:val="14"/>
        </w:rPr>
        <w:t>) documentation on hydrogen blending or refinery integration pilots.</w:t>
      </w:r>
    </w:p>
    <w:p w14:paraId="528E9087" w14:textId="77777777" w:rsidR="00F91404" w:rsidRPr="00F509B3" w:rsidRDefault="00F91404" w:rsidP="00F91404">
      <w:pPr>
        <w:spacing w:after="0"/>
        <w:rPr>
          <w:rFonts w:cstheme="minorHAnsi"/>
          <w:i/>
          <w:iCs/>
          <w:sz w:val="14"/>
          <w:szCs w:val="14"/>
        </w:rPr>
      </w:pPr>
      <w:r w:rsidRPr="00F509B3">
        <w:rPr>
          <w:rFonts w:cstheme="minorHAnsi"/>
          <w:b/>
          <w:bCs/>
          <w:i/>
          <w:iCs/>
          <w:sz w:val="14"/>
          <w:szCs w:val="14"/>
        </w:rPr>
        <w:t>Production capacity / pipeline and deployment status</w:t>
      </w:r>
    </w:p>
    <w:p w14:paraId="424B65EE" w14:textId="77777777" w:rsidR="00F91404" w:rsidRPr="00F509B3" w:rsidRDefault="00F91404" w:rsidP="00F91404">
      <w:pPr>
        <w:numPr>
          <w:ilvl w:val="0"/>
          <w:numId w:val="136"/>
        </w:numPr>
        <w:spacing w:after="0"/>
        <w:rPr>
          <w:rFonts w:cstheme="minorHAnsi"/>
          <w:i/>
          <w:iCs/>
          <w:sz w:val="14"/>
          <w:szCs w:val="14"/>
        </w:rPr>
      </w:pPr>
      <w:r w:rsidRPr="00F509B3">
        <w:rPr>
          <w:rFonts w:cstheme="minorHAnsi"/>
          <w:i/>
          <w:iCs/>
          <w:sz w:val="14"/>
          <w:szCs w:val="14"/>
        </w:rPr>
        <w:t>International Energy Agency (IEA) (2023), Global Hydrogen Review 2023, Paris: IEA.</w:t>
      </w:r>
    </w:p>
    <w:p w14:paraId="619241F6" w14:textId="77777777" w:rsidR="00F91404" w:rsidRPr="00F509B3" w:rsidRDefault="00F91404" w:rsidP="00F91404">
      <w:pPr>
        <w:numPr>
          <w:ilvl w:val="0"/>
          <w:numId w:val="136"/>
        </w:numPr>
        <w:spacing w:after="0"/>
        <w:rPr>
          <w:rFonts w:cstheme="minorHAnsi"/>
          <w:i/>
          <w:iCs/>
          <w:sz w:val="14"/>
          <w:szCs w:val="14"/>
        </w:rPr>
      </w:pPr>
      <w:r w:rsidRPr="00F509B3">
        <w:rPr>
          <w:rFonts w:cstheme="minorHAnsi"/>
          <w:i/>
          <w:iCs/>
          <w:sz w:val="14"/>
          <w:szCs w:val="14"/>
        </w:rPr>
        <w:t>IEA Hydrogen Projects Database (latest available edition).</w:t>
      </w:r>
    </w:p>
    <w:p w14:paraId="42F966CA" w14:textId="77777777" w:rsidR="00F91404" w:rsidRPr="00F509B3" w:rsidRDefault="00F91404" w:rsidP="00F91404">
      <w:pPr>
        <w:numPr>
          <w:ilvl w:val="0"/>
          <w:numId w:val="136"/>
        </w:numPr>
        <w:spacing w:after="0"/>
        <w:rPr>
          <w:rFonts w:cstheme="minorHAnsi"/>
          <w:i/>
          <w:iCs/>
          <w:sz w:val="14"/>
          <w:szCs w:val="14"/>
        </w:rPr>
      </w:pPr>
      <w:r w:rsidRPr="00F509B3">
        <w:rPr>
          <w:rFonts w:cstheme="minorHAnsi"/>
          <w:i/>
          <w:iCs/>
          <w:sz w:val="14"/>
          <w:szCs w:val="14"/>
        </w:rPr>
        <w:t>Public announcements from NTPC, Indian Oil Corporation (IOCL), Reliance Industries and other major project developers.</w:t>
      </w:r>
    </w:p>
    <w:p w14:paraId="74E926DA" w14:textId="77777777" w:rsidR="00F91404" w:rsidRPr="00F509B3" w:rsidRDefault="00F91404" w:rsidP="00F91404">
      <w:pPr>
        <w:spacing w:after="0"/>
        <w:rPr>
          <w:rFonts w:cstheme="minorHAnsi"/>
          <w:i/>
          <w:iCs/>
          <w:sz w:val="14"/>
          <w:szCs w:val="14"/>
        </w:rPr>
      </w:pPr>
      <w:r w:rsidRPr="00F509B3">
        <w:rPr>
          <w:rFonts w:cstheme="minorHAnsi"/>
          <w:b/>
          <w:bCs/>
          <w:i/>
          <w:iCs/>
          <w:sz w:val="14"/>
          <w:szCs w:val="14"/>
        </w:rPr>
        <w:t>Renewable energy context</w:t>
      </w:r>
    </w:p>
    <w:p w14:paraId="2F84605F" w14:textId="77777777" w:rsidR="00F91404" w:rsidRPr="00F509B3" w:rsidRDefault="00F91404" w:rsidP="00F91404">
      <w:pPr>
        <w:numPr>
          <w:ilvl w:val="0"/>
          <w:numId w:val="137"/>
        </w:numPr>
        <w:spacing w:after="0"/>
        <w:rPr>
          <w:rFonts w:cstheme="minorHAnsi"/>
          <w:i/>
          <w:iCs/>
          <w:sz w:val="14"/>
          <w:szCs w:val="14"/>
        </w:rPr>
      </w:pPr>
      <w:r w:rsidRPr="00F509B3">
        <w:rPr>
          <w:rFonts w:cstheme="minorHAnsi"/>
          <w:i/>
          <w:iCs/>
          <w:sz w:val="14"/>
          <w:szCs w:val="14"/>
        </w:rPr>
        <w:t>Ministry of New and Renewable Energy (MNRE), Renewable Energy Statistics and Capacity Data.</w:t>
      </w:r>
    </w:p>
    <w:p w14:paraId="0471FB00" w14:textId="77777777" w:rsidR="00F91404" w:rsidRPr="00F509B3" w:rsidRDefault="00F91404" w:rsidP="00F91404">
      <w:pPr>
        <w:numPr>
          <w:ilvl w:val="0"/>
          <w:numId w:val="137"/>
        </w:numPr>
        <w:spacing w:after="0"/>
        <w:rPr>
          <w:rFonts w:cstheme="minorHAnsi"/>
          <w:i/>
          <w:iCs/>
          <w:sz w:val="14"/>
          <w:szCs w:val="14"/>
        </w:rPr>
      </w:pPr>
      <w:r w:rsidRPr="00F509B3">
        <w:rPr>
          <w:rFonts w:cstheme="minorHAnsi"/>
          <w:i/>
          <w:iCs/>
          <w:sz w:val="14"/>
          <w:szCs w:val="14"/>
        </w:rPr>
        <w:t>Central Electricity Authority (CEA), Electricity Generation and Renewable Deployment Reports.</w:t>
      </w:r>
    </w:p>
    <w:p w14:paraId="6F065E7A" w14:textId="77777777" w:rsidR="00F91404" w:rsidRDefault="00F91404" w:rsidP="00074C04">
      <w:pPr>
        <w:rPr>
          <w:b/>
          <w:bCs/>
          <w:color w:val="004C43" w:themeColor="accent1"/>
          <w:sz w:val="24"/>
          <w:szCs w:val="32"/>
        </w:rPr>
      </w:pPr>
    </w:p>
    <w:p w14:paraId="16C593C8" w14:textId="77777777" w:rsidR="00F91404" w:rsidRDefault="00F91404" w:rsidP="00074C04">
      <w:pPr>
        <w:rPr>
          <w:b/>
          <w:bCs/>
          <w:color w:val="004C43" w:themeColor="accent1"/>
          <w:sz w:val="24"/>
          <w:szCs w:val="32"/>
        </w:rPr>
      </w:pPr>
    </w:p>
    <w:p w14:paraId="3B996753" w14:textId="77777777" w:rsidR="00F91404" w:rsidRDefault="00F91404" w:rsidP="00074C04">
      <w:pPr>
        <w:rPr>
          <w:b/>
          <w:bCs/>
          <w:color w:val="004C43" w:themeColor="accent1"/>
          <w:sz w:val="24"/>
          <w:szCs w:val="32"/>
        </w:rPr>
      </w:pPr>
    </w:p>
    <w:p w14:paraId="1950AA79" w14:textId="77777777" w:rsidR="00F91404" w:rsidRDefault="00F91404" w:rsidP="00074C04">
      <w:pPr>
        <w:rPr>
          <w:b/>
          <w:bCs/>
          <w:color w:val="004C43" w:themeColor="accent1"/>
          <w:sz w:val="24"/>
          <w:szCs w:val="32"/>
        </w:rPr>
      </w:pPr>
    </w:p>
    <w:p w14:paraId="51133D77" w14:textId="77777777" w:rsidR="00F91404" w:rsidRDefault="00F91404" w:rsidP="00074C04">
      <w:pPr>
        <w:rPr>
          <w:b/>
          <w:bCs/>
          <w:color w:val="004C43" w:themeColor="accent1"/>
          <w:sz w:val="24"/>
          <w:szCs w:val="32"/>
        </w:rPr>
      </w:pPr>
    </w:p>
    <w:p w14:paraId="616FE66D" w14:textId="77777777" w:rsidR="00F91404" w:rsidRDefault="00F91404" w:rsidP="00074C04">
      <w:pPr>
        <w:rPr>
          <w:b/>
          <w:bCs/>
          <w:color w:val="004C43" w:themeColor="accent1"/>
          <w:sz w:val="24"/>
          <w:szCs w:val="32"/>
        </w:rPr>
      </w:pPr>
    </w:p>
    <w:p w14:paraId="0415C3F0" w14:textId="77777777" w:rsidR="00F91404" w:rsidRDefault="00F91404" w:rsidP="00074C04">
      <w:pPr>
        <w:rPr>
          <w:b/>
          <w:bCs/>
          <w:color w:val="004C43" w:themeColor="accent1"/>
          <w:sz w:val="24"/>
          <w:szCs w:val="32"/>
        </w:rPr>
      </w:pPr>
    </w:p>
    <w:p w14:paraId="7773900F" w14:textId="77777777" w:rsidR="00F91404" w:rsidRDefault="00F91404" w:rsidP="00074C04">
      <w:pPr>
        <w:rPr>
          <w:b/>
          <w:bCs/>
          <w:color w:val="004C43" w:themeColor="accent1"/>
          <w:sz w:val="24"/>
          <w:szCs w:val="32"/>
        </w:rPr>
      </w:pPr>
    </w:p>
    <w:p w14:paraId="55928814" w14:textId="77777777" w:rsidR="00F91404" w:rsidRPr="00F91404" w:rsidRDefault="00F91404" w:rsidP="00F91404">
      <w:pPr>
        <w:rPr>
          <w:b/>
          <w:bCs/>
          <w:i/>
          <w:iCs/>
          <w:color w:val="004C43" w:themeColor="accent1"/>
          <w:sz w:val="24"/>
          <w:szCs w:val="32"/>
        </w:rPr>
      </w:pPr>
      <w:r w:rsidRPr="00F91404">
        <w:rPr>
          <w:b/>
          <w:bCs/>
          <w:color w:val="004C43" w:themeColor="accent1"/>
          <w:sz w:val="24"/>
          <w:szCs w:val="32"/>
        </w:rPr>
        <w:lastRenderedPageBreak/>
        <w:t>Japan</w:t>
      </w:r>
    </w:p>
    <w:p w14:paraId="717B3BA2" w14:textId="77777777" w:rsidR="00F91404" w:rsidRPr="00F91404" w:rsidRDefault="00F91404" w:rsidP="00F91404">
      <w:pPr>
        <w:rPr>
          <w:rFonts w:cstheme="minorHAnsi"/>
          <w:sz w:val="20"/>
          <w:szCs w:val="20"/>
        </w:rPr>
      </w:pPr>
      <w:r w:rsidRPr="00F91404">
        <w:rPr>
          <w:rFonts w:cstheme="minorHAnsi"/>
          <w:sz w:val="20"/>
          <w:szCs w:val="20"/>
        </w:rPr>
        <w:t>Japan’s hydrogen policy is governed through a highly centralised institutional framework, reflecting its strategic focus on energy security and demand creation. The Ministry of Economy, Trade and Industry (METI) leads strategy, regulation and funding, while JOGMEC supports financing, risk mitigation and international supply-chain development. MLIT is responsible for port, transport and logistics infrastructure relevant to hydrogen imports.</w:t>
      </w:r>
    </w:p>
    <w:p w14:paraId="1FABA3EC" w14:textId="77777777" w:rsidR="00F91404" w:rsidRPr="00F91404" w:rsidRDefault="00F91404" w:rsidP="00F91404">
      <w:pPr>
        <w:rPr>
          <w:rFonts w:cstheme="minorHAnsi"/>
          <w:sz w:val="20"/>
          <w:szCs w:val="20"/>
        </w:rPr>
      </w:pPr>
      <w:r w:rsidRPr="00F91404">
        <w:rPr>
          <w:rFonts w:cstheme="minorHAnsi"/>
          <w:sz w:val="20"/>
          <w:szCs w:val="20"/>
        </w:rPr>
        <w:t>Japan has established formal safety, handling and regulatory frameworks for hydrogen, providing clarity for downstream deployment and infrastructure investment. Governance is mature and coordinated, positioning Japan as a demand-led market, focused on utilisation and supply-chain readiness rather than large-scale domestic production.</w:t>
      </w:r>
    </w:p>
    <w:tbl>
      <w:tblPr>
        <w:tblW w:w="5000" w:type="pct"/>
        <w:jc w:val="center"/>
        <w:tblCellMar>
          <w:top w:w="15" w:type="dxa"/>
          <w:left w:w="70" w:type="dxa"/>
          <w:right w:w="70" w:type="dxa"/>
        </w:tblCellMar>
        <w:tblLook w:val="04A0" w:firstRow="1" w:lastRow="0" w:firstColumn="1" w:lastColumn="0" w:noHBand="0" w:noVBand="1"/>
      </w:tblPr>
      <w:tblGrid>
        <w:gridCol w:w="2029"/>
        <w:gridCol w:w="428"/>
        <w:gridCol w:w="1277"/>
        <w:gridCol w:w="789"/>
        <w:gridCol w:w="853"/>
        <w:gridCol w:w="1472"/>
        <w:gridCol w:w="604"/>
        <w:gridCol w:w="2011"/>
        <w:gridCol w:w="146"/>
      </w:tblGrid>
      <w:tr w:rsidR="00F91404" w:rsidRPr="00F91404" w14:paraId="75C8539B" w14:textId="77777777" w:rsidTr="00BD1985">
        <w:trPr>
          <w:gridAfter w:val="1"/>
          <w:wAfter w:w="76" w:type="pct"/>
          <w:trHeight w:val="1060"/>
          <w:jc w:val="center"/>
        </w:trPr>
        <w:tc>
          <w:tcPr>
            <w:tcW w:w="1056" w:type="pct"/>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16BC6822"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w:t>
            </w:r>
          </w:p>
          <w:p w14:paraId="54F39A32"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capacity </w:t>
            </w:r>
          </w:p>
          <w:p w14:paraId="206F52B2"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Operational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887"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69C44B08"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w:t>
            </w:r>
            <w:r w:rsidRPr="00F91404">
              <w:rPr>
                <w:rFonts w:eastAsia="Times New Roman" w:cstheme="minorHAnsi"/>
                <w:b/>
                <w:bCs/>
                <w:color w:val="FFFFFF" w:themeColor="background1"/>
                <w:sz w:val="18"/>
                <w:szCs w:val="18"/>
                <w:lang w:eastAsia="es-MX"/>
              </w:rPr>
              <w:br/>
            </w:r>
            <w:r w:rsidRPr="00F91404">
              <w:rPr>
                <w:rFonts w:eastAsia="Times New Roman" w:cstheme="minorHAnsi"/>
                <w:b/>
                <w:color w:val="FFFFFF" w:themeColor="background1"/>
                <w:sz w:val="18"/>
                <w:szCs w:val="18"/>
                <w:lang w:eastAsia="es-MX"/>
              </w:rPr>
              <w:t xml:space="preserve">capacity Planned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854"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2A7F5FFA"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Hydrogen </w:t>
            </w:r>
          </w:p>
          <w:p w14:paraId="7391CD23"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pipelines </w:t>
            </w:r>
            <w:r w:rsidRPr="00F91404">
              <w:rPr>
                <w:rFonts w:eastAsia="Times New Roman" w:cstheme="minorHAnsi"/>
                <w:b/>
                <w:color w:val="FFFFFF" w:themeColor="background1"/>
                <w:sz w:val="18"/>
                <w:szCs w:val="18"/>
                <w:lang w:eastAsia="es-MX"/>
              </w:rPr>
              <w:br/>
              <w:t>(km)</w:t>
            </w:r>
          </w:p>
        </w:tc>
        <w:tc>
          <w:tcPr>
            <w:tcW w:w="1080"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3B77B751"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Ammonia port </w:t>
            </w:r>
          </w:p>
          <w:p w14:paraId="7AC08526"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storage capacity </w:t>
            </w:r>
            <w:r w:rsidRPr="00F91404">
              <w:rPr>
                <w:rFonts w:eastAsia="Times New Roman" w:cstheme="minorHAnsi"/>
                <w:b/>
                <w:color w:val="FFFFFF" w:themeColor="background1"/>
                <w:sz w:val="18"/>
                <w:szCs w:val="18"/>
                <w:lang w:eastAsia="es-MX"/>
              </w:rPr>
              <w:br/>
              <w:t>(Thousand tonnes)</w:t>
            </w:r>
          </w:p>
        </w:tc>
        <w:tc>
          <w:tcPr>
            <w:tcW w:w="1046" w:type="pct"/>
            <w:tcBorders>
              <w:top w:val="single" w:sz="12" w:space="0" w:color="808080"/>
              <w:left w:val="nil"/>
              <w:bottom w:val="single" w:sz="12" w:space="0" w:color="808080"/>
              <w:right w:val="single" w:sz="12" w:space="0" w:color="808080"/>
            </w:tcBorders>
            <w:shd w:val="clear" w:color="auto" w:fill="004C43" w:themeFill="accent1"/>
            <w:vAlign w:val="center"/>
            <w:hideMark/>
          </w:tcPr>
          <w:p w14:paraId="46C10421"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Dominant market model</w:t>
            </w:r>
          </w:p>
        </w:tc>
      </w:tr>
      <w:tr w:rsidR="00F91404" w:rsidRPr="00F91404" w14:paraId="2606AF4F" w14:textId="77777777" w:rsidTr="00BD1985">
        <w:trPr>
          <w:gridAfter w:val="1"/>
          <w:wAfter w:w="76" w:type="pct"/>
          <w:trHeight w:val="2740"/>
          <w:jc w:val="center"/>
        </w:trPr>
        <w:tc>
          <w:tcPr>
            <w:tcW w:w="1056" w:type="pct"/>
            <w:tcBorders>
              <w:top w:val="nil"/>
              <w:left w:val="single" w:sz="12" w:space="0" w:color="808080"/>
              <w:bottom w:val="single" w:sz="12" w:space="0" w:color="808080"/>
              <w:right w:val="single" w:sz="12" w:space="0" w:color="808080"/>
            </w:tcBorders>
            <w:noWrap/>
            <w:vAlign w:val="center"/>
            <w:hideMark/>
          </w:tcPr>
          <w:p w14:paraId="213C578C"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09594061" wp14:editId="40077F7D">
                  <wp:extent cx="1212966" cy="1609051"/>
                  <wp:effectExtent l="0" t="0" r="0" b="0"/>
                  <wp:docPr id="197205752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228508" cy="1629669"/>
                          </a:xfrm>
                          <a:prstGeom prst="rect">
                            <a:avLst/>
                          </a:prstGeom>
                          <a:noFill/>
                        </pic:spPr>
                      </pic:pic>
                    </a:graphicData>
                  </a:graphic>
                </wp:inline>
              </w:drawing>
            </w:r>
          </w:p>
        </w:tc>
        <w:tc>
          <w:tcPr>
            <w:tcW w:w="887" w:type="pct"/>
            <w:gridSpan w:val="2"/>
            <w:tcBorders>
              <w:top w:val="nil"/>
              <w:left w:val="nil"/>
              <w:bottom w:val="single" w:sz="12" w:space="0" w:color="808080"/>
              <w:right w:val="single" w:sz="12" w:space="0" w:color="808080"/>
            </w:tcBorders>
            <w:noWrap/>
            <w:vAlign w:val="center"/>
            <w:hideMark/>
          </w:tcPr>
          <w:p w14:paraId="22F7619D"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7AB2A55D" wp14:editId="327EE183">
                  <wp:extent cx="993775" cy="1486894"/>
                  <wp:effectExtent l="0" t="0" r="0" b="0"/>
                  <wp:docPr id="143049080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20976" t="1" r="22895" b="6448"/>
                          <a:stretch>
                            <a:fillRect/>
                          </a:stretch>
                        </pic:blipFill>
                        <pic:spPr bwMode="auto">
                          <a:xfrm>
                            <a:off x="0" y="0"/>
                            <a:ext cx="993913" cy="14871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 w:type="pct"/>
            <w:gridSpan w:val="2"/>
            <w:tcBorders>
              <w:top w:val="nil"/>
              <w:left w:val="nil"/>
              <w:bottom w:val="single" w:sz="12" w:space="0" w:color="808080"/>
              <w:right w:val="single" w:sz="12" w:space="0" w:color="808080"/>
            </w:tcBorders>
            <w:noWrap/>
            <w:vAlign w:val="center"/>
            <w:hideMark/>
          </w:tcPr>
          <w:p w14:paraId="07689004"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bCs/>
                <w:noProof/>
                <w:color w:val="000000"/>
                <w:sz w:val="18"/>
                <w:szCs w:val="18"/>
                <w:lang w:eastAsia="es-MX"/>
              </w:rPr>
              <w:drawing>
                <wp:inline distT="0" distB="0" distL="0" distR="0" wp14:anchorId="489E3AD4" wp14:editId="7943A17E">
                  <wp:extent cx="952500" cy="778109"/>
                  <wp:effectExtent l="0" t="0" r="0" b="3175"/>
                  <wp:docPr id="193138221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968259" cy="790983"/>
                          </a:xfrm>
                          <a:prstGeom prst="rect">
                            <a:avLst/>
                          </a:prstGeom>
                          <a:noFill/>
                        </pic:spPr>
                      </pic:pic>
                    </a:graphicData>
                  </a:graphic>
                </wp:inline>
              </w:drawing>
            </w:r>
          </w:p>
        </w:tc>
        <w:tc>
          <w:tcPr>
            <w:tcW w:w="1080" w:type="pct"/>
            <w:gridSpan w:val="2"/>
            <w:tcBorders>
              <w:top w:val="nil"/>
              <w:left w:val="nil"/>
              <w:bottom w:val="single" w:sz="12" w:space="0" w:color="808080"/>
              <w:right w:val="single" w:sz="12" w:space="0" w:color="808080"/>
            </w:tcBorders>
            <w:noWrap/>
            <w:vAlign w:val="center"/>
            <w:hideMark/>
          </w:tcPr>
          <w:p w14:paraId="5169A3F9"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241.7</w:t>
            </w:r>
          </w:p>
          <w:p w14:paraId="5CC45BFA"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32974DBE" wp14:editId="718E4C4F">
                  <wp:extent cx="1240403" cy="821459"/>
                  <wp:effectExtent l="0" t="0" r="0" b="0"/>
                  <wp:docPr id="887425945" name="Picture 2" descr="A group of white containers with black text&#10;&#10;AI-generated content may be incorrect.">
                    <a:extLst xmlns:a="http://schemas.openxmlformats.org/drawingml/2006/main">
                      <a:ext uri="{FF2B5EF4-FFF2-40B4-BE49-F238E27FC236}">
                        <a16:creationId xmlns:a16="http://schemas.microsoft.com/office/drawing/2014/main" id="{44F775F3-16A3-8C2A-C0CC-93EDCE338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oup of white containers with black text&#10;&#10;AI-generated content may be incorrect.">
                            <a:extLst>
                              <a:ext uri="{FF2B5EF4-FFF2-40B4-BE49-F238E27FC236}">
                                <a16:creationId xmlns:a16="http://schemas.microsoft.com/office/drawing/2014/main" id="{44F775F3-16A3-8C2A-C0CC-93EDCE338966}"/>
                              </a:ext>
                            </a:extLst>
                          </pic:cNvPr>
                          <pic:cNvPicPr>
                            <a:picLocks noChangeAspect="1"/>
                          </pic:cNvPicPr>
                        </pic:nvPicPr>
                        <pic:blipFill>
                          <a:blip r:embed="rId38"/>
                          <a:srcRect l="12315" t="7225" r="49409" b="54753"/>
                          <a:stretch>
                            <a:fillRect/>
                          </a:stretch>
                        </pic:blipFill>
                        <pic:spPr>
                          <a:xfrm>
                            <a:off x="0" y="0"/>
                            <a:ext cx="1278725" cy="846837"/>
                          </a:xfrm>
                          <a:prstGeom prst="rect">
                            <a:avLst/>
                          </a:prstGeom>
                        </pic:spPr>
                      </pic:pic>
                    </a:graphicData>
                  </a:graphic>
                </wp:inline>
              </w:drawing>
            </w:r>
          </w:p>
        </w:tc>
        <w:tc>
          <w:tcPr>
            <w:tcW w:w="1046" w:type="pct"/>
            <w:tcBorders>
              <w:top w:val="nil"/>
              <w:left w:val="nil"/>
              <w:bottom w:val="single" w:sz="12" w:space="0" w:color="808080"/>
              <w:right w:val="single" w:sz="12" w:space="0" w:color="808080"/>
            </w:tcBorders>
            <w:vAlign w:val="center"/>
            <w:hideMark/>
          </w:tcPr>
          <w:p w14:paraId="74095B76"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7B126E2E" wp14:editId="0D19C1BE">
                  <wp:extent cx="1200647" cy="1056776"/>
                  <wp:effectExtent l="0" t="0" r="0" b="0"/>
                  <wp:docPr id="11" name="Picture 10" descr="A screenshot of a computer&#10;&#10;AI-generated content may be incorrect.">
                    <a:extLst xmlns:a="http://schemas.openxmlformats.org/drawingml/2006/main">
                      <a:ext uri="{FF2B5EF4-FFF2-40B4-BE49-F238E27FC236}">
                        <a16:creationId xmlns:a16="http://schemas.microsoft.com/office/drawing/2014/main" id="{6B88DE65-2AFD-C5DB-92FE-EAC138F8F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10;&#10;AI-generated content may be incorrect.">
                            <a:extLst>
                              <a:ext uri="{FF2B5EF4-FFF2-40B4-BE49-F238E27FC236}">
                                <a16:creationId xmlns:a16="http://schemas.microsoft.com/office/drawing/2014/main" id="{6B88DE65-2AFD-C5DB-92FE-EAC138F8FCC3}"/>
                              </a:ext>
                            </a:extLst>
                          </pic:cNvPr>
                          <pic:cNvPicPr>
                            <a:picLocks noChangeAspect="1"/>
                          </pic:cNvPicPr>
                        </pic:nvPicPr>
                        <pic:blipFill>
                          <a:blip r:embed="rId47"/>
                          <a:srcRect l="68138" t="8966" r="8094" b="59655"/>
                          <a:stretch>
                            <a:fillRect/>
                          </a:stretch>
                        </pic:blipFill>
                        <pic:spPr>
                          <a:xfrm>
                            <a:off x="0" y="0"/>
                            <a:ext cx="1216640" cy="1070852"/>
                          </a:xfrm>
                          <a:prstGeom prst="rect">
                            <a:avLst/>
                          </a:prstGeom>
                        </pic:spPr>
                      </pic:pic>
                    </a:graphicData>
                  </a:graphic>
                </wp:inline>
              </w:drawing>
            </w:r>
          </w:p>
        </w:tc>
      </w:tr>
      <w:tr w:rsidR="00F91404" w:rsidRPr="00F91404" w14:paraId="3C5F4948" w14:textId="77777777" w:rsidTr="00BD1985">
        <w:trPr>
          <w:gridAfter w:val="1"/>
          <w:wAfter w:w="76" w:type="pct"/>
          <w:trHeight w:val="590"/>
          <w:jc w:val="center"/>
        </w:trPr>
        <w:tc>
          <w:tcPr>
            <w:tcW w:w="1277" w:type="pct"/>
            <w:gridSpan w:val="2"/>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698043D6"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Overall Status</w:t>
            </w:r>
          </w:p>
        </w:tc>
        <w:tc>
          <w:tcPr>
            <w:tcW w:w="1076" w:type="pct"/>
            <w:gridSpan w:val="2"/>
            <w:tcBorders>
              <w:top w:val="nil"/>
              <w:left w:val="nil"/>
              <w:bottom w:val="single" w:sz="12" w:space="0" w:color="808080"/>
              <w:right w:val="single" w:sz="12" w:space="0" w:color="808080"/>
            </w:tcBorders>
            <w:shd w:val="clear" w:color="auto" w:fill="004C43" w:themeFill="accent1"/>
            <w:vAlign w:val="center"/>
            <w:hideMark/>
          </w:tcPr>
          <w:p w14:paraId="78B75649"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Strategies</w:t>
            </w:r>
          </w:p>
        </w:tc>
        <w:tc>
          <w:tcPr>
            <w:tcW w:w="1211" w:type="pct"/>
            <w:gridSpan w:val="2"/>
            <w:tcBorders>
              <w:top w:val="nil"/>
              <w:left w:val="nil"/>
              <w:bottom w:val="single" w:sz="12" w:space="0" w:color="808080"/>
              <w:right w:val="single" w:sz="12" w:space="0" w:color="808080"/>
            </w:tcBorders>
            <w:shd w:val="clear" w:color="auto" w:fill="004C43" w:themeFill="accent1"/>
            <w:vAlign w:val="center"/>
            <w:hideMark/>
          </w:tcPr>
          <w:p w14:paraId="2C761DCA"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Road Map </w:t>
            </w:r>
          </w:p>
        </w:tc>
        <w:tc>
          <w:tcPr>
            <w:tcW w:w="1360" w:type="pct"/>
            <w:gridSpan w:val="2"/>
            <w:tcBorders>
              <w:top w:val="nil"/>
              <w:left w:val="nil"/>
              <w:bottom w:val="single" w:sz="12" w:space="0" w:color="808080"/>
              <w:right w:val="single" w:sz="12" w:space="0" w:color="808080"/>
            </w:tcBorders>
            <w:shd w:val="clear" w:color="auto" w:fill="004C43" w:themeFill="accent1"/>
            <w:vAlign w:val="center"/>
            <w:hideMark/>
          </w:tcPr>
          <w:p w14:paraId="4A619E2E"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Implementation &amp; </w:t>
            </w:r>
          </w:p>
          <w:p w14:paraId="1DFE35B6"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Development Plans</w:t>
            </w:r>
          </w:p>
        </w:tc>
      </w:tr>
      <w:tr w:rsidR="00F91404" w:rsidRPr="00F91404" w14:paraId="0679CE8E" w14:textId="77777777" w:rsidTr="00BD1985">
        <w:trPr>
          <w:gridAfter w:val="1"/>
          <w:wAfter w:w="76" w:type="pct"/>
          <w:trHeight w:val="1368"/>
          <w:jc w:val="center"/>
        </w:trPr>
        <w:tc>
          <w:tcPr>
            <w:tcW w:w="1277" w:type="pct"/>
            <w:gridSpan w:val="2"/>
            <w:vMerge w:val="restart"/>
            <w:tcBorders>
              <w:top w:val="single" w:sz="12" w:space="0" w:color="808080"/>
              <w:left w:val="single" w:sz="12" w:space="0" w:color="808080"/>
              <w:bottom w:val="single" w:sz="12" w:space="0" w:color="808080"/>
              <w:right w:val="single" w:sz="12" w:space="0" w:color="808080"/>
            </w:tcBorders>
            <w:vAlign w:val="center"/>
            <w:hideMark/>
          </w:tcPr>
          <w:p w14:paraId="2E8B118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Demand-led hydrogen market focused on energy security and downstream adoption</w:t>
            </w:r>
          </w:p>
          <w:p w14:paraId="282CD8C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framework prioritises affordability and supply-chain readiness, rather than domestic production scale</w:t>
            </w:r>
          </w:p>
          <w:p w14:paraId="5B85884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Relies on imports and international supply chains to enable hydrogen use at scale</w:t>
            </w:r>
          </w:p>
          <w:p w14:paraId="2CCB311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b/>
                <w:bCs/>
                <w:color w:val="000000"/>
                <w:sz w:val="18"/>
                <w:szCs w:val="18"/>
                <w:lang w:eastAsia="es-MX"/>
              </w:rPr>
            </w:pPr>
            <w:r w:rsidRPr="00F91404">
              <w:rPr>
                <w:rFonts w:eastAsia="Times New Roman" w:cstheme="minorHAnsi"/>
                <w:sz w:val="18"/>
                <w:szCs w:val="18"/>
                <w:lang w:eastAsia="es-MX"/>
              </w:rPr>
              <w:t>Designed to make hydrogen a usable commodity for power and industry, even with constrained domestic production</w:t>
            </w:r>
          </w:p>
        </w:tc>
        <w:tc>
          <w:tcPr>
            <w:tcW w:w="1076" w:type="pct"/>
            <w:gridSpan w:val="2"/>
            <w:vMerge w:val="restart"/>
            <w:tcBorders>
              <w:top w:val="nil"/>
              <w:left w:val="single" w:sz="12" w:space="0" w:color="808080"/>
              <w:bottom w:val="single" w:sz="12" w:space="0" w:color="808080"/>
              <w:right w:val="single" w:sz="12" w:space="0" w:color="808080"/>
            </w:tcBorders>
            <w:vAlign w:val="center"/>
            <w:hideMark/>
          </w:tcPr>
          <w:p w14:paraId="0A280D6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Positions hydrogen as a core pillar of energy security and decarbonisation</w:t>
            </w:r>
          </w:p>
          <w:p w14:paraId="3D965F5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Strong focus on downstream use in power generation and industry</w:t>
            </w:r>
          </w:p>
          <w:p w14:paraId="4CD548C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Emphasises development of international hydrogen supply chains, including imports</w:t>
            </w:r>
          </w:p>
          <w:p w14:paraId="2D56CE6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Prioritises demand creation and utilisation over large-scale domestic production</w:t>
            </w:r>
          </w:p>
        </w:tc>
        <w:tc>
          <w:tcPr>
            <w:tcW w:w="1211" w:type="pct"/>
            <w:gridSpan w:val="2"/>
            <w:vMerge w:val="restart"/>
            <w:tcBorders>
              <w:top w:val="nil"/>
              <w:left w:val="single" w:sz="12" w:space="0" w:color="808080"/>
              <w:bottom w:val="single" w:sz="12" w:space="0" w:color="808080"/>
              <w:right w:val="single" w:sz="12" w:space="0" w:color="808080"/>
            </w:tcBorders>
            <w:vAlign w:val="center"/>
            <w:hideMark/>
          </w:tcPr>
          <w:p w14:paraId="7638BE12"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Strategy adoption (2017–2020): Hydrogen Strategy establishes hydrogen as a national priority for energy security</w:t>
            </w:r>
          </w:p>
          <w:p w14:paraId="79E0C06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Demand activation phase (2020–2022): Introduction of price-gap support and supply-chain programmes</w:t>
            </w:r>
          </w:p>
          <w:p w14:paraId="3E41559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Scaling phase (current): Expansion of hydrogen and hydrogen-derived fuels in power and industrial use</w:t>
            </w:r>
          </w:p>
          <w:p w14:paraId="6B7CF0D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Next phase: Growth of import volumes and international supply chains aligned with climate targets</w:t>
            </w:r>
          </w:p>
        </w:tc>
        <w:tc>
          <w:tcPr>
            <w:tcW w:w="1360" w:type="pct"/>
            <w:gridSpan w:val="2"/>
            <w:vMerge w:val="restart"/>
            <w:tcBorders>
              <w:top w:val="nil"/>
              <w:left w:val="single" w:sz="12" w:space="0" w:color="808080"/>
              <w:bottom w:val="single" w:sz="12" w:space="0" w:color="808080"/>
              <w:right w:val="single" w:sz="12" w:space="0" w:color="808080"/>
            </w:tcBorders>
            <w:vAlign w:val="center"/>
            <w:hideMark/>
          </w:tcPr>
          <w:p w14:paraId="333085C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Execution led by METI (Ministry of Economy, Trade and Industry), supported by JOGMEC</w:t>
            </w:r>
          </w:p>
          <w:p w14:paraId="67881D8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Key focus areas:</w:t>
            </w:r>
          </w:p>
          <w:p w14:paraId="6BE254EE"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Import terminals and storage</w:t>
            </w:r>
          </w:p>
          <w:p w14:paraId="64E11CD4"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Supply-chain and logistics infrastructure</w:t>
            </w:r>
          </w:p>
          <w:p w14:paraId="2B1BE049"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End-use infrastructure for power and industry</w:t>
            </w:r>
          </w:p>
          <w:p w14:paraId="6778203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Programmes define eligible project types and implementation timelines across the value chain</w:t>
            </w:r>
          </w:p>
        </w:tc>
      </w:tr>
      <w:tr w:rsidR="00F91404" w:rsidRPr="00F91404" w14:paraId="4099DA56" w14:textId="77777777" w:rsidTr="00BD1985">
        <w:trPr>
          <w:trHeight w:val="4615"/>
          <w:jc w:val="center"/>
        </w:trPr>
        <w:tc>
          <w:tcPr>
            <w:tcW w:w="1277" w:type="pct"/>
            <w:gridSpan w:val="2"/>
            <w:vMerge/>
            <w:tcBorders>
              <w:top w:val="single" w:sz="12" w:space="0" w:color="808080"/>
              <w:left w:val="single" w:sz="12" w:space="0" w:color="808080"/>
              <w:bottom w:val="single" w:sz="12" w:space="0" w:color="808080"/>
              <w:right w:val="single" w:sz="12" w:space="0" w:color="808080"/>
            </w:tcBorders>
            <w:vAlign w:val="center"/>
            <w:hideMark/>
          </w:tcPr>
          <w:p w14:paraId="09F5E3DF" w14:textId="77777777" w:rsidR="00F91404" w:rsidRPr="00F91404" w:rsidRDefault="00F91404" w:rsidP="00BD1985">
            <w:pPr>
              <w:spacing w:after="0"/>
              <w:rPr>
                <w:rFonts w:eastAsia="Times New Roman" w:cstheme="minorHAnsi"/>
                <w:b/>
                <w:bCs/>
                <w:color w:val="000000"/>
                <w:sz w:val="18"/>
                <w:szCs w:val="18"/>
                <w:lang w:eastAsia="es-MX"/>
              </w:rPr>
            </w:pPr>
          </w:p>
        </w:tc>
        <w:tc>
          <w:tcPr>
            <w:tcW w:w="1076" w:type="pct"/>
            <w:gridSpan w:val="2"/>
            <w:vMerge/>
            <w:tcBorders>
              <w:top w:val="nil"/>
              <w:left w:val="single" w:sz="12" w:space="0" w:color="808080"/>
              <w:bottom w:val="single" w:sz="12" w:space="0" w:color="808080"/>
              <w:right w:val="single" w:sz="12" w:space="0" w:color="808080"/>
            </w:tcBorders>
            <w:vAlign w:val="center"/>
            <w:hideMark/>
          </w:tcPr>
          <w:p w14:paraId="3933A406" w14:textId="77777777" w:rsidR="00F91404" w:rsidRPr="00F91404" w:rsidRDefault="00F91404" w:rsidP="00BD1985">
            <w:pPr>
              <w:spacing w:after="0"/>
              <w:rPr>
                <w:rFonts w:eastAsia="Times New Roman" w:cstheme="minorHAnsi"/>
                <w:color w:val="000000"/>
                <w:sz w:val="18"/>
                <w:szCs w:val="18"/>
                <w:lang w:eastAsia="es-MX"/>
              </w:rPr>
            </w:pPr>
          </w:p>
        </w:tc>
        <w:tc>
          <w:tcPr>
            <w:tcW w:w="1211" w:type="pct"/>
            <w:gridSpan w:val="2"/>
            <w:vMerge/>
            <w:tcBorders>
              <w:top w:val="nil"/>
              <w:left w:val="single" w:sz="12" w:space="0" w:color="808080"/>
              <w:bottom w:val="single" w:sz="12" w:space="0" w:color="808080"/>
              <w:right w:val="single" w:sz="12" w:space="0" w:color="808080"/>
            </w:tcBorders>
            <w:vAlign w:val="center"/>
            <w:hideMark/>
          </w:tcPr>
          <w:p w14:paraId="0D2854FF" w14:textId="77777777" w:rsidR="00F91404" w:rsidRPr="00F91404" w:rsidRDefault="00F91404" w:rsidP="00BD1985">
            <w:pPr>
              <w:spacing w:after="0"/>
              <w:rPr>
                <w:rFonts w:eastAsia="Times New Roman" w:cstheme="minorHAnsi"/>
                <w:color w:val="000000"/>
                <w:sz w:val="18"/>
                <w:szCs w:val="18"/>
                <w:lang w:eastAsia="es-MX"/>
              </w:rPr>
            </w:pPr>
          </w:p>
        </w:tc>
        <w:tc>
          <w:tcPr>
            <w:tcW w:w="1360" w:type="pct"/>
            <w:gridSpan w:val="2"/>
            <w:vMerge/>
            <w:tcBorders>
              <w:top w:val="nil"/>
              <w:left w:val="single" w:sz="12" w:space="0" w:color="808080"/>
              <w:bottom w:val="single" w:sz="12" w:space="0" w:color="808080"/>
              <w:right w:val="single" w:sz="12" w:space="0" w:color="808080"/>
            </w:tcBorders>
            <w:vAlign w:val="center"/>
            <w:hideMark/>
          </w:tcPr>
          <w:p w14:paraId="5F5173CE" w14:textId="77777777" w:rsidR="00F91404" w:rsidRPr="00F91404" w:rsidRDefault="00F91404" w:rsidP="00BD1985">
            <w:pPr>
              <w:spacing w:after="0"/>
              <w:rPr>
                <w:rFonts w:eastAsia="Times New Roman" w:cstheme="minorHAnsi"/>
                <w:color w:val="000000"/>
                <w:sz w:val="18"/>
                <w:szCs w:val="18"/>
                <w:lang w:eastAsia="es-MX"/>
              </w:rPr>
            </w:pPr>
          </w:p>
        </w:tc>
        <w:tc>
          <w:tcPr>
            <w:tcW w:w="76" w:type="pct"/>
            <w:tcBorders>
              <w:top w:val="nil"/>
              <w:left w:val="nil"/>
              <w:bottom w:val="nil"/>
              <w:right w:val="nil"/>
            </w:tcBorders>
            <w:noWrap/>
            <w:vAlign w:val="bottom"/>
            <w:hideMark/>
          </w:tcPr>
          <w:p w14:paraId="52D49661" w14:textId="77777777" w:rsidR="00F91404" w:rsidRPr="00F91404" w:rsidRDefault="00F91404" w:rsidP="00BD1985">
            <w:pPr>
              <w:spacing w:after="0"/>
              <w:jc w:val="center"/>
              <w:rPr>
                <w:rFonts w:eastAsia="Times New Roman" w:cstheme="minorHAnsi"/>
                <w:color w:val="000000"/>
                <w:sz w:val="20"/>
                <w:szCs w:val="20"/>
                <w:lang w:eastAsia="es-MX"/>
              </w:rPr>
            </w:pPr>
          </w:p>
        </w:tc>
      </w:tr>
      <w:tr w:rsidR="00F91404" w:rsidRPr="00F91404" w14:paraId="1BAE0EBF"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6959D993"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lastRenderedPageBreak/>
              <w:t>Policies Framework</w:t>
            </w:r>
          </w:p>
        </w:tc>
        <w:tc>
          <w:tcPr>
            <w:tcW w:w="76" w:type="pct"/>
            <w:vAlign w:val="center"/>
            <w:hideMark/>
          </w:tcPr>
          <w:p w14:paraId="36FCCF6B" w14:textId="77777777" w:rsidR="00F91404" w:rsidRPr="00F91404" w:rsidRDefault="00F91404" w:rsidP="00BD1985">
            <w:pPr>
              <w:spacing w:after="0"/>
              <w:rPr>
                <w:rFonts w:eastAsia="Times New Roman" w:cstheme="minorHAnsi"/>
                <w:sz w:val="20"/>
                <w:szCs w:val="20"/>
                <w:lang w:eastAsia="es-MX"/>
              </w:rPr>
            </w:pPr>
          </w:p>
        </w:tc>
      </w:tr>
      <w:tr w:rsidR="00F91404" w:rsidRPr="00F91404" w14:paraId="143C2D5D" w14:textId="77777777" w:rsidTr="00BD1985">
        <w:trPr>
          <w:trHeight w:val="1063"/>
          <w:jc w:val="center"/>
        </w:trPr>
        <w:tc>
          <w:tcPr>
            <w:tcW w:w="105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7F7864D0"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Fiscal &amp; Tax </w:t>
            </w:r>
          </w:p>
          <w:p w14:paraId="48C07EF1"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Incentives</w:t>
            </w:r>
          </w:p>
        </w:tc>
        <w:tc>
          <w:tcPr>
            <w:tcW w:w="3868" w:type="pct"/>
            <w:gridSpan w:val="7"/>
            <w:tcBorders>
              <w:top w:val="single" w:sz="12" w:space="0" w:color="808080"/>
              <w:left w:val="nil"/>
              <w:bottom w:val="single" w:sz="12" w:space="0" w:color="808080"/>
              <w:right w:val="single" w:sz="12" w:space="0" w:color="808080"/>
            </w:tcBorders>
            <w:vAlign w:val="center"/>
            <w:hideMark/>
          </w:tcPr>
          <w:p w14:paraId="1BD2B54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hydrogen-specific tax credits are applied</w:t>
            </w:r>
          </w:p>
          <w:p w14:paraId="7D8204F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Fiscal support plays a limited role relative to other instruments</w:t>
            </w:r>
          </w:p>
          <w:p w14:paraId="00056834" w14:textId="77777777" w:rsidR="00F91404" w:rsidRPr="00F91404" w:rsidRDefault="00F91404" w:rsidP="00BD1985">
            <w:pPr>
              <w:spacing w:after="0"/>
              <w:rPr>
                <w:rFonts w:eastAsia="Times New Roman" w:cstheme="minorHAnsi"/>
                <w:color w:val="000000"/>
                <w:sz w:val="18"/>
                <w:szCs w:val="18"/>
                <w:lang w:eastAsia="es-MX"/>
              </w:rPr>
            </w:pPr>
          </w:p>
        </w:tc>
        <w:tc>
          <w:tcPr>
            <w:tcW w:w="76" w:type="pct"/>
            <w:vAlign w:val="center"/>
            <w:hideMark/>
          </w:tcPr>
          <w:p w14:paraId="6A7B38BA" w14:textId="77777777" w:rsidR="00F91404" w:rsidRPr="00F91404" w:rsidRDefault="00F91404" w:rsidP="00BD1985">
            <w:pPr>
              <w:spacing w:after="0"/>
              <w:rPr>
                <w:rFonts w:eastAsia="Times New Roman" w:cstheme="minorHAnsi"/>
                <w:sz w:val="20"/>
                <w:szCs w:val="20"/>
                <w:lang w:eastAsia="es-MX"/>
              </w:rPr>
            </w:pPr>
          </w:p>
        </w:tc>
      </w:tr>
      <w:tr w:rsidR="00F91404" w:rsidRPr="00F91404" w14:paraId="5BFE6906" w14:textId="77777777" w:rsidTr="00BD1985">
        <w:trPr>
          <w:trHeight w:val="2226"/>
          <w:jc w:val="center"/>
        </w:trPr>
        <w:tc>
          <w:tcPr>
            <w:tcW w:w="105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63A4F870"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Market and revenue support </w:t>
            </w:r>
          </w:p>
          <w:p w14:paraId="4ADBCE9B"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mechanisms</w:t>
            </w:r>
          </w:p>
        </w:tc>
        <w:tc>
          <w:tcPr>
            <w:tcW w:w="3868" w:type="pct"/>
            <w:gridSpan w:val="7"/>
            <w:tcBorders>
              <w:top w:val="single" w:sz="12" w:space="0" w:color="808080"/>
              <w:left w:val="nil"/>
              <w:bottom w:val="single" w:sz="12" w:space="0" w:color="808080"/>
              <w:right w:val="single" w:sz="12" w:space="0" w:color="808080"/>
            </w:tcBorders>
            <w:vAlign w:val="center"/>
            <w:hideMark/>
          </w:tcPr>
          <w:p w14:paraId="6D91FC0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Price-gap support mechanisms are implemented under the Hydrogen Society Promotion Act to bridge the cost difference between low-carbon hydrogen and incumbent fossil fuels</w:t>
            </w:r>
          </w:p>
          <w:p w14:paraId="147F8692"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Support is structured to anchor demand, ensuring that hydrogen can be purchased at prices compatible with power generation and industrial use despite higher production costs</w:t>
            </w:r>
          </w:p>
          <w:p w14:paraId="7B5A4EA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The mechanism functions as a long-term affordability guarantee for buyers, rather than a production subsidy, reducing demand-side risk</w:t>
            </w:r>
          </w:p>
          <w:p w14:paraId="52883EA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By stabilising end-user prices, the framework enables early commercial deployment and utilisation at scale even when domestic production and global supply chains are still maturing</w:t>
            </w:r>
          </w:p>
        </w:tc>
        <w:tc>
          <w:tcPr>
            <w:tcW w:w="76" w:type="pct"/>
            <w:vAlign w:val="center"/>
            <w:hideMark/>
          </w:tcPr>
          <w:p w14:paraId="4FD93CCD" w14:textId="77777777" w:rsidR="00F91404" w:rsidRPr="00F91404" w:rsidRDefault="00F91404" w:rsidP="00BD1985">
            <w:pPr>
              <w:spacing w:after="0"/>
              <w:rPr>
                <w:rFonts w:eastAsia="Times New Roman" w:cstheme="minorHAnsi"/>
                <w:sz w:val="20"/>
                <w:szCs w:val="20"/>
                <w:lang w:eastAsia="es-MX"/>
              </w:rPr>
            </w:pPr>
          </w:p>
        </w:tc>
      </w:tr>
      <w:tr w:rsidR="00F91404" w:rsidRPr="00F91404" w14:paraId="20ACA19B" w14:textId="77777777" w:rsidTr="00BD1985">
        <w:trPr>
          <w:trHeight w:val="2074"/>
          <w:jc w:val="center"/>
        </w:trPr>
        <w:tc>
          <w:tcPr>
            <w:tcW w:w="105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4A10023E"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Direct public </w:t>
            </w:r>
          </w:p>
          <w:p w14:paraId="6332D00D"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funding</w:t>
            </w:r>
          </w:p>
        </w:tc>
        <w:tc>
          <w:tcPr>
            <w:tcW w:w="3868" w:type="pct"/>
            <w:gridSpan w:val="7"/>
            <w:tcBorders>
              <w:top w:val="single" w:sz="12" w:space="0" w:color="808080"/>
              <w:left w:val="nil"/>
              <w:bottom w:val="single" w:sz="12" w:space="0" w:color="808080"/>
              <w:right w:val="single" w:sz="12" w:space="0" w:color="808080"/>
            </w:tcBorders>
            <w:vAlign w:val="center"/>
            <w:hideMark/>
          </w:tcPr>
          <w:p w14:paraId="2F64602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Substantial public funding delivered through METI programmes and JOGMEC</w:t>
            </w:r>
          </w:p>
          <w:p w14:paraId="38C9CBC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Targets:</w:t>
            </w:r>
          </w:p>
          <w:p w14:paraId="309B64B0"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Import terminals and storage</w:t>
            </w:r>
          </w:p>
          <w:p w14:paraId="54729425"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Conversion and utilisation infrastructure</w:t>
            </w:r>
          </w:p>
          <w:p w14:paraId="4AAA31F9"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Supply-chain and demonstration projects</w:t>
            </w:r>
          </w:p>
          <w:p w14:paraId="7E4BF1D3"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Funding focuses on de-risking first deployments, not only hydrogen production assets</w:t>
            </w:r>
          </w:p>
        </w:tc>
        <w:tc>
          <w:tcPr>
            <w:tcW w:w="76" w:type="pct"/>
            <w:vAlign w:val="center"/>
            <w:hideMark/>
          </w:tcPr>
          <w:p w14:paraId="428919B9" w14:textId="77777777" w:rsidR="00F91404" w:rsidRPr="00F91404" w:rsidRDefault="00F91404" w:rsidP="00BD1985">
            <w:pPr>
              <w:spacing w:after="0"/>
              <w:rPr>
                <w:rFonts w:eastAsia="Times New Roman" w:cstheme="minorHAnsi"/>
                <w:sz w:val="20"/>
                <w:szCs w:val="20"/>
                <w:lang w:eastAsia="es-MX"/>
              </w:rPr>
            </w:pPr>
          </w:p>
        </w:tc>
      </w:tr>
      <w:tr w:rsidR="00F91404" w:rsidRPr="00F91404" w14:paraId="0AB19302" w14:textId="77777777" w:rsidTr="00BD1985">
        <w:trPr>
          <w:trHeight w:val="1381"/>
          <w:jc w:val="center"/>
        </w:trPr>
        <w:tc>
          <w:tcPr>
            <w:tcW w:w="105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19C07128"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Standards and </w:t>
            </w:r>
          </w:p>
          <w:p w14:paraId="06C1C7B4"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certification</w:t>
            </w:r>
          </w:p>
        </w:tc>
        <w:tc>
          <w:tcPr>
            <w:tcW w:w="3868" w:type="pct"/>
            <w:gridSpan w:val="7"/>
            <w:tcBorders>
              <w:top w:val="single" w:sz="12" w:space="0" w:color="808080"/>
              <w:left w:val="nil"/>
              <w:bottom w:val="single" w:sz="12" w:space="0" w:color="808080"/>
              <w:right w:val="single" w:sz="12" w:space="0" w:color="808080"/>
            </w:tcBorders>
            <w:vAlign w:val="center"/>
            <w:hideMark/>
          </w:tcPr>
          <w:p w14:paraId="5316F26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Clear safety, handling and regulatory requirements for hydrogen are in place</w:t>
            </w:r>
          </w:p>
          <w:p w14:paraId="325DFAC3"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Formal definitions for low-carbon hydrogen reduce regulatory uncertainty</w:t>
            </w:r>
          </w:p>
          <w:p w14:paraId="5A69DE2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Regulatory clarity supports infrastructure build-out and downstream investment</w:t>
            </w:r>
          </w:p>
        </w:tc>
        <w:tc>
          <w:tcPr>
            <w:tcW w:w="76" w:type="pct"/>
            <w:vAlign w:val="center"/>
            <w:hideMark/>
          </w:tcPr>
          <w:p w14:paraId="2A7CA423" w14:textId="77777777" w:rsidR="00F91404" w:rsidRPr="00F91404" w:rsidRDefault="00F91404" w:rsidP="00BD1985">
            <w:pPr>
              <w:spacing w:after="0"/>
              <w:rPr>
                <w:rFonts w:eastAsia="Times New Roman" w:cstheme="minorHAnsi"/>
                <w:sz w:val="20"/>
                <w:szCs w:val="20"/>
                <w:lang w:eastAsia="es-MX"/>
              </w:rPr>
            </w:pPr>
          </w:p>
        </w:tc>
      </w:tr>
      <w:tr w:rsidR="00F91404" w:rsidRPr="00F91404" w14:paraId="4D0000BE" w14:textId="77777777" w:rsidTr="00BD1985">
        <w:trPr>
          <w:trHeight w:val="1373"/>
          <w:jc w:val="center"/>
        </w:trPr>
        <w:tc>
          <w:tcPr>
            <w:tcW w:w="105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5961615B"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Infrastructure-</w:t>
            </w:r>
          </w:p>
          <w:p w14:paraId="07E0D1A7"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enabling policies</w:t>
            </w:r>
          </w:p>
        </w:tc>
        <w:tc>
          <w:tcPr>
            <w:tcW w:w="3868" w:type="pct"/>
            <w:gridSpan w:val="7"/>
            <w:tcBorders>
              <w:top w:val="single" w:sz="12" w:space="0" w:color="808080"/>
              <w:left w:val="nil"/>
              <w:bottom w:val="single" w:sz="12" w:space="0" w:color="808080"/>
              <w:right w:val="single" w:sz="12" w:space="0" w:color="808080"/>
            </w:tcBorders>
            <w:vAlign w:val="center"/>
            <w:hideMark/>
          </w:tcPr>
          <w:p w14:paraId="56D7B53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Infrastructure policy prioritises import terminals, storage and logistics</w:t>
            </w:r>
          </w:p>
          <w:p w14:paraId="2C506FC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Focus on delivering hydrogen reliably to power and industrial sites</w:t>
            </w:r>
          </w:p>
          <w:p w14:paraId="24DDDD5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National pipeline backbone is not a near-term priority; emphasis is on availability and usability at scale</w:t>
            </w:r>
          </w:p>
          <w:p w14:paraId="6E824D71" w14:textId="77777777" w:rsidR="00F91404" w:rsidRPr="00F91404" w:rsidRDefault="00F91404" w:rsidP="00BD1985">
            <w:pPr>
              <w:spacing w:after="0"/>
              <w:rPr>
                <w:rFonts w:eastAsia="Times New Roman" w:cstheme="minorHAnsi"/>
                <w:color w:val="000000"/>
                <w:sz w:val="18"/>
                <w:szCs w:val="18"/>
                <w:lang w:eastAsia="es-MX"/>
              </w:rPr>
            </w:pPr>
          </w:p>
        </w:tc>
        <w:tc>
          <w:tcPr>
            <w:tcW w:w="76" w:type="pct"/>
            <w:vAlign w:val="center"/>
            <w:hideMark/>
          </w:tcPr>
          <w:p w14:paraId="17E1D047" w14:textId="77777777" w:rsidR="00F91404" w:rsidRPr="00F91404" w:rsidRDefault="00F91404" w:rsidP="00BD1985">
            <w:pPr>
              <w:spacing w:after="0"/>
              <w:rPr>
                <w:rFonts w:eastAsia="Times New Roman" w:cstheme="minorHAnsi"/>
                <w:sz w:val="20"/>
                <w:szCs w:val="20"/>
                <w:lang w:eastAsia="es-MX"/>
              </w:rPr>
            </w:pPr>
          </w:p>
        </w:tc>
      </w:tr>
      <w:tr w:rsidR="00F91404" w:rsidRPr="00F91404" w14:paraId="7F142CE3"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142967C5"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Sectoral focus / Priority sectors</w:t>
            </w:r>
          </w:p>
        </w:tc>
        <w:tc>
          <w:tcPr>
            <w:tcW w:w="76" w:type="pct"/>
            <w:vAlign w:val="center"/>
          </w:tcPr>
          <w:p w14:paraId="137EB5E1" w14:textId="77777777" w:rsidR="00F91404" w:rsidRPr="00F91404" w:rsidRDefault="00F91404" w:rsidP="00BD1985">
            <w:pPr>
              <w:spacing w:after="0"/>
              <w:rPr>
                <w:rFonts w:eastAsia="Times New Roman" w:cstheme="minorHAnsi"/>
                <w:sz w:val="20"/>
                <w:szCs w:val="20"/>
                <w:lang w:eastAsia="es-MX"/>
              </w:rPr>
            </w:pPr>
          </w:p>
        </w:tc>
      </w:tr>
      <w:tr w:rsidR="00F91404" w:rsidRPr="00F91404" w14:paraId="3723C25F" w14:textId="77777777" w:rsidTr="00BD1985">
        <w:trPr>
          <w:trHeight w:val="866"/>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440AEA7D" w14:textId="77777777" w:rsidR="00F91404" w:rsidRPr="00F91404" w:rsidRDefault="00F91404" w:rsidP="00BD1985">
            <w:pPr>
              <w:spacing w:after="0"/>
              <w:rPr>
                <w:rFonts w:eastAsia="Times New Roman" w:cstheme="minorHAnsi"/>
                <w:color w:val="FFFFFF"/>
                <w:sz w:val="18"/>
                <w:szCs w:val="18"/>
                <w:lang w:eastAsia="es-MX"/>
              </w:rPr>
            </w:pPr>
            <w:r w:rsidRPr="00F91404">
              <w:rPr>
                <w:rFonts w:eastAsia="Times New Roman" w:cstheme="minorHAnsi"/>
                <w:sz w:val="18"/>
                <w:szCs w:val="18"/>
                <w:lang w:eastAsia="es-MX"/>
              </w:rPr>
              <w:t>Hydrogen demand is driven mainly by power generation and mobility, using hydrogen and ammonia as low-carbon fuels. The focus is on imported hydrogen and derivatives, supporting fuel switching in power plants, transport equipment and downstream industrial uses rather than domestic production scale.</w:t>
            </w:r>
          </w:p>
        </w:tc>
        <w:tc>
          <w:tcPr>
            <w:tcW w:w="76" w:type="pct"/>
            <w:vAlign w:val="center"/>
          </w:tcPr>
          <w:p w14:paraId="71D29825" w14:textId="77777777" w:rsidR="00F91404" w:rsidRPr="00F91404" w:rsidRDefault="00F91404" w:rsidP="00BD1985">
            <w:pPr>
              <w:spacing w:after="0"/>
              <w:rPr>
                <w:rFonts w:eastAsia="Times New Roman" w:cstheme="minorHAnsi"/>
                <w:sz w:val="20"/>
                <w:szCs w:val="20"/>
                <w:lang w:eastAsia="es-MX"/>
              </w:rPr>
            </w:pPr>
          </w:p>
        </w:tc>
      </w:tr>
      <w:tr w:rsidR="00F91404" w:rsidRPr="00F91404" w14:paraId="7C33764E" w14:textId="77777777" w:rsidTr="00BD1985">
        <w:trPr>
          <w:trHeight w:val="38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1E484F5"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Renewable Energy Context</w:t>
            </w:r>
          </w:p>
        </w:tc>
        <w:tc>
          <w:tcPr>
            <w:tcW w:w="76" w:type="pct"/>
            <w:vAlign w:val="center"/>
          </w:tcPr>
          <w:p w14:paraId="66CDB206" w14:textId="77777777" w:rsidR="00F91404" w:rsidRPr="00F91404" w:rsidRDefault="00F91404" w:rsidP="00BD1985">
            <w:pPr>
              <w:spacing w:after="0"/>
              <w:rPr>
                <w:rFonts w:eastAsia="Times New Roman" w:cstheme="minorHAnsi"/>
                <w:sz w:val="20"/>
                <w:szCs w:val="20"/>
                <w:lang w:eastAsia="es-MX"/>
              </w:rPr>
            </w:pPr>
          </w:p>
        </w:tc>
      </w:tr>
      <w:tr w:rsidR="00F91404" w:rsidRPr="00F91404" w14:paraId="575244B2" w14:textId="77777777" w:rsidTr="00BD1985">
        <w:trPr>
          <w:trHeight w:val="2228"/>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D4E7E47"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Japan has expanded renewable electricity capacity steadily over the past decade, primarily through solar PV deployment, complemented by wind, hydro and biomass. Installed renewable capacity exceeds 120 GW, with renewables representing an increasing share of the national electricity mix, although fossil fuels and imported LNG remain significant components of the system.</w:t>
            </w:r>
          </w:p>
          <w:p w14:paraId="274F5205"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National energy policy targets further expansion of renewables toward 2030 as part of Japan’s carbon neutrality objective for 2050. However, land constraints and grid limitations moderate the pace of domestic renewable expansion. As a result, renewable growth supports hydrogen deployment, but Japan’s strategy remains structurally reliant on international supply chains for large-scale hydrogen imports.</w:t>
            </w:r>
          </w:p>
          <w:p w14:paraId="290A56B2" w14:textId="77777777" w:rsidR="00F91404" w:rsidRPr="00F91404" w:rsidRDefault="00F91404" w:rsidP="00BD1985">
            <w:pPr>
              <w:spacing w:after="0"/>
              <w:jc w:val="center"/>
              <w:rPr>
                <w:rFonts w:eastAsia="Times New Roman" w:cstheme="minorHAnsi"/>
                <w:sz w:val="18"/>
                <w:szCs w:val="18"/>
                <w:lang w:eastAsia="es-MX"/>
              </w:rPr>
            </w:pPr>
          </w:p>
        </w:tc>
        <w:tc>
          <w:tcPr>
            <w:tcW w:w="76" w:type="pct"/>
            <w:vAlign w:val="center"/>
          </w:tcPr>
          <w:p w14:paraId="0CACAC14" w14:textId="77777777" w:rsidR="00F91404" w:rsidRPr="00F91404" w:rsidRDefault="00F91404" w:rsidP="00BD1985">
            <w:pPr>
              <w:spacing w:after="0"/>
              <w:rPr>
                <w:rFonts w:eastAsia="Times New Roman" w:cstheme="minorHAnsi"/>
                <w:sz w:val="20"/>
                <w:szCs w:val="20"/>
                <w:lang w:eastAsia="es-MX"/>
              </w:rPr>
            </w:pPr>
          </w:p>
        </w:tc>
      </w:tr>
      <w:tr w:rsidR="00F91404" w:rsidRPr="00F91404" w14:paraId="743E60B8" w14:textId="77777777" w:rsidTr="00BD1985">
        <w:trPr>
          <w:trHeight w:val="381"/>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0A223ACE"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c>
          <w:tcPr>
            <w:tcW w:w="76" w:type="pct"/>
            <w:vAlign w:val="center"/>
          </w:tcPr>
          <w:p w14:paraId="5E36B804" w14:textId="77777777" w:rsidR="00F91404" w:rsidRPr="00F91404" w:rsidRDefault="00F91404" w:rsidP="00BD1985">
            <w:pPr>
              <w:spacing w:after="0"/>
              <w:rPr>
                <w:rFonts w:eastAsia="Times New Roman" w:cstheme="minorHAnsi"/>
                <w:sz w:val="20"/>
                <w:szCs w:val="20"/>
                <w:lang w:eastAsia="es-MX"/>
              </w:rPr>
            </w:pPr>
          </w:p>
        </w:tc>
      </w:tr>
      <w:tr w:rsidR="00F91404" w:rsidRPr="00F91404" w14:paraId="1FDCCF83" w14:textId="77777777" w:rsidTr="00BD1985">
        <w:trPr>
          <w:trHeight w:val="3506"/>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181168EF"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Japan applies a demand-led and import-oriented hydrogen value chain model:</w:t>
            </w:r>
          </w:p>
          <w:p w14:paraId="6EF3567D"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Production:</w:t>
            </w:r>
            <w:r w:rsidRPr="00F91404">
              <w:rPr>
                <w:rFonts w:eastAsia="Times New Roman" w:cstheme="minorHAnsi"/>
                <w:sz w:val="18"/>
                <w:szCs w:val="18"/>
                <w:lang w:eastAsia="es-MX"/>
              </w:rPr>
              <w:br/>
              <w:t>Limited domestic electrolysis projects linked to renewables, complemented by large-scale imports of hydrogen and hydrogen derivatives (notably ammonia and liquefied hydrogen) from international partners.</w:t>
            </w:r>
          </w:p>
          <w:p w14:paraId="0849E60F"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Storage:</w:t>
            </w:r>
            <w:r w:rsidRPr="00F91404">
              <w:rPr>
                <w:rFonts w:eastAsia="Times New Roman" w:cstheme="minorHAnsi"/>
                <w:sz w:val="18"/>
                <w:szCs w:val="18"/>
                <w:lang w:eastAsia="es-MX"/>
              </w:rPr>
              <w:br/>
              <w:t>Development of dedicated storage facilities and import terminal infrastructure to manage liquefied hydrogen and ammonia supply chains.</w:t>
            </w:r>
          </w:p>
          <w:p w14:paraId="160B8F9D"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Transport / Distribution:</w:t>
            </w:r>
            <w:r w:rsidRPr="00F91404">
              <w:rPr>
                <w:rFonts w:eastAsia="Times New Roman" w:cstheme="minorHAnsi"/>
                <w:sz w:val="18"/>
                <w:szCs w:val="18"/>
                <w:lang w:eastAsia="es-MX"/>
              </w:rPr>
              <w:br/>
              <w:t>Infrastructure focused on port-based logistics, shipping routes and downstream distribution to power plants and industrial facilities, rather than a national hydrogen pipeline backbone.</w:t>
            </w:r>
          </w:p>
          <w:p w14:paraId="54913C6C"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Applications:</w:t>
            </w:r>
            <w:r w:rsidRPr="00F91404">
              <w:rPr>
                <w:rFonts w:eastAsia="Times New Roman" w:cstheme="minorHAnsi"/>
                <w:sz w:val="18"/>
                <w:szCs w:val="18"/>
                <w:lang w:eastAsia="es-MX"/>
              </w:rPr>
              <w:br/>
              <w:t>Primary applications in power generation (including ammonia co-firing), mobility (fuel cell vehicles) and selected industrial uses, reflecting a downstream utilisation-focused strategy.</w:t>
            </w:r>
          </w:p>
          <w:p w14:paraId="62C7D286" w14:textId="77777777" w:rsidR="00F91404" w:rsidRPr="00F91404" w:rsidRDefault="00F91404" w:rsidP="00BD1985">
            <w:pPr>
              <w:spacing w:after="0" w:line="276" w:lineRule="auto"/>
              <w:rPr>
                <w:rFonts w:eastAsia="Times New Roman" w:cstheme="minorHAnsi"/>
                <w:sz w:val="18"/>
                <w:szCs w:val="18"/>
                <w:lang w:eastAsia="es-MX"/>
              </w:rPr>
            </w:pPr>
          </w:p>
        </w:tc>
        <w:tc>
          <w:tcPr>
            <w:tcW w:w="76" w:type="pct"/>
            <w:vAlign w:val="center"/>
          </w:tcPr>
          <w:p w14:paraId="26E44FF9" w14:textId="77777777" w:rsidR="00F91404" w:rsidRPr="00F91404" w:rsidRDefault="00F91404" w:rsidP="00BD1985">
            <w:pPr>
              <w:spacing w:after="0"/>
              <w:rPr>
                <w:rFonts w:eastAsia="Times New Roman" w:cstheme="minorHAnsi"/>
                <w:sz w:val="20"/>
                <w:szCs w:val="20"/>
                <w:lang w:eastAsia="es-MX"/>
              </w:rPr>
            </w:pPr>
          </w:p>
        </w:tc>
      </w:tr>
      <w:tr w:rsidR="00F91404" w:rsidRPr="00F91404" w14:paraId="192B48DA" w14:textId="77777777" w:rsidTr="00BD1985">
        <w:trPr>
          <w:trHeight w:val="384"/>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5119613"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Strategic Stage &amp; Objective</w:t>
            </w:r>
          </w:p>
        </w:tc>
        <w:tc>
          <w:tcPr>
            <w:tcW w:w="76" w:type="pct"/>
            <w:vAlign w:val="center"/>
          </w:tcPr>
          <w:p w14:paraId="3EB74DAA" w14:textId="77777777" w:rsidR="00F91404" w:rsidRPr="00F91404" w:rsidRDefault="00F91404" w:rsidP="00BD1985">
            <w:pPr>
              <w:spacing w:after="0"/>
              <w:rPr>
                <w:rFonts w:eastAsia="Times New Roman" w:cstheme="minorHAnsi"/>
                <w:sz w:val="20"/>
                <w:szCs w:val="20"/>
                <w:lang w:eastAsia="es-MX"/>
              </w:rPr>
            </w:pPr>
          </w:p>
        </w:tc>
      </w:tr>
      <w:tr w:rsidR="00F91404" w:rsidRPr="00F91404" w14:paraId="7CB94B76" w14:textId="77777777" w:rsidTr="00BD1985">
        <w:trPr>
          <w:trHeight w:val="2782"/>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2C96A1B9"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Current Stage:</w:t>
            </w:r>
            <w:r w:rsidRPr="00F91404">
              <w:rPr>
                <w:rFonts w:eastAsia="Times New Roman" w:cstheme="minorHAnsi"/>
                <w:sz w:val="18"/>
                <w:szCs w:val="18"/>
                <w:lang w:eastAsia="es-MX"/>
              </w:rPr>
              <w:t xml:space="preserve"> Demand-led scaling with international supply-chain integration.</w:t>
            </w:r>
          </w:p>
          <w:p w14:paraId="29C6F779"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Overall Objective:</w:t>
            </w:r>
            <w:r w:rsidRPr="00F91404">
              <w:rPr>
                <w:rFonts w:eastAsia="Times New Roman" w:cstheme="minorHAnsi"/>
                <w:sz w:val="18"/>
                <w:szCs w:val="18"/>
                <w:lang w:eastAsia="es-MX"/>
              </w:rPr>
              <w:br/>
              <w:t>Strengthen energy security and advance decarbonisation by establishing hydrogen as a strategic energy carrier, with emphasis on affordability, stable imports and large-scale downstream adoption.</w:t>
            </w:r>
          </w:p>
          <w:p w14:paraId="51109873"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Strategy implementation has evolved from early technology demonstration toward structured demand activation, price-gap support mechanisms and international cooperation agreements to secure long-term supply.</w:t>
            </w:r>
          </w:p>
          <w:p w14:paraId="04B5562A" w14:textId="77777777" w:rsidR="00F91404" w:rsidRPr="00F91404" w:rsidRDefault="00F91404" w:rsidP="00BD1985">
            <w:pPr>
              <w:spacing w:after="0"/>
              <w:rPr>
                <w:rFonts w:eastAsia="Times New Roman" w:cstheme="minorHAnsi"/>
                <w:sz w:val="18"/>
                <w:szCs w:val="18"/>
                <w:lang w:eastAsia="es-MX"/>
              </w:rPr>
            </w:pPr>
          </w:p>
        </w:tc>
        <w:tc>
          <w:tcPr>
            <w:tcW w:w="76" w:type="pct"/>
            <w:vAlign w:val="center"/>
          </w:tcPr>
          <w:p w14:paraId="3BB72954" w14:textId="77777777" w:rsidR="00F91404" w:rsidRPr="00F91404" w:rsidRDefault="00F91404" w:rsidP="00BD1985">
            <w:pPr>
              <w:spacing w:after="0"/>
              <w:rPr>
                <w:rFonts w:eastAsia="Times New Roman" w:cstheme="minorHAnsi"/>
                <w:sz w:val="20"/>
                <w:szCs w:val="20"/>
                <w:lang w:eastAsia="es-MX"/>
              </w:rPr>
            </w:pPr>
          </w:p>
        </w:tc>
      </w:tr>
      <w:tr w:rsidR="00F91404" w:rsidRPr="00F91404" w14:paraId="7B28636D" w14:textId="77777777" w:rsidTr="00BD1985">
        <w:trPr>
          <w:trHeight w:val="318"/>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6B90E6CD"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Key Stakeholders</w:t>
            </w:r>
          </w:p>
        </w:tc>
        <w:tc>
          <w:tcPr>
            <w:tcW w:w="76" w:type="pct"/>
            <w:vAlign w:val="center"/>
          </w:tcPr>
          <w:p w14:paraId="30F326E8" w14:textId="77777777" w:rsidR="00F91404" w:rsidRPr="00F91404" w:rsidRDefault="00F91404" w:rsidP="00BD1985">
            <w:pPr>
              <w:spacing w:after="0"/>
              <w:rPr>
                <w:rFonts w:eastAsia="Times New Roman" w:cstheme="minorHAnsi"/>
                <w:sz w:val="20"/>
                <w:szCs w:val="20"/>
                <w:lang w:eastAsia="es-MX"/>
              </w:rPr>
            </w:pPr>
          </w:p>
        </w:tc>
      </w:tr>
      <w:tr w:rsidR="00F91404" w:rsidRPr="00F91404" w14:paraId="1E15B36D" w14:textId="77777777" w:rsidTr="00BD1985">
        <w:trPr>
          <w:trHeight w:val="3283"/>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77B41EF"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Hydrogen governance and implementation are highly centralised and coordinated:</w:t>
            </w:r>
          </w:p>
          <w:p w14:paraId="2E9D590C" w14:textId="77777777" w:rsidR="00F91404" w:rsidRPr="00F91404" w:rsidRDefault="00F91404" w:rsidP="00BD1985">
            <w:pPr>
              <w:numPr>
                <w:ilvl w:val="0"/>
                <w:numId w:val="48"/>
              </w:numPr>
              <w:spacing w:after="0"/>
              <w:rPr>
                <w:rFonts w:eastAsia="Times New Roman" w:cstheme="minorHAnsi"/>
                <w:sz w:val="18"/>
                <w:szCs w:val="18"/>
                <w:lang w:eastAsia="es-MX"/>
              </w:rPr>
            </w:pPr>
            <w:r w:rsidRPr="00F91404">
              <w:rPr>
                <w:rFonts w:eastAsia="Times New Roman" w:cstheme="minorHAnsi"/>
                <w:sz w:val="18"/>
                <w:szCs w:val="18"/>
                <w:lang w:eastAsia="es-MX"/>
              </w:rPr>
              <w:t>Ministry of Economy, Trade and Industry (METI) – strategic leadership and policy design</w:t>
            </w:r>
          </w:p>
          <w:p w14:paraId="656DF86D" w14:textId="77777777" w:rsidR="00F91404" w:rsidRPr="00F91404" w:rsidRDefault="00F91404" w:rsidP="00BD1985">
            <w:pPr>
              <w:numPr>
                <w:ilvl w:val="0"/>
                <w:numId w:val="48"/>
              </w:numPr>
              <w:spacing w:after="0"/>
              <w:rPr>
                <w:rFonts w:eastAsia="Times New Roman" w:cstheme="minorHAnsi"/>
                <w:sz w:val="18"/>
                <w:szCs w:val="18"/>
                <w:lang w:eastAsia="es-MX"/>
              </w:rPr>
            </w:pPr>
            <w:r w:rsidRPr="00F91404">
              <w:rPr>
                <w:rFonts w:eastAsia="Times New Roman" w:cstheme="minorHAnsi"/>
                <w:sz w:val="18"/>
                <w:szCs w:val="18"/>
                <w:lang w:eastAsia="es-MX"/>
              </w:rPr>
              <w:t>Japan Oil, Gas and Metals National Corporation (JOGMEC) – financing and international supply-chain support</w:t>
            </w:r>
          </w:p>
          <w:p w14:paraId="46E049FC" w14:textId="77777777" w:rsidR="00F91404" w:rsidRPr="00F91404" w:rsidRDefault="00F91404" w:rsidP="00BD1985">
            <w:pPr>
              <w:numPr>
                <w:ilvl w:val="0"/>
                <w:numId w:val="48"/>
              </w:numPr>
              <w:spacing w:after="0"/>
              <w:rPr>
                <w:rFonts w:eastAsia="Times New Roman" w:cstheme="minorHAnsi"/>
                <w:sz w:val="18"/>
                <w:szCs w:val="18"/>
                <w:lang w:eastAsia="es-MX"/>
              </w:rPr>
            </w:pPr>
            <w:r w:rsidRPr="00F91404">
              <w:rPr>
                <w:rFonts w:eastAsia="Times New Roman" w:cstheme="minorHAnsi"/>
                <w:sz w:val="18"/>
                <w:szCs w:val="18"/>
                <w:lang w:eastAsia="es-MX"/>
              </w:rPr>
              <w:t>Ministry of Land, Infrastructure, Transport and Tourism (MLIT) – port and logistics infrastructure</w:t>
            </w:r>
          </w:p>
          <w:p w14:paraId="258320F7" w14:textId="77777777" w:rsidR="00F91404" w:rsidRPr="00F91404" w:rsidRDefault="00F91404" w:rsidP="00BD1985">
            <w:pPr>
              <w:numPr>
                <w:ilvl w:val="0"/>
                <w:numId w:val="48"/>
              </w:numPr>
              <w:spacing w:after="0"/>
              <w:rPr>
                <w:rFonts w:eastAsia="Times New Roman" w:cstheme="minorHAnsi"/>
                <w:sz w:val="18"/>
                <w:szCs w:val="18"/>
                <w:lang w:eastAsia="es-MX"/>
              </w:rPr>
            </w:pPr>
            <w:r w:rsidRPr="00F91404">
              <w:rPr>
                <w:rFonts w:eastAsia="Times New Roman" w:cstheme="minorHAnsi"/>
                <w:sz w:val="18"/>
                <w:szCs w:val="18"/>
                <w:lang w:eastAsia="es-MX"/>
              </w:rPr>
              <w:t>Major utilities and power generators</w:t>
            </w:r>
          </w:p>
          <w:p w14:paraId="32946418" w14:textId="77777777" w:rsidR="00F91404" w:rsidRPr="00F91404" w:rsidRDefault="00F91404" w:rsidP="00BD1985">
            <w:pPr>
              <w:numPr>
                <w:ilvl w:val="0"/>
                <w:numId w:val="48"/>
              </w:numPr>
              <w:spacing w:after="0"/>
              <w:rPr>
                <w:rFonts w:eastAsia="Times New Roman" w:cstheme="minorHAnsi"/>
                <w:sz w:val="18"/>
                <w:szCs w:val="18"/>
                <w:lang w:eastAsia="es-MX"/>
              </w:rPr>
            </w:pPr>
            <w:r w:rsidRPr="00F91404">
              <w:rPr>
                <w:rFonts w:eastAsia="Times New Roman" w:cstheme="minorHAnsi"/>
                <w:sz w:val="18"/>
                <w:szCs w:val="18"/>
                <w:lang w:eastAsia="es-MX"/>
              </w:rPr>
              <w:t>Industrial conglomerates and technology manufacturers</w:t>
            </w:r>
          </w:p>
          <w:p w14:paraId="01D0C7B0" w14:textId="77777777" w:rsidR="00F91404" w:rsidRPr="00F91404" w:rsidRDefault="00F91404" w:rsidP="00BD1985">
            <w:pPr>
              <w:numPr>
                <w:ilvl w:val="0"/>
                <w:numId w:val="48"/>
              </w:numPr>
              <w:spacing w:after="0"/>
              <w:rPr>
                <w:rFonts w:eastAsia="Times New Roman" w:cstheme="minorHAnsi"/>
                <w:sz w:val="18"/>
                <w:szCs w:val="18"/>
                <w:lang w:eastAsia="es-MX"/>
              </w:rPr>
            </w:pPr>
            <w:r w:rsidRPr="00F91404">
              <w:rPr>
                <w:rFonts w:eastAsia="Times New Roman" w:cstheme="minorHAnsi"/>
                <w:sz w:val="18"/>
                <w:szCs w:val="18"/>
                <w:lang w:eastAsia="es-MX"/>
              </w:rPr>
              <w:t>Financial institutions supporting infrastructure investment</w:t>
            </w:r>
          </w:p>
          <w:p w14:paraId="41894BAE" w14:textId="77777777" w:rsidR="00F91404" w:rsidRPr="00F91404" w:rsidRDefault="00F91404" w:rsidP="00BD1985">
            <w:pPr>
              <w:numPr>
                <w:ilvl w:val="0"/>
                <w:numId w:val="48"/>
              </w:numPr>
              <w:spacing w:after="0"/>
              <w:rPr>
                <w:rFonts w:eastAsia="Times New Roman" w:cstheme="minorHAnsi"/>
                <w:sz w:val="18"/>
                <w:szCs w:val="18"/>
                <w:lang w:eastAsia="es-MX"/>
              </w:rPr>
            </w:pPr>
            <w:r w:rsidRPr="00F91404">
              <w:rPr>
                <w:rFonts w:eastAsia="Times New Roman" w:cstheme="minorHAnsi"/>
                <w:sz w:val="18"/>
                <w:szCs w:val="18"/>
                <w:lang w:eastAsia="es-MX"/>
              </w:rPr>
              <w:t>International bilateral partners (e.g., Australia, Middle East suppliers)</w:t>
            </w:r>
          </w:p>
          <w:p w14:paraId="4B293A83"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Stakeholder engagement is structured through government-led industry platforms and formalised international partnerships.</w:t>
            </w:r>
          </w:p>
          <w:p w14:paraId="07B69E71" w14:textId="77777777" w:rsidR="00F91404" w:rsidRPr="00F91404" w:rsidRDefault="00F91404" w:rsidP="00BD1985">
            <w:pPr>
              <w:spacing w:after="0"/>
              <w:rPr>
                <w:rFonts w:eastAsia="Times New Roman" w:cstheme="minorHAnsi"/>
                <w:sz w:val="18"/>
                <w:szCs w:val="18"/>
                <w:lang w:eastAsia="es-MX"/>
              </w:rPr>
            </w:pPr>
          </w:p>
        </w:tc>
        <w:tc>
          <w:tcPr>
            <w:tcW w:w="76" w:type="pct"/>
            <w:vAlign w:val="center"/>
          </w:tcPr>
          <w:p w14:paraId="03E90948" w14:textId="77777777" w:rsidR="00F91404" w:rsidRPr="00F91404" w:rsidRDefault="00F91404" w:rsidP="00BD1985">
            <w:pPr>
              <w:spacing w:after="0"/>
              <w:rPr>
                <w:rFonts w:eastAsia="Times New Roman" w:cstheme="minorHAnsi"/>
                <w:sz w:val="20"/>
                <w:szCs w:val="20"/>
                <w:lang w:eastAsia="es-MX"/>
              </w:rPr>
            </w:pPr>
          </w:p>
        </w:tc>
      </w:tr>
      <w:tr w:rsidR="00F91404" w:rsidRPr="00F91404" w14:paraId="52AAFF9A" w14:textId="77777777" w:rsidTr="00BD1985">
        <w:trPr>
          <w:trHeight w:val="36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41910CC7"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b/>
                <w:color w:val="FFFFFF"/>
                <w:sz w:val="18"/>
                <w:szCs w:val="18"/>
                <w:shd w:val="clear" w:color="auto" w:fill="004C43" w:themeFill="accent1"/>
                <w:lang w:eastAsia="es-MX"/>
              </w:rPr>
              <w:t>Impact on project development</w:t>
            </w:r>
            <w:r w:rsidRPr="00F91404">
              <w:rPr>
                <w:rFonts w:eastAsia="Times New Roman" w:cstheme="minorHAnsi"/>
                <w:b/>
                <w:color w:val="FFFFFF"/>
                <w:sz w:val="18"/>
                <w:szCs w:val="18"/>
                <w:lang w:eastAsia="es-MX"/>
              </w:rPr>
              <w:t>:</w:t>
            </w:r>
          </w:p>
        </w:tc>
        <w:tc>
          <w:tcPr>
            <w:tcW w:w="76" w:type="pct"/>
            <w:vAlign w:val="center"/>
          </w:tcPr>
          <w:p w14:paraId="74A40043" w14:textId="77777777" w:rsidR="00F91404" w:rsidRPr="00F91404" w:rsidRDefault="00F91404" w:rsidP="00BD1985">
            <w:pPr>
              <w:spacing w:after="0"/>
              <w:rPr>
                <w:rFonts w:eastAsia="Times New Roman" w:cstheme="minorHAnsi"/>
                <w:sz w:val="20"/>
                <w:szCs w:val="20"/>
                <w:lang w:eastAsia="es-MX"/>
              </w:rPr>
            </w:pPr>
          </w:p>
        </w:tc>
      </w:tr>
      <w:tr w:rsidR="00F91404" w:rsidRPr="00F91404" w14:paraId="21E94C49" w14:textId="77777777" w:rsidTr="00BD1985">
        <w:trPr>
          <w:trHeight w:val="866"/>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051C9B21" w14:textId="77777777" w:rsidR="00F91404" w:rsidRPr="00F91404" w:rsidRDefault="00F91404" w:rsidP="00BD1985">
            <w:pPr>
              <w:pStyle w:val="ListParagraph"/>
              <w:numPr>
                <w:ilvl w:val="0"/>
                <w:numId w:val="33"/>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Price-gap support</w:t>
            </w:r>
            <w:r w:rsidRPr="00F91404">
              <w:rPr>
                <w:rFonts w:eastAsia="Times New Roman" w:cstheme="minorHAnsi"/>
                <w:sz w:val="18"/>
                <w:szCs w:val="18"/>
                <w:lang w:eastAsia="es-MX"/>
              </w:rPr>
              <w:t xml:space="preserve"> has improved affordability for end-users in power and industry</w:t>
            </w:r>
          </w:p>
          <w:p w14:paraId="3577EED8" w14:textId="77777777" w:rsidR="00F91404" w:rsidRPr="00F91404" w:rsidRDefault="00F91404" w:rsidP="00BD1985">
            <w:pPr>
              <w:pStyle w:val="ListParagraph"/>
              <w:numPr>
                <w:ilvl w:val="0"/>
                <w:numId w:val="33"/>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Public funding</w:t>
            </w:r>
            <w:r w:rsidRPr="00F91404">
              <w:rPr>
                <w:rFonts w:eastAsia="Times New Roman" w:cstheme="minorHAnsi"/>
                <w:sz w:val="18"/>
                <w:szCs w:val="18"/>
                <w:lang w:eastAsia="es-MX"/>
              </w:rPr>
              <w:t xml:space="preserve"> has reduced execution risk for supply-chain and import infrastructure</w:t>
            </w:r>
          </w:p>
          <w:p w14:paraId="5512B49A" w14:textId="77777777" w:rsidR="00F91404" w:rsidRPr="00F91404" w:rsidRDefault="00F91404" w:rsidP="00BD1985">
            <w:pPr>
              <w:pStyle w:val="ListParagraph"/>
              <w:numPr>
                <w:ilvl w:val="0"/>
                <w:numId w:val="33"/>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Import-focused infrastructure</w:t>
            </w:r>
            <w:r w:rsidRPr="00F91404">
              <w:rPr>
                <w:rFonts w:eastAsia="Times New Roman" w:cstheme="minorHAnsi"/>
                <w:sz w:val="18"/>
                <w:szCs w:val="18"/>
                <w:lang w:eastAsia="es-MX"/>
              </w:rPr>
              <w:t xml:space="preserve"> has enabled hydrogen delivery without reliance on domestic production scale</w:t>
            </w:r>
          </w:p>
          <w:p w14:paraId="49A75382" w14:textId="77777777" w:rsidR="00F91404" w:rsidRPr="00F91404" w:rsidRDefault="00F91404" w:rsidP="00BD1985">
            <w:pPr>
              <w:pStyle w:val="ListParagraph"/>
              <w:numPr>
                <w:ilvl w:val="0"/>
                <w:numId w:val="33"/>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 xml:space="preserve">Combined instruments have supported </w:t>
            </w:r>
            <w:r w:rsidRPr="00F91404">
              <w:rPr>
                <w:rFonts w:eastAsia="Times New Roman" w:cstheme="minorHAnsi"/>
                <w:b/>
                <w:sz w:val="18"/>
                <w:szCs w:val="18"/>
                <w:lang w:eastAsia="es-MX"/>
              </w:rPr>
              <w:t>early commercial deployment</w:t>
            </w:r>
            <w:r w:rsidRPr="00F91404">
              <w:rPr>
                <w:rFonts w:eastAsia="Times New Roman" w:cstheme="minorHAnsi"/>
                <w:sz w:val="18"/>
                <w:szCs w:val="18"/>
                <w:lang w:eastAsia="es-MX"/>
              </w:rPr>
              <w:t xml:space="preserve"> in downstream applications</w:t>
            </w:r>
          </w:p>
          <w:p w14:paraId="333B7AB8" w14:textId="77777777" w:rsidR="00F91404" w:rsidRPr="00F91404" w:rsidRDefault="00F91404" w:rsidP="00BD1985">
            <w:pPr>
              <w:pStyle w:val="ListParagraph"/>
              <w:numPr>
                <w:ilvl w:val="0"/>
                <w:numId w:val="33"/>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 xml:space="preserve">Policy outcomes reflect a </w:t>
            </w:r>
            <w:r w:rsidRPr="00F91404">
              <w:rPr>
                <w:rFonts w:eastAsia="Times New Roman" w:cstheme="minorHAnsi"/>
                <w:b/>
                <w:sz w:val="18"/>
                <w:szCs w:val="18"/>
                <w:lang w:eastAsia="es-MX"/>
              </w:rPr>
              <w:t>demand-ready hydrogen system</w:t>
            </w:r>
            <w:r w:rsidRPr="00F91404">
              <w:rPr>
                <w:rFonts w:eastAsia="Times New Roman" w:cstheme="minorHAnsi"/>
                <w:sz w:val="18"/>
                <w:szCs w:val="18"/>
                <w:lang w:eastAsia="es-MX"/>
              </w:rPr>
              <w:t>, rather than production-led market development</w:t>
            </w:r>
          </w:p>
          <w:p w14:paraId="0BDFAC2E" w14:textId="77777777" w:rsidR="00F91404" w:rsidRPr="00F91404" w:rsidRDefault="00F91404" w:rsidP="00BD1985">
            <w:pPr>
              <w:spacing w:after="0"/>
              <w:jc w:val="center"/>
              <w:rPr>
                <w:rFonts w:eastAsia="Times New Roman" w:cstheme="minorHAnsi"/>
                <w:sz w:val="18"/>
                <w:szCs w:val="18"/>
                <w:lang w:eastAsia="es-MX"/>
              </w:rPr>
            </w:pPr>
          </w:p>
        </w:tc>
        <w:tc>
          <w:tcPr>
            <w:tcW w:w="76" w:type="pct"/>
            <w:vAlign w:val="center"/>
          </w:tcPr>
          <w:p w14:paraId="1EDD1131" w14:textId="77777777" w:rsidR="00F91404" w:rsidRPr="00F91404" w:rsidRDefault="00F91404" w:rsidP="00BD1985">
            <w:pPr>
              <w:spacing w:after="0"/>
              <w:rPr>
                <w:rFonts w:eastAsia="Times New Roman" w:cstheme="minorHAnsi"/>
                <w:sz w:val="20"/>
                <w:szCs w:val="20"/>
                <w:lang w:eastAsia="es-MX"/>
              </w:rPr>
            </w:pPr>
          </w:p>
        </w:tc>
      </w:tr>
      <w:tr w:rsidR="00F91404" w:rsidRPr="00F91404" w14:paraId="5ACF7320"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0E204AF0"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c>
          <w:tcPr>
            <w:tcW w:w="76" w:type="pct"/>
            <w:vAlign w:val="center"/>
            <w:hideMark/>
          </w:tcPr>
          <w:p w14:paraId="07E7986E" w14:textId="77777777" w:rsidR="00F91404" w:rsidRPr="00F91404" w:rsidRDefault="00F91404" w:rsidP="00BD1985">
            <w:pPr>
              <w:spacing w:after="0"/>
              <w:rPr>
                <w:rFonts w:eastAsia="Times New Roman" w:cstheme="minorHAnsi"/>
                <w:sz w:val="20"/>
                <w:szCs w:val="20"/>
                <w:lang w:eastAsia="es-MX"/>
              </w:rPr>
            </w:pPr>
          </w:p>
        </w:tc>
      </w:tr>
      <w:tr w:rsidR="00F91404" w:rsidRPr="00F91404" w14:paraId="336C9999" w14:textId="77777777" w:rsidTr="00BD1985">
        <w:trPr>
          <w:trHeight w:val="1220"/>
          <w:jc w:val="center"/>
        </w:trPr>
        <w:tc>
          <w:tcPr>
            <w:tcW w:w="4924" w:type="pct"/>
            <w:gridSpan w:val="8"/>
            <w:vMerge w:val="restart"/>
            <w:tcBorders>
              <w:top w:val="single" w:sz="12" w:space="0" w:color="808080"/>
              <w:left w:val="single" w:sz="12" w:space="0" w:color="808080"/>
              <w:bottom w:val="single" w:sz="12" w:space="0" w:color="808080"/>
              <w:right w:val="single" w:sz="12" w:space="0" w:color="808080"/>
            </w:tcBorders>
            <w:vAlign w:val="center"/>
          </w:tcPr>
          <w:p w14:paraId="6380712F" w14:textId="77777777" w:rsidR="00F91404" w:rsidRPr="00F91404" w:rsidRDefault="00F91404" w:rsidP="00BD1985">
            <w:pPr>
              <w:pStyle w:val="ListParagraph"/>
              <w:numPr>
                <w:ilvl w:val="0"/>
                <w:numId w:val="48"/>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Ministry of Economy, Trade and Industry (METI) – Hydrogen Policy:</w:t>
            </w:r>
            <w:r w:rsidRPr="00F91404">
              <w:rPr>
                <w:rFonts w:eastAsia="Times New Roman" w:cstheme="minorHAnsi"/>
                <w:b/>
                <w:color w:val="000000"/>
                <w:sz w:val="18"/>
                <w:szCs w:val="18"/>
                <w:lang w:eastAsia="es-MX"/>
              </w:rPr>
              <w:br/>
            </w:r>
            <w:hyperlink r:id="rId73" w:tgtFrame="_new" w:history="1">
              <w:r w:rsidRPr="00F91404">
                <w:rPr>
                  <w:rStyle w:val="Hyperlink"/>
                  <w:rFonts w:eastAsia="Times New Roman" w:cstheme="minorHAnsi"/>
                  <w:b/>
                  <w:szCs w:val="18"/>
                  <w:lang w:eastAsia="es-MX"/>
                </w:rPr>
                <w:t>https://www.meti.go.jp</w:t>
              </w:r>
            </w:hyperlink>
          </w:p>
          <w:p w14:paraId="5182FAC1" w14:textId="77777777" w:rsidR="00F91404" w:rsidRPr="00F91404" w:rsidRDefault="00F91404" w:rsidP="00BD1985">
            <w:pPr>
              <w:pStyle w:val="ListParagraph"/>
              <w:numPr>
                <w:ilvl w:val="0"/>
                <w:numId w:val="48"/>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Japan Basic Hydrogen Strategy (official documentation):</w:t>
            </w:r>
            <w:r w:rsidRPr="00F91404">
              <w:rPr>
                <w:rFonts w:eastAsia="Times New Roman" w:cstheme="minorHAnsi"/>
                <w:b/>
                <w:color w:val="000000"/>
                <w:sz w:val="18"/>
                <w:szCs w:val="18"/>
                <w:lang w:eastAsia="es-MX"/>
              </w:rPr>
              <w:br/>
            </w:r>
            <w:hyperlink r:id="rId74" w:history="1">
              <w:r w:rsidRPr="00F91404">
                <w:rPr>
                  <w:rStyle w:val="Hyperlink"/>
                  <w:rFonts w:eastAsia="Times New Roman" w:cstheme="minorHAnsi"/>
                  <w:b/>
                  <w:szCs w:val="18"/>
                  <w:lang w:eastAsia="es-MX"/>
                </w:rPr>
                <w:t>https://www.meti.go.jp/english/policy/energy_environment/hydrogen</w:t>
              </w:r>
            </w:hyperlink>
            <w:r w:rsidRPr="00F91404">
              <w:rPr>
                <w:rFonts w:eastAsia="Times New Roman" w:cstheme="minorHAnsi"/>
                <w:b/>
                <w:color w:val="000000"/>
                <w:sz w:val="18"/>
                <w:szCs w:val="18"/>
                <w:lang w:eastAsia="es-MX"/>
              </w:rPr>
              <w:t xml:space="preserve"> </w:t>
            </w:r>
          </w:p>
          <w:p w14:paraId="28DAA06C" w14:textId="77777777" w:rsidR="00F91404" w:rsidRPr="00F91404" w:rsidRDefault="00F91404" w:rsidP="00BD1985">
            <w:pPr>
              <w:pStyle w:val="ListParagraph"/>
              <w:numPr>
                <w:ilvl w:val="0"/>
                <w:numId w:val="48"/>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JOGMEC – Hydrogen and international supply-chain initiatives:</w:t>
            </w:r>
            <w:r w:rsidRPr="00F91404">
              <w:rPr>
                <w:rFonts w:eastAsia="Times New Roman" w:cstheme="minorHAnsi"/>
                <w:b/>
                <w:color w:val="000000"/>
                <w:sz w:val="18"/>
                <w:szCs w:val="18"/>
                <w:lang w:eastAsia="es-MX"/>
              </w:rPr>
              <w:br/>
            </w:r>
            <w:hyperlink r:id="rId75" w:tgtFrame="_new" w:history="1">
              <w:r w:rsidRPr="00F91404">
                <w:rPr>
                  <w:rStyle w:val="Hyperlink"/>
                  <w:rFonts w:eastAsia="Times New Roman" w:cstheme="minorHAnsi"/>
                  <w:b/>
                  <w:szCs w:val="18"/>
                  <w:lang w:eastAsia="es-MX"/>
                </w:rPr>
                <w:t>https://www.jogmec.go.jp</w:t>
              </w:r>
            </w:hyperlink>
          </w:p>
          <w:p w14:paraId="66490EB2" w14:textId="77777777" w:rsidR="00F91404" w:rsidRPr="00F91404" w:rsidRDefault="00F91404" w:rsidP="00BD1985">
            <w:pPr>
              <w:pStyle w:val="ListParagraph"/>
              <w:numPr>
                <w:ilvl w:val="0"/>
                <w:numId w:val="48"/>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Hydrogen Society Promotion Act information (METI):</w:t>
            </w:r>
            <w:r w:rsidRPr="00F91404">
              <w:rPr>
                <w:rFonts w:eastAsia="Times New Roman" w:cstheme="minorHAnsi"/>
                <w:b/>
                <w:color w:val="000000"/>
                <w:sz w:val="18"/>
                <w:szCs w:val="18"/>
                <w:lang w:eastAsia="es-MX"/>
              </w:rPr>
              <w:br/>
            </w:r>
            <w:hyperlink r:id="rId76" w:history="1">
              <w:r w:rsidRPr="00F91404">
                <w:rPr>
                  <w:rStyle w:val="Hyperlink"/>
                  <w:rFonts w:eastAsia="Times New Roman" w:cstheme="minorHAnsi"/>
                  <w:b/>
                  <w:szCs w:val="18"/>
                  <w:lang w:eastAsia="es-MX"/>
                </w:rPr>
                <w:t>https://www.meti.go.jp/policy/energy_environment/hydrogen</w:t>
              </w:r>
            </w:hyperlink>
            <w:r w:rsidRPr="00F91404">
              <w:rPr>
                <w:rFonts w:eastAsia="Times New Roman" w:cstheme="minorHAnsi"/>
                <w:b/>
                <w:color w:val="000000"/>
                <w:sz w:val="18"/>
                <w:szCs w:val="18"/>
                <w:lang w:eastAsia="es-MX"/>
              </w:rPr>
              <w:t xml:space="preserve"> </w:t>
            </w:r>
          </w:p>
          <w:p w14:paraId="1BC5BD19" w14:textId="77777777" w:rsidR="00F91404" w:rsidRPr="00F91404" w:rsidRDefault="00F91404" w:rsidP="00BD1985">
            <w:pPr>
              <w:spacing w:after="0"/>
              <w:rPr>
                <w:rFonts w:eastAsia="Times New Roman" w:cstheme="minorHAnsi"/>
                <w:b/>
                <w:color w:val="000000"/>
                <w:sz w:val="18"/>
                <w:szCs w:val="18"/>
                <w:lang w:eastAsia="es-MX"/>
              </w:rPr>
            </w:pPr>
          </w:p>
        </w:tc>
        <w:tc>
          <w:tcPr>
            <w:tcW w:w="76" w:type="pct"/>
            <w:vAlign w:val="center"/>
            <w:hideMark/>
          </w:tcPr>
          <w:p w14:paraId="0BF43A48" w14:textId="77777777" w:rsidR="00F91404" w:rsidRPr="00F91404" w:rsidRDefault="00F91404" w:rsidP="00BD1985">
            <w:pPr>
              <w:spacing w:after="0"/>
              <w:rPr>
                <w:rFonts w:eastAsia="Times New Roman" w:cstheme="minorHAnsi"/>
                <w:sz w:val="20"/>
                <w:szCs w:val="20"/>
                <w:lang w:eastAsia="es-MX"/>
              </w:rPr>
            </w:pPr>
          </w:p>
        </w:tc>
      </w:tr>
      <w:tr w:rsidR="00F91404" w:rsidRPr="00F91404" w14:paraId="58AE44BB" w14:textId="77777777" w:rsidTr="00BD1985">
        <w:trPr>
          <w:trHeight w:val="920"/>
          <w:jc w:val="center"/>
        </w:trPr>
        <w:tc>
          <w:tcPr>
            <w:tcW w:w="4924" w:type="pct"/>
            <w:gridSpan w:val="8"/>
            <w:vMerge/>
            <w:tcBorders>
              <w:top w:val="single" w:sz="12" w:space="0" w:color="808080"/>
              <w:left w:val="single" w:sz="12" w:space="0" w:color="808080"/>
              <w:bottom w:val="single" w:sz="12" w:space="0" w:color="808080"/>
              <w:right w:val="single" w:sz="12" w:space="0" w:color="808080"/>
            </w:tcBorders>
            <w:vAlign w:val="center"/>
          </w:tcPr>
          <w:p w14:paraId="684D5A52" w14:textId="77777777" w:rsidR="00F91404" w:rsidRPr="00F91404" w:rsidRDefault="00F91404" w:rsidP="00BD1985">
            <w:pPr>
              <w:spacing w:after="0"/>
              <w:rPr>
                <w:rFonts w:eastAsia="Times New Roman" w:cstheme="minorHAnsi"/>
                <w:b/>
                <w:bCs/>
                <w:color w:val="000000"/>
                <w:sz w:val="20"/>
                <w:szCs w:val="20"/>
                <w:lang w:eastAsia="es-MX"/>
              </w:rPr>
            </w:pPr>
          </w:p>
        </w:tc>
        <w:tc>
          <w:tcPr>
            <w:tcW w:w="76" w:type="pct"/>
            <w:tcBorders>
              <w:top w:val="nil"/>
              <w:left w:val="nil"/>
              <w:bottom w:val="nil"/>
              <w:right w:val="nil"/>
            </w:tcBorders>
            <w:noWrap/>
            <w:vAlign w:val="bottom"/>
            <w:hideMark/>
          </w:tcPr>
          <w:p w14:paraId="7A8EF086" w14:textId="77777777" w:rsidR="00F91404" w:rsidRPr="00F91404" w:rsidRDefault="00F91404" w:rsidP="00BD1985">
            <w:pPr>
              <w:spacing w:after="0"/>
              <w:jc w:val="center"/>
              <w:rPr>
                <w:rFonts w:eastAsia="Times New Roman" w:cstheme="minorHAnsi"/>
                <w:b/>
                <w:bCs/>
                <w:color w:val="000000"/>
                <w:sz w:val="20"/>
                <w:szCs w:val="20"/>
                <w:lang w:eastAsia="es-MX"/>
              </w:rPr>
            </w:pPr>
          </w:p>
        </w:tc>
      </w:tr>
    </w:tbl>
    <w:p w14:paraId="308FA41C" w14:textId="77777777" w:rsidR="00F91404" w:rsidRPr="00F91404" w:rsidRDefault="00F91404" w:rsidP="00F91404">
      <w:pPr>
        <w:rPr>
          <w:rFonts w:cstheme="minorHAnsi"/>
          <w:sz w:val="20"/>
          <w:szCs w:val="20"/>
        </w:rPr>
      </w:pPr>
    </w:p>
    <w:p w14:paraId="11978869" w14:textId="77777777" w:rsidR="00F91404" w:rsidRPr="00511D69" w:rsidRDefault="00F91404" w:rsidP="00F91404">
      <w:pPr>
        <w:spacing w:after="0"/>
        <w:rPr>
          <w:b/>
          <w:bCs/>
          <w:i/>
          <w:iCs/>
          <w:sz w:val="14"/>
          <w:szCs w:val="14"/>
        </w:rPr>
      </w:pPr>
      <w:r w:rsidRPr="00511D69">
        <w:rPr>
          <w:b/>
          <w:bCs/>
          <w:i/>
          <w:iCs/>
          <w:sz w:val="14"/>
          <w:szCs w:val="14"/>
        </w:rPr>
        <w:t>Source</w:t>
      </w:r>
      <w:r w:rsidRPr="00F91404">
        <w:rPr>
          <w:b/>
          <w:bCs/>
          <w:i/>
          <w:iCs/>
          <w:sz w:val="14"/>
          <w:szCs w:val="14"/>
        </w:rPr>
        <w:t>s:</w:t>
      </w:r>
    </w:p>
    <w:p w14:paraId="7D58ED7F" w14:textId="77777777" w:rsidR="00F91404" w:rsidRPr="00511D69" w:rsidRDefault="00F91404" w:rsidP="00F91404">
      <w:pPr>
        <w:spacing w:after="0"/>
        <w:rPr>
          <w:b/>
          <w:bCs/>
          <w:i/>
          <w:iCs/>
          <w:sz w:val="14"/>
          <w:szCs w:val="14"/>
        </w:rPr>
      </w:pPr>
      <w:r w:rsidRPr="00511D69">
        <w:rPr>
          <w:b/>
          <w:bCs/>
          <w:i/>
          <w:iCs/>
          <w:sz w:val="14"/>
          <w:szCs w:val="14"/>
        </w:rPr>
        <w:t>Strategy, roadmap and governance framework</w:t>
      </w:r>
    </w:p>
    <w:p w14:paraId="579C1AAB" w14:textId="77777777" w:rsidR="00F91404" w:rsidRPr="00511D69" w:rsidRDefault="00F91404" w:rsidP="00F91404">
      <w:pPr>
        <w:numPr>
          <w:ilvl w:val="0"/>
          <w:numId w:val="103"/>
        </w:numPr>
        <w:spacing w:after="0"/>
        <w:rPr>
          <w:i/>
          <w:iCs/>
          <w:sz w:val="14"/>
          <w:szCs w:val="14"/>
        </w:rPr>
      </w:pPr>
      <w:r w:rsidRPr="00511D69">
        <w:rPr>
          <w:i/>
          <w:iCs/>
          <w:sz w:val="14"/>
          <w:szCs w:val="14"/>
        </w:rPr>
        <w:t>Ministry of Economy, Trade and Industry (METI) (2017; updated 2023), Basic Hydrogen Strategy.</w:t>
      </w:r>
    </w:p>
    <w:p w14:paraId="1AB803F1" w14:textId="77777777" w:rsidR="00F91404" w:rsidRPr="00511D69" w:rsidRDefault="00F91404" w:rsidP="00F91404">
      <w:pPr>
        <w:numPr>
          <w:ilvl w:val="0"/>
          <w:numId w:val="103"/>
        </w:numPr>
        <w:spacing w:after="0"/>
        <w:rPr>
          <w:i/>
          <w:iCs/>
          <w:sz w:val="14"/>
          <w:szCs w:val="14"/>
        </w:rPr>
      </w:pPr>
      <w:r w:rsidRPr="00511D69">
        <w:rPr>
          <w:i/>
          <w:iCs/>
          <w:sz w:val="14"/>
          <w:szCs w:val="14"/>
        </w:rPr>
        <w:t>Government of Japan (2023), Hydrogen Strategy Revision and Implementation Roadmap documents.</w:t>
      </w:r>
    </w:p>
    <w:p w14:paraId="207BE4A8" w14:textId="77777777" w:rsidR="00F91404" w:rsidRPr="00511D69" w:rsidRDefault="00F91404" w:rsidP="00F91404">
      <w:pPr>
        <w:numPr>
          <w:ilvl w:val="0"/>
          <w:numId w:val="103"/>
        </w:numPr>
        <w:spacing w:after="0"/>
        <w:rPr>
          <w:i/>
          <w:iCs/>
          <w:sz w:val="14"/>
          <w:szCs w:val="14"/>
        </w:rPr>
      </w:pPr>
      <w:r w:rsidRPr="00511D69">
        <w:rPr>
          <w:i/>
          <w:iCs/>
          <w:sz w:val="14"/>
          <w:szCs w:val="14"/>
        </w:rPr>
        <w:t>Hydrogen Society Promotion Act (official legal text and related government explanatory materials).</w:t>
      </w:r>
    </w:p>
    <w:p w14:paraId="4BFFCC09" w14:textId="77777777" w:rsidR="00F91404" w:rsidRPr="00511D69" w:rsidRDefault="00F91404" w:rsidP="00F91404">
      <w:pPr>
        <w:spacing w:after="0"/>
        <w:rPr>
          <w:b/>
          <w:bCs/>
          <w:i/>
          <w:iCs/>
          <w:sz w:val="14"/>
          <w:szCs w:val="14"/>
        </w:rPr>
      </w:pPr>
      <w:r w:rsidRPr="00511D69">
        <w:rPr>
          <w:b/>
          <w:bCs/>
          <w:i/>
          <w:iCs/>
          <w:sz w:val="14"/>
          <w:szCs w:val="14"/>
        </w:rPr>
        <w:t>Market and revenue support mechanisms</w:t>
      </w:r>
    </w:p>
    <w:p w14:paraId="2F43484B" w14:textId="77777777" w:rsidR="00F91404" w:rsidRPr="00511D69" w:rsidRDefault="00F91404" w:rsidP="00F91404">
      <w:pPr>
        <w:numPr>
          <w:ilvl w:val="0"/>
          <w:numId w:val="104"/>
        </w:numPr>
        <w:spacing w:after="0"/>
        <w:rPr>
          <w:i/>
          <w:iCs/>
          <w:sz w:val="14"/>
          <w:szCs w:val="14"/>
        </w:rPr>
      </w:pPr>
      <w:r w:rsidRPr="00511D69">
        <w:rPr>
          <w:i/>
          <w:iCs/>
          <w:sz w:val="14"/>
          <w:szCs w:val="14"/>
        </w:rPr>
        <w:t>METI policy documentation on hydrogen price-gap support mechanisms and hydrogen/ammonia co-firing support schemes.</w:t>
      </w:r>
    </w:p>
    <w:p w14:paraId="4339229D" w14:textId="77777777" w:rsidR="00F91404" w:rsidRPr="00511D69" w:rsidRDefault="00F91404" w:rsidP="00F91404">
      <w:pPr>
        <w:numPr>
          <w:ilvl w:val="0"/>
          <w:numId w:val="104"/>
        </w:numPr>
        <w:spacing w:after="0"/>
        <w:rPr>
          <w:i/>
          <w:iCs/>
          <w:sz w:val="14"/>
          <w:szCs w:val="14"/>
        </w:rPr>
      </w:pPr>
      <w:r w:rsidRPr="00511D69">
        <w:rPr>
          <w:i/>
          <w:iCs/>
          <w:sz w:val="14"/>
          <w:szCs w:val="14"/>
        </w:rPr>
        <w:t>Government of Japan publications on hydrogen demand creation programmes in power generation and industrial use.</w:t>
      </w:r>
    </w:p>
    <w:p w14:paraId="01F1B1D0" w14:textId="77777777" w:rsidR="00F91404" w:rsidRPr="00511D69" w:rsidRDefault="00F91404" w:rsidP="00F91404">
      <w:pPr>
        <w:numPr>
          <w:ilvl w:val="0"/>
          <w:numId w:val="104"/>
        </w:numPr>
        <w:spacing w:after="0"/>
        <w:rPr>
          <w:b/>
          <w:bCs/>
          <w:i/>
          <w:iCs/>
          <w:sz w:val="14"/>
          <w:szCs w:val="14"/>
        </w:rPr>
      </w:pPr>
      <w:r w:rsidRPr="00511D69">
        <w:rPr>
          <w:i/>
          <w:iCs/>
          <w:sz w:val="14"/>
          <w:szCs w:val="14"/>
        </w:rPr>
        <w:t>Official documentation related to hydrogen and ammonia support under the Green Transformation (GX) policy framework.</w:t>
      </w:r>
    </w:p>
    <w:p w14:paraId="303F24B2" w14:textId="77777777" w:rsidR="00F91404" w:rsidRPr="00511D69" w:rsidRDefault="00F91404" w:rsidP="00F91404">
      <w:pPr>
        <w:spacing w:after="0"/>
        <w:rPr>
          <w:b/>
          <w:bCs/>
          <w:i/>
          <w:iCs/>
          <w:sz w:val="14"/>
          <w:szCs w:val="14"/>
        </w:rPr>
      </w:pPr>
      <w:r w:rsidRPr="00511D69">
        <w:rPr>
          <w:b/>
          <w:bCs/>
          <w:i/>
          <w:iCs/>
          <w:sz w:val="14"/>
          <w:szCs w:val="14"/>
        </w:rPr>
        <w:t>Direct public funding and supply-chain support</w:t>
      </w:r>
    </w:p>
    <w:p w14:paraId="016F99FC" w14:textId="77777777" w:rsidR="00F91404" w:rsidRPr="00511D69" w:rsidRDefault="00F91404" w:rsidP="00F91404">
      <w:pPr>
        <w:numPr>
          <w:ilvl w:val="0"/>
          <w:numId w:val="105"/>
        </w:numPr>
        <w:spacing w:after="0"/>
        <w:rPr>
          <w:i/>
          <w:iCs/>
          <w:sz w:val="14"/>
          <w:szCs w:val="14"/>
        </w:rPr>
      </w:pPr>
      <w:r w:rsidRPr="00511D69">
        <w:rPr>
          <w:i/>
          <w:iCs/>
          <w:sz w:val="14"/>
          <w:szCs w:val="14"/>
        </w:rPr>
        <w:t>JOGMEC (Japan Organization for Metals and Energy Security), Hydrogen Supply Chain Support Programmes.</w:t>
      </w:r>
    </w:p>
    <w:p w14:paraId="31731072" w14:textId="77777777" w:rsidR="00F91404" w:rsidRPr="00511D69" w:rsidRDefault="00F91404" w:rsidP="00F91404">
      <w:pPr>
        <w:numPr>
          <w:ilvl w:val="0"/>
          <w:numId w:val="105"/>
        </w:numPr>
        <w:spacing w:after="0"/>
        <w:rPr>
          <w:i/>
          <w:iCs/>
          <w:sz w:val="14"/>
          <w:szCs w:val="14"/>
        </w:rPr>
      </w:pPr>
      <w:r w:rsidRPr="00511D69">
        <w:rPr>
          <w:i/>
          <w:iCs/>
          <w:sz w:val="14"/>
          <w:szCs w:val="14"/>
        </w:rPr>
        <w:t>METI subsidy programmes for hydrogen production, infrastructure and utilisation projects.</w:t>
      </w:r>
    </w:p>
    <w:p w14:paraId="264AAC39" w14:textId="77777777" w:rsidR="00F91404" w:rsidRPr="00511D69" w:rsidRDefault="00F91404" w:rsidP="00F91404">
      <w:pPr>
        <w:numPr>
          <w:ilvl w:val="0"/>
          <w:numId w:val="105"/>
        </w:numPr>
        <w:spacing w:after="0"/>
        <w:rPr>
          <w:i/>
          <w:iCs/>
          <w:sz w:val="14"/>
          <w:szCs w:val="14"/>
        </w:rPr>
      </w:pPr>
      <w:r w:rsidRPr="00511D69">
        <w:rPr>
          <w:i/>
          <w:iCs/>
          <w:sz w:val="14"/>
          <w:szCs w:val="14"/>
        </w:rPr>
        <w:t>Government of Japan funding announcements for hydrogen import terminals and storage facilities.</w:t>
      </w:r>
    </w:p>
    <w:p w14:paraId="19BDDEA3" w14:textId="77777777" w:rsidR="00F91404" w:rsidRPr="00511D69" w:rsidRDefault="00F91404" w:rsidP="00F91404">
      <w:pPr>
        <w:spacing w:after="0"/>
        <w:rPr>
          <w:b/>
          <w:bCs/>
          <w:i/>
          <w:iCs/>
          <w:sz w:val="14"/>
          <w:szCs w:val="14"/>
        </w:rPr>
      </w:pPr>
      <w:r w:rsidRPr="00511D69">
        <w:rPr>
          <w:b/>
          <w:bCs/>
          <w:i/>
          <w:iCs/>
          <w:sz w:val="14"/>
          <w:szCs w:val="14"/>
        </w:rPr>
        <w:t>Standards and certification frameworks</w:t>
      </w:r>
    </w:p>
    <w:p w14:paraId="2412DFD5" w14:textId="77777777" w:rsidR="00F91404" w:rsidRPr="00511D69" w:rsidRDefault="00F91404" w:rsidP="00F91404">
      <w:pPr>
        <w:numPr>
          <w:ilvl w:val="0"/>
          <w:numId w:val="106"/>
        </w:numPr>
        <w:spacing w:after="0"/>
        <w:rPr>
          <w:i/>
          <w:iCs/>
          <w:sz w:val="14"/>
          <w:szCs w:val="14"/>
        </w:rPr>
      </w:pPr>
      <w:r w:rsidRPr="00511D69">
        <w:rPr>
          <w:i/>
          <w:iCs/>
          <w:sz w:val="14"/>
          <w:szCs w:val="14"/>
        </w:rPr>
        <w:t>METI and related regulatory guidance on hydrogen safety standards and low-carbon hydrogen definitions.</w:t>
      </w:r>
    </w:p>
    <w:p w14:paraId="0321AA96" w14:textId="77777777" w:rsidR="00F91404" w:rsidRPr="00511D69" w:rsidRDefault="00F91404" w:rsidP="00F91404">
      <w:pPr>
        <w:numPr>
          <w:ilvl w:val="0"/>
          <w:numId w:val="106"/>
        </w:numPr>
        <w:spacing w:after="0"/>
        <w:rPr>
          <w:i/>
          <w:iCs/>
          <w:sz w:val="14"/>
          <w:szCs w:val="14"/>
        </w:rPr>
      </w:pPr>
      <w:r w:rsidRPr="00511D69">
        <w:rPr>
          <w:i/>
          <w:iCs/>
          <w:sz w:val="14"/>
          <w:szCs w:val="14"/>
        </w:rPr>
        <w:t>Official documentation on emissions criteria for hydrogen and hydrogen-derived fuels under Japanese law.</w:t>
      </w:r>
    </w:p>
    <w:p w14:paraId="3D9A012A" w14:textId="77777777" w:rsidR="00F91404" w:rsidRPr="00511D69" w:rsidRDefault="00F91404" w:rsidP="00F91404">
      <w:pPr>
        <w:spacing w:after="0"/>
        <w:rPr>
          <w:b/>
          <w:bCs/>
          <w:i/>
          <w:iCs/>
          <w:sz w:val="14"/>
          <w:szCs w:val="14"/>
        </w:rPr>
      </w:pPr>
      <w:r w:rsidRPr="00511D69">
        <w:rPr>
          <w:b/>
          <w:bCs/>
          <w:i/>
          <w:iCs/>
          <w:sz w:val="14"/>
          <w:szCs w:val="14"/>
        </w:rPr>
        <w:t>Infrastructure enabling policies (import, storage and logistics)</w:t>
      </w:r>
    </w:p>
    <w:p w14:paraId="582B8116" w14:textId="77777777" w:rsidR="00F91404" w:rsidRPr="00511D69" w:rsidRDefault="00F91404" w:rsidP="00F91404">
      <w:pPr>
        <w:numPr>
          <w:ilvl w:val="0"/>
          <w:numId w:val="107"/>
        </w:numPr>
        <w:spacing w:after="0"/>
        <w:rPr>
          <w:i/>
          <w:iCs/>
          <w:sz w:val="14"/>
          <w:szCs w:val="14"/>
        </w:rPr>
      </w:pPr>
      <w:r w:rsidRPr="00511D69">
        <w:rPr>
          <w:i/>
          <w:iCs/>
          <w:sz w:val="14"/>
          <w:szCs w:val="14"/>
        </w:rPr>
        <w:t>Ministry of Land, Infrastructure, Transport and Tourism (MLIT), Hydrogen import and port infrastructure planning documents.</w:t>
      </w:r>
    </w:p>
    <w:p w14:paraId="18041378" w14:textId="77777777" w:rsidR="00F91404" w:rsidRPr="00511D69" w:rsidRDefault="00F91404" w:rsidP="00F91404">
      <w:pPr>
        <w:numPr>
          <w:ilvl w:val="0"/>
          <w:numId w:val="107"/>
        </w:numPr>
        <w:spacing w:after="0"/>
        <w:rPr>
          <w:i/>
          <w:iCs/>
          <w:sz w:val="14"/>
          <w:szCs w:val="14"/>
        </w:rPr>
      </w:pPr>
      <w:r w:rsidRPr="00511D69">
        <w:rPr>
          <w:i/>
          <w:iCs/>
          <w:sz w:val="14"/>
          <w:szCs w:val="14"/>
        </w:rPr>
        <w:t>Government publications on hydrogen supply-chain demonstration projects (including international import pilots).</w:t>
      </w:r>
    </w:p>
    <w:p w14:paraId="6F6B9A56" w14:textId="77777777" w:rsidR="00F91404" w:rsidRPr="00511D69" w:rsidRDefault="00F91404" w:rsidP="00F91404">
      <w:pPr>
        <w:spacing w:after="0"/>
        <w:rPr>
          <w:b/>
          <w:bCs/>
          <w:i/>
          <w:iCs/>
          <w:sz w:val="14"/>
          <w:szCs w:val="14"/>
        </w:rPr>
      </w:pPr>
      <w:r w:rsidRPr="00511D69">
        <w:rPr>
          <w:b/>
          <w:bCs/>
          <w:i/>
          <w:iCs/>
          <w:sz w:val="14"/>
          <w:szCs w:val="14"/>
        </w:rPr>
        <w:t>Production capacity / deployment status</w:t>
      </w:r>
    </w:p>
    <w:p w14:paraId="0E0CDAD8" w14:textId="77777777" w:rsidR="00F91404" w:rsidRPr="00511D69" w:rsidRDefault="00F91404" w:rsidP="00F91404">
      <w:pPr>
        <w:numPr>
          <w:ilvl w:val="0"/>
          <w:numId w:val="108"/>
        </w:numPr>
        <w:spacing w:after="0"/>
        <w:rPr>
          <w:i/>
          <w:iCs/>
          <w:sz w:val="14"/>
          <w:szCs w:val="14"/>
        </w:rPr>
      </w:pPr>
      <w:r w:rsidRPr="00511D69">
        <w:rPr>
          <w:i/>
          <w:iCs/>
          <w:sz w:val="14"/>
          <w:szCs w:val="14"/>
        </w:rPr>
        <w:t>International Energy Agency (IEA) (2023), Global Hydrogen Review 2023, Paris: IEA.</w:t>
      </w:r>
    </w:p>
    <w:p w14:paraId="1E343EDA" w14:textId="77777777" w:rsidR="00F91404" w:rsidRPr="00511D69" w:rsidRDefault="00F91404" w:rsidP="00F91404">
      <w:pPr>
        <w:numPr>
          <w:ilvl w:val="0"/>
          <w:numId w:val="108"/>
        </w:numPr>
        <w:spacing w:after="0"/>
        <w:rPr>
          <w:i/>
          <w:iCs/>
          <w:sz w:val="14"/>
          <w:szCs w:val="14"/>
        </w:rPr>
      </w:pPr>
      <w:r w:rsidRPr="00511D69">
        <w:rPr>
          <w:i/>
          <w:iCs/>
          <w:sz w:val="14"/>
          <w:szCs w:val="14"/>
        </w:rPr>
        <w:t>IEA Hydrogen Projects Database (latest available edition).</w:t>
      </w:r>
    </w:p>
    <w:p w14:paraId="555BF561" w14:textId="77777777" w:rsidR="00F91404" w:rsidRPr="00511D69" w:rsidRDefault="00F91404" w:rsidP="00F91404">
      <w:pPr>
        <w:numPr>
          <w:ilvl w:val="0"/>
          <w:numId w:val="108"/>
        </w:numPr>
        <w:spacing w:after="0"/>
        <w:rPr>
          <w:i/>
          <w:iCs/>
          <w:sz w:val="14"/>
          <w:szCs w:val="14"/>
        </w:rPr>
      </w:pPr>
      <w:r w:rsidRPr="00511D69">
        <w:rPr>
          <w:i/>
          <w:iCs/>
          <w:sz w:val="14"/>
          <w:szCs w:val="14"/>
        </w:rPr>
        <w:t>Government of Japan releases on operational and planned hydrogen/ammonia projects.</w:t>
      </w:r>
    </w:p>
    <w:p w14:paraId="43E16F51" w14:textId="77777777" w:rsidR="00F91404" w:rsidRPr="00511D69" w:rsidRDefault="00F91404" w:rsidP="00F91404">
      <w:pPr>
        <w:spacing w:after="0"/>
        <w:rPr>
          <w:b/>
          <w:bCs/>
          <w:i/>
          <w:iCs/>
          <w:sz w:val="14"/>
          <w:szCs w:val="14"/>
        </w:rPr>
      </w:pPr>
      <w:r w:rsidRPr="00511D69">
        <w:rPr>
          <w:b/>
          <w:bCs/>
          <w:i/>
          <w:iCs/>
          <w:sz w:val="14"/>
          <w:szCs w:val="14"/>
        </w:rPr>
        <w:t>Renewable energy context (if referenced in the profile)</w:t>
      </w:r>
    </w:p>
    <w:p w14:paraId="3A78518A" w14:textId="77777777" w:rsidR="00F91404" w:rsidRPr="00511D69" w:rsidRDefault="00F91404" w:rsidP="00F91404">
      <w:pPr>
        <w:numPr>
          <w:ilvl w:val="0"/>
          <w:numId w:val="109"/>
        </w:numPr>
        <w:spacing w:after="0"/>
        <w:rPr>
          <w:i/>
          <w:iCs/>
          <w:sz w:val="14"/>
          <w:szCs w:val="14"/>
        </w:rPr>
      </w:pPr>
      <w:r w:rsidRPr="00511D69">
        <w:rPr>
          <w:i/>
          <w:iCs/>
          <w:sz w:val="14"/>
          <w:szCs w:val="14"/>
        </w:rPr>
        <w:t>Agency for Natural Resources and Energy (ANRE), Electricity Generation Statistics.</w:t>
      </w:r>
    </w:p>
    <w:p w14:paraId="34DCF02D" w14:textId="77777777" w:rsidR="00F91404" w:rsidRPr="00F91404" w:rsidRDefault="00F91404" w:rsidP="00F91404">
      <w:pPr>
        <w:numPr>
          <w:ilvl w:val="0"/>
          <w:numId w:val="109"/>
        </w:numPr>
        <w:spacing w:after="0"/>
        <w:rPr>
          <w:b/>
          <w:bCs/>
          <w:sz w:val="14"/>
          <w:szCs w:val="14"/>
        </w:rPr>
      </w:pPr>
      <w:r w:rsidRPr="00511D69">
        <w:rPr>
          <w:i/>
          <w:iCs/>
          <w:sz w:val="14"/>
          <w:szCs w:val="14"/>
        </w:rPr>
        <w:t>Government of Japan energy mix and renewable capacity publications.</w:t>
      </w:r>
    </w:p>
    <w:p w14:paraId="1AF6CE69" w14:textId="77777777" w:rsidR="00F91404" w:rsidRPr="00F91404" w:rsidRDefault="00F91404" w:rsidP="00F91404">
      <w:pPr>
        <w:rPr>
          <w:b/>
          <w:bCs/>
          <w:color w:val="004C43" w:themeColor="accent1"/>
          <w:sz w:val="24"/>
          <w:szCs w:val="32"/>
        </w:rPr>
      </w:pPr>
      <w:r w:rsidRPr="00F91404">
        <w:rPr>
          <w:b/>
          <w:bCs/>
          <w:color w:val="004C43" w:themeColor="accent1"/>
          <w:sz w:val="24"/>
          <w:szCs w:val="32"/>
        </w:rPr>
        <w:br w:type="page"/>
      </w:r>
    </w:p>
    <w:p w14:paraId="1F44304C" w14:textId="0676C266" w:rsidR="00074C04" w:rsidRPr="00F91404" w:rsidRDefault="00074C04" w:rsidP="00074C04">
      <w:pPr>
        <w:rPr>
          <w:b/>
          <w:bCs/>
          <w:i/>
          <w:iCs/>
          <w:color w:val="004C43" w:themeColor="accent1"/>
          <w:sz w:val="24"/>
          <w:szCs w:val="32"/>
        </w:rPr>
      </w:pPr>
      <w:r w:rsidRPr="00F91404">
        <w:rPr>
          <w:b/>
          <w:bCs/>
          <w:color w:val="004C43" w:themeColor="accent1"/>
          <w:sz w:val="24"/>
          <w:szCs w:val="32"/>
        </w:rPr>
        <w:lastRenderedPageBreak/>
        <w:t>Netherlands</w:t>
      </w:r>
    </w:p>
    <w:p w14:paraId="15FD8750" w14:textId="77777777" w:rsidR="00074C04" w:rsidRPr="00F91404" w:rsidRDefault="00074C04" w:rsidP="00074C04">
      <w:pPr>
        <w:rPr>
          <w:rFonts w:cstheme="minorHAnsi"/>
          <w:sz w:val="20"/>
          <w:szCs w:val="20"/>
        </w:rPr>
      </w:pPr>
      <w:r w:rsidRPr="00F91404">
        <w:rPr>
          <w:rFonts w:cstheme="minorHAnsi"/>
          <w:sz w:val="20"/>
          <w:szCs w:val="20"/>
        </w:rPr>
        <w:t>The Netherlands follows an infrastructure-led governance model, where hydrogen policy is tightly integrated with regulated network development and port-based coordination. Strategic direction is set by the Ministry of Economic Affairs and Climate Policy, while execution is anchored in Gasunie, the state-owned gas and hydrogen network operator, which leads hydrogen transport planning and pipeline repurposing. Port authorities, particularly the Port of Rotterdam, play a central role in hub development, industrial clustering and import logistics.</w:t>
      </w:r>
    </w:p>
    <w:p w14:paraId="3A3CC847" w14:textId="77777777" w:rsidR="00074C04" w:rsidRPr="00F91404" w:rsidRDefault="00074C04" w:rsidP="00074C04">
      <w:pPr>
        <w:rPr>
          <w:rFonts w:cstheme="minorHAnsi"/>
          <w:sz w:val="20"/>
          <w:szCs w:val="20"/>
        </w:rPr>
      </w:pPr>
      <w:r w:rsidRPr="00F91404">
        <w:rPr>
          <w:rFonts w:cstheme="minorHAnsi"/>
          <w:sz w:val="20"/>
          <w:szCs w:val="20"/>
        </w:rPr>
        <w:t>Hydrogen transport and distribution are treated as regulated infrastructure assets within an EU-aligned legal framework. Regulatory alignment with EU sustainability rules and streamlined permitting support early system integration. Overall, the Netherlands is positioned as an advanced, infrastructure-first market, focused on reducing integration risk and enabling parallel project development at scale.</w:t>
      </w:r>
    </w:p>
    <w:tbl>
      <w:tblPr>
        <w:tblW w:w="5000" w:type="pct"/>
        <w:tblCellMar>
          <w:top w:w="15" w:type="dxa"/>
          <w:left w:w="70" w:type="dxa"/>
          <w:right w:w="70" w:type="dxa"/>
        </w:tblCellMar>
        <w:tblLook w:val="04A0" w:firstRow="1" w:lastRow="0" w:firstColumn="1" w:lastColumn="0" w:noHBand="0" w:noVBand="1"/>
      </w:tblPr>
      <w:tblGrid>
        <w:gridCol w:w="2024"/>
        <w:gridCol w:w="257"/>
        <w:gridCol w:w="1659"/>
        <w:gridCol w:w="791"/>
        <w:gridCol w:w="1136"/>
        <w:gridCol w:w="1398"/>
        <w:gridCol w:w="522"/>
        <w:gridCol w:w="1676"/>
        <w:gridCol w:w="146"/>
      </w:tblGrid>
      <w:tr w:rsidR="00074C04" w:rsidRPr="00F91404" w14:paraId="63269FB7" w14:textId="77777777" w:rsidTr="00816A15">
        <w:trPr>
          <w:gridAfter w:val="1"/>
          <w:wAfter w:w="76" w:type="pct"/>
          <w:trHeight w:val="1060"/>
        </w:trPr>
        <w:tc>
          <w:tcPr>
            <w:tcW w:w="1053" w:type="pct"/>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48DC18D2"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w:t>
            </w:r>
            <w:r w:rsidRPr="00F91404">
              <w:rPr>
                <w:rFonts w:eastAsia="Times New Roman" w:cstheme="minorHAnsi"/>
                <w:b/>
                <w:bCs/>
                <w:color w:val="FFFFFF" w:themeColor="background1"/>
                <w:sz w:val="18"/>
                <w:szCs w:val="18"/>
                <w:lang w:eastAsia="es-MX"/>
              </w:rPr>
              <w:br/>
            </w:r>
            <w:r w:rsidRPr="00F91404">
              <w:rPr>
                <w:rFonts w:eastAsia="Times New Roman" w:cstheme="minorHAnsi"/>
                <w:b/>
                <w:color w:val="FFFFFF" w:themeColor="background1"/>
                <w:sz w:val="18"/>
                <w:szCs w:val="18"/>
                <w:lang w:eastAsia="es-MX"/>
              </w:rPr>
              <w:t xml:space="preserve">production capacity </w:t>
            </w:r>
          </w:p>
          <w:p w14:paraId="3EB0FFA3"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Operational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97"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274BF7C4"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capacity Planned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1003"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286CF518"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Hydrogen pipelines </w:t>
            </w:r>
            <w:r w:rsidRPr="00F91404">
              <w:rPr>
                <w:rFonts w:eastAsia="Times New Roman" w:cstheme="minorHAnsi"/>
                <w:b/>
                <w:color w:val="FFFFFF" w:themeColor="background1"/>
                <w:sz w:val="18"/>
                <w:szCs w:val="18"/>
                <w:lang w:eastAsia="es-MX"/>
              </w:rPr>
              <w:br/>
              <w:t>(km)</w:t>
            </w:r>
          </w:p>
        </w:tc>
        <w:tc>
          <w:tcPr>
            <w:tcW w:w="999"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770359DB"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Ammonia port </w:t>
            </w:r>
          </w:p>
          <w:p w14:paraId="569B12FB"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storage capacity </w:t>
            </w:r>
            <w:r w:rsidRPr="00F91404">
              <w:rPr>
                <w:rFonts w:eastAsia="Times New Roman" w:cstheme="minorHAnsi"/>
                <w:b/>
                <w:color w:val="FFFFFF" w:themeColor="background1"/>
                <w:sz w:val="18"/>
                <w:szCs w:val="18"/>
                <w:lang w:eastAsia="es-MX"/>
              </w:rPr>
              <w:br/>
              <w:t>(Thousand tonnes)</w:t>
            </w:r>
          </w:p>
        </w:tc>
        <w:tc>
          <w:tcPr>
            <w:tcW w:w="872" w:type="pct"/>
            <w:tcBorders>
              <w:top w:val="single" w:sz="12" w:space="0" w:color="808080"/>
              <w:left w:val="nil"/>
              <w:bottom w:val="single" w:sz="12" w:space="0" w:color="808080"/>
              <w:right w:val="single" w:sz="12" w:space="0" w:color="808080"/>
            </w:tcBorders>
            <w:shd w:val="clear" w:color="auto" w:fill="004C43" w:themeFill="accent1"/>
            <w:vAlign w:val="center"/>
            <w:hideMark/>
          </w:tcPr>
          <w:p w14:paraId="1633FABB"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Dominant market model</w:t>
            </w:r>
          </w:p>
        </w:tc>
      </w:tr>
      <w:tr w:rsidR="00074C04" w:rsidRPr="00F91404" w14:paraId="4E62240A" w14:textId="77777777" w:rsidTr="00816A15">
        <w:trPr>
          <w:gridAfter w:val="1"/>
          <w:wAfter w:w="76" w:type="pct"/>
          <w:trHeight w:val="2373"/>
        </w:trPr>
        <w:tc>
          <w:tcPr>
            <w:tcW w:w="1053" w:type="pct"/>
            <w:tcBorders>
              <w:top w:val="nil"/>
              <w:left w:val="single" w:sz="12" w:space="0" w:color="808080"/>
              <w:bottom w:val="single" w:sz="12" w:space="0" w:color="808080"/>
              <w:right w:val="single" w:sz="12" w:space="0" w:color="808080"/>
            </w:tcBorders>
            <w:noWrap/>
            <w:vAlign w:val="center"/>
            <w:hideMark/>
          </w:tcPr>
          <w:p w14:paraId="5BCA09C5"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2FE69ED1" wp14:editId="68EC3490">
                  <wp:extent cx="1176793" cy="1561066"/>
                  <wp:effectExtent l="0" t="0" r="0" b="0"/>
                  <wp:docPr id="91782447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87958" cy="1575877"/>
                          </a:xfrm>
                          <a:prstGeom prst="rect">
                            <a:avLst/>
                          </a:prstGeom>
                          <a:noFill/>
                        </pic:spPr>
                      </pic:pic>
                    </a:graphicData>
                  </a:graphic>
                </wp:inline>
              </w:drawing>
            </w:r>
          </w:p>
        </w:tc>
        <w:tc>
          <w:tcPr>
            <w:tcW w:w="997" w:type="pct"/>
            <w:gridSpan w:val="2"/>
            <w:tcBorders>
              <w:top w:val="nil"/>
              <w:left w:val="nil"/>
              <w:bottom w:val="single" w:sz="12" w:space="0" w:color="808080"/>
              <w:right w:val="single" w:sz="12" w:space="0" w:color="808080"/>
            </w:tcBorders>
            <w:noWrap/>
            <w:vAlign w:val="center"/>
            <w:hideMark/>
          </w:tcPr>
          <w:p w14:paraId="70E59FAF"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4A0215DB" wp14:editId="67E575FC">
                  <wp:extent cx="1105231" cy="1502295"/>
                  <wp:effectExtent l="0" t="0" r="0" b="0"/>
                  <wp:docPr id="167610925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16190" r="17767"/>
                          <a:stretch>
                            <a:fillRect/>
                          </a:stretch>
                        </pic:blipFill>
                        <pic:spPr bwMode="auto">
                          <a:xfrm>
                            <a:off x="0" y="0"/>
                            <a:ext cx="1125024" cy="152919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03" w:type="pct"/>
            <w:gridSpan w:val="2"/>
            <w:tcBorders>
              <w:top w:val="nil"/>
              <w:left w:val="nil"/>
              <w:bottom w:val="single" w:sz="12" w:space="0" w:color="808080"/>
              <w:right w:val="single" w:sz="12" w:space="0" w:color="808080"/>
            </w:tcBorders>
            <w:noWrap/>
            <w:vAlign w:val="center"/>
            <w:hideMark/>
          </w:tcPr>
          <w:p w14:paraId="342BE39A"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3,021</w:t>
            </w:r>
          </w:p>
          <w:p w14:paraId="12C75B7F"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141BA101" wp14:editId="02FC5498">
                  <wp:extent cx="1113624" cy="788335"/>
                  <wp:effectExtent l="0" t="0" r="0" b="0"/>
                  <wp:docPr id="1697971284" name="Picture 7" descr="A group of pipes with a red x&#10;&#10;AI-generated content may be incorrect.">
                    <a:extLst xmlns:a="http://schemas.openxmlformats.org/drawingml/2006/main">
                      <a:ext uri="{FF2B5EF4-FFF2-40B4-BE49-F238E27FC236}">
                        <a16:creationId xmlns:a16="http://schemas.microsoft.com/office/drawing/2014/main" id="{D65C187D-C9F5-B168-6D1A-71D4C3FCB4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oup of pipes with a red x&#10;&#10;AI-generated content may be incorrect.">
                            <a:extLst>
                              <a:ext uri="{FF2B5EF4-FFF2-40B4-BE49-F238E27FC236}">
                                <a16:creationId xmlns:a16="http://schemas.microsoft.com/office/drawing/2014/main" id="{D65C187D-C9F5-B168-6D1A-71D4C3FCB48D}"/>
                              </a:ext>
                            </a:extLst>
                          </pic:cNvPr>
                          <pic:cNvPicPr>
                            <a:picLocks noChangeAspect="1"/>
                          </pic:cNvPicPr>
                        </pic:nvPicPr>
                        <pic:blipFill>
                          <a:blip r:embed="rId37"/>
                          <a:srcRect l="51292" t="10382" r="14444" b="53235"/>
                          <a:stretch>
                            <a:fillRect/>
                          </a:stretch>
                        </pic:blipFill>
                        <pic:spPr>
                          <a:xfrm>
                            <a:off x="0" y="0"/>
                            <a:ext cx="1131231" cy="800799"/>
                          </a:xfrm>
                          <a:prstGeom prst="rect">
                            <a:avLst/>
                          </a:prstGeom>
                        </pic:spPr>
                      </pic:pic>
                    </a:graphicData>
                  </a:graphic>
                </wp:inline>
              </w:drawing>
            </w:r>
          </w:p>
        </w:tc>
        <w:tc>
          <w:tcPr>
            <w:tcW w:w="999" w:type="pct"/>
            <w:gridSpan w:val="2"/>
            <w:tcBorders>
              <w:top w:val="nil"/>
              <w:left w:val="nil"/>
              <w:bottom w:val="single" w:sz="12" w:space="0" w:color="808080"/>
              <w:right w:val="single" w:sz="12" w:space="0" w:color="808080"/>
            </w:tcBorders>
            <w:noWrap/>
            <w:vAlign w:val="center"/>
            <w:hideMark/>
          </w:tcPr>
          <w:p w14:paraId="050DD4BB"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250.2</w:t>
            </w:r>
          </w:p>
          <w:p w14:paraId="7EA6C93F"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25460BA9" wp14:editId="0B3A0DF8">
                  <wp:extent cx="1108608" cy="736407"/>
                  <wp:effectExtent l="0" t="0" r="0" b="6985"/>
                  <wp:docPr id="136191114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127606" cy="749027"/>
                          </a:xfrm>
                          <a:prstGeom prst="rect">
                            <a:avLst/>
                          </a:prstGeom>
                          <a:noFill/>
                        </pic:spPr>
                      </pic:pic>
                    </a:graphicData>
                  </a:graphic>
                </wp:inline>
              </w:drawing>
            </w:r>
          </w:p>
        </w:tc>
        <w:tc>
          <w:tcPr>
            <w:tcW w:w="872" w:type="pct"/>
            <w:tcBorders>
              <w:top w:val="nil"/>
              <w:left w:val="nil"/>
              <w:bottom w:val="single" w:sz="12" w:space="0" w:color="808080"/>
              <w:right w:val="single" w:sz="12" w:space="0" w:color="808080"/>
            </w:tcBorders>
            <w:vAlign w:val="center"/>
            <w:hideMark/>
          </w:tcPr>
          <w:p w14:paraId="5F836262"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4D3696B8" wp14:editId="4240F074">
                  <wp:extent cx="952546" cy="1362052"/>
                  <wp:effectExtent l="0" t="0" r="0" b="0"/>
                  <wp:docPr id="956208415" name="Picture 8" descr="A screenshot of a computer&#10;&#10;AI-generated content may be incorrect.">
                    <a:extLst xmlns:a="http://schemas.openxmlformats.org/drawingml/2006/main">
                      <a:ext uri="{FF2B5EF4-FFF2-40B4-BE49-F238E27FC236}">
                        <a16:creationId xmlns:a16="http://schemas.microsoft.com/office/drawing/2014/main" id="{712EF8C8-7ACD-B811-6D1A-80DB36C4FA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712EF8C8-7ACD-B811-6D1A-80DB36C4FAD7}"/>
                              </a:ext>
                            </a:extLst>
                          </pic:cNvPr>
                          <pic:cNvPicPr>
                            <a:picLocks noChangeAspect="1"/>
                          </pic:cNvPicPr>
                        </pic:nvPicPr>
                        <pic:blipFill>
                          <a:blip r:embed="rId47"/>
                          <a:srcRect l="28749" t="10116" r="54852" b="54712"/>
                          <a:stretch>
                            <a:fillRect/>
                          </a:stretch>
                        </pic:blipFill>
                        <pic:spPr>
                          <a:xfrm>
                            <a:off x="0" y="0"/>
                            <a:ext cx="960036" cy="1372762"/>
                          </a:xfrm>
                          <a:prstGeom prst="rect">
                            <a:avLst/>
                          </a:prstGeom>
                        </pic:spPr>
                      </pic:pic>
                    </a:graphicData>
                  </a:graphic>
                </wp:inline>
              </w:drawing>
            </w:r>
          </w:p>
        </w:tc>
      </w:tr>
      <w:tr w:rsidR="00074C04" w:rsidRPr="00F91404" w14:paraId="5E8F4F84" w14:textId="77777777" w:rsidTr="0064603E">
        <w:trPr>
          <w:gridAfter w:val="1"/>
          <w:wAfter w:w="76" w:type="pct"/>
          <w:trHeight w:val="590"/>
        </w:trPr>
        <w:tc>
          <w:tcPr>
            <w:tcW w:w="1186" w:type="pct"/>
            <w:gridSpan w:val="2"/>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260D76B1"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Overall Status</w:t>
            </w:r>
          </w:p>
        </w:tc>
        <w:tc>
          <w:tcPr>
            <w:tcW w:w="1275" w:type="pct"/>
            <w:gridSpan w:val="2"/>
            <w:tcBorders>
              <w:top w:val="nil"/>
              <w:left w:val="nil"/>
              <w:bottom w:val="single" w:sz="12" w:space="0" w:color="808080"/>
              <w:right w:val="single" w:sz="12" w:space="0" w:color="808080"/>
            </w:tcBorders>
            <w:shd w:val="clear" w:color="auto" w:fill="004C43" w:themeFill="accent1"/>
            <w:vAlign w:val="center"/>
            <w:hideMark/>
          </w:tcPr>
          <w:p w14:paraId="6D8F1CB8"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Strategies</w:t>
            </w:r>
          </w:p>
        </w:tc>
        <w:tc>
          <w:tcPr>
            <w:tcW w:w="1320" w:type="pct"/>
            <w:gridSpan w:val="2"/>
            <w:tcBorders>
              <w:top w:val="nil"/>
              <w:left w:val="nil"/>
              <w:bottom w:val="single" w:sz="12" w:space="0" w:color="808080"/>
              <w:right w:val="single" w:sz="12" w:space="0" w:color="808080"/>
            </w:tcBorders>
            <w:shd w:val="clear" w:color="auto" w:fill="004C43" w:themeFill="accent1"/>
            <w:vAlign w:val="center"/>
            <w:hideMark/>
          </w:tcPr>
          <w:p w14:paraId="264DB66E"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Road Map </w:t>
            </w:r>
          </w:p>
        </w:tc>
        <w:tc>
          <w:tcPr>
            <w:tcW w:w="1144" w:type="pct"/>
            <w:gridSpan w:val="2"/>
            <w:tcBorders>
              <w:top w:val="nil"/>
              <w:left w:val="nil"/>
              <w:bottom w:val="single" w:sz="12" w:space="0" w:color="808080"/>
              <w:right w:val="single" w:sz="12" w:space="0" w:color="808080"/>
            </w:tcBorders>
            <w:shd w:val="clear" w:color="auto" w:fill="004C43" w:themeFill="accent1"/>
            <w:vAlign w:val="center"/>
            <w:hideMark/>
          </w:tcPr>
          <w:p w14:paraId="0E5C6FE8"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Implementation &amp; </w:t>
            </w:r>
          </w:p>
          <w:p w14:paraId="0B3DD7DF"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Development Plans</w:t>
            </w:r>
          </w:p>
        </w:tc>
      </w:tr>
      <w:tr w:rsidR="00074C04" w:rsidRPr="00F91404" w14:paraId="0F69080A" w14:textId="77777777" w:rsidTr="0064603E">
        <w:trPr>
          <w:gridAfter w:val="1"/>
          <w:wAfter w:w="76" w:type="pct"/>
          <w:trHeight w:val="518"/>
        </w:trPr>
        <w:tc>
          <w:tcPr>
            <w:tcW w:w="1186" w:type="pct"/>
            <w:gridSpan w:val="2"/>
            <w:vMerge w:val="restart"/>
            <w:tcBorders>
              <w:top w:val="single" w:sz="12" w:space="0" w:color="808080"/>
              <w:left w:val="single" w:sz="12" w:space="0" w:color="808080"/>
              <w:bottom w:val="single" w:sz="12" w:space="0" w:color="808080"/>
              <w:right w:val="single" w:sz="12" w:space="0" w:color="808080"/>
            </w:tcBorders>
            <w:vAlign w:val="center"/>
            <w:hideMark/>
          </w:tcPr>
          <w:p w14:paraId="3AEA5C10"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Advanced hydrogen market with a strong infrastructure-led development model</w:t>
            </w:r>
          </w:p>
          <w:p w14:paraId="4BDA94DF"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framework prioritizes system integration and scale, rather than individual project optimization</w:t>
            </w:r>
          </w:p>
          <w:p w14:paraId="1B8E1EA8"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Combines operating cost support with early investment in shared transport and port infrastructure</w:t>
            </w:r>
          </w:p>
          <w:p w14:paraId="363ADF3C"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Designed to enable parallel development of multiple projects and position the country as a European hydrogen gateway</w:t>
            </w:r>
          </w:p>
          <w:p w14:paraId="0B92D039" w14:textId="77777777" w:rsidR="00074C04" w:rsidRPr="00F91404" w:rsidRDefault="00074C04" w:rsidP="00843227">
            <w:pPr>
              <w:spacing w:after="0"/>
              <w:jc w:val="center"/>
              <w:rPr>
                <w:rFonts w:eastAsia="Times New Roman" w:cstheme="minorHAnsi"/>
                <w:b/>
                <w:sz w:val="18"/>
                <w:szCs w:val="18"/>
                <w:lang w:eastAsia="es-MX"/>
              </w:rPr>
            </w:pPr>
          </w:p>
        </w:tc>
        <w:tc>
          <w:tcPr>
            <w:tcW w:w="1275" w:type="pct"/>
            <w:gridSpan w:val="2"/>
            <w:vMerge w:val="restart"/>
            <w:tcBorders>
              <w:top w:val="nil"/>
              <w:left w:val="single" w:sz="12" w:space="0" w:color="808080"/>
              <w:bottom w:val="single" w:sz="12" w:space="0" w:color="808080"/>
              <w:right w:val="single" w:sz="12" w:space="0" w:color="808080"/>
            </w:tcBorders>
            <w:vAlign w:val="center"/>
            <w:hideMark/>
          </w:tcPr>
          <w:p w14:paraId="1A4AE2DE"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Positions hydrogen as a strategic system-integration tool within the national energy transition</w:t>
            </w:r>
          </w:p>
          <w:p w14:paraId="45EE0F0D"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Leverages the country’s role as a European industrial and logistics hub</w:t>
            </w:r>
          </w:p>
          <w:p w14:paraId="58C44C99"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Focus on:</w:t>
            </w:r>
          </w:p>
          <w:p w14:paraId="7DBB727A" w14:textId="77777777" w:rsidR="00074C04" w:rsidRPr="00F91404" w:rsidRDefault="00074C04" w:rsidP="008D5DDD">
            <w:pPr>
              <w:pStyle w:val="ListParagraph"/>
              <w:numPr>
                <w:ilvl w:val="1"/>
                <w:numId w:val="28"/>
              </w:numPr>
              <w:spacing w:before="240" w:after="140" w:line="276" w:lineRule="auto"/>
              <w:ind w:left="385" w:hanging="142"/>
              <w:rPr>
                <w:rFonts w:eastAsia="Times New Roman" w:cstheme="minorHAnsi"/>
                <w:sz w:val="18"/>
                <w:szCs w:val="18"/>
                <w:lang w:eastAsia="es-MX"/>
              </w:rPr>
            </w:pPr>
            <w:r w:rsidRPr="00F91404">
              <w:rPr>
                <w:rFonts w:eastAsia="Times New Roman" w:cstheme="minorHAnsi"/>
                <w:sz w:val="18"/>
                <w:szCs w:val="18"/>
                <w:lang w:eastAsia="es-MX"/>
              </w:rPr>
              <w:t>Industrial decarbonization</w:t>
            </w:r>
          </w:p>
          <w:p w14:paraId="1B23BDEA" w14:textId="77777777" w:rsidR="00074C04" w:rsidRPr="00F91404" w:rsidRDefault="00074C04" w:rsidP="008D5DDD">
            <w:pPr>
              <w:pStyle w:val="ListParagraph"/>
              <w:numPr>
                <w:ilvl w:val="1"/>
                <w:numId w:val="28"/>
              </w:numPr>
              <w:spacing w:before="240" w:after="140" w:line="276" w:lineRule="auto"/>
              <w:ind w:left="385" w:hanging="142"/>
              <w:rPr>
                <w:rFonts w:eastAsia="Times New Roman" w:cstheme="minorHAnsi"/>
                <w:sz w:val="18"/>
                <w:szCs w:val="18"/>
                <w:lang w:eastAsia="es-MX"/>
              </w:rPr>
            </w:pPr>
            <w:r w:rsidRPr="00F91404">
              <w:rPr>
                <w:rFonts w:eastAsia="Times New Roman" w:cstheme="minorHAnsi"/>
                <w:sz w:val="18"/>
                <w:szCs w:val="18"/>
                <w:lang w:eastAsia="es-MX"/>
              </w:rPr>
              <w:t>Large-scale imports</w:t>
            </w:r>
          </w:p>
          <w:p w14:paraId="45397CC5" w14:textId="77777777" w:rsidR="00074C04" w:rsidRPr="00F91404" w:rsidRDefault="00074C04" w:rsidP="008D5DDD">
            <w:pPr>
              <w:pStyle w:val="ListParagraph"/>
              <w:numPr>
                <w:ilvl w:val="1"/>
                <w:numId w:val="28"/>
              </w:numPr>
              <w:spacing w:before="240" w:after="140" w:line="276" w:lineRule="auto"/>
              <w:ind w:left="385" w:hanging="142"/>
              <w:rPr>
                <w:rFonts w:eastAsia="Times New Roman" w:cstheme="minorHAnsi"/>
                <w:sz w:val="18"/>
                <w:szCs w:val="18"/>
                <w:lang w:eastAsia="es-MX"/>
              </w:rPr>
            </w:pPr>
            <w:r w:rsidRPr="00F91404">
              <w:rPr>
                <w:rFonts w:eastAsia="Times New Roman" w:cstheme="minorHAnsi"/>
                <w:sz w:val="18"/>
                <w:szCs w:val="18"/>
                <w:lang w:eastAsia="es-MX"/>
              </w:rPr>
              <w:t>Integration of domestic production with ports and clusters</w:t>
            </w:r>
          </w:p>
          <w:p w14:paraId="49746556"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Treats hydrogen infrastructure as a regulated, strategic asset, rather than a project-level add-on</w:t>
            </w:r>
          </w:p>
        </w:tc>
        <w:tc>
          <w:tcPr>
            <w:tcW w:w="1320" w:type="pct"/>
            <w:gridSpan w:val="2"/>
            <w:vMerge w:val="restart"/>
            <w:tcBorders>
              <w:top w:val="nil"/>
              <w:left w:val="single" w:sz="12" w:space="0" w:color="808080"/>
              <w:bottom w:val="single" w:sz="12" w:space="0" w:color="808080"/>
              <w:right w:val="single" w:sz="12" w:space="0" w:color="808080"/>
            </w:tcBorders>
            <w:vAlign w:val="center"/>
            <w:hideMark/>
          </w:tcPr>
          <w:p w14:paraId="116070EF"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Strategy adoption (2020): National hydrogen strategy establishes infrastructure-led approach</w:t>
            </w:r>
          </w:p>
          <w:p w14:paraId="3BD92863"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Infrastructure-first phase (2022): Early planning of hydrogen transport network and port-based hubs</w:t>
            </w:r>
          </w:p>
          <w:p w14:paraId="14EF3436"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Market activation phase (current): Deployment of SDE++ to close operating cost gaps and enable projects</w:t>
            </w:r>
          </w:p>
          <w:p w14:paraId="37B2B1B7"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Next phase: Scaling domestic production and imports through an integrated national hydrogen backbone aligned with EU objectives</w:t>
            </w:r>
          </w:p>
          <w:p w14:paraId="5D5898DD" w14:textId="77777777" w:rsidR="00074C04" w:rsidRPr="00F91404" w:rsidRDefault="00074C04" w:rsidP="00843227">
            <w:pPr>
              <w:spacing w:after="0"/>
              <w:rPr>
                <w:rFonts w:eastAsia="Times New Roman" w:cstheme="minorHAnsi"/>
                <w:sz w:val="18"/>
                <w:szCs w:val="18"/>
                <w:lang w:eastAsia="es-MX"/>
              </w:rPr>
            </w:pPr>
          </w:p>
        </w:tc>
        <w:tc>
          <w:tcPr>
            <w:tcW w:w="1144" w:type="pct"/>
            <w:gridSpan w:val="2"/>
            <w:vMerge w:val="restart"/>
            <w:tcBorders>
              <w:top w:val="nil"/>
              <w:left w:val="single" w:sz="12" w:space="0" w:color="808080"/>
              <w:bottom w:val="single" w:sz="12" w:space="0" w:color="808080"/>
              <w:right w:val="single" w:sz="12" w:space="0" w:color="808080"/>
            </w:tcBorders>
            <w:vAlign w:val="center"/>
            <w:hideMark/>
          </w:tcPr>
          <w:p w14:paraId="2AED38E4"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Execution focused on two core pillars:</w:t>
            </w:r>
          </w:p>
          <w:p w14:paraId="69AC5E2A" w14:textId="77777777" w:rsidR="00074C04" w:rsidRPr="00F91404" w:rsidRDefault="00074C04" w:rsidP="008D5DDD">
            <w:pPr>
              <w:pStyle w:val="ListParagraph"/>
              <w:numPr>
                <w:ilvl w:val="1"/>
                <w:numId w:val="28"/>
              </w:numPr>
              <w:spacing w:before="240" w:after="140" w:line="276" w:lineRule="auto"/>
              <w:ind w:left="284" w:hanging="141"/>
              <w:rPr>
                <w:rFonts w:eastAsia="Times New Roman" w:cstheme="minorHAnsi"/>
                <w:sz w:val="18"/>
                <w:szCs w:val="18"/>
                <w:lang w:eastAsia="es-MX"/>
              </w:rPr>
            </w:pPr>
            <w:r w:rsidRPr="00F91404">
              <w:rPr>
                <w:rFonts w:eastAsia="Times New Roman" w:cstheme="minorHAnsi"/>
                <w:sz w:val="18"/>
                <w:szCs w:val="18"/>
                <w:lang w:eastAsia="es-MX"/>
              </w:rPr>
              <w:t>Rollout of a national hydrogen transport network, led by Gasunie</w:t>
            </w:r>
          </w:p>
          <w:p w14:paraId="14A55B36" w14:textId="77777777" w:rsidR="00074C04" w:rsidRPr="00F91404" w:rsidRDefault="00074C04" w:rsidP="008D5DDD">
            <w:pPr>
              <w:pStyle w:val="ListParagraph"/>
              <w:numPr>
                <w:ilvl w:val="1"/>
                <w:numId w:val="28"/>
              </w:numPr>
              <w:spacing w:before="240" w:after="140" w:line="276" w:lineRule="auto"/>
              <w:ind w:left="284" w:hanging="141"/>
              <w:rPr>
                <w:rFonts w:eastAsia="Times New Roman" w:cstheme="minorHAnsi"/>
                <w:sz w:val="18"/>
                <w:szCs w:val="18"/>
                <w:lang w:eastAsia="es-MX"/>
              </w:rPr>
            </w:pPr>
            <w:r w:rsidRPr="00F91404">
              <w:rPr>
                <w:rFonts w:eastAsia="Times New Roman" w:cstheme="minorHAnsi"/>
                <w:sz w:val="18"/>
                <w:szCs w:val="18"/>
                <w:lang w:eastAsia="es-MX"/>
              </w:rPr>
              <w:t>Deployment of SDE++ operating support for eligible low-carbon hydrogen projects</w:t>
            </w:r>
          </w:p>
          <w:p w14:paraId="26A8D3F3"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Infrastructure delivery </w:t>
            </w:r>
            <w:r w:rsidRPr="00F91404">
              <w:rPr>
                <w:rFonts w:eastAsia="Times New Roman" w:cstheme="minorHAnsi"/>
                <w:sz w:val="18"/>
                <w:szCs w:val="18"/>
                <w:lang w:eastAsia="es-MX"/>
              </w:rPr>
              <w:br/>
              <w:t>prioritizes:</w:t>
            </w:r>
          </w:p>
          <w:p w14:paraId="35D7E6FF" w14:textId="77777777" w:rsidR="00074C04" w:rsidRPr="00F91404" w:rsidRDefault="00074C04" w:rsidP="008D5DDD">
            <w:pPr>
              <w:pStyle w:val="ListParagraph"/>
              <w:numPr>
                <w:ilvl w:val="1"/>
                <w:numId w:val="28"/>
              </w:numPr>
              <w:spacing w:before="240" w:after="140" w:line="276" w:lineRule="auto"/>
              <w:ind w:left="284" w:hanging="141"/>
              <w:rPr>
                <w:rFonts w:eastAsia="Times New Roman" w:cstheme="minorHAnsi"/>
                <w:sz w:val="18"/>
                <w:szCs w:val="18"/>
                <w:lang w:eastAsia="es-MX"/>
              </w:rPr>
            </w:pPr>
            <w:r w:rsidRPr="00F91404">
              <w:rPr>
                <w:rFonts w:eastAsia="Times New Roman" w:cstheme="minorHAnsi"/>
                <w:sz w:val="18"/>
                <w:szCs w:val="18"/>
                <w:lang w:eastAsia="es-MX"/>
              </w:rPr>
              <w:t>Pipelines repurpose</w:t>
            </w:r>
          </w:p>
          <w:p w14:paraId="36C596AF" w14:textId="77777777" w:rsidR="00074C04" w:rsidRPr="00F91404" w:rsidRDefault="00074C04" w:rsidP="008D5DDD">
            <w:pPr>
              <w:pStyle w:val="ListParagraph"/>
              <w:numPr>
                <w:ilvl w:val="1"/>
                <w:numId w:val="28"/>
              </w:numPr>
              <w:spacing w:before="240" w:after="140" w:line="276" w:lineRule="auto"/>
              <w:ind w:left="284" w:hanging="141"/>
              <w:rPr>
                <w:rFonts w:eastAsia="Times New Roman" w:cstheme="minorHAnsi"/>
                <w:sz w:val="18"/>
                <w:szCs w:val="18"/>
                <w:lang w:eastAsia="es-MX"/>
              </w:rPr>
            </w:pPr>
            <w:r w:rsidRPr="00F91404">
              <w:rPr>
                <w:rFonts w:eastAsia="Times New Roman" w:cstheme="minorHAnsi"/>
                <w:sz w:val="18"/>
                <w:szCs w:val="18"/>
                <w:lang w:eastAsia="es-MX"/>
              </w:rPr>
              <w:t>Port-based hydrogen hubs (notably Rotterdam)</w:t>
            </w:r>
          </w:p>
          <w:p w14:paraId="55328D71" w14:textId="77777777" w:rsidR="00074C04" w:rsidRPr="00F91404" w:rsidRDefault="00074C04" w:rsidP="00843227">
            <w:pPr>
              <w:spacing w:after="0"/>
              <w:rPr>
                <w:rFonts w:eastAsia="Times New Roman" w:cstheme="minorHAnsi"/>
                <w:sz w:val="18"/>
                <w:szCs w:val="18"/>
                <w:lang w:eastAsia="es-MX"/>
              </w:rPr>
            </w:pPr>
          </w:p>
        </w:tc>
      </w:tr>
      <w:tr w:rsidR="00074C04" w:rsidRPr="00F91404" w14:paraId="16B9E40D" w14:textId="77777777" w:rsidTr="0064603E">
        <w:trPr>
          <w:trHeight w:val="5628"/>
        </w:trPr>
        <w:tc>
          <w:tcPr>
            <w:tcW w:w="1186" w:type="pct"/>
            <w:gridSpan w:val="2"/>
            <w:vMerge/>
            <w:tcBorders>
              <w:top w:val="single" w:sz="12" w:space="0" w:color="808080"/>
              <w:left w:val="single" w:sz="12" w:space="0" w:color="808080"/>
              <w:bottom w:val="single" w:sz="12" w:space="0" w:color="808080"/>
              <w:right w:val="single" w:sz="12" w:space="0" w:color="808080"/>
            </w:tcBorders>
            <w:vAlign w:val="center"/>
            <w:hideMark/>
          </w:tcPr>
          <w:p w14:paraId="4B660EE5" w14:textId="77777777" w:rsidR="00074C04" w:rsidRPr="00F91404" w:rsidRDefault="00074C04" w:rsidP="00843227">
            <w:pPr>
              <w:spacing w:after="0"/>
              <w:rPr>
                <w:rFonts w:eastAsia="Times New Roman" w:cstheme="minorHAnsi"/>
                <w:b/>
                <w:color w:val="000000"/>
                <w:sz w:val="18"/>
                <w:szCs w:val="18"/>
                <w:lang w:eastAsia="es-MX"/>
              </w:rPr>
            </w:pPr>
          </w:p>
        </w:tc>
        <w:tc>
          <w:tcPr>
            <w:tcW w:w="1275" w:type="pct"/>
            <w:gridSpan w:val="2"/>
            <w:vMerge/>
            <w:tcBorders>
              <w:top w:val="nil"/>
              <w:left w:val="single" w:sz="12" w:space="0" w:color="808080"/>
              <w:bottom w:val="single" w:sz="12" w:space="0" w:color="808080"/>
              <w:right w:val="single" w:sz="12" w:space="0" w:color="808080"/>
            </w:tcBorders>
            <w:vAlign w:val="center"/>
            <w:hideMark/>
          </w:tcPr>
          <w:p w14:paraId="255647ED" w14:textId="77777777" w:rsidR="00074C04" w:rsidRPr="00F91404" w:rsidRDefault="00074C04" w:rsidP="00843227">
            <w:pPr>
              <w:spacing w:after="0"/>
              <w:rPr>
                <w:rFonts w:eastAsia="Times New Roman" w:cstheme="minorHAnsi"/>
                <w:color w:val="000000"/>
                <w:sz w:val="18"/>
                <w:szCs w:val="18"/>
                <w:lang w:eastAsia="es-MX"/>
              </w:rPr>
            </w:pPr>
          </w:p>
        </w:tc>
        <w:tc>
          <w:tcPr>
            <w:tcW w:w="1320" w:type="pct"/>
            <w:gridSpan w:val="2"/>
            <w:vMerge/>
            <w:tcBorders>
              <w:top w:val="nil"/>
              <w:left w:val="single" w:sz="12" w:space="0" w:color="808080"/>
              <w:bottom w:val="single" w:sz="12" w:space="0" w:color="808080"/>
              <w:right w:val="single" w:sz="12" w:space="0" w:color="808080"/>
            </w:tcBorders>
            <w:vAlign w:val="center"/>
            <w:hideMark/>
          </w:tcPr>
          <w:p w14:paraId="7A1215AD" w14:textId="77777777" w:rsidR="00074C04" w:rsidRPr="00F91404" w:rsidRDefault="00074C04" w:rsidP="00843227">
            <w:pPr>
              <w:spacing w:after="0"/>
              <w:rPr>
                <w:rFonts w:eastAsia="Times New Roman" w:cstheme="minorHAnsi"/>
                <w:color w:val="000000"/>
                <w:sz w:val="18"/>
                <w:szCs w:val="18"/>
                <w:lang w:eastAsia="es-MX"/>
              </w:rPr>
            </w:pPr>
          </w:p>
        </w:tc>
        <w:tc>
          <w:tcPr>
            <w:tcW w:w="1144" w:type="pct"/>
            <w:gridSpan w:val="2"/>
            <w:vMerge/>
            <w:tcBorders>
              <w:top w:val="nil"/>
              <w:left w:val="single" w:sz="12" w:space="0" w:color="808080"/>
              <w:bottom w:val="single" w:sz="12" w:space="0" w:color="808080"/>
              <w:right w:val="single" w:sz="12" w:space="0" w:color="808080"/>
            </w:tcBorders>
            <w:vAlign w:val="center"/>
            <w:hideMark/>
          </w:tcPr>
          <w:p w14:paraId="22D69219" w14:textId="77777777" w:rsidR="00074C04" w:rsidRPr="00F91404" w:rsidRDefault="00074C04" w:rsidP="00843227">
            <w:pPr>
              <w:spacing w:after="0"/>
              <w:rPr>
                <w:rFonts w:eastAsia="Times New Roman" w:cstheme="minorHAnsi"/>
                <w:color w:val="000000"/>
                <w:sz w:val="18"/>
                <w:szCs w:val="18"/>
                <w:lang w:eastAsia="es-MX"/>
              </w:rPr>
            </w:pPr>
          </w:p>
        </w:tc>
        <w:tc>
          <w:tcPr>
            <w:tcW w:w="76" w:type="pct"/>
            <w:tcBorders>
              <w:top w:val="nil"/>
              <w:left w:val="nil"/>
              <w:bottom w:val="nil"/>
              <w:right w:val="nil"/>
            </w:tcBorders>
            <w:noWrap/>
            <w:vAlign w:val="bottom"/>
            <w:hideMark/>
          </w:tcPr>
          <w:p w14:paraId="1CAF937D" w14:textId="77777777" w:rsidR="00074C04" w:rsidRPr="00F91404" w:rsidRDefault="00074C04" w:rsidP="00843227">
            <w:pPr>
              <w:spacing w:after="0"/>
              <w:jc w:val="center"/>
              <w:rPr>
                <w:rFonts w:eastAsia="Times New Roman" w:cstheme="minorHAnsi"/>
                <w:color w:val="000000"/>
                <w:sz w:val="18"/>
                <w:szCs w:val="18"/>
                <w:lang w:eastAsia="es-MX"/>
              </w:rPr>
            </w:pPr>
          </w:p>
        </w:tc>
      </w:tr>
      <w:tr w:rsidR="00074C04" w:rsidRPr="00F91404" w14:paraId="5457F781" w14:textId="77777777" w:rsidTr="00843227">
        <w:trPr>
          <w:trHeight w:val="400"/>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746E7EB1" w14:textId="77777777" w:rsidR="00074C04" w:rsidRPr="00F91404" w:rsidRDefault="00074C04" w:rsidP="00843227">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lastRenderedPageBreak/>
              <w:t>Policies Framework</w:t>
            </w:r>
          </w:p>
        </w:tc>
        <w:tc>
          <w:tcPr>
            <w:tcW w:w="76" w:type="pct"/>
            <w:vAlign w:val="center"/>
            <w:hideMark/>
          </w:tcPr>
          <w:p w14:paraId="4DFF4070" w14:textId="77777777" w:rsidR="00074C04" w:rsidRPr="00F91404" w:rsidRDefault="00074C04" w:rsidP="00843227">
            <w:pPr>
              <w:spacing w:after="0"/>
              <w:rPr>
                <w:rFonts w:eastAsia="Times New Roman" w:cstheme="minorHAnsi"/>
                <w:sz w:val="18"/>
                <w:szCs w:val="18"/>
                <w:lang w:eastAsia="es-MX"/>
              </w:rPr>
            </w:pPr>
          </w:p>
        </w:tc>
      </w:tr>
      <w:tr w:rsidR="00074C04" w:rsidRPr="00F91404" w14:paraId="5FB28E06" w14:textId="77777777" w:rsidTr="00816A15">
        <w:trPr>
          <w:trHeight w:val="1346"/>
        </w:trPr>
        <w:tc>
          <w:tcPr>
            <w:tcW w:w="1053"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4DBF0281"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Fiscal &amp; Tax </w:t>
            </w:r>
          </w:p>
          <w:p w14:paraId="33CFE542"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Incentives</w:t>
            </w:r>
          </w:p>
        </w:tc>
        <w:tc>
          <w:tcPr>
            <w:tcW w:w="3871" w:type="pct"/>
            <w:gridSpan w:val="7"/>
            <w:tcBorders>
              <w:top w:val="single" w:sz="12" w:space="0" w:color="808080"/>
              <w:left w:val="nil"/>
              <w:bottom w:val="single" w:sz="12" w:space="0" w:color="808080"/>
              <w:right w:val="single" w:sz="12" w:space="0" w:color="808080"/>
            </w:tcBorders>
            <w:vAlign w:val="center"/>
            <w:hideMark/>
          </w:tcPr>
          <w:p w14:paraId="499AD903"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Selective investment allowances and accelerated depreciation reduce effective CAPEX</w:t>
            </w:r>
          </w:p>
          <w:p w14:paraId="54841F3B"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Fiscal incentives complement, but do not replace, budget-funded support schemes</w:t>
            </w:r>
          </w:p>
          <w:p w14:paraId="6BAEFDC9"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Tax measures play a supporting role within an infrastructure-led model</w:t>
            </w:r>
          </w:p>
        </w:tc>
        <w:tc>
          <w:tcPr>
            <w:tcW w:w="76" w:type="pct"/>
            <w:vAlign w:val="center"/>
            <w:hideMark/>
          </w:tcPr>
          <w:p w14:paraId="334B02AE" w14:textId="77777777" w:rsidR="00074C04" w:rsidRPr="00F91404" w:rsidRDefault="00074C04" w:rsidP="00843227">
            <w:pPr>
              <w:spacing w:after="0"/>
              <w:rPr>
                <w:rFonts w:eastAsia="Times New Roman" w:cstheme="minorHAnsi"/>
                <w:sz w:val="18"/>
                <w:szCs w:val="18"/>
                <w:lang w:eastAsia="es-MX"/>
              </w:rPr>
            </w:pPr>
          </w:p>
        </w:tc>
      </w:tr>
      <w:tr w:rsidR="00074C04" w:rsidRPr="00F91404" w14:paraId="37A9FB20" w14:textId="77777777" w:rsidTr="00816A15">
        <w:trPr>
          <w:trHeight w:val="1379"/>
        </w:trPr>
        <w:tc>
          <w:tcPr>
            <w:tcW w:w="1053"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5FFF5A96" w14:textId="77777777" w:rsidR="00074C04" w:rsidRPr="00F91404" w:rsidRDefault="00074C04" w:rsidP="00843227">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Market and revenue support </w:t>
            </w:r>
          </w:p>
          <w:p w14:paraId="62432799"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mechanisms</w:t>
            </w:r>
          </w:p>
        </w:tc>
        <w:tc>
          <w:tcPr>
            <w:tcW w:w="3871" w:type="pct"/>
            <w:gridSpan w:val="7"/>
            <w:tcBorders>
              <w:top w:val="single" w:sz="12" w:space="0" w:color="808080"/>
              <w:left w:val="nil"/>
              <w:bottom w:val="single" w:sz="12" w:space="0" w:color="808080"/>
              <w:right w:val="single" w:sz="12" w:space="0" w:color="808080"/>
            </w:tcBorders>
            <w:vAlign w:val="center"/>
            <w:hideMark/>
          </w:tcPr>
          <w:p w14:paraId="45530321"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SDE++ (</w:t>
            </w:r>
            <w:proofErr w:type="spellStart"/>
            <w:r w:rsidRPr="00F91404">
              <w:rPr>
                <w:rFonts w:eastAsia="Times New Roman" w:cstheme="minorHAnsi"/>
                <w:sz w:val="18"/>
                <w:szCs w:val="18"/>
                <w:lang w:eastAsia="es-MX"/>
              </w:rPr>
              <w:t>Stimulering</w:t>
            </w:r>
            <w:proofErr w:type="spellEnd"/>
            <w:r w:rsidRPr="00F91404">
              <w:rPr>
                <w:rFonts w:eastAsia="Times New Roman" w:cstheme="minorHAnsi"/>
                <w:sz w:val="18"/>
                <w:szCs w:val="18"/>
                <w:lang w:eastAsia="es-MX"/>
              </w:rPr>
              <w:t xml:space="preserve"> </w:t>
            </w:r>
            <w:proofErr w:type="spellStart"/>
            <w:r w:rsidRPr="00F91404">
              <w:rPr>
                <w:rFonts w:eastAsia="Times New Roman" w:cstheme="minorHAnsi"/>
                <w:sz w:val="18"/>
                <w:szCs w:val="18"/>
                <w:lang w:eastAsia="es-MX"/>
              </w:rPr>
              <w:t>Duurzame</w:t>
            </w:r>
            <w:proofErr w:type="spellEnd"/>
            <w:r w:rsidRPr="00F91404">
              <w:rPr>
                <w:rFonts w:eastAsia="Times New Roman" w:cstheme="minorHAnsi"/>
                <w:sz w:val="18"/>
                <w:szCs w:val="18"/>
                <w:lang w:eastAsia="es-MX"/>
              </w:rPr>
              <w:t xml:space="preserve"> </w:t>
            </w:r>
            <w:proofErr w:type="spellStart"/>
            <w:r w:rsidRPr="00F91404">
              <w:rPr>
                <w:rFonts w:eastAsia="Times New Roman" w:cstheme="minorHAnsi"/>
                <w:sz w:val="18"/>
                <w:szCs w:val="18"/>
                <w:lang w:eastAsia="es-MX"/>
              </w:rPr>
              <w:t>Energieproductie</w:t>
            </w:r>
            <w:proofErr w:type="spellEnd"/>
            <w:r w:rsidRPr="00F91404">
              <w:rPr>
                <w:rFonts w:eastAsia="Times New Roman" w:cstheme="minorHAnsi"/>
                <w:sz w:val="18"/>
                <w:szCs w:val="18"/>
                <w:lang w:eastAsia="es-MX"/>
              </w:rPr>
              <w:t xml:space="preserve"> </w:t>
            </w:r>
            <w:proofErr w:type="spellStart"/>
            <w:r w:rsidRPr="00F91404">
              <w:rPr>
                <w:rFonts w:eastAsia="Times New Roman" w:cstheme="minorHAnsi"/>
                <w:sz w:val="18"/>
                <w:szCs w:val="18"/>
                <w:lang w:eastAsia="es-MX"/>
              </w:rPr>
              <w:t>en</w:t>
            </w:r>
            <w:proofErr w:type="spellEnd"/>
            <w:r w:rsidRPr="00F91404">
              <w:rPr>
                <w:rFonts w:eastAsia="Times New Roman" w:cstheme="minorHAnsi"/>
                <w:sz w:val="18"/>
                <w:szCs w:val="18"/>
                <w:lang w:eastAsia="es-MX"/>
              </w:rPr>
              <w:t xml:space="preserve"> </w:t>
            </w:r>
            <w:proofErr w:type="spellStart"/>
            <w:r w:rsidRPr="00F91404">
              <w:rPr>
                <w:rFonts w:eastAsia="Times New Roman" w:cstheme="minorHAnsi"/>
                <w:sz w:val="18"/>
                <w:szCs w:val="18"/>
                <w:lang w:eastAsia="es-MX"/>
              </w:rPr>
              <w:t>Klimaattransitie</w:t>
            </w:r>
            <w:proofErr w:type="spellEnd"/>
            <w:r w:rsidRPr="00F91404">
              <w:rPr>
                <w:rFonts w:eastAsia="Times New Roman" w:cstheme="minorHAnsi"/>
                <w:sz w:val="18"/>
                <w:szCs w:val="18"/>
                <w:lang w:eastAsia="es-MX"/>
              </w:rPr>
              <w:t>) provides operating support linked to verified emissions reductions</w:t>
            </w:r>
          </w:p>
          <w:p w14:paraId="1CABEE12"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Payments compensate the cost gap between low-carbon hydrogen and conventional alternatives</w:t>
            </w:r>
          </w:p>
          <w:p w14:paraId="0AD8DD4B"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The mechanism stabilizes early project economics by reducing operating cost exposure</w:t>
            </w:r>
          </w:p>
          <w:p w14:paraId="3CAE34ED" w14:textId="77777777" w:rsidR="00074C04" w:rsidRPr="00F91404" w:rsidRDefault="00074C04" w:rsidP="00843227">
            <w:pPr>
              <w:spacing w:after="0"/>
              <w:rPr>
                <w:rFonts w:eastAsia="Times New Roman" w:cstheme="minorHAnsi"/>
                <w:color w:val="000000"/>
                <w:sz w:val="18"/>
                <w:szCs w:val="18"/>
                <w:lang w:eastAsia="es-MX"/>
              </w:rPr>
            </w:pPr>
          </w:p>
        </w:tc>
        <w:tc>
          <w:tcPr>
            <w:tcW w:w="76" w:type="pct"/>
            <w:vAlign w:val="center"/>
            <w:hideMark/>
          </w:tcPr>
          <w:p w14:paraId="02314829" w14:textId="77777777" w:rsidR="00074C04" w:rsidRPr="00F91404" w:rsidRDefault="00074C04" w:rsidP="00843227">
            <w:pPr>
              <w:spacing w:after="0"/>
              <w:rPr>
                <w:rFonts w:eastAsia="Times New Roman" w:cstheme="minorHAnsi"/>
                <w:sz w:val="18"/>
                <w:szCs w:val="18"/>
                <w:lang w:eastAsia="es-MX"/>
              </w:rPr>
            </w:pPr>
          </w:p>
        </w:tc>
      </w:tr>
      <w:tr w:rsidR="00074C04" w:rsidRPr="00F91404" w14:paraId="13D879DD" w14:textId="77777777" w:rsidTr="00816A15">
        <w:trPr>
          <w:trHeight w:val="1507"/>
        </w:trPr>
        <w:tc>
          <w:tcPr>
            <w:tcW w:w="1053"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0F13D73E" w14:textId="77777777" w:rsidR="00074C04" w:rsidRPr="00F91404" w:rsidRDefault="00074C04" w:rsidP="00843227">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Direct public </w:t>
            </w:r>
          </w:p>
          <w:p w14:paraId="07351D20"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funding</w:t>
            </w:r>
          </w:p>
        </w:tc>
        <w:tc>
          <w:tcPr>
            <w:tcW w:w="3871" w:type="pct"/>
            <w:gridSpan w:val="7"/>
            <w:tcBorders>
              <w:top w:val="single" w:sz="12" w:space="0" w:color="808080"/>
              <w:left w:val="nil"/>
              <w:bottom w:val="single" w:sz="12" w:space="0" w:color="808080"/>
              <w:right w:val="single" w:sz="12" w:space="0" w:color="808080"/>
            </w:tcBorders>
            <w:vAlign w:val="center"/>
            <w:hideMark/>
          </w:tcPr>
          <w:p w14:paraId="1BAAFF90"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Public support primarily delivered through subsidy-based schemes rather than large CAPEX grants</w:t>
            </w:r>
          </w:p>
          <w:p w14:paraId="0A1AEDDD"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Support improves project cashflows over time, strengthening investment viability</w:t>
            </w:r>
          </w:p>
          <w:p w14:paraId="4623F3C1"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Focus is on enabling production assets facing early cost disadvantages</w:t>
            </w:r>
          </w:p>
        </w:tc>
        <w:tc>
          <w:tcPr>
            <w:tcW w:w="76" w:type="pct"/>
            <w:vAlign w:val="center"/>
            <w:hideMark/>
          </w:tcPr>
          <w:p w14:paraId="6C4AFCFD" w14:textId="77777777" w:rsidR="00074C04" w:rsidRPr="00F91404" w:rsidRDefault="00074C04" w:rsidP="00843227">
            <w:pPr>
              <w:spacing w:after="0"/>
              <w:rPr>
                <w:rFonts w:eastAsia="Times New Roman" w:cstheme="minorHAnsi"/>
                <w:sz w:val="18"/>
                <w:szCs w:val="18"/>
                <w:lang w:eastAsia="es-MX"/>
              </w:rPr>
            </w:pPr>
          </w:p>
        </w:tc>
      </w:tr>
      <w:tr w:rsidR="00074C04" w:rsidRPr="00F91404" w14:paraId="2215A74D" w14:textId="77777777" w:rsidTr="00816A15">
        <w:trPr>
          <w:trHeight w:val="1374"/>
        </w:trPr>
        <w:tc>
          <w:tcPr>
            <w:tcW w:w="1053"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72C7C1D0"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Standards and </w:t>
            </w:r>
          </w:p>
          <w:p w14:paraId="7463410B"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certification</w:t>
            </w:r>
          </w:p>
        </w:tc>
        <w:tc>
          <w:tcPr>
            <w:tcW w:w="3871" w:type="pct"/>
            <w:gridSpan w:val="7"/>
            <w:tcBorders>
              <w:top w:val="single" w:sz="12" w:space="0" w:color="808080"/>
              <w:left w:val="nil"/>
              <w:bottom w:val="single" w:sz="12" w:space="0" w:color="808080"/>
              <w:right w:val="single" w:sz="12" w:space="0" w:color="808080"/>
            </w:tcBorders>
            <w:vAlign w:val="center"/>
            <w:hideMark/>
          </w:tcPr>
          <w:p w14:paraId="1EC34633"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EU-aligned definitions and sustainability criteria apply to supported projects</w:t>
            </w:r>
          </w:p>
          <w:p w14:paraId="4468C81A"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Streamlined permitting and regulatory consistency reduce administrative delays</w:t>
            </w:r>
          </w:p>
          <w:p w14:paraId="02D1626B"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Frameworks lower compliance risk for domestic and cross-border projects</w:t>
            </w:r>
          </w:p>
        </w:tc>
        <w:tc>
          <w:tcPr>
            <w:tcW w:w="76" w:type="pct"/>
            <w:vAlign w:val="center"/>
            <w:hideMark/>
          </w:tcPr>
          <w:p w14:paraId="35B95599" w14:textId="77777777" w:rsidR="00074C04" w:rsidRPr="00F91404" w:rsidRDefault="00074C04" w:rsidP="00843227">
            <w:pPr>
              <w:spacing w:after="0"/>
              <w:rPr>
                <w:rFonts w:eastAsia="Times New Roman" w:cstheme="minorHAnsi"/>
                <w:sz w:val="18"/>
                <w:szCs w:val="18"/>
                <w:lang w:eastAsia="es-MX"/>
              </w:rPr>
            </w:pPr>
          </w:p>
        </w:tc>
      </w:tr>
      <w:tr w:rsidR="00074C04" w:rsidRPr="00F91404" w14:paraId="5BAE98A4" w14:textId="77777777" w:rsidTr="00816A15">
        <w:trPr>
          <w:trHeight w:val="1649"/>
        </w:trPr>
        <w:tc>
          <w:tcPr>
            <w:tcW w:w="1053"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33C001DA"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Infrastructure-</w:t>
            </w:r>
          </w:p>
          <w:p w14:paraId="6813C99B"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enabling policies</w:t>
            </w:r>
          </w:p>
        </w:tc>
        <w:tc>
          <w:tcPr>
            <w:tcW w:w="3871" w:type="pct"/>
            <w:gridSpan w:val="7"/>
            <w:tcBorders>
              <w:top w:val="single" w:sz="12" w:space="0" w:color="808080"/>
              <w:left w:val="nil"/>
              <w:bottom w:val="single" w:sz="12" w:space="0" w:color="808080"/>
              <w:right w:val="single" w:sz="12" w:space="0" w:color="808080"/>
            </w:tcBorders>
            <w:vAlign w:val="center"/>
            <w:hideMark/>
          </w:tcPr>
          <w:p w14:paraId="5A2A2F1A"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Hydrogen transport and distribution are treated as regulated network infrastructure, not project-specific assets</w:t>
            </w:r>
          </w:p>
          <w:p w14:paraId="1F5DD296"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A national hydrogen backbone is being developed through repurposing of existing gas pipelines, led by Gasunie</w:t>
            </w:r>
          </w:p>
          <w:p w14:paraId="6D648BAC"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Port-based hydrogen hubs (notably Rotterdam) integrate imports, domestic production and industrial demand</w:t>
            </w:r>
          </w:p>
          <w:p w14:paraId="454F34C1"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This model reduces duplication, lowers integration risk and enables parallel development of multiple projects</w:t>
            </w:r>
          </w:p>
        </w:tc>
        <w:tc>
          <w:tcPr>
            <w:tcW w:w="76" w:type="pct"/>
            <w:vAlign w:val="center"/>
            <w:hideMark/>
          </w:tcPr>
          <w:p w14:paraId="0AA79FEA" w14:textId="77777777" w:rsidR="00074C04" w:rsidRPr="00F91404" w:rsidRDefault="00074C04" w:rsidP="00843227">
            <w:pPr>
              <w:spacing w:after="0"/>
              <w:rPr>
                <w:rFonts w:eastAsia="Times New Roman" w:cstheme="minorHAnsi"/>
                <w:sz w:val="18"/>
                <w:szCs w:val="18"/>
                <w:lang w:eastAsia="es-MX"/>
              </w:rPr>
            </w:pPr>
          </w:p>
        </w:tc>
      </w:tr>
      <w:tr w:rsidR="00074C04" w:rsidRPr="00F91404" w14:paraId="68E67F74" w14:textId="77777777" w:rsidTr="00843227">
        <w:trPr>
          <w:trHeight w:val="400"/>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5422B41A" w14:textId="77777777" w:rsidR="00074C04" w:rsidRPr="00F91404" w:rsidRDefault="00074C04" w:rsidP="00843227">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Sectoral focus / Priority sectors</w:t>
            </w:r>
          </w:p>
        </w:tc>
        <w:tc>
          <w:tcPr>
            <w:tcW w:w="76" w:type="pct"/>
            <w:vAlign w:val="center"/>
          </w:tcPr>
          <w:p w14:paraId="52643232" w14:textId="77777777" w:rsidR="00074C04" w:rsidRPr="00F91404" w:rsidRDefault="00074C04" w:rsidP="00843227">
            <w:pPr>
              <w:spacing w:after="0"/>
              <w:rPr>
                <w:rFonts w:eastAsia="Times New Roman" w:cstheme="minorHAnsi"/>
                <w:sz w:val="18"/>
                <w:szCs w:val="18"/>
                <w:lang w:eastAsia="es-MX"/>
              </w:rPr>
            </w:pPr>
          </w:p>
        </w:tc>
      </w:tr>
      <w:tr w:rsidR="00074C04" w:rsidRPr="00F91404" w14:paraId="3AEEE6CD" w14:textId="77777777" w:rsidTr="00E12584">
        <w:trPr>
          <w:trHeight w:val="1815"/>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6DB4766E" w14:textId="77777777" w:rsidR="00074C04" w:rsidRPr="00F91404" w:rsidRDefault="00074C04" w:rsidP="006C1494">
            <w:pPr>
              <w:spacing w:after="0"/>
              <w:rPr>
                <w:rFonts w:eastAsia="Times New Roman" w:cstheme="minorHAnsi"/>
                <w:sz w:val="18"/>
                <w:szCs w:val="18"/>
                <w:lang w:eastAsia="es-MX"/>
              </w:rPr>
            </w:pPr>
            <w:r w:rsidRPr="00F91404">
              <w:rPr>
                <w:rFonts w:eastAsia="Times New Roman" w:cstheme="minorHAnsi"/>
                <w:sz w:val="18"/>
                <w:szCs w:val="18"/>
                <w:lang w:eastAsia="es-MX"/>
              </w:rPr>
              <w:t>Hydrogen demand is driven by existing industrial consumption in refining and chemicals, combined with the country’s role as a European import and distribution hub. Hydrogen is used as a feedstock and energy carrier within large industrial clusters and redistributed to neighbouring markets.</w:t>
            </w:r>
          </w:p>
        </w:tc>
        <w:tc>
          <w:tcPr>
            <w:tcW w:w="76" w:type="pct"/>
            <w:vAlign w:val="center"/>
          </w:tcPr>
          <w:p w14:paraId="3F304C60" w14:textId="77777777" w:rsidR="00074C04" w:rsidRPr="00F91404" w:rsidRDefault="00074C04" w:rsidP="00843227">
            <w:pPr>
              <w:spacing w:after="0"/>
              <w:rPr>
                <w:rFonts w:eastAsia="Times New Roman" w:cstheme="minorHAnsi"/>
                <w:sz w:val="18"/>
                <w:szCs w:val="18"/>
                <w:lang w:eastAsia="es-MX"/>
              </w:rPr>
            </w:pPr>
          </w:p>
        </w:tc>
      </w:tr>
      <w:tr w:rsidR="0064603E" w:rsidRPr="00F91404" w14:paraId="04B5BBDA" w14:textId="77777777" w:rsidTr="001F2A9A">
        <w:trPr>
          <w:trHeight w:val="326"/>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5E5BA2F8" w14:textId="211EB270" w:rsidR="0064603E" w:rsidRPr="00F91404" w:rsidRDefault="0064603E" w:rsidP="0064603E">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Renewable Energy Context</w:t>
            </w:r>
          </w:p>
        </w:tc>
        <w:tc>
          <w:tcPr>
            <w:tcW w:w="76" w:type="pct"/>
            <w:vAlign w:val="center"/>
          </w:tcPr>
          <w:p w14:paraId="7C87E6FF" w14:textId="77777777" w:rsidR="0064603E" w:rsidRPr="00F91404" w:rsidRDefault="0064603E" w:rsidP="0064603E">
            <w:pPr>
              <w:spacing w:after="0"/>
              <w:rPr>
                <w:rFonts w:eastAsia="Times New Roman" w:cstheme="minorHAnsi"/>
                <w:sz w:val="18"/>
                <w:szCs w:val="18"/>
                <w:lang w:eastAsia="es-MX"/>
              </w:rPr>
            </w:pPr>
          </w:p>
        </w:tc>
      </w:tr>
      <w:tr w:rsidR="0064603E" w:rsidRPr="00F91404" w14:paraId="2337DD5C" w14:textId="77777777" w:rsidTr="00E12584">
        <w:trPr>
          <w:trHeight w:val="2372"/>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16E20C3" w14:textId="77777777" w:rsidR="00E12584" w:rsidRPr="00F91404" w:rsidRDefault="00E12584" w:rsidP="006C1494">
            <w:pPr>
              <w:spacing w:after="0"/>
              <w:rPr>
                <w:rFonts w:eastAsia="Times New Roman" w:cstheme="minorHAnsi"/>
                <w:sz w:val="18"/>
                <w:szCs w:val="18"/>
                <w:lang w:eastAsia="es-MX"/>
              </w:rPr>
            </w:pPr>
            <w:r w:rsidRPr="00F91404">
              <w:rPr>
                <w:rFonts w:eastAsia="Times New Roman" w:cstheme="minorHAnsi"/>
                <w:sz w:val="18"/>
                <w:szCs w:val="18"/>
                <w:lang w:eastAsia="es-MX"/>
              </w:rPr>
              <w:t>The Netherlands has experienced accelerated renewable energy deployment over the past decade, particularly in offshore wind and solar PV. Installed renewable electricity capacity exceeds 40 GW, with renewables accounting for an increasing share of total power generation, supported by competitive auctions and EU-aligned climate targets.</w:t>
            </w:r>
          </w:p>
          <w:p w14:paraId="08EBAEDC" w14:textId="77777777" w:rsidR="00E12584" w:rsidRPr="00F91404" w:rsidRDefault="00E12584" w:rsidP="006C1494">
            <w:pPr>
              <w:spacing w:after="0"/>
              <w:rPr>
                <w:rFonts w:eastAsia="Times New Roman" w:cstheme="minorHAnsi"/>
                <w:sz w:val="18"/>
                <w:szCs w:val="18"/>
                <w:lang w:eastAsia="es-MX"/>
              </w:rPr>
            </w:pPr>
          </w:p>
          <w:p w14:paraId="4AF44D5F" w14:textId="549FF57A" w:rsidR="0064603E" w:rsidRPr="00F91404" w:rsidRDefault="00E12584" w:rsidP="006C1494">
            <w:pPr>
              <w:spacing w:after="0"/>
              <w:rPr>
                <w:rFonts w:eastAsia="Times New Roman" w:cstheme="minorHAnsi"/>
                <w:sz w:val="18"/>
                <w:szCs w:val="18"/>
                <w:lang w:eastAsia="es-MX"/>
              </w:rPr>
            </w:pPr>
            <w:r w:rsidRPr="00F91404">
              <w:rPr>
                <w:rFonts w:eastAsia="Times New Roman" w:cstheme="minorHAnsi"/>
                <w:sz w:val="18"/>
                <w:szCs w:val="18"/>
                <w:lang w:eastAsia="es-MX"/>
              </w:rPr>
              <w:t>National policy aims to significantly expand offshore wind capacity by 2030, positioning the Netherlands as a North Sea renewable hub. This expanding renewable base underpins domestic electrolysis ambitions while also supporting the country’s strategy to act as a gateway for imported hydrogen into the European market.</w:t>
            </w:r>
          </w:p>
        </w:tc>
        <w:tc>
          <w:tcPr>
            <w:tcW w:w="76" w:type="pct"/>
            <w:vAlign w:val="center"/>
          </w:tcPr>
          <w:p w14:paraId="194911AD" w14:textId="77777777" w:rsidR="0064603E" w:rsidRPr="00F91404" w:rsidRDefault="0064603E" w:rsidP="0064603E">
            <w:pPr>
              <w:spacing w:after="0"/>
              <w:rPr>
                <w:rFonts w:eastAsia="Times New Roman" w:cstheme="minorHAnsi"/>
                <w:sz w:val="18"/>
                <w:szCs w:val="18"/>
                <w:lang w:eastAsia="es-MX"/>
              </w:rPr>
            </w:pPr>
          </w:p>
        </w:tc>
      </w:tr>
      <w:tr w:rsidR="0064603E" w:rsidRPr="00F91404" w14:paraId="19B3ECE7" w14:textId="77777777" w:rsidTr="001F2A9A">
        <w:trPr>
          <w:trHeight w:val="458"/>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FE1219C" w14:textId="31B048C8" w:rsidR="0064603E" w:rsidRPr="00F91404" w:rsidRDefault="0064603E" w:rsidP="006A7AFC">
            <w:pPr>
              <w:spacing w:after="0" w:line="276" w:lineRule="auto"/>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c>
          <w:tcPr>
            <w:tcW w:w="76" w:type="pct"/>
            <w:vAlign w:val="center"/>
          </w:tcPr>
          <w:p w14:paraId="7AD35D6C" w14:textId="77777777" w:rsidR="0064603E" w:rsidRPr="00F91404" w:rsidRDefault="0064603E" w:rsidP="0064603E">
            <w:pPr>
              <w:spacing w:after="0"/>
              <w:rPr>
                <w:rFonts w:eastAsia="Times New Roman" w:cstheme="minorHAnsi"/>
                <w:sz w:val="18"/>
                <w:szCs w:val="18"/>
                <w:lang w:eastAsia="es-MX"/>
              </w:rPr>
            </w:pPr>
          </w:p>
        </w:tc>
      </w:tr>
      <w:tr w:rsidR="0064603E" w:rsidRPr="00F91404" w14:paraId="6776C073" w14:textId="77777777" w:rsidTr="00420CBB">
        <w:trPr>
          <w:trHeight w:val="3421"/>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032EA522" w14:textId="77777777" w:rsidR="00E12584" w:rsidRPr="00F91404" w:rsidRDefault="00E12584" w:rsidP="006A7AFC">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The Netherlands applies an infrastructure-led hydrogen value chain model centred on industrial clusters and port logistics:</w:t>
            </w:r>
          </w:p>
          <w:p w14:paraId="2F81C61F" w14:textId="77777777" w:rsidR="00E12584" w:rsidRPr="00F91404" w:rsidRDefault="00E12584" w:rsidP="006A7AFC">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Production:</w:t>
            </w:r>
            <w:r w:rsidRPr="00F91404">
              <w:rPr>
                <w:rFonts w:eastAsia="Times New Roman" w:cstheme="minorHAnsi"/>
                <w:sz w:val="18"/>
                <w:szCs w:val="18"/>
                <w:lang w:eastAsia="es-MX"/>
              </w:rPr>
              <w:br/>
              <w:t>Domestic electrolysis linked to offshore wind expansion, complemented by large-scale imports of hydrogen and ammonia through major ports.</w:t>
            </w:r>
          </w:p>
          <w:p w14:paraId="209A604F" w14:textId="77777777" w:rsidR="00E12584" w:rsidRPr="00F91404" w:rsidRDefault="00E12584" w:rsidP="006A7AFC">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Storage:</w:t>
            </w:r>
            <w:r w:rsidRPr="00F91404">
              <w:rPr>
                <w:rFonts w:eastAsia="Times New Roman" w:cstheme="minorHAnsi"/>
                <w:sz w:val="18"/>
                <w:szCs w:val="18"/>
                <w:lang w:eastAsia="es-MX"/>
              </w:rPr>
              <w:br/>
              <w:t>Development of salt cavern storage and integration with existing gas storage facilities to provide system flexibility and support industrial demand.</w:t>
            </w:r>
          </w:p>
          <w:p w14:paraId="5D6D7E2E" w14:textId="77777777" w:rsidR="00E12584" w:rsidRPr="00F91404" w:rsidRDefault="00E12584" w:rsidP="006A7AFC">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Transport / Distribution:</w:t>
            </w:r>
            <w:r w:rsidRPr="00F91404">
              <w:rPr>
                <w:rFonts w:eastAsia="Times New Roman" w:cstheme="minorHAnsi"/>
                <w:sz w:val="18"/>
                <w:szCs w:val="18"/>
                <w:lang w:eastAsia="es-MX"/>
              </w:rPr>
              <w:br/>
              <w:t>Creation of a national hydrogen backbone through repurposed natural gas pipelines, led by Gasunie, connecting industrial clusters and ports, with integration into cross-border EU corridors.</w:t>
            </w:r>
          </w:p>
          <w:p w14:paraId="4C8E8F7D" w14:textId="77777777" w:rsidR="00E12584" w:rsidRPr="00F91404" w:rsidRDefault="00E12584" w:rsidP="006A7AFC">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Applications:</w:t>
            </w:r>
            <w:r w:rsidRPr="00F91404">
              <w:rPr>
                <w:rFonts w:eastAsia="Times New Roman" w:cstheme="minorHAnsi"/>
                <w:sz w:val="18"/>
                <w:szCs w:val="18"/>
                <w:lang w:eastAsia="es-MX"/>
              </w:rPr>
              <w:br/>
              <w:t>Primary applications in refining, chemicals and heavy industry within established industrial clusters (notably Rotterdam), alongside redistribution to neighbouring European markets.</w:t>
            </w:r>
          </w:p>
          <w:p w14:paraId="2694065A" w14:textId="77777777" w:rsidR="0064603E" w:rsidRPr="00F91404" w:rsidRDefault="0064603E" w:rsidP="006A7AFC">
            <w:pPr>
              <w:spacing w:after="0" w:line="276" w:lineRule="auto"/>
              <w:rPr>
                <w:rFonts w:eastAsia="Times New Roman" w:cstheme="minorHAnsi"/>
                <w:sz w:val="18"/>
                <w:szCs w:val="18"/>
                <w:lang w:eastAsia="es-MX"/>
              </w:rPr>
            </w:pPr>
          </w:p>
        </w:tc>
        <w:tc>
          <w:tcPr>
            <w:tcW w:w="76" w:type="pct"/>
            <w:vAlign w:val="center"/>
          </w:tcPr>
          <w:p w14:paraId="17C47986" w14:textId="77777777" w:rsidR="0064603E" w:rsidRPr="00F91404" w:rsidRDefault="0064603E" w:rsidP="0064603E">
            <w:pPr>
              <w:spacing w:after="0"/>
              <w:rPr>
                <w:rFonts w:eastAsia="Times New Roman" w:cstheme="minorHAnsi"/>
                <w:sz w:val="18"/>
                <w:szCs w:val="18"/>
                <w:lang w:eastAsia="es-MX"/>
              </w:rPr>
            </w:pPr>
          </w:p>
        </w:tc>
      </w:tr>
      <w:tr w:rsidR="0064603E" w:rsidRPr="00F91404" w14:paraId="03F5F300" w14:textId="77777777" w:rsidTr="001F2A9A">
        <w:trPr>
          <w:trHeight w:val="381"/>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85BF64D" w14:textId="52E4EF2E" w:rsidR="0064603E" w:rsidRPr="00F91404" w:rsidRDefault="0064603E" w:rsidP="0064603E">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Strategic Stage &amp; Objective</w:t>
            </w:r>
          </w:p>
        </w:tc>
        <w:tc>
          <w:tcPr>
            <w:tcW w:w="76" w:type="pct"/>
            <w:vAlign w:val="center"/>
          </w:tcPr>
          <w:p w14:paraId="7B04D896" w14:textId="77777777" w:rsidR="0064603E" w:rsidRPr="00F91404" w:rsidRDefault="0064603E" w:rsidP="0064603E">
            <w:pPr>
              <w:spacing w:after="0"/>
              <w:rPr>
                <w:rFonts w:eastAsia="Times New Roman" w:cstheme="minorHAnsi"/>
                <w:sz w:val="18"/>
                <w:szCs w:val="18"/>
                <w:lang w:eastAsia="es-MX"/>
              </w:rPr>
            </w:pPr>
          </w:p>
        </w:tc>
      </w:tr>
      <w:tr w:rsidR="0064603E" w:rsidRPr="00F91404" w14:paraId="6BC3B3C7" w14:textId="77777777" w:rsidTr="00420CBB">
        <w:trPr>
          <w:trHeight w:val="2229"/>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2DD79447" w14:textId="77777777" w:rsidR="00420CBB" w:rsidRPr="00F91404" w:rsidRDefault="00420CBB" w:rsidP="00420CBB">
            <w:pPr>
              <w:spacing w:after="0"/>
              <w:rPr>
                <w:rFonts w:eastAsia="Times New Roman" w:cstheme="minorHAnsi"/>
                <w:sz w:val="18"/>
                <w:szCs w:val="18"/>
                <w:lang w:eastAsia="es-MX"/>
              </w:rPr>
            </w:pPr>
            <w:r w:rsidRPr="00F91404">
              <w:rPr>
                <w:rFonts w:eastAsia="Times New Roman" w:cstheme="minorHAnsi"/>
                <w:b/>
                <w:bCs/>
                <w:sz w:val="18"/>
                <w:szCs w:val="18"/>
                <w:lang w:eastAsia="es-MX"/>
              </w:rPr>
              <w:t>Current Stage:</w:t>
            </w:r>
            <w:r w:rsidRPr="00F91404">
              <w:rPr>
                <w:rFonts w:eastAsia="Times New Roman" w:cstheme="minorHAnsi"/>
                <w:sz w:val="18"/>
                <w:szCs w:val="18"/>
                <w:lang w:eastAsia="es-MX"/>
              </w:rPr>
              <w:t xml:space="preserve"> Advanced / Infrastructure-first scaling model.</w:t>
            </w:r>
          </w:p>
          <w:p w14:paraId="42603D96" w14:textId="77777777" w:rsidR="00420CBB" w:rsidRPr="00F91404" w:rsidRDefault="00420CBB" w:rsidP="00420CBB">
            <w:pPr>
              <w:spacing w:after="0"/>
              <w:rPr>
                <w:rFonts w:eastAsia="Times New Roman" w:cstheme="minorHAnsi"/>
                <w:sz w:val="18"/>
                <w:szCs w:val="18"/>
                <w:lang w:eastAsia="es-MX"/>
              </w:rPr>
            </w:pPr>
            <w:r w:rsidRPr="00F91404">
              <w:rPr>
                <w:rFonts w:eastAsia="Times New Roman" w:cstheme="minorHAnsi"/>
                <w:b/>
                <w:bCs/>
                <w:sz w:val="18"/>
                <w:szCs w:val="18"/>
                <w:lang w:eastAsia="es-MX"/>
              </w:rPr>
              <w:t>Overall Objective:</w:t>
            </w:r>
            <w:r w:rsidRPr="00F91404">
              <w:rPr>
                <w:rFonts w:eastAsia="Times New Roman" w:cstheme="minorHAnsi"/>
                <w:sz w:val="18"/>
                <w:szCs w:val="18"/>
                <w:lang w:eastAsia="es-MX"/>
              </w:rPr>
              <w:br/>
              <w:t>Position the Netherlands as a European hydrogen gateway by combining domestic production, large-scale imports and regulated transport infrastructure, enabling industrial decarbonisation and cross-border trade within the EU internal energy market.</w:t>
            </w:r>
          </w:p>
          <w:p w14:paraId="0D77E7E6" w14:textId="1C472738" w:rsidR="0064603E" w:rsidRPr="00F91404" w:rsidRDefault="00420CBB" w:rsidP="00420CBB">
            <w:pPr>
              <w:spacing w:after="0"/>
              <w:rPr>
                <w:rFonts w:eastAsia="Times New Roman" w:cstheme="minorHAnsi"/>
                <w:sz w:val="18"/>
                <w:szCs w:val="18"/>
                <w:lang w:eastAsia="es-MX"/>
              </w:rPr>
            </w:pPr>
            <w:r w:rsidRPr="00F91404">
              <w:rPr>
                <w:rFonts w:eastAsia="Times New Roman" w:cstheme="minorHAnsi"/>
                <w:sz w:val="18"/>
                <w:szCs w:val="18"/>
                <w:lang w:eastAsia="es-MX"/>
              </w:rPr>
              <w:t>Strategic implementation has progressed from policy definition toward coordinated backbone development, port-based hubs and operating cost support through the SDE++ mechanism.</w:t>
            </w:r>
          </w:p>
        </w:tc>
        <w:tc>
          <w:tcPr>
            <w:tcW w:w="76" w:type="pct"/>
            <w:vAlign w:val="center"/>
          </w:tcPr>
          <w:p w14:paraId="4C080C11" w14:textId="77777777" w:rsidR="0064603E" w:rsidRPr="00F91404" w:rsidRDefault="0064603E" w:rsidP="0064603E">
            <w:pPr>
              <w:spacing w:after="0"/>
              <w:rPr>
                <w:rFonts w:eastAsia="Times New Roman" w:cstheme="minorHAnsi"/>
                <w:sz w:val="18"/>
                <w:szCs w:val="18"/>
                <w:lang w:eastAsia="es-MX"/>
              </w:rPr>
            </w:pPr>
          </w:p>
        </w:tc>
      </w:tr>
      <w:tr w:rsidR="0064603E" w:rsidRPr="00F91404" w14:paraId="073B9F28" w14:textId="77777777" w:rsidTr="001F2A9A">
        <w:trPr>
          <w:trHeight w:val="442"/>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4DD4BDB2" w14:textId="33B89F56" w:rsidR="0064603E" w:rsidRPr="00F91404" w:rsidRDefault="0064603E" w:rsidP="0064603E">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Key Stakeholders</w:t>
            </w:r>
          </w:p>
        </w:tc>
        <w:tc>
          <w:tcPr>
            <w:tcW w:w="76" w:type="pct"/>
            <w:vAlign w:val="center"/>
          </w:tcPr>
          <w:p w14:paraId="757E3EC9" w14:textId="77777777" w:rsidR="0064603E" w:rsidRPr="00F91404" w:rsidRDefault="0064603E" w:rsidP="0064603E">
            <w:pPr>
              <w:spacing w:after="0"/>
              <w:rPr>
                <w:rFonts w:eastAsia="Times New Roman" w:cstheme="minorHAnsi"/>
                <w:sz w:val="18"/>
                <w:szCs w:val="18"/>
                <w:lang w:eastAsia="es-MX"/>
              </w:rPr>
            </w:pPr>
          </w:p>
        </w:tc>
      </w:tr>
      <w:tr w:rsidR="0064603E" w:rsidRPr="00F91404" w14:paraId="3ECE7112" w14:textId="77777777" w:rsidTr="00420CBB">
        <w:trPr>
          <w:trHeight w:val="3289"/>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117B4A2" w14:textId="77777777" w:rsidR="00420CBB" w:rsidRPr="00F91404" w:rsidRDefault="00420CBB" w:rsidP="006A7AFC">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Hydrogen governance and implementation involve coordinated public and infrastructure actors:</w:t>
            </w:r>
          </w:p>
          <w:p w14:paraId="15797DBA" w14:textId="77777777" w:rsidR="00420CBB" w:rsidRPr="00F91404" w:rsidRDefault="00420CBB" w:rsidP="006A7AFC">
            <w:pPr>
              <w:numPr>
                <w:ilvl w:val="0"/>
                <w:numId w:val="4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Ministry of Economic Affairs and Climate Policy – strategic leadership</w:t>
            </w:r>
          </w:p>
          <w:p w14:paraId="70D8F7FF" w14:textId="77777777" w:rsidR="00420CBB" w:rsidRPr="00F91404" w:rsidRDefault="00420CBB" w:rsidP="006A7AFC">
            <w:pPr>
              <w:numPr>
                <w:ilvl w:val="0"/>
                <w:numId w:val="4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Gasunie – hydrogen transport network development and backbone coordination</w:t>
            </w:r>
          </w:p>
          <w:p w14:paraId="4EAEF104" w14:textId="77777777" w:rsidR="00420CBB" w:rsidRPr="00F91404" w:rsidRDefault="00420CBB" w:rsidP="006A7AFC">
            <w:pPr>
              <w:numPr>
                <w:ilvl w:val="0"/>
                <w:numId w:val="4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Port of Rotterdam Authority – hub development and import logistics</w:t>
            </w:r>
          </w:p>
          <w:p w14:paraId="2860F834" w14:textId="77777777" w:rsidR="00420CBB" w:rsidRPr="00F91404" w:rsidRDefault="00420CBB" w:rsidP="006A7AFC">
            <w:pPr>
              <w:numPr>
                <w:ilvl w:val="0"/>
                <w:numId w:val="4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Netherlands Enterprise Agency (RVO) – programme administration and support schemes</w:t>
            </w:r>
          </w:p>
          <w:p w14:paraId="2B1E9CE3" w14:textId="77777777" w:rsidR="00420CBB" w:rsidRPr="00F91404" w:rsidRDefault="00420CBB" w:rsidP="006A7AFC">
            <w:pPr>
              <w:numPr>
                <w:ilvl w:val="0"/>
                <w:numId w:val="4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Transmission system operators (electricity and gas)</w:t>
            </w:r>
          </w:p>
          <w:p w14:paraId="50757A91" w14:textId="77777777" w:rsidR="00420CBB" w:rsidRPr="00F91404" w:rsidRDefault="00420CBB" w:rsidP="006A7AFC">
            <w:pPr>
              <w:numPr>
                <w:ilvl w:val="0"/>
                <w:numId w:val="4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Industrial cluster consortia and private project developers</w:t>
            </w:r>
          </w:p>
          <w:p w14:paraId="45EBFF2B" w14:textId="77777777" w:rsidR="00420CBB" w:rsidRPr="00F91404" w:rsidRDefault="00420CBB" w:rsidP="006A7AFC">
            <w:pPr>
              <w:numPr>
                <w:ilvl w:val="0"/>
                <w:numId w:val="44"/>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European Union institutions (regulatory alignment and funding mechanisms)</w:t>
            </w:r>
          </w:p>
          <w:p w14:paraId="15557802" w14:textId="0B40A242" w:rsidR="0064603E" w:rsidRPr="00F91404" w:rsidRDefault="00420CBB" w:rsidP="006A7AFC">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Stakeholder coordination is structured through infrastructure planning processes and EU-level energy governance frameworks.</w:t>
            </w:r>
          </w:p>
        </w:tc>
        <w:tc>
          <w:tcPr>
            <w:tcW w:w="76" w:type="pct"/>
            <w:vAlign w:val="center"/>
          </w:tcPr>
          <w:p w14:paraId="0AE99A3B" w14:textId="77777777" w:rsidR="0064603E" w:rsidRPr="00F91404" w:rsidRDefault="0064603E" w:rsidP="0064603E">
            <w:pPr>
              <w:spacing w:after="0"/>
              <w:rPr>
                <w:rFonts w:eastAsia="Times New Roman" w:cstheme="minorHAnsi"/>
                <w:sz w:val="18"/>
                <w:szCs w:val="18"/>
                <w:lang w:eastAsia="es-MX"/>
              </w:rPr>
            </w:pPr>
          </w:p>
        </w:tc>
      </w:tr>
      <w:tr w:rsidR="0064603E" w:rsidRPr="00F91404" w14:paraId="0681697F" w14:textId="77777777" w:rsidTr="00816A15">
        <w:trPr>
          <w:trHeight w:val="389"/>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8BD341D" w14:textId="389BE9FF" w:rsidR="0064603E" w:rsidRPr="00F91404" w:rsidRDefault="0064603E" w:rsidP="0064603E">
            <w:pPr>
              <w:spacing w:after="0"/>
              <w:jc w:val="center"/>
              <w:rPr>
                <w:rFonts w:eastAsia="Times New Roman" w:cstheme="minorHAnsi"/>
                <w:sz w:val="18"/>
                <w:szCs w:val="18"/>
                <w:lang w:eastAsia="es-MX"/>
              </w:rPr>
            </w:pPr>
            <w:r w:rsidRPr="00F91404">
              <w:rPr>
                <w:rFonts w:eastAsia="Times New Roman" w:cstheme="minorHAnsi"/>
                <w:b/>
                <w:color w:val="FFFFFF"/>
                <w:sz w:val="18"/>
                <w:szCs w:val="18"/>
                <w:lang w:eastAsia="es-MX"/>
              </w:rPr>
              <w:t>Impact on project development:</w:t>
            </w:r>
          </w:p>
        </w:tc>
        <w:tc>
          <w:tcPr>
            <w:tcW w:w="76" w:type="pct"/>
            <w:vAlign w:val="center"/>
          </w:tcPr>
          <w:p w14:paraId="4D851B9E" w14:textId="77777777" w:rsidR="0064603E" w:rsidRPr="00F91404" w:rsidRDefault="0064603E" w:rsidP="0064603E">
            <w:pPr>
              <w:spacing w:after="0"/>
              <w:rPr>
                <w:rFonts w:eastAsia="Times New Roman" w:cstheme="minorHAnsi"/>
                <w:sz w:val="18"/>
                <w:szCs w:val="18"/>
                <w:lang w:eastAsia="es-MX"/>
              </w:rPr>
            </w:pPr>
          </w:p>
        </w:tc>
      </w:tr>
      <w:tr w:rsidR="0064603E" w:rsidRPr="00F91404" w14:paraId="41F716E7" w14:textId="77777777" w:rsidTr="00420CBB">
        <w:trPr>
          <w:trHeight w:val="2634"/>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06CA7EA" w14:textId="77777777" w:rsidR="0064603E" w:rsidRPr="00F91404" w:rsidRDefault="0064603E" w:rsidP="0064603E">
            <w:pPr>
              <w:pStyle w:val="ListParagraph"/>
              <w:numPr>
                <w:ilvl w:val="0"/>
                <w:numId w:val="31"/>
              </w:numPr>
              <w:spacing w:before="240" w:after="140" w:line="276" w:lineRule="auto"/>
              <w:rPr>
                <w:rFonts w:eastAsia="Times New Roman" w:cstheme="minorHAnsi"/>
                <w:color w:val="000000"/>
                <w:sz w:val="18"/>
                <w:szCs w:val="18"/>
                <w:lang w:eastAsia="es-MX"/>
              </w:rPr>
            </w:pPr>
            <w:r w:rsidRPr="00F91404">
              <w:rPr>
                <w:rFonts w:eastAsia="Times New Roman" w:cstheme="minorHAnsi"/>
                <w:b/>
                <w:color w:val="000000"/>
                <w:sz w:val="18"/>
                <w:szCs w:val="18"/>
                <w:lang w:eastAsia="es-MX"/>
              </w:rPr>
              <w:t>Operating cost support</w:t>
            </w:r>
            <w:r w:rsidRPr="00F91404">
              <w:rPr>
                <w:rFonts w:eastAsia="Times New Roman" w:cstheme="minorHAnsi"/>
                <w:color w:val="000000"/>
                <w:sz w:val="18"/>
                <w:szCs w:val="18"/>
                <w:lang w:eastAsia="es-MX"/>
              </w:rPr>
              <w:t xml:space="preserve"> has reduced the production cost gap during early market development</w:t>
            </w:r>
          </w:p>
          <w:p w14:paraId="73729266" w14:textId="77777777" w:rsidR="0064603E" w:rsidRPr="00F91404" w:rsidRDefault="0064603E" w:rsidP="0064603E">
            <w:pPr>
              <w:pStyle w:val="ListParagraph"/>
              <w:numPr>
                <w:ilvl w:val="0"/>
                <w:numId w:val="31"/>
              </w:numPr>
              <w:spacing w:before="240" w:after="140" w:line="276" w:lineRule="auto"/>
              <w:rPr>
                <w:rFonts w:eastAsia="Times New Roman" w:cstheme="minorHAnsi"/>
                <w:color w:val="000000"/>
                <w:sz w:val="18"/>
                <w:szCs w:val="18"/>
                <w:lang w:eastAsia="es-MX"/>
              </w:rPr>
            </w:pPr>
            <w:r w:rsidRPr="00F91404">
              <w:rPr>
                <w:rFonts w:eastAsia="Times New Roman" w:cstheme="minorHAnsi"/>
                <w:b/>
                <w:color w:val="000000"/>
                <w:sz w:val="18"/>
                <w:szCs w:val="18"/>
                <w:lang w:eastAsia="es-MX"/>
              </w:rPr>
              <w:t>Planned transport and port infrastructure</w:t>
            </w:r>
            <w:r w:rsidRPr="00F91404">
              <w:rPr>
                <w:rFonts w:eastAsia="Times New Roman" w:cstheme="minorHAnsi"/>
                <w:color w:val="000000"/>
                <w:sz w:val="18"/>
                <w:szCs w:val="18"/>
                <w:lang w:eastAsia="es-MX"/>
              </w:rPr>
              <w:t xml:space="preserve"> has lowered integration risk for multiple projects in parallel</w:t>
            </w:r>
          </w:p>
          <w:p w14:paraId="0D673D75" w14:textId="77777777" w:rsidR="0064603E" w:rsidRPr="00F91404" w:rsidRDefault="0064603E" w:rsidP="0064603E">
            <w:pPr>
              <w:pStyle w:val="ListParagraph"/>
              <w:numPr>
                <w:ilvl w:val="0"/>
                <w:numId w:val="31"/>
              </w:numPr>
              <w:spacing w:before="240" w:after="140" w:line="276" w:lineRule="auto"/>
              <w:rPr>
                <w:rFonts w:eastAsia="Times New Roman" w:cstheme="minorHAnsi"/>
                <w:color w:val="000000"/>
                <w:sz w:val="18"/>
                <w:szCs w:val="18"/>
                <w:lang w:eastAsia="es-MX"/>
              </w:rPr>
            </w:pPr>
            <w:r w:rsidRPr="00F91404">
              <w:rPr>
                <w:rFonts w:eastAsia="Times New Roman" w:cstheme="minorHAnsi"/>
                <w:b/>
                <w:color w:val="000000"/>
                <w:sz w:val="18"/>
                <w:szCs w:val="18"/>
                <w:lang w:eastAsia="es-MX"/>
              </w:rPr>
              <w:t>Regulated network approach</w:t>
            </w:r>
            <w:r w:rsidRPr="00F91404">
              <w:rPr>
                <w:rFonts w:eastAsia="Times New Roman" w:cstheme="minorHAnsi"/>
                <w:color w:val="000000"/>
                <w:sz w:val="18"/>
                <w:szCs w:val="18"/>
                <w:lang w:eastAsia="es-MX"/>
              </w:rPr>
              <w:t xml:space="preserve"> has reduced the need for bespoke, project-specific infrastructure</w:t>
            </w:r>
          </w:p>
          <w:p w14:paraId="4CAD6248" w14:textId="77777777" w:rsidR="0064603E" w:rsidRPr="00F91404" w:rsidRDefault="0064603E" w:rsidP="0064603E">
            <w:pPr>
              <w:pStyle w:val="ListParagraph"/>
              <w:numPr>
                <w:ilvl w:val="0"/>
                <w:numId w:val="31"/>
              </w:numPr>
              <w:spacing w:before="240" w:after="140" w:line="276" w:lineRule="auto"/>
              <w:rPr>
                <w:rFonts w:eastAsia="Times New Roman" w:cstheme="minorHAnsi"/>
                <w:color w:val="000000"/>
                <w:sz w:val="18"/>
                <w:szCs w:val="18"/>
                <w:lang w:eastAsia="es-MX"/>
              </w:rPr>
            </w:pPr>
            <w:r w:rsidRPr="00F91404">
              <w:rPr>
                <w:rFonts w:eastAsia="Times New Roman" w:cstheme="minorHAnsi"/>
                <w:color w:val="000000"/>
                <w:sz w:val="18"/>
                <w:szCs w:val="18"/>
                <w:lang w:eastAsia="es-MX"/>
              </w:rPr>
              <w:t xml:space="preserve">The combined effect has enabled </w:t>
            </w:r>
            <w:r w:rsidRPr="00F91404">
              <w:rPr>
                <w:rFonts w:eastAsia="Times New Roman" w:cstheme="minorHAnsi"/>
                <w:b/>
                <w:color w:val="000000"/>
                <w:sz w:val="18"/>
                <w:szCs w:val="18"/>
                <w:lang w:eastAsia="es-MX"/>
              </w:rPr>
              <w:t>industrial offtake clustering</w:t>
            </w:r>
            <w:r w:rsidRPr="00F91404">
              <w:rPr>
                <w:rFonts w:eastAsia="Times New Roman" w:cstheme="minorHAnsi"/>
                <w:color w:val="000000"/>
                <w:sz w:val="18"/>
                <w:szCs w:val="18"/>
                <w:lang w:eastAsia="es-MX"/>
              </w:rPr>
              <w:t xml:space="preserve"> and positioned the country as a </w:t>
            </w:r>
            <w:r w:rsidRPr="00F91404">
              <w:rPr>
                <w:rFonts w:eastAsia="Times New Roman" w:cstheme="minorHAnsi"/>
                <w:b/>
                <w:color w:val="000000"/>
                <w:sz w:val="18"/>
                <w:szCs w:val="18"/>
                <w:lang w:eastAsia="es-MX"/>
              </w:rPr>
              <w:t>gateway for domestic and imported hydrogen</w:t>
            </w:r>
            <w:r w:rsidRPr="00F91404">
              <w:rPr>
                <w:rFonts w:eastAsia="Times New Roman" w:cstheme="minorHAnsi"/>
                <w:color w:val="000000"/>
                <w:sz w:val="18"/>
                <w:szCs w:val="18"/>
                <w:lang w:eastAsia="es-MX"/>
              </w:rPr>
              <w:t xml:space="preserve"> serving European demand</w:t>
            </w:r>
          </w:p>
          <w:p w14:paraId="32A04783" w14:textId="77777777" w:rsidR="0064603E" w:rsidRPr="00F91404" w:rsidRDefault="0064603E" w:rsidP="0064603E">
            <w:pPr>
              <w:pStyle w:val="ListParagraph"/>
              <w:numPr>
                <w:ilvl w:val="0"/>
                <w:numId w:val="31"/>
              </w:numPr>
              <w:spacing w:before="240" w:after="140" w:line="276" w:lineRule="auto"/>
              <w:rPr>
                <w:rFonts w:eastAsia="Times New Roman" w:cstheme="minorHAnsi"/>
                <w:color w:val="000000"/>
                <w:sz w:val="18"/>
                <w:szCs w:val="18"/>
                <w:lang w:eastAsia="es-MX"/>
              </w:rPr>
            </w:pPr>
            <w:r w:rsidRPr="00F91404">
              <w:rPr>
                <w:rFonts w:eastAsia="Times New Roman" w:cstheme="minorHAnsi"/>
                <w:color w:val="000000"/>
                <w:sz w:val="18"/>
                <w:szCs w:val="18"/>
                <w:lang w:eastAsia="es-MX"/>
              </w:rPr>
              <w:t>Policy outcomes reflect system-scale enablement, rather than isolated project acceleration</w:t>
            </w:r>
          </w:p>
          <w:p w14:paraId="2DB8F299" w14:textId="77777777" w:rsidR="0064603E" w:rsidRPr="00F91404" w:rsidRDefault="0064603E" w:rsidP="0064603E">
            <w:pPr>
              <w:spacing w:after="0"/>
              <w:jc w:val="center"/>
              <w:rPr>
                <w:rFonts w:eastAsia="Times New Roman" w:cstheme="minorHAnsi"/>
                <w:sz w:val="18"/>
                <w:szCs w:val="18"/>
                <w:lang w:eastAsia="es-MX"/>
              </w:rPr>
            </w:pPr>
          </w:p>
        </w:tc>
        <w:tc>
          <w:tcPr>
            <w:tcW w:w="76" w:type="pct"/>
            <w:vAlign w:val="center"/>
          </w:tcPr>
          <w:p w14:paraId="2B3F99AC" w14:textId="77777777" w:rsidR="0064603E" w:rsidRPr="00F91404" w:rsidRDefault="0064603E" w:rsidP="0064603E">
            <w:pPr>
              <w:spacing w:after="0"/>
              <w:rPr>
                <w:rFonts w:eastAsia="Times New Roman" w:cstheme="minorHAnsi"/>
                <w:sz w:val="18"/>
                <w:szCs w:val="18"/>
                <w:lang w:eastAsia="es-MX"/>
              </w:rPr>
            </w:pPr>
          </w:p>
        </w:tc>
      </w:tr>
      <w:tr w:rsidR="0064603E" w:rsidRPr="00F91404" w14:paraId="3506555F" w14:textId="77777777" w:rsidTr="00816A15">
        <w:trPr>
          <w:trHeight w:val="400"/>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A191DD6" w14:textId="3F203474" w:rsidR="0064603E" w:rsidRPr="00F91404" w:rsidRDefault="0064603E" w:rsidP="0064603E">
            <w:pPr>
              <w:spacing w:after="0"/>
              <w:jc w:val="center"/>
              <w:rPr>
                <w:rFonts w:eastAsia="Times New Roman" w:cstheme="min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c>
          <w:tcPr>
            <w:tcW w:w="76" w:type="pct"/>
            <w:vAlign w:val="center"/>
            <w:hideMark/>
          </w:tcPr>
          <w:p w14:paraId="309A9301" w14:textId="77777777" w:rsidR="0064603E" w:rsidRPr="00F91404" w:rsidRDefault="0064603E" w:rsidP="0064603E">
            <w:pPr>
              <w:spacing w:after="0"/>
              <w:rPr>
                <w:rFonts w:eastAsia="Times New Roman" w:cstheme="minorHAnsi"/>
                <w:sz w:val="18"/>
                <w:szCs w:val="18"/>
                <w:lang w:eastAsia="es-MX"/>
              </w:rPr>
            </w:pPr>
          </w:p>
        </w:tc>
      </w:tr>
      <w:tr w:rsidR="0064603E" w:rsidRPr="00F91404" w14:paraId="34DBE83F" w14:textId="77777777" w:rsidTr="00816A15">
        <w:trPr>
          <w:trHeight w:val="1220"/>
        </w:trPr>
        <w:tc>
          <w:tcPr>
            <w:tcW w:w="4924" w:type="pct"/>
            <w:gridSpan w:val="8"/>
            <w:vMerge w:val="restart"/>
            <w:tcBorders>
              <w:top w:val="single" w:sz="12" w:space="0" w:color="808080"/>
              <w:left w:val="single" w:sz="12" w:space="0" w:color="808080"/>
              <w:bottom w:val="single" w:sz="12" w:space="0" w:color="808080"/>
              <w:right w:val="single" w:sz="12" w:space="0" w:color="808080"/>
            </w:tcBorders>
            <w:vAlign w:val="center"/>
          </w:tcPr>
          <w:p w14:paraId="20A16ADC" w14:textId="741632D4" w:rsidR="00420CBB" w:rsidRPr="00F91404" w:rsidRDefault="00420CBB" w:rsidP="00420CBB">
            <w:pPr>
              <w:pStyle w:val="ListParagraph"/>
              <w:numPr>
                <w:ilvl w:val="0"/>
                <w:numId w:val="44"/>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Government of the Netherlands – Hydrogen Strategy:</w:t>
            </w:r>
            <w:r w:rsidRPr="00F91404">
              <w:rPr>
                <w:rFonts w:eastAsia="Times New Roman" w:cstheme="minorHAnsi"/>
                <w:b/>
                <w:color w:val="000000"/>
                <w:sz w:val="18"/>
                <w:szCs w:val="18"/>
                <w:lang w:eastAsia="es-MX"/>
              </w:rPr>
              <w:br/>
            </w:r>
            <w:hyperlink r:id="rId80" w:tgtFrame="_new" w:history="1">
              <w:r w:rsidRPr="00F91404">
                <w:rPr>
                  <w:rStyle w:val="Hyperlink"/>
                  <w:rFonts w:eastAsia="Times New Roman" w:cstheme="minorHAnsi"/>
                  <w:b/>
                  <w:szCs w:val="18"/>
                  <w:lang w:eastAsia="es-MX"/>
                </w:rPr>
                <w:t>https://www.government.nl</w:t>
              </w:r>
            </w:hyperlink>
          </w:p>
          <w:p w14:paraId="6B8D44FF" w14:textId="69B93CA7" w:rsidR="00420CBB" w:rsidRPr="00F91404" w:rsidRDefault="00420CBB" w:rsidP="00420CBB">
            <w:pPr>
              <w:pStyle w:val="ListParagraph"/>
              <w:numPr>
                <w:ilvl w:val="0"/>
                <w:numId w:val="44"/>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Netherlands Enterprise Agency (RVO) – Hydrogen programmes:</w:t>
            </w:r>
            <w:r w:rsidRPr="00F91404">
              <w:rPr>
                <w:rFonts w:eastAsia="Times New Roman" w:cstheme="minorHAnsi"/>
                <w:b/>
                <w:color w:val="000000"/>
                <w:sz w:val="18"/>
                <w:szCs w:val="18"/>
                <w:lang w:eastAsia="es-MX"/>
              </w:rPr>
              <w:br/>
            </w:r>
            <w:hyperlink r:id="rId81" w:tgtFrame="_new" w:history="1">
              <w:r w:rsidRPr="00F91404">
                <w:rPr>
                  <w:rStyle w:val="Hyperlink"/>
                  <w:rFonts w:eastAsia="Times New Roman" w:cstheme="minorHAnsi"/>
                  <w:b/>
                  <w:szCs w:val="18"/>
                  <w:lang w:eastAsia="es-MX"/>
                </w:rPr>
                <w:t>https://english.rvo.nl</w:t>
              </w:r>
            </w:hyperlink>
          </w:p>
          <w:p w14:paraId="259CEAFE" w14:textId="247A12BA" w:rsidR="00420CBB" w:rsidRPr="00F91404" w:rsidRDefault="00420CBB" w:rsidP="00420CBB">
            <w:pPr>
              <w:pStyle w:val="ListParagraph"/>
              <w:numPr>
                <w:ilvl w:val="0"/>
                <w:numId w:val="44"/>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Gasunie – Hydrogen backbone development:</w:t>
            </w:r>
            <w:r w:rsidRPr="00F91404">
              <w:rPr>
                <w:rFonts w:eastAsia="Times New Roman" w:cstheme="minorHAnsi"/>
                <w:b/>
                <w:color w:val="000000"/>
                <w:sz w:val="18"/>
                <w:szCs w:val="18"/>
                <w:lang w:eastAsia="es-MX"/>
              </w:rPr>
              <w:br/>
            </w:r>
            <w:hyperlink r:id="rId82" w:tgtFrame="_new" w:history="1">
              <w:r w:rsidRPr="00F91404">
                <w:rPr>
                  <w:rStyle w:val="Hyperlink"/>
                  <w:rFonts w:eastAsia="Times New Roman" w:cstheme="minorHAnsi"/>
                  <w:b/>
                  <w:szCs w:val="18"/>
                  <w:lang w:eastAsia="es-MX"/>
                </w:rPr>
                <w:t>https://www.gasunie.nl</w:t>
              </w:r>
            </w:hyperlink>
          </w:p>
          <w:p w14:paraId="0FEFCB99" w14:textId="1A77EAF6" w:rsidR="00420CBB" w:rsidRPr="00F91404" w:rsidRDefault="00420CBB" w:rsidP="00420CBB">
            <w:pPr>
              <w:pStyle w:val="ListParagraph"/>
              <w:numPr>
                <w:ilvl w:val="0"/>
                <w:numId w:val="44"/>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Port of Rotterdam – Hydrogen hub initiatives:</w:t>
            </w:r>
            <w:r w:rsidRPr="00F91404">
              <w:rPr>
                <w:rFonts w:eastAsia="Times New Roman" w:cstheme="minorHAnsi"/>
                <w:b/>
                <w:color w:val="000000"/>
                <w:sz w:val="18"/>
                <w:szCs w:val="18"/>
                <w:lang w:eastAsia="es-MX"/>
              </w:rPr>
              <w:br/>
            </w:r>
            <w:hyperlink r:id="rId83" w:tgtFrame="_new" w:history="1">
              <w:r w:rsidRPr="00F91404">
                <w:rPr>
                  <w:rStyle w:val="Hyperlink"/>
                  <w:rFonts w:eastAsia="Times New Roman" w:cstheme="minorHAnsi"/>
                  <w:b/>
                  <w:szCs w:val="18"/>
                  <w:lang w:eastAsia="es-MX"/>
                </w:rPr>
                <w:t>https://www.portofrotterdam.com</w:t>
              </w:r>
            </w:hyperlink>
          </w:p>
          <w:p w14:paraId="2E06B790" w14:textId="77777777" w:rsidR="0064603E" w:rsidRPr="00F91404" w:rsidRDefault="0064603E" w:rsidP="0064603E">
            <w:pPr>
              <w:spacing w:after="0"/>
              <w:rPr>
                <w:rFonts w:eastAsia="Times New Roman" w:cstheme="minorHAnsi"/>
                <w:b/>
                <w:color w:val="000000"/>
                <w:sz w:val="18"/>
                <w:szCs w:val="18"/>
                <w:lang w:eastAsia="es-MX"/>
              </w:rPr>
            </w:pPr>
          </w:p>
        </w:tc>
        <w:tc>
          <w:tcPr>
            <w:tcW w:w="76" w:type="pct"/>
            <w:vAlign w:val="center"/>
            <w:hideMark/>
          </w:tcPr>
          <w:p w14:paraId="52BCECF9" w14:textId="77777777" w:rsidR="0064603E" w:rsidRPr="00F91404" w:rsidRDefault="0064603E" w:rsidP="0064603E">
            <w:pPr>
              <w:spacing w:after="0"/>
              <w:rPr>
                <w:rFonts w:eastAsia="Times New Roman" w:cstheme="minorHAnsi"/>
                <w:sz w:val="18"/>
                <w:szCs w:val="18"/>
                <w:lang w:eastAsia="es-MX"/>
              </w:rPr>
            </w:pPr>
          </w:p>
        </w:tc>
      </w:tr>
      <w:tr w:rsidR="0064603E" w:rsidRPr="00F91404" w14:paraId="60C8406E" w14:textId="77777777" w:rsidTr="00816A15">
        <w:trPr>
          <w:trHeight w:val="920"/>
        </w:trPr>
        <w:tc>
          <w:tcPr>
            <w:tcW w:w="4924" w:type="pct"/>
            <w:gridSpan w:val="8"/>
            <w:vMerge/>
            <w:tcBorders>
              <w:top w:val="single" w:sz="12" w:space="0" w:color="808080"/>
              <w:left w:val="single" w:sz="12" w:space="0" w:color="808080"/>
              <w:bottom w:val="single" w:sz="12" w:space="0" w:color="808080"/>
              <w:right w:val="single" w:sz="12" w:space="0" w:color="808080"/>
            </w:tcBorders>
            <w:vAlign w:val="center"/>
          </w:tcPr>
          <w:p w14:paraId="73697FEA" w14:textId="77777777" w:rsidR="0064603E" w:rsidRPr="00F91404" w:rsidRDefault="0064603E" w:rsidP="0064603E">
            <w:pPr>
              <w:spacing w:after="0"/>
              <w:rPr>
                <w:rFonts w:eastAsia="Times New Roman" w:cstheme="minorHAnsi"/>
                <w:b/>
                <w:color w:val="000000"/>
                <w:sz w:val="18"/>
                <w:szCs w:val="18"/>
                <w:lang w:eastAsia="es-MX"/>
              </w:rPr>
            </w:pPr>
          </w:p>
        </w:tc>
        <w:tc>
          <w:tcPr>
            <w:tcW w:w="76" w:type="pct"/>
            <w:tcBorders>
              <w:top w:val="nil"/>
              <w:left w:val="nil"/>
              <w:bottom w:val="nil"/>
              <w:right w:val="nil"/>
            </w:tcBorders>
            <w:noWrap/>
            <w:vAlign w:val="bottom"/>
            <w:hideMark/>
          </w:tcPr>
          <w:p w14:paraId="315D3BB4" w14:textId="77777777" w:rsidR="0064603E" w:rsidRPr="00F91404" w:rsidRDefault="0064603E" w:rsidP="0064603E">
            <w:pPr>
              <w:spacing w:after="0"/>
              <w:jc w:val="center"/>
              <w:rPr>
                <w:rFonts w:eastAsia="Times New Roman" w:cstheme="minorHAnsi"/>
                <w:b/>
                <w:color w:val="000000"/>
                <w:sz w:val="18"/>
                <w:szCs w:val="18"/>
                <w:lang w:eastAsia="es-MX"/>
              </w:rPr>
            </w:pPr>
          </w:p>
        </w:tc>
      </w:tr>
    </w:tbl>
    <w:p w14:paraId="7D5CA635" w14:textId="77777777" w:rsidR="00074C04" w:rsidRPr="00F91404" w:rsidRDefault="00074C04" w:rsidP="00074C04">
      <w:pPr>
        <w:rPr>
          <w:rFonts w:cstheme="minorHAnsi"/>
          <w:sz w:val="20"/>
          <w:szCs w:val="20"/>
        </w:rPr>
      </w:pPr>
    </w:p>
    <w:p w14:paraId="0C1CC34B" w14:textId="4550EBD3" w:rsidR="006C1494" w:rsidRPr="006C1494" w:rsidRDefault="006C1494" w:rsidP="006C1494">
      <w:pPr>
        <w:rPr>
          <w:rFonts w:cstheme="minorHAnsi"/>
          <w:b/>
          <w:bCs/>
          <w:i/>
          <w:iCs/>
          <w:sz w:val="20"/>
          <w:szCs w:val="20"/>
        </w:rPr>
      </w:pPr>
      <w:r w:rsidRPr="006C1494">
        <w:rPr>
          <w:rFonts w:cstheme="minorHAnsi"/>
          <w:b/>
          <w:bCs/>
          <w:i/>
          <w:iCs/>
          <w:sz w:val="16"/>
          <w:szCs w:val="16"/>
        </w:rPr>
        <w:t>Sources</w:t>
      </w:r>
      <w:r w:rsidRPr="00F91404">
        <w:rPr>
          <w:rFonts w:cstheme="minorHAnsi"/>
          <w:b/>
          <w:bCs/>
          <w:i/>
          <w:iCs/>
          <w:sz w:val="16"/>
          <w:szCs w:val="16"/>
        </w:rPr>
        <w:t>:</w:t>
      </w:r>
    </w:p>
    <w:p w14:paraId="467CD92E" w14:textId="77777777" w:rsidR="006C1494" w:rsidRPr="006C1494" w:rsidRDefault="006C1494" w:rsidP="006C1494">
      <w:pPr>
        <w:spacing w:after="0"/>
        <w:rPr>
          <w:rFonts w:cstheme="minorHAnsi"/>
          <w:i/>
          <w:iCs/>
          <w:sz w:val="14"/>
          <w:szCs w:val="14"/>
        </w:rPr>
      </w:pPr>
      <w:r w:rsidRPr="006C1494">
        <w:rPr>
          <w:rFonts w:cstheme="minorHAnsi"/>
          <w:b/>
          <w:bCs/>
          <w:i/>
          <w:iCs/>
          <w:sz w:val="14"/>
          <w:szCs w:val="14"/>
        </w:rPr>
        <w:t>Production capacity, project pipeline and infrastructure data</w:t>
      </w:r>
    </w:p>
    <w:p w14:paraId="3EA497BF" w14:textId="77777777" w:rsidR="006C1494" w:rsidRPr="006C1494" w:rsidRDefault="006C1494" w:rsidP="006C1494">
      <w:pPr>
        <w:numPr>
          <w:ilvl w:val="0"/>
          <w:numId w:val="78"/>
        </w:numPr>
        <w:spacing w:after="0"/>
        <w:rPr>
          <w:rFonts w:cstheme="minorHAnsi"/>
          <w:i/>
          <w:iCs/>
          <w:sz w:val="14"/>
          <w:szCs w:val="14"/>
        </w:rPr>
      </w:pPr>
      <w:r w:rsidRPr="006C1494">
        <w:rPr>
          <w:rFonts w:cstheme="minorHAnsi"/>
          <w:i/>
          <w:iCs/>
          <w:sz w:val="14"/>
          <w:szCs w:val="14"/>
        </w:rPr>
        <w:t>International Energy Agency (IEA) (2023), Global Hydrogen Review 2023, Paris: IEA.</w:t>
      </w:r>
    </w:p>
    <w:p w14:paraId="4B5E52A7" w14:textId="77777777" w:rsidR="006C1494" w:rsidRPr="006C1494" w:rsidRDefault="006C1494" w:rsidP="006C1494">
      <w:pPr>
        <w:numPr>
          <w:ilvl w:val="0"/>
          <w:numId w:val="78"/>
        </w:numPr>
        <w:spacing w:after="0"/>
        <w:rPr>
          <w:rFonts w:cstheme="minorHAnsi"/>
          <w:i/>
          <w:iCs/>
          <w:sz w:val="14"/>
          <w:szCs w:val="14"/>
        </w:rPr>
      </w:pPr>
      <w:r w:rsidRPr="006C1494">
        <w:rPr>
          <w:rFonts w:cstheme="minorHAnsi"/>
          <w:i/>
          <w:iCs/>
          <w:sz w:val="14"/>
          <w:szCs w:val="14"/>
        </w:rPr>
        <w:t>International Energy Agency (IEA), Hydrogen Projects Database (latest available edition).</w:t>
      </w:r>
    </w:p>
    <w:p w14:paraId="7C95A974" w14:textId="77777777" w:rsidR="006C1494" w:rsidRPr="006C1494" w:rsidRDefault="006C1494" w:rsidP="006C1494">
      <w:pPr>
        <w:numPr>
          <w:ilvl w:val="0"/>
          <w:numId w:val="78"/>
        </w:numPr>
        <w:spacing w:after="0"/>
        <w:rPr>
          <w:rFonts w:cstheme="minorHAnsi"/>
          <w:i/>
          <w:iCs/>
          <w:sz w:val="14"/>
          <w:szCs w:val="14"/>
        </w:rPr>
      </w:pPr>
      <w:r w:rsidRPr="006C1494">
        <w:rPr>
          <w:rFonts w:cstheme="minorHAnsi"/>
          <w:i/>
          <w:iCs/>
          <w:sz w:val="14"/>
          <w:szCs w:val="14"/>
        </w:rPr>
        <w:t>Gasunie, National Hydrogen Network Development Plans and Hydrogen Backbone documentation.</w:t>
      </w:r>
    </w:p>
    <w:p w14:paraId="1492D0B6" w14:textId="77777777" w:rsidR="006C1494" w:rsidRPr="006C1494" w:rsidRDefault="006C1494" w:rsidP="006C1494">
      <w:pPr>
        <w:spacing w:after="0"/>
        <w:rPr>
          <w:rFonts w:cstheme="minorHAnsi"/>
          <w:i/>
          <w:iCs/>
          <w:sz w:val="14"/>
          <w:szCs w:val="14"/>
        </w:rPr>
      </w:pPr>
      <w:r w:rsidRPr="006C1494">
        <w:rPr>
          <w:rFonts w:cstheme="minorHAnsi"/>
          <w:b/>
          <w:bCs/>
          <w:i/>
          <w:iCs/>
          <w:sz w:val="14"/>
          <w:szCs w:val="14"/>
        </w:rPr>
        <w:t>Strategy, roadmap and governance framework</w:t>
      </w:r>
    </w:p>
    <w:p w14:paraId="5F5D9C79" w14:textId="77777777" w:rsidR="006C1494" w:rsidRPr="006C1494" w:rsidRDefault="006C1494" w:rsidP="006C1494">
      <w:pPr>
        <w:numPr>
          <w:ilvl w:val="0"/>
          <w:numId w:val="79"/>
        </w:numPr>
        <w:spacing w:after="0"/>
        <w:rPr>
          <w:rFonts w:cstheme="minorHAnsi"/>
          <w:i/>
          <w:iCs/>
          <w:sz w:val="14"/>
          <w:szCs w:val="14"/>
        </w:rPr>
      </w:pPr>
      <w:r w:rsidRPr="006C1494">
        <w:rPr>
          <w:rFonts w:cstheme="minorHAnsi"/>
          <w:i/>
          <w:iCs/>
          <w:sz w:val="14"/>
          <w:szCs w:val="14"/>
        </w:rPr>
        <w:t>Ministry of Economic Affairs and Climate Policy (2020), Government Strategy on Hydrogen.</w:t>
      </w:r>
    </w:p>
    <w:p w14:paraId="2548BD4D" w14:textId="77777777" w:rsidR="006C1494" w:rsidRPr="006C1494" w:rsidRDefault="006C1494" w:rsidP="006C1494">
      <w:pPr>
        <w:numPr>
          <w:ilvl w:val="0"/>
          <w:numId w:val="79"/>
        </w:numPr>
        <w:spacing w:after="0"/>
        <w:rPr>
          <w:rFonts w:cstheme="minorHAnsi"/>
          <w:i/>
          <w:iCs/>
          <w:sz w:val="14"/>
          <w:szCs w:val="14"/>
        </w:rPr>
      </w:pPr>
      <w:r w:rsidRPr="006C1494">
        <w:rPr>
          <w:rFonts w:cstheme="minorHAnsi"/>
          <w:i/>
          <w:iCs/>
          <w:sz w:val="14"/>
          <w:szCs w:val="14"/>
        </w:rPr>
        <w:t>Dutch National Hydrogen Programme documentation.</w:t>
      </w:r>
    </w:p>
    <w:p w14:paraId="729309A9" w14:textId="77777777" w:rsidR="006C1494" w:rsidRPr="006C1494" w:rsidRDefault="006C1494" w:rsidP="006C1494">
      <w:pPr>
        <w:numPr>
          <w:ilvl w:val="0"/>
          <w:numId w:val="79"/>
        </w:numPr>
        <w:spacing w:after="0"/>
        <w:rPr>
          <w:rFonts w:cstheme="minorHAnsi"/>
          <w:i/>
          <w:iCs/>
          <w:sz w:val="14"/>
          <w:szCs w:val="14"/>
        </w:rPr>
      </w:pPr>
      <w:r w:rsidRPr="006C1494">
        <w:rPr>
          <w:rFonts w:cstheme="minorHAnsi"/>
          <w:i/>
          <w:iCs/>
          <w:sz w:val="14"/>
          <w:szCs w:val="14"/>
        </w:rPr>
        <w:t>European Commission, EU Hydrogen Strategy and related State Aid decisions (as applicable to the Netherlands).</w:t>
      </w:r>
    </w:p>
    <w:p w14:paraId="0DE69EAB" w14:textId="77777777" w:rsidR="006C1494" w:rsidRPr="006C1494" w:rsidRDefault="006C1494" w:rsidP="006C1494">
      <w:pPr>
        <w:spacing w:after="0"/>
        <w:rPr>
          <w:rFonts w:cstheme="minorHAnsi"/>
          <w:i/>
          <w:iCs/>
          <w:sz w:val="14"/>
          <w:szCs w:val="14"/>
        </w:rPr>
      </w:pPr>
      <w:r w:rsidRPr="006C1494">
        <w:rPr>
          <w:rFonts w:cstheme="minorHAnsi"/>
          <w:b/>
          <w:bCs/>
          <w:i/>
          <w:iCs/>
          <w:sz w:val="14"/>
          <w:szCs w:val="14"/>
        </w:rPr>
        <w:t>Market and revenue support mechanisms (SDE++)</w:t>
      </w:r>
    </w:p>
    <w:p w14:paraId="6361CCC7" w14:textId="77777777" w:rsidR="006C1494" w:rsidRPr="006C1494" w:rsidRDefault="006C1494" w:rsidP="006C1494">
      <w:pPr>
        <w:numPr>
          <w:ilvl w:val="0"/>
          <w:numId w:val="80"/>
        </w:numPr>
        <w:spacing w:after="0"/>
        <w:rPr>
          <w:rFonts w:cstheme="minorHAnsi"/>
          <w:i/>
          <w:iCs/>
          <w:sz w:val="14"/>
          <w:szCs w:val="14"/>
        </w:rPr>
      </w:pPr>
      <w:r w:rsidRPr="006C1494">
        <w:rPr>
          <w:rFonts w:cstheme="minorHAnsi"/>
          <w:i/>
          <w:iCs/>
          <w:sz w:val="14"/>
          <w:szCs w:val="14"/>
        </w:rPr>
        <w:t>Ministry of Economic Affairs and Climate Policy, SDE++ (</w:t>
      </w:r>
      <w:proofErr w:type="spellStart"/>
      <w:r w:rsidRPr="006C1494">
        <w:rPr>
          <w:rFonts w:cstheme="minorHAnsi"/>
          <w:i/>
          <w:iCs/>
          <w:sz w:val="14"/>
          <w:szCs w:val="14"/>
        </w:rPr>
        <w:t>Stimulering</w:t>
      </w:r>
      <w:proofErr w:type="spellEnd"/>
      <w:r w:rsidRPr="006C1494">
        <w:rPr>
          <w:rFonts w:cstheme="minorHAnsi"/>
          <w:i/>
          <w:iCs/>
          <w:sz w:val="14"/>
          <w:szCs w:val="14"/>
        </w:rPr>
        <w:t xml:space="preserve"> </w:t>
      </w:r>
      <w:proofErr w:type="spellStart"/>
      <w:r w:rsidRPr="006C1494">
        <w:rPr>
          <w:rFonts w:cstheme="minorHAnsi"/>
          <w:i/>
          <w:iCs/>
          <w:sz w:val="14"/>
          <w:szCs w:val="14"/>
        </w:rPr>
        <w:t>Duurzame</w:t>
      </w:r>
      <w:proofErr w:type="spellEnd"/>
      <w:r w:rsidRPr="006C1494">
        <w:rPr>
          <w:rFonts w:cstheme="minorHAnsi"/>
          <w:i/>
          <w:iCs/>
          <w:sz w:val="14"/>
          <w:szCs w:val="14"/>
        </w:rPr>
        <w:t xml:space="preserve"> </w:t>
      </w:r>
      <w:proofErr w:type="spellStart"/>
      <w:r w:rsidRPr="006C1494">
        <w:rPr>
          <w:rFonts w:cstheme="minorHAnsi"/>
          <w:i/>
          <w:iCs/>
          <w:sz w:val="14"/>
          <w:szCs w:val="14"/>
        </w:rPr>
        <w:t>Energieproductie</w:t>
      </w:r>
      <w:proofErr w:type="spellEnd"/>
      <w:r w:rsidRPr="006C1494">
        <w:rPr>
          <w:rFonts w:cstheme="minorHAnsi"/>
          <w:i/>
          <w:iCs/>
          <w:sz w:val="14"/>
          <w:szCs w:val="14"/>
        </w:rPr>
        <w:t xml:space="preserve"> </w:t>
      </w:r>
      <w:proofErr w:type="spellStart"/>
      <w:r w:rsidRPr="006C1494">
        <w:rPr>
          <w:rFonts w:cstheme="minorHAnsi"/>
          <w:i/>
          <w:iCs/>
          <w:sz w:val="14"/>
          <w:szCs w:val="14"/>
        </w:rPr>
        <w:t>en</w:t>
      </w:r>
      <w:proofErr w:type="spellEnd"/>
      <w:r w:rsidRPr="006C1494">
        <w:rPr>
          <w:rFonts w:cstheme="minorHAnsi"/>
          <w:i/>
          <w:iCs/>
          <w:sz w:val="14"/>
          <w:szCs w:val="14"/>
        </w:rPr>
        <w:t xml:space="preserve"> </w:t>
      </w:r>
      <w:proofErr w:type="spellStart"/>
      <w:r w:rsidRPr="006C1494">
        <w:rPr>
          <w:rFonts w:cstheme="minorHAnsi"/>
          <w:i/>
          <w:iCs/>
          <w:sz w:val="14"/>
          <w:szCs w:val="14"/>
        </w:rPr>
        <w:t>Klimaattransitie</w:t>
      </w:r>
      <w:proofErr w:type="spellEnd"/>
      <w:r w:rsidRPr="006C1494">
        <w:rPr>
          <w:rFonts w:cstheme="minorHAnsi"/>
          <w:i/>
          <w:iCs/>
          <w:sz w:val="14"/>
          <w:szCs w:val="14"/>
        </w:rPr>
        <w:t>) official scheme documentation.</w:t>
      </w:r>
    </w:p>
    <w:p w14:paraId="39F9D326" w14:textId="77777777" w:rsidR="006C1494" w:rsidRPr="006C1494" w:rsidRDefault="006C1494" w:rsidP="006C1494">
      <w:pPr>
        <w:numPr>
          <w:ilvl w:val="0"/>
          <w:numId w:val="80"/>
        </w:numPr>
        <w:spacing w:after="0"/>
        <w:rPr>
          <w:rFonts w:cstheme="minorHAnsi"/>
          <w:i/>
          <w:iCs/>
          <w:sz w:val="14"/>
          <w:szCs w:val="14"/>
        </w:rPr>
      </w:pPr>
      <w:r w:rsidRPr="006C1494">
        <w:rPr>
          <w:rFonts w:cstheme="minorHAnsi"/>
          <w:i/>
          <w:iCs/>
          <w:sz w:val="14"/>
          <w:szCs w:val="14"/>
        </w:rPr>
        <w:t>Netherlands Enterprise Agency (RVO), SDE++ programme guidelines and eligibility criteria.</w:t>
      </w:r>
    </w:p>
    <w:p w14:paraId="40261F03" w14:textId="77777777" w:rsidR="006C1494" w:rsidRPr="006C1494" w:rsidRDefault="006C1494" w:rsidP="006C1494">
      <w:pPr>
        <w:spacing w:after="0"/>
        <w:rPr>
          <w:rFonts w:cstheme="minorHAnsi"/>
          <w:i/>
          <w:iCs/>
          <w:sz w:val="14"/>
          <w:szCs w:val="14"/>
        </w:rPr>
      </w:pPr>
      <w:r w:rsidRPr="006C1494">
        <w:rPr>
          <w:rFonts w:cstheme="minorHAnsi"/>
          <w:b/>
          <w:bCs/>
          <w:i/>
          <w:iCs/>
          <w:sz w:val="14"/>
          <w:szCs w:val="14"/>
        </w:rPr>
        <w:t>Public funding and financing mechanisms</w:t>
      </w:r>
    </w:p>
    <w:p w14:paraId="11809780" w14:textId="77777777" w:rsidR="006C1494" w:rsidRPr="006C1494" w:rsidRDefault="006C1494" w:rsidP="006C1494">
      <w:pPr>
        <w:numPr>
          <w:ilvl w:val="0"/>
          <w:numId w:val="81"/>
        </w:numPr>
        <w:spacing w:after="0"/>
        <w:rPr>
          <w:rFonts w:cstheme="minorHAnsi"/>
          <w:i/>
          <w:iCs/>
          <w:sz w:val="14"/>
          <w:szCs w:val="14"/>
        </w:rPr>
      </w:pPr>
      <w:r w:rsidRPr="006C1494">
        <w:rPr>
          <w:rFonts w:cstheme="minorHAnsi"/>
          <w:i/>
          <w:iCs/>
          <w:sz w:val="14"/>
          <w:szCs w:val="14"/>
        </w:rPr>
        <w:t>RVO (Netherlands Enterprise Agency), Hydrogen and Energy Transition Support Schemes.</w:t>
      </w:r>
    </w:p>
    <w:p w14:paraId="0D40C213" w14:textId="77777777" w:rsidR="006C1494" w:rsidRPr="006C1494" w:rsidRDefault="006C1494" w:rsidP="006C1494">
      <w:pPr>
        <w:numPr>
          <w:ilvl w:val="0"/>
          <w:numId w:val="81"/>
        </w:numPr>
        <w:spacing w:after="0"/>
        <w:rPr>
          <w:rFonts w:cstheme="minorHAnsi"/>
          <w:i/>
          <w:iCs/>
          <w:sz w:val="14"/>
          <w:szCs w:val="14"/>
        </w:rPr>
      </w:pPr>
      <w:r w:rsidRPr="006C1494">
        <w:rPr>
          <w:rFonts w:cstheme="minorHAnsi"/>
          <w:i/>
          <w:iCs/>
          <w:sz w:val="14"/>
          <w:szCs w:val="14"/>
        </w:rPr>
        <w:t>Dutch Climate Agreement and related public funding instruments for industrial decarbonisation.</w:t>
      </w:r>
    </w:p>
    <w:p w14:paraId="08620BB4" w14:textId="77777777" w:rsidR="006C1494" w:rsidRPr="006C1494" w:rsidRDefault="006C1494" w:rsidP="006C1494">
      <w:pPr>
        <w:spacing w:after="0"/>
        <w:rPr>
          <w:rFonts w:cstheme="minorHAnsi"/>
          <w:i/>
          <w:iCs/>
          <w:sz w:val="14"/>
          <w:szCs w:val="14"/>
        </w:rPr>
      </w:pPr>
      <w:r w:rsidRPr="006C1494">
        <w:rPr>
          <w:rFonts w:cstheme="minorHAnsi"/>
          <w:b/>
          <w:bCs/>
          <w:i/>
          <w:iCs/>
          <w:sz w:val="14"/>
          <w:szCs w:val="14"/>
        </w:rPr>
        <w:t>Standards and certification frameworks</w:t>
      </w:r>
    </w:p>
    <w:p w14:paraId="34679FBB" w14:textId="77777777" w:rsidR="006C1494" w:rsidRPr="006C1494" w:rsidRDefault="006C1494" w:rsidP="006C1494">
      <w:pPr>
        <w:numPr>
          <w:ilvl w:val="0"/>
          <w:numId w:val="82"/>
        </w:numPr>
        <w:spacing w:after="0"/>
        <w:rPr>
          <w:rFonts w:cstheme="minorHAnsi"/>
          <w:i/>
          <w:iCs/>
          <w:sz w:val="14"/>
          <w:szCs w:val="14"/>
        </w:rPr>
      </w:pPr>
      <w:r w:rsidRPr="006C1494">
        <w:rPr>
          <w:rFonts w:cstheme="minorHAnsi"/>
          <w:i/>
          <w:iCs/>
          <w:sz w:val="14"/>
          <w:szCs w:val="14"/>
        </w:rPr>
        <w:t>European Commission, Delegated Acts under the Renewable Energy Directive (RFNBO).</w:t>
      </w:r>
    </w:p>
    <w:p w14:paraId="06678A46" w14:textId="77777777" w:rsidR="006C1494" w:rsidRPr="006C1494" w:rsidRDefault="006C1494" w:rsidP="006C1494">
      <w:pPr>
        <w:numPr>
          <w:ilvl w:val="0"/>
          <w:numId w:val="82"/>
        </w:numPr>
        <w:spacing w:after="0"/>
        <w:rPr>
          <w:rFonts w:cstheme="minorHAnsi"/>
          <w:i/>
          <w:iCs/>
          <w:sz w:val="14"/>
          <w:szCs w:val="14"/>
        </w:rPr>
      </w:pPr>
      <w:r w:rsidRPr="006C1494">
        <w:rPr>
          <w:rFonts w:cstheme="minorHAnsi"/>
          <w:i/>
          <w:iCs/>
          <w:sz w:val="14"/>
          <w:szCs w:val="14"/>
        </w:rPr>
        <w:t>EU Guarantees of Origin framework (AIB / EECS system).</w:t>
      </w:r>
    </w:p>
    <w:p w14:paraId="4D3061E4" w14:textId="77777777" w:rsidR="006C1494" w:rsidRPr="006C1494" w:rsidRDefault="006C1494" w:rsidP="006C1494">
      <w:pPr>
        <w:spacing w:after="0"/>
        <w:rPr>
          <w:rFonts w:cstheme="minorHAnsi"/>
          <w:i/>
          <w:iCs/>
          <w:sz w:val="14"/>
          <w:szCs w:val="14"/>
        </w:rPr>
      </w:pPr>
      <w:r w:rsidRPr="006C1494">
        <w:rPr>
          <w:rFonts w:cstheme="minorHAnsi"/>
          <w:b/>
          <w:bCs/>
          <w:i/>
          <w:iCs/>
          <w:sz w:val="14"/>
          <w:szCs w:val="14"/>
        </w:rPr>
        <w:t>Renewable energy context</w:t>
      </w:r>
    </w:p>
    <w:p w14:paraId="54284616" w14:textId="77777777" w:rsidR="006C1494" w:rsidRPr="006C1494" w:rsidRDefault="006C1494" w:rsidP="006C1494">
      <w:pPr>
        <w:numPr>
          <w:ilvl w:val="0"/>
          <w:numId w:val="83"/>
        </w:numPr>
        <w:spacing w:after="0"/>
        <w:rPr>
          <w:rFonts w:cstheme="minorHAnsi"/>
          <w:i/>
          <w:iCs/>
          <w:sz w:val="14"/>
          <w:szCs w:val="14"/>
        </w:rPr>
      </w:pPr>
      <w:r w:rsidRPr="006C1494">
        <w:rPr>
          <w:rFonts w:cstheme="minorHAnsi"/>
          <w:i/>
          <w:iCs/>
          <w:sz w:val="14"/>
          <w:szCs w:val="14"/>
        </w:rPr>
        <w:t>Netherlands Statistics Office (CBS), Renewable Electricity Statistics.</w:t>
      </w:r>
    </w:p>
    <w:p w14:paraId="2815A72A" w14:textId="77777777" w:rsidR="006C1494" w:rsidRPr="006C1494" w:rsidRDefault="006C1494" w:rsidP="006C1494">
      <w:pPr>
        <w:numPr>
          <w:ilvl w:val="0"/>
          <w:numId w:val="83"/>
        </w:numPr>
        <w:spacing w:after="0"/>
        <w:rPr>
          <w:rFonts w:cstheme="minorHAnsi"/>
          <w:i/>
          <w:iCs/>
          <w:sz w:val="14"/>
          <w:szCs w:val="14"/>
        </w:rPr>
      </w:pPr>
      <w:r w:rsidRPr="006C1494">
        <w:rPr>
          <w:rFonts w:cstheme="minorHAnsi"/>
          <w:i/>
          <w:iCs/>
          <w:sz w:val="14"/>
          <w:szCs w:val="14"/>
        </w:rPr>
        <w:t>Ministry of Economic Affairs and Climate Policy, National Energy and Climate Plan (NECP).</w:t>
      </w:r>
    </w:p>
    <w:p w14:paraId="61BAC2AF" w14:textId="77777777" w:rsidR="006C1494" w:rsidRPr="006C1494" w:rsidRDefault="006C1494" w:rsidP="006C1494">
      <w:pPr>
        <w:spacing w:after="0"/>
        <w:rPr>
          <w:rFonts w:cstheme="minorHAnsi"/>
          <w:i/>
          <w:iCs/>
          <w:sz w:val="14"/>
          <w:szCs w:val="14"/>
        </w:rPr>
      </w:pPr>
      <w:r w:rsidRPr="006C1494">
        <w:rPr>
          <w:rFonts w:cstheme="minorHAnsi"/>
          <w:b/>
          <w:bCs/>
          <w:i/>
          <w:iCs/>
          <w:sz w:val="14"/>
          <w:szCs w:val="14"/>
        </w:rPr>
        <w:t>Hydrogen value chain and infrastructure planning</w:t>
      </w:r>
    </w:p>
    <w:p w14:paraId="54CB97E7" w14:textId="77777777" w:rsidR="006C1494" w:rsidRPr="006C1494" w:rsidRDefault="006C1494" w:rsidP="006C1494">
      <w:pPr>
        <w:numPr>
          <w:ilvl w:val="0"/>
          <w:numId w:val="84"/>
        </w:numPr>
        <w:spacing w:after="0"/>
        <w:rPr>
          <w:rFonts w:cstheme="minorHAnsi"/>
          <w:i/>
          <w:iCs/>
          <w:sz w:val="14"/>
          <w:szCs w:val="14"/>
        </w:rPr>
      </w:pPr>
      <w:r w:rsidRPr="006C1494">
        <w:rPr>
          <w:rFonts w:cstheme="minorHAnsi"/>
          <w:i/>
          <w:iCs/>
          <w:sz w:val="14"/>
          <w:szCs w:val="14"/>
        </w:rPr>
        <w:t>Gasunie, Hydrogen Backbone and Pipeline Repurposing Plans.</w:t>
      </w:r>
    </w:p>
    <w:p w14:paraId="218F5B14" w14:textId="77777777" w:rsidR="006C1494" w:rsidRPr="006C1494" w:rsidRDefault="006C1494" w:rsidP="006C1494">
      <w:pPr>
        <w:numPr>
          <w:ilvl w:val="0"/>
          <w:numId w:val="84"/>
        </w:numPr>
        <w:spacing w:after="0"/>
        <w:rPr>
          <w:rFonts w:cstheme="minorHAnsi"/>
          <w:i/>
          <w:iCs/>
          <w:sz w:val="14"/>
          <w:szCs w:val="14"/>
        </w:rPr>
      </w:pPr>
      <w:r w:rsidRPr="006C1494">
        <w:rPr>
          <w:rFonts w:cstheme="minorHAnsi"/>
          <w:i/>
          <w:iCs/>
          <w:sz w:val="14"/>
          <w:szCs w:val="14"/>
        </w:rPr>
        <w:t>Port of Rotterdam Authority, Hydrogen Hub and Import Infrastructure Documentation.</w:t>
      </w:r>
    </w:p>
    <w:p w14:paraId="13A5BFCC" w14:textId="77777777" w:rsidR="006C1494" w:rsidRPr="006C1494" w:rsidRDefault="006C1494" w:rsidP="006C1494">
      <w:pPr>
        <w:numPr>
          <w:ilvl w:val="0"/>
          <w:numId w:val="84"/>
        </w:numPr>
        <w:spacing w:after="0"/>
        <w:rPr>
          <w:rFonts w:cstheme="minorHAnsi"/>
          <w:sz w:val="20"/>
          <w:szCs w:val="20"/>
        </w:rPr>
      </w:pPr>
      <w:r w:rsidRPr="006C1494">
        <w:rPr>
          <w:rFonts w:cstheme="minorHAnsi"/>
          <w:i/>
          <w:iCs/>
          <w:sz w:val="14"/>
          <w:szCs w:val="14"/>
        </w:rPr>
        <w:t>European Hydrogen Backbone Initiative (relevant sections on the Netherlands).</w:t>
      </w:r>
    </w:p>
    <w:p w14:paraId="66612ED2" w14:textId="77777777" w:rsidR="00074C04" w:rsidRPr="00F91404" w:rsidRDefault="00074C04" w:rsidP="00074C04">
      <w:pPr>
        <w:rPr>
          <w:rFonts w:cstheme="minorHAnsi"/>
          <w:sz w:val="20"/>
          <w:szCs w:val="20"/>
        </w:rPr>
      </w:pPr>
    </w:p>
    <w:p w14:paraId="43197BEE" w14:textId="43B4444F" w:rsidR="00816A15" w:rsidRPr="00F91404" w:rsidRDefault="00816A15" w:rsidP="00420CBB">
      <w:pPr>
        <w:ind w:left="0"/>
        <w:rPr>
          <w:rFonts w:cstheme="minorHAnsi"/>
          <w:sz w:val="20"/>
          <w:szCs w:val="20"/>
        </w:rPr>
      </w:pPr>
      <w:r w:rsidRPr="00F91404">
        <w:rPr>
          <w:rFonts w:cstheme="minorHAnsi"/>
          <w:sz w:val="20"/>
          <w:szCs w:val="20"/>
        </w:rPr>
        <w:br w:type="page"/>
      </w:r>
    </w:p>
    <w:p w14:paraId="6FF260AA" w14:textId="77777777" w:rsidR="00F91404" w:rsidRPr="00F91404" w:rsidRDefault="00F91404" w:rsidP="00F91404">
      <w:pPr>
        <w:rPr>
          <w:b/>
          <w:bCs/>
          <w:i/>
          <w:color w:val="004C43" w:themeColor="accent1"/>
          <w:sz w:val="24"/>
          <w:szCs w:val="32"/>
        </w:rPr>
      </w:pPr>
      <w:r w:rsidRPr="00F91404">
        <w:rPr>
          <w:b/>
          <w:bCs/>
          <w:color w:val="004C43" w:themeColor="accent1"/>
          <w:sz w:val="24"/>
          <w:szCs w:val="32"/>
        </w:rPr>
        <w:lastRenderedPageBreak/>
        <w:t>Peru</w:t>
      </w:r>
    </w:p>
    <w:p w14:paraId="40734761" w14:textId="77777777" w:rsidR="00F91404" w:rsidRPr="00F91404" w:rsidRDefault="00F91404" w:rsidP="00F91404">
      <w:pPr>
        <w:rPr>
          <w:rFonts w:cstheme="minorHAnsi"/>
          <w:sz w:val="20"/>
          <w:szCs w:val="20"/>
        </w:rPr>
      </w:pPr>
      <w:r w:rsidRPr="00F91404">
        <w:rPr>
          <w:rFonts w:cstheme="minorHAnsi"/>
          <w:sz w:val="20"/>
          <w:szCs w:val="20"/>
        </w:rPr>
        <w:t xml:space="preserve">Peru is in a planning-oriented governance phase for green hydrogen. The Ministry of Energy and Mines (MINEM) lead policy development, with current activity focused on roadmaps, studies and stakeholder engagement rather than deployment programmes. </w:t>
      </w:r>
      <w:proofErr w:type="spellStart"/>
      <w:r w:rsidRPr="00F91404">
        <w:rPr>
          <w:rFonts w:cstheme="minorHAnsi"/>
          <w:sz w:val="20"/>
          <w:szCs w:val="20"/>
        </w:rPr>
        <w:t>ProInversión</w:t>
      </w:r>
      <w:proofErr w:type="spellEnd"/>
      <w:r w:rsidRPr="00F91404">
        <w:rPr>
          <w:rFonts w:cstheme="minorHAnsi"/>
          <w:sz w:val="20"/>
          <w:szCs w:val="20"/>
        </w:rPr>
        <w:t xml:space="preserve"> supports investment promotion and early project structuring.</w:t>
      </w:r>
    </w:p>
    <w:p w14:paraId="21862430" w14:textId="77777777" w:rsidR="00F91404" w:rsidRPr="00F91404" w:rsidRDefault="00F91404" w:rsidP="00F91404">
      <w:pPr>
        <w:rPr>
          <w:rFonts w:cstheme="minorHAnsi"/>
          <w:sz w:val="20"/>
          <w:szCs w:val="20"/>
        </w:rPr>
      </w:pPr>
      <w:r w:rsidRPr="00F91404">
        <w:rPr>
          <w:rFonts w:cstheme="minorHAnsi"/>
          <w:sz w:val="20"/>
          <w:szCs w:val="20"/>
        </w:rPr>
        <w:t>Hydrogen-specific regulation, certification and permitting frameworks are not yet operational, and no dedicated market or funding instruments are in place. Peru remains at a pre-deployment stage, where governance is oriented toward defining future pathways rather than enabling near-term execution.</w:t>
      </w:r>
    </w:p>
    <w:tbl>
      <w:tblPr>
        <w:tblW w:w="5000" w:type="pct"/>
        <w:jc w:val="center"/>
        <w:tblLayout w:type="fixed"/>
        <w:tblCellMar>
          <w:left w:w="70" w:type="dxa"/>
          <w:right w:w="70" w:type="dxa"/>
        </w:tblCellMar>
        <w:tblLook w:val="04A0" w:firstRow="1" w:lastRow="0" w:firstColumn="1" w:lastColumn="0" w:noHBand="0" w:noVBand="1"/>
      </w:tblPr>
      <w:tblGrid>
        <w:gridCol w:w="1879"/>
        <w:gridCol w:w="136"/>
        <w:gridCol w:w="375"/>
        <w:gridCol w:w="1376"/>
        <w:gridCol w:w="844"/>
        <w:gridCol w:w="1044"/>
        <w:gridCol w:w="1374"/>
        <w:gridCol w:w="515"/>
        <w:gridCol w:w="1906"/>
        <w:gridCol w:w="160"/>
      </w:tblGrid>
      <w:tr w:rsidR="00F91404" w:rsidRPr="00F91404" w14:paraId="53E49180" w14:textId="77777777" w:rsidTr="00BD1985">
        <w:trPr>
          <w:gridAfter w:val="1"/>
          <w:wAfter w:w="83" w:type="pct"/>
          <w:trHeight w:val="1060"/>
          <w:jc w:val="center"/>
        </w:trPr>
        <w:tc>
          <w:tcPr>
            <w:tcW w:w="978" w:type="pct"/>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32271802"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w:t>
            </w:r>
          </w:p>
          <w:p w14:paraId="20D0E503"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production capacity </w:t>
            </w:r>
          </w:p>
          <w:p w14:paraId="08EE673B"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Operational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82" w:type="pct"/>
            <w:gridSpan w:val="3"/>
            <w:tcBorders>
              <w:top w:val="single" w:sz="12" w:space="0" w:color="808080"/>
              <w:left w:val="nil"/>
              <w:bottom w:val="single" w:sz="12" w:space="0" w:color="808080"/>
              <w:right w:val="single" w:sz="12" w:space="0" w:color="808080"/>
            </w:tcBorders>
            <w:shd w:val="clear" w:color="auto" w:fill="004C43" w:themeFill="accent1"/>
            <w:vAlign w:val="center"/>
            <w:hideMark/>
          </w:tcPr>
          <w:p w14:paraId="3CFAEC52"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w:t>
            </w:r>
          </w:p>
          <w:p w14:paraId="0148CDE0"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capacity Planned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82"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610EB3CF"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Hydrogen pipelines </w:t>
            </w:r>
            <w:r w:rsidRPr="00F91404">
              <w:rPr>
                <w:rFonts w:eastAsia="Times New Roman" w:cstheme="minorHAnsi"/>
                <w:b/>
                <w:color w:val="FFFFFF" w:themeColor="background1"/>
                <w:sz w:val="18"/>
                <w:szCs w:val="18"/>
                <w:lang w:eastAsia="es-MX"/>
              </w:rPr>
              <w:br/>
              <w:t>(km)</w:t>
            </w:r>
          </w:p>
        </w:tc>
        <w:tc>
          <w:tcPr>
            <w:tcW w:w="983"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0C14F734"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Ammonia port </w:t>
            </w:r>
          </w:p>
          <w:p w14:paraId="1B5C2D28"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storage capacity </w:t>
            </w:r>
            <w:r w:rsidRPr="00F91404">
              <w:rPr>
                <w:rFonts w:eastAsia="Times New Roman" w:cstheme="minorHAnsi"/>
                <w:b/>
                <w:color w:val="FFFFFF" w:themeColor="background1"/>
                <w:sz w:val="18"/>
                <w:szCs w:val="18"/>
                <w:lang w:eastAsia="es-MX"/>
              </w:rPr>
              <w:br/>
              <w:t>(Thousand tonnes)</w:t>
            </w:r>
          </w:p>
        </w:tc>
        <w:tc>
          <w:tcPr>
            <w:tcW w:w="991" w:type="pct"/>
            <w:tcBorders>
              <w:top w:val="single" w:sz="12" w:space="0" w:color="808080"/>
              <w:left w:val="nil"/>
              <w:bottom w:val="single" w:sz="12" w:space="0" w:color="808080"/>
              <w:right w:val="single" w:sz="12" w:space="0" w:color="808080"/>
            </w:tcBorders>
            <w:shd w:val="clear" w:color="auto" w:fill="004C43" w:themeFill="accent1"/>
            <w:vAlign w:val="center"/>
            <w:hideMark/>
          </w:tcPr>
          <w:p w14:paraId="3A3D11E7"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Dominant market model</w:t>
            </w:r>
          </w:p>
        </w:tc>
      </w:tr>
      <w:tr w:rsidR="00F91404" w:rsidRPr="00F91404" w14:paraId="74A262AC" w14:textId="77777777" w:rsidTr="00BD1985">
        <w:trPr>
          <w:gridAfter w:val="1"/>
          <w:wAfter w:w="83" w:type="pct"/>
          <w:trHeight w:val="2740"/>
          <w:jc w:val="center"/>
        </w:trPr>
        <w:tc>
          <w:tcPr>
            <w:tcW w:w="978" w:type="pct"/>
            <w:tcBorders>
              <w:top w:val="nil"/>
              <w:left w:val="single" w:sz="12" w:space="0" w:color="808080"/>
              <w:bottom w:val="single" w:sz="12" w:space="0" w:color="808080"/>
              <w:right w:val="single" w:sz="12" w:space="0" w:color="808080"/>
            </w:tcBorders>
            <w:noWrap/>
            <w:vAlign w:val="center"/>
            <w:hideMark/>
          </w:tcPr>
          <w:p w14:paraId="02AEB964"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2F090739" wp14:editId="0866F10C">
                  <wp:extent cx="1264257" cy="1529313"/>
                  <wp:effectExtent l="0" t="0" r="0" b="0"/>
                  <wp:docPr id="71438187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b="9003"/>
                          <a:stretch>
                            <a:fillRect/>
                          </a:stretch>
                        </pic:blipFill>
                        <pic:spPr bwMode="auto">
                          <a:xfrm>
                            <a:off x="0" y="0"/>
                            <a:ext cx="1280688" cy="15491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82" w:type="pct"/>
            <w:gridSpan w:val="3"/>
            <w:tcBorders>
              <w:top w:val="nil"/>
              <w:left w:val="nil"/>
              <w:bottom w:val="single" w:sz="12" w:space="0" w:color="808080"/>
              <w:right w:val="single" w:sz="12" w:space="0" w:color="808080"/>
            </w:tcBorders>
            <w:noWrap/>
            <w:vAlign w:val="center"/>
            <w:hideMark/>
          </w:tcPr>
          <w:p w14:paraId="040AD54C"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703A1CF1" wp14:editId="0075439D">
                  <wp:extent cx="954156" cy="1516947"/>
                  <wp:effectExtent l="0" t="0" r="0" b="7620"/>
                  <wp:docPr id="122462905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24561" r="24730" b="10193"/>
                          <a:stretch>
                            <a:fillRect/>
                          </a:stretch>
                        </pic:blipFill>
                        <pic:spPr bwMode="auto">
                          <a:xfrm>
                            <a:off x="0" y="0"/>
                            <a:ext cx="975137" cy="15503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82" w:type="pct"/>
            <w:gridSpan w:val="2"/>
            <w:tcBorders>
              <w:top w:val="nil"/>
              <w:left w:val="nil"/>
              <w:bottom w:val="single" w:sz="12" w:space="0" w:color="808080"/>
              <w:right w:val="single" w:sz="12" w:space="0" w:color="808080"/>
            </w:tcBorders>
            <w:noWrap/>
            <w:vAlign w:val="center"/>
            <w:hideMark/>
          </w:tcPr>
          <w:p w14:paraId="2EA57F48"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bCs/>
                <w:noProof/>
                <w:color w:val="000000"/>
                <w:sz w:val="18"/>
                <w:szCs w:val="18"/>
                <w:lang w:eastAsia="es-MX"/>
              </w:rPr>
              <w:drawing>
                <wp:inline distT="0" distB="0" distL="0" distR="0" wp14:anchorId="2DAF8D77" wp14:editId="42D2E73F">
                  <wp:extent cx="1071362" cy="874945"/>
                  <wp:effectExtent l="0" t="0" r="0" b="1905"/>
                  <wp:docPr id="1726096352" name="Picture 9" descr="A group of pipes with a red x&#10;&#10;AI-generated content may be incorrect.">
                    <a:extLst xmlns:a="http://schemas.openxmlformats.org/drawingml/2006/main">
                      <a:ext uri="{FF2B5EF4-FFF2-40B4-BE49-F238E27FC236}">
                        <a16:creationId xmlns:a16="http://schemas.microsoft.com/office/drawing/2014/main" id="{6E4743CC-529A-8701-D911-D8A99AD40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oup of pipes with a red x&#10;&#10;AI-generated content may be incorrect.">
                            <a:extLst>
                              <a:ext uri="{FF2B5EF4-FFF2-40B4-BE49-F238E27FC236}">
                                <a16:creationId xmlns:a16="http://schemas.microsoft.com/office/drawing/2014/main" id="{6E4743CC-529A-8701-D911-D8A99AD4050C}"/>
                              </a:ext>
                            </a:extLst>
                          </pic:cNvPr>
                          <pic:cNvPicPr>
                            <a:picLocks noChangeAspect="1"/>
                          </pic:cNvPicPr>
                        </pic:nvPicPr>
                        <pic:blipFill>
                          <a:blip r:embed="rId37"/>
                          <a:srcRect l="54168" t="56144" r="13491" b="4237"/>
                          <a:stretch>
                            <a:fillRect/>
                          </a:stretch>
                        </pic:blipFill>
                        <pic:spPr>
                          <a:xfrm>
                            <a:off x="0" y="0"/>
                            <a:ext cx="1100205" cy="898500"/>
                          </a:xfrm>
                          <a:prstGeom prst="rect">
                            <a:avLst/>
                          </a:prstGeom>
                        </pic:spPr>
                      </pic:pic>
                    </a:graphicData>
                  </a:graphic>
                </wp:inline>
              </w:drawing>
            </w:r>
          </w:p>
        </w:tc>
        <w:tc>
          <w:tcPr>
            <w:tcW w:w="983" w:type="pct"/>
            <w:gridSpan w:val="2"/>
            <w:tcBorders>
              <w:top w:val="nil"/>
              <w:left w:val="nil"/>
              <w:bottom w:val="single" w:sz="12" w:space="0" w:color="808080"/>
              <w:right w:val="single" w:sz="12" w:space="0" w:color="808080"/>
            </w:tcBorders>
            <w:noWrap/>
            <w:vAlign w:val="center"/>
            <w:hideMark/>
          </w:tcPr>
          <w:p w14:paraId="1E10C03F"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2FFE3923" wp14:editId="46E2BC65">
                  <wp:extent cx="1113943" cy="956310"/>
                  <wp:effectExtent l="0" t="0" r="0" b="0"/>
                  <wp:docPr id="1300817634" name="Picture 10" descr="A group of white containers with black text&#10;&#10;AI-generated content may be incorrect.">
                    <a:extLst xmlns:a="http://schemas.openxmlformats.org/drawingml/2006/main">
                      <a:ext uri="{FF2B5EF4-FFF2-40B4-BE49-F238E27FC236}">
                        <a16:creationId xmlns:a16="http://schemas.microsoft.com/office/drawing/2014/main" id="{74EA4B76-0D67-247B-5D0E-F035ABCAB4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oup of white containers with black text&#10;&#10;AI-generated content may be incorrect.">
                            <a:extLst>
                              <a:ext uri="{FF2B5EF4-FFF2-40B4-BE49-F238E27FC236}">
                                <a16:creationId xmlns:a16="http://schemas.microsoft.com/office/drawing/2014/main" id="{74EA4B76-0D67-247B-5D0E-F035ABCAB49E}"/>
                              </a:ext>
                            </a:extLst>
                          </pic:cNvPr>
                          <pic:cNvPicPr>
                            <a:picLocks noChangeAspect="1"/>
                          </pic:cNvPicPr>
                        </pic:nvPicPr>
                        <pic:blipFill>
                          <a:blip r:embed="rId38"/>
                          <a:srcRect l="57858" t="56590" r="15274" b="8810"/>
                          <a:stretch>
                            <a:fillRect/>
                          </a:stretch>
                        </pic:blipFill>
                        <pic:spPr>
                          <a:xfrm>
                            <a:off x="0" y="0"/>
                            <a:ext cx="1135556" cy="974865"/>
                          </a:xfrm>
                          <a:prstGeom prst="rect">
                            <a:avLst/>
                          </a:prstGeom>
                        </pic:spPr>
                      </pic:pic>
                    </a:graphicData>
                  </a:graphic>
                </wp:inline>
              </w:drawing>
            </w:r>
          </w:p>
        </w:tc>
        <w:tc>
          <w:tcPr>
            <w:tcW w:w="991" w:type="pct"/>
            <w:tcBorders>
              <w:top w:val="nil"/>
              <w:left w:val="nil"/>
              <w:bottom w:val="single" w:sz="12" w:space="0" w:color="808080"/>
              <w:right w:val="single" w:sz="12" w:space="0" w:color="808080"/>
            </w:tcBorders>
            <w:vAlign w:val="center"/>
            <w:hideMark/>
          </w:tcPr>
          <w:p w14:paraId="03ABE5FA"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03624FE1" wp14:editId="6D9F0E67">
                  <wp:extent cx="1159056" cy="983863"/>
                  <wp:effectExtent l="0" t="0" r="3175" b="6985"/>
                  <wp:docPr id="16" name="Picture 15" descr="A diagram of a ship with containers and a clipboard&#10;&#10;AI-generated content may be incorrect.">
                    <a:extLst xmlns:a="http://schemas.openxmlformats.org/drawingml/2006/main">
                      <a:ext uri="{FF2B5EF4-FFF2-40B4-BE49-F238E27FC236}">
                        <a16:creationId xmlns:a16="http://schemas.microsoft.com/office/drawing/2014/main" id="{47BD5137-3D28-6AE2-FF69-6D4F1DCE12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diagram of a ship with containers and a clipboard&#10;&#10;AI-generated content may be incorrect.">
                            <a:extLst>
                              <a:ext uri="{FF2B5EF4-FFF2-40B4-BE49-F238E27FC236}">
                                <a16:creationId xmlns:a16="http://schemas.microsoft.com/office/drawing/2014/main" id="{47BD5137-3D28-6AE2-FF69-6D4F1DCE1241}"/>
                              </a:ext>
                            </a:extLst>
                          </pic:cNvPr>
                          <pic:cNvPicPr>
                            <a:picLocks noChangeAspect="1"/>
                          </pic:cNvPicPr>
                        </pic:nvPicPr>
                        <pic:blipFill>
                          <a:blip r:embed="rId39"/>
                          <a:srcRect l="37581" t="28629" r="30986" b="31351"/>
                          <a:stretch>
                            <a:fillRect/>
                          </a:stretch>
                        </pic:blipFill>
                        <pic:spPr>
                          <a:xfrm>
                            <a:off x="0" y="0"/>
                            <a:ext cx="1169981" cy="993136"/>
                          </a:xfrm>
                          <a:prstGeom prst="rect">
                            <a:avLst/>
                          </a:prstGeom>
                        </pic:spPr>
                      </pic:pic>
                    </a:graphicData>
                  </a:graphic>
                </wp:inline>
              </w:drawing>
            </w:r>
          </w:p>
        </w:tc>
      </w:tr>
      <w:tr w:rsidR="00F91404" w:rsidRPr="00F91404" w14:paraId="5DC4E4EF" w14:textId="77777777" w:rsidTr="00BD1985">
        <w:trPr>
          <w:gridAfter w:val="1"/>
          <w:wAfter w:w="83" w:type="pct"/>
          <w:trHeight w:val="590"/>
          <w:jc w:val="center"/>
        </w:trPr>
        <w:tc>
          <w:tcPr>
            <w:tcW w:w="1244" w:type="pct"/>
            <w:gridSpan w:val="3"/>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14B0678C"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Overall Status</w:t>
            </w:r>
          </w:p>
        </w:tc>
        <w:tc>
          <w:tcPr>
            <w:tcW w:w="1155" w:type="pct"/>
            <w:gridSpan w:val="2"/>
            <w:tcBorders>
              <w:top w:val="nil"/>
              <w:left w:val="nil"/>
              <w:bottom w:val="single" w:sz="12" w:space="0" w:color="808080"/>
              <w:right w:val="single" w:sz="12" w:space="0" w:color="808080"/>
            </w:tcBorders>
            <w:shd w:val="clear" w:color="auto" w:fill="004C43" w:themeFill="accent1"/>
            <w:vAlign w:val="center"/>
            <w:hideMark/>
          </w:tcPr>
          <w:p w14:paraId="4E8115E3"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Strategies</w:t>
            </w:r>
          </w:p>
        </w:tc>
        <w:tc>
          <w:tcPr>
            <w:tcW w:w="1258" w:type="pct"/>
            <w:gridSpan w:val="2"/>
            <w:tcBorders>
              <w:top w:val="nil"/>
              <w:left w:val="nil"/>
              <w:bottom w:val="single" w:sz="12" w:space="0" w:color="808080"/>
              <w:right w:val="single" w:sz="12" w:space="0" w:color="808080"/>
            </w:tcBorders>
            <w:shd w:val="clear" w:color="auto" w:fill="004C43" w:themeFill="accent1"/>
            <w:vAlign w:val="center"/>
            <w:hideMark/>
          </w:tcPr>
          <w:p w14:paraId="49318FDD"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 xml:space="preserve">Road Map </w:t>
            </w:r>
          </w:p>
        </w:tc>
        <w:tc>
          <w:tcPr>
            <w:tcW w:w="1259" w:type="pct"/>
            <w:gridSpan w:val="2"/>
            <w:tcBorders>
              <w:top w:val="nil"/>
              <w:left w:val="nil"/>
              <w:bottom w:val="single" w:sz="12" w:space="0" w:color="808080"/>
              <w:right w:val="single" w:sz="12" w:space="0" w:color="808080"/>
            </w:tcBorders>
            <w:shd w:val="clear" w:color="auto" w:fill="004C43" w:themeFill="accent1"/>
            <w:vAlign w:val="center"/>
            <w:hideMark/>
          </w:tcPr>
          <w:p w14:paraId="0D68E86E"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 xml:space="preserve">Implementation &amp; </w:t>
            </w:r>
          </w:p>
          <w:p w14:paraId="0CA980F5"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Development Plans</w:t>
            </w:r>
          </w:p>
        </w:tc>
      </w:tr>
      <w:tr w:rsidR="00F91404" w:rsidRPr="00F91404" w14:paraId="3F6DFB42" w14:textId="77777777" w:rsidTr="00BD1985">
        <w:trPr>
          <w:gridAfter w:val="1"/>
          <w:wAfter w:w="83" w:type="pct"/>
          <w:trHeight w:val="5073"/>
          <w:jc w:val="center"/>
        </w:trPr>
        <w:tc>
          <w:tcPr>
            <w:tcW w:w="1244" w:type="pct"/>
            <w:gridSpan w:val="3"/>
            <w:vMerge w:val="restart"/>
            <w:tcBorders>
              <w:top w:val="single" w:sz="12" w:space="0" w:color="808080"/>
              <w:left w:val="single" w:sz="12" w:space="0" w:color="808080"/>
              <w:bottom w:val="single" w:sz="12" w:space="0" w:color="808080"/>
              <w:right w:val="single" w:sz="12" w:space="0" w:color="808080"/>
            </w:tcBorders>
            <w:vAlign w:val="center"/>
            <w:hideMark/>
          </w:tcPr>
          <w:p w14:paraId="658F8BE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Pre-deployment hydrogen market with no active project pipeline</w:t>
            </w:r>
          </w:p>
          <w:p w14:paraId="4EF7DA8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Green hydrogen is framed as a long-term opportunity, not yet an industrial agenda</w:t>
            </w:r>
          </w:p>
          <w:p w14:paraId="1587B90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focus remains on definition, analysis and sequencing</w:t>
            </w:r>
          </w:p>
          <w:p w14:paraId="12D0F8D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market creation, de-risking or infrastructure deployment instruments are in place</w:t>
            </w:r>
          </w:p>
          <w:p w14:paraId="75E605CC" w14:textId="77777777" w:rsidR="00F91404" w:rsidRPr="00F91404" w:rsidRDefault="00F91404" w:rsidP="00BD1985">
            <w:pPr>
              <w:spacing w:after="0"/>
              <w:jc w:val="center"/>
              <w:rPr>
                <w:rFonts w:eastAsia="Times New Roman" w:cstheme="minorHAnsi"/>
                <w:b/>
                <w:bCs/>
                <w:color w:val="000000"/>
                <w:sz w:val="18"/>
                <w:szCs w:val="18"/>
                <w:lang w:eastAsia="es-MX"/>
              </w:rPr>
            </w:pPr>
          </w:p>
        </w:tc>
        <w:tc>
          <w:tcPr>
            <w:tcW w:w="1155" w:type="pct"/>
            <w:gridSpan w:val="2"/>
            <w:vMerge w:val="restart"/>
            <w:tcBorders>
              <w:top w:val="nil"/>
              <w:left w:val="single" w:sz="12" w:space="0" w:color="808080"/>
              <w:bottom w:val="single" w:sz="12" w:space="0" w:color="808080"/>
              <w:right w:val="single" w:sz="12" w:space="0" w:color="808080"/>
            </w:tcBorders>
            <w:vAlign w:val="center"/>
            <w:hideMark/>
          </w:tcPr>
          <w:p w14:paraId="147952D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Positions green hydrogen as a future component of the energy transition</w:t>
            </w:r>
          </w:p>
          <w:p w14:paraId="0D6B624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Focuses on understanding potential applications rather than enabling deployment</w:t>
            </w:r>
          </w:p>
          <w:p w14:paraId="6BA5769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Does not prioritise near-term production, demand creation or exports</w:t>
            </w:r>
          </w:p>
          <w:p w14:paraId="45C42972"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Strategy remains exploratory and non-committal in implementation terms</w:t>
            </w:r>
          </w:p>
          <w:p w14:paraId="1176CE1D" w14:textId="77777777" w:rsidR="00F91404" w:rsidRPr="00F91404" w:rsidRDefault="00F91404" w:rsidP="00BD1985">
            <w:pPr>
              <w:spacing w:after="0"/>
              <w:jc w:val="center"/>
              <w:rPr>
                <w:rFonts w:eastAsia="Times New Roman" w:cstheme="minorHAnsi"/>
                <w:color w:val="000000"/>
                <w:sz w:val="18"/>
                <w:szCs w:val="18"/>
                <w:lang w:eastAsia="es-MX"/>
              </w:rPr>
            </w:pPr>
          </w:p>
        </w:tc>
        <w:tc>
          <w:tcPr>
            <w:tcW w:w="1258" w:type="pct"/>
            <w:gridSpan w:val="2"/>
            <w:vMerge w:val="restart"/>
            <w:tcBorders>
              <w:top w:val="nil"/>
              <w:left w:val="single" w:sz="12" w:space="0" w:color="808080"/>
              <w:bottom w:val="single" w:sz="12" w:space="0" w:color="808080"/>
              <w:right w:val="single" w:sz="12" w:space="0" w:color="808080"/>
            </w:tcBorders>
            <w:vAlign w:val="center"/>
            <w:hideMark/>
          </w:tcPr>
          <w:p w14:paraId="15CDDDE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Roadmap publication (2022): Green Hydrogen Roadmap outlines potential applications and indicative phases</w:t>
            </w:r>
          </w:p>
          <w:p w14:paraId="15C645E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Analytical phase (current): Focus on studies, diagnostics and regulatory exploration</w:t>
            </w:r>
          </w:p>
          <w:p w14:paraId="7273783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Next phase: Definition of enabling instruments contingent on future policy </w:t>
            </w:r>
            <w:r w:rsidRPr="00F91404">
              <w:rPr>
                <w:rFonts w:eastAsia="Times New Roman" w:cstheme="minorHAnsi"/>
                <w:sz w:val="18"/>
                <w:szCs w:val="18"/>
                <w:lang w:eastAsia="es-MX"/>
              </w:rPr>
              <w:br/>
              <w:t>decisions</w:t>
            </w:r>
          </w:p>
          <w:p w14:paraId="52D8C281" w14:textId="77777777" w:rsidR="00F91404" w:rsidRPr="00F91404" w:rsidRDefault="00F91404" w:rsidP="00BD1985">
            <w:pPr>
              <w:spacing w:after="0"/>
              <w:jc w:val="center"/>
              <w:rPr>
                <w:rFonts w:eastAsia="Times New Roman" w:cstheme="minorHAnsi"/>
                <w:color w:val="000000"/>
                <w:sz w:val="18"/>
                <w:szCs w:val="18"/>
                <w:lang w:eastAsia="es-MX"/>
              </w:rPr>
            </w:pPr>
          </w:p>
        </w:tc>
        <w:tc>
          <w:tcPr>
            <w:tcW w:w="1259" w:type="pct"/>
            <w:gridSpan w:val="2"/>
            <w:vMerge w:val="restart"/>
            <w:tcBorders>
              <w:top w:val="nil"/>
              <w:left w:val="single" w:sz="12" w:space="0" w:color="808080"/>
              <w:bottom w:val="single" w:sz="12" w:space="0" w:color="808080"/>
              <w:right w:val="single" w:sz="12" w:space="0" w:color="808080"/>
            </w:tcBorders>
            <w:vAlign w:val="center"/>
            <w:hideMark/>
          </w:tcPr>
          <w:p w14:paraId="60AAC2E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operational development plans or deployment programmes in place</w:t>
            </w:r>
          </w:p>
          <w:p w14:paraId="1204E5C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activity limited to:</w:t>
            </w:r>
          </w:p>
          <w:p w14:paraId="60F0ABEF"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Planning and analytical studies</w:t>
            </w:r>
          </w:p>
          <w:p w14:paraId="0C00CE16"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Stakeholder engagement</w:t>
            </w:r>
          </w:p>
          <w:p w14:paraId="15EEE8C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Led by the Ministry of Energy and Mines (MINEM)</w:t>
            </w:r>
          </w:p>
          <w:p w14:paraId="0965CCE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No defined funding schemes, market support mechanisms or </w:t>
            </w:r>
            <w:r w:rsidRPr="00F91404">
              <w:rPr>
                <w:rFonts w:eastAsia="Times New Roman" w:cstheme="minorHAnsi"/>
                <w:sz w:val="18"/>
                <w:szCs w:val="18"/>
                <w:lang w:eastAsia="es-MX"/>
              </w:rPr>
              <w:br/>
              <w:t>infrastructure programmes</w:t>
            </w:r>
          </w:p>
          <w:p w14:paraId="217277E3" w14:textId="77777777" w:rsidR="00F91404" w:rsidRPr="00F91404" w:rsidRDefault="00F91404" w:rsidP="00BD1985">
            <w:pPr>
              <w:spacing w:after="0"/>
              <w:jc w:val="center"/>
              <w:rPr>
                <w:rFonts w:eastAsia="Times New Roman" w:cstheme="minorHAnsi"/>
                <w:color w:val="000000"/>
                <w:sz w:val="18"/>
                <w:szCs w:val="18"/>
                <w:lang w:eastAsia="es-MX"/>
              </w:rPr>
            </w:pPr>
          </w:p>
        </w:tc>
      </w:tr>
      <w:tr w:rsidR="00F91404" w:rsidRPr="00F91404" w14:paraId="542DA2BE" w14:textId="77777777" w:rsidTr="00BD1985">
        <w:trPr>
          <w:trHeight w:val="1518"/>
          <w:jc w:val="center"/>
        </w:trPr>
        <w:tc>
          <w:tcPr>
            <w:tcW w:w="1244" w:type="pct"/>
            <w:gridSpan w:val="3"/>
            <w:vMerge/>
            <w:tcBorders>
              <w:top w:val="single" w:sz="12" w:space="0" w:color="808080"/>
              <w:left w:val="single" w:sz="12" w:space="0" w:color="808080"/>
              <w:bottom w:val="single" w:sz="12" w:space="0" w:color="808080"/>
              <w:right w:val="single" w:sz="12" w:space="0" w:color="808080"/>
            </w:tcBorders>
            <w:vAlign w:val="center"/>
            <w:hideMark/>
          </w:tcPr>
          <w:p w14:paraId="794CEADD" w14:textId="77777777" w:rsidR="00F91404" w:rsidRPr="00F91404" w:rsidRDefault="00F91404" w:rsidP="00BD1985">
            <w:pPr>
              <w:spacing w:after="0"/>
              <w:rPr>
                <w:rFonts w:eastAsia="Times New Roman" w:cstheme="minorHAnsi"/>
                <w:b/>
                <w:bCs/>
                <w:color w:val="000000"/>
                <w:sz w:val="18"/>
                <w:szCs w:val="18"/>
                <w:lang w:eastAsia="es-MX"/>
              </w:rPr>
            </w:pPr>
          </w:p>
        </w:tc>
        <w:tc>
          <w:tcPr>
            <w:tcW w:w="1155" w:type="pct"/>
            <w:gridSpan w:val="2"/>
            <w:vMerge/>
            <w:tcBorders>
              <w:top w:val="nil"/>
              <w:left w:val="single" w:sz="12" w:space="0" w:color="808080"/>
              <w:bottom w:val="single" w:sz="12" w:space="0" w:color="808080"/>
              <w:right w:val="single" w:sz="12" w:space="0" w:color="808080"/>
            </w:tcBorders>
            <w:vAlign w:val="center"/>
            <w:hideMark/>
          </w:tcPr>
          <w:p w14:paraId="16DB22F7" w14:textId="77777777" w:rsidR="00F91404" w:rsidRPr="00F91404" w:rsidRDefault="00F91404" w:rsidP="00BD1985">
            <w:pPr>
              <w:spacing w:after="0"/>
              <w:rPr>
                <w:rFonts w:eastAsia="Times New Roman" w:cstheme="minorHAnsi"/>
                <w:color w:val="000000"/>
                <w:sz w:val="18"/>
                <w:szCs w:val="18"/>
                <w:lang w:eastAsia="es-MX"/>
              </w:rPr>
            </w:pPr>
          </w:p>
        </w:tc>
        <w:tc>
          <w:tcPr>
            <w:tcW w:w="1258" w:type="pct"/>
            <w:gridSpan w:val="2"/>
            <w:vMerge/>
            <w:tcBorders>
              <w:top w:val="nil"/>
              <w:left w:val="single" w:sz="12" w:space="0" w:color="808080"/>
              <w:bottom w:val="single" w:sz="12" w:space="0" w:color="808080"/>
              <w:right w:val="single" w:sz="12" w:space="0" w:color="808080"/>
            </w:tcBorders>
            <w:vAlign w:val="center"/>
            <w:hideMark/>
          </w:tcPr>
          <w:p w14:paraId="6FD908D0" w14:textId="77777777" w:rsidR="00F91404" w:rsidRPr="00F91404" w:rsidRDefault="00F91404" w:rsidP="00BD1985">
            <w:pPr>
              <w:spacing w:after="0"/>
              <w:rPr>
                <w:rFonts w:eastAsia="Times New Roman" w:cstheme="minorHAnsi"/>
                <w:color w:val="000000"/>
                <w:sz w:val="18"/>
                <w:szCs w:val="18"/>
                <w:lang w:eastAsia="es-MX"/>
              </w:rPr>
            </w:pPr>
          </w:p>
        </w:tc>
        <w:tc>
          <w:tcPr>
            <w:tcW w:w="1259" w:type="pct"/>
            <w:gridSpan w:val="2"/>
            <w:vMerge/>
            <w:tcBorders>
              <w:top w:val="nil"/>
              <w:left w:val="single" w:sz="12" w:space="0" w:color="808080"/>
              <w:bottom w:val="single" w:sz="12" w:space="0" w:color="808080"/>
              <w:right w:val="single" w:sz="12" w:space="0" w:color="808080"/>
            </w:tcBorders>
            <w:vAlign w:val="center"/>
            <w:hideMark/>
          </w:tcPr>
          <w:p w14:paraId="7433FE68" w14:textId="77777777" w:rsidR="00F91404" w:rsidRPr="00F91404" w:rsidRDefault="00F91404" w:rsidP="00BD1985">
            <w:pPr>
              <w:spacing w:after="0"/>
              <w:rPr>
                <w:rFonts w:eastAsia="Times New Roman" w:cstheme="minorHAnsi"/>
                <w:color w:val="000000"/>
                <w:sz w:val="18"/>
                <w:szCs w:val="18"/>
                <w:lang w:eastAsia="es-MX"/>
              </w:rPr>
            </w:pPr>
          </w:p>
        </w:tc>
        <w:tc>
          <w:tcPr>
            <w:tcW w:w="83" w:type="pct"/>
            <w:tcBorders>
              <w:top w:val="nil"/>
              <w:left w:val="nil"/>
              <w:bottom w:val="nil"/>
              <w:right w:val="nil"/>
            </w:tcBorders>
            <w:noWrap/>
            <w:vAlign w:val="bottom"/>
            <w:hideMark/>
          </w:tcPr>
          <w:p w14:paraId="09B3DCE3" w14:textId="77777777" w:rsidR="00F91404" w:rsidRPr="00F91404" w:rsidRDefault="00F91404" w:rsidP="00BD1985">
            <w:pPr>
              <w:spacing w:after="0"/>
              <w:jc w:val="center"/>
              <w:rPr>
                <w:rFonts w:eastAsia="Times New Roman" w:cstheme="minorHAnsi"/>
                <w:color w:val="000000"/>
                <w:sz w:val="20"/>
                <w:szCs w:val="20"/>
                <w:lang w:eastAsia="es-MX"/>
              </w:rPr>
            </w:pPr>
          </w:p>
        </w:tc>
      </w:tr>
      <w:tr w:rsidR="00F91404" w:rsidRPr="00F91404" w14:paraId="5A03B423" w14:textId="77777777" w:rsidTr="00BD1985">
        <w:trPr>
          <w:trHeight w:val="400"/>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75C9284A"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lastRenderedPageBreak/>
              <w:t>Policies Framework</w:t>
            </w:r>
          </w:p>
        </w:tc>
        <w:tc>
          <w:tcPr>
            <w:tcW w:w="83" w:type="pct"/>
            <w:vAlign w:val="center"/>
            <w:hideMark/>
          </w:tcPr>
          <w:p w14:paraId="411B93D9" w14:textId="77777777" w:rsidR="00F91404" w:rsidRPr="00F91404" w:rsidRDefault="00F91404" w:rsidP="00BD1985">
            <w:pPr>
              <w:spacing w:after="0"/>
              <w:rPr>
                <w:rFonts w:eastAsia="Times New Roman" w:cstheme="minorHAnsi"/>
                <w:sz w:val="20"/>
                <w:szCs w:val="20"/>
                <w:lang w:eastAsia="es-MX"/>
              </w:rPr>
            </w:pPr>
          </w:p>
        </w:tc>
      </w:tr>
      <w:tr w:rsidR="00F91404" w:rsidRPr="00F91404" w14:paraId="483171E6" w14:textId="77777777" w:rsidTr="00BD1985">
        <w:trPr>
          <w:trHeight w:val="1233"/>
          <w:jc w:val="center"/>
        </w:trPr>
        <w:tc>
          <w:tcPr>
            <w:tcW w:w="1049"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5B22876B"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Fiscal &amp; Tax </w:t>
            </w:r>
          </w:p>
          <w:p w14:paraId="56B1F281"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Incentives</w:t>
            </w:r>
          </w:p>
        </w:tc>
        <w:tc>
          <w:tcPr>
            <w:tcW w:w="3868" w:type="pct"/>
            <w:gridSpan w:val="7"/>
            <w:tcBorders>
              <w:top w:val="single" w:sz="12" w:space="0" w:color="808080"/>
              <w:left w:val="nil"/>
              <w:bottom w:val="single" w:sz="12" w:space="0" w:color="808080"/>
              <w:right w:val="single" w:sz="12" w:space="0" w:color="808080"/>
            </w:tcBorders>
            <w:vAlign w:val="center"/>
            <w:hideMark/>
          </w:tcPr>
          <w:p w14:paraId="03B1288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hydrogen-specific fiscal or tax incentives are applied</w:t>
            </w:r>
          </w:p>
          <w:p w14:paraId="3E6C07C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Projects may only access general renewable energy tax provisions, if applicable</w:t>
            </w:r>
          </w:p>
        </w:tc>
        <w:tc>
          <w:tcPr>
            <w:tcW w:w="83" w:type="pct"/>
            <w:vAlign w:val="center"/>
            <w:hideMark/>
          </w:tcPr>
          <w:p w14:paraId="51731D22" w14:textId="77777777" w:rsidR="00F91404" w:rsidRPr="00F91404" w:rsidRDefault="00F91404" w:rsidP="00BD1985">
            <w:pPr>
              <w:spacing w:after="0"/>
              <w:rPr>
                <w:rFonts w:eastAsia="Times New Roman" w:cstheme="minorHAnsi"/>
                <w:sz w:val="20"/>
                <w:szCs w:val="20"/>
                <w:lang w:eastAsia="es-MX"/>
              </w:rPr>
            </w:pPr>
          </w:p>
        </w:tc>
      </w:tr>
      <w:tr w:rsidR="00F91404" w:rsidRPr="00F91404" w14:paraId="5CE108FD" w14:textId="77777777" w:rsidTr="00BD1985">
        <w:trPr>
          <w:trHeight w:val="1095"/>
          <w:jc w:val="center"/>
        </w:trPr>
        <w:tc>
          <w:tcPr>
            <w:tcW w:w="1049"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2BEB6883"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Market and revenue support </w:t>
            </w:r>
          </w:p>
          <w:p w14:paraId="011528E9"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mechanisms</w:t>
            </w:r>
          </w:p>
        </w:tc>
        <w:tc>
          <w:tcPr>
            <w:tcW w:w="3868" w:type="pct"/>
            <w:gridSpan w:val="7"/>
            <w:tcBorders>
              <w:top w:val="single" w:sz="12" w:space="0" w:color="808080"/>
              <w:left w:val="nil"/>
              <w:bottom w:val="single" w:sz="12" w:space="0" w:color="808080"/>
              <w:right w:val="single" w:sz="12" w:space="0" w:color="808080"/>
            </w:tcBorders>
            <w:vAlign w:val="center"/>
            <w:hideMark/>
          </w:tcPr>
          <w:p w14:paraId="23CF126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No revenue support mechanisms (e.g. </w:t>
            </w:r>
            <w:proofErr w:type="spellStart"/>
            <w:r w:rsidRPr="00F91404">
              <w:rPr>
                <w:rFonts w:eastAsia="Times New Roman" w:cstheme="minorHAnsi"/>
                <w:sz w:val="18"/>
                <w:szCs w:val="18"/>
                <w:lang w:eastAsia="es-MX"/>
              </w:rPr>
              <w:t>CfDs</w:t>
            </w:r>
            <w:proofErr w:type="spellEnd"/>
            <w:r w:rsidRPr="00F91404">
              <w:rPr>
                <w:rFonts w:eastAsia="Times New Roman" w:cstheme="minorHAnsi"/>
                <w:sz w:val="18"/>
                <w:szCs w:val="18"/>
                <w:lang w:eastAsia="es-MX"/>
              </w:rPr>
              <w:t>, price guarantees or offtake schemes)</w:t>
            </w:r>
          </w:p>
          <w:p w14:paraId="5A0246F2"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No structured public instruments to reduce price or demand risk</w:t>
            </w:r>
          </w:p>
        </w:tc>
        <w:tc>
          <w:tcPr>
            <w:tcW w:w="83" w:type="pct"/>
            <w:vAlign w:val="center"/>
            <w:hideMark/>
          </w:tcPr>
          <w:p w14:paraId="2468A079" w14:textId="77777777" w:rsidR="00F91404" w:rsidRPr="00F91404" w:rsidRDefault="00F91404" w:rsidP="00BD1985">
            <w:pPr>
              <w:spacing w:after="0"/>
              <w:rPr>
                <w:rFonts w:eastAsia="Times New Roman" w:cstheme="minorHAnsi"/>
                <w:sz w:val="20"/>
                <w:szCs w:val="20"/>
                <w:lang w:eastAsia="es-MX"/>
              </w:rPr>
            </w:pPr>
          </w:p>
        </w:tc>
      </w:tr>
      <w:tr w:rsidR="00F91404" w:rsidRPr="00F91404" w14:paraId="699CDD70" w14:textId="77777777" w:rsidTr="00BD1985">
        <w:trPr>
          <w:trHeight w:val="1394"/>
          <w:jc w:val="center"/>
        </w:trPr>
        <w:tc>
          <w:tcPr>
            <w:tcW w:w="1049"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4022B33E"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Direct public </w:t>
            </w:r>
          </w:p>
          <w:p w14:paraId="0E43297E"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funding</w:t>
            </w:r>
          </w:p>
        </w:tc>
        <w:tc>
          <w:tcPr>
            <w:tcW w:w="3868" w:type="pct"/>
            <w:gridSpan w:val="7"/>
            <w:tcBorders>
              <w:top w:val="single" w:sz="12" w:space="0" w:color="808080"/>
              <w:left w:val="nil"/>
              <w:bottom w:val="single" w:sz="12" w:space="0" w:color="808080"/>
              <w:right w:val="single" w:sz="12" w:space="0" w:color="808080"/>
            </w:tcBorders>
            <w:vAlign w:val="center"/>
            <w:hideMark/>
          </w:tcPr>
          <w:p w14:paraId="419B83B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dedicated CAPEX grants or co-financing programmes for hydrogen deployment</w:t>
            </w:r>
          </w:p>
          <w:p w14:paraId="0617EAA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Public activity has focused on studies, diagnostics and planning</w:t>
            </w:r>
          </w:p>
          <w:p w14:paraId="5E90E759"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Public funding does not yet function as a de-risking instrument for projects</w:t>
            </w:r>
          </w:p>
        </w:tc>
        <w:tc>
          <w:tcPr>
            <w:tcW w:w="83" w:type="pct"/>
            <w:vAlign w:val="center"/>
            <w:hideMark/>
          </w:tcPr>
          <w:p w14:paraId="78081865" w14:textId="77777777" w:rsidR="00F91404" w:rsidRPr="00F91404" w:rsidRDefault="00F91404" w:rsidP="00BD1985">
            <w:pPr>
              <w:spacing w:after="0"/>
              <w:rPr>
                <w:rFonts w:eastAsia="Times New Roman" w:cstheme="minorHAnsi"/>
                <w:sz w:val="20"/>
                <w:szCs w:val="20"/>
                <w:lang w:eastAsia="es-MX"/>
              </w:rPr>
            </w:pPr>
          </w:p>
        </w:tc>
      </w:tr>
      <w:tr w:rsidR="00F91404" w:rsidRPr="00F91404" w14:paraId="1CD956BB" w14:textId="77777777" w:rsidTr="00BD1985">
        <w:trPr>
          <w:trHeight w:val="1954"/>
          <w:jc w:val="center"/>
        </w:trPr>
        <w:tc>
          <w:tcPr>
            <w:tcW w:w="1049"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41E8108B"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Standards and </w:t>
            </w:r>
          </w:p>
          <w:p w14:paraId="7ECF6BD3"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certification</w:t>
            </w:r>
          </w:p>
        </w:tc>
        <w:tc>
          <w:tcPr>
            <w:tcW w:w="3868" w:type="pct"/>
            <w:gridSpan w:val="7"/>
            <w:tcBorders>
              <w:top w:val="single" w:sz="12" w:space="0" w:color="808080"/>
              <w:left w:val="nil"/>
              <w:bottom w:val="single" w:sz="12" w:space="0" w:color="808080"/>
              <w:right w:val="single" w:sz="12" w:space="0" w:color="808080"/>
            </w:tcBorders>
            <w:vAlign w:val="center"/>
            <w:hideMark/>
          </w:tcPr>
          <w:p w14:paraId="76687ADB"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Green Hydrogen Roadmap provides:</w:t>
            </w:r>
          </w:p>
          <w:p w14:paraId="213E117B"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Definitions</w:t>
            </w:r>
          </w:p>
          <w:p w14:paraId="65316124"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Indicative applications</w:t>
            </w:r>
          </w:p>
          <w:p w14:paraId="32688A88"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High-level regulatory pathways</w:t>
            </w:r>
          </w:p>
          <w:p w14:paraId="6F973ED2"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operational certification schemes, permitting rules or emissions accounting frameworks are in place</w:t>
            </w:r>
          </w:p>
        </w:tc>
        <w:tc>
          <w:tcPr>
            <w:tcW w:w="83" w:type="pct"/>
            <w:vAlign w:val="center"/>
            <w:hideMark/>
          </w:tcPr>
          <w:p w14:paraId="18520011" w14:textId="77777777" w:rsidR="00F91404" w:rsidRPr="00F91404" w:rsidRDefault="00F91404" w:rsidP="00BD1985">
            <w:pPr>
              <w:spacing w:after="0"/>
              <w:rPr>
                <w:rFonts w:eastAsia="Times New Roman" w:cstheme="minorHAnsi"/>
                <w:sz w:val="20"/>
                <w:szCs w:val="20"/>
                <w:lang w:eastAsia="es-MX"/>
              </w:rPr>
            </w:pPr>
          </w:p>
        </w:tc>
      </w:tr>
      <w:tr w:rsidR="00F91404" w:rsidRPr="00F91404" w14:paraId="35F2580E" w14:textId="77777777" w:rsidTr="00BD1985">
        <w:trPr>
          <w:trHeight w:val="2364"/>
          <w:jc w:val="center"/>
        </w:trPr>
        <w:tc>
          <w:tcPr>
            <w:tcW w:w="1049" w:type="pct"/>
            <w:gridSpan w:val="2"/>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58E11382"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Infrastructure-</w:t>
            </w:r>
          </w:p>
          <w:p w14:paraId="4DB63852"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enabling policies</w:t>
            </w:r>
          </w:p>
        </w:tc>
        <w:tc>
          <w:tcPr>
            <w:tcW w:w="3868" w:type="pct"/>
            <w:gridSpan w:val="7"/>
            <w:tcBorders>
              <w:top w:val="single" w:sz="12" w:space="0" w:color="808080"/>
              <w:left w:val="nil"/>
              <w:bottom w:val="single" w:sz="12" w:space="0" w:color="808080"/>
              <w:right w:val="single" w:sz="12" w:space="0" w:color="808080"/>
            </w:tcBorders>
            <w:vAlign w:val="center"/>
            <w:hideMark/>
          </w:tcPr>
          <w:p w14:paraId="629B705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active system-level infrastructure policies for hydrogen</w:t>
            </w:r>
          </w:p>
          <w:p w14:paraId="003094B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plans for:</w:t>
            </w:r>
          </w:p>
          <w:p w14:paraId="62C505CB"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Hydrogen hubs</w:t>
            </w:r>
          </w:p>
          <w:p w14:paraId="3B7C1F21"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Transport networks</w:t>
            </w:r>
          </w:p>
          <w:p w14:paraId="23C309CF"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Storage corridors</w:t>
            </w:r>
          </w:p>
          <w:p w14:paraId="0C5C155B" w14:textId="77777777" w:rsidR="00F91404" w:rsidRPr="00F91404" w:rsidRDefault="00F91404" w:rsidP="00BD1985">
            <w:pPr>
              <w:pStyle w:val="ListParagraph"/>
              <w:numPr>
                <w:ilvl w:val="1"/>
                <w:numId w:val="28"/>
              </w:numPr>
              <w:spacing w:before="240" w:after="140" w:line="276" w:lineRule="auto"/>
              <w:ind w:left="621" w:hanging="283"/>
              <w:rPr>
                <w:rFonts w:eastAsia="Times New Roman" w:cstheme="minorHAnsi"/>
                <w:sz w:val="18"/>
                <w:szCs w:val="18"/>
                <w:lang w:eastAsia="es-MX"/>
              </w:rPr>
            </w:pPr>
            <w:r w:rsidRPr="00F91404">
              <w:rPr>
                <w:rFonts w:eastAsia="Times New Roman" w:cstheme="minorHAnsi"/>
                <w:sz w:val="18"/>
                <w:szCs w:val="18"/>
                <w:lang w:eastAsia="es-MX"/>
              </w:rPr>
              <w:t>Port-linked export infrastructure</w:t>
            </w:r>
          </w:p>
          <w:p w14:paraId="43ABFEA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Infrastructure considerations remain at a conceptual stage</w:t>
            </w:r>
          </w:p>
        </w:tc>
        <w:tc>
          <w:tcPr>
            <w:tcW w:w="83" w:type="pct"/>
            <w:vAlign w:val="center"/>
            <w:hideMark/>
          </w:tcPr>
          <w:p w14:paraId="38552828" w14:textId="77777777" w:rsidR="00F91404" w:rsidRPr="00F91404" w:rsidRDefault="00F91404" w:rsidP="00BD1985">
            <w:pPr>
              <w:spacing w:after="0"/>
              <w:rPr>
                <w:rFonts w:eastAsia="Times New Roman" w:cstheme="minorHAnsi"/>
                <w:sz w:val="20"/>
                <w:szCs w:val="20"/>
                <w:lang w:eastAsia="es-MX"/>
              </w:rPr>
            </w:pPr>
          </w:p>
        </w:tc>
      </w:tr>
      <w:tr w:rsidR="00F91404" w:rsidRPr="00F91404" w14:paraId="33698EF3" w14:textId="77777777" w:rsidTr="00BD1985">
        <w:trPr>
          <w:trHeight w:val="400"/>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D28DC8A"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Sectoral focus / Priority sectors</w:t>
            </w:r>
          </w:p>
        </w:tc>
        <w:tc>
          <w:tcPr>
            <w:tcW w:w="83" w:type="pct"/>
            <w:vAlign w:val="center"/>
          </w:tcPr>
          <w:p w14:paraId="13A1709A" w14:textId="77777777" w:rsidR="00F91404" w:rsidRPr="00F91404" w:rsidRDefault="00F91404" w:rsidP="00BD1985">
            <w:pPr>
              <w:spacing w:after="0"/>
              <w:rPr>
                <w:rFonts w:eastAsia="Times New Roman" w:cstheme="minorHAnsi"/>
                <w:sz w:val="20"/>
                <w:szCs w:val="20"/>
                <w:lang w:eastAsia="es-MX"/>
              </w:rPr>
            </w:pPr>
          </w:p>
        </w:tc>
      </w:tr>
      <w:tr w:rsidR="00F91404" w:rsidRPr="00F91404" w14:paraId="46275074" w14:textId="77777777" w:rsidTr="00BD1985">
        <w:trPr>
          <w:trHeight w:val="1559"/>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739DD34C" w14:textId="77777777" w:rsidR="00F91404" w:rsidRPr="00F91404" w:rsidRDefault="00F91404" w:rsidP="00BD1985">
            <w:pPr>
              <w:spacing w:after="0"/>
              <w:jc w:val="center"/>
              <w:rPr>
                <w:rFonts w:eastAsia="Times New Roman" w:cstheme="minorHAnsi"/>
                <w:color w:val="FFFFFF"/>
                <w:sz w:val="18"/>
                <w:szCs w:val="18"/>
                <w:lang w:eastAsia="es-MX"/>
              </w:rPr>
            </w:pPr>
            <w:r w:rsidRPr="00F91404">
              <w:rPr>
                <w:rFonts w:eastAsia="Times New Roman" w:cstheme="minorHAnsi"/>
                <w:sz w:val="18"/>
                <w:szCs w:val="18"/>
                <w:lang w:eastAsia="es-MX"/>
              </w:rPr>
              <w:t>Hydrogen demand remains at a planning and conceptual stage, with potential future use identified in mining and heavy transport. These sectors are considered candidates for early hydrogen substitution due to high energy intensity, but no large-scale demand has yet materialised.</w:t>
            </w:r>
          </w:p>
        </w:tc>
        <w:tc>
          <w:tcPr>
            <w:tcW w:w="83" w:type="pct"/>
            <w:vAlign w:val="center"/>
          </w:tcPr>
          <w:p w14:paraId="08BFEE58" w14:textId="77777777" w:rsidR="00F91404" w:rsidRPr="00F91404" w:rsidRDefault="00F91404" w:rsidP="00BD1985">
            <w:pPr>
              <w:spacing w:after="0"/>
              <w:rPr>
                <w:rFonts w:eastAsia="Times New Roman" w:cstheme="minorHAnsi"/>
                <w:sz w:val="20"/>
                <w:szCs w:val="20"/>
                <w:lang w:eastAsia="es-MX"/>
              </w:rPr>
            </w:pPr>
          </w:p>
        </w:tc>
      </w:tr>
      <w:tr w:rsidR="00F91404" w:rsidRPr="00F91404" w14:paraId="78037291" w14:textId="77777777" w:rsidTr="00BD1985">
        <w:trPr>
          <w:trHeight w:val="411"/>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6D464B9A"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Renewable Energy Context</w:t>
            </w:r>
          </w:p>
        </w:tc>
        <w:tc>
          <w:tcPr>
            <w:tcW w:w="83" w:type="pct"/>
            <w:vAlign w:val="center"/>
          </w:tcPr>
          <w:p w14:paraId="3CCF4E81" w14:textId="77777777" w:rsidR="00F91404" w:rsidRPr="00F91404" w:rsidRDefault="00F91404" w:rsidP="00BD1985">
            <w:pPr>
              <w:spacing w:after="0"/>
              <w:rPr>
                <w:rFonts w:eastAsia="Times New Roman" w:cstheme="minorHAnsi"/>
                <w:sz w:val="20"/>
                <w:szCs w:val="20"/>
                <w:lang w:eastAsia="es-MX"/>
              </w:rPr>
            </w:pPr>
          </w:p>
        </w:tc>
      </w:tr>
      <w:tr w:rsidR="00F91404" w:rsidRPr="00F91404" w14:paraId="03C48008" w14:textId="77777777" w:rsidTr="00BD1985">
        <w:trPr>
          <w:trHeight w:val="2812"/>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374F1E5C"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sz w:val="18"/>
                <w:szCs w:val="18"/>
                <w:lang w:eastAsia="es-MX"/>
              </w:rPr>
              <w:t xml:space="preserve">Peru has a diversified electricity mix supported by hydropower, natural gas and a growing share of non-conventional renewables, including solar PV and wind. Installed renewable capacity exceeds 15 GW, with hydropower accounting for </w:t>
            </w:r>
            <w:proofErr w:type="gramStart"/>
            <w:r w:rsidRPr="00F91404">
              <w:rPr>
                <w:rFonts w:eastAsia="Times New Roman" w:cstheme="minorHAnsi"/>
                <w:sz w:val="18"/>
                <w:szCs w:val="18"/>
                <w:lang w:eastAsia="es-MX"/>
              </w:rPr>
              <w:t>the majority of</w:t>
            </w:r>
            <w:proofErr w:type="gramEnd"/>
            <w:r w:rsidRPr="00F91404">
              <w:rPr>
                <w:rFonts w:eastAsia="Times New Roman" w:cstheme="minorHAnsi"/>
                <w:sz w:val="18"/>
                <w:szCs w:val="18"/>
                <w:lang w:eastAsia="es-MX"/>
              </w:rPr>
              <w:t xml:space="preserve"> renewable generation, while solar and wind have expanded gradually through competitive auctions and private investment.</w:t>
            </w:r>
          </w:p>
          <w:p w14:paraId="714C88A9"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sz w:val="18"/>
                <w:szCs w:val="18"/>
                <w:lang w:eastAsia="es-MX"/>
              </w:rPr>
              <w:t>National energy planning envisions continued diversification of the generation mix toward 2030, although renewable expansion has progressed more gradually compared to regional peers. Transmission development and geographic dispersion of demand centres remain relevant system considerations. Peru’s renewable resource potential, particularly in solar-rich southern regions and wind corridors, provides long-term structural conditions for green hydrogen development, though large-scale integration remains at a conceptual stage.</w:t>
            </w:r>
          </w:p>
          <w:p w14:paraId="2023A20C" w14:textId="77777777" w:rsidR="00F91404" w:rsidRPr="00F91404" w:rsidRDefault="00F91404" w:rsidP="00BD1985">
            <w:pPr>
              <w:spacing w:after="0"/>
              <w:jc w:val="center"/>
              <w:rPr>
                <w:rFonts w:eastAsia="Times New Roman" w:cstheme="minorHAnsi"/>
                <w:sz w:val="18"/>
                <w:szCs w:val="18"/>
                <w:lang w:eastAsia="es-MX"/>
              </w:rPr>
            </w:pPr>
          </w:p>
        </w:tc>
        <w:tc>
          <w:tcPr>
            <w:tcW w:w="83" w:type="pct"/>
            <w:vAlign w:val="center"/>
          </w:tcPr>
          <w:p w14:paraId="120C7A82" w14:textId="77777777" w:rsidR="00F91404" w:rsidRPr="00F91404" w:rsidRDefault="00F91404" w:rsidP="00BD1985">
            <w:pPr>
              <w:spacing w:after="0"/>
              <w:rPr>
                <w:rFonts w:eastAsia="Times New Roman" w:cstheme="minorHAnsi"/>
                <w:sz w:val="20"/>
                <w:szCs w:val="20"/>
                <w:lang w:eastAsia="es-MX"/>
              </w:rPr>
            </w:pPr>
          </w:p>
        </w:tc>
      </w:tr>
      <w:tr w:rsidR="00F91404" w:rsidRPr="00F91404" w14:paraId="543D8D4A" w14:textId="77777777" w:rsidTr="00BD1985">
        <w:trPr>
          <w:trHeight w:val="402"/>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24706C3A"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c>
          <w:tcPr>
            <w:tcW w:w="83" w:type="pct"/>
            <w:vAlign w:val="center"/>
          </w:tcPr>
          <w:p w14:paraId="07F4C531" w14:textId="77777777" w:rsidR="00F91404" w:rsidRPr="00F91404" w:rsidRDefault="00F91404" w:rsidP="00BD1985">
            <w:pPr>
              <w:spacing w:after="0"/>
              <w:rPr>
                <w:rFonts w:eastAsia="Times New Roman" w:cstheme="minorHAnsi"/>
                <w:sz w:val="20"/>
                <w:szCs w:val="20"/>
                <w:lang w:eastAsia="es-MX"/>
              </w:rPr>
            </w:pPr>
          </w:p>
        </w:tc>
      </w:tr>
      <w:tr w:rsidR="00F91404" w:rsidRPr="00F91404" w14:paraId="2478CF9D" w14:textId="77777777" w:rsidTr="00BD1985">
        <w:trPr>
          <w:trHeight w:val="3506"/>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8623B54"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Peru currently reflects a planning-oriented and pre-deployment hydrogen value chain model:</w:t>
            </w:r>
          </w:p>
          <w:p w14:paraId="4B8AF17D"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Production:</w:t>
            </w:r>
            <w:r w:rsidRPr="00F91404">
              <w:rPr>
                <w:rFonts w:eastAsia="Times New Roman" w:cstheme="minorHAnsi"/>
                <w:sz w:val="18"/>
                <w:szCs w:val="18"/>
                <w:lang w:eastAsia="es-MX"/>
              </w:rPr>
              <w:br/>
              <w:t>No commercial-scale green hydrogen production is operational; potential electrolysis projects remain at feasibility or conceptual stages, linked to renewable resource zones.</w:t>
            </w:r>
          </w:p>
          <w:p w14:paraId="2C5F186F"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Storage:</w:t>
            </w:r>
            <w:r w:rsidRPr="00F91404">
              <w:rPr>
                <w:rFonts w:eastAsia="Times New Roman" w:cstheme="minorHAnsi"/>
                <w:sz w:val="18"/>
                <w:szCs w:val="18"/>
                <w:lang w:eastAsia="es-MX"/>
              </w:rPr>
              <w:br/>
              <w:t>Storage solutions are not yet developed beyond conceptual assessments; system-level and geological storage options remain under evaluation.</w:t>
            </w:r>
          </w:p>
          <w:p w14:paraId="573933DD"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Transport / Distribution:</w:t>
            </w:r>
            <w:r w:rsidRPr="00F91404">
              <w:rPr>
                <w:rFonts w:eastAsia="Times New Roman" w:cstheme="minorHAnsi"/>
                <w:sz w:val="18"/>
                <w:szCs w:val="18"/>
                <w:lang w:eastAsia="es-MX"/>
              </w:rPr>
              <w:br/>
              <w:t>No dedicated hydrogen transport infrastructure is in place; distribution pathways would likely rely initially on short-distance logistics or port-based export corridors, subject to future project development.</w:t>
            </w:r>
          </w:p>
          <w:p w14:paraId="48878172"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Applications:</w:t>
            </w:r>
            <w:r w:rsidRPr="00F91404">
              <w:rPr>
                <w:rFonts w:eastAsia="Times New Roman" w:cstheme="minorHAnsi"/>
                <w:sz w:val="18"/>
                <w:szCs w:val="18"/>
                <w:lang w:eastAsia="es-MX"/>
              </w:rPr>
              <w:br/>
              <w:t>Potential future applications identified in mining, heavy transport and industrial substitution; however, no large-scale demand has materialised to date.</w:t>
            </w:r>
          </w:p>
        </w:tc>
        <w:tc>
          <w:tcPr>
            <w:tcW w:w="83" w:type="pct"/>
            <w:vAlign w:val="center"/>
          </w:tcPr>
          <w:p w14:paraId="117DDC4A" w14:textId="77777777" w:rsidR="00F91404" w:rsidRPr="00F91404" w:rsidRDefault="00F91404" w:rsidP="00BD1985">
            <w:pPr>
              <w:spacing w:after="0"/>
              <w:rPr>
                <w:rFonts w:eastAsia="Times New Roman" w:cstheme="minorHAnsi"/>
                <w:sz w:val="20"/>
                <w:szCs w:val="20"/>
                <w:lang w:eastAsia="es-MX"/>
              </w:rPr>
            </w:pPr>
          </w:p>
        </w:tc>
      </w:tr>
      <w:tr w:rsidR="00F91404" w:rsidRPr="00F91404" w14:paraId="504A3FBB" w14:textId="77777777" w:rsidTr="00BD1985">
        <w:trPr>
          <w:trHeight w:val="396"/>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49C16D83"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Strategic Stage &amp; Objective</w:t>
            </w:r>
          </w:p>
        </w:tc>
        <w:tc>
          <w:tcPr>
            <w:tcW w:w="83" w:type="pct"/>
            <w:vAlign w:val="center"/>
          </w:tcPr>
          <w:p w14:paraId="1C930C44" w14:textId="77777777" w:rsidR="00F91404" w:rsidRPr="00F91404" w:rsidRDefault="00F91404" w:rsidP="00BD1985">
            <w:pPr>
              <w:spacing w:after="0"/>
              <w:rPr>
                <w:rFonts w:eastAsia="Times New Roman" w:cstheme="minorHAnsi"/>
                <w:sz w:val="20"/>
                <w:szCs w:val="20"/>
                <w:lang w:eastAsia="es-MX"/>
              </w:rPr>
            </w:pPr>
          </w:p>
        </w:tc>
      </w:tr>
      <w:tr w:rsidR="00F91404" w:rsidRPr="00F91404" w14:paraId="54199627" w14:textId="77777777" w:rsidTr="00BD1985">
        <w:trPr>
          <w:trHeight w:val="2669"/>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4B7BB729"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Current Stage:</w:t>
            </w:r>
            <w:r w:rsidRPr="00F91404">
              <w:rPr>
                <w:rFonts w:eastAsia="Times New Roman" w:cstheme="minorHAnsi"/>
                <w:sz w:val="18"/>
                <w:szCs w:val="18"/>
                <w:lang w:eastAsia="es-MX"/>
              </w:rPr>
              <w:t xml:space="preserve"> Pre-deployment / planning and diagnostic phase.</w:t>
            </w:r>
          </w:p>
          <w:p w14:paraId="642E6BA5"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Overall Objective:</w:t>
            </w:r>
            <w:r w:rsidRPr="00F91404">
              <w:rPr>
                <w:rFonts w:eastAsia="Times New Roman" w:cstheme="minorHAnsi"/>
                <w:sz w:val="18"/>
                <w:szCs w:val="18"/>
                <w:lang w:eastAsia="es-MX"/>
              </w:rPr>
              <w:br/>
              <w:t>Define an enabling framework and long-term development pathway for green hydrogen, identifying priority sectors and regulatory adjustments before introducing financial or market-based instruments.</w:t>
            </w:r>
          </w:p>
          <w:p w14:paraId="63E48B48"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Implementation remains focused on roadmap development, analytical studies and stakeholder engagement, with future scaling contingent on regulatory clarification and investment conditions.</w:t>
            </w:r>
          </w:p>
        </w:tc>
        <w:tc>
          <w:tcPr>
            <w:tcW w:w="83" w:type="pct"/>
            <w:vAlign w:val="center"/>
          </w:tcPr>
          <w:p w14:paraId="51C02A0A" w14:textId="77777777" w:rsidR="00F91404" w:rsidRPr="00F91404" w:rsidRDefault="00F91404" w:rsidP="00BD1985">
            <w:pPr>
              <w:spacing w:after="0"/>
              <w:rPr>
                <w:rFonts w:eastAsia="Times New Roman" w:cstheme="minorHAnsi"/>
                <w:sz w:val="20"/>
                <w:szCs w:val="20"/>
                <w:lang w:eastAsia="es-MX"/>
              </w:rPr>
            </w:pPr>
          </w:p>
        </w:tc>
      </w:tr>
      <w:tr w:rsidR="00F91404" w:rsidRPr="00F91404" w14:paraId="62B48EB7" w14:textId="77777777" w:rsidTr="00BD1985">
        <w:trPr>
          <w:trHeight w:val="387"/>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74A22BCF"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Key Stakeholders</w:t>
            </w:r>
          </w:p>
        </w:tc>
        <w:tc>
          <w:tcPr>
            <w:tcW w:w="83" w:type="pct"/>
            <w:vAlign w:val="center"/>
          </w:tcPr>
          <w:p w14:paraId="0C7795A5" w14:textId="77777777" w:rsidR="00F91404" w:rsidRPr="00F91404" w:rsidRDefault="00F91404" w:rsidP="00BD1985">
            <w:pPr>
              <w:spacing w:after="0"/>
              <w:rPr>
                <w:rFonts w:eastAsia="Times New Roman" w:cstheme="minorHAnsi"/>
                <w:sz w:val="20"/>
                <w:szCs w:val="20"/>
                <w:lang w:eastAsia="es-MX"/>
              </w:rPr>
            </w:pPr>
          </w:p>
        </w:tc>
      </w:tr>
      <w:tr w:rsidR="00F91404" w:rsidRPr="00F91404" w14:paraId="007D5548" w14:textId="77777777" w:rsidTr="00BD1985">
        <w:trPr>
          <w:trHeight w:val="3096"/>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43D3F007"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Hydrogen-related governance and policy development involve:</w:t>
            </w:r>
          </w:p>
          <w:p w14:paraId="34AC0573" w14:textId="77777777" w:rsidR="00F91404" w:rsidRPr="00F91404" w:rsidRDefault="00F91404" w:rsidP="00BD1985">
            <w:pPr>
              <w:numPr>
                <w:ilvl w:val="0"/>
                <w:numId w:val="64"/>
              </w:numPr>
              <w:spacing w:after="0"/>
              <w:rPr>
                <w:rFonts w:eastAsia="Times New Roman" w:cstheme="minorHAnsi"/>
                <w:sz w:val="18"/>
                <w:szCs w:val="18"/>
                <w:lang w:eastAsia="es-MX"/>
              </w:rPr>
            </w:pPr>
            <w:r w:rsidRPr="00F91404">
              <w:rPr>
                <w:rFonts w:eastAsia="Times New Roman" w:cstheme="minorHAnsi"/>
                <w:sz w:val="18"/>
                <w:szCs w:val="18"/>
                <w:lang w:eastAsia="es-MX"/>
              </w:rPr>
              <w:t>Ministry of Energy and Mines (MINEM) – strategic leadership and roadmap development</w:t>
            </w:r>
          </w:p>
          <w:p w14:paraId="4659DC80" w14:textId="77777777" w:rsidR="00F91404" w:rsidRPr="00F91404" w:rsidRDefault="00F91404" w:rsidP="00BD1985">
            <w:pPr>
              <w:numPr>
                <w:ilvl w:val="0"/>
                <w:numId w:val="64"/>
              </w:numPr>
              <w:spacing w:after="0"/>
              <w:rPr>
                <w:rFonts w:eastAsia="Times New Roman" w:cstheme="minorHAnsi"/>
                <w:sz w:val="18"/>
                <w:szCs w:val="18"/>
                <w:lang w:eastAsia="es-MX"/>
              </w:rPr>
            </w:pPr>
            <w:proofErr w:type="spellStart"/>
            <w:r w:rsidRPr="00F91404">
              <w:rPr>
                <w:rFonts w:eastAsia="Times New Roman" w:cstheme="minorHAnsi"/>
                <w:sz w:val="18"/>
                <w:szCs w:val="18"/>
                <w:lang w:eastAsia="es-MX"/>
              </w:rPr>
              <w:t>ProInversión</w:t>
            </w:r>
            <w:proofErr w:type="spellEnd"/>
            <w:r w:rsidRPr="00F91404">
              <w:rPr>
                <w:rFonts w:eastAsia="Times New Roman" w:cstheme="minorHAnsi"/>
                <w:sz w:val="18"/>
                <w:szCs w:val="18"/>
                <w:lang w:eastAsia="es-MX"/>
              </w:rPr>
              <w:t xml:space="preserve"> – investment promotion and project structuring support</w:t>
            </w:r>
          </w:p>
          <w:p w14:paraId="006CFE89" w14:textId="77777777" w:rsidR="00F91404" w:rsidRPr="00F91404" w:rsidRDefault="00F91404" w:rsidP="00BD1985">
            <w:pPr>
              <w:numPr>
                <w:ilvl w:val="0"/>
                <w:numId w:val="64"/>
              </w:numPr>
              <w:spacing w:after="0"/>
              <w:rPr>
                <w:rFonts w:eastAsia="Times New Roman" w:cstheme="minorHAnsi"/>
                <w:sz w:val="18"/>
                <w:szCs w:val="18"/>
                <w:lang w:eastAsia="es-MX"/>
              </w:rPr>
            </w:pPr>
            <w:r w:rsidRPr="00F91404">
              <w:rPr>
                <w:rFonts w:eastAsia="Times New Roman" w:cstheme="minorHAnsi"/>
                <w:sz w:val="18"/>
                <w:szCs w:val="18"/>
                <w:lang w:eastAsia="es-MX"/>
              </w:rPr>
              <w:t>Environmental authorities – permitting and environmental compliance</w:t>
            </w:r>
          </w:p>
          <w:p w14:paraId="706D6DB0" w14:textId="77777777" w:rsidR="00F91404" w:rsidRPr="00F91404" w:rsidRDefault="00F91404" w:rsidP="00BD1985">
            <w:pPr>
              <w:numPr>
                <w:ilvl w:val="0"/>
                <w:numId w:val="64"/>
              </w:numPr>
              <w:spacing w:after="0"/>
              <w:rPr>
                <w:rFonts w:eastAsia="Times New Roman" w:cstheme="minorHAnsi"/>
                <w:sz w:val="18"/>
                <w:szCs w:val="18"/>
                <w:lang w:eastAsia="es-MX"/>
              </w:rPr>
            </w:pPr>
            <w:r w:rsidRPr="00F91404">
              <w:rPr>
                <w:rFonts w:eastAsia="Times New Roman" w:cstheme="minorHAnsi"/>
                <w:sz w:val="18"/>
                <w:szCs w:val="18"/>
                <w:lang w:eastAsia="es-MX"/>
              </w:rPr>
              <w:t>Regional governments and port authorities – potential infrastructure enablers</w:t>
            </w:r>
          </w:p>
          <w:p w14:paraId="3115E151" w14:textId="77777777" w:rsidR="00F91404" w:rsidRPr="00F91404" w:rsidRDefault="00F91404" w:rsidP="00BD1985">
            <w:pPr>
              <w:numPr>
                <w:ilvl w:val="0"/>
                <w:numId w:val="64"/>
              </w:numPr>
              <w:spacing w:after="0"/>
              <w:rPr>
                <w:rFonts w:eastAsia="Times New Roman" w:cstheme="minorHAnsi"/>
                <w:sz w:val="18"/>
                <w:szCs w:val="18"/>
                <w:lang w:eastAsia="es-MX"/>
              </w:rPr>
            </w:pPr>
            <w:r w:rsidRPr="00F91404">
              <w:rPr>
                <w:rFonts w:eastAsia="Times New Roman" w:cstheme="minorHAnsi"/>
                <w:sz w:val="18"/>
                <w:szCs w:val="18"/>
                <w:lang w:eastAsia="es-MX"/>
              </w:rPr>
              <w:t>Mining sector representatives – identified as potential early demand anchors</w:t>
            </w:r>
          </w:p>
          <w:p w14:paraId="2F71A07E" w14:textId="77777777" w:rsidR="00F91404" w:rsidRPr="00F91404" w:rsidRDefault="00F91404" w:rsidP="00BD1985">
            <w:pPr>
              <w:numPr>
                <w:ilvl w:val="0"/>
                <w:numId w:val="64"/>
              </w:numPr>
              <w:spacing w:after="0"/>
              <w:rPr>
                <w:rFonts w:eastAsia="Times New Roman" w:cstheme="minorHAnsi"/>
                <w:sz w:val="18"/>
                <w:szCs w:val="18"/>
                <w:lang w:eastAsia="es-MX"/>
              </w:rPr>
            </w:pPr>
            <w:r w:rsidRPr="00F91404">
              <w:rPr>
                <w:rFonts w:eastAsia="Times New Roman" w:cstheme="minorHAnsi"/>
                <w:sz w:val="18"/>
                <w:szCs w:val="18"/>
                <w:lang w:eastAsia="es-MX"/>
              </w:rPr>
              <w:t>International organisations and multilateral development partners – technical assistance and policy support</w:t>
            </w:r>
          </w:p>
          <w:p w14:paraId="3526C0DD"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Stakeholder engagement is primarily consultative, focused on studies, diagnostics and early market exploration.</w:t>
            </w:r>
          </w:p>
          <w:p w14:paraId="2AC1B5E1" w14:textId="77777777" w:rsidR="00F91404" w:rsidRPr="00F91404" w:rsidRDefault="00F91404" w:rsidP="00BD1985">
            <w:pPr>
              <w:spacing w:after="0"/>
              <w:rPr>
                <w:rFonts w:eastAsia="Times New Roman" w:cstheme="minorHAnsi"/>
                <w:sz w:val="18"/>
                <w:szCs w:val="18"/>
                <w:lang w:eastAsia="es-MX"/>
              </w:rPr>
            </w:pPr>
          </w:p>
        </w:tc>
        <w:tc>
          <w:tcPr>
            <w:tcW w:w="83" w:type="pct"/>
            <w:vAlign w:val="center"/>
          </w:tcPr>
          <w:p w14:paraId="646B392D" w14:textId="77777777" w:rsidR="00F91404" w:rsidRPr="00F91404" w:rsidRDefault="00F91404" w:rsidP="00BD1985">
            <w:pPr>
              <w:spacing w:after="0"/>
              <w:rPr>
                <w:rFonts w:eastAsia="Times New Roman" w:cstheme="minorHAnsi"/>
                <w:sz w:val="20"/>
                <w:szCs w:val="20"/>
                <w:lang w:eastAsia="es-MX"/>
              </w:rPr>
            </w:pPr>
          </w:p>
        </w:tc>
      </w:tr>
      <w:tr w:rsidR="00F91404" w:rsidRPr="00F91404" w14:paraId="7FAF1EE6" w14:textId="77777777" w:rsidTr="00BD1985">
        <w:trPr>
          <w:trHeight w:val="409"/>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633D6E24"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b/>
                <w:color w:val="FFFFFF"/>
                <w:sz w:val="18"/>
                <w:szCs w:val="18"/>
                <w:lang w:eastAsia="es-MX"/>
              </w:rPr>
              <w:t>Impact on project development:</w:t>
            </w:r>
          </w:p>
        </w:tc>
        <w:tc>
          <w:tcPr>
            <w:tcW w:w="83" w:type="pct"/>
            <w:vAlign w:val="center"/>
          </w:tcPr>
          <w:p w14:paraId="46B743C1" w14:textId="77777777" w:rsidR="00F91404" w:rsidRPr="00F91404" w:rsidRDefault="00F91404" w:rsidP="00BD1985">
            <w:pPr>
              <w:spacing w:after="0"/>
              <w:rPr>
                <w:rFonts w:eastAsia="Times New Roman" w:cstheme="minorHAnsi"/>
                <w:sz w:val="20"/>
                <w:szCs w:val="20"/>
                <w:lang w:eastAsia="es-MX"/>
              </w:rPr>
            </w:pPr>
          </w:p>
        </w:tc>
      </w:tr>
      <w:tr w:rsidR="00F91404" w:rsidRPr="00F91404" w14:paraId="3D711EAE" w14:textId="77777777" w:rsidTr="00BD1985">
        <w:trPr>
          <w:trHeight w:val="2637"/>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7C414AF2" w14:textId="77777777" w:rsidR="00F91404" w:rsidRPr="00F91404" w:rsidRDefault="00F91404" w:rsidP="00BD1985">
            <w:pPr>
              <w:pStyle w:val="ListParagraph"/>
              <w:numPr>
                <w:ilvl w:val="0"/>
                <w:numId w:val="40"/>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 xml:space="preserve">Absence of fiscal, funding and revenue support leaves </w:t>
            </w:r>
            <w:r w:rsidRPr="00F91404">
              <w:rPr>
                <w:rFonts w:eastAsia="Times New Roman" w:cstheme="minorHAnsi"/>
                <w:b/>
                <w:sz w:val="18"/>
                <w:szCs w:val="18"/>
                <w:lang w:eastAsia="es-MX"/>
              </w:rPr>
              <w:t>CAPEX and price risk fully with developers</w:t>
            </w:r>
          </w:p>
          <w:p w14:paraId="6FE52D9B" w14:textId="77777777" w:rsidR="00F91404" w:rsidRPr="00F91404" w:rsidRDefault="00F91404" w:rsidP="00BD1985">
            <w:pPr>
              <w:pStyle w:val="ListParagraph"/>
              <w:numPr>
                <w:ilvl w:val="0"/>
                <w:numId w:val="40"/>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Lack of infrastructure planning limits system integration opportunities</w:t>
            </w:r>
          </w:p>
          <w:p w14:paraId="461391B6" w14:textId="77777777" w:rsidR="00F91404" w:rsidRPr="00F91404" w:rsidRDefault="00F91404" w:rsidP="00BD1985">
            <w:pPr>
              <w:pStyle w:val="ListParagraph"/>
              <w:numPr>
                <w:ilvl w:val="0"/>
                <w:numId w:val="40"/>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Regulatory frameworks are not yet operational for project permitting or certification</w:t>
            </w:r>
          </w:p>
          <w:p w14:paraId="77C9DD70" w14:textId="77777777" w:rsidR="00F91404" w:rsidRPr="00F91404" w:rsidRDefault="00F91404" w:rsidP="00BD1985">
            <w:pPr>
              <w:pStyle w:val="ListParagraph"/>
              <w:numPr>
                <w:ilvl w:val="0"/>
                <w:numId w:val="40"/>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No conditions are in place to support bankability or scale</w:t>
            </w:r>
          </w:p>
          <w:p w14:paraId="1641083A" w14:textId="77777777" w:rsidR="00F91404" w:rsidRPr="00F91404" w:rsidRDefault="00F91404" w:rsidP="00BD1985">
            <w:pPr>
              <w:pStyle w:val="ListParagraph"/>
              <w:numPr>
                <w:ilvl w:val="0"/>
                <w:numId w:val="40"/>
              </w:numPr>
              <w:spacing w:before="240" w:after="140" w:line="276" w:lineRule="auto"/>
              <w:rPr>
                <w:rFonts w:eastAsia="Times New Roman" w:cstheme="minorHAnsi"/>
                <w:b/>
                <w:sz w:val="18"/>
                <w:szCs w:val="18"/>
                <w:lang w:eastAsia="es-MX"/>
              </w:rPr>
            </w:pPr>
            <w:r w:rsidRPr="00F91404">
              <w:rPr>
                <w:rFonts w:eastAsia="Times New Roman" w:cstheme="minorHAnsi"/>
                <w:sz w:val="18"/>
                <w:szCs w:val="18"/>
                <w:lang w:eastAsia="es-MX"/>
              </w:rPr>
              <w:t xml:space="preserve">Outcomes reflect a </w:t>
            </w:r>
            <w:r w:rsidRPr="00F91404">
              <w:rPr>
                <w:rFonts w:eastAsia="Times New Roman" w:cstheme="minorHAnsi"/>
                <w:b/>
                <w:sz w:val="18"/>
                <w:szCs w:val="18"/>
                <w:lang w:eastAsia="es-MX"/>
              </w:rPr>
              <w:t>planning-only environment</w:t>
            </w:r>
            <w:r w:rsidRPr="00F91404">
              <w:rPr>
                <w:rFonts w:eastAsia="Times New Roman" w:cstheme="minorHAnsi"/>
                <w:sz w:val="18"/>
                <w:szCs w:val="18"/>
                <w:lang w:eastAsia="es-MX"/>
              </w:rPr>
              <w:t>, rather than project execution</w:t>
            </w:r>
          </w:p>
          <w:p w14:paraId="57E55A55" w14:textId="77777777" w:rsidR="00F91404" w:rsidRPr="00F91404" w:rsidRDefault="00F91404" w:rsidP="00BD1985">
            <w:pPr>
              <w:spacing w:after="0"/>
              <w:jc w:val="center"/>
              <w:rPr>
                <w:rFonts w:eastAsia="Times New Roman" w:cstheme="minorHAnsi"/>
                <w:sz w:val="18"/>
                <w:szCs w:val="18"/>
                <w:lang w:eastAsia="es-MX"/>
              </w:rPr>
            </w:pPr>
          </w:p>
        </w:tc>
        <w:tc>
          <w:tcPr>
            <w:tcW w:w="83" w:type="pct"/>
            <w:vAlign w:val="center"/>
          </w:tcPr>
          <w:p w14:paraId="14C750BD" w14:textId="77777777" w:rsidR="00F91404" w:rsidRPr="00F91404" w:rsidRDefault="00F91404" w:rsidP="00BD1985">
            <w:pPr>
              <w:spacing w:after="0"/>
              <w:rPr>
                <w:rFonts w:eastAsia="Times New Roman" w:cstheme="minorHAnsi"/>
                <w:sz w:val="20"/>
                <w:szCs w:val="20"/>
                <w:lang w:eastAsia="es-MX"/>
              </w:rPr>
            </w:pPr>
          </w:p>
        </w:tc>
      </w:tr>
      <w:tr w:rsidR="00F91404" w:rsidRPr="00F91404" w14:paraId="3D82B966" w14:textId="77777777" w:rsidTr="00BD1985">
        <w:trPr>
          <w:trHeight w:val="400"/>
          <w:jc w:val="center"/>
        </w:trPr>
        <w:tc>
          <w:tcPr>
            <w:tcW w:w="4917" w:type="pct"/>
            <w:gridSpan w:val="9"/>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7B2BFA5"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c>
          <w:tcPr>
            <w:tcW w:w="83" w:type="pct"/>
            <w:vAlign w:val="center"/>
            <w:hideMark/>
          </w:tcPr>
          <w:p w14:paraId="5F6EECE3" w14:textId="77777777" w:rsidR="00F91404" w:rsidRPr="00F91404" w:rsidRDefault="00F91404" w:rsidP="00BD1985">
            <w:pPr>
              <w:spacing w:after="0"/>
              <w:rPr>
                <w:rFonts w:eastAsia="Times New Roman" w:cstheme="minorHAnsi"/>
                <w:sz w:val="20"/>
                <w:szCs w:val="20"/>
                <w:lang w:eastAsia="es-MX"/>
              </w:rPr>
            </w:pPr>
          </w:p>
        </w:tc>
      </w:tr>
      <w:tr w:rsidR="00F91404" w:rsidRPr="00F91404" w14:paraId="126363DB" w14:textId="77777777" w:rsidTr="00BD1985">
        <w:trPr>
          <w:trHeight w:val="1220"/>
          <w:jc w:val="center"/>
        </w:trPr>
        <w:tc>
          <w:tcPr>
            <w:tcW w:w="4917" w:type="pct"/>
            <w:gridSpan w:val="9"/>
            <w:vMerge w:val="restart"/>
            <w:tcBorders>
              <w:top w:val="single" w:sz="12" w:space="0" w:color="808080"/>
              <w:left w:val="single" w:sz="12" w:space="0" w:color="808080"/>
              <w:bottom w:val="single" w:sz="12" w:space="0" w:color="808080"/>
              <w:right w:val="single" w:sz="12" w:space="0" w:color="808080"/>
            </w:tcBorders>
            <w:vAlign w:val="center"/>
          </w:tcPr>
          <w:p w14:paraId="5B0F5E56" w14:textId="77777777" w:rsidR="00F91404" w:rsidRPr="00F91404" w:rsidRDefault="00F91404" w:rsidP="00BD1985">
            <w:pPr>
              <w:numPr>
                <w:ilvl w:val="0"/>
                <w:numId w:val="65"/>
              </w:numPr>
              <w:spacing w:after="0"/>
              <w:rPr>
                <w:rFonts w:eastAsia="Times New Roman" w:cstheme="minorHAnsi"/>
                <w:b/>
                <w:bCs/>
                <w:color w:val="000000"/>
                <w:sz w:val="18"/>
                <w:szCs w:val="18"/>
                <w:lang w:eastAsia="es-MX"/>
              </w:rPr>
            </w:pPr>
            <w:r w:rsidRPr="00F91404">
              <w:rPr>
                <w:rFonts w:eastAsia="Times New Roman" w:cstheme="minorHAnsi"/>
                <w:b/>
                <w:bCs/>
                <w:color w:val="000000"/>
                <w:sz w:val="18"/>
                <w:szCs w:val="18"/>
                <w:lang w:eastAsia="es-MX"/>
              </w:rPr>
              <w:t>Ministry of Energy and Mines (MINEM) – policy and roadmap information:</w:t>
            </w:r>
            <w:r w:rsidRPr="00F91404">
              <w:rPr>
                <w:rFonts w:eastAsia="Times New Roman" w:cstheme="minorHAnsi"/>
                <w:b/>
                <w:bCs/>
                <w:color w:val="000000"/>
                <w:sz w:val="18"/>
                <w:szCs w:val="18"/>
                <w:lang w:eastAsia="es-MX"/>
              </w:rPr>
              <w:br/>
            </w:r>
            <w:hyperlink r:id="rId86" w:tgtFrame="_new" w:history="1">
              <w:r w:rsidRPr="00F91404">
                <w:rPr>
                  <w:rStyle w:val="Hyperlink"/>
                  <w:rFonts w:eastAsia="Times New Roman" w:cstheme="minorHAnsi"/>
                  <w:b/>
                  <w:bCs/>
                  <w:szCs w:val="18"/>
                  <w:lang w:eastAsia="es-MX"/>
                </w:rPr>
                <w:t>https://www.gob.pe/minem</w:t>
              </w:r>
            </w:hyperlink>
          </w:p>
          <w:p w14:paraId="77A2F2BD" w14:textId="77777777" w:rsidR="00F91404" w:rsidRPr="00F91404" w:rsidRDefault="00F91404" w:rsidP="00BD1985">
            <w:pPr>
              <w:numPr>
                <w:ilvl w:val="0"/>
                <w:numId w:val="65"/>
              </w:numPr>
              <w:spacing w:after="0"/>
              <w:rPr>
                <w:rFonts w:eastAsia="Times New Roman" w:cstheme="minorHAnsi"/>
                <w:b/>
                <w:bCs/>
                <w:color w:val="000000"/>
                <w:sz w:val="18"/>
                <w:szCs w:val="18"/>
                <w:lang w:eastAsia="es-MX"/>
              </w:rPr>
            </w:pPr>
            <w:r w:rsidRPr="00F91404">
              <w:rPr>
                <w:rFonts w:eastAsia="Times New Roman" w:cstheme="minorHAnsi"/>
                <w:b/>
                <w:bCs/>
                <w:color w:val="000000"/>
                <w:sz w:val="18"/>
                <w:szCs w:val="18"/>
                <w:lang w:eastAsia="es-MX"/>
              </w:rPr>
              <w:t>Peru National Hydrogen Roadmap (official documentation):</w:t>
            </w:r>
            <w:r w:rsidRPr="00F91404">
              <w:rPr>
                <w:rFonts w:eastAsia="Times New Roman" w:cstheme="minorHAnsi"/>
                <w:b/>
                <w:bCs/>
                <w:color w:val="000000"/>
                <w:sz w:val="18"/>
                <w:szCs w:val="18"/>
                <w:lang w:eastAsia="es-MX"/>
              </w:rPr>
              <w:br/>
            </w:r>
            <w:hyperlink r:id="rId87" w:tgtFrame="_new" w:history="1">
              <w:r w:rsidRPr="00F91404">
                <w:rPr>
                  <w:rStyle w:val="Hyperlink"/>
                  <w:rFonts w:eastAsia="Times New Roman" w:cstheme="minorHAnsi"/>
                  <w:b/>
                  <w:bCs/>
                  <w:szCs w:val="18"/>
                  <w:lang w:eastAsia="es-MX"/>
                </w:rPr>
                <w:t>https://h2.pe/uploads/01_Bases-para-la-elaboracion-estrategia-H2V-Peru.pdf</w:t>
              </w:r>
            </w:hyperlink>
          </w:p>
          <w:p w14:paraId="41473346" w14:textId="77777777" w:rsidR="00F91404" w:rsidRPr="00F91404" w:rsidRDefault="00F91404" w:rsidP="00BD1985">
            <w:pPr>
              <w:numPr>
                <w:ilvl w:val="0"/>
                <w:numId w:val="65"/>
              </w:numPr>
              <w:spacing w:after="0"/>
              <w:rPr>
                <w:rFonts w:eastAsia="Times New Roman" w:cstheme="minorHAnsi"/>
                <w:b/>
                <w:bCs/>
                <w:color w:val="000000"/>
                <w:sz w:val="18"/>
                <w:szCs w:val="18"/>
                <w:lang w:eastAsia="es-MX"/>
              </w:rPr>
            </w:pPr>
            <w:proofErr w:type="spellStart"/>
            <w:r w:rsidRPr="00F91404">
              <w:rPr>
                <w:rFonts w:eastAsia="Times New Roman" w:cstheme="minorHAnsi"/>
                <w:b/>
                <w:bCs/>
                <w:color w:val="000000"/>
                <w:sz w:val="18"/>
                <w:szCs w:val="18"/>
                <w:lang w:eastAsia="es-MX"/>
              </w:rPr>
              <w:t>ProInversión</w:t>
            </w:r>
            <w:proofErr w:type="spellEnd"/>
            <w:r w:rsidRPr="00F91404">
              <w:rPr>
                <w:rFonts w:eastAsia="Times New Roman" w:cstheme="minorHAnsi"/>
                <w:b/>
                <w:bCs/>
                <w:color w:val="000000"/>
                <w:sz w:val="18"/>
                <w:szCs w:val="18"/>
                <w:lang w:eastAsia="es-MX"/>
              </w:rPr>
              <w:t xml:space="preserve"> – investment promotion and infrastructure projects:</w:t>
            </w:r>
            <w:r w:rsidRPr="00F91404">
              <w:rPr>
                <w:rFonts w:eastAsia="Times New Roman" w:cstheme="minorHAnsi"/>
                <w:b/>
                <w:bCs/>
                <w:color w:val="000000"/>
                <w:sz w:val="18"/>
                <w:szCs w:val="18"/>
                <w:lang w:eastAsia="es-MX"/>
              </w:rPr>
              <w:br/>
            </w:r>
            <w:hyperlink r:id="rId88" w:history="1">
              <w:r w:rsidRPr="00F91404">
                <w:rPr>
                  <w:rStyle w:val="Hyperlink"/>
                  <w:rFonts w:eastAsia="Times New Roman" w:cstheme="minorHAnsi"/>
                  <w:b/>
                  <w:bCs/>
                  <w:szCs w:val="18"/>
                  <w:lang w:eastAsia="es-MX"/>
                </w:rPr>
                <w:t>https://www.proinversion.gob.pe</w:t>
              </w:r>
            </w:hyperlink>
            <w:r w:rsidRPr="00F91404">
              <w:rPr>
                <w:rFonts w:eastAsia="Times New Roman" w:cstheme="minorHAnsi"/>
                <w:b/>
                <w:bCs/>
                <w:color w:val="000000"/>
                <w:sz w:val="18"/>
                <w:szCs w:val="18"/>
                <w:lang w:eastAsia="es-MX"/>
              </w:rPr>
              <w:t xml:space="preserve"> </w:t>
            </w:r>
          </w:p>
          <w:p w14:paraId="6386CC95" w14:textId="77777777" w:rsidR="00F91404" w:rsidRPr="00F91404" w:rsidRDefault="00F91404" w:rsidP="00BD1985">
            <w:pPr>
              <w:numPr>
                <w:ilvl w:val="0"/>
                <w:numId w:val="65"/>
              </w:numPr>
              <w:spacing w:after="0"/>
              <w:rPr>
                <w:rFonts w:eastAsia="Times New Roman" w:cstheme="minorHAnsi"/>
                <w:color w:val="000000"/>
                <w:sz w:val="18"/>
                <w:szCs w:val="18"/>
                <w:lang w:eastAsia="es-MX"/>
              </w:rPr>
            </w:pPr>
            <w:r w:rsidRPr="00F91404">
              <w:rPr>
                <w:rFonts w:eastAsia="Times New Roman" w:cstheme="minorHAnsi"/>
                <w:b/>
                <w:bCs/>
                <w:color w:val="000000"/>
                <w:sz w:val="18"/>
                <w:szCs w:val="18"/>
                <w:lang w:eastAsia="es-MX"/>
              </w:rPr>
              <w:t>National Environmental Certification Service (SENACE) – permitting and environmental approvals:</w:t>
            </w:r>
            <w:r w:rsidRPr="00F91404">
              <w:rPr>
                <w:rFonts w:eastAsia="Times New Roman" w:cstheme="minorHAnsi"/>
                <w:b/>
                <w:bCs/>
                <w:color w:val="000000"/>
                <w:sz w:val="18"/>
                <w:szCs w:val="18"/>
                <w:lang w:eastAsia="es-MX"/>
              </w:rPr>
              <w:br/>
            </w:r>
            <w:hyperlink r:id="rId89" w:tgtFrame="_new" w:history="1">
              <w:r w:rsidRPr="00F91404">
                <w:rPr>
                  <w:rStyle w:val="Hyperlink"/>
                  <w:rFonts w:eastAsia="Times New Roman" w:cstheme="minorHAnsi"/>
                  <w:b/>
                  <w:bCs/>
                  <w:szCs w:val="18"/>
                  <w:lang w:eastAsia="es-MX"/>
                </w:rPr>
                <w:t>https://www.gob.pe/senace</w:t>
              </w:r>
            </w:hyperlink>
          </w:p>
        </w:tc>
        <w:tc>
          <w:tcPr>
            <w:tcW w:w="83" w:type="pct"/>
            <w:vAlign w:val="center"/>
            <w:hideMark/>
          </w:tcPr>
          <w:p w14:paraId="45636D42" w14:textId="77777777" w:rsidR="00F91404" w:rsidRPr="00F91404" w:rsidRDefault="00F91404" w:rsidP="00BD1985">
            <w:pPr>
              <w:spacing w:after="0"/>
              <w:rPr>
                <w:rFonts w:eastAsia="Times New Roman" w:cstheme="minorHAnsi"/>
                <w:sz w:val="20"/>
                <w:szCs w:val="20"/>
                <w:lang w:eastAsia="es-MX"/>
              </w:rPr>
            </w:pPr>
          </w:p>
        </w:tc>
      </w:tr>
      <w:tr w:rsidR="00F91404" w:rsidRPr="00F91404" w14:paraId="6612B8F6" w14:textId="77777777" w:rsidTr="00BD1985">
        <w:trPr>
          <w:trHeight w:val="920"/>
          <w:jc w:val="center"/>
        </w:trPr>
        <w:tc>
          <w:tcPr>
            <w:tcW w:w="4917" w:type="pct"/>
            <w:gridSpan w:val="9"/>
            <w:vMerge/>
            <w:tcBorders>
              <w:top w:val="single" w:sz="12" w:space="0" w:color="808080"/>
              <w:left w:val="single" w:sz="12" w:space="0" w:color="808080"/>
              <w:bottom w:val="single" w:sz="12" w:space="0" w:color="808080"/>
              <w:right w:val="single" w:sz="12" w:space="0" w:color="808080"/>
            </w:tcBorders>
            <w:vAlign w:val="center"/>
          </w:tcPr>
          <w:p w14:paraId="09FA8B19" w14:textId="77777777" w:rsidR="00F91404" w:rsidRPr="00F91404" w:rsidRDefault="00F91404" w:rsidP="00BD1985">
            <w:pPr>
              <w:spacing w:after="0"/>
              <w:rPr>
                <w:rFonts w:eastAsia="Times New Roman" w:cstheme="minorHAnsi"/>
                <w:b/>
                <w:bCs/>
                <w:color w:val="000000"/>
                <w:sz w:val="20"/>
                <w:szCs w:val="20"/>
                <w:lang w:eastAsia="es-MX"/>
              </w:rPr>
            </w:pPr>
          </w:p>
        </w:tc>
        <w:tc>
          <w:tcPr>
            <w:tcW w:w="83" w:type="pct"/>
            <w:tcBorders>
              <w:top w:val="nil"/>
              <w:left w:val="nil"/>
              <w:bottom w:val="nil"/>
              <w:right w:val="nil"/>
            </w:tcBorders>
            <w:noWrap/>
            <w:vAlign w:val="bottom"/>
            <w:hideMark/>
          </w:tcPr>
          <w:p w14:paraId="6BB6FCF2" w14:textId="77777777" w:rsidR="00F91404" w:rsidRPr="00F91404" w:rsidRDefault="00F91404" w:rsidP="00BD1985">
            <w:pPr>
              <w:spacing w:after="0"/>
              <w:jc w:val="center"/>
              <w:rPr>
                <w:rFonts w:eastAsia="Times New Roman" w:cstheme="minorHAnsi"/>
                <w:b/>
                <w:bCs/>
                <w:color w:val="000000"/>
                <w:sz w:val="20"/>
                <w:szCs w:val="20"/>
                <w:lang w:eastAsia="es-MX"/>
              </w:rPr>
            </w:pPr>
          </w:p>
        </w:tc>
      </w:tr>
    </w:tbl>
    <w:p w14:paraId="774EA8AE" w14:textId="77777777" w:rsidR="00F91404" w:rsidRPr="00F91404" w:rsidRDefault="00F91404" w:rsidP="00F91404">
      <w:pPr>
        <w:ind w:left="0"/>
      </w:pPr>
    </w:p>
    <w:p w14:paraId="1FAA09F5" w14:textId="77777777" w:rsidR="00F91404" w:rsidRPr="00F91404" w:rsidRDefault="00F91404" w:rsidP="00F91404">
      <w:pPr>
        <w:spacing w:after="0"/>
        <w:rPr>
          <w:rFonts w:cstheme="minorHAnsi"/>
          <w:b/>
          <w:bCs/>
          <w:i/>
          <w:iCs/>
          <w:sz w:val="16"/>
          <w:szCs w:val="16"/>
        </w:rPr>
      </w:pPr>
      <w:r w:rsidRPr="00F91404">
        <w:rPr>
          <w:rFonts w:cstheme="minorHAnsi"/>
          <w:b/>
          <w:bCs/>
          <w:i/>
          <w:iCs/>
          <w:sz w:val="16"/>
          <w:szCs w:val="16"/>
        </w:rPr>
        <w:t>Sources:</w:t>
      </w:r>
    </w:p>
    <w:p w14:paraId="594CC176"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Strategy, roadmap and governance framework</w:t>
      </w:r>
    </w:p>
    <w:p w14:paraId="70A6B451" w14:textId="77777777" w:rsidR="00F91404" w:rsidRPr="00F91404" w:rsidRDefault="00F91404" w:rsidP="00F91404">
      <w:pPr>
        <w:numPr>
          <w:ilvl w:val="0"/>
          <w:numId w:val="137"/>
        </w:numPr>
        <w:spacing w:after="0"/>
        <w:rPr>
          <w:rFonts w:cstheme="minorHAnsi"/>
          <w:i/>
          <w:iCs/>
          <w:sz w:val="14"/>
          <w:szCs w:val="14"/>
          <w:lang w:val="es-MX"/>
        </w:rPr>
      </w:pPr>
      <w:r w:rsidRPr="00F91404">
        <w:rPr>
          <w:rFonts w:cstheme="minorHAnsi"/>
          <w:i/>
          <w:iCs/>
          <w:sz w:val="14"/>
          <w:szCs w:val="14"/>
          <w:lang w:val="es-MX"/>
        </w:rPr>
        <w:t>Ministerio de Energía y Minas (MINEM) (2022), Hoja de Ruta del Hidrógeno Verde en el Perú.</w:t>
      </w:r>
    </w:p>
    <w:p w14:paraId="46606935"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MINEM, official publications on energy transition and hydrogen development planning.</w:t>
      </w:r>
    </w:p>
    <w:p w14:paraId="7BB0F1BD"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Government of Peru (gob.pe), policy communications related to hydrogen and industrial decarbonisation.</w:t>
      </w:r>
    </w:p>
    <w:p w14:paraId="4E36D78B" w14:textId="77777777" w:rsidR="00F91404" w:rsidRPr="00F91404" w:rsidRDefault="00F91404" w:rsidP="00F91404">
      <w:pPr>
        <w:numPr>
          <w:ilvl w:val="0"/>
          <w:numId w:val="137"/>
        </w:numPr>
        <w:spacing w:after="0"/>
        <w:rPr>
          <w:rFonts w:cstheme="minorHAnsi"/>
          <w:i/>
          <w:iCs/>
          <w:sz w:val="14"/>
          <w:szCs w:val="14"/>
        </w:rPr>
      </w:pPr>
      <w:proofErr w:type="spellStart"/>
      <w:r w:rsidRPr="00F91404">
        <w:rPr>
          <w:rFonts w:cstheme="minorHAnsi"/>
          <w:i/>
          <w:iCs/>
          <w:sz w:val="14"/>
          <w:szCs w:val="14"/>
        </w:rPr>
        <w:t>ProInversión</w:t>
      </w:r>
      <w:proofErr w:type="spellEnd"/>
      <w:r w:rsidRPr="00F91404">
        <w:rPr>
          <w:rFonts w:cstheme="minorHAnsi"/>
          <w:i/>
          <w:iCs/>
          <w:sz w:val="14"/>
          <w:szCs w:val="14"/>
        </w:rPr>
        <w:t>, investment promotion documentation referencing hydrogen-related opportunities.</w:t>
      </w:r>
    </w:p>
    <w:p w14:paraId="28F7E150"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Market and revenue support mechanisms</w:t>
      </w:r>
    </w:p>
    <w:p w14:paraId="488B9088"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 xml:space="preserve">MINEM roadmap documentation confirming the absence of dedicated market-based revenue mechanisms (e.g., </w:t>
      </w:r>
      <w:proofErr w:type="spellStart"/>
      <w:r w:rsidRPr="00F91404">
        <w:rPr>
          <w:rFonts w:cstheme="minorHAnsi"/>
          <w:i/>
          <w:iCs/>
          <w:sz w:val="14"/>
          <w:szCs w:val="14"/>
        </w:rPr>
        <w:t>CfDs</w:t>
      </w:r>
      <w:proofErr w:type="spellEnd"/>
      <w:r w:rsidRPr="00F91404">
        <w:rPr>
          <w:rFonts w:cstheme="minorHAnsi"/>
          <w:i/>
          <w:iCs/>
          <w:sz w:val="14"/>
          <w:szCs w:val="14"/>
        </w:rPr>
        <w:t>, price guarantees or hydrogen auctions).</w:t>
      </w:r>
    </w:p>
    <w:p w14:paraId="2D347C69"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Government policy notes outlining potential future instruments under evaluation.</w:t>
      </w:r>
    </w:p>
    <w:p w14:paraId="51959B2A"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Public communications indicating that hydrogen deployment remains at a planning and exploratory stage.</w:t>
      </w:r>
    </w:p>
    <w:p w14:paraId="736E7DFC"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Direct public funding and financing mechanisms</w:t>
      </w:r>
    </w:p>
    <w:p w14:paraId="70E423AE"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MINEM publications confirming that current public activity is limited to studies, diagnostics and stakeholder engagement.</w:t>
      </w:r>
    </w:p>
    <w:p w14:paraId="7B39C338"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Public tender documentation for hydrogen-related feasibility studies (where applicable).</w:t>
      </w:r>
    </w:p>
    <w:p w14:paraId="720322AB"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Government budget documents referencing energy transition analytical support.</w:t>
      </w:r>
    </w:p>
    <w:p w14:paraId="7D55E68A"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Standards and certification frameworks</w:t>
      </w:r>
    </w:p>
    <w:p w14:paraId="637A360A" w14:textId="77777777" w:rsidR="00F91404" w:rsidRPr="00F91404" w:rsidRDefault="00F91404" w:rsidP="00F91404">
      <w:pPr>
        <w:numPr>
          <w:ilvl w:val="0"/>
          <w:numId w:val="137"/>
        </w:numPr>
        <w:spacing w:after="0"/>
        <w:rPr>
          <w:rFonts w:cstheme="minorHAnsi"/>
          <w:i/>
          <w:iCs/>
          <w:sz w:val="14"/>
          <w:szCs w:val="14"/>
          <w:lang w:val="es-MX"/>
        </w:rPr>
      </w:pPr>
      <w:r w:rsidRPr="00F91404">
        <w:rPr>
          <w:rFonts w:cstheme="minorHAnsi"/>
          <w:i/>
          <w:iCs/>
          <w:sz w:val="14"/>
          <w:szCs w:val="14"/>
          <w:lang w:val="es-MX"/>
        </w:rPr>
        <w:t xml:space="preserve">MINEM (2022), Hoja de Ruta del Hidrógeno Verde en el Perú — </w:t>
      </w:r>
      <w:proofErr w:type="spellStart"/>
      <w:r w:rsidRPr="00F91404">
        <w:rPr>
          <w:rFonts w:cstheme="minorHAnsi"/>
          <w:i/>
          <w:iCs/>
          <w:sz w:val="14"/>
          <w:szCs w:val="14"/>
          <w:lang w:val="es-MX"/>
        </w:rPr>
        <w:t>definitions</w:t>
      </w:r>
      <w:proofErr w:type="spellEnd"/>
      <w:r w:rsidRPr="00F91404">
        <w:rPr>
          <w:rFonts w:cstheme="minorHAnsi"/>
          <w:i/>
          <w:iCs/>
          <w:sz w:val="14"/>
          <w:szCs w:val="14"/>
          <w:lang w:val="es-MX"/>
        </w:rPr>
        <w:t xml:space="preserve"> and indicative </w:t>
      </w:r>
      <w:proofErr w:type="spellStart"/>
      <w:r w:rsidRPr="00F91404">
        <w:rPr>
          <w:rFonts w:cstheme="minorHAnsi"/>
          <w:i/>
          <w:iCs/>
          <w:sz w:val="14"/>
          <w:szCs w:val="14"/>
          <w:lang w:val="es-MX"/>
        </w:rPr>
        <w:t>regulatory</w:t>
      </w:r>
      <w:proofErr w:type="spellEnd"/>
      <w:r w:rsidRPr="00F91404">
        <w:rPr>
          <w:rFonts w:cstheme="minorHAnsi"/>
          <w:i/>
          <w:iCs/>
          <w:sz w:val="14"/>
          <w:szCs w:val="14"/>
          <w:lang w:val="es-MX"/>
        </w:rPr>
        <w:t xml:space="preserve"> </w:t>
      </w:r>
      <w:proofErr w:type="spellStart"/>
      <w:r w:rsidRPr="00F91404">
        <w:rPr>
          <w:rFonts w:cstheme="minorHAnsi"/>
          <w:i/>
          <w:iCs/>
          <w:sz w:val="14"/>
          <w:szCs w:val="14"/>
          <w:lang w:val="es-MX"/>
        </w:rPr>
        <w:t>pathways</w:t>
      </w:r>
      <w:proofErr w:type="spellEnd"/>
      <w:r w:rsidRPr="00F91404">
        <w:rPr>
          <w:rFonts w:cstheme="minorHAnsi"/>
          <w:i/>
          <w:iCs/>
          <w:sz w:val="14"/>
          <w:szCs w:val="14"/>
          <w:lang w:val="es-MX"/>
        </w:rPr>
        <w:t>.</w:t>
      </w:r>
    </w:p>
    <w:p w14:paraId="62780BDA"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National environmental and energy permitting frameworks applicable to energy projects (general applicability; no hydrogen-specific certification framework yet).</w:t>
      </w:r>
    </w:p>
    <w:p w14:paraId="326B8B74"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Government publications referencing future regulatory development needs for export alignment.</w:t>
      </w:r>
    </w:p>
    <w:p w14:paraId="62D1B223"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Infrastructure enabling policies</w:t>
      </w:r>
    </w:p>
    <w:p w14:paraId="21ABD01E"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MINEM roadmap sections referencing hydrogen hubs, ports and transport corridors at a conceptual level.</w:t>
      </w:r>
    </w:p>
    <w:p w14:paraId="575BDBD9"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National infrastructure and logistics planning documents (as applicable to potential hydrogen export corridors).</w:t>
      </w:r>
    </w:p>
    <w:p w14:paraId="7A0E0293"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Government publications confirming that no dedicated hydrogen transport networks or storage systems have yet been established.</w:t>
      </w:r>
    </w:p>
    <w:p w14:paraId="0685AD14"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Production capacity / pipeline and deployment status</w:t>
      </w:r>
    </w:p>
    <w:p w14:paraId="514D8C7D"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International Energy Agency (IEA) (2023), Global Hydrogen Review 2023, Paris: IEA.</w:t>
      </w:r>
    </w:p>
    <w:p w14:paraId="27138867"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IEA Hydrogen Projects Database (latest available edition).</w:t>
      </w:r>
    </w:p>
    <w:p w14:paraId="3364ADF6"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Public announcements of conceptual or feasibility-stage hydrogen projects in Peru.</w:t>
      </w:r>
    </w:p>
    <w:p w14:paraId="38728857" w14:textId="77777777" w:rsidR="00F91404" w:rsidRPr="00F91404" w:rsidRDefault="00F91404" w:rsidP="00F91404">
      <w:pPr>
        <w:spacing w:after="0"/>
        <w:rPr>
          <w:rFonts w:cstheme="minorHAnsi"/>
          <w:b/>
          <w:bCs/>
          <w:i/>
          <w:iCs/>
          <w:sz w:val="14"/>
          <w:szCs w:val="14"/>
        </w:rPr>
      </w:pPr>
      <w:r w:rsidRPr="00F91404">
        <w:rPr>
          <w:rFonts w:cstheme="minorHAnsi"/>
          <w:b/>
          <w:bCs/>
          <w:i/>
          <w:iCs/>
          <w:sz w:val="14"/>
          <w:szCs w:val="14"/>
        </w:rPr>
        <w:t>Renewable energy context</w:t>
      </w:r>
    </w:p>
    <w:p w14:paraId="1CE54082"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MINEM, National Energy Balance and Renewable Capacity Statistics.</w:t>
      </w:r>
    </w:p>
    <w:p w14:paraId="21E878F8" w14:textId="77777777" w:rsidR="00F91404" w:rsidRPr="00F91404" w:rsidRDefault="00F91404" w:rsidP="00F91404">
      <w:pPr>
        <w:numPr>
          <w:ilvl w:val="0"/>
          <w:numId w:val="137"/>
        </w:numPr>
        <w:spacing w:after="0"/>
        <w:rPr>
          <w:rFonts w:cstheme="minorHAnsi"/>
          <w:i/>
          <w:iCs/>
          <w:sz w:val="14"/>
          <w:szCs w:val="14"/>
          <w:lang w:val="es-MX"/>
        </w:rPr>
      </w:pPr>
      <w:r w:rsidRPr="00F91404">
        <w:rPr>
          <w:rFonts w:cstheme="minorHAnsi"/>
          <w:i/>
          <w:iCs/>
          <w:sz w:val="14"/>
          <w:szCs w:val="14"/>
          <w:lang w:val="es-MX"/>
        </w:rPr>
        <w:t xml:space="preserve">COES (Comité de Operación Económica del Sistema Interconectado Nacional), </w:t>
      </w:r>
      <w:proofErr w:type="spellStart"/>
      <w:r w:rsidRPr="00F91404">
        <w:rPr>
          <w:rFonts w:cstheme="minorHAnsi"/>
          <w:i/>
          <w:iCs/>
          <w:sz w:val="14"/>
          <w:szCs w:val="14"/>
          <w:lang w:val="es-MX"/>
        </w:rPr>
        <w:t>electricity</w:t>
      </w:r>
      <w:proofErr w:type="spellEnd"/>
      <w:r w:rsidRPr="00F91404">
        <w:rPr>
          <w:rFonts w:cstheme="minorHAnsi"/>
          <w:i/>
          <w:iCs/>
          <w:sz w:val="14"/>
          <w:szCs w:val="14"/>
          <w:lang w:val="es-MX"/>
        </w:rPr>
        <w:t xml:space="preserve"> </w:t>
      </w:r>
      <w:proofErr w:type="spellStart"/>
      <w:r w:rsidRPr="00F91404">
        <w:rPr>
          <w:rFonts w:cstheme="minorHAnsi"/>
          <w:i/>
          <w:iCs/>
          <w:sz w:val="14"/>
          <w:szCs w:val="14"/>
          <w:lang w:val="es-MX"/>
        </w:rPr>
        <w:t>generation</w:t>
      </w:r>
      <w:proofErr w:type="spellEnd"/>
      <w:r w:rsidRPr="00F91404">
        <w:rPr>
          <w:rFonts w:cstheme="minorHAnsi"/>
          <w:i/>
          <w:iCs/>
          <w:sz w:val="14"/>
          <w:szCs w:val="14"/>
          <w:lang w:val="es-MX"/>
        </w:rPr>
        <w:t xml:space="preserve"> and </w:t>
      </w:r>
      <w:proofErr w:type="spellStart"/>
      <w:r w:rsidRPr="00F91404">
        <w:rPr>
          <w:rFonts w:cstheme="minorHAnsi"/>
          <w:i/>
          <w:iCs/>
          <w:sz w:val="14"/>
          <w:szCs w:val="14"/>
          <w:lang w:val="es-MX"/>
        </w:rPr>
        <w:t>renewable</w:t>
      </w:r>
      <w:proofErr w:type="spellEnd"/>
      <w:r w:rsidRPr="00F91404">
        <w:rPr>
          <w:rFonts w:cstheme="minorHAnsi"/>
          <w:i/>
          <w:iCs/>
          <w:sz w:val="14"/>
          <w:szCs w:val="14"/>
          <w:lang w:val="es-MX"/>
        </w:rPr>
        <w:t xml:space="preserve"> </w:t>
      </w:r>
      <w:proofErr w:type="spellStart"/>
      <w:r w:rsidRPr="00F91404">
        <w:rPr>
          <w:rFonts w:cstheme="minorHAnsi"/>
          <w:i/>
          <w:iCs/>
          <w:sz w:val="14"/>
          <w:szCs w:val="14"/>
          <w:lang w:val="es-MX"/>
        </w:rPr>
        <w:t>deployment</w:t>
      </w:r>
      <w:proofErr w:type="spellEnd"/>
      <w:r w:rsidRPr="00F91404">
        <w:rPr>
          <w:rFonts w:cstheme="minorHAnsi"/>
          <w:i/>
          <w:iCs/>
          <w:sz w:val="14"/>
          <w:szCs w:val="14"/>
          <w:lang w:val="es-MX"/>
        </w:rPr>
        <w:t xml:space="preserve"> </w:t>
      </w:r>
      <w:proofErr w:type="spellStart"/>
      <w:r w:rsidRPr="00F91404">
        <w:rPr>
          <w:rFonts w:cstheme="minorHAnsi"/>
          <w:i/>
          <w:iCs/>
          <w:sz w:val="14"/>
          <w:szCs w:val="14"/>
          <w:lang w:val="es-MX"/>
        </w:rPr>
        <w:t>reports</w:t>
      </w:r>
      <w:proofErr w:type="spellEnd"/>
      <w:r w:rsidRPr="00F91404">
        <w:rPr>
          <w:rFonts w:cstheme="minorHAnsi"/>
          <w:i/>
          <w:iCs/>
          <w:sz w:val="14"/>
          <w:szCs w:val="14"/>
          <w:lang w:val="es-MX"/>
        </w:rPr>
        <w:t>.</w:t>
      </w:r>
    </w:p>
    <w:p w14:paraId="6E758F58" w14:textId="77777777" w:rsidR="00F91404" w:rsidRPr="00F91404" w:rsidRDefault="00F91404" w:rsidP="00F91404">
      <w:pPr>
        <w:numPr>
          <w:ilvl w:val="0"/>
          <w:numId w:val="137"/>
        </w:numPr>
        <w:spacing w:after="0"/>
        <w:rPr>
          <w:rFonts w:cstheme="minorHAnsi"/>
          <w:i/>
          <w:iCs/>
          <w:sz w:val="14"/>
          <w:szCs w:val="14"/>
        </w:rPr>
      </w:pPr>
      <w:r w:rsidRPr="00F91404">
        <w:rPr>
          <w:rFonts w:cstheme="minorHAnsi"/>
          <w:i/>
          <w:iCs/>
          <w:sz w:val="14"/>
          <w:szCs w:val="14"/>
        </w:rPr>
        <w:t>International Renewable Energy Agency (IRENA), Renewable Energy Statistics (Peru profile).</w:t>
      </w:r>
    </w:p>
    <w:p w14:paraId="166824F3" w14:textId="77777777" w:rsidR="00F91404" w:rsidRDefault="00F91404" w:rsidP="00D31919">
      <w:pPr>
        <w:rPr>
          <w:b/>
          <w:bCs/>
          <w:color w:val="004C43" w:themeColor="accent1"/>
          <w:sz w:val="24"/>
          <w:szCs w:val="24"/>
        </w:rPr>
      </w:pPr>
    </w:p>
    <w:p w14:paraId="7B5204AA" w14:textId="77777777" w:rsidR="00F91404" w:rsidRDefault="00F91404" w:rsidP="00D31919">
      <w:pPr>
        <w:rPr>
          <w:b/>
          <w:bCs/>
          <w:color w:val="004C43" w:themeColor="accent1"/>
          <w:sz w:val="24"/>
          <w:szCs w:val="24"/>
        </w:rPr>
      </w:pPr>
    </w:p>
    <w:p w14:paraId="0B104164" w14:textId="77777777" w:rsidR="00F91404" w:rsidRDefault="00F91404" w:rsidP="00D31919">
      <w:pPr>
        <w:rPr>
          <w:b/>
          <w:bCs/>
          <w:color w:val="004C43" w:themeColor="accent1"/>
          <w:sz w:val="24"/>
          <w:szCs w:val="24"/>
        </w:rPr>
      </w:pPr>
    </w:p>
    <w:p w14:paraId="424FC5D7" w14:textId="77777777" w:rsidR="00F91404" w:rsidRDefault="00F91404" w:rsidP="00D31919">
      <w:pPr>
        <w:rPr>
          <w:b/>
          <w:bCs/>
          <w:color w:val="004C43" w:themeColor="accent1"/>
          <w:sz w:val="24"/>
          <w:szCs w:val="24"/>
        </w:rPr>
      </w:pPr>
    </w:p>
    <w:p w14:paraId="1A685841" w14:textId="77777777" w:rsidR="00F91404" w:rsidRDefault="00F91404" w:rsidP="00D31919">
      <w:pPr>
        <w:rPr>
          <w:b/>
          <w:bCs/>
          <w:color w:val="004C43" w:themeColor="accent1"/>
          <w:sz w:val="24"/>
          <w:szCs w:val="24"/>
        </w:rPr>
      </w:pPr>
    </w:p>
    <w:p w14:paraId="34F37CBE" w14:textId="77777777" w:rsidR="00F91404" w:rsidRDefault="00F91404" w:rsidP="00D31919">
      <w:pPr>
        <w:rPr>
          <w:b/>
          <w:bCs/>
          <w:color w:val="004C43" w:themeColor="accent1"/>
          <w:sz w:val="24"/>
          <w:szCs w:val="24"/>
        </w:rPr>
      </w:pPr>
    </w:p>
    <w:p w14:paraId="73D6044F" w14:textId="77777777" w:rsidR="00F91404" w:rsidRDefault="00F91404" w:rsidP="00D31919">
      <w:pPr>
        <w:rPr>
          <w:b/>
          <w:bCs/>
          <w:color w:val="004C43" w:themeColor="accent1"/>
          <w:sz w:val="24"/>
          <w:szCs w:val="24"/>
        </w:rPr>
      </w:pPr>
    </w:p>
    <w:p w14:paraId="1277D75C" w14:textId="77777777" w:rsidR="00F91404" w:rsidRDefault="00F91404" w:rsidP="00D31919">
      <w:pPr>
        <w:rPr>
          <w:b/>
          <w:bCs/>
          <w:color w:val="004C43" w:themeColor="accent1"/>
          <w:sz w:val="24"/>
          <w:szCs w:val="24"/>
        </w:rPr>
      </w:pPr>
    </w:p>
    <w:p w14:paraId="0D1FFDA2" w14:textId="77777777" w:rsidR="00F91404" w:rsidRPr="00F91404" w:rsidRDefault="00F91404" w:rsidP="00F91404">
      <w:pPr>
        <w:rPr>
          <w:b/>
          <w:bCs/>
          <w:i/>
          <w:iCs/>
          <w:color w:val="004C43" w:themeColor="accent1"/>
          <w:sz w:val="24"/>
          <w:szCs w:val="32"/>
        </w:rPr>
      </w:pPr>
      <w:r w:rsidRPr="00F91404">
        <w:rPr>
          <w:b/>
          <w:bCs/>
          <w:color w:val="004C43" w:themeColor="accent1"/>
          <w:sz w:val="24"/>
          <w:szCs w:val="32"/>
        </w:rPr>
        <w:lastRenderedPageBreak/>
        <w:t>South Korea</w:t>
      </w:r>
    </w:p>
    <w:p w14:paraId="1F51F89C" w14:textId="77777777" w:rsidR="00F91404" w:rsidRPr="00F91404" w:rsidRDefault="00F91404" w:rsidP="00F91404">
      <w:pPr>
        <w:rPr>
          <w:rFonts w:cstheme="minorHAnsi"/>
          <w:sz w:val="20"/>
          <w:szCs w:val="20"/>
        </w:rPr>
      </w:pPr>
      <w:r w:rsidRPr="00F91404">
        <w:rPr>
          <w:rFonts w:cstheme="minorHAnsi"/>
          <w:sz w:val="20"/>
          <w:szCs w:val="20"/>
        </w:rPr>
        <w:t>South Korea follows a state-led governance model under a dedicated legal framework for the hydrogen economy. The Ministry of Trade, Industry and Energy (MOTIE) leads hydrogen strategy and regulation, supported by cross-ministerial coordination bodies. State-owned enterprises, notably KEPCO and KOGAS, play a central role in implementation, including power-sector deployment, import terminals and storage infrastructure.</w:t>
      </w:r>
    </w:p>
    <w:p w14:paraId="26BB3A76" w14:textId="77777777" w:rsidR="00F91404" w:rsidRPr="00F91404" w:rsidRDefault="00F91404" w:rsidP="00F91404">
      <w:pPr>
        <w:rPr>
          <w:rFonts w:cstheme="minorHAnsi"/>
          <w:sz w:val="20"/>
          <w:szCs w:val="20"/>
        </w:rPr>
      </w:pPr>
      <w:r w:rsidRPr="00F91404">
        <w:rPr>
          <w:rFonts w:cstheme="minorHAnsi"/>
          <w:sz w:val="20"/>
          <w:szCs w:val="20"/>
        </w:rPr>
        <w:t>A dedicated hydrogen economy and safety law establishes certification and eligibility rules for clean hydrogen. This institutional and legal clarity positions South Korea as a demand-driven scaling market, anchored in power-sector offtake and downstream deployment.</w:t>
      </w:r>
    </w:p>
    <w:tbl>
      <w:tblPr>
        <w:tblW w:w="5000" w:type="pct"/>
        <w:jc w:val="center"/>
        <w:tblCellMar>
          <w:left w:w="70" w:type="dxa"/>
          <w:right w:w="70" w:type="dxa"/>
        </w:tblCellMar>
        <w:tblLook w:val="04A0" w:firstRow="1" w:lastRow="0" w:firstColumn="1" w:lastColumn="0" w:noHBand="0" w:noVBand="1"/>
      </w:tblPr>
      <w:tblGrid>
        <w:gridCol w:w="2088"/>
        <w:gridCol w:w="465"/>
        <w:gridCol w:w="1499"/>
        <w:gridCol w:w="846"/>
        <w:gridCol w:w="942"/>
        <w:gridCol w:w="1235"/>
        <w:gridCol w:w="462"/>
        <w:gridCol w:w="1926"/>
        <w:gridCol w:w="146"/>
      </w:tblGrid>
      <w:tr w:rsidR="00F91404" w:rsidRPr="00F91404" w14:paraId="001AB0C7" w14:textId="77777777" w:rsidTr="00BD1985">
        <w:trPr>
          <w:gridAfter w:val="1"/>
          <w:wAfter w:w="76" w:type="pct"/>
          <w:trHeight w:val="1060"/>
          <w:jc w:val="center"/>
        </w:trPr>
        <w:tc>
          <w:tcPr>
            <w:tcW w:w="1086" w:type="pct"/>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77BE86C6"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w:t>
            </w:r>
            <w:r w:rsidRPr="00F91404">
              <w:rPr>
                <w:rFonts w:eastAsia="Times New Roman" w:cstheme="minorHAnsi"/>
                <w:b/>
                <w:bCs/>
                <w:color w:val="FFFFFF" w:themeColor="background1"/>
                <w:sz w:val="18"/>
                <w:szCs w:val="18"/>
                <w:lang w:eastAsia="es-MX"/>
              </w:rPr>
              <w:br/>
            </w:r>
            <w:r w:rsidRPr="00F91404">
              <w:rPr>
                <w:rFonts w:eastAsia="Times New Roman" w:cstheme="minorHAnsi"/>
                <w:b/>
                <w:color w:val="FFFFFF" w:themeColor="background1"/>
                <w:sz w:val="18"/>
                <w:szCs w:val="18"/>
                <w:lang w:eastAsia="es-MX"/>
              </w:rPr>
              <w:t xml:space="preserve">production capacity </w:t>
            </w:r>
          </w:p>
          <w:p w14:paraId="634545D3"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Operational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1022"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73949F11"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capacity Planned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30"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27A75334" w14:textId="77777777" w:rsidR="00F91404" w:rsidRPr="00F91404" w:rsidRDefault="00F91404" w:rsidP="00BD1985">
            <w:pPr>
              <w:spacing w:after="0"/>
              <w:jc w:val="center"/>
              <w:rPr>
                <w:rFonts w:eastAsia="Times New Roman" w:cstheme="minorHAnsi"/>
                <w:b/>
                <w:bCs/>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Hydrogen </w:t>
            </w:r>
          </w:p>
          <w:p w14:paraId="592FA777"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pipelines </w:t>
            </w:r>
            <w:r w:rsidRPr="00F91404">
              <w:rPr>
                <w:rFonts w:eastAsia="Times New Roman" w:cstheme="minorHAnsi"/>
                <w:b/>
                <w:color w:val="FFFFFF" w:themeColor="background1"/>
                <w:sz w:val="18"/>
                <w:szCs w:val="18"/>
                <w:lang w:eastAsia="es-MX"/>
              </w:rPr>
              <w:br/>
              <w:t>(km)</w:t>
            </w:r>
          </w:p>
        </w:tc>
        <w:tc>
          <w:tcPr>
            <w:tcW w:w="884"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14385534"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Ammonia port </w:t>
            </w:r>
          </w:p>
          <w:p w14:paraId="50295E9E"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storage capacity </w:t>
            </w:r>
            <w:r w:rsidRPr="00F91404">
              <w:rPr>
                <w:rFonts w:eastAsia="Times New Roman" w:cstheme="minorHAnsi"/>
                <w:b/>
                <w:color w:val="FFFFFF" w:themeColor="background1"/>
                <w:sz w:val="18"/>
                <w:szCs w:val="18"/>
                <w:lang w:eastAsia="es-MX"/>
              </w:rPr>
              <w:br/>
              <w:t>(Thousand tonnes)</w:t>
            </w:r>
          </w:p>
        </w:tc>
        <w:tc>
          <w:tcPr>
            <w:tcW w:w="1001" w:type="pct"/>
            <w:tcBorders>
              <w:top w:val="single" w:sz="12" w:space="0" w:color="808080"/>
              <w:left w:val="nil"/>
              <w:bottom w:val="single" w:sz="12" w:space="0" w:color="808080"/>
              <w:right w:val="single" w:sz="12" w:space="0" w:color="808080"/>
            </w:tcBorders>
            <w:shd w:val="clear" w:color="auto" w:fill="004C43" w:themeFill="accent1"/>
            <w:vAlign w:val="center"/>
            <w:hideMark/>
          </w:tcPr>
          <w:p w14:paraId="5E1FAC1D"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Dominant market model</w:t>
            </w:r>
          </w:p>
        </w:tc>
      </w:tr>
      <w:tr w:rsidR="00F91404" w:rsidRPr="00F91404" w14:paraId="02873FAC" w14:textId="77777777" w:rsidTr="00BD1985">
        <w:trPr>
          <w:gridAfter w:val="1"/>
          <w:wAfter w:w="76" w:type="pct"/>
          <w:trHeight w:val="2740"/>
          <w:jc w:val="center"/>
        </w:trPr>
        <w:tc>
          <w:tcPr>
            <w:tcW w:w="1086" w:type="pct"/>
            <w:tcBorders>
              <w:top w:val="nil"/>
              <w:left w:val="single" w:sz="12" w:space="0" w:color="808080"/>
              <w:bottom w:val="single" w:sz="12" w:space="0" w:color="808080"/>
              <w:right w:val="single" w:sz="12" w:space="0" w:color="808080"/>
            </w:tcBorders>
            <w:noWrap/>
            <w:vAlign w:val="center"/>
            <w:hideMark/>
          </w:tcPr>
          <w:p w14:paraId="1AFC6669"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4993164A" wp14:editId="2ACAFD2F">
                  <wp:extent cx="1200150" cy="1455089"/>
                  <wp:effectExtent l="0" t="0" r="0" b="0"/>
                  <wp:docPr id="13952955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t="1" b="8603"/>
                          <a:stretch>
                            <a:fillRect/>
                          </a:stretch>
                        </pic:blipFill>
                        <pic:spPr bwMode="auto">
                          <a:xfrm>
                            <a:off x="0" y="0"/>
                            <a:ext cx="1217762" cy="147644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22" w:type="pct"/>
            <w:gridSpan w:val="2"/>
            <w:tcBorders>
              <w:top w:val="nil"/>
              <w:left w:val="nil"/>
              <w:bottom w:val="single" w:sz="12" w:space="0" w:color="808080"/>
              <w:right w:val="single" w:sz="12" w:space="0" w:color="808080"/>
            </w:tcBorders>
            <w:noWrap/>
            <w:vAlign w:val="center"/>
            <w:hideMark/>
          </w:tcPr>
          <w:p w14:paraId="5FF192C0"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485FC7EB" wp14:editId="1D856607">
                  <wp:extent cx="1121133" cy="1558626"/>
                  <wp:effectExtent l="0" t="0" r="0" b="0"/>
                  <wp:docPr id="102312981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19329" r="20385" b="6637"/>
                          <a:stretch>
                            <a:fillRect/>
                          </a:stretch>
                        </pic:blipFill>
                        <pic:spPr bwMode="auto">
                          <a:xfrm>
                            <a:off x="0" y="0"/>
                            <a:ext cx="1139724" cy="15844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30" w:type="pct"/>
            <w:gridSpan w:val="2"/>
            <w:tcBorders>
              <w:top w:val="nil"/>
              <w:left w:val="nil"/>
              <w:bottom w:val="single" w:sz="12" w:space="0" w:color="808080"/>
              <w:right w:val="single" w:sz="12" w:space="0" w:color="808080"/>
            </w:tcBorders>
            <w:noWrap/>
            <w:vAlign w:val="center"/>
            <w:hideMark/>
          </w:tcPr>
          <w:p w14:paraId="5197B859"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bCs/>
                <w:noProof/>
                <w:color w:val="000000"/>
                <w:sz w:val="18"/>
                <w:szCs w:val="18"/>
                <w:lang w:eastAsia="es-MX"/>
              </w:rPr>
              <w:drawing>
                <wp:inline distT="0" distB="0" distL="0" distR="0" wp14:anchorId="21A7E459" wp14:editId="40F000F3">
                  <wp:extent cx="1009650" cy="824796"/>
                  <wp:effectExtent l="0" t="0" r="0" b="0"/>
                  <wp:docPr id="16535044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017005" cy="830804"/>
                          </a:xfrm>
                          <a:prstGeom prst="rect">
                            <a:avLst/>
                          </a:prstGeom>
                          <a:noFill/>
                        </pic:spPr>
                      </pic:pic>
                    </a:graphicData>
                  </a:graphic>
                </wp:inline>
              </w:drawing>
            </w:r>
          </w:p>
        </w:tc>
        <w:tc>
          <w:tcPr>
            <w:tcW w:w="884" w:type="pct"/>
            <w:gridSpan w:val="2"/>
            <w:tcBorders>
              <w:top w:val="nil"/>
              <w:left w:val="nil"/>
              <w:bottom w:val="single" w:sz="12" w:space="0" w:color="808080"/>
              <w:right w:val="single" w:sz="12" w:space="0" w:color="808080"/>
            </w:tcBorders>
            <w:noWrap/>
            <w:vAlign w:val="center"/>
            <w:hideMark/>
          </w:tcPr>
          <w:p w14:paraId="44881E0D"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125.0</w:t>
            </w:r>
          </w:p>
          <w:p w14:paraId="34F5ABE5"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52614337" wp14:editId="785C861E">
                  <wp:extent cx="898139" cy="1016304"/>
                  <wp:effectExtent l="0" t="0" r="0" b="0"/>
                  <wp:docPr id="57730101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901553" cy="1020167"/>
                          </a:xfrm>
                          <a:prstGeom prst="rect">
                            <a:avLst/>
                          </a:prstGeom>
                          <a:noFill/>
                        </pic:spPr>
                      </pic:pic>
                    </a:graphicData>
                  </a:graphic>
                </wp:inline>
              </w:drawing>
            </w:r>
          </w:p>
        </w:tc>
        <w:tc>
          <w:tcPr>
            <w:tcW w:w="1001" w:type="pct"/>
            <w:tcBorders>
              <w:top w:val="nil"/>
              <w:left w:val="nil"/>
              <w:bottom w:val="single" w:sz="12" w:space="0" w:color="808080"/>
              <w:right w:val="single" w:sz="12" w:space="0" w:color="808080"/>
            </w:tcBorders>
            <w:vAlign w:val="center"/>
            <w:hideMark/>
          </w:tcPr>
          <w:p w14:paraId="4FD03B7E" w14:textId="77777777" w:rsidR="00F91404" w:rsidRPr="00F91404" w:rsidRDefault="00F91404" w:rsidP="00BD1985">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109237BE" wp14:editId="54713DD4">
                  <wp:extent cx="1090759" cy="1478425"/>
                  <wp:effectExtent l="0" t="0" r="0" b="7620"/>
                  <wp:docPr id="17" name="Picture 16" descr="A diagram of a ship with containers and a clipboard&#10;&#10;AI-generated content may be incorrect.">
                    <a:extLst xmlns:a="http://schemas.openxmlformats.org/drawingml/2006/main">
                      <a:ext uri="{FF2B5EF4-FFF2-40B4-BE49-F238E27FC236}">
                        <a16:creationId xmlns:a16="http://schemas.microsoft.com/office/drawing/2014/main" id="{C71FBC84-145C-04CF-405D-0F1DE6D87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diagram of a ship with containers and a clipboard&#10;&#10;AI-generated content may be incorrect.">
                            <a:extLst>
                              <a:ext uri="{FF2B5EF4-FFF2-40B4-BE49-F238E27FC236}">
                                <a16:creationId xmlns:a16="http://schemas.microsoft.com/office/drawing/2014/main" id="{C71FBC84-145C-04CF-405D-0F1DE6D87EF3}"/>
                              </a:ext>
                            </a:extLst>
                          </pic:cNvPr>
                          <pic:cNvPicPr>
                            <a:picLocks noChangeAspect="1"/>
                          </pic:cNvPicPr>
                        </pic:nvPicPr>
                        <pic:blipFill>
                          <a:blip r:embed="rId39"/>
                          <a:srcRect l="69471" t="26911" r="2730" b="16571"/>
                          <a:stretch>
                            <a:fillRect/>
                          </a:stretch>
                        </pic:blipFill>
                        <pic:spPr>
                          <a:xfrm>
                            <a:off x="0" y="0"/>
                            <a:ext cx="1104756" cy="1497397"/>
                          </a:xfrm>
                          <a:prstGeom prst="rect">
                            <a:avLst/>
                          </a:prstGeom>
                        </pic:spPr>
                      </pic:pic>
                    </a:graphicData>
                  </a:graphic>
                </wp:inline>
              </w:drawing>
            </w:r>
          </w:p>
        </w:tc>
      </w:tr>
      <w:tr w:rsidR="00F91404" w:rsidRPr="00F91404" w14:paraId="0B81DB3C" w14:textId="77777777" w:rsidTr="00BD1985">
        <w:trPr>
          <w:gridAfter w:val="1"/>
          <w:wAfter w:w="76" w:type="pct"/>
          <w:trHeight w:val="590"/>
          <w:jc w:val="center"/>
        </w:trPr>
        <w:tc>
          <w:tcPr>
            <w:tcW w:w="1328" w:type="pct"/>
            <w:gridSpan w:val="2"/>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19A2565E"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Overall Status</w:t>
            </w:r>
          </w:p>
        </w:tc>
        <w:tc>
          <w:tcPr>
            <w:tcW w:w="1220" w:type="pct"/>
            <w:gridSpan w:val="2"/>
            <w:tcBorders>
              <w:top w:val="nil"/>
              <w:left w:val="nil"/>
              <w:bottom w:val="single" w:sz="12" w:space="0" w:color="808080"/>
              <w:right w:val="single" w:sz="12" w:space="0" w:color="808080"/>
            </w:tcBorders>
            <w:shd w:val="clear" w:color="auto" w:fill="004C43" w:themeFill="accent1"/>
            <w:vAlign w:val="center"/>
            <w:hideMark/>
          </w:tcPr>
          <w:p w14:paraId="03D8266D"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Strategies</w:t>
            </w:r>
          </w:p>
        </w:tc>
        <w:tc>
          <w:tcPr>
            <w:tcW w:w="1133" w:type="pct"/>
            <w:gridSpan w:val="2"/>
            <w:tcBorders>
              <w:top w:val="nil"/>
              <w:left w:val="nil"/>
              <w:bottom w:val="single" w:sz="12" w:space="0" w:color="808080"/>
              <w:right w:val="single" w:sz="12" w:space="0" w:color="808080"/>
            </w:tcBorders>
            <w:shd w:val="clear" w:color="auto" w:fill="004C43" w:themeFill="accent1"/>
            <w:vAlign w:val="center"/>
            <w:hideMark/>
          </w:tcPr>
          <w:p w14:paraId="1646D8A6"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Road Map </w:t>
            </w:r>
          </w:p>
        </w:tc>
        <w:tc>
          <w:tcPr>
            <w:tcW w:w="1243" w:type="pct"/>
            <w:gridSpan w:val="2"/>
            <w:tcBorders>
              <w:top w:val="nil"/>
              <w:left w:val="nil"/>
              <w:bottom w:val="single" w:sz="12" w:space="0" w:color="808080"/>
              <w:right w:val="single" w:sz="12" w:space="0" w:color="808080"/>
            </w:tcBorders>
            <w:shd w:val="clear" w:color="auto" w:fill="004C43" w:themeFill="accent1"/>
            <w:vAlign w:val="center"/>
            <w:hideMark/>
          </w:tcPr>
          <w:p w14:paraId="36F222DC"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Implementation &amp; </w:t>
            </w:r>
          </w:p>
          <w:p w14:paraId="02302180" w14:textId="77777777" w:rsidR="00F91404" w:rsidRPr="00F91404" w:rsidRDefault="00F91404" w:rsidP="00BD1985">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Development Plans</w:t>
            </w:r>
          </w:p>
        </w:tc>
      </w:tr>
      <w:tr w:rsidR="00F91404" w:rsidRPr="00F91404" w14:paraId="7E31A3FE" w14:textId="77777777" w:rsidTr="00BD1985">
        <w:trPr>
          <w:gridAfter w:val="1"/>
          <w:wAfter w:w="76" w:type="pct"/>
          <w:trHeight w:val="674"/>
          <w:jc w:val="center"/>
        </w:trPr>
        <w:tc>
          <w:tcPr>
            <w:tcW w:w="1328" w:type="pct"/>
            <w:gridSpan w:val="2"/>
            <w:vMerge w:val="restart"/>
            <w:tcBorders>
              <w:top w:val="single" w:sz="12" w:space="0" w:color="808080"/>
              <w:left w:val="single" w:sz="12" w:space="0" w:color="808080"/>
              <w:bottom w:val="single" w:sz="12" w:space="0" w:color="808080"/>
              <w:right w:val="single" w:sz="12" w:space="0" w:color="808080"/>
            </w:tcBorders>
            <w:vAlign w:val="center"/>
            <w:hideMark/>
          </w:tcPr>
          <w:p w14:paraId="0FC434F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Demand-led hydrogen market anchored in the power sector</w:t>
            </w:r>
          </w:p>
          <w:p w14:paraId="7530999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framework prioritises downstream demand creation and revenue certainty</w:t>
            </w:r>
          </w:p>
          <w:p w14:paraId="648258A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Relies on long-term power procurement rather than production subsidies</w:t>
            </w:r>
          </w:p>
          <w:p w14:paraId="7790699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Model designed to enable hydrogen and ammonia use at scale, even with limited domestic production</w:t>
            </w:r>
          </w:p>
          <w:p w14:paraId="7A2ECA85" w14:textId="77777777" w:rsidR="00F91404" w:rsidRPr="00F91404" w:rsidRDefault="00F91404" w:rsidP="00BD1985">
            <w:pPr>
              <w:spacing w:after="0"/>
              <w:jc w:val="center"/>
              <w:rPr>
                <w:rFonts w:eastAsia="Times New Roman" w:cstheme="minorHAnsi"/>
                <w:b/>
                <w:bCs/>
                <w:color w:val="000000"/>
                <w:sz w:val="18"/>
                <w:szCs w:val="18"/>
                <w:lang w:eastAsia="es-MX"/>
              </w:rPr>
            </w:pPr>
          </w:p>
        </w:tc>
        <w:tc>
          <w:tcPr>
            <w:tcW w:w="1220" w:type="pct"/>
            <w:gridSpan w:val="2"/>
            <w:vMerge w:val="restart"/>
            <w:tcBorders>
              <w:top w:val="nil"/>
              <w:left w:val="single" w:sz="12" w:space="0" w:color="808080"/>
              <w:bottom w:val="single" w:sz="12" w:space="0" w:color="808080"/>
              <w:right w:val="single" w:sz="12" w:space="0" w:color="808080"/>
            </w:tcBorders>
            <w:vAlign w:val="center"/>
            <w:hideMark/>
          </w:tcPr>
          <w:p w14:paraId="701C516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Positions hydrogen as a strategic pillar for energy security and power-sector decarbonisation</w:t>
            </w:r>
          </w:p>
          <w:p w14:paraId="096C4E8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Strong emphasis on downstream deployment, particularly electricity generation</w:t>
            </w:r>
          </w:p>
          <w:p w14:paraId="1B0CCCF0"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Demand creation is prioritised over large-scale domestic production</w:t>
            </w:r>
          </w:p>
          <w:p w14:paraId="551EC264"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Imports and supply-chain development are central to the strategy</w:t>
            </w:r>
          </w:p>
          <w:p w14:paraId="181460CE" w14:textId="77777777" w:rsidR="00F91404" w:rsidRPr="00F91404" w:rsidRDefault="00F91404" w:rsidP="00BD1985">
            <w:pPr>
              <w:spacing w:after="0"/>
              <w:jc w:val="center"/>
              <w:rPr>
                <w:rFonts w:eastAsia="Times New Roman" w:cstheme="minorHAnsi"/>
                <w:color w:val="000000"/>
                <w:sz w:val="18"/>
                <w:szCs w:val="18"/>
                <w:lang w:eastAsia="es-MX"/>
              </w:rPr>
            </w:pPr>
          </w:p>
        </w:tc>
        <w:tc>
          <w:tcPr>
            <w:tcW w:w="1133" w:type="pct"/>
            <w:gridSpan w:val="2"/>
            <w:vMerge w:val="restart"/>
            <w:tcBorders>
              <w:top w:val="nil"/>
              <w:left w:val="single" w:sz="12" w:space="0" w:color="808080"/>
              <w:bottom w:val="single" w:sz="12" w:space="0" w:color="808080"/>
              <w:right w:val="single" w:sz="12" w:space="0" w:color="808080"/>
            </w:tcBorders>
            <w:vAlign w:val="center"/>
            <w:hideMark/>
          </w:tcPr>
          <w:p w14:paraId="60D2769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Legal framework established (2019): Hydrogen Economy Promotion and Hydrogen Safety Management Act enacted</w:t>
            </w:r>
          </w:p>
          <w:p w14:paraId="051C115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Demand activation phase (2021–2022): Clean hydrogen policies introduced for power generation</w:t>
            </w:r>
          </w:p>
          <w:p w14:paraId="20D2F17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Market creation phase (current): Deployment of the Clean Hydrogen Power Generation Bidding Market (CHPS)</w:t>
            </w:r>
          </w:p>
          <w:p w14:paraId="5785D2B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Next phase: Expansion of clean hydrogen and ammonia use in power generation and downstream infrastructure</w:t>
            </w:r>
          </w:p>
          <w:p w14:paraId="43F1C60B" w14:textId="77777777" w:rsidR="00F91404" w:rsidRPr="00F91404" w:rsidRDefault="00F91404" w:rsidP="00BD1985">
            <w:pPr>
              <w:spacing w:after="0"/>
              <w:jc w:val="center"/>
              <w:rPr>
                <w:rFonts w:eastAsia="Times New Roman" w:cstheme="minorHAnsi"/>
                <w:color w:val="000000"/>
                <w:sz w:val="18"/>
                <w:szCs w:val="18"/>
                <w:lang w:eastAsia="es-MX"/>
              </w:rPr>
            </w:pPr>
          </w:p>
        </w:tc>
        <w:tc>
          <w:tcPr>
            <w:tcW w:w="1243" w:type="pct"/>
            <w:gridSpan w:val="2"/>
            <w:vMerge w:val="restart"/>
            <w:tcBorders>
              <w:top w:val="nil"/>
              <w:left w:val="single" w:sz="12" w:space="0" w:color="808080"/>
              <w:bottom w:val="single" w:sz="12" w:space="0" w:color="808080"/>
              <w:right w:val="single" w:sz="12" w:space="0" w:color="808080"/>
            </w:tcBorders>
            <w:vAlign w:val="center"/>
            <w:hideMark/>
          </w:tcPr>
          <w:p w14:paraId="2D476EB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Execution under the Hydrogen Economy Promotion and Hydrogen Safety Management Act</w:t>
            </w:r>
          </w:p>
          <w:p w14:paraId="286FFAD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Core implementation instruments include:</w:t>
            </w:r>
          </w:p>
          <w:p w14:paraId="6AF7BE95"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Clean Hydrogen Power Generation Bidding Market (CHPS)</w:t>
            </w:r>
          </w:p>
          <w:p w14:paraId="3D575337" w14:textId="77777777" w:rsidR="00F91404" w:rsidRPr="00F91404" w:rsidRDefault="00F91404" w:rsidP="00BD1985">
            <w:pPr>
              <w:pStyle w:val="ListParagraph"/>
              <w:numPr>
                <w:ilvl w:val="1"/>
                <w:numId w:val="28"/>
              </w:numPr>
              <w:spacing w:before="240" w:after="140" w:line="276" w:lineRule="auto"/>
              <w:ind w:left="404" w:hanging="142"/>
              <w:rPr>
                <w:rFonts w:eastAsia="Times New Roman" w:cstheme="minorHAnsi"/>
                <w:sz w:val="18"/>
                <w:szCs w:val="18"/>
                <w:lang w:eastAsia="es-MX"/>
              </w:rPr>
            </w:pPr>
            <w:r w:rsidRPr="00F91404">
              <w:rPr>
                <w:rFonts w:eastAsia="Times New Roman" w:cstheme="minorHAnsi"/>
                <w:sz w:val="18"/>
                <w:szCs w:val="18"/>
                <w:lang w:eastAsia="es-MX"/>
              </w:rPr>
              <w:t>Public programmes led by KEPCO and KOGAS</w:t>
            </w:r>
          </w:p>
          <w:p w14:paraId="5A202CD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Infrastructure development focused on import terminals, storage and downstream distribution</w:t>
            </w:r>
          </w:p>
          <w:p w14:paraId="1F64EF00" w14:textId="77777777" w:rsidR="00F91404" w:rsidRPr="00F91404" w:rsidRDefault="00F91404" w:rsidP="00BD1985">
            <w:pPr>
              <w:spacing w:after="0"/>
              <w:jc w:val="center"/>
              <w:rPr>
                <w:rFonts w:eastAsia="Times New Roman" w:cstheme="minorHAnsi"/>
                <w:color w:val="000000"/>
                <w:sz w:val="18"/>
                <w:szCs w:val="18"/>
                <w:lang w:eastAsia="es-MX"/>
              </w:rPr>
            </w:pPr>
          </w:p>
        </w:tc>
      </w:tr>
      <w:tr w:rsidR="00F91404" w:rsidRPr="00F91404" w14:paraId="3F3E0704" w14:textId="77777777" w:rsidTr="00BD1985">
        <w:trPr>
          <w:trHeight w:val="5860"/>
          <w:jc w:val="center"/>
        </w:trPr>
        <w:tc>
          <w:tcPr>
            <w:tcW w:w="1328" w:type="pct"/>
            <w:gridSpan w:val="2"/>
            <w:vMerge/>
            <w:tcBorders>
              <w:top w:val="single" w:sz="12" w:space="0" w:color="808080"/>
              <w:left w:val="single" w:sz="12" w:space="0" w:color="808080"/>
              <w:bottom w:val="single" w:sz="12" w:space="0" w:color="808080"/>
              <w:right w:val="single" w:sz="12" w:space="0" w:color="808080"/>
            </w:tcBorders>
            <w:vAlign w:val="center"/>
            <w:hideMark/>
          </w:tcPr>
          <w:p w14:paraId="516D5509" w14:textId="77777777" w:rsidR="00F91404" w:rsidRPr="00F91404" w:rsidRDefault="00F91404" w:rsidP="00BD1985">
            <w:pPr>
              <w:spacing w:after="0"/>
              <w:rPr>
                <w:rFonts w:eastAsia="Times New Roman" w:cstheme="minorHAnsi"/>
                <w:b/>
                <w:bCs/>
                <w:color w:val="000000"/>
                <w:sz w:val="18"/>
                <w:szCs w:val="18"/>
                <w:lang w:eastAsia="es-MX"/>
              </w:rPr>
            </w:pPr>
          </w:p>
        </w:tc>
        <w:tc>
          <w:tcPr>
            <w:tcW w:w="1220" w:type="pct"/>
            <w:gridSpan w:val="2"/>
            <w:vMerge/>
            <w:tcBorders>
              <w:top w:val="nil"/>
              <w:left w:val="single" w:sz="12" w:space="0" w:color="808080"/>
              <w:bottom w:val="single" w:sz="12" w:space="0" w:color="808080"/>
              <w:right w:val="single" w:sz="12" w:space="0" w:color="808080"/>
            </w:tcBorders>
            <w:vAlign w:val="center"/>
            <w:hideMark/>
          </w:tcPr>
          <w:p w14:paraId="6A642D95" w14:textId="77777777" w:rsidR="00F91404" w:rsidRPr="00F91404" w:rsidRDefault="00F91404" w:rsidP="00BD1985">
            <w:pPr>
              <w:spacing w:after="0"/>
              <w:rPr>
                <w:rFonts w:eastAsia="Times New Roman" w:cstheme="minorHAnsi"/>
                <w:color w:val="000000"/>
                <w:sz w:val="18"/>
                <w:szCs w:val="18"/>
                <w:lang w:eastAsia="es-MX"/>
              </w:rPr>
            </w:pPr>
          </w:p>
        </w:tc>
        <w:tc>
          <w:tcPr>
            <w:tcW w:w="1133" w:type="pct"/>
            <w:gridSpan w:val="2"/>
            <w:vMerge/>
            <w:tcBorders>
              <w:top w:val="nil"/>
              <w:left w:val="single" w:sz="12" w:space="0" w:color="808080"/>
              <w:bottom w:val="single" w:sz="12" w:space="0" w:color="808080"/>
              <w:right w:val="single" w:sz="12" w:space="0" w:color="808080"/>
            </w:tcBorders>
            <w:vAlign w:val="center"/>
            <w:hideMark/>
          </w:tcPr>
          <w:p w14:paraId="20359BE0" w14:textId="77777777" w:rsidR="00F91404" w:rsidRPr="00F91404" w:rsidRDefault="00F91404" w:rsidP="00BD1985">
            <w:pPr>
              <w:spacing w:after="0"/>
              <w:rPr>
                <w:rFonts w:eastAsia="Times New Roman" w:cstheme="minorHAnsi"/>
                <w:color w:val="000000"/>
                <w:sz w:val="18"/>
                <w:szCs w:val="18"/>
                <w:lang w:eastAsia="es-MX"/>
              </w:rPr>
            </w:pPr>
          </w:p>
        </w:tc>
        <w:tc>
          <w:tcPr>
            <w:tcW w:w="1243" w:type="pct"/>
            <w:gridSpan w:val="2"/>
            <w:vMerge/>
            <w:tcBorders>
              <w:top w:val="nil"/>
              <w:left w:val="single" w:sz="12" w:space="0" w:color="808080"/>
              <w:bottom w:val="single" w:sz="12" w:space="0" w:color="808080"/>
              <w:right w:val="single" w:sz="12" w:space="0" w:color="808080"/>
            </w:tcBorders>
            <w:vAlign w:val="center"/>
            <w:hideMark/>
          </w:tcPr>
          <w:p w14:paraId="43A9A5AF" w14:textId="77777777" w:rsidR="00F91404" w:rsidRPr="00F91404" w:rsidRDefault="00F91404" w:rsidP="00BD1985">
            <w:pPr>
              <w:spacing w:after="0"/>
              <w:rPr>
                <w:rFonts w:eastAsia="Times New Roman" w:cstheme="minorHAnsi"/>
                <w:color w:val="000000"/>
                <w:sz w:val="18"/>
                <w:szCs w:val="18"/>
                <w:lang w:eastAsia="es-MX"/>
              </w:rPr>
            </w:pPr>
          </w:p>
        </w:tc>
        <w:tc>
          <w:tcPr>
            <w:tcW w:w="76" w:type="pct"/>
            <w:tcBorders>
              <w:top w:val="nil"/>
              <w:left w:val="nil"/>
              <w:bottom w:val="nil"/>
              <w:right w:val="nil"/>
            </w:tcBorders>
            <w:noWrap/>
            <w:vAlign w:val="bottom"/>
            <w:hideMark/>
          </w:tcPr>
          <w:p w14:paraId="5E460516" w14:textId="77777777" w:rsidR="00F91404" w:rsidRPr="00F91404" w:rsidRDefault="00F91404" w:rsidP="00BD1985">
            <w:pPr>
              <w:spacing w:after="0"/>
              <w:jc w:val="center"/>
              <w:rPr>
                <w:rFonts w:eastAsia="Times New Roman" w:cstheme="minorHAnsi"/>
                <w:color w:val="000000"/>
                <w:sz w:val="20"/>
                <w:szCs w:val="20"/>
                <w:lang w:eastAsia="es-MX"/>
              </w:rPr>
            </w:pPr>
          </w:p>
        </w:tc>
      </w:tr>
      <w:tr w:rsidR="00F91404" w:rsidRPr="00F91404" w14:paraId="312C218F"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499FFF1E"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lastRenderedPageBreak/>
              <w:t>Policies Framework</w:t>
            </w:r>
          </w:p>
        </w:tc>
        <w:tc>
          <w:tcPr>
            <w:tcW w:w="76" w:type="pct"/>
            <w:vAlign w:val="center"/>
            <w:hideMark/>
          </w:tcPr>
          <w:p w14:paraId="1A0AF37F" w14:textId="77777777" w:rsidR="00F91404" w:rsidRPr="00F91404" w:rsidRDefault="00F91404" w:rsidP="00BD1985">
            <w:pPr>
              <w:spacing w:after="0"/>
              <w:rPr>
                <w:rFonts w:eastAsia="Times New Roman" w:cstheme="minorHAnsi"/>
                <w:sz w:val="20"/>
                <w:szCs w:val="20"/>
                <w:lang w:eastAsia="es-MX"/>
              </w:rPr>
            </w:pPr>
          </w:p>
        </w:tc>
      </w:tr>
      <w:tr w:rsidR="00F91404" w:rsidRPr="00F91404" w14:paraId="4349D95E" w14:textId="77777777" w:rsidTr="00BD1985">
        <w:trPr>
          <w:trHeight w:val="1092"/>
          <w:jc w:val="center"/>
        </w:trPr>
        <w:tc>
          <w:tcPr>
            <w:tcW w:w="108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05103D4D"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Fiscal &amp; Tax </w:t>
            </w:r>
          </w:p>
          <w:p w14:paraId="5B0C57FC"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Incentives</w:t>
            </w:r>
          </w:p>
        </w:tc>
        <w:tc>
          <w:tcPr>
            <w:tcW w:w="3838" w:type="pct"/>
            <w:gridSpan w:val="7"/>
            <w:tcBorders>
              <w:top w:val="single" w:sz="12" w:space="0" w:color="808080"/>
              <w:left w:val="nil"/>
              <w:bottom w:val="single" w:sz="12" w:space="0" w:color="808080"/>
              <w:right w:val="single" w:sz="12" w:space="0" w:color="808080"/>
            </w:tcBorders>
            <w:vAlign w:val="center"/>
            <w:hideMark/>
          </w:tcPr>
          <w:p w14:paraId="0398546A"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Targeted tax credits and deductions apply to hydrogen-related facilities and equipment</w:t>
            </w:r>
          </w:p>
          <w:p w14:paraId="05EB0F4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Incentives are aligned with national industrial and clean energy objectives</w:t>
            </w:r>
          </w:p>
        </w:tc>
        <w:tc>
          <w:tcPr>
            <w:tcW w:w="76" w:type="pct"/>
            <w:vAlign w:val="center"/>
            <w:hideMark/>
          </w:tcPr>
          <w:p w14:paraId="25B59CB7" w14:textId="77777777" w:rsidR="00F91404" w:rsidRPr="00F91404" w:rsidRDefault="00F91404" w:rsidP="00BD1985">
            <w:pPr>
              <w:spacing w:after="0"/>
              <w:rPr>
                <w:rFonts w:eastAsia="Times New Roman" w:cstheme="minorHAnsi"/>
                <w:sz w:val="20"/>
                <w:szCs w:val="20"/>
                <w:lang w:eastAsia="es-MX"/>
              </w:rPr>
            </w:pPr>
          </w:p>
        </w:tc>
      </w:tr>
      <w:tr w:rsidR="00F91404" w:rsidRPr="00F91404" w14:paraId="07D998AF" w14:textId="77777777" w:rsidTr="00BD1985">
        <w:trPr>
          <w:trHeight w:val="2248"/>
          <w:jc w:val="center"/>
        </w:trPr>
        <w:tc>
          <w:tcPr>
            <w:tcW w:w="108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0324D088"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Market and revenue support </w:t>
            </w:r>
          </w:p>
          <w:p w14:paraId="36609BAB"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mechanisms</w:t>
            </w:r>
          </w:p>
        </w:tc>
        <w:tc>
          <w:tcPr>
            <w:tcW w:w="3838" w:type="pct"/>
            <w:gridSpan w:val="7"/>
            <w:tcBorders>
              <w:top w:val="single" w:sz="12" w:space="0" w:color="808080"/>
              <w:left w:val="nil"/>
              <w:bottom w:val="single" w:sz="12" w:space="0" w:color="808080"/>
              <w:right w:val="single" w:sz="12" w:space="0" w:color="808080"/>
            </w:tcBorders>
            <w:vAlign w:val="center"/>
            <w:hideMark/>
          </w:tcPr>
          <w:p w14:paraId="3340B3A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Clean Hydrogen Power Generation Bidding Market (CHPS) creates demand through the </w:t>
            </w:r>
            <w:r w:rsidRPr="00F91404">
              <w:rPr>
                <w:rFonts w:eastAsia="Times New Roman" w:cstheme="minorHAnsi"/>
                <w:sz w:val="18"/>
                <w:szCs w:val="18"/>
                <w:lang w:eastAsia="es-MX"/>
              </w:rPr>
              <w:br/>
              <w:t>electricity market</w:t>
            </w:r>
          </w:p>
          <w:p w14:paraId="543A12C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Power generators using clean hydrogen or ammonia co-firing compete in tenders for long-term power contracts (typically up to 15 years)</w:t>
            </w:r>
          </w:p>
          <w:p w14:paraId="52EEF35F"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 xml:space="preserve">Contracts provide predictable, contract-backed revenues, anchoring hydrogen demand </w:t>
            </w:r>
            <w:r w:rsidRPr="00F91404">
              <w:rPr>
                <w:rFonts w:eastAsia="Times New Roman" w:cstheme="minorHAnsi"/>
                <w:sz w:val="18"/>
                <w:szCs w:val="18"/>
                <w:lang w:eastAsia="es-MX"/>
              </w:rPr>
              <w:br/>
              <w:t>downstream</w:t>
            </w:r>
          </w:p>
          <w:p w14:paraId="33FB5B41"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While production is not subsidised directly, CHPS reduces demand risk across the hydrogen and ammonia supply chain</w:t>
            </w:r>
          </w:p>
          <w:p w14:paraId="4CE89AFD" w14:textId="77777777" w:rsidR="00F91404" w:rsidRPr="00F91404" w:rsidRDefault="00F91404" w:rsidP="00BD1985">
            <w:pPr>
              <w:spacing w:after="0"/>
              <w:rPr>
                <w:rFonts w:eastAsia="Times New Roman" w:cstheme="minorHAnsi"/>
                <w:color w:val="000000"/>
                <w:sz w:val="18"/>
                <w:szCs w:val="18"/>
                <w:lang w:eastAsia="es-MX"/>
              </w:rPr>
            </w:pPr>
          </w:p>
        </w:tc>
        <w:tc>
          <w:tcPr>
            <w:tcW w:w="76" w:type="pct"/>
            <w:vAlign w:val="center"/>
            <w:hideMark/>
          </w:tcPr>
          <w:p w14:paraId="128EB59A" w14:textId="77777777" w:rsidR="00F91404" w:rsidRPr="00F91404" w:rsidRDefault="00F91404" w:rsidP="00BD1985">
            <w:pPr>
              <w:spacing w:after="0"/>
              <w:rPr>
                <w:rFonts w:eastAsia="Times New Roman" w:cstheme="minorHAnsi"/>
                <w:sz w:val="20"/>
                <w:szCs w:val="20"/>
                <w:lang w:eastAsia="es-MX"/>
              </w:rPr>
            </w:pPr>
          </w:p>
        </w:tc>
      </w:tr>
      <w:tr w:rsidR="00F91404" w:rsidRPr="00F91404" w14:paraId="457796C8" w14:textId="77777777" w:rsidTr="00BD1985">
        <w:trPr>
          <w:trHeight w:val="1244"/>
          <w:jc w:val="center"/>
        </w:trPr>
        <w:tc>
          <w:tcPr>
            <w:tcW w:w="108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41C32CD8" w14:textId="77777777" w:rsidR="00F91404" w:rsidRPr="00F91404" w:rsidRDefault="00F91404" w:rsidP="00BD1985">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Direct public </w:t>
            </w:r>
          </w:p>
          <w:p w14:paraId="779C27F1"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funding</w:t>
            </w:r>
          </w:p>
        </w:tc>
        <w:tc>
          <w:tcPr>
            <w:tcW w:w="3838" w:type="pct"/>
            <w:gridSpan w:val="7"/>
            <w:tcBorders>
              <w:top w:val="single" w:sz="12" w:space="0" w:color="808080"/>
              <w:left w:val="nil"/>
              <w:bottom w:val="single" w:sz="12" w:space="0" w:color="808080"/>
              <w:right w:val="single" w:sz="12" w:space="0" w:color="808080"/>
            </w:tcBorders>
            <w:vAlign w:val="center"/>
            <w:hideMark/>
          </w:tcPr>
          <w:p w14:paraId="3CB541B6"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Public funding supports hydrogen supply chains and enabling infrastructure</w:t>
            </w:r>
          </w:p>
          <w:p w14:paraId="10A6B205"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Focus areas include production facilities, import terminals and storage</w:t>
            </w:r>
          </w:p>
          <w:p w14:paraId="6608278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Funding targets early deployment and infrastructure readiness rather than large production CAPEX</w:t>
            </w:r>
          </w:p>
        </w:tc>
        <w:tc>
          <w:tcPr>
            <w:tcW w:w="76" w:type="pct"/>
            <w:vAlign w:val="center"/>
            <w:hideMark/>
          </w:tcPr>
          <w:p w14:paraId="61E26633" w14:textId="77777777" w:rsidR="00F91404" w:rsidRPr="00F91404" w:rsidRDefault="00F91404" w:rsidP="00BD1985">
            <w:pPr>
              <w:spacing w:after="0"/>
              <w:rPr>
                <w:rFonts w:eastAsia="Times New Roman" w:cstheme="minorHAnsi"/>
                <w:sz w:val="20"/>
                <w:szCs w:val="20"/>
                <w:lang w:eastAsia="es-MX"/>
              </w:rPr>
            </w:pPr>
          </w:p>
        </w:tc>
      </w:tr>
      <w:tr w:rsidR="00F91404" w:rsidRPr="00F91404" w14:paraId="4C1F6B36" w14:textId="77777777" w:rsidTr="00BD1985">
        <w:trPr>
          <w:trHeight w:val="1220"/>
          <w:jc w:val="center"/>
        </w:trPr>
        <w:tc>
          <w:tcPr>
            <w:tcW w:w="108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17E051D9"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Standards and </w:t>
            </w:r>
          </w:p>
          <w:p w14:paraId="13B0A77C"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certification</w:t>
            </w:r>
          </w:p>
        </w:tc>
        <w:tc>
          <w:tcPr>
            <w:tcW w:w="3838" w:type="pct"/>
            <w:gridSpan w:val="7"/>
            <w:tcBorders>
              <w:top w:val="single" w:sz="12" w:space="0" w:color="808080"/>
              <w:left w:val="nil"/>
              <w:bottom w:val="single" w:sz="12" w:space="0" w:color="808080"/>
              <w:right w:val="single" w:sz="12" w:space="0" w:color="808080"/>
            </w:tcBorders>
            <w:vAlign w:val="center"/>
            <w:hideMark/>
          </w:tcPr>
          <w:p w14:paraId="7B15F59E"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Clean hydrogen certification system established under national hydrogen legislation</w:t>
            </w:r>
          </w:p>
          <w:p w14:paraId="147CA9BC"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Certification defines emissions-based eligibility thresholds and grading criteria</w:t>
            </w:r>
          </w:p>
          <w:p w14:paraId="0D88442D"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Eligibility for CHPS and other support schemes is linked to certification compliance</w:t>
            </w:r>
          </w:p>
        </w:tc>
        <w:tc>
          <w:tcPr>
            <w:tcW w:w="76" w:type="pct"/>
            <w:vAlign w:val="center"/>
            <w:hideMark/>
          </w:tcPr>
          <w:p w14:paraId="3FAC32A3" w14:textId="77777777" w:rsidR="00F91404" w:rsidRPr="00F91404" w:rsidRDefault="00F91404" w:rsidP="00BD1985">
            <w:pPr>
              <w:spacing w:after="0"/>
              <w:rPr>
                <w:rFonts w:eastAsia="Times New Roman" w:cstheme="minorHAnsi"/>
                <w:sz w:val="20"/>
                <w:szCs w:val="20"/>
                <w:lang w:eastAsia="es-MX"/>
              </w:rPr>
            </w:pPr>
          </w:p>
        </w:tc>
      </w:tr>
      <w:tr w:rsidR="00F91404" w:rsidRPr="00F91404" w14:paraId="3941ECEC" w14:textId="77777777" w:rsidTr="00BD1985">
        <w:trPr>
          <w:trHeight w:val="1394"/>
          <w:jc w:val="center"/>
        </w:trPr>
        <w:tc>
          <w:tcPr>
            <w:tcW w:w="1086"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6C60C1D8"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Infrastructure-</w:t>
            </w:r>
          </w:p>
          <w:p w14:paraId="56F96365" w14:textId="77777777" w:rsidR="00F91404" w:rsidRPr="00F91404" w:rsidRDefault="00F91404" w:rsidP="00BD1985">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enabling policies</w:t>
            </w:r>
          </w:p>
        </w:tc>
        <w:tc>
          <w:tcPr>
            <w:tcW w:w="3838" w:type="pct"/>
            <w:gridSpan w:val="7"/>
            <w:tcBorders>
              <w:top w:val="single" w:sz="12" w:space="0" w:color="808080"/>
              <w:left w:val="nil"/>
              <w:bottom w:val="single" w:sz="12" w:space="0" w:color="808080"/>
              <w:right w:val="single" w:sz="12" w:space="0" w:color="808080"/>
            </w:tcBorders>
            <w:vAlign w:val="center"/>
            <w:hideMark/>
          </w:tcPr>
          <w:p w14:paraId="3866F122"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Infrastructure policy prioritises import terminals, storage facilities and downstream distribution</w:t>
            </w:r>
          </w:p>
          <w:p w14:paraId="603D7E37"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Development of hydrogen cities and end-use systems is supported</w:t>
            </w:r>
          </w:p>
          <w:p w14:paraId="321FEE28" w14:textId="77777777" w:rsidR="00F91404" w:rsidRPr="00F91404" w:rsidRDefault="00F91404" w:rsidP="00BD1985">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Limited focus on a national hydrogen pipeline backbone</w:t>
            </w:r>
          </w:p>
        </w:tc>
        <w:tc>
          <w:tcPr>
            <w:tcW w:w="76" w:type="pct"/>
            <w:vAlign w:val="center"/>
            <w:hideMark/>
          </w:tcPr>
          <w:p w14:paraId="0E0036C5" w14:textId="77777777" w:rsidR="00F91404" w:rsidRPr="00F91404" w:rsidRDefault="00F91404" w:rsidP="00BD1985">
            <w:pPr>
              <w:spacing w:after="0"/>
              <w:rPr>
                <w:rFonts w:eastAsia="Times New Roman" w:cstheme="minorHAnsi"/>
                <w:sz w:val="20"/>
                <w:szCs w:val="20"/>
                <w:lang w:eastAsia="es-MX"/>
              </w:rPr>
            </w:pPr>
          </w:p>
        </w:tc>
      </w:tr>
      <w:tr w:rsidR="00F91404" w:rsidRPr="00F91404" w14:paraId="69938205"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12AECE8" w14:textId="77777777" w:rsidR="00F91404" w:rsidRPr="00F91404" w:rsidRDefault="00F91404" w:rsidP="00BD1985">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Sectoral focus / Priority sectors</w:t>
            </w:r>
          </w:p>
        </w:tc>
        <w:tc>
          <w:tcPr>
            <w:tcW w:w="76" w:type="pct"/>
            <w:vAlign w:val="center"/>
          </w:tcPr>
          <w:p w14:paraId="56CF4B95" w14:textId="77777777" w:rsidR="00F91404" w:rsidRPr="00F91404" w:rsidRDefault="00F91404" w:rsidP="00BD1985">
            <w:pPr>
              <w:spacing w:after="0"/>
              <w:rPr>
                <w:rFonts w:eastAsia="Times New Roman" w:cstheme="minorHAnsi"/>
                <w:sz w:val="20"/>
                <w:szCs w:val="20"/>
                <w:lang w:eastAsia="es-MX"/>
              </w:rPr>
            </w:pPr>
          </w:p>
        </w:tc>
      </w:tr>
      <w:tr w:rsidR="00F91404" w:rsidRPr="00F91404" w14:paraId="225C256C" w14:textId="77777777" w:rsidTr="00BD1985">
        <w:trPr>
          <w:trHeight w:val="1846"/>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AEFF36C" w14:textId="77777777" w:rsidR="00F91404" w:rsidRPr="00F91404" w:rsidRDefault="00F91404" w:rsidP="00BD1985">
            <w:pPr>
              <w:spacing w:after="0"/>
              <w:rPr>
                <w:rFonts w:eastAsia="Times New Roman" w:cstheme="minorHAnsi"/>
                <w:color w:val="FFFFFF"/>
                <w:sz w:val="18"/>
                <w:szCs w:val="18"/>
                <w:lang w:eastAsia="es-MX"/>
              </w:rPr>
            </w:pPr>
            <w:r w:rsidRPr="00F91404">
              <w:rPr>
                <w:rFonts w:eastAsia="Times New Roman" w:cstheme="minorHAnsi"/>
                <w:sz w:val="18"/>
                <w:szCs w:val="18"/>
                <w:lang w:eastAsia="es-MX"/>
              </w:rPr>
              <w:t>Hydrogen demand is led by power generation and mobility, particularly fuel cells for electricity generation and hydrogen vehicles. Industrial use and imported hydrogen support the country’s strategy to decarbonise energy consumption while relying on international supply chains.</w:t>
            </w:r>
          </w:p>
        </w:tc>
        <w:tc>
          <w:tcPr>
            <w:tcW w:w="76" w:type="pct"/>
            <w:vAlign w:val="center"/>
          </w:tcPr>
          <w:p w14:paraId="425A6EDE" w14:textId="77777777" w:rsidR="00F91404" w:rsidRPr="00F91404" w:rsidRDefault="00F91404" w:rsidP="00BD1985">
            <w:pPr>
              <w:spacing w:after="0"/>
              <w:rPr>
                <w:rFonts w:eastAsia="Times New Roman" w:cstheme="minorHAnsi"/>
                <w:sz w:val="20"/>
                <w:szCs w:val="20"/>
                <w:lang w:eastAsia="es-MX"/>
              </w:rPr>
            </w:pPr>
          </w:p>
        </w:tc>
      </w:tr>
      <w:tr w:rsidR="00F91404" w:rsidRPr="00F91404" w14:paraId="1A6117DF" w14:textId="77777777" w:rsidTr="00BD1985">
        <w:trPr>
          <w:trHeight w:val="428"/>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441473DB"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Renewable Energy Context</w:t>
            </w:r>
          </w:p>
        </w:tc>
        <w:tc>
          <w:tcPr>
            <w:tcW w:w="76" w:type="pct"/>
            <w:vAlign w:val="center"/>
          </w:tcPr>
          <w:p w14:paraId="5FAD674E" w14:textId="77777777" w:rsidR="00F91404" w:rsidRPr="00F91404" w:rsidRDefault="00F91404" w:rsidP="00BD1985">
            <w:pPr>
              <w:spacing w:after="0"/>
              <w:rPr>
                <w:rFonts w:eastAsia="Times New Roman" w:cstheme="minorHAnsi"/>
                <w:sz w:val="20"/>
                <w:szCs w:val="20"/>
                <w:lang w:eastAsia="es-MX"/>
              </w:rPr>
            </w:pPr>
          </w:p>
        </w:tc>
      </w:tr>
      <w:tr w:rsidR="00F91404" w:rsidRPr="00F91404" w14:paraId="7FB4FD58" w14:textId="77777777" w:rsidTr="00BD1985">
        <w:trPr>
          <w:trHeight w:val="3184"/>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19DD7525"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South Korea has expanded renewable electricity capacity over the past decade, primarily through solar PV and emerging offshore wind development. Despite this growth, the power system continues to rely significantly on imported fossil fuels and nuclear generation. National energy plans target a gradual increase in the renewable share of electricity generation toward 2030 and 2050 decarbonisation objectives.</w:t>
            </w:r>
          </w:p>
          <w:p w14:paraId="5FE3C995"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Land constraints and high population density limit large-scale onshore renewable expansion, reinforcing the country’s strategy to combine domestic renewable deployment with hydrogen imports. Renewable growth supports electrolysis projects, but hydrogen policy is structurally aligned with energy security and diversified supply chains.</w:t>
            </w:r>
          </w:p>
          <w:p w14:paraId="40B93B5C" w14:textId="77777777" w:rsidR="00F91404" w:rsidRPr="00F91404" w:rsidRDefault="00F91404" w:rsidP="00BD1985">
            <w:pPr>
              <w:spacing w:after="0"/>
              <w:jc w:val="center"/>
              <w:rPr>
                <w:rFonts w:eastAsia="Times New Roman" w:cstheme="minorHAnsi"/>
                <w:sz w:val="18"/>
                <w:szCs w:val="18"/>
                <w:lang w:eastAsia="es-MX"/>
              </w:rPr>
            </w:pPr>
          </w:p>
        </w:tc>
        <w:tc>
          <w:tcPr>
            <w:tcW w:w="76" w:type="pct"/>
            <w:vAlign w:val="center"/>
          </w:tcPr>
          <w:p w14:paraId="1D271749" w14:textId="77777777" w:rsidR="00F91404" w:rsidRPr="00F91404" w:rsidRDefault="00F91404" w:rsidP="00BD1985">
            <w:pPr>
              <w:spacing w:after="0"/>
              <w:rPr>
                <w:rFonts w:eastAsia="Times New Roman" w:cstheme="minorHAnsi"/>
                <w:sz w:val="20"/>
                <w:szCs w:val="20"/>
                <w:lang w:eastAsia="es-MX"/>
              </w:rPr>
            </w:pPr>
          </w:p>
        </w:tc>
      </w:tr>
      <w:tr w:rsidR="00F91404" w:rsidRPr="00F91404" w14:paraId="138B8A1F" w14:textId="77777777" w:rsidTr="00BD1985">
        <w:trPr>
          <w:trHeight w:val="407"/>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5D681127"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c>
          <w:tcPr>
            <w:tcW w:w="76" w:type="pct"/>
            <w:vAlign w:val="center"/>
          </w:tcPr>
          <w:p w14:paraId="7C66EC7E" w14:textId="77777777" w:rsidR="00F91404" w:rsidRPr="00F91404" w:rsidRDefault="00F91404" w:rsidP="00BD1985">
            <w:pPr>
              <w:spacing w:after="0"/>
              <w:rPr>
                <w:rFonts w:eastAsia="Times New Roman" w:cstheme="minorHAnsi"/>
                <w:sz w:val="20"/>
                <w:szCs w:val="20"/>
                <w:lang w:eastAsia="es-MX"/>
              </w:rPr>
            </w:pPr>
          </w:p>
        </w:tc>
      </w:tr>
      <w:tr w:rsidR="00F91404" w:rsidRPr="00F91404" w14:paraId="26D00DF6" w14:textId="77777777" w:rsidTr="00BD1985">
        <w:trPr>
          <w:trHeight w:val="3932"/>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6B3E93E9"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South Korea applies a demand-driven and legislated hydrogen value chain model:</w:t>
            </w:r>
          </w:p>
          <w:p w14:paraId="5ABD4AE1"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Production:</w:t>
            </w:r>
            <w:r w:rsidRPr="00F91404">
              <w:rPr>
                <w:rFonts w:eastAsia="Times New Roman" w:cstheme="minorHAnsi"/>
                <w:sz w:val="18"/>
                <w:szCs w:val="18"/>
                <w:lang w:eastAsia="es-MX"/>
              </w:rPr>
              <w:br/>
              <w:t>Combination of domestic electrolysis projects linked to renewables and increasing reliance on imported hydrogen and ammonia to meet projected demand.</w:t>
            </w:r>
          </w:p>
          <w:p w14:paraId="2AEE6FAF"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Storage:</w:t>
            </w:r>
            <w:r w:rsidRPr="00F91404">
              <w:rPr>
                <w:rFonts w:eastAsia="Times New Roman" w:cstheme="minorHAnsi"/>
                <w:sz w:val="18"/>
                <w:szCs w:val="18"/>
                <w:lang w:eastAsia="es-MX"/>
              </w:rPr>
              <w:br/>
              <w:t>Development of storage facilities at import terminals and industrial sites, with intermediate storage solutions designed to support power generation and downstream use.</w:t>
            </w:r>
          </w:p>
          <w:p w14:paraId="183F4D2A"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Transport / Distribution:</w:t>
            </w:r>
            <w:r w:rsidRPr="00F91404">
              <w:rPr>
                <w:rFonts w:eastAsia="Times New Roman" w:cstheme="minorHAnsi"/>
                <w:sz w:val="18"/>
                <w:szCs w:val="18"/>
                <w:lang w:eastAsia="es-MX"/>
              </w:rPr>
              <w:br/>
              <w:t>Infrastructure centred on import terminals, port logistics and regional distribution networks supplying hydrogen to power plants, hydrogen refuelling stations and industrial users; development is coordinated under national legislation.</w:t>
            </w:r>
          </w:p>
          <w:p w14:paraId="4F800DC3"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Applications:</w:t>
            </w:r>
            <w:r w:rsidRPr="00F91404">
              <w:rPr>
                <w:rFonts w:eastAsia="Times New Roman" w:cstheme="minorHAnsi"/>
                <w:sz w:val="18"/>
                <w:szCs w:val="18"/>
                <w:lang w:eastAsia="es-MX"/>
              </w:rPr>
              <w:br/>
              <w:t>Primary focus on power generation through the Clean Hydrogen Power Generation Bidding Market (CHPS), alongside mobility (fuel cell vehicles) and selected industrial substitution.</w:t>
            </w:r>
          </w:p>
          <w:p w14:paraId="7E9CD2F2" w14:textId="77777777" w:rsidR="00F91404" w:rsidRPr="00F91404" w:rsidRDefault="00F91404" w:rsidP="00BD1985">
            <w:pPr>
              <w:spacing w:after="0"/>
              <w:rPr>
                <w:rFonts w:eastAsia="Times New Roman" w:cstheme="minorHAnsi"/>
                <w:sz w:val="18"/>
                <w:szCs w:val="18"/>
                <w:lang w:eastAsia="es-MX"/>
              </w:rPr>
            </w:pPr>
          </w:p>
        </w:tc>
        <w:tc>
          <w:tcPr>
            <w:tcW w:w="76" w:type="pct"/>
            <w:vAlign w:val="center"/>
          </w:tcPr>
          <w:p w14:paraId="61557756" w14:textId="77777777" w:rsidR="00F91404" w:rsidRPr="00F91404" w:rsidRDefault="00F91404" w:rsidP="00BD1985">
            <w:pPr>
              <w:spacing w:after="0"/>
              <w:rPr>
                <w:rFonts w:eastAsia="Times New Roman" w:cstheme="minorHAnsi"/>
                <w:sz w:val="20"/>
                <w:szCs w:val="20"/>
                <w:lang w:eastAsia="es-MX"/>
              </w:rPr>
            </w:pPr>
          </w:p>
        </w:tc>
      </w:tr>
      <w:tr w:rsidR="00F91404" w:rsidRPr="00F91404" w14:paraId="4A67F738" w14:textId="77777777" w:rsidTr="00BD1985">
        <w:trPr>
          <w:trHeight w:val="396"/>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16B4698A"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Strategic Stage &amp; Objective</w:t>
            </w:r>
          </w:p>
        </w:tc>
        <w:tc>
          <w:tcPr>
            <w:tcW w:w="76" w:type="pct"/>
            <w:vAlign w:val="center"/>
          </w:tcPr>
          <w:p w14:paraId="22419E70" w14:textId="77777777" w:rsidR="00F91404" w:rsidRPr="00F91404" w:rsidRDefault="00F91404" w:rsidP="00BD1985">
            <w:pPr>
              <w:spacing w:after="0"/>
              <w:rPr>
                <w:rFonts w:eastAsia="Times New Roman" w:cstheme="minorHAnsi"/>
                <w:sz w:val="20"/>
                <w:szCs w:val="20"/>
                <w:lang w:eastAsia="es-MX"/>
              </w:rPr>
            </w:pPr>
          </w:p>
        </w:tc>
      </w:tr>
      <w:tr w:rsidR="00F91404" w:rsidRPr="00F91404" w14:paraId="695329BF" w14:textId="77777777" w:rsidTr="00BD1985">
        <w:trPr>
          <w:trHeight w:val="2093"/>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1183F298"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Current Stage:</w:t>
            </w:r>
            <w:r w:rsidRPr="00F91404">
              <w:rPr>
                <w:rFonts w:eastAsia="Times New Roman" w:cstheme="minorHAnsi"/>
                <w:sz w:val="18"/>
                <w:szCs w:val="18"/>
                <w:lang w:eastAsia="es-MX"/>
              </w:rPr>
              <w:t xml:space="preserve"> Scaling under a dedicated hydrogen legislative framework.</w:t>
            </w:r>
          </w:p>
          <w:p w14:paraId="0DFE5D21"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b/>
                <w:bCs/>
                <w:sz w:val="18"/>
                <w:szCs w:val="18"/>
                <w:lang w:eastAsia="es-MX"/>
              </w:rPr>
              <w:t>Overall Objective:</w:t>
            </w:r>
            <w:r w:rsidRPr="00F91404">
              <w:rPr>
                <w:rFonts w:eastAsia="Times New Roman" w:cstheme="minorHAnsi"/>
                <w:sz w:val="18"/>
                <w:szCs w:val="18"/>
                <w:lang w:eastAsia="es-MX"/>
              </w:rPr>
              <w:br/>
              <w:t>Establish a certified and demand-secured hydrogen market anchored in the power sector, accelerating decarbonisation while strengthening energy security through diversified supply chains.</w:t>
            </w:r>
          </w:p>
          <w:p w14:paraId="72477F65" w14:textId="77777777" w:rsidR="00F91404" w:rsidRPr="00F91404" w:rsidRDefault="00F91404" w:rsidP="00BD1985">
            <w:pPr>
              <w:spacing w:after="0"/>
              <w:rPr>
                <w:rFonts w:eastAsia="Times New Roman" w:cstheme="minorHAnsi"/>
                <w:sz w:val="18"/>
                <w:szCs w:val="18"/>
                <w:lang w:eastAsia="es-MX"/>
              </w:rPr>
            </w:pPr>
            <w:r w:rsidRPr="00F91404">
              <w:rPr>
                <w:rFonts w:eastAsia="Times New Roman" w:cstheme="minorHAnsi"/>
                <w:sz w:val="18"/>
                <w:szCs w:val="18"/>
                <w:lang w:eastAsia="es-MX"/>
              </w:rPr>
              <w:t>Implementation has progressed from legislative adoption toward structured demand creation mechanisms, long-term power contracts and coordinated development of import and distribution infrastructure.</w:t>
            </w:r>
          </w:p>
          <w:p w14:paraId="3BEF3FAD" w14:textId="77777777" w:rsidR="00F91404" w:rsidRPr="00F91404" w:rsidRDefault="00F91404" w:rsidP="00BD1985">
            <w:pPr>
              <w:spacing w:after="0"/>
              <w:rPr>
                <w:rFonts w:eastAsia="Times New Roman" w:cstheme="minorHAnsi"/>
                <w:sz w:val="18"/>
                <w:szCs w:val="18"/>
                <w:lang w:eastAsia="es-MX"/>
              </w:rPr>
            </w:pPr>
          </w:p>
        </w:tc>
        <w:tc>
          <w:tcPr>
            <w:tcW w:w="76" w:type="pct"/>
            <w:vAlign w:val="center"/>
          </w:tcPr>
          <w:p w14:paraId="646A9E98" w14:textId="77777777" w:rsidR="00F91404" w:rsidRPr="00F91404" w:rsidRDefault="00F91404" w:rsidP="00BD1985">
            <w:pPr>
              <w:spacing w:after="0"/>
              <w:rPr>
                <w:rFonts w:eastAsia="Times New Roman" w:cstheme="minorHAnsi"/>
                <w:sz w:val="20"/>
                <w:szCs w:val="20"/>
                <w:lang w:eastAsia="es-MX"/>
              </w:rPr>
            </w:pPr>
          </w:p>
        </w:tc>
      </w:tr>
      <w:tr w:rsidR="00F91404" w:rsidRPr="00F91404" w14:paraId="3EB224C6" w14:textId="77777777" w:rsidTr="00BD1985">
        <w:trPr>
          <w:trHeight w:val="401"/>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675803E" w14:textId="77777777" w:rsidR="00F91404" w:rsidRPr="00F91404" w:rsidRDefault="00F91404" w:rsidP="00BD1985">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Key Stakeholders</w:t>
            </w:r>
          </w:p>
        </w:tc>
        <w:tc>
          <w:tcPr>
            <w:tcW w:w="76" w:type="pct"/>
            <w:vAlign w:val="center"/>
          </w:tcPr>
          <w:p w14:paraId="54C5AE07" w14:textId="77777777" w:rsidR="00F91404" w:rsidRPr="00F91404" w:rsidRDefault="00F91404" w:rsidP="00BD1985">
            <w:pPr>
              <w:spacing w:after="0"/>
              <w:rPr>
                <w:rFonts w:eastAsia="Times New Roman" w:cstheme="minorHAnsi"/>
                <w:sz w:val="20"/>
                <w:szCs w:val="20"/>
                <w:lang w:eastAsia="es-MX"/>
              </w:rPr>
            </w:pPr>
          </w:p>
        </w:tc>
      </w:tr>
      <w:tr w:rsidR="00F91404" w:rsidRPr="00F91404" w14:paraId="0EA1A70D" w14:textId="77777777" w:rsidTr="00BD1985">
        <w:trPr>
          <w:trHeight w:val="2797"/>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3399ECA"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Hydrogen governance and implementation involve coordinated public and industrial actors:</w:t>
            </w:r>
          </w:p>
          <w:p w14:paraId="648D8392" w14:textId="77777777" w:rsidR="00F91404" w:rsidRPr="00F91404" w:rsidRDefault="00F91404" w:rsidP="00BD1985">
            <w:pPr>
              <w:numPr>
                <w:ilvl w:val="0"/>
                <w:numId w:val="52"/>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Ministry of Trade, Industry and Energy (MOTIE) – strategic leadership and policy design</w:t>
            </w:r>
          </w:p>
          <w:p w14:paraId="23FD703A" w14:textId="77777777" w:rsidR="00F91404" w:rsidRPr="00F91404" w:rsidRDefault="00F91404" w:rsidP="00BD1985">
            <w:pPr>
              <w:numPr>
                <w:ilvl w:val="0"/>
                <w:numId w:val="52"/>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Korea Electric Power Corporation (KEPCO) – integration into the electricity market</w:t>
            </w:r>
          </w:p>
          <w:p w14:paraId="4CC72208" w14:textId="77777777" w:rsidR="00F91404" w:rsidRPr="00F91404" w:rsidRDefault="00F91404" w:rsidP="00BD1985">
            <w:pPr>
              <w:numPr>
                <w:ilvl w:val="0"/>
                <w:numId w:val="52"/>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Korea Gas Corporation (KOGAS) – import, storage and distribution infrastructure</w:t>
            </w:r>
          </w:p>
          <w:p w14:paraId="0E717942" w14:textId="77777777" w:rsidR="00F91404" w:rsidRPr="00F91404" w:rsidRDefault="00F91404" w:rsidP="00BD1985">
            <w:pPr>
              <w:numPr>
                <w:ilvl w:val="0"/>
                <w:numId w:val="52"/>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Major industrial conglomerates and utilities – project developers and offtakers</w:t>
            </w:r>
          </w:p>
          <w:p w14:paraId="32457F1E" w14:textId="77777777" w:rsidR="00F91404" w:rsidRPr="00F91404" w:rsidRDefault="00F91404" w:rsidP="00BD1985">
            <w:pPr>
              <w:numPr>
                <w:ilvl w:val="0"/>
                <w:numId w:val="52"/>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Financial institutions and public funding bodies</w:t>
            </w:r>
          </w:p>
          <w:p w14:paraId="2F2A66D5" w14:textId="77777777" w:rsidR="00F91404" w:rsidRPr="00F91404" w:rsidRDefault="00F91404" w:rsidP="00BD1985">
            <w:pPr>
              <w:numPr>
                <w:ilvl w:val="0"/>
                <w:numId w:val="52"/>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Port authorities and logistics operators</w:t>
            </w:r>
          </w:p>
          <w:p w14:paraId="08B7D76B" w14:textId="77777777" w:rsidR="00F91404" w:rsidRPr="00F91404" w:rsidRDefault="00F91404" w:rsidP="00BD1985">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Coordination occurs under the Hydrogen Economy Promotion and Hydrogen Safety Management Act, which formalises institutional roles and certification requirements.</w:t>
            </w:r>
          </w:p>
          <w:p w14:paraId="0FCFD5C7" w14:textId="77777777" w:rsidR="00F91404" w:rsidRPr="00F91404" w:rsidRDefault="00F91404" w:rsidP="00BD1985">
            <w:pPr>
              <w:spacing w:after="0"/>
              <w:rPr>
                <w:rFonts w:eastAsia="Times New Roman" w:cstheme="minorHAnsi"/>
                <w:sz w:val="18"/>
                <w:szCs w:val="18"/>
                <w:lang w:eastAsia="es-MX"/>
              </w:rPr>
            </w:pPr>
          </w:p>
        </w:tc>
        <w:tc>
          <w:tcPr>
            <w:tcW w:w="76" w:type="pct"/>
            <w:vAlign w:val="center"/>
          </w:tcPr>
          <w:p w14:paraId="3348E5B9" w14:textId="77777777" w:rsidR="00F91404" w:rsidRPr="00F91404" w:rsidRDefault="00F91404" w:rsidP="00BD1985">
            <w:pPr>
              <w:spacing w:after="0"/>
              <w:rPr>
                <w:rFonts w:eastAsia="Times New Roman" w:cstheme="minorHAnsi"/>
                <w:sz w:val="20"/>
                <w:szCs w:val="20"/>
                <w:lang w:eastAsia="es-MX"/>
              </w:rPr>
            </w:pPr>
          </w:p>
        </w:tc>
      </w:tr>
      <w:tr w:rsidR="00F91404" w:rsidRPr="00F91404" w14:paraId="2A06315E" w14:textId="77777777" w:rsidTr="00BD1985">
        <w:trPr>
          <w:trHeight w:val="437"/>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6A926414" w14:textId="77777777" w:rsidR="00F91404" w:rsidRPr="00F91404" w:rsidRDefault="00F91404" w:rsidP="00BD1985">
            <w:pPr>
              <w:spacing w:after="0"/>
              <w:jc w:val="center"/>
              <w:rPr>
                <w:rFonts w:eastAsia="Times New Roman" w:cstheme="minorHAnsi"/>
                <w:sz w:val="18"/>
                <w:szCs w:val="18"/>
                <w:lang w:eastAsia="es-MX"/>
              </w:rPr>
            </w:pPr>
            <w:r w:rsidRPr="00F91404">
              <w:rPr>
                <w:rFonts w:eastAsia="Times New Roman" w:cstheme="minorHAnsi"/>
                <w:b/>
                <w:color w:val="FFFFFF"/>
                <w:sz w:val="18"/>
                <w:szCs w:val="18"/>
                <w:lang w:eastAsia="es-MX"/>
              </w:rPr>
              <w:t>Impact on project development:</w:t>
            </w:r>
          </w:p>
        </w:tc>
        <w:tc>
          <w:tcPr>
            <w:tcW w:w="76" w:type="pct"/>
            <w:vAlign w:val="center"/>
          </w:tcPr>
          <w:p w14:paraId="0D16429D" w14:textId="77777777" w:rsidR="00F91404" w:rsidRPr="00F91404" w:rsidRDefault="00F91404" w:rsidP="00BD1985">
            <w:pPr>
              <w:spacing w:after="0"/>
              <w:rPr>
                <w:rFonts w:eastAsia="Times New Roman" w:cstheme="minorHAnsi"/>
                <w:sz w:val="20"/>
                <w:szCs w:val="20"/>
                <w:lang w:eastAsia="es-MX"/>
              </w:rPr>
            </w:pPr>
          </w:p>
        </w:tc>
      </w:tr>
      <w:tr w:rsidR="00F91404" w:rsidRPr="00F91404" w14:paraId="378D9F4E" w14:textId="77777777" w:rsidTr="00BD1985">
        <w:trPr>
          <w:trHeight w:val="3184"/>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4AA09CB1" w14:textId="77777777" w:rsidR="00F91404" w:rsidRPr="00F91404" w:rsidRDefault="00F91404" w:rsidP="00BD1985">
            <w:pPr>
              <w:pStyle w:val="ListParagraph"/>
              <w:numPr>
                <w:ilvl w:val="0"/>
                <w:numId w:val="35"/>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 xml:space="preserve">Power-sector demand auctions </w:t>
            </w:r>
            <w:r w:rsidRPr="00F91404">
              <w:rPr>
                <w:rFonts w:eastAsia="Times New Roman" w:cstheme="minorHAnsi"/>
                <w:sz w:val="18"/>
                <w:szCs w:val="18"/>
                <w:lang w:eastAsia="es-MX"/>
              </w:rPr>
              <w:t>have created a stable offtake pathway for clean hydrogen and ammonia</w:t>
            </w:r>
          </w:p>
          <w:p w14:paraId="0EA81F53" w14:textId="77777777" w:rsidR="00F91404" w:rsidRPr="00F91404" w:rsidRDefault="00F91404" w:rsidP="00BD1985">
            <w:pPr>
              <w:pStyle w:val="ListParagraph"/>
              <w:numPr>
                <w:ilvl w:val="0"/>
                <w:numId w:val="35"/>
              </w:numPr>
              <w:spacing w:before="240" w:after="140" w:line="276" w:lineRule="auto"/>
              <w:rPr>
                <w:rFonts w:eastAsia="Times New Roman" w:cstheme="minorHAnsi"/>
                <w:b/>
                <w:sz w:val="18"/>
                <w:szCs w:val="18"/>
                <w:lang w:eastAsia="es-MX"/>
              </w:rPr>
            </w:pPr>
            <w:r w:rsidRPr="00F91404">
              <w:rPr>
                <w:rFonts w:eastAsia="Times New Roman" w:cstheme="minorHAnsi"/>
                <w:b/>
                <w:sz w:val="18"/>
                <w:szCs w:val="18"/>
                <w:lang w:eastAsia="es-MX"/>
              </w:rPr>
              <w:t xml:space="preserve">Long-term power contracts </w:t>
            </w:r>
            <w:r w:rsidRPr="00F91404">
              <w:rPr>
                <w:rFonts w:eastAsia="Times New Roman" w:cstheme="minorHAnsi"/>
                <w:sz w:val="18"/>
                <w:szCs w:val="18"/>
                <w:lang w:eastAsia="es-MX"/>
              </w:rPr>
              <w:t>have reduced revenue uncertainty for downstream users</w:t>
            </w:r>
          </w:p>
          <w:p w14:paraId="62C671A4" w14:textId="77777777" w:rsidR="00F91404" w:rsidRPr="00F91404" w:rsidRDefault="00F91404" w:rsidP="00BD1985">
            <w:pPr>
              <w:pStyle w:val="ListParagraph"/>
              <w:numPr>
                <w:ilvl w:val="0"/>
                <w:numId w:val="35"/>
              </w:numPr>
              <w:spacing w:before="240" w:after="140" w:line="276" w:lineRule="auto"/>
              <w:rPr>
                <w:rFonts w:eastAsia="Times New Roman" w:cstheme="minorHAnsi"/>
                <w:b/>
                <w:sz w:val="18"/>
                <w:szCs w:val="18"/>
                <w:lang w:eastAsia="es-MX"/>
              </w:rPr>
            </w:pPr>
            <w:r w:rsidRPr="00F91404">
              <w:rPr>
                <w:rFonts w:eastAsia="Times New Roman" w:cstheme="minorHAnsi"/>
                <w:b/>
                <w:sz w:val="18"/>
                <w:szCs w:val="18"/>
                <w:lang w:eastAsia="es-MX"/>
              </w:rPr>
              <w:t xml:space="preserve">Certification-linked eligibility </w:t>
            </w:r>
            <w:r w:rsidRPr="00F91404">
              <w:rPr>
                <w:rFonts w:eastAsia="Times New Roman" w:cstheme="minorHAnsi"/>
                <w:sz w:val="18"/>
                <w:szCs w:val="18"/>
                <w:lang w:eastAsia="es-MX"/>
              </w:rPr>
              <w:t>has aligned demand support with emissions performance</w:t>
            </w:r>
          </w:p>
          <w:p w14:paraId="72028D26" w14:textId="77777777" w:rsidR="00F91404" w:rsidRPr="00F91404" w:rsidRDefault="00F91404" w:rsidP="00BD1985">
            <w:pPr>
              <w:pStyle w:val="ListParagraph"/>
              <w:numPr>
                <w:ilvl w:val="0"/>
                <w:numId w:val="35"/>
              </w:numPr>
              <w:spacing w:before="240" w:after="140" w:line="276" w:lineRule="auto"/>
              <w:rPr>
                <w:rFonts w:eastAsia="Times New Roman" w:cstheme="minorHAnsi"/>
                <w:b/>
                <w:sz w:val="18"/>
                <w:szCs w:val="18"/>
                <w:lang w:eastAsia="es-MX"/>
              </w:rPr>
            </w:pPr>
            <w:r w:rsidRPr="00F91404">
              <w:rPr>
                <w:rFonts w:eastAsia="Times New Roman" w:cstheme="minorHAnsi"/>
                <w:b/>
                <w:sz w:val="18"/>
                <w:szCs w:val="18"/>
                <w:lang w:eastAsia="es-MX"/>
              </w:rPr>
              <w:t xml:space="preserve">Import-oriented infrastructure </w:t>
            </w:r>
            <w:r w:rsidRPr="00F91404">
              <w:rPr>
                <w:rFonts w:eastAsia="Times New Roman" w:cstheme="minorHAnsi"/>
                <w:sz w:val="18"/>
                <w:szCs w:val="18"/>
                <w:lang w:eastAsia="es-MX"/>
              </w:rPr>
              <w:t>has enabled deployment without reliance on domestic production scale</w:t>
            </w:r>
          </w:p>
          <w:p w14:paraId="66EDCC36" w14:textId="77777777" w:rsidR="00F91404" w:rsidRPr="00F91404" w:rsidRDefault="00F91404" w:rsidP="00BD1985">
            <w:pPr>
              <w:pStyle w:val="ListParagraph"/>
              <w:numPr>
                <w:ilvl w:val="0"/>
                <w:numId w:val="35"/>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Policy outcomes reflect a</w:t>
            </w:r>
            <w:r w:rsidRPr="00F91404">
              <w:rPr>
                <w:rFonts w:eastAsia="Times New Roman" w:cstheme="minorHAnsi"/>
                <w:b/>
                <w:sz w:val="18"/>
                <w:szCs w:val="18"/>
                <w:lang w:eastAsia="es-MX"/>
              </w:rPr>
              <w:t xml:space="preserve"> demand-secured hydrogen ecosystem</w:t>
            </w:r>
            <w:r w:rsidRPr="00F91404">
              <w:rPr>
                <w:rFonts w:eastAsia="Times New Roman" w:cstheme="minorHAnsi"/>
                <w:sz w:val="18"/>
                <w:szCs w:val="18"/>
                <w:lang w:eastAsia="es-MX"/>
              </w:rPr>
              <w:t>, anchored in electricity generation</w:t>
            </w:r>
          </w:p>
          <w:p w14:paraId="4BC0128D" w14:textId="77777777" w:rsidR="00F91404" w:rsidRPr="00F91404" w:rsidRDefault="00F91404" w:rsidP="00BD1985">
            <w:pPr>
              <w:spacing w:after="0"/>
              <w:jc w:val="center"/>
              <w:rPr>
                <w:rFonts w:eastAsia="Times New Roman" w:cstheme="minorHAnsi"/>
                <w:sz w:val="18"/>
                <w:szCs w:val="18"/>
                <w:lang w:eastAsia="es-MX"/>
              </w:rPr>
            </w:pPr>
          </w:p>
        </w:tc>
        <w:tc>
          <w:tcPr>
            <w:tcW w:w="76" w:type="pct"/>
            <w:vAlign w:val="center"/>
          </w:tcPr>
          <w:p w14:paraId="22948A62" w14:textId="77777777" w:rsidR="00F91404" w:rsidRPr="00F91404" w:rsidRDefault="00F91404" w:rsidP="00BD1985">
            <w:pPr>
              <w:spacing w:after="0"/>
              <w:rPr>
                <w:rFonts w:eastAsia="Times New Roman" w:cstheme="minorHAnsi"/>
                <w:sz w:val="20"/>
                <w:szCs w:val="20"/>
                <w:lang w:eastAsia="es-MX"/>
              </w:rPr>
            </w:pPr>
          </w:p>
        </w:tc>
      </w:tr>
      <w:tr w:rsidR="00F91404" w:rsidRPr="00F91404" w14:paraId="1DBA1BF6" w14:textId="77777777" w:rsidTr="00BD1985">
        <w:trPr>
          <w:trHeight w:val="400"/>
          <w:jc w:val="center"/>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4F2534AC" w14:textId="77777777" w:rsidR="00F91404" w:rsidRPr="00F91404" w:rsidRDefault="00F91404" w:rsidP="00BD1985">
            <w:pPr>
              <w:spacing w:after="0"/>
              <w:rPr>
                <w:rFonts w:eastAsia="Times New Roman" w:cstheme="min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c>
          <w:tcPr>
            <w:tcW w:w="76" w:type="pct"/>
            <w:vAlign w:val="center"/>
            <w:hideMark/>
          </w:tcPr>
          <w:p w14:paraId="6162934F" w14:textId="77777777" w:rsidR="00F91404" w:rsidRPr="00F91404" w:rsidRDefault="00F91404" w:rsidP="00BD1985">
            <w:pPr>
              <w:spacing w:after="0"/>
              <w:rPr>
                <w:rFonts w:eastAsia="Times New Roman" w:cstheme="minorHAnsi"/>
                <w:sz w:val="20"/>
                <w:szCs w:val="20"/>
                <w:lang w:eastAsia="es-MX"/>
              </w:rPr>
            </w:pPr>
          </w:p>
        </w:tc>
      </w:tr>
      <w:tr w:rsidR="00F91404" w:rsidRPr="00F91404" w14:paraId="3FA43FD7" w14:textId="77777777" w:rsidTr="00BD1985">
        <w:trPr>
          <w:trHeight w:val="1220"/>
          <w:jc w:val="center"/>
        </w:trPr>
        <w:tc>
          <w:tcPr>
            <w:tcW w:w="4924" w:type="pct"/>
            <w:gridSpan w:val="8"/>
            <w:vMerge w:val="restart"/>
            <w:tcBorders>
              <w:top w:val="single" w:sz="12" w:space="0" w:color="808080"/>
              <w:left w:val="single" w:sz="12" w:space="0" w:color="808080"/>
              <w:bottom w:val="single" w:sz="12" w:space="0" w:color="808080"/>
              <w:right w:val="single" w:sz="12" w:space="0" w:color="808080"/>
            </w:tcBorders>
            <w:vAlign w:val="center"/>
          </w:tcPr>
          <w:p w14:paraId="07CF732E" w14:textId="77777777" w:rsidR="00F91404" w:rsidRPr="00F91404" w:rsidRDefault="00F91404" w:rsidP="00BD1985">
            <w:pPr>
              <w:numPr>
                <w:ilvl w:val="0"/>
                <w:numId w:val="53"/>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Ministry of Trade, Industry and Energy (MOTIE):</w:t>
            </w:r>
            <w:r w:rsidRPr="00F91404">
              <w:rPr>
                <w:rFonts w:eastAsia="Times New Roman" w:cstheme="minorHAnsi"/>
                <w:b/>
                <w:color w:val="000000"/>
                <w:sz w:val="18"/>
                <w:szCs w:val="18"/>
                <w:lang w:eastAsia="es-MX"/>
              </w:rPr>
              <w:br/>
            </w:r>
            <w:hyperlink r:id="rId94" w:tgtFrame="_new" w:history="1">
              <w:r w:rsidRPr="00F91404">
                <w:rPr>
                  <w:rStyle w:val="Hyperlink"/>
                  <w:rFonts w:eastAsia="Times New Roman" w:cstheme="minorHAnsi"/>
                  <w:b/>
                  <w:szCs w:val="18"/>
                  <w:lang w:eastAsia="es-MX"/>
                </w:rPr>
                <w:t>https://www.motie.go.kr</w:t>
              </w:r>
            </w:hyperlink>
          </w:p>
          <w:p w14:paraId="3C8251C6" w14:textId="77777777" w:rsidR="00F91404" w:rsidRPr="00F91404" w:rsidRDefault="00F91404" w:rsidP="00BD1985">
            <w:pPr>
              <w:numPr>
                <w:ilvl w:val="0"/>
                <w:numId w:val="53"/>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Hydrogen Economy Promotion and Hydrogen Safety Management Act information (MOTIE):</w:t>
            </w:r>
            <w:r w:rsidRPr="00F91404">
              <w:rPr>
                <w:rFonts w:eastAsia="Times New Roman" w:cstheme="minorHAnsi"/>
                <w:b/>
                <w:color w:val="000000"/>
                <w:sz w:val="18"/>
                <w:szCs w:val="18"/>
                <w:lang w:eastAsia="es-MX"/>
              </w:rPr>
              <w:br/>
            </w:r>
            <w:hyperlink r:id="rId95" w:tgtFrame="_new" w:history="1">
              <w:r w:rsidRPr="00F91404">
                <w:rPr>
                  <w:rStyle w:val="Hyperlink"/>
                  <w:rFonts w:eastAsia="Times New Roman" w:cstheme="minorHAnsi"/>
                  <w:b/>
                  <w:szCs w:val="18"/>
                  <w:lang w:eastAsia="es-MX"/>
                </w:rPr>
                <w:t>https://www.motie.go.kr</w:t>
              </w:r>
            </w:hyperlink>
          </w:p>
          <w:p w14:paraId="6E87FD42" w14:textId="77777777" w:rsidR="00F91404" w:rsidRPr="00F91404" w:rsidRDefault="00F91404" w:rsidP="00BD1985">
            <w:pPr>
              <w:numPr>
                <w:ilvl w:val="0"/>
                <w:numId w:val="53"/>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Korea Electric Power Corporation (KEPCO):</w:t>
            </w:r>
            <w:r w:rsidRPr="00F91404">
              <w:rPr>
                <w:rFonts w:eastAsia="Times New Roman" w:cstheme="minorHAnsi"/>
                <w:b/>
                <w:color w:val="000000"/>
                <w:sz w:val="18"/>
                <w:szCs w:val="18"/>
                <w:lang w:eastAsia="es-MX"/>
              </w:rPr>
              <w:br/>
            </w:r>
            <w:hyperlink r:id="rId96" w:tgtFrame="_new" w:history="1">
              <w:r w:rsidRPr="00F91404">
                <w:rPr>
                  <w:rStyle w:val="Hyperlink"/>
                  <w:rFonts w:eastAsia="Times New Roman" w:cstheme="minorHAnsi"/>
                  <w:b/>
                  <w:szCs w:val="18"/>
                  <w:lang w:eastAsia="es-MX"/>
                </w:rPr>
                <w:t>https://home.kepco.co.kr</w:t>
              </w:r>
            </w:hyperlink>
          </w:p>
          <w:p w14:paraId="720BAF21" w14:textId="77777777" w:rsidR="00F91404" w:rsidRPr="00F91404" w:rsidRDefault="00F91404" w:rsidP="00BD1985">
            <w:pPr>
              <w:numPr>
                <w:ilvl w:val="0"/>
                <w:numId w:val="53"/>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Korea Gas Corporation (KOGAS):</w:t>
            </w:r>
            <w:r w:rsidRPr="00F91404">
              <w:rPr>
                <w:rFonts w:eastAsia="Times New Roman" w:cstheme="minorHAnsi"/>
                <w:b/>
                <w:color w:val="000000"/>
                <w:sz w:val="18"/>
                <w:szCs w:val="18"/>
                <w:lang w:eastAsia="es-MX"/>
              </w:rPr>
              <w:br/>
            </w:r>
            <w:hyperlink r:id="rId97" w:tgtFrame="_new" w:history="1">
              <w:r w:rsidRPr="00F91404">
                <w:rPr>
                  <w:rStyle w:val="Hyperlink"/>
                  <w:rFonts w:eastAsia="Times New Roman" w:cstheme="minorHAnsi"/>
                  <w:b/>
                  <w:szCs w:val="18"/>
                  <w:lang w:eastAsia="es-MX"/>
                </w:rPr>
                <w:t>https://www.kogas.or.kr</w:t>
              </w:r>
            </w:hyperlink>
          </w:p>
          <w:p w14:paraId="454A8364" w14:textId="77777777" w:rsidR="00F91404" w:rsidRPr="00F91404" w:rsidRDefault="00F91404" w:rsidP="00BD1985">
            <w:pPr>
              <w:spacing w:after="0"/>
              <w:rPr>
                <w:rFonts w:eastAsia="Times New Roman" w:cstheme="minorHAnsi"/>
                <w:b/>
                <w:color w:val="000000"/>
                <w:sz w:val="18"/>
                <w:szCs w:val="18"/>
                <w:lang w:eastAsia="es-MX"/>
              </w:rPr>
            </w:pPr>
          </w:p>
        </w:tc>
        <w:tc>
          <w:tcPr>
            <w:tcW w:w="76" w:type="pct"/>
            <w:vAlign w:val="center"/>
            <w:hideMark/>
          </w:tcPr>
          <w:p w14:paraId="569F7DA6" w14:textId="77777777" w:rsidR="00F91404" w:rsidRPr="00F91404" w:rsidRDefault="00F91404" w:rsidP="00BD1985">
            <w:pPr>
              <w:spacing w:after="0"/>
              <w:rPr>
                <w:rFonts w:eastAsia="Times New Roman" w:cstheme="minorHAnsi"/>
                <w:sz w:val="20"/>
                <w:szCs w:val="20"/>
                <w:lang w:eastAsia="es-MX"/>
              </w:rPr>
            </w:pPr>
          </w:p>
        </w:tc>
      </w:tr>
      <w:tr w:rsidR="00F91404" w:rsidRPr="00F91404" w14:paraId="7281D0FB" w14:textId="77777777" w:rsidTr="00BD1985">
        <w:trPr>
          <w:trHeight w:val="920"/>
          <w:jc w:val="center"/>
        </w:trPr>
        <w:tc>
          <w:tcPr>
            <w:tcW w:w="4924" w:type="pct"/>
            <w:gridSpan w:val="8"/>
            <w:vMerge/>
            <w:tcBorders>
              <w:top w:val="single" w:sz="12" w:space="0" w:color="808080"/>
              <w:left w:val="single" w:sz="12" w:space="0" w:color="808080"/>
              <w:bottom w:val="single" w:sz="12" w:space="0" w:color="808080"/>
              <w:right w:val="single" w:sz="12" w:space="0" w:color="808080"/>
            </w:tcBorders>
            <w:vAlign w:val="center"/>
          </w:tcPr>
          <w:p w14:paraId="1B320296" w14:textId="77777777" w:rsidR="00F91404" w:rsidRPr="00F91404" w:rsidRDefault="00F91404" w:rsidP="00BD1985">
            <w:pPr>
              <w:spacing w:after="0"/>
              <w:rPr>
                <w:rFonts w:eastAsia="Times New Roman" w:cstheme="minorHAnsi"/>
                <w:b/>
                <w:bCs/>
                <w:color w:val="000000"/>
                <w:sz w:val="20"/>
                <w:szCs w:val="20"/>
                <w:lang w:eastAsia="es-MX"/>
              </w:rPr>
            </w:pPr>
          </w:p>
        </w:tc>
        <w:tc>
          <w:tcPr>
            <w:tcW w:w="76" w:type="pct"/>
            <w:tcBorders>
              <w:top w:val="nil"/>
              <w:left w:val="nil"/>
              <w:bottom w:val="nil"/>
              <w:right w:val="nil"/>
            </w:tcBorders>
            <w:noWrap/>
            <w:vAlign w:val="bottom"/>
            <w:hideMark/>
          </w:tcPr>
          <w:p w14:paraId="6899E20C" w14:textId="77777777" w:rsidR="00F91404" w:rsidRPr="00F91404" w:rsidRDefault="00F91404" w:rsidP="00BD1985">
            <w:pPr>
              <w:spacing w:after="0"/>
              <w:jc w:val="center"/>
              <w:rPr>
                <w:rFonts w:eastAsia="Times New Roman" w:cstheme="minorHAnsi"/>
                <w:b/>
                <w:bCs/>
                <w:color w:val="000000"/>
                <w:sz w:val="20"/>
                <w:szCs w:val="20"/>
                <w:lang w:eastAsia="es-MX"/>
              </w:rPr>
            </w:pPr>
          </w:p>
        </w:tc>
      </w:tr>
    </w:tbl>
    <w:p w14:paraId="793B193A" w14:textId="77777777" w:rsidR="00F91404" w:rsidRPr="00F91404" w:rsidRDefault="00F91404" w:rsidP="00F91404">
      <w:pPr>
        <w:rPr>
          <w:rFonts w:cstheme="minorHAnsi"/>
          <w:sz w:val="20"/>
          <w:szCs w:val="20"/>
        </w:rPr>
      </w:pPr>
    </w:p>
    <w:p w14:paraId="6B43C393" w14:textId="77777777" w:rsidR="00F91404" w:rsidRPr="006A7AFC" w:rsidRDefault="00F91404" w:rsidP="00F91404">
      <w:pPr>
        <w:spacing w:after="0"/>
        <w:rPr>
          <w:rFonts w:cstheme="minorHAnsi"/>
          <w:b/>
          <w:bCs/>
          <w:i/>
          <w:iCs/>
          <w:sz w:val="16"/>
          <w:szCs w:val="16"/>
        </w:rPr>
      </w:pPr>
      <w:r w:rsidRPr="006A7AFC">
        <w:rPr>
          <w:rFonts w:cstheme="minorHAnsi"/>
          <w:b/>
          <w:bCs/>
          <w:i/>
          <w:iCs/>
          <w:sz w:val="16"/>
          <w:szCs w:val="16"/>
        </w:rPr>
        <w:t>Source</w:t>
      </w:r>
      <w:r w:rsidRPr="00F91404">
        <w:rPr>
          <w:rFonts w:cstheme="minorHAnsi"/>
          <w:b/>
          <w:bCs/>
          <w:i/>
          <w:iCs/>
          <w:sz w:val="16"/>
          <w:szCs w:val="16"/>
        </w:rPr>
        <w:t>s:</w:t>
      </w:r>
    </w:p>
    <w:p w14:paraId="21B2C1D6" w14:textId="77777777" w:rsidR="00F91404" w:rsidRPr="006A7AFC" w:rsidRDefault="00F91404" w:rsidP="00F91404">
      <w:pPr>
        <w:spacing w:after="0"/>
        <w:rPr>
          <w:rFonts w:cstheme="minorHAnsi"/>
          <w:i/>
          <w:iCs/>
          <w:sz w:val="14"/>
          <w:szCs w:val="14"/>
        </w:rPr>
      </w:pPr>
      <w:r w:rsidRPr="006A7AFC">
        <w:rPr>
          <w:rFonts w:cstheme="minorHAnsi"/>
          <w:b/>
          <w:bCs/>
          <w:i/>
          <w:iCs/>
          <w:sz w:val="14"/>
          <w:szCs w:val="14"/>
        </w:rPr>
        <w:t>Strategy, roadmap and governance framework</w:t>
      </w:r>
    </w:p>
    <w:p w14:paraId="61C2E3B7" w14:textId="77777777" w:rsidR="00F91404" w:rsidRPr="006A7AFC" w:rsidRDefault="00F91404" w:rsidP="00F91404">
      <w:pPr>
        <w:numPr>
          <w:ilvl w:val="0"/>
          <w:numId w:val="117"/>
        </w:numPr>
        <w:spacing w:after="0"/>
        <w:rPr>
          <w:rFonts w:cstheme="minorHAnsi"/>
          <w:i/>
          <w:iCs/>
          <w:sz w:val="14"/>
          <w:szCs w:val="14"/>
        </w:rPr>
      </w:pPr>
      <w:r w:rsidRPr="006A7AFC">
        <w:rPr>
          <w:rFonts w:cstheme="minorHAnsi"/>
          <w:i/>
          <w:iCs/>
          <w:sz w:val="14"/>
          <w:szCs w:val="14"/>
        </w:rPr>
        <w:t>Government of the Republic of Korea (2019), Hydrogen Economy Roadmap.</w:t>
      </w:r>
    </w:p>
    <w:p w14:paraId="0CA6CD6F" w14:textId="77777777" w:rsidR="00F91404" w:rsidRPr="006A7AFC" w:rsidRDefault="00F91404" w:rsidP="00F91404">
      <w:pPr>
        <w:numPr>
          <w:ilvl w:val="0"/>
          <w:numId w:val="117"/>
        </w:numPr>
        <w:spacing w:after="0"/>
        <w:rPr>
          <w:rFonts w:cstheme="minorHAnsi"/>
          <w:i/>
          <w:iCs/>
          <w:sz w:val="14"/>
          <w:szCs w:val="14"/>
        </w:rPr>
      </w:pPr>
      <w:r w:rsidRPr="006A7AFC">
        <w:rPr>
          <w:rFonts w:cstheme="minorHAnsi"/>
          <w:i/>
          <w:iCs/>
          <w:sz w:val="14"/>
          <w:szCs w:val="14"/>
        </w:rPr>
        <w:t>Ministry of Trade, Industry and Energy (MOTIE), Hydrogen Policy and Implementation Plans.</w:t>
      </w:r>
    </w:p>
    <w:p w14:paraId="7623C8A7" w14:textId="77777777" w:rsidR="00F91404" w:rsidRPr="006A7AFC" w:rsidRDefault="00F91404" w:rsidP="00F91404">
      <w:pPr>
        <w:numPr>
          <w:ilvl w:val="0"/>
          <w:numId w:val="117"/>
        </w:numPr>
        <w:spacing w:after="0"/>
        <w:rPr>
          <w:rFonts w:cstheme="minorHAnsi"/>
          <w:i/>
          <w:iCs/>
          <w:sz w:val="14"/>
          <w:szCs w:val="14"/>
        </w:rPr>
      </w:pPr>
      <w:r w:rsidRPr="006A7AFC">
        <w:rPr>
          <w:rFonts w:cstheme="minorHAnsi"/>
          <w:i/>
          <w:iCs/>
          <w:sz w:val="14"/>
          <w:szCs w:val="14"/>
        </w:rPr>
        <w:t>Hydrogen Economy Promotion and Hydrogen Safety Management Act (official legal text and amendments).</w:t>
      </w:r>
    </w:p>
    <w:p w14:paraId="55D5AAC0" w14:textId="77777777" w:rsidR="00F91404" w:rsidRPr="006A7AFC" w:rsidRDefault="00F91404" w:rsidP="00F91404">
      <w:pPr>
        <w:spacing w:after="0"/>
        <w:rPr>
          <w:rFonts w:cstheme="minorHAnsi"/>
          <w:i/>
          <w:iCs/>
          <w:sz w:val="14"/>
          <w:szCs w:val="14"/>
        </w:rPr>
      </w:pPr>
      <w:r w:rsidRPr="006A7AFC">
        <w:rPr>
          <w:rFonts w:cstheme="minorHAnsi"/>
          <w:b/>
          <w:bCs/>
          <w:i/>
          <w:iCs/>
          <w:sz w:val="14"/>
          <w:szCs w:val="14"/>
        </w:rPr>
        <w:t>Market and revenue support mechanisms (CHPS)</w:t>
      </w:r>
    </w:p>
    <w:p w14:paraId="010459CD" w14:textId="77777777" w:rsidR="00F91404" w:rsidRPr="006A7AFC" w:rsidRDefault="00F91404" w:rsidP="00F91404">
      <w:pPr>
        <w:numPr>
          <w:ilvl w:val="0"/>
          <w:numId w:val="118"/>
        </w:numPr>
        <w:spacing w:after="0"/>
        <w:rPr>
          <w:rFonts w:cstheme="minorHAnsi"/>
          <w:i/>
          <w:iCs/>
          <w:sz w:val="14"/>
          <w:szCs w:val="14"/>
        </w:rPr>
      </w:pPr>
      <w:r w:rsidRPr="006A7AFC">
        <w:rPr>
          <w:rFonts w:cstheme="minorHAnsi"/>
          <w:i/>
          <w:iCs/>
          <w:sz w:val="14"/>
          <w:szCs w:val="14"/>
        </w:rPr>
        <w:t>MOTIE (2022–2023), Clean Hydrogen Power Generation Bidding Market (CHPS) framework documentation.</w:t>
      </w:r>
    </w:p>
    <w:p w14:paraId="1EF5BCFB" w14:textId="77777777" w:rsidR="00F91404" w:rsidRPr="006A7AFC" w:rsidRDefault="00F91404" w:rsidP="00F91404">
      <w:pPr>
        <w:numPr>
          <w:ilvl w:val="0"/>
          <w:numId w:val="118"/>
        </w:numPr>
        <w:spacing w:after="0"/>
        <w:rPr>
          <w:rFonts w:cstheme="minorHAnsi"/>
          <w:i/>
          <w:iCs/>
          <w:sz w:val="14"/>
          <w:szCs w:val="14"/>
        </w:rPr>
      </w:pPr>
      <w:r w:rsidRPr="006A7AFC">
        <w:rPr>
          <w:rFonts w:cstheme="minorHAnsi"/>
          <w:i/>
          <w:iCs/>
          <w:sz w:val="14"/>
          <w:szCs w:val="14"/>
        </w:rPr>
        <w:t>Korea Power Exchange (KPX), Clean hydrogen power procurement guidelines and auction rules.</w:t>
      </w:r>
    </w:p>
    <w:p w14:paraId="545FA2CE" w14:textId="77777777" w:rsidR="00F91404" w:rsidRPr="006A7AFC" w:rsidRDefault="00F91404" w:rsidP="00F91404">
      <w:pPr>
        <w:numPr>
          <w:ilvl w:val="0"/>
          <w:numId w:val="118"/>
        </w:numPr>
        <w:spacing w:after="0"/>
        <w:rPr>
          <w:rFonts w:cstheme="minorHAnsi"/>
          <w:i/>
          <w:iCs/>
          <w:sz w:val="14"/>
          <w:szCs w:val="14"/>
        </w:rPr>
      </w:pPr>
      <w:r w:rsidRPr="006A7AFC">
        <w:rPr>
          <w:rFonts w:cstheme="minorHAnsi"/>
          <w:i/>
          <w:iCs/>
          <w:sz w:val="14"/>
          <w:szCs w:val="14"/>
        </w:rPr>
        <w:t>Government publications on hydrogen and ammonia co-firing support schemes.</w:t>
      </w:r>
    </w:p>
    <w:p w14:paraId="73F591F6" w14:textId="77777777" w:rsidR="00F91404" w:rsidRPr="006A7AFC" w:rsidRDefault="00F91404" w:rsidP="00F91404">
      <w:pPr>
        <w:spacing w:after="0"/>
        <w:rPr>
          <w:rFonts w:cstheme="minorHAnsi"/>
          <w:i/>
          <w:iCs/>
          <w:sz w:val="14"/>
          <w:szCs w:val="14"/>
        </w:rPr>
      </w:pPr>
      <w:r w:rsidRPr="006A7AFC">
        <w:rPr>
          <w:rFonts w:cstheme="minorHAnsi"/>
          <w:b/>
          <w:bCs/>
          <w:i/>
          <w:iCs/>
          <w:sz w:val="14"/>
          <w:szCs w:val="14"/>
        </w:rPr>
        <w:t>Direct public funding and infrastructure support</w:t>
      </w:r>
    </w:p>
    <w:p w14:paraId="2EED79B6" w14:textId="77777777" w:rsidR="00F91404" w:rsidRPr="006A7AFC" w:rsidRDefault="00F91404" w:rsidP="00F91404">
      <w:pPr>
        <w:numPr>
          <w:ilvl w:val="0"/>
          <w:numId w:val="119"/>
        </w:numPr>
        <w:spacing w:after="0"/>
        <w:rPr>
          <w:rFonts w:cstheme="minorHAnsi"/>
          <w:i/>
          <w:iCs/>
          <w:sz w:val="14"/>
          <w:szCs w:val="14"/>
        </w:rPr>
      </w:pPr>
      <w:r w:rsidRPr="006A7AFC">
        <w:rPr>
          <w:rFonts w:cstheme="minorHAnsi"/>
          <w:i/>
          <w:iCs/>
          <w:sz w:val="14"/>
          <w:szCs w:val="14"/>
        </w:rPr>
        <w:t>MOTIE funding programmes for hydrogen supply chains and electrolyser deployment.</w:t>
      </w:r>
    </w:p>
    <w:p w14:paraId="676311F5" w14:textId="77777777" w:rsidR="00F91404" w:rsidRPr="006A7AFC" w:rsidRDefault="00F91404" w:rsidP="00F91404">
      <w:pPr>
        <w:numPr>
          <w:ilvl w:val="0"/>
          <w:numId w:val="119"/>
        </w:numPr>
        <w:spacing w:after="0"/>
        <w:rPr>
          <w:rFonts w:cstheme="minorHAnsi"/>
          <w:i/>
          <w:iCs/>
          <w:sz w:val="14"/>
          <w:szCs w:val="14"/>
        </w:rPr>
      </w:pPr>
      <w:r w:rsidRPr="006A7AFC">
        <w:rPr>
          <w:rFonts w:cstheme="minorHAnsi"/>
          <w:i/>
          <w:iCs/>
          <w:sz w:val="14"/>
          <w:szCs w:val="14"/>
        </w:rPr>
        <w:t>Korea Gas Corporation (KOGAS), Hydrogen import terminal and storage infrastructure documentation.</w:t>
      </w:r>
    </w:p>
    <w:p w14:paraId="5EB4D1D9" w14:textId="77777777" w:rsidR="00F91404" w:rsidRPr="006A7AFC" w:rsidRDefault="00F91404" w:rsidP="00F91404">
      <w:pPr>
        <w:numPr>
          <w:ilvl w:val="0"/>
          <w:numId w:val="119"/>
        </w:numPr>
        <w:spacing w:after="0"/>
        <w:rPr>
          <w:rFonts w:cstheme="minorHAnsi"/>
          <w:i/>
          <w:iCs/>
          <w:sz w:val="14"/>
          <w:szCs w:val="14"/>
        </w:rPr>
      </w:pPr>
      <w:r w:rsidRPr="006A7AFC">
        <w:rPr>
          <w:rFonts w:cstheme="minorHAnsi"/>
          <w:i/>
          <w:iCs/>
          <w:sz w:val="14"/>
          <w:szCs w:val="14"/>
        </w:rPr>
        <w:t>Korea Electric Power Corporation (KEPCO), Hydrogen-based power generation programme materials.</w:t>
      </w:r>
    </w:p>
    <w:p w14:paraId="59E3569C" w14:textId="77777777" w:rsidR="00F91404" w:rsidRPr="006A7AFC" w:rsidRDefault="00F91404" w:rsidP="00F91404">
      <w:pPr>
        <w:spacing w:after="0"/>
        <w:rPr>
          <w:rFonts w:cstheme="minorHAnsi"/>
          <w:i/>
          <w:iCs/>
          <w:sz w:val="14"/>
          <w:szCs w:val="14"/>
        </w:rPr>
      </w:pPr>
      <w:r w:rsidRPr="006A7AFC">
        <w:rPr>
          <w:rFonts w:cstheme="minorHAnsi"/>
          <w:b/>
          <w:bCs/>
          <w:i/>
          <w:iCs/>
          <w:sz w:val="14"/>
          <w:szCs w:val="14"/>
        </w:rPr>
        <w:t>Standards and certification frameworks</w:t>
      </w:r>
    </w:p>
    <w:p w14:paraId="017E8447" w14:textId="77777777" w:rsidR="00F91404" w:rsidRPr="006A7AFC" w:rsidRDefault="00F91404" w:rsidP="00F91404">
      <w:pPr>
        <w:numPr>
          <w:ilvl w:val="0"/>
          <w:numId w:val="120"/>
        </w:numPr>
        <w:spacing w:after="0"/>
        <w:rPr>
          <w:rFonts w:cstheme="minorHAnsi"/>
          <w:i/>
          <w:iCs/>
          <w:sz w:val="14"/>
          <w:szCs w:val="14"/>
        </w:rPr>
      </w:pPr>
      <w:r w:rsidRPr="006A7AFC">
        <w:rPr>
          <w:rFonts w:cstheme="minorHAnsi"/>
          <w:i/>
          <w:iCs/>
          <w:sz w:val="14"/>
          <w:szCs w:val="14"/>
        </w:rPr>
        <w:t>Government of Korea, Clean Hydrogen Certification Framework under the Hydrogen Economy Act.</w:t>
      </w:r>
    </w:p>
    <w:p w14:paraId="6DA556F4" w14:textId="77777777" w:rsidR="00F91404" w:rsidRPr="006A7AFC" w:rsidRDefault="00F91404" w:rsidP="00F91404">
      <w:pPr>
        <w:numPr>
          <w:ilvl w:val="0"/>
          <w:numId w:val="120"/>
        </w:numPr>
        <w:spacing w:after="0"/>
        <w:rPr>
          <w:rFonts w:cstheme="minorHAnsi"/>
          <w:i/>
          <w:iCs/>
          <w:sz w:val="14"/>
          <w:szCs w:val="14"/>
        </w:rPr>
      </w:pPr>
      <w:r w:rsidRPr="006A7AFC">
        <w:rPr>
          <w:rFonts w:cstheme="minorHAnsi"/>
          <w:i/>
          <w:iCs/>
          <w:sz w:val="14"/>
          <w:szCs w:val="14"/>
        </w:rPr>
        <w:t>MOTIE technical and emissions criteria for hydrogen eligibility under CHPS and related schemes.</w:t>
      </w:r>
    </w:p>
    <w:p w14:paraId="7B05D390" w14:textId="77777777" w:rsidR="00F91404" w:rsidRPr="006A7AFC" w:rsidRDefault="00F91404" w:rsidP="00F91404">
      <w:pPr>
        <w:spacing w:after="0"/>
        <w:rPr>
          <w:rFonts w:cstheme="minorHAnsi"/>
          <w:i/>
          <w:iCs/>
          <w:sz w:val="14"/>
          <w:szCs w:val="14"/>
        </w:rPr>
      </w:pPr>
      <w:r w:rsidRPr="006A7AFC">
        <w:rPr>
          <w:rFonts w:cstheme="minorHAnsi"/>
          <w:b/>
          <w:bCs/>
          <w:i/>
          <w:iCs/>
          <w:sz w:val="14"/>
          <w:szCs w:val="14"/>
        </w:rPr>
        <w:t>Infrastructure enabling policies (import, storage and distribution)</w:t>
      </w:r>
    </w:p>
    <w:p w14:paraId="29922989" w14:textId="77777777" w:rsidR="00F91404" w:rsidRPr="006A7AFC" w:rsidRDefault="00F91404" w:rsidP="00F91404">
      <w:pPr>
        <w:numPr>
          <w:ilvl w:val="0"/>
          <w:numId w:val="121"/>
        </w:numPr>
        <w:spacing w:after="0"/>
        <w:rPr>
          <w:rFonts w:cstheme="minorHAnsi"/>
          <w:i/>
          <w:iCs/>
          <w:sz w:val="14"/>
          <w:szCs w:val="14"/>
        </w:rPr>
      </w:pPr>
      <w:r w:rsidRPr="006A7AFC">
        <w:rPr>
          <w:rFonts w:cstheme="minorHAnsi"/>
          <w:i/>
          <w:iCs/>
          <w:sz w:val="14"/>
          <w:szCs w:val="14"/>
        </w:rPr>
        <w:t>KOGAS documentation on LNG terminal adaptation and hydrogen import infrastructure.</w:t>
      </w:r>
    </w:p>
    <w:p w14:paraId="675027BC" w14:textId="77777777" w:rsidR="00F91404" w:rsidRPr="006A7AFC" w:rsidRDefault="00F91404" w:rsidP="00F91404">
      <w:pPr>
        <w:numPr>
          <w:ilvl w:val="0"/>
          <w:numId w:val="121"/>
        </w:numPr>
        <w:spacing w:after="0"/>
        <w:rPr>
          <w:rFonts w:cstheme="minorHAnsi"/>
          <w:i/>
          <w:iCs/>
          <w:sz w:val="14"/>
          <w:szCs w:val="14"/>
        </w:rPr>
      </w:pPr>
      <w:r w:rsidRPr="006A7AFC">
        <w:rPr>
          <w:rFonts w:cstheme="minorHAnsi"/>
          <w:i/>
          <w:iCs/>
          <w:sz w:val="14"/>
          <w:szCs w:val="14"/>
        </w:rPr>
        <w:t>Government publications on Hydrogen Cities programme and downstream distribution systems.</w:t>
      </w:r>
    </w:p>
    <w:p w14:paraId="091155A1" w14:textId="77777777" w:rsidR="00F91404" w:rsidRPr="006A7AFC" w:rsidRDefault="00F91404" w:rsidP="00F91404">
      <w:pPr>
        <w:spacing w:after="0"/>
        <w:rPr>
          <w:rFonts w:cstheme="minorHAnsi"/>
          <w:i/>
          <w:iCs/>
          <w:sz w:val="14"/>
          <w:szCs w:val="14"/>
        </w:rPr>
      </w:pPr>
      <w:r w:rsidRPr="006A7AFC">
        <w:rPr>
          <w:rFonts w:cstheme="minorHAnsi"/>
          <w:b/>
          <w:bCs/>
          <w:i/>
          <w:iCs/>
          <w:sz w:val="14"/>
          <w:szCs w:val="14"/>
        </w:rPr>
        <w:t>Production capacity / pipeline and deployment status</w:t>
      </w:r>
    </w:p>
    <w:p w14:paraId="790EBE67" w14:textId="77777777" w:rsidR="00F91404" w:rsidRPr="006A7AFC" w:rsidRDefault="00F91404" w:rsidP="00F91404">
      <w:pPr>
        <w:numPr>
          <w:ilvl w:val="0"/>
          <w:numId w:val="122"/>
        </w:numPr>
        <w:spacing w:after="0"/>
        <w:rPr>
          <w:rFonts w:cstheme="minorHAnsi"/>
          <w:i/>
          <w:iCs/>
          <w:sz w:val="14"/>
          <w:szCs w:val="14"/>
        </w:rPr>
      </w:pPr>
      <w:r w:rsidRPr="006A7AFC">
        <w:rPr>
          <w:rFonts w:cstheme="minorHAnsi"/>
          <w:i/>
          <w:iCs/>
          <w:sz w:val="14"/>
          <w:szCs w:val="14"/>
        </w:rPr>
        <w:t>International Energy Agency (IEA) (2023), Global Hydrogen Review 2023, Paris: IEA.</w:t>
      </w:r>
    </w:p>
    <w:p w14:paraId="45AB691B" w14:textId="77777777" w:rsidR="00F91404" w:rsidRPr="006A7AFC" w:rsidRDefault="00F91404" w:rsidP="00F91404">
      <w:pPr>
        <w:numPr>
          <w:ilvl w:val="0"/>
          <w:numId w:val="122"/>
        </w:numPr>
        <w:spacing w:after="0"/>
        <w:rPr>
          <w:rFonts w:cstheme="minorHAnsi"/>
          <w:i/>
          <w:iCs/>
          <w:sz w:val="14"/>
          <w:szCs w:val="14"/>
        </w:rPr>
      </w:pPr>
      <w:r w:rsidRPr="006A7AFC">
        <w:rPr>
          <w:rFonts w:cstheme="minorHAnsi"/>
          <w:i/>
          <w:iCs/>
          <w:sz w:val="14"/>
          <w:szCs w:val="14"/>
        </w:rPr>
        <w:t>IEA Hydrogen Projects Database (latest available edition).</w:t>
      </w:r>
    </w:p>
    <w:p w14:paraId="5BEC1C08" w14:textId="77777777" w:rsidR="00F91404" w:rsidRPr="006A7AFC" w:rsidRDefault="00F91404" w:rsidP="00F91404">
      <w:pPr>
        <w:numPr>
          <w:ilvl w:val="0"/>
          <w:numId w:val="122"/>
        </w:numPr>
        <w:spacing w:after="0"/>
        <w:rPr>
          <w:rFonts w:cstheme="minorHAnsi"/>
          <w:i/>
          <w:iCs/>
          <w:sz w:val="14"/>
          <w:szCs w:val="14"/>
        </w:rPr>
      </w:pPr>
      <w:r w:rsidRPr="006A7AFC">
        <w:rPr>
          <w:rFonts w:cstheme="minorHAnsi"/>
          <w:i/>
          <w:iCs/>
          <w:sz w:val="14"/>
          <w:szCs w:val="14"/>
        </w:rPr>
        <w:t>Public announcements of hydrogen power generation and ammonia co-firing projects.</w:t>
      </w:r>
    </w:p>
    <w:p w14:paraId="0BFC35FA" w14:textId="77777777" w:rsidR="00F91404" w:rsidRPr="006A7AFC" w:rsidRDefault="00F91404" w:rsidP="00F91404">
      <w:pPr>
        <w:spacing w:after="0"/>
        <w:rPr>
          <w:rFonts w:cstheme="minorHAnsi"/>
          <w:i/>
          <w:iCs/>
          <w:sz w:val="14"/>
          <w:szCs w:val="14"/>
        </w:rPr>
      </w:pPr>
      <w:r w:rsidRPr="006A7AFC">
        <w:rPr>
          <w:rFonts w:cstheme="minorHAnsi"/>
          <w:b/>
          <w:bCs/>
          <w:i/>
          <w:iCs/>
          <w:sz w:val="14"/>
          <w:szCs w:val="14"/>
        </w:rPr>
        <w:t>Renewable energy context</w:t>
      </w:r>
    </w:p>
    <w:p w14:paraId="65AF6DD7" w14:textId="77777777" w:rsidR="00F91404" w:rsidRPr="006A7AFC" w:rsidRDefault="00F91404" w:rsidP="00F91404">
      <w:pPr>
        <w:numPr>
          <w:ilvl w:val="0"/>
          <w:numId w:val="123"/>
        </w:numPr>
        <w:spacing w:after="0"/>
        <w:rPr>
          <w:rFonts w:cstheme="minorHAnsi"/>
          <w:i/>
          <w:iCs/>
          <w:sz w:val="14"/>
          <w:szCs w:val="14"/>
        </w:rPr>
      </w:pPr>
      <w:r w:rsidRPr="006A7AFC">
        <w:rPr>
          <w:rFonts w:cstheme="minorHAnsi"/>
          <w:i/>
          <w:iCs/>
          <w:sz w:val="14"/>
          <w:szCs w:val="14"/>
        </w:rPr>
        <w:t>Korea Energy Agency (KEA), Renewable Energy Statistics.</w:t>
      </w:r>
    </w:p>
    <w:p w14:paraId="1615CFE3" w14:textId="77777777" w:rsidR="00F91404" w:rsidRPr="006A7AFC" w:rsidRDefault="00F91404" w:rsidP="00F91404">
      <w:pPr>
        <w:numPr>
          <w:ilvl w:val="0"/>
          <w:numId w:val="123"/>
        </w:numPr>
        <w:spacing w:after="0"/>
        <w:rPr>
          <w:rFonts w:cstheme="minorHAnsi"/>
          <w:sz w:val="20"/>
          <w:szCs w:val="20"/>
        </w:rPr>
      </w:pPr>
      <w:r w:rsidRPr="006A7AFC">
        <w:rPr>
          <w:rFonts w:cstheme="minorHAnsi"/>
          <w:i/>
          <w:iCs/>
          <w:sz w:val="14"/>
          <w:szCs w:val="14"/>
        </w:rPr>
        <w:t>MOTIE Electricity Supply Plans and renewable deployment statistics.</w:t>
      </w:r>
    </w:p>
    <w:p w14:paraId="5DD4F7D4" w14:textId="77777777" w:rsidR="00F91404" w:rsidRPr="00F91404" w:rsidRDefault="00F91404" w:rsidP="00F91404">
      <w:pPr>
        <w:rPr>
          <w:rFonts w:cstheme="minorHAnsi"/>
          <w:sz w:val="20"/>
          <w:szCs w:val="20"/>
        </w:rPr>
      </w:pPr>
    </w:p>
    <w:p w14:paraId="4E345AFA" w14:textId="77777777" w:rsidR="00F91404" w:rsidRPr="00F91404" w:rsidRDefault="00F91404" w:rsidP="00F91404">
      <w:pPr>
        <w:rPr>
          <w:rFonts w:cstheme="minorHAnsi"/>
          <w:sz w:val="20"/>
          <w:szCs w:val="20"/>
        </w:rPr>
      </w:pPr>
    </w:p>
    <w:p w14:paraId="33CBF130" w14:textId="77777777" w:rsidR="00F91404" w:rsidRDefault="00F91404" w:rsidP="00D31919">
      <w:pPr>
        <w:rPr>
          <w:b/>
          <w:bCs/>
          <w:color w:val="004C43" w:themeColor="accent1"/>
          <w:sz w:val="24"/>
          <w:szCs w:val="24"/>
        </w:rPr>
      </w:pPr>
    </w:p>
    <w:p w14:paraId="7300D0A3" w14:textId="77777777" w:rsidR="00F91404" w:rsidRDefault="00F91404" w:rsidP="00D31919">
      <w:pPr>
        <w:rPr>
          <w:b/>
          <w:bCs/>
          <w:color w:val="004C43" w:themeColor="accent1"/>
          <w:sz w:val="24"/>
          <w:szCs w:val="24"/>
        </w:rPr>
      </w:pPr>
    </w:p>
    <w:p w14:paraId="1C4775E9" w14:textId="77777777" w:rsidR="00F91404" w:rsidRDefault="00F91404" w:rsidP="00D31919">
      <w:pPr>
        <w:rPr>
          <w:b/>
          <w:bCs/>
          <w:color w:val="004C43" w:themeColor="accent1"/>
          <w:sz w:val="24"/>
          <w:szCs w:val="24"/>
        </w:rPr>
      </w:pPr>
    </w:p>
    <w:p w14:paraId="51CE7193" w14:textId="77777777" w:rsidR="00F91404" w:rsidRDefault="00F91404" w:rsidP="00D31919">
      <w:pPr>
        <w:rPr>
          <w:b/>
          <w:bCs/>
          <w:color w:val="004C43" w:themeColor="accent1"/>
          <w:sz w:val="24"/>
          <w:szCs w:val="24"/>
        </w:rPr>
      </w:pPr>
    </w:p>
    <w:p w14:paraId="19607E8A" w14:textId="77777777" w:rsidR="00F91404" w:rsidRDefault="00F91404" w:rsidP="00D31919">
      <w:pPr>
        <w:rPr>
          <w:b/>
          <w:bCs/>
          <w:color w:val="004C43" w:themeColor="accent1"/>
          <w:sz w:val="24"/>
          <w:szCs w:val="24"/>
        </w:rPr>
      </w:pPr>
    </w:p>
    <w:p w14:paraId="1A44B160" w14:textId="77777777" w:rsidR="00F91404" w:rsidRDefault="00F91404" w:rsidP="00D31919">
      <w:pPr>
        <w:rPr>
          <w:b/>
          <w:bCs/>
          <w:color w:val="004C43" w:themeColor="accent1"/>
          <w:sz w:val="24"/>
          <w:szCs w:val="24"/>
        </w:rPr>
      </w:pPr>
    </w:p>
    <w:p w14:paraId="617D6696" w14:textId="77777777" w:rsidR="00F91404" w:rsidRDefault="00F91404" w:rsidP="00D31919">
      <w:pPr>
        <w:rPr>
          <w:b/>
          <w:bCs/>
          <w:color w:val="004C43" w:themeColor="accent1"/>
          <w:sz w:val="24"/>
          <w:szCs w:val="24"/>
        </w:rPr>
      </w:pPr>
    </w:p>
    <w:p w14:paraId="71970C9D" w14:textId="77777777" w:rsidR="00F91404" w:rsidRDefault="00F91404" w:rsidP="00D31919">
      <w:pPr>
        <w:rPr>
          <w:b/>
          <w:bCs/>
          <w:color w:val="004C43" w:themeColor="accent1"/>
          <w:sz w:val="24"/>
          <w:szCs w:val="24"/>
        </w:rPr>
      </w:pPr>
    </w:p>
    <w:p w14:paraId="099D3B23" w14:textId="77777777" w:rsidR="00F91404" w:rsidRDefault="00F91404" w:rsidP="00D31919">
      <w:pPr>
        <w:rPr>
          <w:b/>
          <w:bCs/>
          <w:color w:val="004C43" w:themeColor="accent1"/>
          <w:sz w:val="24"/>
          <w:szCs w:val="24"/>
        </w:rPr>
      </w:pPr>
    </w:p>
    <w:p w14:paraId="0446CCE2" w14:textId="4ACBDAFF" w:rsidR="00074C04" w:rsidRPr="00F91404" w:rsidRDefault="00074C04" w:rsidP="00D31919">
      <w:pPr>
        <w:rPr>
          <w:b/>
          <w:bCs/>
          <w:i/>
          <w:iCs/>
          <w:color w:val="004C43" w:themeColor="accent1"/>
          <w:sz w:val="24"/>
          <w:szCs w:val="24"/>
        </w:rPr>
      </w:pPr>
      <w:r w:rsidRPr="00F91404">
        <w:rPr>
          <w:b/>
          <w:bCs/>
          <w:color w:val="004C43" w:themeColor="accent1"/>
          <w:sz w:val="24"/>
          <w:szCs w:val="24"/>
        </w:rPr>
        <w:lastRenderedPageBreak/>
        <w:t>United Kingdom</w:t>
      </w:r>
    </w:p>
    <w:p w14:paraId="2B2EBDC3" w14:textId="77777777" w:rsidR="00074C04" w:rsidRPr="00F91404" w:rsidRDefault="00074C04" w:rsidP="00074C04">
      <w:pPr>
        <w:rPr>
          <w:rFonts w:cstheme="minorHAnsi"/>
          <w:sz w:val="20"/>
          <w:szCs w:val="20"/>
        </w:rPr>
      </w:pPr>
      <w:r w:rsidRPr="00F91404">
        <w:rPr>
          <w:rFonts w:cstheme="minorHAnsi"/>
          <w:sz w:val="20"/>
          <w:szCs w:val="20"/>
        </w:rPr>
        <w:t>The United Kingdom applies a centrally designed governance framework combined with cluster-based delivery. The Department for Energy Security &amp; Net Zero (DESNZ) leads hydrogen strategy, market design and eligibility rules. Ofgem regulates gas and electricity networks, including future hydrogen adaptation, while the Low Carbon Contracts Company (LCCC) acts as the contractual counterparty for hydrogen revenue support mechanisms.</w:t>
      </w:r>
    </w:p>
    <w:p w14:paraId="3B32BC81" w14:textId="77777777" w:rsidR="00074C04" w:rsidRPr="00F91404" w:rsidRDefault="00074C04" w:rsidP="00074C04">
      <w:pPr>
        <w:rPr>
          <w:rFonts w:cstheme="minorHAnsi"/>
          <w:sz w:val="20"/>
          <w:szCs w:val="20"/>
        </w:rPr>
      </w:pPr>
      <w:r w:rsidRPr="00F91404">
        <w:rPr>
          <w:rFonts w:cstheme="minorHAnsi"/>
          <w:sz w:val="20"/>
          <w:szCs w:val="20"/>
        </w:rPr>
        <w:t>Legal clarity is provided through the UK Low Carbon Hydrogen Standard, which defines emissions thresholds and eligibility for support. Deployment is organised through designated industrial clusters, with coordination across devolved administrations. This structure positions the UK as a scaling market, emphasising standardised contracts and replicable project pathways.</w:t>
      </w:r>
    </w:p>
    <w:tbl>
      <w:tblPr>
        <w:tblW w:w="5000" w:type="pct"/>
        <w:tblCellMar>
          <w:top w:w="15" w:type="dxa"/>
          <w:left w:w="70" w:type="dxa"/>
          <w:right w:w="70" w:type="dxa"/>
        </w:tblCellMar>
        <w:tblLook w:val="04A0" w:firstRow="1" w:lastRow="0" w:firstColumn="1" w:lastColumn="0" w:noHBand="0" w:noVBand="1"/>
      </w:tblPr>
      <w:tblGrid>
        <w:gridCol w:w="1977"/>
        <w:gridCol w:w="434"/>
        <w:gridCol w:w="1434"/>
        <w:gridCol w:w="892"/>
        <w:gridCol w:w="976"/>
        <w:gridCol w:w="1349"/>
        <w:gridCol w:w="523"/>
        <w:gridCol w:w="1878"/>
        <w:gridCol w:w="146"/>
      </w:tblGrid>
      <w:tr w:rsidR="00074C04" w:rsidRPr="00F91404" w14:paraId="192554C7" w14:textId="77777777" w:rsidTr="00816A15">
        <w:trPr>
          <w:gridAfter w:val="1"/>
          <w:wAfter w:w="76" w:type="pct"/>
          <w:trHeight w:val="1060"/>
        </w:trPr>
        <w:tc>
          <w:tcPr>
            <w:tcW w:w="1029" w:type="pct"/>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24767276"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w:t>
            </w:r>
          </w:p>
          <w:p w14:paraId="6F11EB49"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capacity </w:t>
            </w:r>
          </w:p>
          <w:p w14:paraId="1D7C483B"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Operational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72"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43EBCAE3"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Green Hydrogen production </w:t>
            </w:r>
            <w:r w:rsidRPr="00F91404">
              <w:rPr>
                <w:rFonts w:eastAsia="Times New Roman" w:cstheme="minorHAnsi"/>
                <w:b/>
                <w:bCs/>
                <w:color w:val="FFFFFF" w:themeColor="background1"/>
                <w:sz w:val="18"/>
                <w:szCs w:val="18"/>
                <w:lang w:eastAsia="es-MX"/>
              </w:rPr>
              <w:br/>
            </w:r>
            <w:r w:rsidRPr="00F91404">
              <w:rPr>
                <w:rFonts w:eastAsia="Times New Roman" w:cstheme="minorHAnsi"/>
                <w:b/>
                <w:color w:val="FFFFFF" w:themeColor="background1"/>
                <w:sz w:val="18"/>
                <w:szCs w:val="18"/>
                <w:lang w:eastAsia="es-MX"/>
              </w:rPr>
              <w:t xml:space="preserve">capacity Planned </w:t>
            </w:r>
            <w:r w:rsidRPr="00F91404">
              <w:rPr>
                <w:rFonts w:eastAsia="Times New Roman" w:cstheme="minorHAnsi"/>
                <w:b/>
                <w:color w:val="FFFFFF" w:themeColor="background1"/>
                <w:sz w:val="18"/>
                <w:szCs w:val="18"/>
                <w:lang w:eastAsia="es-MX"/>
              </w:rPr>
              <w:br/>
              <w:t>(kt H</w:t>
            </w:r>
            <w:r w:rsidRPr="00F91404">
              <w:rPr>
                <w:rFonts w:ascii="Cambria Math" w:eastAsia="Times New Roman" w:hAnsi="Cambria Math" w:cs="Cambria Math"/>
                <w:b/>
                <w:color w:val="FFFFFF" w:themeColor="background1"/>
                <w:sz w:val="18"/>
                <w:szCs w:val="18"/>
                <w:lang w:eastAsia="es-MX"/>
              </w:rPr>
              <w:t>₂</w:t>
            </w:r>
            <w:r w:rsidRPr="00F91404">
              <w:rPr>
                <w:rFonts w:eastAsia="Times New Roman" w:cstheme="minorHAnsi"/>
                <w:b/>
                <w:color w:val="FFFFFF" w:themeColor="background1"/>
                <w:sz w:val="18"/>
                <w:szCs w:val="18"/>
                <w:lang w:eastAsia="es-MX"/>
              </w:rPr>
              <w:t>/y)</w:t>
            </w:r>
          </w:p>
        </w:tc>
        <w:tc>
          <w:tcPr>
            <w:tcW w:w="972"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47D33CEF"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Hydrogen pipelines </w:t>
            </w:r>
            <w:r w:rsidRPr="00F91404">
              <w:rPr>
                <w:rFonts w:eastAsia="Times New Roman" w:cstheme="minorHAnsi"/>
                <w:b/>
                <w:color w:val="FFFFFF" w:themeColor="background1"/>
                <w:sz w:val="18"/>
                <w:szCs w:val="18"/>
                <w:lang w:eastAsia="es-MX"/>
              </w:rPr>
              <w:br/>
              <w:t>(km)</w:t>
            </w:r>
          </w:p>
        </w:tc>
        <w:tc>
          <w:tcPr>
            <w:tcW w:w="974" w:type="pct"/>
            <w:gridSpan w:val="2"/>
            <w:tcBorders>
              <w:top w:val="single" w:sz="12" w:space="0" w:color="808080"/>
              <w:left w:val="nil"/>
              <w:bottom w:val="single" w:sz="12" w:space="0" w:color="808080"/>
              <w:right w:val="single" w:sz="12" w:space="0" w:color="808080"/>
            </w:tcBorders>
            <w:shd w:val="clear" w:color="auto" w:fill="004C43" w:themeFill="accent1"/>
            <w:vAlign w:val="center"/>
            <w:hideMark/>
          </w:tcPr>
          <w:p w14:paraId="0DD567D5"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Ammonia port </w:t>
            </w:r>
          </w:p>
          <w:p w14:paraId="4EFD0309"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storage capacity </w:t>
            </w:r>
            <w:r w:rsidRPr="00F91404">
              <w:rPr>
                <w:rFonts w:eastAsia="Times New Roman" w:cstheme="minorHAnsi"/>
                <w:b/>
                <w:color w:val="FFFFFF" w:themeColor="background1"/>
                <w:sz w:val="18"/>
                <w:szCs w:val="18"/>
                <w:lang w:eastAsia="es-MX"/>
              </w:rPr>
              <w:br/>
              <w:t>(Thousand tonnes)</w:t>
            </w:r>
          </w:p>
        </w:tc>
        <w:tc>
          <w:tcPr>
            <w:tcW w:w="977" w:type="pct"/>
            <w:tcBorders>
              <w:top w:val="single" w:sz="12" w:space="0" w:color="808080"/>
              <w:left w:val="nil"/>
              <w:bottom w:val="single" w:sz="12" w:space="0" w:color="808080"/>
              <w:right w:val="single" w:sz="12" w:space="0" w:color="808080"/>
            </w:tcBorders>
            <w:shd w:val="clear" w:color="auto" w:fill="004C43" w:themeFill="accent1"/>
            <w:vAlign w:val="center"/>
            <w:hideMark/>
          </w:tcPr>
          <w:p w14:paraId="5B6A53FF"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Dominant market model</w:t>
            </w:r>
          </w:p>
        </w:tc>
      </w:tr>
      <w:tr w:rsidR="00074C04" w:rsidRPr="00F91404" w14:paraId="7AAE2921" w14:textId="77777777" w:rsidTr="00816A15">
        <w:trPr>
          <w:gridAfter w:val="1"/>
          <w:wAfter w:w="76" w:type="pct"/>
          <w:trHeight w:val="2740"/>
        </w:trPr>
        <w:tc>
          <w:tcPr>
            <w:tcW w:w="1029" w:type="pct"/>
            <w:tcBorders>
              <w:top w:val="nil"/>
              <w:left w:val="single" w:sz="12" w:space="0" w:color="808080"/>
              <w:bottom w:val="single" w:sz="12" w:space="0" w:color="808080"/>
              <w:right w:val="single" w:sz="12" w:space="0" w:color="808080"/>
            </w:tcBorders>
            <w:noWrap/>
            <w:vAlign w:val="center"/>
            <w:hideMark/>
          </w:tcPr>
          <w:p w14:paraId="4832026D"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5055634A" wp14:editId="66F88A7B">
                  <wp:extent cx="1129765" cy="1498683"/>
                  <wp:effectExtent l="0" t="0" r="0" b="0"/>
                  <wp:docPr id="71530940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139776" cy="1511963"/>
                          </a:xfrm>
                          <a:prstGeom prst="rect">
                            <a:avLst/>
                          </a:prstGeom>
                          <a:noFill/>
                        </pic:spPr>
                      </pic:pic>
                    </a:graphicData>
                  </a:graphic>
                </wp:inline>
              </w:drawing>
            </w:r>
          </w:p>
        </w:tc>
        <w:tc>
          <w:tcPr>
            <w:tcW w:w="972" w:type="pct"/>
            <w:gridSpan w:val="2"/>
            <w:tcBorders>
              <w:top w:val="nil"/>
              <w:left w:val="nil"/>
              <w:bottom w:val="single" w:sz="12" w:space="0" w:color="808080"/>
              <w:right w:val="single" w:sz="12" w:space="0" w:color="808080"/>
            </w:tcBorders>
            <w:noWrap/>
            <w:vAlign w:val="center"/>
            <w:hideMark/>
          </w:tcPr>
          <w:p w14:paraId="4193E8EA"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78FBA8A1" wp14:editId="091E3589">
                  <wp:extent cx="839935" cy="1317814"/>
                  <wp:effectExtent l="0" t="0" r="0" b="0"/>
                  <wp:docPr id="18603732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1315" r="26160" b="8196"/>
                          <a:stretch>
                            <a:fillRect/>
                          </a:stretch>
                        </pic:blipFill>
                        <pic:spPr bwMode="auto">
                          <a:xfrm>
                            <a:off x="0" y="0"/>
                            <a:ext cx="859467" cy="13484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72" w:type="pct"/>
            <w:gridSpan w:val="2"/>
            <w:tcBorders>
              <w:top w:val="nil"/>
              <w:left w:val="nil"/>
              <w:bottom w:val="single" w:sz="12" w:space="0" w:color="808080"/>
              <w:right w:val="single" w:sz="12" w:space="0" w:color="808080"/>
            </w:tcBorders>
            <w:noWrap/>
            <w:vAlign w:val="center"/>
            <w:hideMark/>
          </w:tcPr>
          <w:p w14:paraId="625B2043"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1,255</w:t>
            </w:r>
          </w:p>
          <w:p w14:paraId="5CF1A093"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bCs/>
                <w:noProof/>
                <w:color w:val="000000"/>
                <w:sz w:val="18"/>
                <w:szCs w:val="18"/>
                <w:lang w:eastAsia="es-MX"/>
              </w:rPr>
              <w:drawing>
                <wp:inline distT="0" distB="0" distL="0" distR="0" wp14:anchorId="1884BCC3" wp14:editId="374A38FE">
                  <wp:extent cx="1057275" cy="748613"/>
                  <wp:effectExtent l="0" t="0" r="0" b="0"/>
                  <wp:docPr id="13203922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084981" cy="768230"/>
                          </a:xfrm>
                          <a:prstGeom prst="rect">
                            <a:avLst/>
                          </a:prstGeom>
                          <a:noFill/>
                        </pic:spPr>
                      </pic:pic>
                    </a:graphicData>
                  </a:graphic>
                </wp:inline>
              </w:drawing>
            </w:r>
          </w:p>
        </w:tc>
        <w:tc>
          <w:tcPr>
            <w:tcW w:w="974" w:type="pct"/>
            <w:gridSpan w:val="2"/>
            <w:tcBorders>
              <w:top w:val="nil"/>
              <w:left w:val="nil"/>
              <w:bottom w:val="single" w:sz="12" w:space="0" w:color="808080"/>
              <w:right w:val="single" w:sz="12" w:space="0" w:color="808080"/>
            </w:tcBorders>
            <w:noWrap/>
            <w:vAlign w:val="center"/>
            <w:hideMark/>
          </w:tcPr>
          <w:p w14:paraId="3CAA195E"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69.8</w:t>
            </w:r>
          </w:p>
          <w:p w14:paraId="649C0F8D"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35792BEF" wp14:editId="04974A7E">
                  <wp:extent cx="818985" cy="955341"/>
                  <wp:effectExtent l="0" t="0" r="635" b="0"/>
                  <wp:docPr id="16889517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t="3234" b="5351"/>
                          <a:stretch>
                            <a:fillRect/>
                          </a:stretch>
                        </pic:blipFill>
                        <pic:spPr bwMode="auto">
                          <a:xfrm>
                            <a:off x="0" y="0"/>
                            <a:ext cx="838390" cy="977977"/>
                          </a:xfrm>
                          <a:prstGeom prst="rect">
                            <a:avLst/>
                          </a:prstGeom>
                          <a:noFill/>
                          <a:ln>
                            <a:noFill/>
                          </a:ln>
                          <a:extLst>
                            <a:ext uri="{53640926-AAD7-44D8-BBD7-CCE9431645EC}">
                              <a14:shadowObscured xmlns:a14="http://schemas.microsoft.com/office/drawing/2010/main"/>
                            </a:ext>
                          </a:extLst>
                        </pic:spPr>
                      </pic:pic>
                    </a:graphicData>
                  </a:graphic>
                </wp:inline>
              </w:drawing>
            </w:r>
          </w:p>
          <w:p w14:paraId="520D7D59" w14:textId="77777777" w:rsidR="00074C04" w:rsidRPr="00F91404" w:rsidRDefault="00074C04" w:rsidP="00843227">
            <w:pPr>
              <w:spacing w:after="0"/>
              <w:jc w:val="center"/>
              <w:rPr>
                <w:rFonts w:eastAsia="Times New Roman" w:cstheme="minorHAnsi"/>
                <w:b/>
                <w:color w:val="000000"/>
                <w:sz w:val="18"/>
                <w:szCs w:val="18"/>
                <w:lang w:eastAsia="es-MX"/>
              </w:rPr>
            </w:pPr>
          </w:p>
        </w:tc>
        <w:tc>
          <w:tcPr>
            <w:tcW w:w="977" w:type="pct"/>
            <w:tcBorders>
              <w:top w:val="nil"/>
              <w:left w:val="nil"/>
              <w:bottom w:val="single" w:sz="12" w:space="0" w:color="808080"/>
              <w:right w:val="single" w:sz="12" w:space="0" w:color="808080"/>
            </w:tcBorders>
            <w:vAlign w:val="center"/>
            <w:hideMark/>
          </w:tcPr>
          <w:p w14:paraId="6A8E9319" w14:textId="77777777" w:rsidR="00074C04" w:rsidRPr="00F91404" w:rsidRDefault="00074C04" w:rsidP="00843227">
            <w:pPr>
              <w:spacing w:after="0"/>
              <w:jc w:val="center"/>
              <w:rPr>
                <w:rFonts w:eastAsia="Times New Roman" w:cstheme="minorHAnsi"/>
                <w:b/>
                <w:color w:val="000000"/>
                <w:sz w:val="18"/>
                <w:szCs w:val="18"/>
                <w:lang w:eastAsia="es-MX"/>
              </w:rPr>
            </w:pPr>
            <w:r w:rsidRPr="00F91404">
              <w:rPr>
                <w:rFonts w:eastAsia="Times New Roman" w:cstheme="minorHAnsi"/>
                <w:b/>
                <w:noProof/>
                <w:color w:val="000000"/>
                <w:sz w:val="18"/>
                <w:szCs w:val="18"/>
                <w:lang w:eastAsia="es-MX"/>
              </w:rPr>
              <w:drawing>
                <wp:inline distT="0" distB="0" distL="0" distR="0" wp14:anchorId="3B116F02" wp14:editId="26DC7226">
                  <wp:extent cx="1064161" cy="1024325"/>
                  <wp:effectExtent l="0" t="0" r="3175" b="4445"/>
                  <wp:docPr id="10" name="Picture 9" descr="A screenshot of a computer&#10;&#10;AI-generated content may be incorrect.">
                    <a:extLst xmlns:a="http://schemas.openxmlformats.org/drawingml/2006/main">
                      <a:ext uri="{FF2B5EF4-FFF2-40B4-BE49-F238E27FC236}">
                        <a16:creationId xmlns:a16="http://schemas.microsoft.com/office/drawing/2014/main" id="{17D040A8-2531-432C-D068-2E1ADDF8AF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10;&#10;AI-generated content may be incorrect.">
                            <a:extLst>
                              <a:ext uri="{FF2B5EF4-FFF2-40B4-BE49-F238E27FC236}">
                                <a16:creationId xmlns:a16="http://schemas.microsoft.com/office/drawing/2014/main" id="{17D040A8-2531-432C-D068-2E1ADDF8AF0C}"/>
                              </a:ext>
                            </a:extLst>
                          </pic:cNvPr>
                          <pic:cNvPicPr>
                            <a:picLocks noChangeAspect="1"/>
                          </pic:cNvPicPr>
                        </pic:nvPicPr>
                        <pic:blipFill>
                          <a:blip r:embed="rId47"/>
                          <a:srcRect l="47600" t="12873" r="33294" b="59541"/>
                          <a:stretch>
                            <a:fillRect/>
                          </a:stretch>
                        </pic:blipFill>
                        <pic:spPr>
                          <a:xfrm>
                            <a:off x="0" y="0"/>
                            <a:ext cx="1093327" cy="1052399"/>
                          </a:xfrm>
                          <a:prstGeom prst="rect">
                            <a:avLst/>
                          </a:prstGeom>
                        </pic:spPr>
                      </pic:pic>
                    </a:graphicData>
                  </a:graphic>
                </wp:inline>
              </w:drawing>
            </w:r>
          </w:p>
        </w:tc>
      </w:tr>
      <w:tr w:rsidR="00074C04" w:rsidRPr="00F91404" w14:paraId="7AF19B3E" w14:textId="77777777" w:rsidTr="00816A15">
        <w:trPr>
          <w:gridAfter w:val="1"/>
          <w:wAfter w:w="76" w:type="pct"/>
          <w:trHeight w:val="590"/>
        </w:trPr>
        <w:tc>
          <w:tcPr>
            <w:tcW w:w="1255" w:type="pct"/>
            <w:gridSpan w:val="2"/>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066CCB48"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Overall Status</w:t>
            </w:r>
          </w:p>
        </w:tc>
        <w:tc>
          <w:tcPr>
            <w:tcW w:w="1210" w:type="pct"/>
            <w:gridSpan w:val="2"/>
            <w:tcBorders>
              <w:top w:val="nil"/>
              <w:left w:val="nil"/>
              <w:bottom w:val="single" w:sz="12" w:space="0" w:color="808080"/>
              <w:right w:val="single" w:sz="12" w:space="0" w:color="808080"/>
            </w:tcBorders>
            <w:shd w:val="clear" w:color="auto" w:fill="004C43" w:themeFill="accent1"/>
            <w:vAlign w:val="center"/>
            <w:hideMark/>
          </w:tcPr>
          <w:p w14:paraId="16BF390A"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Strategies</w:t>
            </w:r>
          </w:p>
        </w:tc>
        <w:tc>
          <w:tcPr>
            <w:tcW w:w="1210" w:type="pct"/>
            <w:gridSpan w:val="2"/>
            <w:tcBorders>
              <w:top w:val="nil"/>
              <w:left w:val="nil"/>
              <w:bottom w:val="single" w:sz="12" w:space="0" w:color="808080"/>
              <w:right w:val="single" w:sz="12" w:space="0" w:color="808080"/>
            </w:tcBorders>
            <w:shd w:val="clear" w:color="auto" w:fill="004C43" w:themeFill="accent1"/>
            <w:vAlign w:val="center"/>
            <w:hideMark/>
          </w:tcPr>
          <w:p w14:paraId="40FBEABB"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Road Map </w:t>
            </w:r>
          </w:p>
        </w:tc>
        <w:tc>
          <w:tcPr>
            <w:tcW w:w="1249" w:type="pct"/>
            <w:gridSpan w:val="2"/>
            <w:tcBorders>
              <w:top w:val="nil"/>
              <w:left w:val="nil"/>
              <w:bottom w:val="single" w:sz="12" w:space="0" w:color="808080"/>
              <w:right w:val="single" w:sz="12" w:space="0" w:color="808080"/>
            </w:tcBorders>
            <w:shd w:val="clear" w:color="auto" w:fill="004C43" w:themeFill="accent1"/>
            <w:vAlign w:val="center"/>
            <w:hideMark/>
          </w:tcPr>
          <w:p w14:paraId="1B68E752"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 xml:space="preserve">Implementation &amp; </w:t>
            </w:r>
          </w:p>
          <w:p w14:paraId="227EF109" w14:textId="77777777" w:rsidR="00074C04" w:rsidRPr="00F91404" w:rsidRDefault="00074C04" w:rsidP="00843227">
            <w:pPr>
              <w:spacing w:after="0"/>
              <w:jc w:val="center"/>
              <w:rPr>
                <w:rFonts w:eastAsia="Times New Roman" w:cstheme="minorHAnsi"/>
                <w:b/>
                <w:color w:val="FFFFFF" w:themeColor="background1"/>
                <w:sz w:val="18"/>
                <w:szCs w:val="18"/>
                <w:lang w:eastAsia="es-MX"/>
              </w:rPr>
            </w:pPr>
            <w:r w:rsidRPr="00F91404">
              <w:rPr>
                <w:rFonts w:eastAsia="Times New Roman" w:cstheme="minorHAnsi"/>
                <w:b/>
                <w:color w:val="FFFFFF" w:themeColor="background1"/>
                <w:sz w:val="18"/>
                <w:szCs w:val="18"/>
                <w:lang w:eastAsia="es-MX"/>
              </w:rPr>
              <w:t>Development Plans</w:t>
            </w:r>
          </w:p>
        </w:tc>
      </w:tr>
      <w:tr w:rsidR="00074C04" w:rsidRPr="00F91404" w14:paraId="25E0D5E5" w14:textId="77777777" w:rsidTr="00816A15">
        <w:trPr>
          <w:gridAfter w:val="1"/>
          <w:wAfter w:w="76" w:type="pct"/>
          <w:trHeight w:val="801"/>
        </w:trPr>
        <w:tc>
          <w:tcPr>
            <w:tcW w:w="1255" w:type="pct"/>
            <w:gridSpan w:val="2"/>
            <w:vMerge w:val="restart"/>
            <w:tcBorders>
              <w:top w:val="single" w:sz="12" w:space="0" w:color="808080"/>
              <w:left w:val="single" w:sz="12" w:space="0" w:color="808080"/>
              <w:bottom w:val="single" w:sz="12" w:space="0" w:color="808080"/>
              <w:right w:val="single" w:sz="12" w:space="0" w:color="808080"/>
            </w:tcBorders>
            <w:vAlign w:val="center"/>
            <w:hideMark/>
          </w:tcPr>
          <w:p w14:paraId="21DD8379"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Scaling hydrogen market with a revenue-contract and cluster-based deployment model</w:t>
            </w:r>
          </w:p>
          <w:p w14:paraId="4A098CCD"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Policy framework focused on reducing market risk and enabling investable projects</w:t>
            </w:r>
          </w:p>
          <w:p w14:paraId="6B6B7820"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Combines standardised revenue support with geographically concentrated industrial clusters</w:t>
            </w:r>
          </w:p>
          <w:p w14:paraId="14EC53CC"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b/>
                <w:color w:val="000000"/>
                <w:sz w:val="18"/>
                <w:szCs w:val="18"/>
                <w:lang w:eastAsia="es-MX"/>
              </w:rPr>
            </w:pPr>
            <w:r w:rsidRPr="00F91404">
              <w:rPr>
                <w:rFonts w:eastAsia="Times New Roman" w:cstheme="minorHAnsi"/>
                <w:sz w:val="18"/>
                <w:szCs w:val="18"/>
                <w:lang w:eastAsia="es-MX"/>
              </w:rPr>
              <w:t>Designed to support replicable project development, rather than one-off pilots</w:t>
            </w:r>
          </w:p>
        </w:tc>
        <w:tc>
          <w:tcPr>
            <w:tcW w:w="1210" w:type="pct"/>
            <w:gridSpan w:val="2"/>
            <w:vMerge w:val="restart"/>
            <w:tcBorders>
              <w:top w:val="nil"/>
              <w:left w:val="single" w:sz="12" w:space="0" w:color="808080"/>
              <w:bottom w:val="single" w:sz="12" w:space="0" w:color="808080"/>
              <w:right w:val="single" w:sz="12" w:space="0" w:color="808080"/>
            </w:tcBorders>
            <w:vAlign w:val="center"/>
            <w:hideMark/>
          </w:tcPr>
          <w:p w14:paraId="49576970"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Positions hydrogen as a key instrument for industrial decarbonisation</w:t>
            </w:r>
          </w:p>
          <w:p w14:paraId="3974CD99"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Deployment centred on defined regional industrial clusters linked to existing energy and industrial infrastructure</w:t>
            </w:r>
          </w:p>
          <w:p w14:paraId="51002D3D"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Prioritises early market creation and scale through standardised contractual frameworks</w:t>
            </w:r>
          </w:p>
          <w:p w14:paraId="0ED46204"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Aligns hydrogen deployment with net-zero targets and industrial decarbonisation priorities</w:t>
            </w:r>
          </w:p>
        </w:tc>
        <w:tc>
          <w:tcPr>
            <w:tcW w:w="1210" w:type="pct"/>
            <w:gridSpan w:val="2"/>
            <w:vMerge w:val="restart"/>
            <w:tcBorders>
              <w:top w:val="nil"/>
              <w:left w:val="single" w:sz="12" w:space="0" w:color="808080"/>
              <w:bottom w:val="single" w:sz="12" w:space="0" w:color="808080"/>
              <w:right w:val="single" w:sz="12" w:space="0" w:color="808080"/>
            </w:tcBorders>
            <w:vAlign w:val="center"/>
            <w:hideMark/>
          </w:tcPr>
          <w:p w14:paraId="04C0F9AA"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Strategy adoption (2021): UK Hydrogen Strategy establishes hydrogen as a pillar of industrial decarbonisation</w:t>
            </w:r>
          </w:p>
          <w:p w14:paraId="7A36A9CC"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Market design phase (2022): Hydrogen Production Business Model (HPBM) and Low Carbon Hydrogen Standard introduced</w:t>
            </w:r>
          </w:p>
          <w:p w14:paraId="1E1CFC69"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Market allocation phase (2023–current): Hydrogen Allocation Rounds (HAR) award revenue contracts to projects</w:t>
            </w:r>
          </w:p>
          <w:p w14:paraId="590C0104"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Next phase: Expansion of cluster-based deployment and scaling of contracted production capacity</w:t>
            </w:r>
          </w:p>
        </w:tc>
        <w:tc>
          <w:tcPr>
            <w:tcW w:w="1249" w:type="pct"/>
            <w:gridSpan w:val="2"/>
            <w:vMerge w:val="restart"/>
            <w:tcBorders>
              <w:top w:val="nil"/>
              <w:left w:val="single" w:sz="12" w:space="0" w:color="808080"/>
              <w:bottom w:val="single" w:sz="12" w:space="0" w:color="808080"/>
              <w:right w:val="single" w:sz="12" w:space="0" w:color="808080"/>
            </w:tcBorders>
            <w:vAlign w:val="center"/>
            <w:hideMark/>
          </w:tcPr>
          <w:p w14:paraId="3C8FCB1F"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Execution focused on three core mechanisms:</w:t>
            </w:r>
          </w:p>
          <w:p w14:paraId="737047D7" w14:textId="77777777" w:rsidR="00074C04" w:rsidRPr="00F91404" w:rsidRDefault="00074C04" w:rsidP="008D5DDD">
            <w:pPr>
              <w:pStyle w:val="ListParagraph"/>
              <w:numPr>
                <w:ilvl w:val="1"/>
                <w:numId w:val="28"/>
              </w:numPr>
              <w:spacing w:before="240" w:after="140" w:line="276" w:lineRule="auto"/>
              <w:ind w:left="426" w:hanging="142"/>
              <w:rPr>
                <w:rFonts w:eastAsia="Times New Roman" w:cstheme="minorHAnsi"/>
                <w:sz w:val="18"/>
                <w:szCs w:val="18"/>
                <w:lang w:eastAsia="es-MX"/>
              </w:rPr>
            </w:pPr>
            <w:r w:rsidRPr="00F91404">
              <w:rPr>
                <w:rFonts w:eastAsia="Times New Roman" w:cstheme="minorHAnsi"/>
                <w:sz w:val="18"/>
                <w:szCs w:val="18"/>
                <w:lang w:eastAsia="es-MX"/>
              </w:rPr>
              <w:t>Hydrogen Allocation Rounds under the Hydrogen Production Business Model</w:t>
            </w:r>
          </w:p>
          <w:p w14:paraId="3580EC4E" w14:textId="77777777" w:rsidR="00074C04" w:rsidRPr="00F91404" w:rsidRDefault="00074C04" w:rsidP="008D5DDD">
            <w:pPr>
              <w:pStyle w:val="ListParagraph"/>
              <w:numPr>
                <w:ilvl w:val="1"/>
                <w:numId w:val="28"/>
              </w:numPr>
              <w:spacing w:before="240" w:after="140" w:line="276" w:lineRule="auto"/>
              <w:ind w:left="426" w:hanging="142"/>
              <w:rPr>
                <w:rFonts w:eastAsia="Times New Roman" w:cstheme="minorHAnsi"/>
                <w:sz w:val="18"/>
                <w:szCs w:val="18"/>
                <w:lang w:eastAsia="es-MX"/>
              </w:rPr>
            </w:pPr>
            <w:r w:rsidRPr="00F91404">
              <w:rPr>
                <w:rFonts w:eastAsia="Times New Roman" w:cstheme="minorHAnsi"/>
                <w:sz w:val="18"/>
                <w:szCs w:val="18"/>
                <w:lang w:eastAsia="es-MX"/>
              </w:rPr>
              <w:t>Low Carbon Hydrogen Agreement (LCHA) as the standard contract vehicle</w:t>
            </w:r>
          </w:p>
          <w:p w14:paraId="2DF64713" w14:textId="77777777" w:rsidR="00074C04" w:rsidRPr="00F91404" w:rsidRDefault="00074C04" w:rsidP="008D5DDD">
            <w:pPr>
              <w:pStyle w:val="ListParagraph"/>
              <w:numPr>
                <w:ilvl w:val="1"/>
                <w:numId w:val="28"/>
              </w:numPr>
              <w:spacing w:before="240" w:after="140" w:line="276" w:lineRule="auto"/>
              <w:ind w:left="426" w:hanging="142"/>
              <w:rPr>
                <w:rFonts w:eastAsia="Times New Roman" w:cstheme="minorHAnsi"/>
                <w:sz w:val="18"/>
                <w:szCs w:val="18"/>
                <w:lang w:eastAsia="es-MX"/>
              </w:rPr>
            </w:pPr>
            <w:r w:rsidRPr="00F91404">
              <w:rPr>
                <w:rFonts w:eastAsia="Times New Roman" w:cstheme="minorHAnsi"/>
                <w:sz w:val="18"/>
                <w:szCs w:val="18"/>
                <w:lang w:eastAsia="es-MX"/>
              </w:rPr>
              <w:t>Cluster-based infrastructure and industrial decarbonisation programmes</w:t>
            </w:r>
          </w:p>
          <w:p w14:paraId="5C117C77"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Delivery organised around regional industrial clusters, rather than standalone projects</w:t>
            </w:r>
          </w:p>
        </w:tc>
      </w:tr>
      <w:tr w:rsidR="00074C04" w:rsidRPr="00F91404" w14:paraId="1E22A44D" w14:textId="77777777" w:rsidTr="00816A15">
        <w:trPr>
          <w:trHeight w:val="5179"/>
        </w:trPr>
        <w:tc>
          <w:tcPr>
            <w:tcW w:w="1255" w:type="pct"/>
            <w:gridSpan w:val="2"/>
            <w:vMerge/>
            <w:tcBorders>
              <w:top w:val="single" w:sz="12" w:space="0" w:color="808080"/>
              <w:left w:val="single" w:sz="12" w:space="0" w:color="808080"/>
              <w:bottom w:val="single" w:sz="12" w:space="0" w:color="808080"/>
              <w:right w:val="single" w:sz="12" w:space="0" w:color="808080"/>
            </w:tcBorders>
            <w:vAlign w:val="center"/>
            <w:hideMark/>
          </w:tcPr>
          <w:p w14:paraId="3D7A84EA" w14:textId="77777777" w:rsidR="00074C04" w:rsidRPr="00F91404" w:rsidRDefault="00074C04" w:rsidP="00843227">
            <w:pPr>
              <w:spacing w:after="0"/>
              <w:rPr>
                <w:rFonts w:eastAsia="Times New Roman" w:cstheme="minorHAnsi"/>
                <w:b/>
                <w:bCs/>
                <w:color w:val="000000"/>
                <w:sz w:val="18"/>
                <w:szCs w:val="18"/>
                <w:lang w:eastAsia="es-MX"/>
              </w:rPr>
            </w:pPr>
          </w:p>
        </w:tc>
        <w:tc>
          <w:tcPr>
            <w:tcW w:w="1210" w:type="pct"/>
            <w:gridSpan w:val="2"/>
            <w:vMerge/>
            <w:tcBorders>
              <w:top w:val="nil"/>
              <w:left w:val="single" w:sz="12" w:space="0" w:color="808080"/>
              <w:bottom w:val="single" w:sz="12" w:space="0" w:color="808080"/>
              <w:right w:val="single" w:sz="12" w:space="0" w:color="808080"/>
            </w:tcBorders>
            <w:vAlign w:val="center"/>
            <w:hideMark/>
          </w:tcPr>
          <w:p w14:paraId="2049CCDE" w14:textId="77777777" w:rsidR="00074C04" w:rsidRPr="00F91404" w:rsidRDefault="00074C04" w:rsidP="00843227">
            <w:pPr>
              <w:spacing w:after="0"/>
              <w:rPr>
                <w:rFonts w:eastAsia="Times New Roman" w:cstheme="minorHAnsi"/>
                <w:color w:val="000000"/>
                <w:sz w:val="18"/>
                <w:szCs w:val="18"/>
                <w:lang w:eastAsia="es-MX"/>
              </w:rPr>
            </w:pPr>
          </w:p>
        </w:tc>
        <w:tc>
          <w:tcPr>
            <w:tcW w:w="1210" w:type="pct"/>
            <w:gridSpan w:val="2"/>
            <w:vMerge/>
            <w:tcBorders>
              <w:top w:val="nil"/>
              <w:left w:val="single" w:sz="12" w:space="0" w:color="808080"/>
              <w:bottom w:val="single" w:sz="12" w:space="0" w:color="808080"/>
              <w:right w:val="single" w:sz="12" w:space="0" w:color="808080"/>
            </w:tcBorders>
            <w:vAlign w:val="center"/>
            <w:hideMark/>
          </w:tcPr>
          <w:p w14:paraId="4A451B8B" w14:textId="77777777" w:rsidR="00074C04" w:rsidRPr="00F91404" w:rsidRDefault="00074C04" w:rsidP="00843227">
            <w:pPr>
              <w:spacing w:after="0"/>
              <w:rPr>
                <w:rFonts w:eastAsia="Times New Roman" w:cstheme="minorHAnsi"/>
                <w:color w:val="000000"/>
                <w:sz w:val="18"/>
                <w:szCs w:val="18"/>
                <w:lang w:eastAsia="es-MX"/>
              </w:rPr>
            </w:pPr>
          </w:p>
        </w:tc>
        <w:tc>
          <w:tcPr>
            <w:tcW w:w="1249" w:type="pct"/>
            <w:gridSpan w:val="2"/>
            <w:vMerge/>
            <w:tcBorders>
              <w:top w:val="nil"/>
              <w:left w:val="single" w:sz="12" w:space="0" w:color="808080"/>
              <w:bottom w:val="single" w:sz="12" w:space="0" w:color="808080"/>
              <w:right w:val="single" w:sz="12" w:space="0" w:color="808080"/>
            </w:tcBorders>
            <w:vAlign w:val="center"/>
            <w:hideMark/>
          </w:tcPr>
          <w:p w14:paraId="583E747E" w14:textId="77777777" w:rsidR="00074C04" w:rsidRPr="00F91404" w:rsidRDefault="00074C04" w:rsidP="00843227">
            <w:pPr>
              <w:spacing w:after="0"/>
              <w:rPr>
                <w:rFonts w:eastAsia="Times New Roman" w:cstheme="minorHAnsi"/>
                <w:color w:val="000000"/>
                <w:sz w:val="18"/>
                <w:szCs w:val="18"/>
                <w:lang w:eastAsia="es-MX"/>
              </w:rPr>
            </w:pPr>
          </w:p>
        </w:tc>
        <w:tc>
          <w:tcPr>
            <w:tcW w:w="76" w:type="pct"/>
            <w:tcBorders>
              <w:top w:val="nil"/>
              <w:left w:val="nil"/>
              <w:bottom w:val="nil"/>
              <w:right w:val="nil"/>
            </w:tcBorders>
            <w:noWrap/>
            <w:vAlign w:val="bottom"/>
            <w:hideMark/>
          </w:tcPr>
          <w:p w14:paraId="6F07ED2C" w14:textId="77777777" w:rsidR="00074C04" w:rsidRPr="00F91404" w:rsidRDefault="00074C04" w:rsidP="00843227">
            <w:pPr>
              <w:spacing w:after="0"/>
              <w:jc w:val="center"/>
              <w:rPr>
                <w:rFonts w:eastAsia="Times New Roman" w:cstheme="minorHAnsi"/>
                <w:color w:val="000000"/>
                <w:sz w:val="18"/>
                <w:szCs w:val="18"/>
                <w:lang w:eastAsia="es-MX"/>
              </w:rPr>
            </w:pPr>
          </w:p>
        </w:tc>
      </w:tr>
      <w:tr w:rsidR="00074C04" w:rsidRPr="00F91404" w14:paraId="08D8B88E" w14:textId="77777777" w:rsidTr="00816A15">
        <w:trPr>
          <w:trHeight w:val="400"/>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hideMark/>
          </w:tcPr>
          <w:p w14:paraId="3205E66E" w14:textId="77777777" w:rsidR="00074C04" w:rsidRPr="00F91404" w:rsidRDefault="00074C04" w:rsidP="00843227">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lastRenderedPageBreak/>
              <w:t>Policies Framework</w:t>
            </w:r>
          </w:p>
        </w:tc>
        <w:tc>
          <w:tcPr>
            <w:tcW w:w="76" w:type="pct"/>
            <w:vAlign w:val="center"/>
            <w:hideMark/>
          </w:tcPr>
          <w:p w14:paraId="2765D63D" w14:textId="77777777" w:rsidR="00074C04" w:rsidRPr="00F91404" w:rsidRDefault="00074C04" w:rsidP="00843227">
            <w:pPr>
              <w:spacing w:after="0"/>
              <w:rPr>
                <w:rFonts w:eastAsia="Times New Roman" w:cstheme="minorHAnsi"/>
                <w:sz w:val="18"/>
                <w:szCs w:val="18"/>
                <w:lang w:eastAsia="es-MX"/>
              </w:rPr>
            </w:pPr>
          </w:p>
        </w:tc>
      </w:tr>
      <w:tr w:rsidR="00074C04" w:rsidRPr="00F91404" w14:paraId="20ADF8A2" w14:textId="77777777" w:rsidTr="00816A15">
        <w:trPr>
          <w:trHeight w:val="1205"/>
        </w:trPr>
        <w:tc>
          <w:tcPr>
            <w:tcW w:w="1029"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7D2CE39E"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Fiscal &amp; Tax </w:t>
            </w:r>
          </w:p>
          <w:p w14:paraId="3E2521E7"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Incentives</w:t>
            </w:r>
          </w:p>
        </w:tc>
        <w:tc>
          <w:tcPr>
            <w:tcW w:w="3895" w:type="pct"/>
            <w:gridSpan w:val="7"/>
            <w:tcBorders>
              <w:top w:val="single" w:sz="12" w:space="0" w:color="808080"/>
              <w:left w:val="nil"/>
              <w:bottom w:val="single" w:sz="12" w:space="0" w:color="808080"/>
              <w:right w:val="single" w:sz="12" w:space="0" w:color="808080"/>
            </w:tcBorders>
            <w:vAlign w:val="center"/>
            <w:hideMark/>
          </w:tcPr>
          <w:p w14:paraId="31927E59"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No hydrogen-specific tax incentives are applied</w:t>
            </w:r>
          </w:p>
          <w:p w14:paraId="5C05F798"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Projects rely on general capital allowance regimes</w:t>
            </w:r>
          </w:p>
          <w:p w14:paraId="6BF86532"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Fiscal policy plays a limited role in deployment</w:t>
            </w:r>
          </w:p>
          <w:p w14:paraId="334F2D58" w14:textId="77777777" w:rsidR="00074C04" w:rsidRPr="00F91404" w:rsidRDefault="00074C04" w:rsidP="00843227">
            <w:pPr>
              <w:spacing w:after="0"/>
              <w:rPr>
                <w:rFonts w:eastAsia="Times New Roman" w:cstheme="minorHAnsi"/>
                <w:color w:val="000000"/>
                <w:sz w:val="18"/>
                <w:szCs w:val="18"/>
                <w:lang w:eastAsia="es-MX"/>
              </w:rPr>
            </w:pPr>
          </w:p>
        </w:tc>
        <w:tc>
          <w:tcPr>
            <w:tcW w:w="76" w:type="pct"/>
            <w:vAlign w:val="center"/>
            <w:hideMark/>
          </w:tcPr>
          <w:p w14:paraId="7F8B5E4F" w14:textId="77777777" w:rsidR="00074C04" w:rsidRPr="00F91404" w:rsidRDefault="00074C04" w:rsidP="00843227">
            <w:pPr>
              <w:spacing w:after="0"/>
              <w:rPr>
                <w:rFonts w:eastAsia="Times New Roman" w:cstheme="minorHAnsi"/>
                <w:sz w:val="18"/>
                <w:szCs w:val="18"/>
                <w:lang w:eastAsia="es-MX"/>
              </w:rPr>
            </w:pPr>
          </w:p>
        </w:tc>
      </w:tr>
      <w:tr w:rsidR="00074C04" w:rsidRPr="00F91404" w14:paraId="5798E912" w14:textId="77777777" w:rsidTr="00816A15">
        <w:trPr>
          <w:trHeight w:val="2218"/>
        </w:trPr>
        <w:tc>
          <w:tcPr>
            <w:tcW w:w="1029"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4D28231C" w14:textId="77777777" w:rsidR="00074C04" w:rsidRPr="00F91404" w:rsidRDefault="00074C04" w:rsidP="00843227">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Market and revenue support </w:t>
            </w:r>
          </w:p>
          <w:p w14:paraId="17D7D539"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mechanisms</w:t>
            </w:r>
          </w:p>
        </w:tc>
        <w:tc>
          <w:tcPr>
            <w:tcW w:w="3895" w:type="pct"/>
            <w:gridSpan w:val="7"/>
            <w:tcBorders>
              <w:top w:val="single" w:sz="12" w:space="0" w:color="808080"/>
              <w:left w:val="nil"/>
              <w:bottom w:val="single" w:sz="12" w:space="0" w:color="808080"/>
              <w:right w:val="single" w:sz="12" w:space="0" w:color="808080"/>
            </w:tcBorders>
            <w:vAlign w:val="center"/>
            <w:hideMark/>
          </w:tcPr>
          <w:p w14:paraId="4E1B9C56"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Hydrogen Production Business Model (HPBM) provides revenue support through standardised long-term contracts</w:t>
            </w:r>
          </w:p>
          <w:p w14:paraId="144964AA"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Projects are competitively selected via Hydrogen Allocation Rounds (HAR) and contracted under the Low Carbon Hydrogen Agreement (LCHA)</w:t>
            </w:r>
          </w:p>
          <w:p w14:paraId="5EA783EE"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Contracts reduce the cost gap between low-carbon hydrogen and conventional alternatives</w:t>
            </w:r>
          </w:p>
          <w:p w14:paraId="5B7D27D0"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The model delivers predictable, contract-backed revenues, reducing revenue uncertainty and enabling replication across projects</w:t>
            </w:r>
          </w:p>
        </w:tc>
        <w:tc>
          <w:tcPr>
            <w:tcW w:w="76" w:type="pct"/>
            <w:vAlign w:val="center"/>
            <w:hideMark/>
          </w:tcPr>
          <w:p w14:paraId="6B6D350B" w14:textId="77777777" w:rsidR="00074C04" w:rsidRPr="00F91404" w:rsidRDefault="00074C04" w:rsidP="00843227">
            <w:pPr>
              <w:spacing w:after="0"/>
              <w:rPr>
                <w:rFonts w:eastAsia="Times New Roman" w:cstheme="minorHAnsi"/>
                <w:sz w:val="18"/>
                <w:szCs w:val="18"/>
                <w:lang w:eastAsia="es-MX"/>
              </w:rPr>
            </w:pPr>
          </w:p>
        </w:tc>
      </w:tr>
      <w:tr w:rsidR="00074C04" w:rsidRPr="00F91404" w14:paraId="6DF57876" w14:textId="77777777" w:rsidTr="00816A15">
        <w:trPr>
          <w:trHeight w:val="1367"/>
        </w:trPr>
        <w:tc>
          <w:tcPr>
            <w:tcW w:w="1029"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20323DF8" w14:textId="77777777" w:rsidR="00074C04" w:rsidRPr="00F91404" w:rsidRDefault="00074C04" w:rsidP="00843227">
            <w:pPr>
              <w:spacing w:after="0"/>
              <w:jc w:val="center"/>
              <w:rPr>
                <w:rFonts w:eastAsia="Times New Roman" w:cstheme="minorHAnsi"/>
                <w:b/>
                <w:bCs/>
                <w:color w:val="0B3040"/>
                <w:sz w:val="18"/>
                <w:szCs w:val="18"/>
                <w:lang w:eastAsia="es-MX"/>
              </w:rPr>
            </w:pPr>
            <w:r w:rsidRPr="00F91404">
              <w:rPr>
                <w:rFonts w:eastAsia="Times New Roman" w:cstheme="minorHAnsi"/>
                <w:b/>
                <w:color w:val="0B3040"/>
                <w:sz w:val="18"/>
                <w:szCs w:val="18"/>
                <w:lang w:eastAsia="es-MX"/>
              </w:rPr>
              <w:t xml:space="preserve">Direct public </w:t>
            </w:r>
          </w:p>
          <w:p w14:paraId="4280122F"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funding</w:t>
            </w:r>
          </w:p>
        </w:tc>
        <w:tc>
          <w:tcPr>
            <w:tcW w:w="3895" w:type="pct"/>
            <w:gridSpan w:val="7"/>
            <w:tcBorders>
              <w:top w:val="single" w:sz="12" w:space="0" w:color="808080"/>
              <w:left w:val="nil"/>
              <w:bottom w:val="single" w:sz="12" w:space="0" w:color="808080"/>
              <w:right w:val="single" w:sz="12" w:space="0" w:color="808080"/>
            </w:tcBorders>
            <w:vAlign w:val="center"/>
            <w:hideMark/>
          </w:tcPr>
          <w:p w14:paraId="46466CAA"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Public funding complements revenue contracts through:</w:t>
            </w:r>
          </w:p>
          <w:p w14:paraId="16C39C90" w14:textId="77777777" w:rsidR="00074C04" w:rsidRPr="00F91404" w:rsidRDefault="00074C04" w:rsidP="008D5DDD">
            <w:pPr>
              <w:pStyle w:val="ListParagraph"/>
              <w:numPr>
                <w:ilvl w:val="1"/>
                <w:numId w:val="28"/>
              </w:numPr>
              <w:spacing w:before="240" w:after="140" w:line="276" w:lineRule="auto"/>
              <w:ind w:left="502" w:hanging="218"/>
              <w:rPr>
                <w:rFonts w:eastAsia="Times New Roman" w:cstheme="minorHAnsi"/>
                <w:sz w:val="18"/>
                <w:szCs w:val="18"/>
                <w:lang w:eastAsia="es-MX"/>
              </w:rPr>
            </w:pPr>
            <w:r w:rsidRPr="00F91404">
              <w:rPr>
                <w:rFonts w:eastAsia="Times New Roman" w:cstheme="minorHAnsi"/>
                <w:sz w:val="18"/>
                <w:szCs w:val="18"/>
                <w:lang w:eastAsia="es-MX"/>
              </w:rPr>
              <w:t>Competitive funding rounds</w:t>
            </w:r>
          </w:p>
          <w:p w14:paraId="6959FBE1" w14:textId="77777777" w:rsidR="00074C04" w:rsidRPr="00F91404" w:rsidRDefault="00074C04" w:rsidP="008D5DDD">
            <w:pPr>
              <w:pStyle w:val="ListParagraph"/>
              <w:numPr>
                <w:ilvl w:val="1"/>
                <w:numId w:val="28"/>
              </w:numPr>
              <w:spacing w:before="240" w:after="140" w:line="276" w:lineRule="auto"/>
              <w:ind w:left="502" w:hanging="218"/>
              <w:rPr>
                <w:rFonts w:eastAsia="Times New Roman" w:cstheme="minorHAnsi"/>
                <w:sz w:val="18"/>
                <w:szCs w:val="18"/>
                <w:lang w:eastAsia="es-MX"/>
              </w:rPr>
            </w:pPr>
            <w:r w:rsidRPr="00F91404">
              <w:rPr>
                <w:rFonts w:eastAsia="Times New Roman" w:cstheme="minorHAnsi"/>
                <w:sz w:val="18"/>
                <w:szCs w:val="18"/>
                <w:lang w:eastAsia="es-MX"/>
              </w:rPr>
              <w:t>Industrial decarbonisation programmes</w:t>
            </w:r>
          </w:p>
          <w:p w14:paraId="3C20D017"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Supports early projects, cluster development and enabling infrastructure</w:t>
            </w:r>
          </w:p>
          <w:p w14:paraId="51DBC4AB"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Reduces first-mover risk alongside the contract model</w:t>
            </w:r>
          </w:p>
        </w:tc>
        <w:tc>
          <w:tcPr>
            <w:tcW w:w="76" w:type="pct"/>
            <w:vAlign w:val="center"/>
            <w:hideMark/>
          </w:tcPr>
          <w:p w14:paraId="7714A471" w14:textId="77777777" w:rsidR="00074C04" w:rsidRPr="00F91404" w:rsidRDefault="00074C04" w:rsidP="00843227">
            <w:pPr>
              <w:spacing w:after="0"/>
              <w:rPr>
                <w:rFonts w:eastAsia="Times New Roman" w:cstheme="minorHAnsi"/>
                <w:sz w:val="18"/>
                <w:szCs w:val="18"/>
                <w:lang w:eastAsia="es-MX"/>
              </w:rPr>
            </w:pPr>
          </w:p>
        </w:tc>
      </w:tr>
      <w:tr w:rsidR="00074C04" w:rsidRPr="00F91404" w14:paraId="3D5F963E" w14:textId="77777777" w:rsidTr="00816A15">
        <w:trPr>
          <w:trHeight w:val="1463"/>
        </w:trPr>
        <w:tc>
          <w:tcPr>
            <w:tcW w:w="1029"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7D1B38FB"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 xml:space="preserve">Standards and </w:t>
            </w:r>
          </w:p>
          <w:p w14:paraId="1865E79A"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certification</w:t>
            </w:r>
          </w:p>
        </w:tc>
        <w:tc>
          <w:tcPr>
            <w:tcW w:w="3895" w:type="pct"/>
            <w:gridSpan w:val="7"/>
            <w:tcBorders>
              <w:top w:val="single" w:sz="12" w:space="0" w:color="808080"/>
              <w:left w:val="nil"/>
              <w:bottom w:val="single" w:sz="12" w:space="0" w:color="808080"/>
              <w:right w:val="single" w:sz="12" w:space="0" w:color="808080"/>
            </w:tcBorders>
            <w:vAlign w:val="center"/>
            <w:hideMark/>
          </w:tcPr>
          <w:p w14:paraId="1872C083"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UK Low Carbon Hydrogen Standard defines emissions thresholds and sustainability criteria</w:t>
            </w:r>
          </w:p>
          <w:p w14:paraId="05501299"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Certification links eligibility for support to verifiable emissions performance</w:t>
            </w:r>
          </w:p>
          <w:p w14:paraId="6BE6231D"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color w:val="000000"/>
                <w:sz w:val="18"/>
                <w:szCs w:val="18"/>
                <w:lang w:eastAsia="es-MX"/>
              </w:rPr>
            </w:pPr>
            <w:r w:rsidRPr="00F91404">
              <w:rPr>
                <w:rFonts w:eastAsia="Times New Roman" w:cstheme="minorHAnsi"/>
                <w:sz w:val="18"/>
                <w:szCs w:val="18"/>
                <w:lang w:eastAsia="es-MX"/>
              </w:rPr>
              <w:t>Reduces regulatory and reputational risk for investors and offtakers</w:t>
            </w:r>
            <w:r w:rsidRPr="00F91404">
              <w:rPr>
                <w:rFonts w:eastAsia="Times New Roman" w:cstheme="minorHAnsi"/>
                <w:color w:val="000000"/>
                <w:sz w:val="18"/>
                <w:szCs w:val="18"/>
                <w:lang w:eastAsia="es-MX"/>
              </w:rPr>
              <w:t>.</w:t>
            </w:r>
          </w:p>
        </w:tc>
        <w:tc>
          <w:tcPr>
            <w:tcW w:w="76" w:type="pct"/>
            <w:vAlign w:val="center"/>
            <w:hideMark/>
          </w:tcPr>
          <w:p w14:paraId="76DDFDD4" w14:textId="77777777" w:rsidR="00074C04" w:rsidRPr="00F91404" w:rsidRDefault="00074C04" w:rsidP="00843227">
            <w:pPr>
              <w:spacing w:after="0"/>
              <w:rPr>
                <w:rFonts w:eastAsia="Times New Roman" w:cstheme="minorHAnsi"/>
                <w:sz w:val="18"/>
                <w:szCs w:val="18"/>
                <w:lang w:eastAsia="es-MX"/>
              </w:rPr>
            </w:pPr>
          </w:p>
        </w:tc>
      </w:tr>
      <w:tr w:rsidR="00074C04" w:rsidRPr="00F91404" w14:paraId="729F0355" w14:textId="77777777" w:rsidTr="00816A15">
        <w:trPr>
          <w:trHeight w:val="1527"/>
        </w:trPr>
        <w:tc>
          <w:tcPr>
            <w:tcW w:w="1029" w:type="pct"/>
            <w:tcBorders>
              <w:top w:val="nil"/>
              <w:left w:val="single" w:sz="12" w:space="0" w:color="808080"/>
              <w:bottom w:val="single" w:sz="12" w:space="0" w:color="808080"/>
              <w:right w:val="single" w:sz="12" w:space="0" w:color="808080"/>
            </w:tcBorders>
            <w:shd w:val="clear" w:color="auto" w:fill="E0F1DF" w:themeFill="accent2" w:themeFillTint="33"/>
            <w:vAlign w:val="center"/>
            <w:hideMark/>
          </w:tcPr>
          <w:p w14:paraId="1713957A"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Infrastructure-</w:t>
            </w:r>
          </w:p>
          <w:p w14:paraId="655A31B3" w14:textId="77777777" w:rsidR="00074C04" w:rsidRPr="00F91404" w:rsidRDefault="00074C04" w:rsidP="00843227">
            <w:pPr>
              <w:spacing w:after="0"/>
              <w:jc w:val="center"/>
              <w:rPr>
                <w:rFonts w:eastAsia="Times New Roman" w:cstheme="minorHAnsi"/>
                <w:b/>
                <w:color w:val="0B3040"/>
                <w:sz w:val="18"/>
                <w:szCs w:val="18"/>
                <w:lang w:eastAsia="es-MX"/>
              </w:rPr>
            </w:pPr>
            <w:r w:rsidRPr="00F91404">
              <w:rPr>
                <w:rFonts w:eastAsia="Times New Roman" w:cstheme="minorHAnsi"/>
                <w:b/>
                <w:color w:val="0B3040"/>
                <w:sz w:val="18"/>
                <w:szCs w:val="18"/>
                <w:lang w:eastAsia="es-MX"/>
              </w:rPr>
              <w:t>enabling policies</w:t>
            </w:r>
          </w:p>
        </w:tc>
        <w:tc>
          <w:tcPr>
            <w:tcW w:w="3895" w:type="pct"/>
            <w:gridSpan w:val="7"/>
            <w:tcBorders>
              <w:top w:val="single" w:sz="12" w:space="0" w:color="808080"/>
              <w:left w:val="nil"/>
              <w:bottom w:val="single" w:sz="12" w:space="0" w:color="808080"/>
              <w:right w:val="single" w:sz="12" w:space="0" w:color="808080"/>
            </w:tcBorders>
            <w:vAlign w:val="center"/>
            <w:hideMark/>
          </w:tcPr>
          <w:p w14:paraId="50318BB3"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Infrastructure development organised around hydrogen hubs and industrial clusters</w:t>
            </w:r>
          </w:p>
          <w:p w14:paraId="17C92C8B"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Integration with existing gas networks and, where relevant, CO</w:t>
            </w:r>
            <w:r w:rsidRPr="00F91404">
              <w:rPr>
                <w:rFonts w:ascii="Cambria Math" w:eastAsia="Times New Roman" w:hAnsi="Cambria Math" w:cs="Cambria Math"/>
                <w:sz w:val="18"/>
                <w:szCs w:val="18"/>
                <w:lang w:eastAsia="es-MX"/>
              </w:rPr>
              <w:t>₂</w:t>
            </w:r>
            <w:r w:rsidRPr="00F91404">
              <w:rPr>
                <w:rFonts w:eastAsia="Times New Roman" w:cstheme="minorHAnsi"/>
                <w:sz w:val="18"/>
                <w:szCs w:val="18"/>
                <w:lang w:eastAsia="es-MX"/>
              </w:rPr>
              <w:t xml:space="preserve"> transport and storage </w:t>
            </w:r>
            <w:r w:rsidRPr="00F91404">
              <w:rPr>
                <w:rFonts w:eastAsia="Times New Roman" w:cstheme="minorHAnsi"/>
                <w:sz w:val="18"/>
                <w:szCs w:val="18"/>
                <w:lang w:eastAsia="es-MX"/>
              </w:rPr>
              <w:br/>
              <w:t>infrastructure</w:t>
            </w:r>
          </w:p>
          <w:p w14:paraId="1BBE9429" w14:textId="77777777" w:rsidR="00074C04" w:rsidRPr="00F91404" w:rsidRDefault="00074C04" w:rsidP="008D5DDD">
            <w:pPr>
              <w:pStyle w:val="ListParagraph"/>
              <w:numPr>
                <w:ilvl w:val="0"/>
                <w:numId w:val="28"/>
              </w:numPr>
              <w:spacing w:before="240" w:after="140" w:line="276" w:lineRule="auto"/>
              <w:ind w:left="190" w:hanging="142"/>
              <w:rPr>
                <w:rFonts w:eastAsia="Times New Roman" w:cstheme="minorHAnsi"/>
                <w:sz w:val="18"/>
                <w:szCs w:val="18"/>
                <w:lang w:eastAsia="es-MX"/>
              </w:rPr>
            </w:pPr>
            <w:r w:rsidRPr="00F91404">
              <w:rPr>
                <w:rFonts w:eastAsia="Times New Roman" w:cstheme="minorHAnsi"/>
                <w:sz w:val="18"/>
                <w:szCs w:val="18"/>
                <w:lang w:eastAsia="es-MX"/>
              </w:rPr>
              <w:t>Cluster model enables shared infrastructure, coordinated permitting and aggregated offtake</w:t>
            </w:r>
          </w:p>
          <w:p w14:paraId="79469D31" w14:textId="77777777" w:rsidR="00074C04" w:rsidRPr="00F91404" w:rsidRDefault="00074C04" w:rsidP="00843227">
            <w:pPr>
              <w:spacing w:after="0"/>
              <w:rPr>
                <w:rFonts w:eastAsia="Times New Roman" w:cstheme="minorHAnsi"/>
                <w:color w:val="000000"/>
                <w:sz w:val="18"/>
                <w:szCs w:val="18"/>
                <w:lang w:eastAsia="es-MX"/>
              </w:rPr>
            </w:pPr>
          </w:p>
        </w:tc>
        <w:tc>
          <w:tcPr>
            <w:tcW w:w="76" w:type="pct"/>
            <w:vAlign w:val="center"/>
            <w:hideMark/>
          </w:tcPr>
          <w:p w14:paraId="250958C3" w14:textId="77777777" w:rsidR="00074C04" w:rsidRPr="00F91404" w:rsidRDefault="00074C04" w:rsidP="00843227">
            <w:pPr>
              <w:spacing w:after="0"/>
              <w:rPr>
                <w:rFonts w:eastAsia="Times New Roman" w:cstheme="minorHAnsi"/>
                <w:sz w:val="18"/>
                <w:szCs w:val="18"/>
                <w:lang w:eastAsia="es-MX"/>
              </w:rPr>
            </w:pPr>
          </w:p>
        </w:tc>
      </w:tr>
      <w:tr w:rsidR="00074C04" w:rsidRPr="00F91404" w14:paraId="05D3AD22" w14:textId="77777777" w:rsidTr="00816A15">
        <w:trPr>
          <w:trHeight w:val="400"/>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594FD38E" w14:textId="77777777" w:rsidR="00074C04" w:rsidRPr="00F91404" w:rsidRDefault="00074C04" w:rsidP="00843227">
            <w:pPr>
              <w:spacing w:after="0"/>
              <w:jc w:val="center"/>
              <w:rPr>
                <w:rFonts w:eastAsia="Times New Roman" w:cstheme="minorHAnsi"/>
                <w:b/>
                <w:color w:val="FFFFFF"/>
                <w:sz w:val="18"/>
                <w:szCs w:val="18"/>
                <w:lang w:eastAsia="es-MX"/>
              </w:rPr>
            </w:pPr>
            <w:r w:rsidRPr="00F91404">
              <w:rPr>
                <w:rFonts w:eastAsia="Times New Roman" w:cstheme="minorHAnsi"/>
                <w:b/>
                <w:color w:val="FFFFFF"/>
                <w:sz w:val="18"/>
                <w:szCs w:val="18"/>
                <w:lang w:eastAsia="es-MX"/>
              </w:rPr>
              <w:t>Sectoral focus / Priority sectors</w:t>
            </w:r>
          </w:p>
        </w:tc>
        <w:tc>
          <w:tcPr>
            <w:tcW w:w="76" w:type="pct"/>
            <w:vAlign w:val="center"/>
          </w:tcPr>
          <w:p w14:paraId="6673DC34" w14:textId="77777777" w:rsidR="00074C04" w:rsidRPr="00F91404" w:rsidRDefault="00074C04" w:rsidP="00843227">
            <w:pPr>
              <w:spacing w:after="0"/>
              <w:rPr>
                <w:rFonts w:eastAsia="Times New Roman" w:cstheme="minorHAnsi"/>
                <w:sz w:val="18"/>
                <w:szCs w:val="18"/>
                <w:lang w:eastAsia="es-MX"/>
              </w:rPr>
            </w:pPr>
          </w:p>
        </w:tc>
      </w:tr>
      <w:tr w:rsidR="00074C04" w:rsidRPr="00F91404" w14:paraId="2C7CE41A" w14:textId="77777777" w:rsidTr="00420CBB">
        <w:trPr>
          <w:trHeight w:val="1518"/>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24A59698" w14:textId="77777777" w:rsidR="00074C04" w:rsidRPr="00F91404" w:rsidRDefault="00074C04" w:rsidP="00257B6A">
            <w:pPr>
              <w:spacing w:after="0"/>
              <w:rPr>
                <w:rFonts w:eastAsia="Times New Roman" w:cstheme="minorHAnsi"/>
                <w:color w:val="FFFFFF"/>
                <w:sz w:val="18"/>
                <w:szCs w:val="18"/>
                <w:lang w:eastAsia="es-MX"/>
              </w:rPr>
            </w:pPr>
            <w:r w:rsidRPr="00F91404">
              <w:rPr>
                <w:rFonts w:eastAsia="Times New Roman" w:cstheme="minorHAnsi"/>
                <w:sz w:val="18"/>
                <w:szCs w:val="18"/>
                <w:lang w:eastAsia="es-MX"/>
              </w:rPr>
              <w:t>Demand is concentrated in industrial clusters, where hydrogen substitutes natural gas in industrial heat, refining and chemical processes. Additional demand drivers include power generation with hydrogen-ready turbines and early applications in heavy transport within cluster regions.</w:t>
            </w:r>
          </w:p>
        </w:tc>
        <w:tc>
          <w:tcPr>
            <w:tcW w:w="76" w:type="pct"/>
            <w:vAlign w:val="center"/>
          </w:tcPr>
          <w:p w14:paraId="7F8F0341" w14:textId="77777777" w:rsidR="00074C04" w:rsidRPr="00F91404" w:rsidRDefault="00074C04" w:rsidP="00843227">
            <w:pPr>
              <w:spacing w:after="0"/>
              <w:rPr>
                <w:rFonts w:eastAsia="Times New Roman" w:cstheme="minorHAnsi"/>
                <w:sz w:val="18"/>
                <w:szCs w:val="18"/>
                <w:lang w:eastAsia="es-MX"/>
              </w:rPr>
            </w:pPr>
          </w:p>
        </w:tc>
      </w:tr>
      <w:tr w:rsidR="0064603E" w:rsidRPr="00F91404" w14:paraId="5881FDD3" w14:textId="77777777" w:rsidTr="001F2A9A">
        <w:trPr>
          <w:trHeight w:val="398"/>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0FD52454" w14:textId="3D929A98" w:rsidR="0064603E" w:rsidRPr="00F91404" w:rsidRDefault="0064603E" w:rsidP="0064603E">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Renewable Energy Context</w:t>
            </w:r>
          </w:p>
        </w:tc>
        <w:tc>
          <w:tcPr>
            <w:tcW w:w="76" w:type="pct"/>
            <w:vAlign w:val="center"/>
          </w:tcPr>
          <w:p w14:paraId="7EDF530C" w14:textId="77777777" w:rsidR="0064603E" w:rsidRPr="00F91404" w:rsidRDefault="0064603E" w:rsidP="0064603E">
            <w:pPr>
              <w:spacing w:after="0"/>
              <w:rPr>
                <w:rFonts w:eastAsia="Times New Roman" w:cstheme="minorHAnsi"/>
                <w:sz w:val="18"/>
                <w:szCs w:val="18"/>
                <w:lang w:eastAsia="es-MX"/>
              </w:rPr>
            </w:pPr>
          </w:p>
        </w:tc>
      </w:tr>
      <w:tr w:rsidR="0064603E" w:rsidRPr="00F91404" w14:paraId="5A866931" w14:textId="77777777" w:rsidTr="00420CBB">
        <w:trPr>
          <w:trHeight w:val="2516"/>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D78C507" w14:textId="77777777" w:rsidR="00420CBB" w:rsidRPr="00F91404" w:rsidRDefault="00420CBB" w:rsidP="006C1494">
            <w:pPr>
              <w:spacing w:after="0"/>
              <w:rPr>
                <w:rFonts w:eastAsia="Times New Roman" w:cstheme="minorHAnsi"/>
                <w:sz w:val="18"/>
                <w:szCs w:val="18"/>
                <w:lang w:eastAsia="es-MX"/>
              </w:rPr>
            </w:pPr>
            <w:r w:rsidRPr="00F91404">
              <w:rPr>
                <w:rFonts w:eastAsia="Times New Roman" w:cstheme="minorHAnsi"/>
                <w:sz w:val="18"/>
                <w:szCs w:val="18"/>
                <w:lang w:eastAsia="es-MX"/>
              </w:rPr>
              <w:t>The United Kingdom has significantly expanded renewable electricity capacity over the past decade, driven primarily by offshore wind, onshore wind and solar PV. Installed renewable capacity exceeds 60 GW, with renewables accounting for a growing share of total electricity generation, supported by Contracts for Difference (</w:t>
            </w:r>
            <w:proofErr w:type="spellStart"/>
            <w:r w:rsidRPr="00F91404">
              <w:rPr>
                <w:rFonts w:eastAsia="Times New Roman" w:cstheme="minorHAnsi"/>
                <w:sz w:val="18"/>
                <w:szCs w:val="18"/>
                <w:lang w:eastAsia="es-MX"/>
              </w:rPr>
              <w:t>CfD</w:t>
            </w:r>
            <w:proofErr w:type="spellEnd"/>
            <w:r w:rsidRPr="00F91404">
              <w:rPr>
                <w:rFonts w:eastAsia="Times New Roman" w:cstheme="minorHAnsi"/>
                <w:sz w:val="18"/>
                <w:szCs w:val="18"/>
                <w:lang w:eastAsia="es-MX"/>
              </w:rPr>
              <w:t>) auctions and net-zero commitments.</w:t>
            </w:r>
          </w:p>
          <w:p w14:paraId="0DF37B45" w14:textId="4330C7AA" w:rsidR="0064603E" w:rsidRPr="00F91404" w:rsidRDefault="00420CBB" w:rsidP="006C1494">
            <w:pPr>
              <w:spacing w:after="0"/>
              <w:rPr>
                <w:rFonts w:eastAsia="Times New Roman" w:cstheme="minorHAnsi"/>
                <w:sz w:val="18"/>
                <w:szCs w:val="18"/>
                <w:lang w:eastAsia="es-MX"/>
              </w:rPr>
            </w:pPr>
            <w:r w:rsidRPr="00F91404">
              <w:rPr>
                <w:rFonts w:eastAsia="Times New Roman" w:cstheme="minorHAnsi"/>
                <w:sz w:val="18"/>
                <w:szCs w:val="18"/>
                <w:lang w:eastAsia="es-MX"/>
              </w:rPr>
              <w:t>National targets include a substantial increase in offshore wind capacity by 2030, alongside continued decarbonisation of the power sector. This expanding renewable base provides the foundation for electrolysis-based hydrogen production, particularly within designated industrial clusters linked to existing energy infrastructure.</w:t>
            </w:r>
          </w:p>
        </w:tc>
        <w:tc>
          <w:tcPr>
            <w:tcW w:w="76" w:type="pct"/>
            <w:vAlign w:val="center"/>
          </w:tcPr>
          <w:p w14:paraId="50CCC3F5" w14:textId="77777777" w:rsidR="0064603E" w:rsidRPr="00F91404" w:rsidRDefault="0064603E" w:rsidP="0064603E">
            <w:pPr>
              <w:spacing w:after="0"/>
              <w:rPr>
                <w:rFonts w:eastAsia="Times New Roman" w:cstheme="minorHAnsi"/>
                <w:sz w:val="18"/>
                <w:szCs w:val="18"/>
                <w:lang w:eastAsia="es-MX"/>
              </w:rPr>
            </w:pPr>
          </w:p>
        </w:tc>
      </w:tr>
      <w:tr w:rsidR="0064603E" w:rsidRPr="00F91404" w14:paraId="5253D62E" w14:textId="77777777" w:rsidTr="001F2A9A">
        <w:trPr>
          <w:trHeight w:val="431"/>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0E53A68C" w14:textId="3C418F16" w:rsidR="0064603E" w:rsidRPr="00F91404" w:rsidRDefault="0064603E" w:rsidP="0064603E">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lastRenderedPageBreak/>
              <w:t>Hydrogen Value Chain Structure</w:t>
            </w:r>
          </w:p>
        </w:tc>
        <w:tc>
          <w:tcPr>
            <w:tcW w:w="76" w:type="pct"/>
            <w:vAlign w:val="center"/>
          </w:tcPr>
          <w:p w14:paraId="3A29028E" w14:textId="77777777" w:rsidR="0064603E" w:rsidRPr="00F91404" w:rsidRDefault="0064603E" w:rsidP="0064603E">
            <w:pPr>
              <w:spacing w:after="0"/>
              <w:rPr>
                <w:rFonts w:eastAsia="Times New Roman" w:cstheme="minorHAnsi"/>
                <w:sz w:val="18"/>
                <w:szCs w:val="18"/>
                <w:lang w:eastAsia="es-MX"/>
              </w:rPr>
            </w:pPr>
          </w:p>
        </w:tc>
      </w:tr>
      <w:tr w:rsidR="0064603E" w:rsidRPr="00F91404" w14:paraId="0536BE9D" w14:textId="77777777" w:rsidTr="00420CBB">
        <w:trPr>
          <w:trHeight w:val="3449"/>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5DEFEFE5" w14:textId="77777777" w:rsidR="00420CBB" w:rsidRPr="00F91404" w:rsidRDefault="00420CBB" w:rsidP="006A7AFC">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The United Kingdom applies a cluster-based hydrogen value chain model integrated with existing energy systems:</w:t>
            </w:r>
          </w:p>
          <w:p w14:paraId="58D31435" w14:textId="77777777" w:rsidR="00420CBB" w:rsidRPr="00F91404" w:rsidRDefault="00420CBB" w:rsidP="006A7AFC">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Production:</w:t>
            </w:r>
            <w:r w:rsidRPr="00F91404">
              <w:rPr>
                <w:rFonts w:eastAsia="Times New Roman" w:cstheme="minorHAnsi"/>
                <w:sz w:val="18"/>
                <w:szCs w:val="18"/>
                <w:lang w:eastAsia="es-MX"/>
              </w:rPr>
              <w:br/>
              <w:t>Electrolysis projects linked to renewable electricity and, in some cases, CCUS-enabled low-carbon hydrogen, supported through competitive allocation rounds under the Hydrogen Production Business Model.</w:t>
            </w:r>
          </w:p>
          <w:p w14:paraId="34BB244C" w14:textId="77777777" w:rsidR="00420CBB" w:rsidRPr="00F91404" w:rsidRDefault="00420CBB" w:rsidP="006A7AFC">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Storage:</w:t>
            </w:r>
            <w:r w:rsidRPr="00F91404">
              <w:rPr>
                <w:rFonts w:eastAsia="Times New Roman" w:cstheme="minorHAnsi"/>
                <w:sz w:val="18"/>
                <w:szCs w:val="18"/>
                <w:lang w:eastAsia="es-MX"/>
              </w:rPr>
              <w:br/>
              <w:t>Development of geological storage, including salt caverns, particularly within industrial cluster regions to provide flexibility and support large-scale deployment.</w:t>
            </w:r>
          </w:p>
          <w:p w14:paraId="0A6C58CC" w14:textId="77777777" w:rsidR="00420CBB" w:rsidRPr="00F91404" w:rsidRDefault="00420CBB" w:rsidP="006A7AFC">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Transport / Distribution:</w:t>
            </w:r>
            <w:r w:rsidRPr="00F91404">
              <w:rPr>
                <w:rFonts w:eastAsia="Times New Roman" w:cstheme="minorHAnsi"/>
                <w:sz w:val="18"/>
                <w:szCs w:val="18"/>
                <w:lang w:eastAsia="es-MX"/>
              </w:rPr>
              <w:br/>
              <w:t>Cluster-based hydrogen networks connected to industrial users, with exploration of pipeline repurposing and regulated network adaptation under Ofgem oversight.</w:t>
            </w:r>
          </w:p>
          <w:p w14:paraId="754C7F52" w14:textId="2FE93A03" w:rsidR="0064603E" w:rsidRPr="00F91404" w:rsidRDefault="00420CBB" w:rsidP="006A7AFC">
            <w:pPr>
              <w:spacing w:after="0" w:line="276" w:lineRule="auto"/>
              <w:rPr>
                <w:rFonts w:eastAsia="Times New Roman" w:cstheme="minorHAnsi"/>
                <w:sz w:val="18"/>
                <w:szCs w:val="18"/>
                <w:lang w:eastAsia="es-MX"/>
              </w:rPr>
            </w:pPr>
            <w:r w:rsidRPr="00F91404">
              <w:rPr>
                <w:rFonts w:eastAsia="Times New Roman" w:cstheme="minorHAnsi"/>
                <w:b/>
                <w:bCs/>
                <w:sz w:val="18"/>
                <w:szCs w:val="18"/>
                <w:lang w:eastAsia="es-MX"/>
              </w:rPr>
              <w:t>Applications:</w:t>
            </w:r>
            <w:r w:rsidRPr="00F91404">
              <w:rPr>
                <w:rFonts w:eastAsia="Times New Roman" w:cstheme="minorHAnsi"/>
                <w:sz w:val="18"/>
                <w:szCs w:val="18"/>
                <w:lang w:eastAsia="es-MX"/>
              </w:rPr>
              <w:br/>
              <w:t>Primary applications in industrial heat, refining and chemicals within regional clusters, alongside emerging use in power generation, dispatchable generation and selected heavy transport applications.</w:t>
            </w:r>
          </w:p>
        </w:tc>
        <w:tc>
          <w:tcPr>
            <w:tcW w:w="76" w:type="pct"/>
            <w:vAlign w:val="center"/>
          </w:tcPr>
          <w:p w14:paraId="12BD5A1D" w14:textId="77777777" w:rsidR="0064603E" w:rsidRPr="00F91404" w:rsidRDefault="0064603E" w:rsidP="0064603E">
            <w:pPr>
              <w:spacing w:after="0"/>
              <w:rPr>
                <w:rFonts w:eastAsia="Times New Roman" w:cstheme="minorHAnsi"/>
                <w:sz w:val="18"/>
                <w:szCs w:val="18"/>
                <w:lang w:eastAsia="es-MX"/>
              </w:rPr>
            </w:pPr>
          </w:p>
        </w:tc>
      </w:tr>
      <w:tr w:rsidR="0064603E" w:rsidRPr="00F91404" w14:paraId="10D02909" w14:textId="77777777" w:rsidTr="001F2A9A">
        <w:trPr>
          <w:trHeight w:val="381"/>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0F8CCB49" w14:textId="3A1B1EFA" w:rsidR="0064603E" w:rsidRPr="00F91404" w:rsidRDefault="0064603E" w:rsidP="0064603E">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Strategic Stage &amp; Objective</w:t>
            </w:r>
          </w:p>
        </w:tc>
        <w:tc>
          <w:tcPr>
            <w:tcW w:w="76" w:type="pct"/>
            <w:vAlign w:val="center"/>
          </w:tcPr>
          <w:p w14:paraId="275F5F1A" w14:textId="77777777" w:rsidR="0064603E" w:rsidRPr="00F91404" w:rsidRDefault="0064603E" w:rsidP="0064603E">
            <w:pPr>
              <w:spacing w:after="0"/>
              <w:rPr>
                <w:rFonts w:eastAsia="Times New Roman" w:cstheme="minorHAnsi"/>
                <w:sz w:val="18"/>
                <w:szCs w:val="18"/>
                <w:lang w:eastAsia="es-MX"/>
              </w:rPr>
            </w:pPr>
          </w:p>
        </w:tc>
      </w:tr>
      <w:tr w:rsidR="0064603E" w:rsidRPr="00F91404" w14:paraId="14BCFAB2" w14:textId="77777777" w:rsidTr="00420CBB">
        <w:trPr>
          <w:trHeight w:val="2512"/>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65C9A874" w14:textId="77777777" w:rsidR="00420CBB" w:rsidRPr="00F91404" w:rsidRDefault="00420CBB" w:rsidP="00420CBB">
            <w:pPr>
              <w:spacing w:after="0"/>
              <w:rPr>
                <w:rFonts w:eastAsia="Times New Roman" w:cstheme="minorHAnsi"/>
                <w:sz w:val="18"/>
                <w:szCs w:val="18"/>
                <w:lang w:eastAsia="es-MX"/>
              </w:rPr>
            </w:pPr>
            <w:r w:rsidRPr="00F91404">
              <w:rPr>
                <w:rFonts w:eastAsia="Times New Roman" w:cstheme="minorHAnsi"/>
                <w:b/>
                <w:bCs/>
                <w:sz w:val="18"/>
                <w:szCs w:val="18"/>
                <w:lang w:eastAsia="es-MX"/>
              </w:rPr>
              <w:t>Current Stage:</w:t>
            </w:r>
            <w:r w:rsidRPr="00F91404">
              <w:rPr>
                <w:rFonts w:eastAsia="Times New Roman" w:cstheme="minorHAnsi"/>
                <w:sz w:val="18"/>
                <w:szCs w:val="18"/>
                <w:lang w:eastAsia="es-MX"/>
              </w:rPr>
              <w:t xml:space="preserve"> Scaling / Contract-based market creation.</w:t>
            </w:r>
          </w:p>
          <w:p w14:paraId="04505810" w14:textId="77777777" w:rsidR="00420CBB" w:rsidRPr="00F91404" w:rsidRDefault="00420CBB" w:rsidP="00420CBB">
            <w:pPr>
              <w:spacing w:after="0"/>
              <w:rPr>
                <w:rFonts w:eastAsia="Times New Roman" w:cstheme="minorHAnsi"/>
                <w:sz w:val="18"/>
                <w:szCs w:val="18"/>
                <w:lang w:eastAsia="es-MX"/>
              </w:rPr>
            </w:pPr>
            <w:r w:rsidRPr="00F91404">
              <w:rPr>
                <w:rFonts w:eastAsia="Times New Roman" w:cstheme="minorHAnsi"/>
                <w:b/>
                <w:bCs/>
                <w:sz w:val="18"/>
                <w:szCs w:val="18"/>
                <w:lang w:eastAsia="es-MX"/>
              </w:rPr>
              <w:t>Overall Objective:</w:t>
            </w:r>
            <w:r w:rsidRPr="00F91404">
              <w:rPr>
                <w:rFonts w:eastAsia="Times New Roman" w:cstheme="minorHAnsi"/>
                <w:sz w:val="18"/>
                <w:szCs w:val="18"/>
                <w:lang w:eastAsia="es-MX"/>
              </w:rPr>
              <w:br/>
              <w:t>Establish a replicable, contract-backed hydrogen market that supports industrial decarbonisation and contributes to achieving net-zero emissions by 2050, while maintaining system reliability and competitiveness.</w:t>
            </w:r>
          </w:p>
          <w:p w14:paraId="1CC307C7" w14:textId="1DFE4FD2" w:rsidR="0064603E" w:rsidRPr="00F91404" w:rsidRDefault="00420CBB" w:rsidP="00420CBB">
            <w:pPr>
              <w:spacing w:after="0"/>
              <w:rPr>
                <w:rFonts w:eastAsia="Times New Roman" w:cstheme="minorHAnsi"/>
                <w:sz w:val="18"/>
                <w:szCs w:val="18"/>
                <w:lang w:eastAsia="es-MX"/>
              </w:rPr>
            </w:pPr>
            <w:r w:rsidRPr="00F91404">
              <w:rPr>
                <w:rFonts w:eastAsia="Times New Roman" w:cstheme="minorHAnsi"/>
                <w:sz w:val="18"/>
                <w:szCs w:val="18"/>
                <w:lang w:eastAsia="es-MX"/>
              </w:rPr>
              <w:t>Implementation has progressed from strategy definition toward structured allocation rounds, standardised long-term contracts and coordinated cluster development to enable parallel project deployment.</w:t>
            </w:r>
          </w:p>
        </w:tc>
        <w:tc>
          <w:tcPr>
            <w:tcW w:w="76" w:type="pct"/>
            <w:vAlign w:val="center"/>
          </w:tcPr>
          <w:p w14:paraId="010E180A" w14:textId="77777777" w:rsidR="0064603E" w:rsidRPr="00F91404" w:rsidRDefault="0064603E" w:rsidP="0064603E">
            <w:pPr>
              <w:spacing w:after="0"/>
              <w:rPr>
                <w:rFonts w:eastAsia="Times New Roman" w:cstheme="minorHAnsi"/>
                <w:sz w:val="18"/>
                <w:szCs w:val="18"/>
                <w:lang w:eastAsia="es-MX"/>
              </w:rPr>
            </w:pPr>
          </w:p>
        </w:tc>
      </w:tr>
      <w:tr w:rsidR="0064603E" w:rsidRPr="00F91404" w14:paraId="1D5A1979" w14:textId="77777777" w:rsidTr="001F2A9A">
        <w:trPr>
          <w:trHeight w:val="414"/>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30EA47F2" w14:textId="3D802A72" w:rsidR="0064603E" w:rsidRPr="00F91404" w:rsidRDefault="0064603E" w:rsidP="0064603E">
            <w:pPr>
              <w:spacing w:after="0"/>
              <w:jc w:val="center"/>
              <w:rPr>
                <w:rFonts w:eastAsia="Times New Roman" w:cstheme="minorHAnsi"/>
                <w:sz w:val="18"/>
                <w:szCs w:val="18"/>
                <w:lang w:eastAsia="es-MX"/>
              </w:rPr>
            </w:pPr>
            <w:r w:rsidRPr="00F91404">
              <w:rPr>
                <w:rFonts w:asciiTheme="majorHAnsi" w:eastAsia="Times New Roman" w:hAnsiTheme="majorHAnsi" w:cstheme="majorHAnsi"/>
                <w:b/>
                <w:bCs/>
                <w:sz w:val="18"/>
                <w:szCs w:val="18"/>
                <w:lang w:eastAsia="es-MX"/>
              </w:rPr>
              <w:t>Key Stakeholders</w:t>
            </w:r>
          </w:p>
        </w:tc>
        <w:tc>
          <w:tcPr>
            <w:tcW w:w="76" w:type="pct"/>
            <w:vAlign w:val="center"/>
          </w:tcPr>
          <w:p w14:paraId="26D6E69F" w14:textId="77777777" w:rsidR="0064603E" w:rsidRPr="00F91404" w:rsidRDefault="0064603E" w:rsidP="0064603E">
            <w:pPr>
              <w:spacing w:after="0"/>
              <w:rPr>
                <w:rFonts w:eastAsia="Times New Roman" w:cstheme="minorHAnsi"/>
                <w:sz w:val="18"/>
                <w:szCs w:val="18"/>
                <w:lang w:eastAsia="es-MX"/>
              </w:rPr>
            </w:pPr>
          </w:p>
        </w:tc>
      </w:tr>
      <w:tr w:rsidR="0064603E" w:rsidRPr="00F91404" w14:paraId="21260140" w14:textId="77777777" w:rsidTr="00420CBB">
        <w:trPr>
          <w:trHeight w:val="3307"/>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00A69181" w14:textId="77777777" w:rsidR="00420CBB" w:rsidRPr="00F91404" w:rsidRDefault="00420CBB" w:rsidP="006A7AFC">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Hydrogen governance and delivery involve coordinated national and regulatory institutions:</w:t>
            </w:r>
          </w:p>
          <w:p w14:paraId="11289F9D" w14:textId="77777777" w:rsidR="00420CBB" w:rsidRPr="00F91404" w:rsidRDefault="00420CBB" w:rsidP="006A7AFC">
            <w:pPr>
              <w:numPr>
                <w:ilvl w:val="0"/>
                <w:numId w:val="4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Department for Energy Security &amp; Net Zero (DESNZ) – strategic leadership and market design</w:t>
            </w:r>
          </w:p>
          <w:p w14:paraId="5E8001C8" w14:textId="77777777" w:rsidR="00420CBB" w:rsidRPr="00F91404" w:rsidRDefault="00420CBB" w:rsidP="006A7AFC">
            <w:pPr>
              <w:numPr>
                <w:ilvl w:val="0"/>
                <w:numId w:val="4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Ofgem – regulation of gas and electricity networks</w:t>
            </w:r>
          </w:p>
          <w:p w14:paraId="6FD14064" w14:textId="77777777" w:rsidR="00420CBB" w:rsidRPr="00F91404" w:rsidRDefault="00420CBB" w:rsidP="006A7AFC">
            <w:pPr>
              <w:numPr>
                <w:ilvl w:val="0"/>
                <w:numId w:val="4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Low Carbon Contracts Company (LCCC) – contractual counterparty for hydrogen revenue support</w:t>
            </w:r>
          </w:p>
          <w:p w14:paraId="49A01FAF" w14:textId="77777777" w:rsidR="00420CBB" w:rsidRPr="00F91404" w:rsidRDefault="00420CBB" w:rsidP="006A7AFC">
            <w:pPr>
              <w:numPr>
                <w:ilvl w:val="0"/>
                <w:numId w:val="4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Industrial cluster partnerships and private project developers</w:t>
            </w:r>
          </w:p>
          <w:p w14:paraId="1EEC5105" w14:textId="77777777" w:rsidR="00420CBB" w:rsidRPr="00F91404" w:rsidRDefault="00420CBB" w:rsidP="006A7AFC">
            <w:pPr>
              <w:numPr>
                <w:ilvl w:val="0"/>
                <w:numId w:val="4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National Grid and regional network operators</w:t>
            </w:r>
          </w:p>
          <w:p w14:paraId="6AECFB7D" w14:textId="77777777" w:rsidR="00420CBB" w:rsidRPr="00F91404" w:rsidRDefault="00420CBB" w:rsidP="006A7AFC">
            <w:pPr>
              <w:numPr>
                <w:ilvl w:val="0"/>
                <w:numId w:val="4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UK Infrastructure Bank and public funding bodies</w:t>
            </w:r>
          </w:p>
          <w:p w14:paraId="2078DFFA" w14:textId="77777777" w:rsidR="00420CBB" w:rsidRPr="00F91404" w:rsidRDefault="00420CBB" w:rsidP="006A7AFC">
            <w:pPr>
              <w:numPr>
                <w:ilvl w:val="0"/>
                <w:numId w:val="46"/>
              </w:num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Devolved administrations (Scotland, Wales, Northern Ireland) for regional implementation</w:t>
            </w:r>
          </w:p>
          <w:p w14:paraId="248FFF87" w14:textId="6B701130" w:rsidR="0064603E" w:rsidRPr="00F91404" w:rsidRDefault="00420CBB" w:rsidP="006A7AFC">
            <w:pPr>
              <w:spacing w:after="0" w:line="276" w:lineRule="auto"/>
              <w:rPr>
                <w:rFonts w:eastAsia="Times New Roman" w:cstheme="minorHAnsi"/>
                <w:sz w:val="18"/>
                <w:szCs w:val="18"/>
                <w:lang w:eastAsia="es-MX"/>
              </w:rPr>
            </w:pPr>
            <w:r w:rsidRPr="00F91404">
              <w:rPr>
                <w:rFonts w:eastAsia="Times New Roman" w:cstheme="minorHAnsi"/>
                <w:sz w:val="18"/>
                <w:szCs w:val="18"/>
                <w:lang w:eastAsia="es-MX"/>
              </w:rPr>
              <w:t>Stakeholder engagement is structured through consultation processes linked to allocation rounds and cluster-based decarbonisation programmes.</w:t>
            </w:r>
          </w:p>
        </w:tc>
        <w:tc>
          <w:tcPr>
            <w:tcW w:w="76" w:type="pct"/>
            <w:vAlign w:val="center"/>
          </w:tcPr>
          <w:p w14:paraId="434AA197" w14:textId="77777777" w:rsidR="0064603E" w:rsidRPr="00F91404" w:rsidRDefault="0064603E" w:rsidP="0064603E">
            <w:pPr>
              <w:spacing w:after="0"/>
              <w:rPr>
                <w:rFonts w:eastAsia="Times New Roman" w:cstheme="minorHAnsi"/>
                <w:sz w:val="18"/>
                <w:szCs w:val="18"/>
                <w:lang w:eastAsia="es-MX"/>
              </w:rPr>
            </w:pPr>
          </w:p>
        </w:tc>
      </w:tr>
      <w:tr w:rsidR="0064603E" w:rsidRPr="00F91404" w14:paraId="0EA3BB0D" w14:textId="77777777" w:rsidTr="00816A15">
        <w:trPr>
          <w:trHeight w:val="391"/>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40C948E0" w14:textId="456EB674" w:rsidR="0064603E" w:rsidRPr="00F91404" w:rsidRDefault="0064603E" w:rsidP="0064603E">
            <w:pPr>
              <w:spacing w:after="0"/>
              <w:jc w:val="center"/>
              <w:rPr>
                <w:rFonts w:eastAsia="Times New Roman" w:cstheme="minorHAnsi"/>
                <w:sz w:val="18"/>
                <w:szCs w:val="18"/>
                <w:lang w:eastAsia="es-MX"/>
              </w:rPr>
            </w:pPr>
            <w:r w:rsidRPr="00F91404">
              <w:rPr>
                <w:rFonts w:eastAsia="Times New Roman" w:cstheme="minorHAnsi"/>
                <w:b/>
                <w:color w:val="FFFFFF"/>
                <w:sz w:val="18"/>
                <w:szCs w:val="18"/>
                <w:lang w:eastAsia="es-MX"/>
              </w:rPr>
              <w:t>Impact on project development:</w:t>
            </w:r>
          </w:p>
        </w:tc>
        <w:tc>
          <w:tcPr>
            <w:tcW w:w="76" w:type="pct"/>
            <w:vAlign w:val="center"/>
          </w:tcPr>
          <w:p w14:paraId="04FD90AC" w14:textId="77777777" w:rsidR="0064603E" w:rsidRPr="00F91404" w:rsidRDefault="0064603E" w:rsidP="0064603E">
            <w:pPr>
              <w:spacing w:after="0"/>
              <w:rPr>
                <w:rFonts w:eastAsia="Times New Roman" w:cstheme="minorHAnsi"/>
                <w:sz w:val="18"/>
                <w:szCs w:val="18"/>
                <w:lang w:eastAsia="es-MX"/>
              </w:rPr>
            </w:pPr>
          </w:p>
        </w:tc>
      </w:tr>
      <w:tr w:rsidR="0064603E" w:rsidRPr="00F91404" w14:paraId="0298050F" w14:textId="77777777" w:rsidTr="00816A15">
        <w:trPr>
          <w:trHeight w:val="917"/>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FFFFFF" w:themeFill="background1"/>
            <w:vAlign w:val="center"/>
          </w:tcPr>
          <w:p w14:paraId="435A46E0" w14:textId="77777777" w:rsidR="0064603E" w:rsidRPr="00F91404" w:rsidRDefault="0064603E" w:rsidP="0064603E">
            <w:pPr>
              <w:pStyle w:val="ListParagraph"/>
              <w:numPr>
                <w:ilvl w:val="0"/>
                <w:numId w:val="32"/>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Standardised revenue contracts</w:t>
            </w:r>
            <w:r w:rsidRPr="00F91404">
              <w:rPr>
                <w:rFonts w:eastAsia="Times New Roman" w:cstheme="minorHAnsi"/>
                <w:sz w:val="18"/>
                <w:szCs w:val="18"/>
                <w:lang w:eastAsia="es-MX"/>
              </w:rPr>
              <w:t xml:space="preserve"> have reduced revenue uncertainty and improved project bankability</w:t>
            </w:r>
          </w:p>
          <w:p w14:paraId="795DC4D5" w14:textId="77777777" w:rsidR="0064603E" w:rsidRPr="00F91404" w:rsidRDefault="0064603E" w:rsidP="0064603E">
            <w:pPr>
              <w:pStyle w:val="ListParagraph"/>
              <w:numPr>
                <w:ilvl w:val="0"/>
                <w:numId w:val="32"/>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Competitive allocation rounds</w:t>
            </w:r>
            <w:r w:rsidRPr="00F91404">
              <w:rPr>
                <w:rFonts w:eastAsia="Times New Roman" w:cstheme="minorHAnsi"/>
                <w:sz w:val="18"/>
                <w:szCs w:val="18"/>
                <w:lang w:eastAsia="es-MX"/>
              </w:rPr>
              <w:t xml:space="preserve"> have created a repeatable pathway from project selection to delivery</w:t>
            </w:r>
          </w:p>
          <w:p w14:paraId="1D5507D5" w14:textId="77777777" w:rsidR="0064603E" w:rsidRPr="00F91404" w:rsidRDefault="0064603E" w:rsidP="0064603E">
            <w:pPr>
              <w:pStyle w:val="ListParagraph"/>
              <w:numPr>
                <w:ilvl w:val="0"/>
                <w:numId w:val="32"/>
              </w:numPr>
              <w:spacing w:before="240" w:after="140" w:line="276" w:lineRule="auto"/>
              <w:rPr>
                <w:rFonts w:eastAsia="Times New Roman" w:cstheme="minorHAnsi"/>
                <w:sz w:val="18"/>
                <w:szCs w:val="18"/>
                <w:lang w:eastAsia="es-MX"/>
              </w:rPr>
            </w:pPr>
            <w:r w:rsidRPr="00F91404">
              <w:rPr>
                <w:rFonts w:eastAsia="Times New Roman" w:cstheme="minorHAnsi"/>
                <w:b/>
                <w:sz w:val="18"/>
                <w:szCs w:val="18"/>
                <w:lang w:eastAsia="es-MX"/>
              </w:rPr>
              <w:t>Cluster-based deployment</w:t>
            </w:r>
            <w:r w:rsidRPr="00F91404">
              <w:rPr>
                <w:rFonts w:eastAsia="Times New Roman" w:cstheme="minorHAnsi"/>
                <w:sz w:val="18"/>
                <w:szCs w:val="18"/>
                <w:lang w:eastAsia="es-MX"/>
              </w:rPr>
              <w:t xml:space="preserve"> has lowered coordination and infrastructure risk</w:t>
            </w:r>
          </w:p>
          <w:p w14:paraId="621A31F2" w14:textId="77777777" w:rsidR="0064603E" w:rsidRPr="00F91404" w:rsidRDefault="0064603E" w:rsidP="0064603E">
            <w:pPr>
              <w:pStyle w:val="ListParagraph"/>
              <w:numPr>
                <w:ilvl w:val="0"/>
                <w:numId w:val="32"/>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 xml:space="preserve">The combined approach has enabled </w:t>
            </w:r>
            <w:r w:rsidRPr="00F91404">
              <w:rPr>
                <w:rFonts w:eastAsia="Times New Roman" w:cstheme="minorHAnsi"/>
                <w:b/>
                <w:sz w:val="18"/>
                <w:szCs w:val="18"/>
                <w:lang w:eastAsia="es-MX"/>
              </w:rPr>
              <w:t>parallel development of multiple projects</w:t>
            </w:r>
            <w:r w:rsidRPr="00F91404">
              <w:rPr>
                <w:rFonts w:eastAsia="Times New Roman" w:cstheme="minorHAnsi"/>
                <w:sz w:val="18"/>
                <w:szCs w:val="18"/>
                <w:lang w:eastAsia="es-MX"/>
              </w:rPr>
              <w:t>, rather than isolated pilots</w:t>
            </w:r>
          </w:p>
          <w:p w14:paraId="21FAFA44" w14:textId="77777777" w:rsidR="0064603E" w:rsidRPr="00F91404" w:rsidRDefault="0064603E" w:rsidP="0064603E">
            <w:pPr>
              <w:pStyle w:val="ListParagraph"/>
              <w:numPr>
                <w:ilvl w:val="0"/>
                <w:numId w:val="32"/>
              </w:numPr>
              <w:spacing w:before="240" w:after="140" w:line="276" w:lineRule="auto"/>
              <w:rPr>
                <w:rFonts w:eastAsia="Times New Roman" w:cstheme="minorHAnsi"/>
                <w:sz w:val="18"/>
                <w:szCs w:val="18"/>
                <w:lang w:eastAsia="es-MX"/>
              </w:rPr>
            </w:pPr>
            <w:r w:rsidRPr="00F91404">
              <w:rPr>
                <w:rFonts w:eastAsia="Times New Roman" w:cstheme="minorHAnsi"/>
                <w:sz w:val="18"/>
                <w:szCs w:val="18"/>
                <w:lang w:eastAsia="es-MX"/>
              </w:rPr>
              <w:t xml:space="preserve">Policy outcomes reflect a </w:t>
            </w:r>
            <w:r w:rsidRPr="00F91404">
              <w:rPr>
                <w:rFonts w:eastAsia="Times New Roman" w:cstheme="minorHAnsi"/>
                <w:b/>
                <w:sz w:val="18"/>
                <w:szCs w:val="18"/>
                <w:lang w:eastAsia="es-MX"/>
              </w:rPr>
              <w:t>scalable and replicable market design</w:t>
            </w:r>
            <w:r w:rsidRPr="00F91404">
              <w:rPr>
                <w:rFonts w:eastAsia="Times New Roman" w:cstheme="minorHAnsi"/>
                <w:sz w:val="18"/>
                <w:szCs w:val="18"/>
                <w:lang w:eastAsia="es-MX"/>
              </w:rPr>
              <w:t>, aligned with industrial decarbonisation goals</w:t>
            </w:r>
          </w:p>
          <w:p w14:paraId="3A4BADC7" w14:textId="77777777" w:rsidR="0064603E" w:rsidRPr="00F91404" w:rsidRDefault="0064603E" w:rsidP="0064603E">
            <w:pPr>
              <w:spacing w:after="0"/>
              <w:jc w:val="center"/>
              <w:rPr>
                <w:rFonts w:eastAsia="Times New Roman" w:cstheme="minorHAnsi"/>
                <w:sz w:val="18"/>
                <w:szCs w:val="18"/>
                <w:lang w:eastAsia="es-MX"/>
              </w:rPr>
            </w:pPr>
          </w:p>
        </w:tc>
        <w:tc>
          <w:tcPr>
            <w:tcW w:w="76" w:type="pct"/>
            <w:vAlign w:val="center"/>
          </w:tcPr>
          <w:p w14:paraId="04566CC9" w14:textId="77777777" w:rsidR="0064603E" w:rsidRPr="00F91404" w:rsidRDefault="0064603E" w:rsidP="0064603E">
            <w:pPr>
              <w:spacing w:after="0"/>
              <w:rPr>
                <w:rFonts w:eastAsia="Times New Roman" w:cstheme="minorHAnsi"/>
                <w:sz w:val="18"/>
                <w:szCs w:val="18"/>
                <w:lang w:eastAsia="es-MX"/>
              </w:rPr>
            </w:pPr>
          </w:p>
        </w:tc>
      </w:tr>
      <w:tr w:rsidR="0064603E" w:rsidRPr="00F91404" w14:paraId="7E39FEEF" w14:textId="77777777" w:rsidTr="00816A15">
        <w:trPr>
          <w:trHeight w:val="400"/>
        </w:trPr>
        <w:tc>
          <w:tcPr>
            <w:tcW w:w="4924" w:type="pct"/>
            <w:gridSpan w:val="8"/>
            <w:tcBorders>
              <w:top w:val="single" w:sz="12" w:space="0" w:color="808080"/>
              <w:left w:val="single" w:sz="12" w:space="0" w:color="808080"/>
              <w:bottom w:val="single" w:sz="12" w:space="0" w:color="808080"/>
              <w:right w:val="single" w:sz="12" w:space="0" w:color="808080"/>
            </w:tcBorders>
            <w:shd w:val="clear" w:color="auto" w:fill="004C43" w:themeFill="accent1"/>
            <w:vAlign w:val="center"/>
          </w:tcPr>
          <w:p w14:paraId="4E478D4A" w14:textId="518914BD" w:rsidR="0064603E" w:rsidRPr="00F91404" w:rsidRDefault="0064603E" w:rsidP="0064603E">
            <w:pPr>
              <w:spacing w:after="0"/>
              <w:jc w:val="center"/>
              <w:rPr>
                <w:rFonts w:eastAsia="Times New Roman" w:cstheme="minorHAnsi"/>
                <w:b/>
                <w:color w:val="FFFFFF"/>
                <w:sz w:val="18"/>
                <w:szCs w:val="18"/>
                <w:lang w:eastAsia="es-MX"/>
              </w:rPr>
            </w:pPr>
            <w:r w:rsidRPr="00F91404">
              <w:rPr>
                <w:rFonts w:asciiTheme="majorHAnsi" w:eastAsia="Times New Roman" w:hAnsiTheme="majorHAnsi" w:cstheme="majorHAnsi"/>
                <w:b/>
                <w:color w:val="FFFFFF"/>
                <w:sz w:val="18"/>
                <w:szCs w:val="18"/>
                <w:lang w:eastAsia="es-MX"/>
              </w:rPr>
              <w:lastRenderedPageBreak/>
              <w:t>Official Hydrogen Portals</w:t>
            </w:r>
          </w:p>
        </w:tc>
        <w:tc>
          <w:tcPr>
            <w:tcW w:w="76" w:type="pct"/>
            <w:vAlign w:val="center"/>
            <w:hideMark/>
          </w:tcPr>
          <w:p w14:paraId="2A04338A" w14:textId="77777777" w:rsidR="0064603E" w:rsidRPr="00F91404" w:rsidRDefault="0064603E" w:rsidP="0064603E">
            <w:pPr>
              <w:spacing w:after="0"/>
              <w:rPr>
                <w:rFonts w:eastAsia="Times New Roman" w:cstheme="minorHAnsi"/>
                <w:sz w:val="18"/>
                <w:szCs w:val="18"/>
                <w:lang w:eastAsia="es-MX"/>
              </w:rPr>
            </w:pPr>
          </w:p>
        </w:tc>
      </w:tr>
      <w:tr w:rsidR="0064603E" w:rsidRPr="00F91404" w14:paraId="4B192E70" w14:textId="77777777" w:rsidTr="00816A15">
        <w:trPr>
          <w:trHeight w:val="1220"/>
        </w:trPr>
        <w:tc>
          <w:tcPr>
            <w:tcW w:w="4924" w:type="pct"/>
            <w:gridSpan w:val="8"/>
            <w:vMerge w:val="restart"/>
            <w:tcBorders>
              <w:top w:val="single" w:sz="12" w:space="0" w:color="808080"/>
              <w:left w:val="single" w:sz="12" w:space="0" w:color="808080"/>
              <w:bottom w:val="single" w:sz="12" w:space="0" w:color="808080"/>
              <w:right w:val="single" w:sz="12" w:space="0" w:color="808080"/>
            </w:tcBorders>
            <w:vAlign w:val="center"/>
          </w:tcPr>
          <w:p w14:paraId="555500EE" w14:textId="182EEB73" w:rsidR="00420CBB" w:rsidRPr="00F91404" w:rsidRDefault="00420CBB" w:rsidP="00420CBB">
            <w:pPr>
              <w:pStyle w:val="ListParagraph"/>
              <w:numPr>
                <w:ilvl w:val="0"/>
                <w:numId w:val="46"/>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UK Government – UK Hydrogen Strategy:</w:t>
            </w:r>
            <w:r w:rsidRPr="00F91404">
              <w:rPr>
                <w:rFonts w:eastAsia="Times New Roman" w:cstheme="minorHAnsi"/>
                <w:b/>
                <w:color w:val="000000"/>
                <w:sz w:val="18"/>
                <w:szCs w:val="18"/>
                <w:lang w:eastAsia="es-MX"/>
              </w:rPr>
              <w:br/>
            </w:r>
            <w:hyperlink r:id="rId102" w:tgtFrame="_new" w:history="1">
              <w:r w:rsidRPr="00F91404">
                <w:rPr>
                  <w:rStyle w:val="Hyperlink"/>
                  <w:rFonts w:eastAsia="Times New Roman" w:cstheme="minorHAnsi"/>
                  <w:b/>
                  <w:szCs w:val="18"/>
                  <w:lang w:eastAsia="es-MX"/>
                </w:rPr>
                <w:t>https://www.gov.uk/government/publications/uk-hydrogen-strategy</w:t>
              </w:r>
            </w:hyperlink>
          </w:p>
          <w:p w14:paraId="39118187" w14:textId="4C26779C" w:rsidR="00420CBB" w:rsidRPr="00F91404" w:rsidRDefault="00420CBB" w:rsidP="00420CBB">
            <w:pPr>
              <w:pStyle w:val="ListParagraph"/>
              <w:numPr>
                <w:ilvl w:val="0"/>
                <w:numId w:val="46"/>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Department for Energy Security &amp; Net Zero (DESNZ):</w:t>
            </w:r>
            <w:r w:rsidRPr="00F91404">
              <w:rPr>
                <w:rFonts w:eastAsia="Times New Roman" w:cstheme="minorHAnsi"/>
                <w:b/>
                <w:color w:val="000000"/>
                <w:sz w:val="18"/>
                <w:szCs w:val="18"/>
                <w:lang w:eastAsia="es-MX"/>
              </w:rPr>
              <w:br/>
            </w:r>
            <w:hyperlink r:id="rId103" w:tgtFrame="_new" w:history="1">
              <w:r w:rsidRPr="00F91404">
                <w:rPr>
                  <w:rStyle w:val="Hyperlink"/>
                  <w:rFonts w:eastAsia="Times New Roman" w:cstheme="minorHAnsi"/>
                  <w:b/>
                  <w:szCs w:val="18"/>
                  <w:lang w:eastAsia="es-MX"/>
                </w:rPr>
                <w:t>https://www.gov.uk/government/organisations/department-for-energy-security-and-net-zero</w:t>
              </w:r>
            </w:hyperlink>
          </w:p>
          <w:p w14:paraId="6FA2F46D" w14:textId="7F18416F" w:rsidR="00420CBB" w:rsidRPr="00F91404" w:rsidRDefault="00420CBB" w:rsidP="00420CBB">
            <w:pPr>
              <w:pStyle w:val="ListParagraph"/>
              <w:numPr>
                <w:ilvl w:val="0"/>
                <w:numId w:val="46"/>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Hydrogen Production Business Model and Allocation Rounds:</w:t>
            </w:r>
            <w:r w:rsidRPr="00F91404">
              <w:rPr>
                <w:rFonts w:eastAsia="Times New Roman" w:cstheme="minorHAnsi"/>
                <w:b/>
                <w:color w:val="000000"/>
                <w:sz w:val="18"/>
                <w:szCs w:val="18"/>
                <w:lang w:eastAsia="es-MX"/>
              </w:rPr>
              <w:br/>
            </w:r>
            <w:hyperlink r:id="rId104" w:history="1">
              <w:r w:rsidRPr="00F91404">
                <w:rPr>
                  <w:rStyle w:val="Hyperlink"/>
                  <w:rFonts w:eastAsia="Times New Roman" w:cstheme="minorHAnsi"/>
                  <w:b/>
                  <w:szCs w:val="18"/>
                  <w:lang w:eastAsia="es-MX"/>
                </w:rPr>
                <w:t>https://www.gov.uk/government/collections/hydrogen-production-business-model</w:t>
              </w:r>
            </w:hyperlink>
            <w:r w:rsidRPr="00F91404">
              <w:rPr>
                <w:rFonts w:eastAsia="Times New Roman" w:cstheme="minorHAnsi"/>
                <w:b/>
                <w:color w:val="000000"/>
                <w:sz w:val="18"/>
                <w:szCs w:val="18"/>
                <w:lang w:eastAsia="es-MX"/>
              </w:rPr>
              <w:t xml:space="preserve"> </w:t>
            </w:r>
          </w:p>
          <w:p w14:paraId="5987F860" w14:textId="0649E387" w:rsidR="00420CBB" w:rsidRPr="00F91404" w:rsidRDefault="00420CBB" w:rsidP="00420CBB">
            <w:pPr>
              <w:pStyle w:val="ListParagraph"/>
              <w:numPr>
                <w:ilvl w:val="0"/>
                <w:numId w:val="46"/>
              </w:numPr>
              <w:spacing w:after="0"/>
              <w:rPr>
                <w:rFonts w:eastAsia="Times New Roman" w:cstheme="minorHAnsi"/>
                <w:b/>
                <w:color w:val="000000"/>
                <w:sz w:val="18"/>
                <w:szCs w:val="18"/>
                <w:lang w:eastAsia="es-MX"/>
              </w:rPr>
            </w:pPr>
            <w:r w:rsidRPr="00F91404">
              <w:rPr>
                <w:rFonts w:eastAsia="Times New Roman" w:cstheme="minorHAnsi"/>
                <w:b/>
                <w:color w:val="000000"/>
                <w:sz w:val="18"/>
                <w:szCs w:val="18"/>
                <w:lang w:eastAsia="es-MX"/>
              </w:rPr>
              <w:t>Low Carbon Hydrogen Standard:</w:t>
            </w:r>
            <w:r w:rsidRPr="00F91404">
              <w:rPr>
                <w:rFonts w:eastAsia="Times New Roman" w:cstheme="minorHAnsi"/>
                <w:b/>
                <w:color w:val="000000"/>
                <w:sz w:val="18"/>
                <w:szCs w:val="18"/>
                <w:lang w:eastAsia="es-MX"/>
              </w:rPr>
              <w:br/>
            </w:r>
            <w:hyperlink r:id="rId105" w:history="1">
              <w:r w:rsidRPr="00F91404">
                <w:rPr>
                  <w:rStyle w:val="Hyperlink"/>
                  <w:rFonts w:eastAsia="Times New Roman" w:cstheme="minorHAnsi"/>
                  <w:b/>
                  <w:szCs w:val="18"/>
                  <w:lang w:eastAsia="es-MX"/>
                </w:rPr>
                <w:t>https://www.gov.uk/government/publications/low-carbon-hydrogen-standard</w:t>
              </w:r>
            </w:hyperlink>
            <w:r w:rsidRPr="00F91404">
              <w:rPr>
                <w:rFonts w:eastAsia="Times New Roman" w:cstheme="minorHAnsi"/>
                <w:b/>
                <w:color w:val="000000"/>
                <w:sz w:val="18"/>
                <w:szCs w:val="18"/>
                <w:lang w:eastAsia="es-MX"/>
              </w:rPr>
              <w:t xml:space="preserve"> </w:t>
            </w:r>
          </w:p>
          <w:p w14:paraId="7BAD2D81" w14:textId="77777777" w:rsidR="0064603E" w:rsidRPr="00F91404" w:rsidRDefault="0064603E" w:rsidP="00420CBB">
            <w:pPr>
              <w:spacing w:after="0"/>
              <w:rPr>
                <w:rFonts w:eastAsia="Times New Roman" w:cstheme="minorHAnsi"/>
                <w:b/>
                <w:color w:val="000000"/>
                <w:sz w:val="18"/>
                <w:szCs w:val="18"/>
                <w:lang w:eastAsia="es-MX"/>
              </w:rPr>
            </w:pPr>
          </w:p>
        </w:tc>
        <w:tc>
          <w:tcPr>
            <w:tcW w:w="76" w:type="pct"/>
            <w:vAlign w:val="center"/>
            <w:hideMark/>
          </w:tcPr>
          <w:p w14:paraId="3DB7B14A" w14:textId="77777777" w:rsidR="0064603E" w:rsidRPr="00F91404" w:rsidRDefault="0064603E" w:rsidP="0064603E">
            <w:pPr>
              <w:spacing w:after="0"/>
              <w:rPr>
                <w:rFonts w:eastAsia="Times New Roman" w:cstheme="minorHAnsi"/>
                <w:sz w:val="18"/>
                <w:szCs w:val="18"/>
                <w:lang w:eastAsia="es-MX"/>
              </w:rPr>
            </w:pPr>
          </w:p>
        </w:tc>
      </w:tr>
      <w:tr w:rsidR="0064603E" w:rsidRPr="00F91404" w14:paraId="708F0ED9" w14:textId="77777777" w:rsidTr="00816A15">
        <w:trPr>
          <w:trHeight w:val="920"/>
        </w:trPr>
        <w:tc>
          <w:tcPr>
            <w:tcW w:w="4924" w:type="pct"/>
            <w:gridSpan w:val="8"/>
            <w:vMerge/>
            <w:tcBorders>
              <w:top w:val="single" w:sz="12" w:space="0" w:color="808080"/>
              <w:left w:val="single" w:sz="12" w:space="0" w:color="808080"/>
              <w:bottom w:val="single" w:sz="12" w:space="0" w:color="808080"/>
              <w:right w:val="single" w:sz="12" w:space="0" w:color="808080"/>
            </w:tcBorders>
            <w:vAlign w:val="center"/>
          </w:tcPr>
          <w:p w14:paraId="20174E43" w14:textId="77777777" w:rsidR="0064603E" w:rsidRPr="00F91404" w:rsidRDefault="0064603E" w:rsidP="0064603E">
            <w:pPr>
              <w:spacing w:after="0"/>
              <w:rPr>
                <w:rFonts w:eastAsia="Times New Roman" w:cstheme="minorHAnsi"/>
                <w:b/>
                <w:bCs/>
                <w:color w:val="000000"/>
                <w:sz w:val="18"/>
                <w:szCs w:val="18"/>
                <w:lang w:eastAsia="es-MX"/>
              </w:rPr>
            </w:pPr>
          </w:p>
        </w:tc>
        <w:tc>
          <w:tcPr>
            <w:tcW w:w="76" w:type="pct"/>
            <w:tcBorders>
              <w:top w:val="nil"/>
              <w:left w:val="nil"/>
              <w:bottom w:val="nil"/>
              <w:right w:val="nil"/>
            </w:tcBorders>
            <w:noWrap/>
            <w:vAlign w:val="bottom"/>
            <w:hideMark/>
          </w:tcPr>
          <w:p w14:paraId="3922366F" w14:textId="77777777" w:rsidR="0064603E" w:rsidRPr="00F91404" w:rsidRDefault="0064603E" w:rsidP="0064603E">
            <w:pPr>
              <w:spacing w:after="0"/>
              <w:jc w:val="center"/>
              <w:rPr>
                <w:rFonts w:eastAsia="Times New Roman" w:cstheme="minorHAnsi"/>
                <w:b/>
                <w:bCs/>
                <w:color w:val="000000"/>
                <w:sz w:val="18"/>
                <w:szCs w:val="18"/>
                <w:lang w:eastAsia="es-MX"/>
              </w:rPr>
            </w:pPr>
          </w:p>
        </w:tc>
      </w:tr>
    </w:tbl>
    <w:p w14:paraId="3B398275" w14:textId="77777777" w:rsidR="00074C04" w:rsidRPr="00F91404" w:rsidRDefault="00074C04" w:rsidP="00074C04">
      <w:pPr>
        <w:rPr>
          <w:rFonts w:cstheme="minorHAnsi"/>
          <w:sz w:val="20"/>
          <w:szCs w:val="20"/>
        </w:rPr>
      </w:pPr>
    </w:p>
    <w:p w14:paraId="2C1B64C3" w14:textId="5218B1B5" w:rsidR="00257B6A" w:rsidRPr="00257B6A" w:rsidRDefault="00257B6A" w:rsidP="00257B6A">
      <w:pPr>
        <w:ind w:left="0"/>
        <w:rPr>
          <w:rFonts w:cstheme="minorHAnsi"/>
          <w:b/>
          <w:bCs/>
          <w:i/>
          <w:iCs/>
          <w:sz w:val="14"/>
          <w:szCs w:val="14"/>
        </w:rPr>
      </w:pPr>
      <w:r w:rsidRPr="00257B6A">
        <w:rPr>
          <w:rFonts w:cstheme="minorHAnsi"/>
          <w:b/>
          <w:bCs/>
          <w:i/>
          <w:iCs/>
          <w:sz w:val="14"/>
          <w:szCs w:val="14"/>
        </w:rPr>
        <w:t>Sources</w:t>
      </w:r>
      <w:r w:rsidRPr="00F91404">
        <w:rPr>
          <w:rFonts w:cstheme="minorHAnsi"/>
          <w:b/>
          <w:bCs/>
          <w:i/>
          <w:iCs/>
          <w:sz w:val="14"/>
          <w:szCs w:val="14"/>
        </w:rPr>
        <w:t>:</w:t>
      </w:r>
    </w:p>
    <w:p w14:paraId="31F5524D" w14:textId="77777777" w:rsidR="00257B6A" w:rsidRPr="00257B6A" w:rsidRDefault="00257B6A" w:rsidP="00257B6A">
      <w:pPr>
        <w:spacing w:after="0"/>
        <w:ind w:left="0"/>
        <w:rPr>
          <w:rFonts w:cstheme="minorHAnsi"/>
          <w:i/>
          <w:iCs/>
          <w:sz w:val="14"/>
          <w:szCs w:val="14"/>
        </w:rPr>
      </w:pPr>
      <w:r w:rsidRPr="00257B6A">
        <w:rPr>
          <w:rFonts w:cstheme="minorHAnsi"/>
          <w:b/>
          <w:bCs/>
          <w:i/>
          <w:iCs/>
          <w:sz w:val="14"/>
          <w:szCs w:val="14"/>
        </w:rPr>
        <w:t>Strategy, roadmap and governance framework</w:t>
      </w:r>
    </w:p>
    <w:p w14:paraId="2B631610" w14:textId="77777777" w:rsidR="00257B6A" w:rsidRPr="00257B6A" w:rsidRDefault="00257B6A" w:rsidP="00257B6A">
      <w:pPr>
        <w:numPr>
          <w:ilvl w:val="0"/>
          <w:numId w:val="96"/>
        </w:numPr>
        <w:spacing w:after="0"/>
        <w:rPr>
          <w:rFonts w:cstheme="minorHAnsi"/>
          <w:i/>
          <w:iCs/>
          <w:sz w:val="14"/>
          <w:szCs w:val="14"/>
        </w:rPr>
      </w:pPr>
      <w:r w:rsidRPr="00257B6A">
        <w:rPr>
          <w:rFonts w:cstheme="minorHAnsi"/>
          <w:i/>
          <w:iCs/>
          <w:sz w:val="14"/>
          <w:szCs w:val="14"/>
        </w:rPr>
        <w:t>Department for Energy Security and Net Zero (DESNZ) (2021), UK Hydrogen Strategy.</w:t>
      </w:r>
    </w:p>
    <w:p w14:paraId="13521F3C" w14:textId="77777777" w:rsidR="00257B6A" w:rsidRPr="00257B6A" w:rsidRDefault="00257B6A" w:rsidP="00257B6A">
      <w:pPr>
        <w:numPr>
          <w:ilvl w:val="0"/>
          <w:numId w:val="96"/>
        </w:numPr>
        <w:spacing w:after="0"/>
        <w:rPr>
          <w:rFonts w:cstheme="minorHAnsi"/>
          <w:i/>
          <w:iCs/>
          <w:sz w:val="14"/>
          <w:szCs w:val="14"/>
        </w:rPr>
      </w:pPr>
      <w:r w:rsidRPr="00257B6A">
        <w:rPr>
          <w:rFonts w:cstheme="minorHAnsi"/>
          <w:i/>
          <w:iCs/>
          <w:sz w:val="14"/>
          <w:szCs w:val="14"/>
        </w:rPr>
        <w:t>DESNZ (2022), Hydrogen Transport and Storage Business Model (as applicable) and related policy updates.</w:t>
      </w:r>
    </w:p>
    <w:p w14:paraId="5084F5D8" w14:textId="77777777" w:rsidR="00257B6A" w:rsidRPr="00257B6A" w:rsidRDefault="00257B6A" w:rsidP="00257B6A">
      <w:pPr>
        <w:numPr>
          <w:ilvl w:val="0"/>
          <w:numId w:val="96"/>
        </w:numPr>
        <w:spacing w:after="0"/>
        <w:rPr>
          <w:rFonts w:cstheme="minorHAnsi"/>
          <w:i/>
          <w:iCs/>
          <w:sz w:val="14"/>
          <w:szCs w:val="14"/>
        </w:rPr>
      </w:pPr>
      <w:r w:rsidRPr="00257B6A">
        <w:rPr>
          <w:rFonts w:cstheme="minorHAnsi"/>
          <w:i/>
          <w:iCs/>
          <w:sz w:val="14"/>
          <w:szCs w:val="14"/>
        </w:rPr>
        <w:t>UK Government, Hydrogen policy and delivery updates (Hydrogen Allocation Rounds, policy delivery timeline).</w:t>
      </w:r>
    </w:p>
    <w:p w14:paraId="17D85063" w14:textId="77777777" w:rsidR="00257B6A" w:rsidRPr="00257B6A" w:rsidRDefault="00257B6A" w:rsidP="00257B6A">
      <w:pPr>
        <w:spacing w:after="0"/>
        <w:ind w:left="0"/>
        <w:rPr>
          <w:rFonts w:cstheme="minorHAnsi"/>
          <w:i/>
          <w:iCs/>
          <w:sz w:val="14"/>
          <w:szCs w:val="14"/>
        </w:rPr>
      </w:pPr>
      <w:r w:rsidRPr="00257B6A">
        <w:rPr>
          <w:rFonts w:cstheme="minorHAnsi"/>
          <w:b/>
          <w:bCs/>
          <w:i/>
          <w:iCs/>
          <w:sz w:val="14"/>
          <w:szCs w:val="14"/>
        </w:rPr>
        <w:t>Market and revenue support mechanisms (HPBM / HAR / LCHA)</w:t>
      </w:r>
    </w:p>
    <w:p w14:paraId="6090B589" w14:textId="77777777" w:rsidR="00257B6A" w:rsidRPr="00257B6A" w:rsidRDefault="00257B6A" w:rsidP="00257B6A">
      <w:pPr>
        <w:numPr>
          <w:ilvl w:val="0"/>
          <w:numId w:val="97"/>
        </w:numPr>
        <w:spacing w:after="0"/>
        <w:rPr>
          <w:rFonts w:cstheme="minorHAnsi"/>
          <w:i/>
          <w:iCs/>
          <w:sz w:val="14"/>
          <w:szCs w:val="14"/>
        </w:rPr>
      </w:pPr>
      <w:r w:rsidRPr="00257B6A">
        <w:rPr>
          <w:rFonts w:cstheme="minorHAnsi"/>
          <w:i/>
          <w:iCs/>
          <w:sz w:val="14"/>
          <w:szCs w:val="14"/>
        </w:rPr>
        <w:t>DESNZ (2022), Hydrogen Production Business Model (HPBM): policy design and implementation documentation.</w:t>
      </w:r>
    </w:p>
    <w:p w14:paraId="2A91453A" w14:textId="77777777" w:rsidR="00257B6A" w:rsidRPr="00257B6A" w:rsidRDefault="00257B6A" w:rsidP="00257B6A">
      <w:pPr>
        <w:numPr>
          <w:ilvl w:val="0"/>
          <w:numId w:val="97"/>
        </w:numPr>
        <w:spacing w:after="0"/>
        <w:rPr>
          <w:rFonts w:cstheme="minorHAnsi"/>
          <w:i/>
          <w:iCs/>
          <w:sz w:val="14"/>
          <w:szCs w:val="14"/>
        </w:rPr>
      </w:pPr>
      <w:r w:rsidRPr="00257B6A">
        <w:rPr>
          <w:rFonts w:cstheme="minorHAnsi"/>
          <w:i/>
          <w:iCs/>
          <w:sz w:val="14"/>
          <w:szCs w:val="14"/>
        </w:rPr>
        <w:t>DESNZ, Hydrogen Allocation Rounds (HAR): published results and project lists (HAR1 / HAR2 where available).</w:t>
      </w:r>
    </w:p>
    <w:p w14:paraId="22199099" w14:textId="77777777" w:rsidR="00257B6A" w:rsidRPr="00257B6A" w:rsidRDefault="00257B6A" w:rsidP="00257B6A">
      <w:pPr>
        <w:numPr>
          <w:ilvl w:val="0"/>
          <w:numId w:val="97"/>
        </w:numPr>
        <w:spacing w:after="0"/>
        <w:rPr>
          <w:rFonts w:cstheme="minorHAnsi"/>
          <w:i/>
          <w:iCs/>
          <w:sz w:val="14"/>
          <w:szCs w:val="14"/>
        </w:rPr>
      </w:pPr>
      <w:r w:rsidRPr="00257B6A">
        <w:rPr>
          <w:rFonts w:cstheme="minorHAnsi"/>
          <w:i/>
          <w:iCs/>
          <w:sz w:val="14"/>
          <w:szCs w:val="14"/>
        </w:rPr>
        <w:t>Low Carbon Hydrogen Agreement (LCHA): standard contract documentation published by UK Government/DESNZ.</w:t>
      </w:r>
    </w:p>
    <w:p w14:paraId="49CCFED8" w14:textId="77777777" w:rsidR="00257B6A" w:rsidRPr="00257B6A" w:rsidRDefault="00257B6A" w:rsidP="00257B6A">
      <w:pPr>
        <w:spacing w:after="0"/>
        <w:ind w:left="0"/>
        <w:rPr>
          <w:rFonts w:cstheme="minorHAnsi"/>
          <w:i/>
          <w:iCs/>
          <w:sz w:val="14"/>
          <w:szCs w:val="14"/>
        </w:rPr>
      </w:pPr>
      <w:r w:rsidRPr="00257B6A">
        <w:rPr>
          <w:rFonts w:cstheme="minorHAnsi"/>
          <w:b/>
          <w:bCs/>
          <w:i/>
          <w:iCs/>
          <w:sz w:val="14"/>
          <w:szCs w:val="14"/>
        </w:rPr>
        <w:t>Direct public funding and complementary programmes</w:t>
      </w:r>
    </w:p>
    <w:p w14:paraId="58598653" w14:textId="77777777" w:rsidR="00257B6A" w:rsidRPr="00257B6A" w:rsidRDefault="00257B6A" w:rsidP="00257B6A">
      <w:pPr>
        <w:numPr>
          <w:ilvl w:val="0"/>
          <w:numId w:val="98"/>
        </w:numPr>
        <w:spacing w:after="0"/>
        <w:rPr>
          <w:rFonts w:cstheme="minorHAnsi"/>
          <w:i/>
          <w:iCs/>
          <w:sz w:val="14"/>
          <w:szCs w:val="14"/>
        </w:rPr>
      </w:pPr>
      <w:r w:rsidRPr="00257B6A">
        <w:rPr>
          <w:rFonts w:cstheme="minorHAnsi"/>
          <w:i/>
          <w:iCs/>
          <w:sz w:val="14"/>
          <w:szCs w:val="14"/>
        </w:rPr>
        <w:t>UK Government / DESNZ, Net Zero Hydrogen Fund (NZHF): guidance and award announcements.</w:t>
      </w:r>
    </w:p>
    <w:p w14:paraId="7D830088" w14:textId="77777777" w:rsidR="00257B6A" w:rsidRPr="00257B6A" w:rsidRDefault="00257B6A" w:rsidP="00257B6A">
      <w:pPr>
        <w:numPr>
          <w:ilvl w:val="0"/>
          <w:numId w:val="98"/>
        </w:numPr>
        <w:spacing w:after="0"/>
        <w:rPr>
          <w:rFonts w:cstheme="minorHAnsi"/>
          <w:i/>
          <w:iCs/>
          <w:sz w:val="14"/>
          <w:szCs w:val="14"/>
        </w:rPr>
      </w:pPr>
      <w:r w:rsidRPr="00257B6A">
        <w:rPr>
          <w:rFonts w:cstheme="minorHAnsi"/>
          <w:i/>
          <w:iCs/>
          <w:sz w:val="14"/>
          <w:szCs w:val="14"/>
        </w:rPr>
        <w:t>UK Government, Industrial Decarbonisation Strategy and cluster programme documentation (including sequencing and enabling infrastructure support).</w:t>
      </w:r>
    </w:p>
    <w:p w14:paraId="25B84E34" w14:textId="77777777" w:rsidR="00257B6A" w:rsidRPr="00257B6A" w:rsidRDefault="00257B6A" w:rsidP="00257B6A">
      <w:pPr>
        <w:numPr>
          <w:ilvl w:val="0"/>
          <w:numId w:val="98"/>
        </w:numPr>
        <w:spacing w:after="0"/>
        <w:rPr>
          <w:rFonts w:cstheme="minorHAnsi"/>
          <w:i/>
          <w:iCs/>
          <w:sz w:val="14"/>
          <w:szCs w:val="14"/>
        </w:rPr>
      </w:pPr>
      <w:r w:rsidRPr="00257B6A">
        <w:rPr>
          <w:rFonts w:cstheme="minorHAnsi"/>
          <w:i/>
          <w:iCs/>
          <w:sz w:val="14"/>
          <w:szCs w:val="14"/>
        </w:rPr>
        <w:t>UK Infrastructure Bank (as relevant to low-carbon infrastructure finance).</w:t>
      </w:r>
    </w:p>
    <w:p w14:paraId="2A9CF0D7" w14:textId="77777777" w:rsidR="00257B6A" w:rsidRPr="00257B6A" w:rsidRDefault="00257B6A" w:rsidP="00257B6A">
      <w:pPr>
        <w:spacing w:after="0"/>
        <w:ind w:left="0"/>
        <w:rPr>
          <w:rFonts w:cstheme="minorHAnsi"/>
          <w:i/>
          <w:iCs/>
          <w:sz w:val="14"/>
          <w:szCs w:val="14"/>
        </w:rPr>
      </w:pPr>
      <w:r w:rsidRPr="00257B6A">
        <w:rPr>
          <w:rFonts w:cstheme="minorHAnsi"/>
          <w:b/>
          <w:bCs/>
          <w:i/>
          <w:iCs/>
          <w:sz w:val="14"/>
          <w:szCs w:val="14"/>
        </w:rPr>
        <w:t>Standards and certification frameworks</w:t>
      </w:r>
    </w:p>
    <w:p w14:paraId="61D03AAD" w14:textId="77777777" w:rsidR="00257B6A" w:rsidRPr="00257B6A" w:rsidRDefault="00257B6A" w:rsidP="00257B6A">
      <w:pPr>
        <w:numPr>
          <w:ilvl w:val="0"/>
          <w:numId w:val="99"/>
        </w:numPr>
        <w:spacing w:after="0"/>
        <w:rPr>
          <w:rFonts w:cstheme="minorHAnsi"/>
          <w:i/>
          <w:iCs/>
          <w:sz w:val="14"/>
          <w:szCs w:val="14"/>
        </w:rPr>
      </w:pPr>
      <w:r w:rsidRPr="00257B6A">
        <w:rPr>
          <w:rFonts w:cstheme="minorHAnsi"/>
          <w:i/>
          <w:iCs/>
          <w:sz w:val="14"/>
          <w:szCs w:val="14"/>
        </w:rPr>
        <w:t>DESNZ (2023), UK Low Carbon Hydrogen Standard (current version and methodology).</w:t>
      </w:r>
    </w:p>
    <w:p w14:paraId="0C67DF22" w14:textId="77777777" w:rsidR="00257B6A" w:rsidRPr="00257B6A" w:rsidRDefault="00257B6A" w:rsidP="00257B6A">
      <w:pPr>
        <w:numPr>
          <w:ilvl w:val="0"/>
          <w:numId w:val="99"/>
        </w:numPr>
        <w:spacing w:after="0"/>
        <w:rPr>
          <w:rFonts w:cstheme="minorHAnsi"/>
          <w:i/>
          <w:iCs/>
          <w:sz w:val="14"/>
          <w:szCs w:val="14"/>
        </w:rPr>
      </w:pPr>
      <w:r w:rsidRPr="00257B6A">
        <w:rPr>
          <w:rFonts w:cstheme="minorHAnsi"/>
          <w:i/>
          <w:iCs/>
          <w:sz w:val="14"/>
          <w:szCs w:val="14"/>
        </w:rPr>
        <w:t>UK Government guidance on hydrogen emissions accounting and eligibility thresholds for support schemes.</w:t>
      </w:r>
    </w:p>
    <w:p w14:paraId="07E7DE7E" w14:textId="77777777" w:rsidR="00257B6A" w:rsidRPr="00257B6A" w:rsidRDefault="00257B6A" w:rsidP="00257B6A">
      <w:pPr>
        <w:spacing w:after="0"/>
        <w:ind w:left="0"/>
        <w:rPr>
          <w:rFonts w:cstheme="minorHAnsi"/>
          <w:i/>
          <w:iCs/>
          <w:sz w:val="14"/>
          <w:szCs w:val="14"/>
        </w:rPr>
      </w:pPr>
      <w:r w:rsidRPr="00257B6A">
        <w:rPr>
          <w:rFonts w:cstheme="minorHAnsi"/>
          <w:b/>
          <w:bCs/>
          <w:i/>
          <w:iCs/>
          <w:sz w:val="14"/>
          <w:szCs w:val="14"/>
        </w:rPr>
        <w:t>Infrastructure enabling policies (clusters, networks and integration)</w:t>
      </w:r>
    </w:p>
    <w:p w14:paraId="654F31A8" w14:textId="77777777" w:rsidR="00257B6A" w:rsidRPr="00257B6A" w:rsidRDefault="00257B6A" w:rsidP="00257B6A">
      <w:pPr>
        <w:numPr>
          <w:ilvl w:val="0"/>
          <w:numId w:val="100"/>
        </w:numPr>
        <w:spacing w:after="0"/>
        <w:rPr>
          <w:rFonts w:cstheme="minorHAnsi"/>
          <w:i/>
          <w:iCs/>
          <w:sz w:val="14"/>
          <w:szCs w:val="14"/>
        </w:rPr>
      </w:pPr>
      <w:r w:rsidRPr="00257B6A">
        <w:rPr>
          <w:rFonts w:cstheme="minorHAnsi"/>
          <w:i/>
          <w:iCs/>
          <w:sz w:val="14"/>
          <w:szCs w:val="14"/>
        </w:rPr>
        <w:t>UK Government, Hydrogen transport and storage policy publications (including cluster enablement approach).</w:t>
      </w:r>
    </w:p>
    <w:p w14:paraId="2A30E87A" w14:textId="77777777" w:rsidR="00257B6A" w:rsidRPr="00257B6A" w:rsidRDefault="00257B6A" w:rsidP="00257B6A">
      <w:pPr>
        <w:numPr>
          <w:ilvl w:val="0"/>
          <w:numId w:val="100"/>
        </w:numPr>
        <w:spacing w:after="0"/>
        <w:rPr>
          <w:rFonts w:cstheme="minorHAnsi"/>
          <w:i/>
          <w:iCs/>
          <w:sz w:val="14"/>
          <w:szCs w:val="14"/>
        </w:rPr>
      </w:pPr>
      <w:proofErr w:type="gramStart"/>
      <w:r w:rsidRPr="00257B6A">
        <w:rPr>
          <w:rFonts w:cstheme="minorHAnsi"/>
          <w:i/>
          <w:iCs/>
          <w:sz w:val="14"/>
          <w:szCs w:val="14"/>
        </w:rPr>
        <w:t>National Grid / relevant UK network operators,</w:t>
      </w:r>
      <w:proofErr w:type="gramEnd"/>
      <w:r w:rsidRPr="00257B6A">
        <w:rPr>
          <w:rFonts w:cstheme="minorHAnsi"/>
          <w:i/>
          <w:iCs/>
          <w:sz w:val="14"/>
          <w:szCs w:val="14"/>
        </w:rPr>
        <w:t xml:space="preserve"> published hydrogen transport planning </w:t>
      </w:r>
      <w:proofErr w:type="gramStart"/>
      <w:r w:rsidRPr="00257B6A">
        <w:rPr>
          <w:rFonts w:cstheme="minorHAnsi"/>
          <w:i/>
          <w:iCs/>
          <w:sz w:val="14"/>
          <w:szCs w:val="14"/>
        </w:rPr>
        <w:t>where</w:t>
      </w:r>
      <w:proofErr w:type="gramEnd"/>
      <w:r w:rsidRPr="00257B6A">
        <w:rPr>
          <w:rFonts w:cstheme="minorHAnsi"/>
          <w:i/>
          <w:iCs/>
          <w:sz w:val="14"/>
          <w:szCs w:val="14"/>
        </w:rPr>
        <w:t xml:space="preserve"> cited in government policy context.</w:t>
      </w:r>
    </w:p>
    <w:p w14:paraId="3153601F" w14:textId="77777777" w:rsidR="00257B6A" w:rsidRPr="00257B6A" w:rsidRDefault="00257B6A" w:rsidP="00257B6A">
      <w:pPr>
        <w:numPr>
          <w:ilvl w:val="0"/>
          <w:numId w:val="100"/>
        </w:numPr>
        <w:spacing w:after="0"/>
        <w:rPr>
          <w:rFonts w:cstheme="minorHAnsi"/>
          <w:i/>
          <w:iCs/>
          <w:sz w:val="14"/>
          <w:szCs w:val="14"/>
        </w:rPr>
      </w:pPr>
      <w:r w:rsidRPr="00257B6A">
        <w:rPr>
          <w:rFonts w:cstheme="minorHAnsi"/>
          <w:i/>
          <w:iCs/>
          <w:sz w:val="14"/>
          <w:szCs w:val="14"/>
        </w:rPr>
        <w:t>Cluster delivery bodies / industrial cluster programme publications (where referenced in the profile).</w:t>
      </w:r>
    </w:p>
    <w:p w14:paraId="669B49E5" w14:textId="77777777" w:rsidR="00257B6A" w:rsidRPr="00257B6A" w:rsidRDefault="00257B6A" w:rsidP="00257B6A">
      <w:pPr>
        <w:spacing w:after="0"/>
        <w:ind w:left="0"/>
        <w:rPr>
          <w:rFonts w:cstheme="minorHAnsi"/>
          <w:i/>
          <w:iCs/>
          <w:sz w:val="14"/>
          <w:szCs w:val="14"/>
        </w:rPr>
      </w:pPr>
      <w:r w:rsidRPr="00257B6A">
        <w:rPr>
          <w:rFonts w:cstheme="minorHAnsi"/>
          <w:b/>
          <w:bCs/>
          <w:i/>
          <w:iCs/>
          <w:sz w:val="14"/>
          <w:szCs w:val="14"/>
        </w:rPr>
        <w:t>Production capacity / pipeline and deployment status</w:t>
      </w:r>
    </w:p>
    <w:p w14:paraId="6E6EBEB7" w14:textId="77777777" w:rsidR="00257B6A" w:rsidRPr="00257B6A" w:rsidRDefault="00257B6A" w:rsidP="00257B6A">
      <w:pPr>
        <w:numPr>
          <w:ilvl w:val="0"/>
          <w:numId w:val="101"/>
        </w:numPr>
        <w:spacing w:after="0"/>
        <w:rPr>
          <w:rFonts w:cstheme="minorHAnsi"/>
          <w:i/>
          <w:iCs/>
          <w:sz w:val="14"/>
          <w:szCs w:val="14"/>
        </w:rPr>
      </w:pPr>
      <w:r w:rsidRPr="00257B6A">
        <w:rPr>
          <w:rFonts w:cstheme="minorHAnsi"/>
          <w:i/>
          <w:iCs/>
          <w:sz w:val="14"/>
          <w:szCs w:val="14"/>
        </w:rPr>
        <w:t>International Energy Agency (IEA) (2023), Global Hydrogen Review 2023, Paris: IEA.</w:t>
      </w:r>
    </w:p>
    <w:p w14:paraId="29975B3B" w14:textId="77777777" w:rsidR="00257B6A" w:rsidRPr="00257B6A" w:rsidRDefault="00257B6A" w:rsidP="00257B6A">
      <w:pPr>
        <w:numPr>
          <w:ilvl w:val="0"/>
          <w:numId w:val="101"/>
        </w:numPr>
        <w:spacing w:after="0"/>
        <w:rPr>
          <w:rFonts w:cstheme="minorHAnsi"/>
          <w:i/>
          <w:iCs/>
          <w:sz w:val="14"/>
          <w:szCs w:val="14"/>
        </w:rPr>
      </w:pPr>
      <w:r w:rsidRPr="00257B6A">
        <w:rPr>
          <w:rFonts w:cstheme="minorHAnsi"/>
          <w:i/>
          <w:iCs/>
          <w:sz w:val="14"/>
          <w:szCs w:val="14"/>
        </w:rPr>
        <w:t>IEA, Hydrogen Projects Database (latest available edition).</w:t>
      </w:r>
    </w:p>
    <w:p w14:paraId="2E93BDE0" w14:textId="77777777" w:rsidR="00257B6A" w:rsidRPr="00257B6A" w:rsidRDefault="00257B6A" w:rsidP="00257B6A">
      <w:pPr>
        <w:numPr>
          <w:ilvl w:val="0"/>
          <w:numId w:val="101"/>
        </w:numPr>
        <w:spacing w:after="0"/>
        <w:rPr>
          <w:rFonts w:cstheme="minorHAnsi"/>
          <w:i/>
          <w:iCs/>
          <w:sz w:val="14"/>
          <w:szCs w:val="14"/>
        </w:rPr>
      </w:pPr>
      <w:r w:rsidRPr="00257B6A">
        <w:rPr>
          <w:rFonts w:cstheme="minorHAnsi"/>
          <w:i/>
          <w:iCs/>
          <w:sz w:val="14"/>
          <w:szCs w:val="14"/>
        </w:rPr>
        <w:t>UK Government publications on selected projects under HAR/NZHF (as applicable).</w:t>
      </w:r>
    </w:p>
    <w:p w14:paraId="74E8133D" w14:textId="77777777" w:rsidR="00257B6A" w:rsidRPr="00257B6A" w:rsidRDefault="00257B6A" w:rsidP="00257B6A">
      <w:pPr>
        <w:spacing w:after="0"/>
        <w:ind w:left="0"/>
        <w:rPr>
          <w:rFonts w:cstheme="minorHAnsi"/>
          <w:i/>
          <w:iCs/>
          <w:sz w:val="14"/>
          <w:szCs w:val="14"/>
        </w:rPr>
      </w:pPr>
      <w:r w:rsidRPr="00257B6A">
        <w:rPr>
          <w:rFonts w:cstheme="minorHAnsi"/>
          <w:b/>
          <w:bCs/>
          <w:i/>
          <w:iCs/>
          <w:sz w:val="14"/>
          <w:szCs w:val="14"/>
        </w:rPr>
        <w:t>Renewable energy context (if referenced in the table narrative)</w:t>
      </w:r>
    </w:p>
    <w:p w14:paraId="0636F556" w14:textId="77777777" w:rsidR="00257B6A" w:rsidRPr="00257B6A" w:rsidRDefault="00257B6A" w:rsidP="00257B6A">
      <w:pPr>
        <w:numPr>
          <w:ilvl w:val="0"/>
          <w:numId w:val="102"/>
        </w:numPr>
        <w:spacing w:after="0"/>
        <w:rPr>
          <w:rFonts w:cstheme="minorHAnsi"/>
          <w:i/>
          <w:iCs/>
          <w:sz w:val="14"/>
          <w:szCs w:val="14"/>
        </w:rPr>
      </w:pPr>
      <w:r w:rsidRPr="00257B6A">
        <w:rPr>
          <w:rFonts w:cstheme="minorHAnsi"/>
          <w:i/>
          <w:iCs/>
          <w:sz w:val="14"/>
          <w:szCs w:val="14"/>
        </w:rPr>
        <w:t>UK Government, Energy Trends and renewables generation statistics.</w:t>
      </w:r>
    </w:p>
    <w:p w14:paraId="149E903D" w14:textId="52AFE3B3" w:rsidR="00816A15" w:rsidRPr="004153C2" w:rsidRDefault="00257B6A" w:rsidP="004153C2">
      <w:pPr>
        <w:numPr>
          <w:ilvl w:val="0"/>
          <w:numId w:val="102"/>
        </w:numPr>
        <w:spacing w:after="0"/>
        <w:rPr>
          <w:rFonts w:cstheme="minorHAnsi"/>
          <w:i/>
          <w:iCs/>
          <w:sz w:val="14"/>
          <w:szCs w:val="14"/>
        </w:rPr>
      </w:pPr>
      <w:r w:rsidRPr="00257B6A">
        <w:rPr>
          <w:rFonts w:cstheme="minorHAnsi"/>
          <w:i/>
          <w:iCs/>
          <w:sz w:val="14"/>
          <w:szCs w:val="14"/>
        </w:rPr>
        <w:t>National Grid ESO / DESNZ statistics on electricity generation mix and renewable capacity (as applicable).</w:t>
      </w:r>
    </w:p>
    <w:sectPr w:rsidR="00816A15" w:rsidRPr="004153C2" w:rsidSect="00A62862">
      <w:footerReference w:type="even" r:id="rId106"/>
      <w:footerReference w:type="default" r:id="rId107"/>
      <w:footerReference w:type="first" r:id="rId108"/>
      <w:pgSz w:w="11906" w:h="16838"/>
      <w:pgMar w:top="1440" w:right="1111" w:bottom="1440" w:left="1156" w:header="1083"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B3BDE" w14:textId="77777777" w:rsidR="00524770" w:rsidRPr="00F91404" w:rsidRDefault="00524770" w:rsidP="005C3446">
      <w:r w:rsidRPr="00F91404">
        <w:separator/>
      </w:r>
    </w:p>
  </w:endnote>
  <w:endnote w:type="continuationSeparator" w:id="0">
    <w:p w14:paraId="2E13320A" w14:textId="77777777" w:rsidR="00524770" w:rsidRPr="00F91404" w:rsidRDefault="00524770" w:rsidP="005C3446">
      <w:r w:rsidRPr="00F914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Inter Tight Light">
    <w:altName w:val="Cambria"/>
    <w:charset w:val="01"/>
    <w:family w:val="roman"/>
    <w:pitch w:val="variable"/>
  </w:font>
  <w:font w:name="Inter">
    <w:altName w:val="Cambria"/>
    <w:charset w:val="01"/>
    <w:family w:val="roman"/>
    <w:pitch w:val="variable"/>
  </w:font>
  <w:font w:name="Aptos">
    <w:panose1 w:val="020B0004020202020204"/>
    <w:charset w:val="00"/>
    <w:family w:val="swiss"/>
    <w:pitch w:val="variable"/>
    <w:sig w:usb0="20000287" w:usb1="00000003" w:usb2="00000000" w:usb3="00000000" w:csb0="0000019F" w:csb1="00000000"/>
  </w:font>
  <w:font w:name="Helvetica Light">
    <w:altName w:val="Arial Nova Light"/>
    <w:charset w:val="00"/>
    <w:family w:val="swiss"/>
    <w:pitch w:val="variable"/>
    <w:sig w:usb0="800000AF" w:usb1="4000204A" w:usb2="00000000" w:usb3="00000000" w:csb0="00000001" w:csb1="00000000"/>
  </w:font>
  <w:font w:name="Helvetica Neue Light">
    <w:altName w:val="Calibri"/>
    <w:charset w:val="00"/>
    <w:family w:val="auto"/>
    <w:pitch w:val="variable"/>
    <w:sig w:usb0="A00002FF" w:usb1="5000205B" w:usb2="00000002" w:usb3="00000000" w:csb0="00000007"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077509"/>
      <w:docPartObj>
        <w:docPartGallery w:val="Page Numbers (Bottom of Page)"/>
        <w:docPartUnique/>
      </w:docPartObj>
    </w:sdtPr>
    <w:sdtContent>
      <w:p w14:paraId="0D8B28E9" w14:textId="461D4818" w:rsidR="005457BF" w:rsidRPr="00F91404" w:rsidRDefault="005457BF">
        <w:pPr>
          <w:pStyle w:val="Footer"/>
          <w:framePr w:wrap="none" w:vAnchor="text" w:hAnchor="margin" w:xAlign="right" w:y="1"/>
          <w:rPr>
            <w:rStyle w:val="PageNumber"/>
          </w:rPr>
        </w:pPr>
        <w:r w:rsidRPr="00F91404">
          <w:rPr>
            <w:rStyle w:val="PageNumber"/>
          </w:rPr>
          <w:fldChar w:fldCharType="begin"/>
        </w:r>
        <w:r w:rsidRPr="00F91404">
          <w:rPr>
            <w:rStyle w:val="PageNumber"/>
          </w:rPr>
          <w:instrText xml:space="preserve"> PAGE </w:instrText>
        </w:r>
        <w:r w:rsidRPr="00F91404">
          <w:rPr>
            <w:rStyle w:val="PageNumber"/>
          </w:rPr>
          <w:fldChar w:fldCharType="end"/>
        </w:r>
      </w:p>
    </w:sdtContent>
  </w:sdt>
  <w:p w14:paraId="71B101DC" w14:textId="77777777" w:rsidR="005457BF" w:rsidRPr="00F91404" w:rsidRDefault="005457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4000603"/>
      <w:docPartObj>
        <w:docPartGallery w:val="Page Numbers (Bottom of Page)"/>
        <w:docPartUnique/>
      </w:docPartObj>
    </w:sdtPr>
    <w:sdtContent>
      <w:p w14:paraId="6782825E" w14:textId="490EA313" w:rsidR="005457BF" w:rsidRPr="00F91404" w:rsidRDefault="005457BF">
        <w:pPr>
          <w:pStyle w:val="Footer"/>
          <w:framePr w:wrap="none" w:vAnchor="text" w:hAnchor="margin" w:xAlign="right" w:y="1"/>
          <w:rPr>
            <w:rStyle w:val="PageNumber"/>
          </w:rPr>
        </w:pPr>
        <w:r w:rsidRPr="00F91404">
          <w:rPr>
            <w:rStyle w:val="PageNumber"/>
          </w:rPr>
          <w:fldChar w:fldCharType="begin"/>
        </w:r>
        <w:r w:rsidRPr="00F91404">
          <w:rPr>
            <w:rStyle w:val="PageNumber"/>
          </w:rPr>
          <w:instrText xml:space="preserve"> PAGE </w:instrText>
        </w:r>
        <w:r w:rsidRPr="00F91404">
          <w:rPr>
            <w:rStyle w:val="PageNumber"/>
          </w:rPr>
          <w:fldChar w:fldCharType="separate"/>
        </w:r>
        <w:r w:rsidRPr="00F91404">
          <w:rPr>
            <w:rStyle w:val="PageNumber"/>
          </w:rPr>
          <w:t>6</w:t>
        </w:r>
        <w:r w:rsidRPr="00F91404">
          <w:rPr>
            <w:rStyle w:val="PageNumber"/>
          </w:rPr>
          <w:fldChar w:fldCharType="end"/>
        </w:r>
      </w:p>
    </w:sdtContent>
  </w:sdt>
  <w:p w14:paraId="7F3A138F" w14:textId="77777777" w:rsidR="005457BF" w:rsidRPr="00F91404" w:rsidRDefault="005457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86E3" w14:textId="56132144" w:rsidR="00A36787" w:rsidRPr="00F91404" w:rsidRDefault="00C47AA9" w:rsidP="004E419E">
    <w:pPr>
      <w:spacing w:after="0"/>
      <w:ind w:right="360"/>
      <w:rPr>
        <w:color w:val="004C43"/>
        <w:sz w:val="20"/>
        <w:szCs w:val="24"/>
      </w:rPr>
    </w:pPr>
    <w:r w:rsidRPr="00F91404">
      <w:t xml:space="preserve">MEX.TOP.NRHP | </w:t>
    </w:r>
    <w:r w:rsidRPr="00F91404">
      <w:rPr>
        <w:color w:val="004C43"/>
      </w:rPr>
      <w:t>(</w:t>
    </w:r>
    <w:r w:rsidR="00C36931" w:rsidRPr="00F91404">
      <w:rPr>
        <w:color w:val="004C43"/>
      </w:rPr>
      <w:t>D</w:t>
    </w:r>
    <w:r w:rsidR="00D034F7" w:rsidRPr="00F91404">
      <w:rPr>
        <w:color w:val="004C43"/>
      </w:rPr>
      <w:t>2</w:t>
    </w:r>
    <w:r w:rsidR="00894CE6" w:rsidRPr="00F91404">
      <w:rPr>
        <w:color w:val="004C43"/>
      </w:rPr>
      <w:t>.1</w:t>
    </w:r>
    <w:r w:rsidR="00C36931" w:rsidRPr="00F91404">
      <w:rPr>
        <w:color w:val="004C43"/>
      </w:rPr>
      <w:t xml:space="preserve">) </w:t>
    </w:r>
    <w:r w:rsidR="00E736B6" w:rsidRPr="00F91404">
      <w:rPr>
        <w:color w:val="004C43"/>
      </w:rPr>
      <w:t>International Benchmarking Assessment</w:t>
    </w:r>
    <w:r w:rsidR="00C36931" w:rsidRPr="00F91404">
      <w:rPr>
        <w:color w:val="004C43"/>
      </w:rPr>
      <w:tab/>
    </w:r>
    <w:r w:rsidR="00C36931" w:rsidRPr="00F91404">
      <w:tab/>
    </w:r>
    <w:r w:rsidR="00C36931" w:rsidRPr="00F91404">
      <w:tab/>
    </w:r>
    <w:r w:rsidR="00C36931" w:rsidRPr="00F91404">
      <w:tab/>
    </w:r>
    <w:r w:rsidR="00C36931" w:rsidRPr="00F91404">
      <w:tab/>
    </w:r>
    <w:r w:rsidR="00C36931" w:rsidRPr="00F9140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AA660" w14:textId="77777777" w:rsidR="00524770" w:rsidRPr="00F91404" w:rsidRDefault="00524770" w:rsidP="005C3446"/>
  </w:footnote>
  <w:footnote w:type="continuationSeparator" w:id="0">
    <w:p w14:paraId="676DFFD2" w14:textId="77777777" w:rsidR="00524770" w:rsidRPr="00F91404" w:rsidRDefault="00524770" w:rsidP="005C3446"/>
  </w:footnote>
  <w:footnote w:id="1">
    <w:p w14:paraId="7BC539DE" w14:textId="724530A9" w:rsidR="005E4784" w:rsidRPr="00F91404" w:rsidRDefault="005E4784" w:rsidP="009B76FF">
      <w:pPr>
        <w:pStyle w:val="FootnoteText"/>
        <w:spacing w:after="60"/>
        <w:rPr>
          <w:sz w:val="14"/>
          <w:szCs w:val="14"/>
        </w:rPr>
      </w:pPr>
      <w:r w:rsidRPr="00F91404">
        <w:rPr>
          <w:rStyle w:val="FootnoteReference"/>
          <w:sz w:val="14"/>
          <w:szCs w:val="14"/>
        </w:rPr>
        <w:footnoteRef/>
      </w:r>
      <w:r w:rsidRPr="00F91404">
        <w:rPr>
          <w:sz w:val="14"/>
          <w:szCs w:val="14"/>
        </w:rPr>
        <w:t xml:space="preserve"> International Energy Agency (IEA) (2025). Global Hydrogen Review. </w:t>
      </w:r>
      <w:r w:rsidRPr="004278C7">
        <w:rPr>
          <w:sz w:val="14"/>
          <w:szCs w:val="14"/>
          <w:lang w:val="es-MX"/>
        </w:rPr>
        <w:t xml:space="preserve">Paris: IEA; Government of Mexico (2025). </w:t>
      </w:r>
      <w:r w:rsidRPr="004278C7">
        <w:rPr>
          <w:i/>
          <w:sz w:val="14"/>
          <w:szCs w:val="14"/>
          <w:lang w:val="es-MX"/>
        </w:rPr>
        <w:t>Tercera Contribución Determinada a Nivel Nacional de México</w:t>
      </w:r>
      <w:r w:rsidRPr="004278C7">
        <w:rPr>
          <w:sz w:val="14"/>
          <w:szCs w:val="14"/>
          <w:lang w:val="es-MX"/>
        </w:rPr>
        <w:t xml:space="preserve"> (NDC 3.0); </w:t>
      </w:r>
      <w:r w:rsidRPr="004278C7">
        <w:rPr>
          <w:i/>
          <w:sz w:val="14"/>
          <w:szCs w:val="14"/>
          <w:lang w:val="es-MX"/>
        </w:rPr>
        <w:t>Secretaría de Energía</w:t>
      </w:r>
      <w:r w:rsidRPr="004278C7">
        <w:rPr>
          <w:sz w:val="14"/>
          <w:szCs w:val="14"/>
          <w:lang w:val="es-MX"/>
        </w:rPr>
        <w:t xml:space="preserve"> (SENER) (2023–2024). </w:t>
      </w:r>
      <w:proofErr w:type="spellStart"/>
      <w:r w:rsidRPr="00F91404">
        <w:rPr>
          <w:sz w:val="14"/>
          <w:szCs w:val="14"/>
        </w:rPr>
        <w:t>Prospectiva</w:t>
      </w:r>
      <w:proofErr w:type="spellEnd"/>
      <w:r w:rsidRPr="00F91404">
        <w:rPr>
          <w:sz w:val="14"/>
          <w:szCs w:val="14"/>
        </w:rPr>
        <w:t xml:space="preserve"> del Sector </w:t>
      </w:r>
      <w:proofErr w:type="spellStart"/>
      <w:r w:rsidRPr="00F91404">
        <w:rPr>
          <w:sz w:val="14"/>
          <w:szCs w:val="14"/>
        </w:rPr>
        <w:t>Eléctrico</w:t>
      </w:r>
      <w:proofErr w:type="spellEnd"/>
      <w:r w:rsidRPr="00F91404">
        <w:rPr>
          <w:sz w:val="14"/>
          <w:szCs w:val="14"/>
        </w:rPr>
        <w:t xml:space="preserve"> and national energy statistics.</w:t>
      </w:r>
    </w:p>
  </w:footnote>
  <w:footnote w:id="2">
    <w:p w14:paraId="6850E250" w14:textId="76AF252F" w:rsidR="005E4784" w:rsidRPr="00F91404" w:rsidRDefault="005E4784" w:rsidP="009B76FF">
      <w:pPr>
        <w:pStyle w:val="FootnoteText"/>
        <w:spacing w:after="60"/>
        <w:rPr>
          <w:sz w:val="14"/>
          <w:szCs w:val="14"/>
        </w:rPr>
      </w:pPr>
      <w:r w:rsidRPr="00F91404">
        <w:rPr>
          <w:rStyle w:val="FootnoteReference"/>
          <w:sz w:val="14"/>
          <w:szCs w:val="14"/>
        </w:rPr>
        <w:footnoteRef/>
      </w:r>
      <w:r w:rsidRPr="00F91404">
        <w:rPr>
          <w:sz w:val="14"/>
          <w:szCs w:val="14"/>
        </w:rPr>
        <w:t xml:space="preserve"> International Energy Agency (IEA) (2019). The Future of Hydrogen: Seizing Today’s Opportunities. Paris: IEA; International Renewable Energy Agency (IRENA) (2022). Policies for Green Hydrogen. Abu Dhabi: IRENA.</w:t>
      </w:r>
    </w:p>
  </w:footnote>
  <w:footnote w:id="3">
    <w:p w14:paraId="609F30B7" w14:textId="26787863" w:rsidR="005E4784" w:rsidRPr="00F91404" w:rsidRDefault="005E4784" w:rsidP="009B76FF">
      <w:pPr>
        <w:pStyle w:val="FootnoteText"/>
        <w:spacing w:after="60"/>
        <w:rPr>
          <w:sz w:val="14"/>
          <w:szCs w:val="14"/>
        </w:rPr>
      </w:pPr>
      <w:r w:rsidRPr="00F91404">
        <w:rPr>
          <w:rStyle w:val="FootnoteReference"/>
          <w:sz w:val="14"/>
          <w:szCs w:val="14"/>
        </w:rPr>
        <w:footnoteRef/>
      </w:r>
      <w:r w:rsidRPr="00F91404">
        <w:rPr>
          <w:sz w:val="14"/>
          <w:szCs w:val="14"/>
        </w:rPr>
        <w:t xml:space="preserve"> International Renewable Energy Agency (IRENA) (2024). Green Hydrogen Strategy Design. Abu Dhabi: IRENA.</w:t>
      </w:r>
    </w:p>
  </w:footnote>
  <w:footnote w:id="4">
    <w:p w14:paraId="0315EA22" w14:textId="0391BFA1" w:rsidR="005E4784" w:rsidRPr="004278C7" w:rsidRDefault="005E4784" w:rsidP="009B76FF">
      <w:pPr>
        <w:pStyle w:val="FootnoteText"/>
        <w:spacing w:after="60"/>
        <w:rPr>
          <w:lang w:val="es-MX"/>
        </w:rPr>
      </w:pPr>
      <w:r w:rsidRPr="00F91404">
        <w:rPr>
          <w:rStyle w:val="FootnoteReference"/>
          <w:sz w:val="14"/>
          <w:szCs w:val="14"/>
        </w:rPr>
        <w:footnoteRef/>
      </w:r>
      <w:r w:rsidRPr="00F91404">
        <w:rPr>
          <w:sz w:val="14"/>
          <w:szCs w:val="14"/>
        </w:rPr>
        <w:t xml:space="preserve"> International Energy Agency (IEA) (2025). Global Hydrogen Review. </w:t>
      </w:r>
      <w:r w:rsidRPr="004278C7">
        <w:rPr>
          <w:sz w:val="14"/>
          <w:szCs w:val="14"/>
          <w:lang w:val="es-MX"/>
        </w:rPr>
        <w:t>Paris: IEA; ERM (2024). Estrategia Industrial de Hidrógeno Limpio de México. Prepared for the Asociación Mexicana de Hidrógeno, with analytical inputs from Centro Mario Molina.</w:t>
      </w:r>
    </w:p>
  </w:footnote>
  <w:footnote w:id="5">
    <w:p w14:paraId="58E3218E" w14:textId="47E33B2F" w:rsidR="005E4784" w:rsidRPr="00F91404" w:rsidRDefault="005E4784" w:rsidP="009B76FF">
      <w:pPr>
        <w:pStyle w:val="FootnoteText"/>
        <w:spacing w:after="60"/>
        <w:rPr>
          <w:sz w:val="14"/>
          <w:szCs w:val="14"/>
        </w:rPr>
      </w:pPr>
      <w:r w:rsidRPr="00F91404">
        <w:rPr>
          <w:rStyle w:val="FootnoteReference"/>
          <w:sz w:val="14"/>
          <w:szCs w:val="14"/>
        </w:rPr>
        <w:footnoteRef/>
      </w:r>
      <w:r w:rsidRPr="004278C7">
        <w:rPr>
          <w:sz w:val="14"/>
          <w:szCs w:val="14"/>
          <w:lang w:val="es-MX"/>
        </w:rPr>
        <w:t xml:space="preserve"> ERM (2024). </w:t>
      </w:r>
      <w:r w:rsidRPr="004278C7">
        <w:rPr>
          <w:i/>
          <w:sz w:val="14"/>
          <w:szCs w:val="14"/>
          <w:lang w:val="es-MX"/>
        </w:rPr>
        <w:t>Estrategia Industrial de Hidrógeno Limpio de México</w:t>
      </w:r>
      <w:r w:rsidRPr="004278C7">
        <w:rPr>
          <w:sz w:val="14"/>
          <w:szCs w:val="14"/>
          <w:lang w:val="es-MX"/>
        </w:rPr>
        <w:t xml:space="preserve">. </w:t>
      </w:r>
      <w:r w:rsidRPr="00F91404">
        <w:rPr>
          <w:sz w:val="14"/>
          <w:szCs w:val="14"/>
        </w:rPr>
        <w:t xml:space="preserve">Prepared for the </w:t>
      </w:r>
      <w:proofErr w:type="spellStart"/>
      <w:r w:rsidRPr="00F91404">
        <w:rPr>
          <w:sz w:val="14"/>
          <w:szCs w:val="14"/>
        </w:rPr>
        <w:t>Asociación</w:t>
      </w:r>
      <w:proofErr w:type="spellEnd"/>
      <w:r w:rsidRPr="00F91404">
        <w:rPr>
          <w:sz w:val="14"/>
          <w:szCs w:val="14"/>
        </w:rPr>
        <w:t xml:space="preserve"> Mexicana de </w:t>
      </w:r>
      <w:proofErr w:type="spellStart"/>
      <w:r w:rsidRPr="00F91404">
        <w:rPr>
          <w:sz w:val="14"/>
          <w:szCs w:val="14"/>
        </w:rPr>
        <w:t>Hidrógeno</w:t>
      </w:r>
      <w:proofErr w:type="spellEnd"/>
      <w:r w:rsidRPr="00F91404">
        <w:rPr>
          <w:sz w:val="14"/>
          <w:szCs w:val="14"/>
        </w:rPr>
        <w:t>, with analytical inputs from Centro Mario Molina.</w:t>
      </w:r>
    </w:p>
  </w:footnote>
  <w:footnote w:id="6">
    <w:p w14:paraId="7CB7E9D0" w14:textId="5399058E" w:rsidR="005E4784" w:rsidRPr="00F91404" w:rsidRDefault="005E4784" w:rsidP="009B76FF">
      <w:pPr>
        <w:pStyle w:val="FootnoteText"/>
        <w:spacing w:after="60"/>
        <w:rPr>
          <w:sz w:val="14"/>
          <w:szCs w:val="14"/>
        </w:rPr>
      </w:pPr>
      <w:r w:rsidRPr="00F91404">
        <w:rPr>
          <w:rStyle w:val="FootnoteReference"/>
          <w:sz w:val="14"/>
          <w:szCs w:val="14"/>
        </w:rPr>
        <w:footnoteRef/>
      </w:r>
      <w:r w:rsidRPr="00F91404">
        <w:rPr>
          <w:sz w:val="14"/>
          <w:szCs w:val="14"/>
        </w:rPr>
        <w:t xml:space="preserve"> International Renewable Energy Agency (IRENA) (2024). </w:t>
      </w:r>
      <w:r w:rsidRPr="00F91404">
        <w:rPr>
          <w:i/>
          <w:iCs/>
          <w:sz w:val="14"/>
          <w:szCs w:val="14"/>
        </w:rPr>
        <w:t>Green Hydrogen Strategy Design</w:t>
      </w:r>
      <w:r w:rsidRPr="00F91404">
        <w:rPr>
          <w:sz w:val="14"/>
          <w:szCs w:val="14"/>
        </w:rPr>
        <w:t xml:space="preserve">; World Bank / ESMAP (2024). </w:t>
      </w:r>
      <w:r w:rsidRPr="00F91404">
        <w:rPr>
          <w:i/>
          <w:iCs/>
          <w:sz w:val="14"/>
          <w:szCs w:val="14"/>
        </w:rPr>
        <w:t>Hydrogen for Development (H4D)</w:t>
      </w:r>
      <w:r w:rsidRPr="00F91404">
        <w:rPr>
          <w:sz w:val="14"/>
          <w:szCs w:val="14"/>
        </w:rPr>
        <w:t xml:space="preserve"> analytical framework.</w:t>
      </w:r>
    </w:p>
  </w:footnote>
  <w:footnote w:id="7">
    <w:p w14:paraId="6040A773" w14:textId="2E3BEAC9" w:rsidR="005E4784" w:rsidRPr="00F91404" w:rsidRDefault="005E4784" w:rsidP="009B76FF">
      <w:pPr>
        <w:pStyle w:val="FootnoteText"/>
        <w:spacing w:after="60"/>
        <w:rPr>
          <w:sz w:val="14"/>
          <w:szCs w:val="14"/>
        </w:rPr>
      </w:pPr>
      <w:r w:rsidRPr="00F91404">
        <w:rPr>
          <w:rStyle w:val="FootnoteReference"/>
          <w:sz w:val="14"/>
          <w:szCs w:val="14"/>
        </w:rPr>
        <w:footnoteRef/>
      </w:r>
      <w:r w:rsidRPr="00F91404">
        <w:rPr>
          <w:sz w:val="14"/>
          <w:szCs w:val="14"/>
        </w:rPr>
        <w:t xml:space="preserve"> International Energy Agency (IEA). Hydrogen Production and Infrastructure Projects Database.</w:t>
      </w:r>
    </w:p>
  </w:footnote>
  <w:footnote w:id="8">
    <w:p w14:paraId="6FE7AEBB" w14:textId="1DE89E22" w:rsidR="005E0C9D" w:rsidRPr="00F91404" w:rsidRDefault="005E0C9D" w:rsidP="009B76FF">
      <w:pPr>
        <w:pStyle w:val="FootnoteText"/>
        <w:spacing w:after="60"/>
        <w:rPr>
          <w:sz w:val="14"/>
          <w:szCs w:val="14"/>
        </w:rPr>
      </w:pPr>
      <w:r w:rsidRPr="00F91404">
        <w:rPr>
          <w:rStyle w:val="FootnoteReference"/>
          <w:sz w:val="14"/>
          <w:szCs w:val="14"/>
        </w:rPr>
        <w:footnoteRef/>
      </w:r>
      <w:r w:rsidRPr="00F91404">
        <w:rPr>
          <w:sz w:val="14"/>
          <w:szCs w:val="14"/>
        </w:rPr>
        <w:t xml:space="preserve"> </w:t>
      </w:r>
      <w:r w:rsidRPr="00F91404">
        <w:rPr>
          <w:rFonts w:cstheme="minorHAnsi"/>
          <w:sz w:val="14"/>
          <w:szCs w:val="14"/>
        </w:rPr>
        <w:t>International Energy Agency (IEA), Hydrogen Production and Infrastructure Projects Database</w:t>
      </w:r>
    </w:p>
  </w:footnote>
  <w:footnote w:id="9">
    <w:p w14:paraId="77A90FA3" w14:textId="6D5B056B" w:rsidR="005E4784" w:rsidRPr="00F91404" w:rsidRDefault="005E4784" w:rsidP="009B76FF">
      <w:pPr>
        <w:pStyle w:val="FootnoteText"/>
        <w:spacing w:after="60"/>
        <w:rPr>
          <w:sz w:val="14"/>
          <w:szCs w:val="14"/>
        </w:rPr>
      </w:pPr>
      <w:r w:rsidRPr="00F91404">
        <w:rPr>
          <w:rStyle w:val="FootnoteReference"/>
          <w:sz w:val="14"/>
          <w:szCs w:val="14"/>
        </w:rPr>
        <w:footnoteRef/>
      </w:r>
      <w:r w:rsidRPr="00F91404">
        <w:rPr>
          <w:sz w:val="14"/>
          <w:szCs w:val="14"/>
        </w:rPr>
        <w:t xml:space="preserve"> International Energy Agency (IEA) (2025). </w:t>
      </w:r>
      <w:r w:rsidRPr="00F91404">
        <w:rPr>
          <w:i/>
          <w:iCs/>
          <w:sz w:val="14"/>
          <w:szCs w:val="14"/>
        </w:rPr>
        <w:t>Global Hydrogen Review</w:t>
      </w:r>
      <w:r w:rsidRPr="00F91404">
        <w:rPr>
          <w:sz w:val="14"/>
          <w:szCs w:val="14"/>
        </w:rPr>
        <w:t>. Paris: IEA.</w:t>
      </w:r>
    </w:p>
  </w:footnote>
  <w:footnote w:id="10">
    <w:p w14:paraId="73D4B1D0" w14:textId="409F3CAD" w:rsidR="005E4784" w:rsidRPr="004278C7" w:rsidRDefault="005E4784" w:rsidP="009B76FF">
      <w:pPr>
        <w:pStyle w:val="FootnoteText"/>
        <w:spacing w:after="60"/>
        <w:rPr>
          <w:sz w:val="14"/>
          <w:szCs w:val="14"/>
          <w:lang w:val="es-MX"/>
        </w:rPr>
      </w:pPr>
      <w:r w:rsidRPr="00F91404">
        <w:rPr>
          <w:rStyle w:val="FootnoteReference"/>
          <w:sz w:val="14"/>
          <w:szCs w:val="14"/>
        </w:rPr>
        <w:footnoteRef/>
      </w:r>
      <w:r w:rsidRPr="00F91404">
        <w:rPr>
          <w:sz w:val="14"/>
          <w:szCs w:val="14"/>
        </w:rPr>
        <w:t xml:space="preserve"> International Renewable Energy Agency (IRENA) (2022). </w:t>
      </w:r>
      <w:r w:rsidRPr="00F91404">
        <w:rPr>
          <w:i/>
          <w:iCs/>
          <w:sz w:val="14"/>
          <w:szCs w:val="14"/>
        </w:rPr>
        <w:t>Policies for Green Hydrogen</w:t>
      </w:r>
      <w:r w:rsidRPr="00F91404">
        <w:rPr>
          <w:sz w:val="14"/>
          <w:szCs w:val="14"/>
        </w:rPr>
        <w:t xml:space="preserve">; International Energy Agency (IEA) (2025). </w:t>
      </w:r>
      <w:r w:rsidRPr="004278C7">
        <w:rPr>
          <w:i/>
          <w:sz w:val="14"/>
          <w:szCs w:val="14"/>
          <w:lang w:val="es-MX"/>
        </w:rPr>
        <w:t>Global Hydrogen Review</w:t>
      </w:r>
      <w:r w:rsidRPr="004278C7">
        <w:rPr>
          <w:sz w:val="14"/>
          <w:szCs w:val="14"/>
          <w:lang w:val="es-MX"/>
        </w:rPr>
        <w:t>.</w:t>
      </w:r>
    </w:p>
  </w:footnote>
  <w:footnote w:id="11">
    <w:p w14:paraId="6A59204B" w14:textId="36BB6D24" w:rsidR="004401CE" w:rsidRPr="004278C7" w:rsidRDefault="004401CE" w:rsidP="009B76FF">
      <w:pPr>
        <w:pStyle w:val="FootnoteText"/>
        <w:spacing w:after="60"/>
        <w:rPr>
          <w:sz w:val="14"/>
          <w:szCs w:val="14"/>
          <w:lang w:val="es-MX"/>
        </w:rPr>
      </w:pPr>
      <w:r w:rsidRPr="00F91404">
        <w:rPr>
          <w:rStyle w:val="FootnoteReference"/>
          <w:sz w:val="14"/>
          <w:szCs w:val="14"/>
        </w:rPr>
        <w:footnoteRef/>
      </w:r>
      <w:r w:rsidRPr="004278C7">
        <w:rPr>
          <w:sz w:val="14"/>
          <w:szCs w:val="14"/>
          <w:lang w:val="es-MX"/>
        </w:rPr>
        <w:t xml:space="preserve"> Secretaría de Energía (SENER) (2024). Lineamientos en Materia de Hidrógeno; International Renewable Energy Agency (IRENA) (2022). Policies for Green Hydrogen.</w:t>
      </w:r>
    </w:p>
  </w:footnote>
  <w:footnote w:id="12">
    <w:p w14:paraId="52CB56DA" w14:textId="4BADC9E0" w:rsidR="004401CE" w:rsidRPr="004278C7" w:rsidRDefault="004401CE" w:rsidP="009B76FF">
      <w:pPr>
        <w:pStyle w:val="FootnoteText"/>
        <w:spacing w:after="60"/>
        <w:rPr>
          <w:sz w:val="14"/>
          <w:szCs w:val="14"/>
          <w:lang w:val="es-MX"/>
        </w:rPr>
      </w:pPr>
      <w:r w:rsidRPr="00F91404">
        <w:rPr>
          <w:rStyle w:val="FootnoteReference"/>
          <w:sz w:val="14"/>
          <w:szCs w:val="14"/>
        </w:rPr>
        <w:footnoteRef/>
      </w:r>
      <w:r w:rsidRPr="004278C7">
        <w:rPr>
          <w:sz w:val="14"/>
          <w:szCs w:val="14"/>
          <w:lang w:val="es-MX"/>
        </w:rPr>
        <w:t xml:space="preserve"> Government of Mexico. </w:t>
      </w:r>
      <w:r w:rsidRPr="004278C7">
        <w:rPr>
          <w:i/>
          <w:sz w:val="14"/>
          <w:szCs w:val="14"/>
          <w:lang w:val="es-MX"/>
        </w:rPr>
        <w:t>Ley de Hidrocarburos</w:t>
      </w:r>
      <w:r w:rsidRPr="004278C7">
        <w:rPr>
          <w:sz w:val="14"/>
          <w:szCs w:val="14"/>
          <w:lang w:val="es-MX"/>
        </w:rPr>
        <w:t xml:space="preserve">; </w:t>
      </w:r>
      <w:r w:rsidRPr="004278C7">
        <w:rPr>
          <w:i/>
          <w:sz w:val="14"/>
          <w:szCs w:val="14"/>
          <w:lang w:val="es-MX"/>
        </w:rPr>
        <w:t>Ley de la Industria Eléctrica</w:t>
      </w:r>
      <w:r w:rsidRPr="004278C7">
        <w:rPr>
          <w:sz w:val="14"/>
          <w:szCs w:val="14"/>
          <w:lang w:val="es-MX"/>
        </w:rPr>
        <w:t xml:space="preserve">; </w:t>
      </w:r>
      <w:r w:rsidRPr="004278C7">
        <w:rPr>
          <w:i/>
          <w:sz w:val="14"/>
          <w:szCs w:val="14"/>
          <w:lang w:val="es-MX"/>
        </w:rPr>
        <w:t>Ley General de Cambio Climático</w:t>
      </w:r>
      <w:r w:rsidRPr="004278C7">
        <w:rPr>
          <w:sz w:val="14"/>
          <w:szCs w:val="14"/>
          <w:lang w:val="es-MX"/>
        </w:rPr>
        <w:t>.</w:t>
      </w:r>
    </w:p>
  </w:footnote>
  <w:footnote w:id="13">
    <w:p w14:paraId="29A832B8" w14:textId="0E13B3C4" w:rsidR="004401CE" w:rsidRPr="00F91404" w:rsidRDefault="004401CE" w:rsidP="009B76FF">
      <w:pPr>
        <w:pStyle w:val="FootnoteText"/>
        <w:spacing w:after="60"/>
        <w:rPr>
          <w:sz w:val="14"/>
          <w:szCs w:val="14"/>
        </w:rPr>
      </w:pPr>
      <w:r w:rsidRPr="00F91404">
        <w:rPr>
          <w:rStyle w:val="FootnoteReference"/>
          <w:sz w:val="14"/>
          <w:szCs w:val="14"/>
        </w:rPr>
        <w:footnoteRef/>
      </w:r>
      <w:r w:rsidRPr="00F91404">
        <w:rPr>
          <w:sz w:val="14"/>
          <w:szCs w:val="14"/>
        </w:rPr>
        <w:t xml:space="preserve"> International Energy Agency (IEA) (2025). </w:t>
      </w:r>
      <w:r w:rsidRPr="00F91404">
        <w:rPr>
          <w:i/>
          <w:iCs/>
          <w:sz w:val="14"/>
          <w:szCs w:val="14"/>
        </w:rPr>
        <w:t>Global Hydrogen Review</w:t>
      </w:r>
      <w:r w:rsidRPr="00F91404">
        <w:rPr>
          <w:sz w:val="14"/>
          <w:szCs w:val="14"/>
        </w:rPr>
        <w:t xml:space="preserve">. Paris: IEA; International Renewable Energy Agency (IRENA) (2024). </w:t>
      </w:r>
      <w:r w:rsidRPr="00F91404">
        <w:rPr>
          <w:i/>
          <w:iCs/>
          <w:sz w:val="14"/>
          <w:szCs w:val="14"/>
        </w:rPr>
        <w:t>Green Hydrogen Strategy Design</w:t>
      </w:r>
      <w:r w:rsidRPr="00F91404">
        <w:rPr>
          <w:sz w:val="14"/>
          <w:szCs w:val="14"/>
        </w:rPr>
        <w:t>.</w:t>
      </w:r>
    </w:p>
  </w:footnote>
  <w:footnote w:id="14">
    <w:p w14:paraId="370C1B88" w14:textId="74A9BB8C" w:rsidR="005E4784" w:rsidRPr="00F91404" w:rsidRDefault="005E4784">
      <w:pPr>
        <w:pStyle w:val="FootnoteText"/>
      </w:pPr>
      <w:r w:rsidRPr="00F91404">
        <w:rPr>
          <w:rStyle w:val="FootnoteReference"/>
          <w:sz w:val="14"/>
          <w:szCs w:val="14"/>
        </w:rPr>
        <w:footnoteRef/>
      </w:r>
      <w:r w:rsidRPr="004278C7">
        <w:rPr>
          <w:sz w:val="14"/>
          <w:szCs w:val="14"/>
          <w:lang w:val="es-MX"/>
        </w:rPr>
        <w:t xml:space="preserve"> Secretaría de Energía (SENER) (2024). </w:t>
      </w:r>
      <w:r w:rsidRPr="004278C7">
        <w:rPr>
          <w:i/>
          <w:sz w:val="14"/>
          <w:szCs w:val="14"/>
          <w:lang w:val="es-MX"/>
        </w:rPr>
        <w:t>Lineamientos en Materia de Hidrógeno</w:t>
      </w:r>
      <w:r w:rsidRPr="004278C7">
        <w:rPr>
          <w:sz w:val="14"/>
          <w:szCs w:val="14"/>
          <w:lang w:val="es-MX"/>
        </w:rPr>
        <w:t xml:space="preserve">; International Renewable Energy Agency (IRENA) (2022). </w:t>
      </w:r>
      <w:r w:rsidRPr="00F91404">
        <w:rPr>
          <w:i/>
          <w:sz w:val="14"/>
          <w:szCs w:val="14"/>
        </w:rPr>
        <w:t>Policies for Green Hydrogen</w:t>
      </w:r>
      <w:r w:rsidRPr="00F91404">
        <w:rPr>
          <w:sz w:val="14"/>
          <w:szCs w:val="14"/>
        </w:rPr>
        <w:t>.</w:t>
      </w:r>
    </w:p>
  </w:footnote>
  <w:footnote w:id="15">
    <w:p w14:paraId="49E47459" w14:textId="0120686E" w:rsidR="00F324DC" w:rsidRPr="00F91404" w:rsidRDefault="00F324DC" w:rsidP="00516AD9">
      <w:pPr>
        <w:pStyle w:val="FootnoteText"/>
        <w:spacing w:after="60"/>
      </w:pPr>
      <w:r w:rsidRPr="00F91404">
        <w:rPr>
          <w:rStyle w:val="FootnoteReference"/>
        </w:rPr>
        <w:footnoteRef/>
      </w:r>
      <w:r w:rsidRPr="00F91404">
        <w:t xml:space="preserve"> </w:t>
      </w:r>
      <w:r w:rsidR="008D41E4" w:rsidRPr="00F91404">
        <w:rPr>
          <w:sz w:val="14"/>
          <w:szCs w:val="14"/>
        </w:rPr>
        <w:t xml:space="preserve">International Energy Agency (IEA). </w:t>
      </w:r>
      <w:r w:rsidR="008D41E4" w:rsidRPr="00F91404">
        <w:rPr>
          <w:i/>
          <w:iCs/>
          <w:sz w:val="14"/>
          <w:szCs w:val="14"/>
        </w:rPr>
        <w:t>Global Hydrogen Review</w:t>
      </w:r>
      <w:r w:rsidR="008D41E4" w:rsidRPr="00F91404">
        <w:rPr>
          <w:sz w:val="14"/>
          <w:szCs w:val="14"/>
        </w:rPr>
        <w:t xml:space="preserve"> (latest edition); International Renewable Energy Agency (IRENA). </w:t>
      </w:r>
      <w:r w:rsidR="008D41E4" w:rsidRPr="00F91404">
        <w:rPr>
          <w:i/>
          <w:iCs/>
          <w:sz w:val="14"/>
          <w:szCs w:val="14"/>
        </w:rPr>
        <w:t>World Energy Transitions Outlook</w:t>
      </w:r>
    </w:p>
  </w:footnote>
  <w:footnote w:id="16">
    <w:p w14:paraId="56938863" w14:textId="0C45568C" w:rsidR="00756C2E" w:rsidRPr="00F91404" w:rsidRDefault="00756C2E" w:rsidP="00516AD9">
      <w:pPr>
        <w:pStyle w:val="FootnoteText"/>
        <w:spacing w:after="60"/>
      </w:pPr>
      <w:r w:rsidRPr="00F91404">
        <w:rPr>
          <w:rStyle w:val="FootnoteReference"/>
        </w:rPr>
        <w:footnoteRef/>
      </w:r>
      <w:r w:rsidRPr="00F91404">
        <w:t xml:space="preserve"> </w:t>
      </w:r>
      <w:r w:rsidR="00DE32E8" w:rsidRPr="00F91404">
        <w:rPr>
          <w:sz w:val="14"/>
          <w:szCs w:val="14"/>
        </w:rPr>
        <w:t xml:space="preserve">International Energy Agency (IEA). </w:t>
      </w:r>
      <w:r w:rsidR="00DE32E8" w:rsidRPr="00F91404">
        <w:rPr>
          <w:i/>
          <w:iCs/>
          <w:sz w:val="14"/>
          <w:szCs w:val="14"/>
        </w:rPr>
        <w:t>The Future of Hydrogen</w:t>
      </w:r>
      <w:r w:rsidR="00DE32E8" w:rsidRPr="00F91404">
        <w:rPr>
          <w:sz w:val="14"/>
          <w:szCs w:val="14"/>
        </w:rPr>
        <w:t xml:space="preserve">; IRENA. </w:t>
      </w:r>
      <w:r w:rsidR="00DE32E8" w:rsidRPr="00F91404">
        <w:rPr>
          <w:i/>
          <w:iCs/>
          <w:sz w:val="14"/>
          <w:szCs w:val="14"/>
        </w:rPr>
        <w:t>Green Hydrogen Cost Reduction: Scaling up Electrolysers to Meet the 1.5°C Climate Goal</w:t>
      </w:r>
      <w:r w:rsidR="00DE32E8" w:rsidRPr="00F91404">
        <w:rPr>
          <w:sz w:val="14"/>
          <w:szCs w:val="14"/>
        </w:rPr>
        <w:t>.</w:t>
      </w:r>
    </w:p>
  </w:footnote>
  <w:footnote w:id="17">
    <w:p w14:paraId="742995D8" w14:textId="53A4EBFA" w:rsidR="000D6650" w:rsidRPr="00F91404" w:rsidRDefault="000D6650" w:rsidP="00516AD9">
      <w:pPr>
        <w:pStyle w:val="FootnoteText"/>
        <w:spacing w:after="60"/>
        <w:rPr>
          <w:sz w:val="14"/>
          <w:szCs w:val="14"/>
        </w:rPr>
      </w:pPr>
      <w:r w:rsidRPr="00F91404">
        <w:rPr>
          <w:rStyle w:val="FootnoteReference"/>
          <w:sz w:val="14"/>
          <w:szCs w:val="14"/>
        </w:rPr>
        <w:footnoteRef/>
      </w:r>
      <w:r w:rsidRPr="00F91404">
        <w:rPr>
          <w:sz w:val="14"/>
          <w:szCs w:val="14"/>
        </w:rPr>
        <w:t xml:space="preserve"> International Energy Agency (IEA). Energy Technology Perspectives; IRENA. Hydrogen: A Renewable Energy Perspective.</w:t>
      </w:r>
    </w:p>
  </w:footnote>
  <w:footnote w:id="18">
    <w:p w14:paraId="5DB4D87D" w14:textId="7BC57906" w:rsidR="00445DF4" w:rsidRPr="00F91404" w:rsidRDefault="00445DF4">
      <w:pPr>
        <w:pStyle w:val="FootnoteText"/>
        <w:rPr>
          <w:sz w:val="14"/>
          <w:szCs w:val="14"/>
        </w:rPr>
      </w:pPr>
      <w:r w:rsidRPr="00F91404">
        <w:rPr>
          <w:rStyle w:val="FootnoteReference"/>
          <w:sz w:val="14"/>
          <w:szCs w:val="14"/>
        </w:rPr>
        <w:footnoteRef/>
      </w:r>
      <w:r w:rsidRPr="00F91404">
        <w:rPr>
          <w:sz w:val="14"/>
          <w:szCs w:val="14"/>
        </w:rPr>
        <w:t xml:space="preserve"> International Energy Agency (IEA). Global Hydrogen Review; IRENA. Policies for Green Hydrogen.</w:t>
      </w:r>
    </w:p>
  </w:footnote>
  <w:footnote w:id="19">
    <w:p w14:paraId="2E32DB30" w14:textId="23790CE2" w:rsidR="00E7089C" w:rsidRPr="00F91404" w:rsidRDefault="00E7089C" w:rsidP="00E7089C">
      <w:pPr>
        <w:pStyle w:val="FootnoteText"/>
        <w:rPr>
          <w:sz w:val="14"/>
          <w:szCs w:val="14"/>
        </w:rPr>
      </w:pPr>
      <w:r w:rsidRPr="00F91404">
        <w:rPr>
          <w:rStyle w:val="FootnoteReference"/>
          <w:sz w:val="14"/>
          <w:szCs w:val="14"/>
        </w:rPr>
        <w:footnoteRef/>
      </w:r>
      <w:r w:rsidRPr="00F91404">
        <w:rPr>
          <w:sz w:val="14"/>
          <w:szCs w:val="14"/>
        </w:rPr>
        <w:t xml:space="preserve"> International Energy Agency (IEA) (2023), </w:t>
      </w:r>
      <w:r w:rsidRPr="00F91404">
        <w:rPr>
          <w:i/>
          <w:iCs/>
          <w:sz w:val="14"/>
          <w:szCs w:val="14"/>
        </w:rPr>
        <w:t>Global Hydrogen Review 2023</w:t>
      </w:r>
      <w:r w:rsidRPr="00F91404">
        <w:rPr>
          <w:sz w:val="14"/>
          <w:szCs w:val="14"/>
        </w:rPr>
        <w:t>, Paris: IEA. The report identifies cost gaps, infrastructure constraints, regulatory uncertainty and demand risks as key barriers to hydrogen market scale-up.</w:t>
      </w:r>
    </w:p>
  </w:footnote>
  <w:footnote w:id="20">
    <w:p w14:paraId="210BCE10" w14:textId="65EC4779" w:rsidR="00E7089C" w:rsidRPr="00F91404" w:rsidRDefault="00E7089C">
      <w:pPr>
        <w:pStyle w:val="FootnoteText"/>
        <w:rPr>
          <w:sz w:val="14"/>
          <w:szCs w:val="14"/>
        </w:rPr>
      </w:pPr>
      <w:r w:rsidRPr="00F91404">
        <w:rPr>
          <w:rStyle w:val="FootnoteReference"/>
          <w:sz w:val="14"/>
          <w:szCs w:val="14"/>
        </w:rPr>
        <w:footnoteRef/>
      </w:r>
      <w:r w:rsidRPr="00F91404">
        <w:rPr>
          <w:sz w:val="14"/>
          <w:szCs w:val="14"/>
        </w:rPr>
        <w:t xml:space="preserve"> I</w:t>
      </w:r>
      <w:r w:rsidR="009E4004" w:rsidRPr="00F91404">
        <w:rPr>
          <w:sz w:val="14"/>
          <w:szCs w:val="14"/>
        </w:rPr>
        <w:t xml:space="preserve"> International Renewable Energy Agency (IRENA) (2022), </w:t>
      </w:r>
      <w:r w:rsidR="009E4004" w:rsidRPr="00F91404">
        <w:rPr>
          <w:i/>
          <w:iCs/>
          <w:sz w:val="14"/>
          <w:szCs w:val="14"/>
        </w:rPr>
        <w:t>Geopolitics of the Energy Transformation: The Hydrogen Factor</w:t>
      </w:r>
      <w:r w:rsidR="009E4004" w:rsidRPr="00F91404">
        <w:rPr>
          <w:sz w:val="14"/>
          <w:szCs w:val="14"/>
        </w:rPr>
        <w:t>, Abu Dhabi: IRENA. Highlights capital intensity, policy coordination challenges and enabling frameworks as determinants of hydrogen deployment.</w:t>
      </w:r>
    </w:p>
  </w:footnote>
  <w:footnote w:id="21">
    <w:p w14:paraId="128C354A" w14:textId="1A52F0B9" w:rsidR="00E7089C" w:rsidRPr="00F91404" w:rsidRDefault="00E7089C">
      <w:pPr>
        <w:pStyle w:val="FootnoteText"/>
        <w:rPr>
          <w:sz w:val="14"/>
          <w:szCs w:val="14"/>
        </w:rPr>
      </w:pPr>
      <w:r w:rsidRPr="00F91404">
        <w:rPr>
          <w:rStyle w:val="FootnoteReference"/>
          <w:sz w:val="14"/>
          <w:szCs w:val="14"/>
        </w:rPr>
        <w:footnoteRef/>
      </w:r>
      <w:r w:rsidRPr="00F91404">
        <w:rPr>
          <w:sz w:val="14"/>
          <w:szCs w:val="14"/>
        </w:rPr>
        <w:t xml:space="preserve"> </w:t>
      </w:r>
      <w:r w:rsidR="009E4004" w:rsidRPr="00F91404">
        <w:rPr>
          <w:sz w:val="14"/>
          <w:szCs w:val="14"/>
        </w:rPr>
        <w:t xml:space="preserve">World Bank (2023), </w:t>
      </w:r>
      <w:r w:rsidR="009E4004" w:rsidRPr="00F91404">
        <w:rPr>
          <w:i/>
          <w:iCs/>
          <w:sz w:val="14"/>
          <w:szCs w:val="14"/>
        </w:rPr>
        <w:t>Scaling Up Green Hydrogen for Development</w:t>
      </w:r>
      <w:r w:rsidR="009E4004" w:rsidRPr="00F91404">
        <w:rPr>
          <w:sz w:val="14"/>
          <w:szCs w:val="14"/>
        </w:rPr>
        <w:t>, Washington, DC: World Bank. Emphasises institutional readiness, regulatory clarity and risk mitigation mechanisms as preconditions for private investment.</w:t>
      </w:r>
    </w:p>
  </w:footnote>
  <w:footnote w:id="22">
    <w:p w14:paraId="139C145C" w14:textId="01FBE484" w:rsidR="00E7089C" w:rsidRPr="00F91404" w:rsidRDefault="00E7089C">
      <w:pPr>
        <w:pStyle w:val="FootnoteText"/>
      </w:pPr>
      <w:r w:rsidRPr="00F91404">
        <w:rPr>
          <w:rStyle w:val="FootnoteReference"/>
          <w:sz w:val="14"/>
          <w:szCs w:val="14"/>
        </w:rPr>
        <w:footnoteRef/>
      </w:r>
      <w:r w:rsidRPr="00F91404">
        <w:rPr>
          <w:sz w:val="14"/>
          <w:szCs w:val="14"/>
        </w:rPr>
        <w:t xml:space="preserve"> </w:t>
      </w:r>
      <w:r w:rsidR="009E4004" w:rsidRPr="00F91404">
        <w:rPr>
          <w:sz w:val="14"/>
          <w:szCs w:val="14"/>
        </w:rPr>
        <w:t xml:space="preserve">OECD (2021), </w:t>
      </w:r>
      <w:r w:rsidR="009E4004" w:rsidRPr="00F91404">
        <w:rPr>
          <w:i/>
          <w:iCs/>
          <w:sz w:val="14"/>
          <w:szCs w:val="14"/>
        </w:rPr>
        <w:t>OECD Policy Responses to Hydrogen</w:t>
      </w:r>
      <w:r w:rsidR="009E4004" w:rsidRPr="00F91404">
        <w:rPr>
          <w:sz w:val="14"/>
          <w:szCs w:val="14"/>
        </w:rPr>
        <w:t>, Paris: OECD. Identifies governance alignment, policy sequencing and coordinated public intervention as critical to overcoming coordination failures in emerging hydrogen markets.</w:t>
      </w:r>
    </w:p>
  </w:footnote>
  <w:footnote w:id="23">
    <w:p w14:paraId="0912B450" w14:textId="77777777" w:rsidR="0062515C" w:rsidRPr="00401634" w:rsidRDefault="0062515C" w:rsidP="0062515C">
      <w:pPr>
        <w:pStyle w:val="FootnoteText"/>
        <w:rPr>
          <w:sz w:val="14"/>
          <w:szCs w:val="14"/>
        </w:rPr>
      </w:pPr>
      <w:r w:rsidRPr="00F91404">
        <w:rPr>
          <w:rStyle w:val="FootnoteReference"/>
          <w:sz w:val="14"/>
          <w:szCs w:val="14"/>
        </w:rPr>
        <w:footnoteRef/>
      </w:r>
      <w:r w:rsidRPr="00F91404">
        <w:rPr>
          <w:sz w:val="14"/>
          <w:szCs w:val="14"/>
        </w:rPr>
        <w:t xml:space="preserve"> International Energy Agency (IEA). Global Hydrogen Review; International Renewable Energy Agency (IRENA). Policies for Green Hydrogen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1D9"/>
    <w:multiLevelType w:val="multilevel"/>
    <w:tmpl w:val="2960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2662"/>
    <w:multiLevelType w:val="hybridMultilevel"/>
    <w:tmpl w:val="912E0244"/>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2" w15:restartNumberingAfterBreak="0">
    <w:nsid w:val="01D8677A"/>
    <w:multiLevelType w:val="multilevel"/>
    <w:tmpl w:val="265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07476"/>
    <w:multiLevelType w:val="hybridMultilevel"/>
    <w:tmpl w:val="347000C0"/>
    <w:lvl w:ilvl="0" w:tplc="35D6AD3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2D42945"/>
    <w:multiLevelType w:val="hybridMultilevel"/>
    <w:tmpl w:val="0D50313A"/>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5" w15:restartNumberingAfterBreak="0">
    <w:nsid w:val="07E22AAD"/>
    <w:multiLevelType w:val="hybridMultilevel"/>
    <w:tmpl w:val="B1020E58"/>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6" w15:restartNumberingAfterBreak="0">
    <w:nsid w:val="087A63CC"/>
    <w:multiLevelType w:val="multilevel"/>
    <w:tmpl w:val="C65A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A3FAD"/>
    <w:multiLevelType w:val="multilevel"/>
    <w:tmpl w:val="280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33D57"/>
    <w:multiLevelType w:val="multilevel"/>
    <w:tmpl w:val="C6DE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87AE0"/>
    <w:multiLevelType w:val="hybridMultilevel"/>
    <w:tmpl w:val="6BB6BC18"/>
    <w:lvl w:ilvl="0" w:tplc="5CA494C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E0928C9"/>
    <w:multiLevelType w:val="multilevel"/>
    <w:tmpl w:val="D14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92C99"/>
    <w:multiLevelType w:val="hybridMultilevel"/>
    <w:tmpl w:val="C010D1FC"/>
    <w:lvl w:ilvl="0" w:tplc="9F32EDC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71748A"/>
    <w:multiLevelType w:val="hybridMultilevel"/>
    <w:tmpl w:val="342E297A"/>
    <w:lvl w:ilvl="0" w:tplc="58EE16F8">
      <w:start w:val="1"/>
      <w:numFmt w:val="bullet"/>
      <w:pStyle w:val="Style5"/>
      <w:lvlText w:val=""/>
      <w:lvlJc w:val="left"/>
      <w:pPr>
        <w:ind w:left="720" w:hanging="360"/>
      </w:pPr>
      <w:rPr>
        <w:rFonts w:ascii="Symbol" w:hAnsi="Symbol" w:hint="default"/>
        <w:color w:val="009193"/>
        <w:position w:val="-2"/>
        <w:sz w:val="28"/>
        <w:szCs w:val="32"/>
        <w:vertAlign w:val="baseline"/>
      </w:rPr>
    </w:lvl>
    <w:lvl w:ilvl="1" w:tplc="8F926A26">
      <w:start w:val="1"/>
      <w:numFmt w:val="bullet"/>
      <w:lvlText w:val="o"/>
      <w:lvlJc w:val="left"/>
      <w:pPr>
        <w:ind w:left="1440" w:hanging="360"/>
      </w:pPr>
      <w:rPr>
        <w:rFonts w:ascii="Courier New" w:hAnsi="Courier New" w:hint="default"/>
      </w:rPr>
    </w:lvl>
    <w:lvl w:ilvl="2" w:tplc="A6547A4A" w:tentative="1">
      <w:start w:val="1"/>
      <w:numFmt w:val="bullet"/>
      <w:lvlText w:val=""/>
      <w:lvlJc w:val="left"/>
      <w:pPr>
        <w:ind w:left="2160" w:hanging="360"/>
      </w:pPr>
      <w:rPr>
        <w:rFonts w:ascii="Wingdings" w:hAnsi="Wingdings" w:hint="default"/>
      </w:rPr>
    </w:lvl>
    <w:lvl w:ilvl="3" w:tplc="EAC2DA00" w:tentative="1">
      <w:start w:val="1"/>
      <w:numFmt w:val="bullet"/>
      <w:lvlText w:val=""/>
      <w:lvlJc w:val="left"/>
      <w:pPr>
        <w:ind w:left="2880" w:hanging="360"/>
      </w:pPr>
      <w:rPr>
        <w:rFonts w:ascii="Symbol" w:hAnsi="Symbol" w:hint="default"/>
      </w:rPr>
    </w:lvl>
    <w:lvl w:ilvl="4" w:tplc="BB2C1706" w:tentative="1">
      <w:start w:val="1"/>
      <w:numFmt w:val="bullet"/>
      <w:lvlText w:val="o"/>
      <w:lvlJc w:val="left"/>
      <w:pPr>
        <w:ind w:left="3600" w:hanging="360"/>
      </w:pPr>
      <w:rPr>
        <w:rFonts w:ascii="Courier New" w:hAnsi="Courier New" w:hint="default"/>
      </w:rPr>
    </w:lvl>
    <w:lvl w:ilvl="5" w:tplc="B716381E" w:tentative="1">
      <w:start w:val="1"/>
      <w:numFmt w:val="bullet"/>
      <w:lvlText w:val=""/>
      <w:lvlJc w:val="left"/>
      <w:pPr>
        <w:ind w:left="4320" w:hanging="360"/>
      </w:pPr>
      <w:rPr>
        <w:rFonts w:ascii="Wingdings" w:hAnsi="Wingdings" w:hint="default"/>
      </w:rPr>
    </w:lvl>
    <w:lvl w:ilvl="6" w:tplc="565C8F72" w:tentative="1">
      <w:start w:val="1"/>
      <w:numFmt w:val="bullet"/>
      <w:lvlText w:val=""/>
      <w:lvlJc w:val="left"/>
      <w:pPr>
        <w:ind w:left="5040" w:hanging="360"/>
      </w:pPr>
      <w:rPr>
        <w:rFonts w:ascii="Symbol" w:hAnsi="Symbol" w:hint="default"/>
      </w:rPr>
    </w:lvl>
    <w:lvl w:ilvl="7" w:tplc="A2287500" w:tentative="1">
      <w:start w:val="1"/>
      <w:numFmt w:val="bullet"/>
      <w:lvlText w:val="o"/>
      <w:lvlJc w:val="left"/>
      <w:pPr>
        <w:ind w:left="5760" w:hanging="360"/>
      </w:pPr>
      <w:rPr>
        <w:rFonts w:ascii="Courier New" w:hAnsi="Courier New" w:hint="default"/>
      </w:rPr>
    </w:lvl>
    <w:lvl w:ilvl="8" w:tplc="1DF4A2C8" w:tentative="1">
      <w:start w:val="1"/>
      <w:numFmt w:val="bullet"/>
      <w:lvlText w:val=""/>
      <w:lvlJc w:val="left"/>
      <w:pPr>
        <w:ind w:left="6480" w:hanging="360"/>
      </w:pPr>
      <w:rPr>
        <w:rFonts w:ascii="Wingdings" w:hAnsi="Wingdings" w:hint="default"/>
      </w:rPr>
    </w:lvl>
  </w:abstractNum>
  <w:abstractNum w:abstractNumId="13" w15:restartNumberingAfterBreak="0">
    <w:nsid w:val="117A2F56"/>
    <w:multiLevelType w:val="multilevel"/>
    <w:tmpl w:val="8898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0294A"/>
    <w:multiLevelType w:val="multilevel"/>
    <w:tmpl w:val="651E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51791"/>
    <w:multiLevelType w:val="multilevel"/>
    <w:tmpl w:val="7B8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02AC4"/>
    <w:multiLevelType w:val="hybridMultilevel"/>
    <w:tmpl w:val="C620364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1512004F"/>
    <w:multiLevelType w:val="multilevel"/>
    <w:tmpl w:val="FE7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B065D"/>
    <w:multiLevelType w:val="hybridMultilevel"/>
    <w:tmpl w:val="8E8AC212"/>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19" w15:restartNumberingAfterBreak="0">
    <w:nsid w:val="179D073A"/>
    <w:multiLevelType w:val="multilevel"/>
    <w:tmpl w:val="DBB0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30BA8"/>
    <w:multiLevelType w:val="multilevel"/>
    <w:tmpl w:val="986E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BE6F96"/>
    <w:multiLevelType w:val="hybridMultilevel"/>
    <w:tmpl w:val="49F011D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197A191F"/>
    <w:multiLevelType w:val="multilevel"/>
    <w:tmpl w:val="02F4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31F5E"/>
    <w:multiLevelType w:val="multilevel"/>
    <w:tmpl w:val="1CC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F3F9D"/>
    <w:multiLevelType w:val="multilevel"/>
    <w:tmpl w:val="72F6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D64961"/>
    <w:multiLevelType w:val="multilevel"/>
    <w:tmpl w:val="B40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34E18"/>
    <w:multiLevelType w:val="hybridMultilevel"/>
    <w:tmpl w:val="57AE4ABE"/>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27" w15:restartNumberingAfterBreak="0">
    <w:nsid w:val="209C38EB"/>
    <w:multiLevelType w:val="multilevel"/>
    <w:tmpl w:val="78D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457A7"/>
    <w:multiLevelType w:val="multilevel"/>
    <w:tmpl w:val="F048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606D0"/>
    <w:multiLevelType w:val="multilevel"/>
    <w:tmpl w:val="04C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F610F8"/>
    <w:multiLevelType w:val="multilevel"/>
    <w:tmpl w:val="6E22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80417B"/>
    <w:multiLevelType w:val="hybridMultilevel"/>
    <w:tmpl w:val="7F16F8BA"/>
    <w:lvl w:ilvl="0" w:tplc="B628A050">
      <w:start w:val="1"/>
      <w:numFmt w:val="decimal"/>
      <w:lvlText w:val="%1."/>
      <w:lvlJc w:val="left"/>
      <w:pPr>
        <w:ind w:left="777" w:hanging="360"/>
      </w:pPr>
      <w:rPr>
        <w:rFonts w:ascii="Arial Black" w:hAnsi="Arial Black" w:hint="default"/>
        <w:b/>
        <w:bCs/>
        <w:i w:val="0"/>
        <w:iCs w:val="0"/>
      </w:r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32" w15:restartNumberingAfterBreak="0">
    <w:nsid w:val="22845AAE"/>
    <w:multiLevelType w:val="multilevel"/>
    <w:tmpl w:val="30FA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D663F"/>
    <w:multiLevelType w:val="multilevel"/>
    <w:tmpl w:val="B3D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C671D1"/>
    <w:multiLevelType w:val="multilevel"/>
    <w:tmpl w:val="5EB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C1076E"/>
    <w:multiLevelType w:val="multilevel"/>
    <w:tmpl w:val="8F9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E0012C"/>
    <w:multiLevelType w:val="multilevel"/>
    <w:tmpl w:val="3496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3A7423"/>
    <w:multiLevelType w:val="multilevel"/>
    <w:tmpl w:val="5BB6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A33087"/>
    <w:multiLevelType w:val="hybridMultilevel"/>
    <w:tmpl w:val="C2AAA7D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28D240C6"/>
    <w:multiLevelType w:val="multilevel"/>
    <w:tmpl w:val="7A6E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5E1239"/>
    <w:multiLevelType w:val="multilevel"/>
    <w:tmpl w:val="9AE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BA2F90"/>
    <w:multiLevelType w:val="hybridMultilevel"/>
    <w:tmpl w:val="B25045A6"/>
    <w:lvl w:ilvl="0" w:tplc="08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C3C2C3F"/>
    <w:multiLevelType w:val="hybridMultilevel"/>
    <w:tmpl w:val="7B40E578"/>
    <w:lvl w:ilvl="0" w:tplc="C68EBD36">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43" w15:restartNumberingAfterBreak="0">
    <w:nsid w:val="2C41678D"/>
    <w:multiLevelType w:val="multilevel"/>
    <w:tmpl w:val="D09C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EC27A1"/>
    <w:multiLevelType w:val="multilevel"/>
    <w:tmpl w:val="FE7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12DFA"/>
    <w:multiLevelType w:val="multilevel"/>
    <w:tmpl w:val="F886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117B5B"/>
    <w:multiLevelType w:val="multilevel"/>
    <w:tmpl w:val="310E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496683"/>
    <w:multiLevelType w:val="hybridMultilevel"/>
    <w:tmpl w:val="AC3C2EFC"/>
    <w:lvl w:ilvl="0" w:tplc="673AA894">
      <w:start w:val="1"/>
      <w:numFmt w:val="upperLetter"/>
      <w:lvlText w:val="%1."/>
      <w:lvlJc w:val="left"/>
      <w:pPr>
        <w:ind w:left="417" w:hanging="360"/>
      </w:pPr>
      <w:rPr>
        <w:rFonts w:hint="default"/>
        <w:b/>
        <w:color w:val="004C43"/>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48" w15:restartNumberingAfterBreak="0">
    <w:nsid w:val="2FEC2B39"/>
    <w:multiLevelType w:val="multilevel"/>
    <w:tmpl w:val="BD28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C7711C"/>
    <w:multiLevelType w:val="multilevel"/>
    <w:tmpl w:val="1432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B4137B"/>
    <w:multiLevelType w:val="multilevel"/>
    <w:tmpl w:val="2F4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23323E"/>
    <w:multiLevelType w:val="multilevel"/>
    <w:tmpl w:val="4E9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FE70E0"/>
    <w:multiLevelType w:val="hybridMultilevel"/>
    <w:tmpl w:val="37CCF2DA"/>
    <w:lvl w:ilvl="0" w:tplc="72F6EC48">
      <w:start w:val="4"/>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338208C"/>
    <w:multiLevelType w:val="multilevel"/>
    <w:tmpl w:val="8A3A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4A5253"/>
    <w:multiLevelType w:val="multilevel"/>
    <w:tmpl w:val="EB0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4967FF"/>
    <w:multiLevelType w:val="multilevel"/>
    <w:tmpl w:val="D3E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9E2974"/>
    <w:multiLevelType w:val="multilevel"/>
    <w:tmpl w:val="189C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5C52AF"/>
    <w:multiLevelType w:val="hybridMultilevel"/>
    <w:tmpl w:val="508800D2"/>
    <w:lvl w:ilvl="0" w:tplc="080A000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DE0711D"/>
    <w:multiLevelType w:val="multilevel"/>
    <w:tmpl w:val="5AF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1A37EA"/>
    <w:multiLevelType w:val="multilevel"/>
    <w:tmpl w:val="8918DF5E"/>
    <w:lvl w:ilvl="0">
      <w:start w:val="1"/>
      <w:numFmt w:val="bullet"/>
      <w:lvlText w:val=""/>
      <w:lvlJc w:val="left"/>
      <w:pPr>
        <w:tabs>
          <w:tab w:val="num" w:pos="132"/>
        </w:tabs>
        <w:ind w:left="132" w:hanging="360"/>
      </w:pPr>
      <w:rPr>
        <w:rFonts w:ascii="Symbol" w:hAnsi="Symbol" w:hint="default"/>
        <w:sz w:val="20"/>
      </w:rPr>
    </w:lvl>
    <w:lvl w:ilvl="1" w:tentative="1">
      <w:start w:val="1"/>
      <w:numFmt w:val="bullet"/>
      <w:lvlText w:val="o"/>
      <w:lvlJc w:val="left"/>
      <w:pPr>
        <w:tabs>
          <w:tab w:val="num" w:pos="852"/>
        </w:tabs>
        <w:ind w:left="852" w:hanging="360"/>
      </w:pPr>
      <w:rPr>
        <w:rFonts w:ascii="Courier New" w:hAnsi="Courier New" w:hint="default"/>
        <w:sz w:val="20"/>
      </w:rPr>
    </w:lvl>
    <w:lvl w:ilvl="2" w:tentative="1">
      <w:start w:val="1"/>
      <w:numFmt w:val="bullet"/>
      <w:lvlText w:val=""/>
      <w:lvlJc w:val="left"/>
      <w:pPr>
        <w:tabs>
          <w:tab w:val="num" w:pos="1572"/>
        </w:tabs>
        <w:ind w:left="1572" w:hanging="360"/>
      </w:pPr>
      <w:rPr>
        <w:rFonts w:ascii="Wingdings" w:hAnsi="Wingdings" w:hint="default"/>
        <w:sz w:val="20"/>
      </w:rPr>
    </w:lvl>
    <w:lvl w:ilvl="3" w:tentative="1">
      <w:start w:val="1"/>
      <w:numFmt w:val="bullet"/>
      <w:lvlText w:val=""/>
      <w:lvlJc w:val="left"/>
      <w:pPr>
        <w:tabs>
          <w:tab w:val="num" w:pos="2292"/>
        </w:tabs>
        <w:ind w:left="2292" w:hanging="360"/>
      </w:pPr>
      <w:rPr>
        <w:rFonts w:ascii="Wingdings" w:hAnsi="Wingdings" w:hint="default"/>
        <w:sz w:val="20"/>
      </w:rPr>
    </w:lvl>
    <w:lvl w:ilvl="4" w:tentative="1">
      <w:start w:val="1"/>
      <w:numFmt w:val="bullet"/>
      <w:lvlText w:val=""/>
      <w:lvlJc w:val="left"/>
      <w:pPr>
        <w:tabs>
          <w:tab w:val="num" w:pos="3012"/>
        </w:tabs>
        <w:ind w:left="3012" w:hanging="360"/>
      </w:pPr>
      <w:rPr>
        <w:rFonts w:ascii="Wingdings" w:hAnsi="Wingdings" w:hint="default"/>
        <w:sz w:val="20"/>
      </w:rPr>
    </w:lvl>
    <w:lvl w:ilvl="5" w:tentative="1">
      <w:start w:val="1"/>
      <w:numFmt w:val="bullet"/>
      <w:lvlText w:val=""/>
      <w:lvlJc w:val="left"/>
      <w:pPr>
        <w:tabs>
          <w:tab w:val="num" w:pos="3732"/>
        </w:tabs>
        <w:ind w:left="3732" w:hanging="360"/>
      </w:pPr>
      <w:rPr>
        <w:rFonts w:ascii="Wingdings" w:hAnsi="Wingdings" w:hint="default"/>
        <w:sz w:val="20"/>
      </w:rPr>
    </w:lvl>
    <w:lvl w:ilvl="6" w:tentative="1">
      <w:start w:val="1"/>
      <w:numFmt w:val="bullet"/>
      <w:lvlText w:val=""/>
      <w:lvlJc w:val="left"/>
      <w:pPr>
        <w:tabs>
          <w:tab w:val="num" w:pos="4452"/>
        </w:tabs>
        <w:ind w:left="4452" w:hanging="360"/>
      </w:pPr>
      <w:rPr>
        <w:rFonts w:ascii="Wingdings" w:hAnsi="Wingdings" w:hint="default"/>
        <w:sz w:val="20"/>
      </w:rPr>
    </w:lvl>
    <w:lvl w:ilvl="7" w:tentative="1">
      <w:start w:val="1"/>
      <w:numFmt w:val="bullet"/>
      <w:lvlText w:val=""/>
      <w:lvlJc w:val="left"/>
      <w:pPr>
        <w:tabs>
          <w:tab w:val="num" w:pos="5172"/>
        </w:tabs>
        <w:ind w:left="5172" w:hanging="360"/>
      </w:pPr>
      <w:rPr>
        <w:rFonts w:ascii="Wingdings" w:hAnsi="Wingdings" w:hint="default"/>
        <w:sz w:val="20"/>
      </w:rPr>
    </w:lvl>
    <w:lvl w:ilvl="8" w:tentative="1">
      <w:start w:val="1"/>
      <w:numFmt w:val="bullet"/>
      <w:lvlText w:val=""/>
      <w:lvlJc w:val="left"/>
      <w:pPr>
        <w:tabs>
          <w:tab w:val="num" w:pos="5892"/>
        </w:tabs>
        <w:ind w:left="5892" w:hanging="360"/>
      </w:pPr>
      <w:rPr>
        <w:rFonts w:ascii="Wingdings" w:hAnsi="Wingdings" w:hint="default"/>
        <w:sz w:val="20"/>
      </w:rPr>
    </w:lvl>
  </w:abstractNum>
  <w:abstractNum w:abstractNumId="60" w15:restartNumberingAfterBreak="0">
    <w:nsid w:val="40594A24"/>
    <w:multiLevelType w:val="multilevel"/>
    <w:tmpl w:val="147C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BF33B7"/>
    <w:multiLevelType w:val="multilevel"/>
    <w:tmpl w:val="4C8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E7134F"/>
    <w:multiLevelType w:val="multilevel"/>
    <w:tmpl w:val="E7D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2E7AAE"/>
    <w:multiLevelType w:val="multilevel"/>
    <w:tmpl w:val="6498A488"/>
    <w:lvl w:ilvl="0">
      <w:start w:val="1"/>
      <w:numFmt w:val="bullet"/>
      <w:pStyle w:val="Bulletedlis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64" w15:restartNumberingAfterBreak="0">
    <w:nsid w:val="43497CDD"/>
    <w:multiLevelType w:val="multilevel"/>
    <w:tmpl w:val="E58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E56D11"/>
    <w:multiLevelType w:val="multilevel"/>
    <w:tmpl w:val="D11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0634F3"/>
    <w:multiLevelType w:val="multilevel"/>
    <w:tmpl w:val="0710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227DC9"/>
    <w:multiLevelType w:val="multilevel"/>
    <w:tmpl w:val="B6F2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5B032D"/>
    <w:multiLevelType w:val="multilevel"/>
    <w:tmpl w:val="E9F63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DF61DB"/>
    <w:multiLevelType w:val="hybridMultilevel"/>
    <w:tmpl w:val="F12CBE6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0" w15:restartNumberingAfterBreak="0">
    <w:nsid w:val="4A74128C"/>
    <w:multiLevelType w:val="hybridMultilevel"/>
    <w:tmpl w:val="8F10CBE2"/>
    <w:lvl w:ilvl="0" w:tplc="19506DA2">
      <w:start w:val="4"/>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4BF82FD7"/>
    <w:multiLevelType w:val="hybridMultilevel"/>
    <w:tmpl w:val="079AE21E"/>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72" w15:restartNumberingAfterBreak="0">
    <w:nsid w:val="4C3134C0"/>
    <w:multiLevelType w:val="multilevel"/>
    <w:tmpl w:val="BB9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82221D"/>
    <w:multiLevelType w:val="hybridMultilevel"/>
    <w:tmpl w:val="04C8BBD8"/>
    <w:lvl w:ilvl="0" w:tplc="7CBCD58A">
      <w:start w:val="1"/>
      <w:numFmt w:val="decimal"/>
      <w:lvlText w:val="%1."/>
      <w:lvlJc w:val="left"/>
      <w:pPr>
        <w:ind w:left="108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4FBC35F3"/>
    <w:multiLevelType w:val="multilevel"/>
    <w:tmpl w:val="F4A2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026DDB"/>
    <w:multiLevelType w:val="multilevel"/>
    <w:tmpl w:val="5E62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F267EE"/>
    <w:multiLevelType w:val="multilevel"/>
    <w:tmpl w:val="1DF6E5C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7" w15:restartNumberingAfterBreak="0">
    <w:nsid w:val="52733E54"/>
    <w:multiLevelType w:val="hybridMultilevel"/>
    <w:tmpl w:val="4148D506"/>
    <w:lvl w:ilvl="0" w:tplc="DC9CE78E">
      <w:start w:val="1"/>
      <w:numFmt w:val="upperLetter"/>
      <w:lvlText w:val="%1."/>
      <w:lvlJc w:val="left"/>
      <w:pPr>
        <w:ind w:left="1080" w:hanging="360"/>
      </w:pPr>
      <w:rPr>
        <w:color w:val="004C43"/>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53E83065"/>
    <w:multiLevelType w:val="multilevel"/>
    <w:tmpl w:val="941E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295F08"/>
    <w:multiLevelType w:val="hybridMultilevel"/>
    <w:tmpl w:val="F8E051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5436700B"/>
    <w:multiLevelType w:val="hybridMultilevel"/>
    <w:tmpl w:val="F748241E"/>
    <w:lvl w:ilvl="0" w:tplc="B64E6AE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4806D49"/>
    <w:multiLevelType w:val="multilevel"/>
    <w:tmpl w:val="CC00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DB11CB"/>
    <w:multiLevelType w:val="multilevel"/>
    <w:tmpl w:val="A59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0615BE"/>
    <w:multiLevelType w:val="multilevel"/>
    <w:tmpl w:val="818A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F34DA0"/>
    <w:multiLevelType w:val="multilevel"/>
    <w:tmpl w:val="8194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585FB3"/>
    <w:multiLevelType w:val="hybridMultilevel"/>
    <w:tmpl w:val="6E5C5750"/>
    <w:lvl w:ilvl="0" w:tplc="97B0B30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AED0408"/>
    <w:multiLevelType w:val="hybridMultilevel"/>
    <w:tmpl w:val="C692559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7" w15:restartNumberingAfterBreak="0">
    <w:nsid w:val="5B5F1335"/>
    <w:multiLevelType w:val="multilevel"/>
    <w:tmpl w:val="161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E652FC"/>
    <w:multiLevelType w:val="hybridMultilevel"/>
    <w:tmpl w:val="467C6AEA"/>
    <w:lvl w:ilvl="0" w:tplc="9EFCB702">
      <w:start w:val="1"/>
      <w:numFmt w:val="upperLetter"/>
      <w:lvlText w:val="%1."/>
      <w:lvlJc w:val="left"/>
      <w:pPr>
        <w:ind w:left="417" w:hanging="360"/>
      </w:pPr>
      <w:rPr>
        <w:rFonts w:hint="default"/>
        <w:color w:val="004C43"/>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89" w15:restartNumberingAfterBreak="0">
    <w:nsid w:val="5C6B4959"/>
    <w:multiLevelType w:val="multilevel"/>
    <w:tmpl w:val="2628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B005E0"/>
    <w:multiLevelType w:val="multilevel"/>
    <w:tmpl w:val="277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38082F"/>
    <w:multiLevelType w:val="multilevel"/>
    <w:tmpl w:val="5A7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52552C"/>
    <w:multiLevelType w:val="multilevel"/>
    <w:tmpl w:val="94FA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8C095D"/>
    <w:multiLevelType w:val="multilevel"/>
    <w:tmpl w:val="ED46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F07C4B"/>
    <w:multiLevelType w:val="hybridMultilevel"/>
    <w:tmpl w:val="163C6160"/>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95" w15:restartNumberingAfterBreak="0">
    <w:nsid w:val="5F726B99"/>
    <w:multiLevelType w:val="hybridMultilevel"/>
    <w:tmpl w:val="266EC136"/>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96" w15:restartNumberingAfterBreak="0">
    <w:nsid w:val="600B5EB9"/>
    <w:multiLevelType w:val="hybridMultilevel"/>
    <w:tmpl w:val="AEAA3C34"/>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601F615A"/>
    <w:multiLevelType w:val="hybridMultilevel"/>
    <w:tmpl w:val="0F0E0F60"/>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8" w15:restartNumberingAfterBreak="0">
    <w:nsid w:val="60DB789D"/>
    <w:multiLevelType w:val="multilevel"/>
    <w:tmpl w:val="078C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BF1D48"/>
    <w:multiLevelType w:val="multilevel"/>
    <w:tmpl w:val="014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436A06"/>
    <w:multiLevelType w:val="multilevel"/>
    <w:tmpl w:val="860A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FC23F9"/>
    <w:multiLevelType w:val="multilevel"/>
    <w:tmpl w:val="96FC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9637F6"/>
    <w:multiLevelType w:val="multilevel"/>
    <w:tmpl w:val="11A8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527577"/>
    <w:multiLevelType w:val="hybridMultilevel"/>
    <w:tmpl w:val="5E205D2E"/>
    <w:lvl w:ilvl="0" w:tplc="5770CF76">
      <w:start w:val="1"/>
      <w:numFmt w:val="upperLetter"/>
      <w:lvlText w:val="%1."/>
      <w:lvlJc w:val="left"/>
      <w:pPr>
        <w:ind w:left="417" w:hanging="360"/>
      </w:pPr>
      <w:rPr>
        <w:rFonts w:hint="default"/>
        <w:b/>
        <w:color w:val="004C43"/>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04" w15:restartNumberingAfterBreak="0">
    <w:nsid w:val="655A0A96"/>
    <w:multiLevelType w:val="hybridMultilevel"/>
    <w:tmpl w:val="7BE0BD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5" w15:restartNumberingAfterBreak="0">
    <w:nsid w:val="659F523D"/>
    <w:multiLevelType w:val="multilevel"/>
    <w:tmpl w:val="7890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5D5162"/>
    <w:multiLevelType w:val="hybridMultilevel"/>
    <w:tmpl w:val="DF38173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7" w15:restartNumberingAfterBreak="0">
    <w:nsid w:val="669E14EE"/>
    <w:multiLevelType w:val="multilevel"/>
    <w:tmpl w:val="2216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4C17BF"/>
    <w:multiLevelType w:val="multilevel"/>
    <w:tmpl w:val="5002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9D3D45"/>
    <w:multiLevelType w:val="hybridMultilevel"/>
    <w:tmpl w:val="7C5411E0"/>
    <w:lvl w:ilvl="0" w:tplc="FC02A40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68055CBF"/>
    <w:multiLevelType w:val="multilevel"/>
    <w:tmpl w:val="0DA23DF2"/>
    <w:lvl w:ilvl="0">
      <w:start w:val="1"/>
      <w:numFmt w:val="decimal"/>
      <w:pStyle w:val="Heading1"/>
      <w:lvlText w:val="%1"/>
      <w:lvlJc w:val="left"/>
      <w:pPr>
        <w:ind w:left="432" w:hanging="432"/>
      </w:pPr>
      <w:rPr>
        <w:rFonts w:ascii="Arial Black" w:hAnsi="Arial Black" w:hint="default"/>
        <w:b/>
        <w:bCs/>
        <w:i w:val="0"/>
        <w:iCs w: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1" w15:restartNumberingAfterBreak="0">
    <w:nsid w:val="690F3186"/>
    <w:multiLevelType w:val="multilevel"/>
    <w:tmpl w:val="566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244619"/>
    <w:multiLevelType w:val="hybridMultilevel"/>
    <w:tmpl w:val="E2545906"/>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113" w15:restartNumberingAfterBreak="0">
    <w:nsid w:val="69953FA7"/>
    <w:multiLevelType w:val="hybridMultilevel"/>
    <w:tmpl w:val="9DA2C968"/>
    <w:lvl w:ilvl="0" w:tplc="CC84845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99F3D15"/>
    <w:multiLevelType w:val="multilevel"/>
    <w:tmpl w:val="191C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A22749"/>
    <w:multiLevelType w:val="hybridMultilevel"/>
    <w:tmpl w:val="A47CAB38"/>
    <w:lvl w:ilvl="0" w:tplc="19506DA2">
      <w:start w:val="4"/>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6" w15:restartNumberingAfterBreak="0">
    <w:nsid w:val="6A9B0FF4"/>
    <w:multiLevelType w:val="multilevel"/>
    <w:tmpl w:val="53F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877427"/>
    <w:multiLevelType w:val="multilevel"/>
    <w:tmpl w:val="A77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892B88"/>
    <w:multiLevelType w:val="multilevel"/>
    <w:tmpl w:val="5F9A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FE1B93"/>
    <w:multiLevelType w:val="multilevel"/>
    <w:tmpl w:val="FD8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937EAA"/>
    <w:multiLevelType w:val="hybridMultilevel"/>
    <w:tmpl w:val="617ADB0E"/>
    <w:lvl w:ilvl="0" w:tplc="46A0DE28">
      <w:start w:val="1"/>
      <w:numFmt w:val="upperLetter"/>
      <w:lvlText w:val="%1."/>
      <w:lvlJc w:val="left"/>
      <w:pPr>
        <w:ind w:left="1080" w:hanging="360"/>
      </w:pPr>
      <w:rPr>
        <w:color w:val="2F333C"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1" w15:restartNumberingAfterBreak="0">
    <w:nsid w:val="6E0918AB"/>
    <w:multiLevelType w:val="hybridMultilevel"/>
    <w:tmpl w:val="09069C98"/>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122" w15:restartNumberingAfterBreak="0">
    <w:nsid w:val="6F0E44DE"/>
    <w:multiLevelType w:val="multilevel"/>
    <w:tmpl w:val="569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232EA1"/>
    <w:multiLevelType w:val="hybridMultilevel"/>
    <w:tmpl w:val="1FD81CD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71435D79"/>
    <w:multiLevelType w:val="hybridMultilevel"/>
    <w:tmpl w:val="1CEABA82"/>
    <w:lvl w:ilvl="0" w:tplc="2D86F6B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1E40157"/>
    <w:multiLevelType w:val="multilevel"/>
    <w:tmpl w:val="1610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073591"/>
    <w:multiLevelType w:val="multilevel"/>
    <w:tmpl w:val="93D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2D0051"/>
    <w:multiLevelType w:val="multilevel"/>
    <w:tmpl w:val="8E5A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BC63FB"/>
    <w:multiLevelType w:val="multilevel"/>
    <w:tmpl w:val="B98C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5C5028"/>
    <w:multiLevelType w:val="multilevel"/>
    <w:tmpl w:val="C758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5534FB"/>
    <w:multiLevelType w:val="multilevel"/>
    <w:tmpl w:val="6FB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207F66"/>
    <w:multiLevelType w:val="multilevel"/>
    <w:tmpl w:val="6CE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3907C8"/>
    <w:multiLevelType w:val="hybridMultilevel"/>
    <w:tmpl w:val="FCF26C4A"/>
    <w:lvl w:ilvl="0" w:tplc="DE24B96C">
      <w:start w:val="1"/>
      <w:numFmt w:val="decimal"/>
      <w:lvlText w:val="%1."/>
      <w:lvlJc w:val="left"/>
      <w:pPr>
        <w:ind w:left="108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7D8C2E4E"/>
    <w:multiLevelType w:val="multilevel"/>
    <w:tmpl w:val="2F4A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DF06D2"/>
    <w:multiLevelType w:val="multilevel"/>
    <w:tmpl w:val="86C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E84FF2"/>
    <w:multiLevelType w:val="multilevel"/>
    <w:tmpl w:val="9EE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5D6B52"/>
    <w:multiLevelType w:val="multilevel"/>
    <w:tmpl w:val="0560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786255"/>
    <w:multiLevelType w:val="multilevel"/>
    <w:tmpl w:val="20D6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725820">
    <w:abstractNumId w:val="63"/>
  </w:num>
  <w:num w:numId="2" w16cid:durableId="483547639">
    <w:abstractNumId w:val="12"/>
  </w:num>
  <w:num w:numId="3" w16cid:durableId="2004817463">
    <w:abstractNumId w:val="116"/>
  </w:num>
  <w:num w:numId="4" w16cid:durableId="216474329">
    <w:abstractNumId w:val="52"/>
  </w:num>
  <w:num w:numId="5" w16cid:durableId="88237775">
    <w:abstractNumId w:val="110"/>
  </w:num>
  <w:num w:numId="6" w16cid:durableId="312754704">
    <w:abstractNumId w:val="32"/>
  </w:num>
  <w:num w:numId="7" w16cid:durableId="1750151665">
    <w:abstractNumId w:val="25"/>
  </w:num>
  <w:num w:numId="8" w16cid:durableId="105856059">
    <w:abstractNumId w:val="40"/>
  </w:num>
  <w:num w:numId="9" w16cid:durableId="1581913304">
    <w:abstractNumId w:val="73"/>
  </w:num>
  <w:num w:numId="10" w16cid:durableId="945695777">
    <w:abstractNumId w:val="38"/>
  </w:num>
  <w:num w:numId="11" w16cid:durableId="474106286">
    <w:abstractNumId w:val="121"/>
  </w:num>
  <w:num w:numId="12" w16cid:durableId="997804456">
    <w:abstractNumId w:val="104"/>
  </w:num>
  <w:num w:numId="13" w16cid:durableId="860780148">
    <w:abstractNumId w:val="26"/>
  </w:num>
  <w:num w:numId="14" w16cid:durableId="1716003021">
    <w:abstractNumId w:val="18"/>
  </w:num>
  <w:num w:numId="15" w16cid:durableId="137067906">
    <w:abstractNumId w:val="69"/>
  </w:num>
  <w:num w:numId="16" w16cid:durableId="733116569">
    <w:abstractNumId w:val="13"/>
  </w:num>
  <w:num w:numId="17" w16cid:durableId="1196039967">
    <w:abstractNumId w:val="57"/>
  </w:num>
  <w:num w:numId="18" w16cid:durableId="422802462">
    <w:abstractNumId w:val="132"/>
  </w:num>
  <w:num w:numId="19" w16cid:durableId="2128238321">
    <w:abstractNumId w:val="31"/>
  </w:num>
  <w:num w:numId="20" w16cid:durableId="1989245417">
    <w:abstractNumId w:val="103"/>
  </w:num>
  <w:num w:numId="21" w16cid:durableId="1738236615">
    <w:abstractNumId w:val="47"/>
  </w:num>
  <w:num w:numId="22" w16cid:durableId="775490071">
    <w:abstractNumId w:val="88"/>
  </w:num>
  <w:num w:numId="23" w16cid:durableId="74522678">
    <w:abstractNumId w:val="120"/>
  </w:num>
  <w:num w:numId="24" w16cid:durableId="1582063435">
    <w:abstractNumId w:val="77"/>
  </w:num>
  <w:num w:numId="25" w16cid:durableId="2099892">
    <w:abstractNumId w:val="133"/>
  </w:num>
  <w:num w:numId="26" w16cid:durableId="1710300116">
    <w:abstractNumId w:val="59"/>
  </w:num>
  <w:num w:numId="27" w16cid:durableId="610091945">
    <w:abstractNumId w:val="42"/>
  </w:num>
  <w:num w:numId="28" w16cid:durableId="1819415738">
    <w:abstractNumId w:val="115"/>
  </w:num>
  <w:num w:numId="29" w16cid:durableId="1852839518">
    <w:abstractNumId w:val="70"/>
  </w:num>
  <w:num w:numId="30" w16cid:durableId="1329208073">
    <w:abstractNumId w:val="96"/>
  </w:num>
  <w:num w:numId="31" w16cid:durableId="1217282711">
    <w:abstractNumId w:val="123"/>
  </w:num>
  <w:num w:numId="32" w16cid:durableId="1437794812">
    <w:abstractNumId w:val="41"/>
  </w:num>
  <w:num w:numId="33" w16cid:durableId="70322559">
    <w:abstractNumId w:val="3"/>
  </w:num>
  <w:num w:numId="34" w16cid:durableId="559175531">
    <w:abstractNumId w:val="11"/>
  </w:num>
  <w:num w:numId="35" w16cid:durableId="913661025">
    <w:abstractNumId w:val="9"/>
  </w:num>
  <w:num w:numId="36" w16cid:durableId="758452067">
    <w:abstractNumId w:val="124"/>
  </w:num>
  <w:num w:numId="37" w16cid:durableId="1018851694">
    <w:abstractNumId w:val="113"/>
  </w:num>
  <w:num w:numId="38" w16cid:durableId="388387756">
    <w:abstractNumId w:val="85"/>
  </w:num>
  <w:num w:numId="39" w16cid:durableId="1338145801">
    <w:abstractNumId w:val="109"/>
  </w:num>
  <w:num w:numId="40" w16cid:durableId="590357162">
    <w:abstractNumId w:val="80"/>
  </w:num>
  <w:num w:numId="41" w16cid:durableId="264851270">
    <w:abstractNumId w:val="60"/>
  </w:num>
  <w:num w:numId="42" w16cid:durableId="332145098">
    <w:abstractNumId w:val="1"/>
  </w:num>
  <w:num w:numId="43" w16cid:durableId="1817338341">
    <w:abstractNumId w:val="79"/>
  </w:num>
  <w:num w:numId="44" w16cid:durableId="1970354359">
    <w:abstractNumId w:val="119"/>
  </w:num>
  <w:num w:numId="45" w16cid:durableId="2002734375">
    <w:abstractNumId w:val="5"/>
  </w:num>
  <w:num w:numId="46" w16cid:durableId="415518141">
    <w:abstractNumId w:val="62"/>
  </w:num>
  <w:num w:numId="47" w16cid:durableId="1044020731">
    <w:abstractNumId w:val="95"/>
  </w:num>
  <w:num w:numId="48" w16cid:durableId="1178160231">
    <w:abstractNumId w:val="14"/>
  </w:num>
  <w:num w:numId="49" w16cid:durableId="2055881644">
    <w:abstractNumId w:val="112"/>
  </w:num>
  <w:num w:numId="50" w16cid:durableId="1615795104">
    <w:abstractNumId w:val="34"/>
  </w:num>
  <w:num w:numId="51" w16cid:durableId="7413084">
    <w:abstractNumId w:val="22"/>
  </w:num>
  <w:num w:numId="52" w16cid:durableId="946883862">
    <w:abstractNumId w:val="137"/>
  </w:num>
  <w:num w:numId="53" w16cid:durableId="1606687937">
    <w:abstractNumId w:val="33"/>
  </w:num>
  <w:num w:numId="54" w16cid:durableId="813644877">
    <w:abstractNumId w:val="78"/>
  </w:num>
  <w:num w:numId="55" w16cid:durableId="1956864136">
    <w:abstractNumId w:val="35"/>
  </w:num>
  <w:num w:numId="56" w16cid:durableId="1379545197">
    <w:abstractNumId w:val="54"/>
  </w:num>
  <w:num w:numId="57" w16cid:durableId="654452516">
    <w:abstractNumId w:val="81"/>
  </w:num>
  <w:num w:numId="58" w16cid:durableId="1485392940">
    <w:abstractNumId w:val="107"/>
  </w:num>
  <w:num w:numId="59" w16cid:durableId="1757970036">
    <w:abstractNumId w:val="4"/>
  </w:num>
  <w:num w:numId="60" w16cid:durableId="1988318024">
    <w:abstractNumId w:val="53"/>
  </w:num>
  <w:num w:numId="61" w16cid:durableId="1615866140">
    <w:abstractNumId w:val="94"/>
  </w:num>
  <w:num w:numId="62" w16cid:durableId="862288283">
    <w:abstractNumId w:val="24"/>
  </w:num>
  <w:num w:numId="63" w16cid:durableId="438065525">
    <w:abstractNumId w:val="56"/>
  </w:num>
  <w:num w:numId="64" w16cid:durableId="293097967">
    <w:abstractNumId w:val="0"/>
  </w:num>
  <w:num w:numId="65" w16cid:durableId="1465077887">
    <w:abstractNumId w:val="126"/>
  </w:num>
  <w:num w:numId="66" w16cid:durableId="1725907297">
    <w:abstractNumId w:val="7"/>
  </w:num>
  <w:num w:numId="67" w16cid:durableId="956958169">
    <w:abstractNumId w:val="68"/>
  </w:num>
  <w:num w:numId="68" w16cid:durableId="1013554">
    <w:abstractNumId w:val="51"/>
  </w:num>
  <w:num w:numId="69" w16cid:durableId="279577384">
    <w:abstractNumId w:val="76"/>
  </w:num>
  <w:num w:numId="70" w16cid:durableId="1241864316">
    <w:abstractNumId w:val="30"/>
  </w:num>
  <w:num w:numId="71" w16cid:durableId="1747727859">
    <w:abstractNumId w:val="98"/>
  </w:num>
  <w:num w:numId="72" w16cid:durableId="1077900351">
    <w:abstractNumId w:val="93"/>
  </w:num>
  <w:num w:numId="73" w16cid:durableId="1329871740">
    <w:abstractNumId w:val="108"/>
  </w:num>
  <w:num w:numId="74" w16cid:durableId="841505345">
    <w:abstractNumId w:val="64"/>
  </w:num>
  <w:num w:numId="75" w16cid:durableId="762260531">
    <w:abstractNumId w:val="50"/>
  </w:num>
  <w:num w:numId="76" w16cid:durableId="726798740">
    <w:abstractNumId w:val="100"/>
  </w:num>
  <w:num w:numId="77" w16cid:durableId="1023434233">
    <w:abstractNumId w:val="97"/>
  </w:num>
  <w:num w:numId="78" w16cid:durableId="2062513454">
    <w:abstractNumId w:val="46"/>
  </w:num>
  <w:num w:numId="79" w16cid:durableId="1771200572">
    <w:abstractNumId w:val="58"/>
  </w:num>
  <w:num w:numId="80" w16cid:durableId="316611988">
    <w:abstractNumId w:val="19"/>
  </w:num>
  <w:num w:numId="81" w16cid:durableId="1394084993">
    <w:abstractNumId w:val="127"/>
  </w:num>
  <w:num w:numId="82" w16cid:durableId="339431294">
    <w:abstractNumId w:val="111"/>
  </w:num>
  <w:num w:numId="83" w16cid:durableId="1631277840">
    <w:abstractNumId w:val="102"/>
  </w:num>
  <w:num w:numId="84" w16cid:durableId="387992671">
    <w:abstractNumId w:val="72"/>
  </w:num>
  <w:num w:numId="85" w16cid:durableId="1611158325">
    <w:abstractNumId w:val="106"/>
  </w:num>
  <w:num w:numId="86" w16cid:durableId="449973901">
    <w:abstractNumId w:val="86"/>
  </w:num>
  <w:num w:numId="87" w16cid:durableId="293680798">
    <w:abstractNumId w:val="21"/>
  </w:num>
  <w:num w:numId="88" w16cid:durableId="5716639">
    <w:abstractNumId w:val="16"/>
  </w:num>
  <w:num w:numId="89" w16cid:durableId="731585826">
    <w:abstractNumId w:val="114"/>
  </w:num>
  <w:num w:numId="90" w16cid:durableId="1749769254">
    <w:abstractNumId w:val="74"/>
  </w:num>
  <w:num w:numId="91" w16cid:durableId="1058746325">
    <w:abstractNumId w:val="131"/>
  </w:num>
  <w:num w:numId="92" w16cid:durableId="1486043259">
    <w:abstractNumId w:val="67"/>
  </w:num>
  <w:num w:numId="93" w16cid:durableId="499547263">
    <w:abstractNumId w:val="2"/>
  </w:num>
  <w:num w:numId="94" w16cid:durableId="413166574">
    <w:abstractNumId w:val="83"/>
  </w:num>
  <w:num w:numId="95" w16cid:durableId="888225111">
    <w:abstractNumId w:val="101"/>
  </w:num>
  <w:num w:numId="96" w16cid:durableId="578298160">
    <w:abstractNumId w:val="135"/>
  </w:num>
  <w:num w:numId="97" w16cid:durableId="98259201">
    <w:abstractNumId w:val="90"/>
  </w:num>
  <w:num w:numId="98" w16cid:durableId="345668698">
    <w:abstractNumId w:val="99"/>
  </w:num>
  <w:num w:numId="99" w16cid:durableId="1979722048">
    <w:abstractNumId w:val="87"/>
  </w:num>
  <w:num w:numId="100" w16cid:durableId="491336607">
    <w:abstractNumId w:val="55"/>
  </w:num>
  <w:num w:numId="101" w16cid:durableId="1627618496">
    <w:abstractNumId w:val="23"/>
  </w:num>
  <w:num w:numId="102" w16cid:durableId="1856113915">
    <w:abstractNumId w:val="43"/>
  </w:num>
  <w:num w:numId="103" w16cid:durableId="1049766064">
    <w:abstractNumId w:val="27"/>
  </w:num>
  <w:num w:numId="104" w16cid:durableId="278416542">
    <w:abstractNumId w:val="39"/>
  </w:num>
  <w:num w:numId="105" w16cid:durableId="1984508105">
    <w:abstractNumId w:val="17"/>
  </w:num>
  <w:num w:numId="106" w16cid:durableId="907152111">
    <w:abstractNumId w:val="66"/>
  </w:num>
  <w:num w:numId="107" w16cid:durableId="115027479">
    <w:abstractNumId w:val="48"/>
  </w:num>
  <w:num w:numId="108" w16cid:durableId="1019965179">
    <w:abstractNumId w:val="117"/>
  </w:num>
  <w:num w:numId="109" w16cid:durableId="994186561">
    <w:abstractNumId w:val="105"/>
  </w:num>
  <w:num w:numId="110" w16cid:durableId="95369158">
    <w:abstractNumId w:val="136"/>
  </w:num>
  <w:num w:numId="111" w16cid:durableId="21053960">
    <w:abstractNumId w:val="128"/>
  </w:num>
  <w:num w:numId="112" w16cid:durableId="1329942093">
    <w:abstractNumId w:val="92"/>
  </w:num>
  <w:num w:numId="113" w16cid:durableId="1062409584">
    <w:abstractNumId w:val="45"/>
  </w:num>
  <w:num w:numId="114" w16cid:durableId="1068574809">
    <w:abstractNumId w:val="8"/>
  </w:num>
  <w:num w:numId="115" w16cid:durableId="363750472">
    <w:abstractNumId w:val="6"/>
  </w:num>
  <w:num w:numId="116" w16cid:durableId="1889026043">
    <w:abstractNumId w:val="122"/>
  </w:num>
  <w:num w:numId="117" w16cid:durableId="512190191">
    <w:abstractNumId w:val="49"/>
  </w:num>
  <w:num w:numId="118" w16cid:durableId="1868181877">
    <w:abstractNumId w:val="44"/>
  </w:num>
  <w:num w:numId="119" w16cid:durableId="1422026602">
    <w:abstractNumId w:val="29"/>
  </w:num>
  <w:num w:numId="120" w16cid:durableId="1448816106">
    <w:abstractNumId w:val="20"/>
  </w:num>
  <w:num w:numId="121" w16cid:durableId="2039624933">
    <w:abstractNumId w:val="15"/>
  </w:num>
  <w:num w:numId="122" w16cid:durableId="647127616">
    <w:abstractNumId w:val="129"/>
  </w:num>
  <w:num w:numId="123" w16cid:durableId="2103642158">
    <w:abstractNumId w:val="10"/>
  </w:num>
  <w:num w:numId="124" w16cid:durableId="930743711">
    <w:abstractNumId w:val="75"/>
  </w:num>
  <w:num w:numId="125" w16cid:durableId="1104688729">
    <w:abstractNumId w:val="82"/>
  </w:num>
  <w:num w:numId="126" w16cid:durableId="672338608">
    <w:abstractNumId w:val="65"/>
  </w:num>
  <w:num w:numId="127" w16cid:durableId="468283788">
    <w:abstractNumId w:val="28"/>
  </w:num>
  <w:num w:numId="128" w16cid:durableId="1267154459">
    <w:abstractNumId w:val="91"/>
  </w:num>
  <w:num w:numId="129" w16cid:durableId="2117945808">
    <w:abstractNumId w:val="61"/>
  </w:num>
  <w:num w:numId="130" w16cid:durableId="752242045">
    <w:abstractNumId w:val="125"/>
  </w:num>
  <w:num w:numId="131" w16cid:durableId="1812551597">
    <w:abstractNumId w:val="134"/>
  </w:num>
  <w:num w:numId="132" w16cid:durableId="518272713">
    <w:abstractNumId w:val="89"/>
  </w:num>
  <w:num w:numId="133" w16cid:durableId="1907449849">
    <w:abstractNumId w:val="130"/>
  </w:num>
  <w:num w:numId="134" w16cid:durableId="1917128513">
    <w:abstractNumId w:val="36"/>
  </w:num>
  <w:num w:numId="135" w16cid:durableId="1553615760">
    <w:abstractNumId w:val="84"/>
  </w:num>
  <w:num w:numId="136" w16cid:durableId="661353425">
    <w:abstractNumId w:val="37"/>
  </w:num>
  <w:num w:numId="137" w16cid:durableId="150563663">
    <w:abstractNumId w:val="118"/>
  </w:num>
  <w:num w:numId="138" w16cid:durableId="1055352653">
    <w:abstractNumId w:val="7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F6"/>
    <w:rsid w:val="00000183"/>
    <w:rsid w:val="000002EC"/>
    <w:rsid w:val="000007EF"/>
    <w:rsid w:val="00000C0F"/>
    <w:rsid w:val="00000C16"/>
    <w:rsid w:val="00001485"/>
    <w:rsid w:val="000019F2"/>
    <w:rsid w:val="00001A39"/>
    <w:rsid w:val="00001C03"/>
    <w:rsid w:val="00001F59"/>
    <w:rsid w:val="000020C7"/>
    <w:rsid w:val="000020E1"/>
    <w:rsid w:val="000020EF"/>
    <w:rsid w:val="0000271E"/>
    <w:rsid w:val="00002962"/>
    <w:rsid w:val="00002E07"/>
    <w:rsid w:val="0000313E"/>
    <w:rsid w:val="00003650"/>
    <w:rsid w:val="000042AA"/>
    <w:rsid w:val="00004B4B"/>
    <w:rsid w:val="00004F6B"/>
    <w:rsid w:val="00005537"/>
    <w:rsid w:val="00005686"/>
    <w:rsid w:val="00005C70"/>
    <w:rsid w:val="000060CC"/>
    <w:rsid w:val="0000627A"/>
    <w:rsid w:val="00006465"/>
    <w:rsid w:val="00006DAA"/>
    <w:rsid w:val="00007633"/>
    <w:rsid w:val="00007C23"/>
    <w:rsid w:val="000102EE"/>
    <w:rsid w:val="000107EE"/>
    <w:rsid w:val="000107F3"/>
    <w:rsid w:val="00010E00"/>
    <w:rsid w:val="0001162B"/>
    <w:rsid w:val="000118FA"/>
    <w:rsid w:val="0001226D"/>
    <w:rsid w:val="000122DD"/>
    <w:rsid w:val="0001292D"/>
    <w:rsid w:val="0001320B"/>
    <w:rsid w:val="0001330F"/>
    <w:rsid w:val="000136B3"/>
    <w:rsid w:val="00013A3C"/>
    <w:rsid w:val="00013ECC"/>
    <w:rsid w:val="000140B1"/>
    <w:rsid w:val="0001412B"/>
    <w:rsid w:val="00014378"/>
    <w:rsid w:val="00014546"/>
    <w:rsid w:val="00014917"/>
    <w:rsid w:val="0001517C"/>
    <w:rsid w:val="000151E9"/>
    <w:rsid w:val="00015353"/>
    <w:rsid w:val="00015731"/>
    <w:rsid w:val="000159D0"/>
    <w:rsid w:val="00015E31"/>
    <w:rsid w:val="00015F15"/>
    <w:rsid w:val="00015F69"/>
    <w:rsid w:val="00016C01"/>
    <w:rsid w:val="00017160"/>
    <w:rsid w:val="00017339"/>
    <w:rsid w:val="00017485"/>
    <w:rsid w:val="00017BB9"/>
    <w:rsid w:val="00017C8F"/>
    <w:rsid w:val="0002001F"/>
    <w:rsid w:val="000200EF"/>
    <w:rsid w:val="00020936"/>
    <w:rsid w:val="000212F4"/>
    <w:rsid w:val="0002145D"/>
    <w:rsid w:val="00021733"/>
    <w:rsid w:val="00021A45"/>
    <w:rsid w:val="000220C3"/>
    <w:rsid w:val="0002214F"/>
    <w:rsid w:val="0002239F"/>
    <w:rsid w:val="00022AC7"/>
    <w:rsid w:val="00022F28"/>
    <w:rsid w:val="00023117"/>
    <w:rsid w:val="00023291"/>
    <w:rsid w:val="0002337E"/>
    <w:rsid w:val="000234D9"/>
    <w:rsid w:val="00023582"/>
    <w:rsid w:val="00023A9C"/>
    <w:rsid w:val="00023D08"/>
    <w:rsid w:val="00023FB8"/>
    <w:rsid w:val="000247A0"/>
    <w:rsid w:val="00024D9B"/>
    <w:rsid w:val="00025331"/>
    <w:rsid w:val="000262C3"/>
    <w:rsid w:val="00026609"/>
    <w:rsid w:val="000276A8"/>
    <w:rsid w:val="00027764"/>
    <w:rsid w:val="000277C6"/>
    <w:rsid w:val="000279CE"/>
    <w:rsid w:val="00027C83"/>
    <w:rsid w:val="0003013C"/>
    <w:rsid w:val="000307BE"/>
    <w:rsid w:val="00030D29"/>
    <w:rsid w:val="000313B9"/>
    <w:rsid w:val="00031786"/>
    <w:rsid w:val="00031A45"/>
    <w:rsid w:val="00031C43"/>
    <w:rsid w:val="0003288D"/>
    <w:rsid w:val="00032943"/>
    <w:rsid w:val="00032C21"/>
    <w:rsid w:val="00033326"/>
    <w:rsid w:val="00033554"/>
    <w:rsid w:val="00033B70"/>
    <w:rsid w:val="00033EBE"/>
    <w:rsid w:val="00034071"/>
    <w:rsid w:val="00034A26"/>
    <w:rsid w:val="00034DA1"/>
    <w:rsid w:val="00034E71"/>
    <w:rsid w:val="00035135"/>
    <w:rsid w:val="0003531A"/>
    <w:rsid w:val="00035FAE"/>
    <w:rsid w:val="000360FC"/>
    <w:rsid w:val="000361A9"/>
    <w:rsid w:val="00036D59"/>
    <w:rsid w:val="000370D1"/>
    <w:rsid w:val="00037954"/>
    <w:rsid w:val="00037B65"/>
    <w:rsid w:val="00037DBA"/>
    <w:rsid w:val="00037F0E"/>
    <w:rsid w:val="00037FF4"/>
    <w:rsid w:val="00040504"/>
    <w:rsid w:val="00040779"/>
    <w:rsid w:val="00040780"/>
    <w:rsid w:val="00040D20"/>
    <w:rsid w:val="00041053"/>
    <w:rsid w:val="0004216A"/>
    <w:rsid w:val="00042E4F"/>
    <w:rsid w:val="0004313A"/>
    <w:rsid w:val="00044411"/>
    <w:rsid w:val="00044B75"/>
    <w:rsid w:val="00044FEC"/>
    <w:rsid w:val="00045C80"/>
    <w:rsid w:val="0004628F"/>
    <w:rsid w:val="000465D7"/>
    <w:rsid w:val="00046602"/>
    <w:rsid w:val="00046D41"/>
    <w:rsid w:val="00046D6D"/>
    <w:rsid w:val="0004751A"/>
    <w:rsid w:val="00047631"/>
    <w:rsid w:val="00047793"/>
    <w:rsid w:val="00050014"/>
    <w:rsid w:val="000500F5"/>
    <w:rsid w:val="0005088A"/>
    <w:rsid w:val="00051087"/>
    <w:rsid w:val="0005139F"/>
    <w:rsid w:val="00051676"/>
    <w:rsid w:val="000519A4"/>
    <w:rsid w:val="000519E5"/>
    <w:rsid w:val="00051D3A"/>
    <w:rsid w:val="000524C3"/>
    <w:rsid w:val="000526AD"/>
    <w:rsid w:val="00052732"/>
    <w:rsid w:val="00053266"/>
    <w:rsid w:val="00053501"/>
    <w:rsid w:val="000537D0"/>
    <w:rsid w:val="00053E0C"/>
    <w:rsid w:val="00054390"/>
    <w:rsid w:val="00054490"/>
    <w:rsid w:val="00054523"/>
    <w:rsid w:val="000545DC"/>
    <w:rsid w:val="000546EC"/>
    <w:rsid w:val="000549D0"/>
    <w:rsid w:val="00054CFD"/>
    <w:rsid w:val="00055EFB"/>
    <w:rsid w:val="00057AB2"/>
    <w:rsid w:val="00057DAA"/>
    <w:rsid w:val="00057F1E"/>
    <w:rsid w:val="00057FFB"/>
    <w:rsid w:val="0006024D"/>
    <w:rsid w:val="000604B3"/>
    <w:rsid w:val="00060812"/>
    <w:rsid w:val="00060A84"/>
    <w:rsid w:val="00060C94"/>
    <w:rsid w:val="00061DCE"/>
    <w:rsid w:val="00062749"/>
    <w:rsid w:val="00062CF2"/>
    <w:rsid w:val="00062FB4"/>
    <w:rsid w:val="000630B2"/>
    <w:rsid w:val="00063571"/>
    <w:rsid w:val="000638AC"/>
    <w:rsid w:val="00063BF1"/>
    <w:rsid w:val="00063DCE"/>
    <w:rsid w:val="00065B5D"/>
    <w:rsid w:val="00065E92"/>
    <w:rsid w:val="00066700"/>
    <w:rsid w:val="000668CA"/>
    <w:rsid w:val="00066F84"/>
    <w:rsid w:val="000677F7"/>
    <w:rsid w:val="000704EA"/>
    <w:rsid w:val="0007083A"/>
    <w:rsid w:val="000709E0"/>
    <w:rsid w:val="00070FEF"/>
    <w:rsid w:val="000711CB"/>
    <w:rsid w:val="000715B8"/>
    <w:rsid w:val="0007166E"/>
    <w:rsid w:val="0007167B"/>
    <w:rsid w:val="00071C3D"/>
    <w:rsid w:val="00071C64"/>
    <w:rsid w:val="00071D6C"/>
    <w:rsid w:val="00072171"/>
    <w:rsid w:val="000725B1"/>
    <w:rsid w:val="00072A18"/>
    <w:rsid w:val="00072B0C"/>
    <w:rsid w:val="00072FCB"/>
    <w:rsid w:val="000739B6"/>
    <w:rsid w:val="00073D73"/>
    <w:rsid w:val="00073F08"/>
    <w:rsid w:val="00073F23"/>
    <w:rsid w:val="000740E2"/>
    <w:rsid w:val="00074455"/>
    <w:rsid w:val="000747A6"/>
    <w:rsid w:val="0007495A"/>
    <w:rsid w:val="00074B19"/>
    <w:rsid w:val="00074C04"/>
    <w:rsid w:val="00074CA3"/>
    <w:rsid w:val="000758F7"/>
    <w:rsid w:val="00075CA3"/>
    <w:rsid w:val="00075D05"/>
    <w:rsid w:val="00076191"/>
    <w:rsid w:val="00076607"/>
    <w:rsid w:val="00076D61"/>
    <w:rsid w:val="000770EF"/>
    <w:rsid w:val="000771CC"/>
    <w:rsid w:val="00077429"/>
    <w:rsid w:val="00077B1D"/>
    <w:rsid w:val="00077C4A"/>
    <w:rsid w:val="00080769"/>
    <w:rsid w:val="00080B15"/>
    <w:rsid w:val="00080D16"/>
    <w:rsid w:val="000814F6"/>
    <w:rsid w:val="0008197D"/>
    <w:rsid w:val="00081D3F"/>
    <w:rsid w:val="00082328"/>
    <w:rsid w:val="00082600"/>
    <w:rsid w:val="000827C0"/>
    <w:rsid w:val="00082EBB"/>
    <w:rsid w:val="0008366E"/>
    <w:rsid w:val="00083ACB"/>
    <w:rsid w:val="00083C00"/>
    <w:rsid w:val="00083ED6"/>
    <w:rsid w:val="0008442C"/>
    <w:rsid w:val="000845FD"/>
    <w:rsid w:val="00084D50"/>
    <w:rsid w:val="00085074"/>
    <w:rsid w:val="000856A0"/>
    <w:rsid w:val="0008571E"/>
    <w:rsid w:val="00085C95"/>
    <w:rsid w:val="0008676B"/>
    <w:rsid w:val="00086ACF"/>
    <w:rsid w:val="00087039"/>
    <w:rsid w:val="000871D3"/>
    <w:rsid w:val="0008741C"/>
    <w:rsid w:val="000876C5"/>
    <w:rsid w:val="00087799"/>
    <w:rsid w:val="00087B70"/>
    <w:rsid w:val="00087D7A"/>
    <w:rsid w:val="00090099"/>
    <w:rsid w:val="0009021D"/>
    <w:rsid w:val="0009026C"/>
    <w:rsid w:val="000903A6"/>
    <w:rsid w:val="000903BD"/>
    <w:rsid w:val="00090A28"/>
    <w:rsid w:val="00090AB3"/>
    <w:rsid w:val="00091AE7"/>
    <w:rsid w:val="00091BF8"/>
    <w:rsid w:val="00091DCB"/>
    <w:rsid w:val="0009207E"/>
    <w:rsid w:val="00092794"/>
    <w:rsid w:val="000927C1"/>
    <w:rsid w:val="000933D8"/>
    <w:rsid w:val="00093823"/>
    <w:rsid w:val="00093FA6"/>
    <w:rsid w:val="000948E9"/>
    <w:rsid w:val="00094DB8"/>
    <w:rsid w:val="0009589F"/>
    <w:rsid w:val="000960B5"/>
    <w:rsid w:val="0009787E"/>
    <w:rsid w:val="000A00FC"/>
    <w:rsid w:val="000A05A6"/>
    <w:rsid w:val="000A1045"/>
    <w:rsid w:val="000A109A"/>
    <w:rsid w:val="000A1FDE"/>
    <w:rsid w:val="000A2489"/>
    <w:rsid w:val="000A2729"/>
    <w:rsid w:val="000A290A"/>
    <w:rsid w:val="000A2989"/>
    <w:rsid w:val="000A3331"/>
    <w:rsid w:val="000A40A6"/>
    <w:rsid w:val="000A486C"/>
    <w:rsid w:val="000A5377"/>
    <w:rsid w:val="000A53B3"/>
    <w:rsid w:val="000A6102"/>
    <w:rsid w:val="000A63B4"/>
    <w:rsid w:val="000A6F42"/>
    <w:rsid w:val="000A7013"/>
    <w:rsid w:val="000A720A"/>
    <w:rsid w:val="000A7AEA"/>
    <w:rsid w:val="000A7EC4"/>
    <w:rsid w:val="000B06A4"/>
    <w:rsid w:val="000B1185"/>
    <w:rsid w:val="000B12F2"/>
    <w:rsid w:val="000B15F7"/>
    <w:rsid w:val="000B1813"/>
    <w:rsid w:val="000B1916"/>
    <w:rsid w:val="000B1B47"/>
    <w:rsid w:val="000B26D3"/>
    <w:rsid w:val="000B3332"/>
    <w:rsid w:val="000B33EE"/>
    <w:rsid w:val="000B351B"/>
    <w:rsid w:val="000B355C"/>
    <w:rsid w:val="000B397F"/>
    <w:rsid w:val="000B4181"/>
    <w:rsid w:val="000B41DC"/>
    <w:rsid w:val="000B46F4"/>
    <w:rsid w:val="000B4B39"/>
    <w:rsid w:val="000B5E1B"/>
    <w:rsid w:val="000B6081"/>
    <w:rsid w:val="000B6181"/>
    <w:rsid w:val="000B633F"/>
    <w:rsid w:val="000B634A"/>
    <w:rsid w:val="000B64F8"/>
    <w:rsid w:val="000B6A3E"/>
    <w:rsid w:val="000B6E03"/>
    <w:rsid w:val="000B71C0"/>
    <w:rsid w:val="000B7394"/>
    <w:rsid w:val="000B7782"/>
    <w:rsid w:val="000B791D"/>
    <w:rsid w:val="000B7AAE"/>
    <w:rsid w:val="000B7C33"/>
    <w:rsid w:val="000B7CDC"/>
    <w:rsid w:val="000C0AD9"/>
    <w:rsid w:val="000C0AFA"/>
    <w:rsid w:val="000C0F8A"/>
    <w:rsid w:val="000C143C"/>
    <w:rsid w:val="000C19D1"/>
    <w:rsid w:val="000C208F"/>
    <w:rsid w:val="000C2355"/>
    <w:rsid w:val="000C24F7"/>
    <w:rsid w:val="000C27DF"/>
    <w:rsid w:val="000C33AC"/>
    <w:rsid w:val="000C36B8"/>
    <w:rsid w:val="000C3B02"/>
    <w:rsid w:val="000C4063"/>
    <w:rsid w:val="000C4723"/>
    <w:rsid w:val="000C4727"/>
    <w:rsid w:val="000C4943"/>
    <w:rsid w:val="000C4B17"/>
    <w:rsid w:val="000C509C"/>
    <w:rsid w:val="000C63E9"/>
    <w:rsid w:val="000C642C"/>
    <w:rsid w:val="000C6438"/>
    <w:rsid w:val="000C6449"/>
    <w:rsid w:val="000C69FD"/>
    <w:rsid w:val="000C7A2A"/>
    <w:rsid w:val="000C7AE4"/>
    <w:rsid w:val="000C7FB7"/>
    <w:rsid w:val="000D0078"/>
    <w:rsid w:val="000D026C"/>
    <w:rsid w:val="000D034F"/>
    <w:rsid w:val="000D09D5"/>
    <w:rsid w:val="000D0F33"/>
    <w:rsid w:val="000D1BC6"/>
    <w:rsid w:val="000D20AF"/>
    <w:rsid w:val="000D2281"/>
    <w:rsid w:val="000D335A"/>
    <w:rsid w:val="000D3705"/>
    <w:rsid w:val="000D39FA"/>
    <w:rsid w:val="000D3A0A"/>
    <w:rsid w:val="000D4455"/>
    <w:rsid w:val="000D457D"/>
    <w:rsid w:val="000D4F88"/>
    <w:rsid w:val="000D4FFD"/>
    <w:rsid w:val="000D543C"/>
    <w:rsid w:val="000D5992"/>
    <w:rsid w:val="000D5C19"/>
    <w:rsid w:val="000D5CA9"/>
    <w:rsid w:val="000D60E0"/>
    <w:rsid w:val="000D6353"/>
    <w:rsid w:val="000D660F"/>
    <w:rsid w:val="000D6650"/>
    <w:rsid w:val="000D6BC4"/>
    <w:rsid w:val="000D71E7"/>
    <w:rsid w:val="000D7597"/>
    <w:rsid w:val="000D77D5"/>
    <w:rsid w:val="000D795B"/>
    <w:rsid w:val="000D7BF5"/>
    <w:rsid w:val="000D7D77"/>
    <w:rsid w:val="000DD2F7"/>
    <w:rsid w:val="000E019C"/>
    <w:rsid w:val="000E0BA1"/>
    <w:rsid w:val="000E0CA7"/>
    <w:rsid w:val="000E129F"/>
    <w:rsid w:val="000E12F8"/>
    <w:rsid w:val="000E1988"/>
    <w:rsid w:val="000E1A59"/>
    <w:rsid w:val="000E1C49"/>
    <w:rsid w:val="000E1C67"/>
    <w:rsid w:val="000E1CF4"/>
    <w:rsid w:val="000E232A"/>
    <w:rsid w:val="000E241D"/>
    <w:rsid w:val="000E2666"/>
    <w:rsid w:val="000E2936"/>
    <w:rsid w:val="000E2ECF"/>
    <w:rsid w:val="000E35E6"/>
    <w:rsid w:val="000E3818"/>
    <w:rsid w:val="000E3EA6"/>
    <w:rsid w:val="000E40C4"/>
    <w:rsid w:val="000E4A6E"/>
    <w:rsid w:val="000E553A"/>
    <w:rsid w:val="000E5AB7"/>
    <w:rsid w:val="000E5B04"/>
    <w:rsid w:val="000E5DE0"/>
    <w:rsid w:val="000E648F"/>
    <w:rsid w:val="000E68C3"/>
    <w:rsid w:val="000E695B"/>
    <w:rsid w:val="000E7464"/>
    <w:rsid w:val="000E7698"/>
    <w:rsid w:val="000E797F"/>
    <w:rsid w:val="000E7BFF"/>
    <w:rsid w:val="000E7C04"/>
    <w:rsid w:val="000E7C19"/>
    <w:rsid w:val="000F02FC"/>
    <w:rsid w:val="000F06B7"/>
    <w:rsid w:val="000F0A8D"/>
    <w:rsid w:val="000F0C63"/>
    <w:rsid w:val="000F0EA6"/>
    <w:rsid w:val="000F1F8E"/>
    <w:rsid w:val="000F2334"/>
    <w:rsid w:val="000F3106"/>
    <w:rsid w:val="000F37E1"/>
    <w:rsid w:val="000F3D39"/>
    <w:rsid w:val="000F4087"/>
    <w:rsid w:val="000F4574"/>
    <w:rsid w:val="000F49E5"/>
    <w:rsid w:val="000F549C"/>
    <w:rsid w:val="000F55A4"/>
    <w:rsid w:val="000F6169"/>
    <w:rsid w:val="000F6BD6"/>
    <w:rsid w:val="000F764E"/>
    <w:rsid w:val="000F77AE"/>
    <w:rsid w:val="00100149"/>
    <w:rsid w:val="001003BE"/>
    <w:rsid w:val="00100695"/>
    <w:rsid w:val="00100914"/>
    <w:rsid w:val="0010099D"/>
    <w:rsid w:val="00100F7C"/>
    <w:rsid w:val="00101839"/>
    <w:rsid w:val="001019A1"/>
    <w:rsid w:val="00101FD9"/>
    <w:rsid w:val="00102230"/>
    <w:rsid w:val="001028F7"/>
    <w:rsid w:val="001029B9"/>
    <w:rsid w:val="00103054"/>
    <w:rsid w:val="00103743"/>
    <w:rsid w:val="001039ED"/>
    <w:rsid w:val="00104406"/>
    <w:rsid w:val="00104736"/>
    <w:rsid w:val="00104856"/>
    <w:rsid w:val="00104A2F"/>
    <w:rsid w:val="00105073"/>
    <w:rsid w:val="00105392"/>
    <w:rsid w:val="00105E05"/>
    <w:rsid w:val="00105E3C"/>
    <w:rsid w:val="001064CB"/>
    <w:rsid w:val="00106852"/>
    <w:rsid w:val="00106CF5"/>
    <w:rsid w:val="001073B1"/>
    <w:rsid w:val="001079AB"/>
    <w:rsid w:val="00107D0A"/>
    <w:rsid w:val="00107DB8"/>
    <w:rsid w:val="001100D8"/>
    <w:rsid w:val="001103E3"/>
    <w:rsid w:val="00110AE1"/>
    <w:rsid w:val="00110B00"/>
    <w:rsid w:val="0011150A"/>
    <w:rsid w:val="00111BCE"/>
    <w:rsid w:val="00111DA0"/>
    <w:rsid w:val="001122C5"/>
    <w:rsid w:val="001128D5"/>
    <w:rsid w:val="00112FB1"/>
    <w:rsid w:val="00112FB5"/>
    <w:rsid w:val="001134BF"/>
    <w:rsid w:val="00113567"/>
    <w:rsid w:val="00113601"/>
    <w:rsid w:val="00113883"/>
    <w:rsid w:val="001138E3"/>
    <w:rsid w:val="00113E43"/>
    <w:rsid w:val="0011468E"/>
    <w:rsid w:val="0011472E"/>
    <w:rsid w:val="00114A62"/>
    <w:rsid w:val="00114F24"/>
    <w:rsid w:val="001156F5"/>
    <w:rsid w:val="001158E3"/>
    <w:rsid w:val="00115ED5"/>
    <w:rsid w:val="0011666E"/>
    <w:rsid w:val="001167DB"/>
    <w:rsid w:val="00116E26"/>
    <w:rsid w:val="001176F2"/>
    <w:rsid w:val="00117DC6"/>
    <w:rsid w:val="0012076E"/>
    <w:rsid w:val="00120A8D"/>
    <w:rsid w:val="00120BC6"/>
    <w:rsid w:val="001216FF"/>
    <w:rsid w:val="0012183E"/>
    <w:rsid w:val="0012188B"/>
    <w:rsid w:val="00121CA4"/>
    <w:rsid w:val="001223E1"/>
    <w:rsid w:val="001227F5"/>
    <w:rsid w:val="001228EF"/>
    <w:rsid w:val="00123A16"/>
    <w:rsid w:val="00123A63"/>
    <w:rsid w:val="00123D5B"/>
    <w:rsid w:val="00123FFF"/>
    <w:rsid w:val="00124054"/>
    <w:rsid w:val="00124606"/>
    <w:rsid w:val="001251F3"/>
    <w:rsid w:val="0012560F"/>
    <w:rsid w:val="00125EB1"/>
    <w:rsid w:val="00125F84"/>
    <w:rsid w:val="00126234"/>
    <w:rsid w:val="00126473"/>
    <w:rsid w:val="0012657A"/>
    <w:rsid w:val="001268E9"/>
    <w:rsid w:val="001276E4"/>
    <w:rsid w:val="00127859"/>
    <w:rsid w:val="00127B7F"/>
    <w:rsid w:val="001300AA"/>
    <w:rsid w:val="0013070C"/>
    <w:rsid w:val="00130CC8"/>
    <w:rsid w:val="001310D7"/>
    <w:rsid w:val="0013188D"/>
    <w:rsid w:val="00131C2E"/>
    <w:rsid w:val="00131C96"/>
    <w:rsid w:val="001321BE"/>
    <w:rsid w:val="001325D9"/>
    <w:rsid w:val="001340D4"/>
    <w:rsid w:val="00134181"/>
    <w:rsid w:val="00134BA3"/>
    <w:rsid w:val="00134CBB"/>
    <w:rsid w:val="00134DF8"/>
    <w:rsid w:val="00135DD9"/>
    <w:rsid w:val="001363CE"/>
    <w:rsid w:val="001364AD"/>
    <w:rsid w:val="00136633"/>
    <w:rsid w:val="0013670F"/>
    <w:rsid w:val="00136B13"/>
    <w:rsid w:val="00140533"/>
    <w:rsid w:val="00140C49"/>
    <w:rsid w:val="00141001"/>
    <w:rsid w:val="0014131A"/>
    <w:rsid w:val="00141389"/>
    <w:rsid w:val="00141816"/>
    <w:rsid w:val="00141902"/>
    <w:rsid w:val="001419FA"/>
    <w:rsid w:val="001422AC"/>
    <w:rsid w:val="001426FE"/>
    <w:rsid w:val="00142DDC"/>
    <w:rsid w:val="00143098"/>
    <w:rsid w:val="0014350C"/>
    <w:rsid w:val="00143927"/>
    <w:rsid w:val="001442CE"/>
    <w:rsid w:val="001447B7"/>
    <w:rsid w:val="00144836"/>
    <w:rsid w:val="00144AE3"/>
    <w:rsid w:val="0014577A"/>
    <w:rsid w:val="001465D8"/>
    <w:rsid w:val="0014674E"/>
    <w:rsid w:val="00146C8D"/>
    <w:rsid w:val="00146E29"/>
    <w:rsid w:val="001470E7"/>
    <w:rsid w:val="001475F7"/>
    <w:rsid w:val="00147911"/>
    <w:rsid w:val="00147FA0"/>
    <w:rsid w:val="00150264"/>
    <w:rsid w:val="00150A1E"/>
    <w:rsid w:val="00151535"/>
    <w:rsid w:val="0015181A"/>
    <w:rsid w:val="00151BCB"/>
    <w:rsid w:val="001524F8"/>
    <w:rsid w:val="001528F5"/>
    <w:rsid w:val="00153082"/>
    <w:rsid w:val="0015344B"/>
    <w:rsid w:val="00153885"/>
    <w:rsid w:val="00153D1A"/>
    <w:rsid w:val="001541CE"/>
    <w:rsid w:val="0015426D"/>
    <w:rsid w:val="001543C2"/>
    <w:rsid w:val="00154DAD"/>
    <w:rsid w:val="00155A8E"/>
    <w:rsid w:val="0015652C"/>
    <w:rsid w:val="00156666"/>
    <w:rsid w:val="00156B8F"/>
    <w:rsid w:val="00156FE9"/>
    <w:rsid w:val="001579FE"/>
    <w:rsid w:val="00157C25"/>
    <w:rsid w:val="001603C8"/>
    <w:rsid w:val="0016078F"/>
    <w:rsid w:val="00160B39"/>
    <w:rsid w:val="00160CFC"/>
    <w:rsid w:val="0016110C"/>
    <w:rsid w:val="001616DA"/>
    <w:rsid w:val="00161733"/>
    <w:rsid w:val="001618ED"/>
    <w:rsid w:val="001629B7"/>
    <w:rsid w:val="00162A08"/>
    <w:rsid w:val="001634DE"/>
    <w:rsid w:val="00164054"/>
    <w:rsid w:val="00164650"/>
    <w:rsid w:val="001648A3"/>
    <w:rsid w:val="00164D64"/>
    <w:rsid w:val="00164F0E"/>
    <w:rsid w:val="0016545B"/>
    <w:rsid w:val="00165C45"/>
    <w:rsid w:val="00165E68"/>
    <w:rsid w:val="00166293"/>
    <w:rsid w:val="00166648"/>
    <w:rsid w:val="00166FD2"/>
    <w:rsid w:val="00167F2F"/>
    <w:rsid w:val="00170604"/>
    <w:rsid w:val="0017083E"/>
    <w:rsid w:val="00170C85"/>
    <w:rsid w:val="00170FCC"/>
    <w:rsid w:val="0017115D"/>
    <w:rsid w:val="00171424"/>
    <w:rsid w:val="001717D1"/>
    <w:rsid w:val="00171955"/>
    <w:rsid w:val="00171CFC"/>
    <w:rsid w:val="00172338"/>
    <w:rsid w:val="00172CDA"/>
    <w:rsid w:val="001732A8"/>
    <w:rsid w:val="001732C2"/>
    <w:rsid w:val="00173328"/>
    <w:rsid w:val="00174809"/>
    <w:rsid w:val="00174C6E"/>
    <w:rsid w:val="00174EC0"/>
    <w:rsid w:val="0017500B"/>
    <w:rsid w:val="00175556"/>
    <w:rsid w:val="0017562F"/>
    <w:rsid w:val="001758AC"/>
    <w:rsid w:val="00176EC2"/>
    <w:rsid w:val="001804EB"/>
    <w:rsid w:val="00180A98"/>
    <w:rsid w:val="00180E9B"/>
    <w:rsid w:val="00181445"/>
    <w:rsid w:val="00181978"/>
    <w:rsid w:val="00181A37"/>
    <w:rsid w:val="00181F29"/>
    <w:rsid w:val="001822EF"/>
    <w:rsid w:val="00182E1C"/>
    <w:rsid w:val="001834DD"/>
    <w:rsid w:val="00183A64"/>
    <w:rsid w:val="00184A42"/>
    <w:rsid w:val="00184A47"/>
    <w:rsid w:val="00184C12"/>
    <w:rsid w:val="00185428"/>
    <w:rsid w:val="001859BD"/>
    <w:rsid w:val="00185BB2"/>
    <w:rsid w:val="00186C05"/>
    <w:rsid w:val="00186ED5"/>
    <w:rsid w:val="001873AB"/>
    <w:rsid w:val="0018742C"/>
    <w:rsid w:val="00187C65"/>
    <w:rsid w:val="00190697"/>
    <w:rsid w:val="00190805"/>
    <w:rsid w:val="00190FF3"/>
    <w:rsid w:val="00191476"/>
    <w:rsid w:val="00191681"/>
    <w:rsid w:val="00191A0D"/>
    <w:rsid w:val="00191F34"/>
    <w:rsid w:val="0019232E"/>
    <w:rsid w:val="00192C2F"/>
    <w:rsid w:val="00192CD7"/>
    <w:rsid w:val="001930F8"/>
    <w:rsid w:val="00193404"/>
    <w:rsid w:val="001934E9"/>
    <w:rsid w:val="001936E0"/>
    <w:rsid w:val="00193BC3"/>
    <w:rsid w:val="00193CF6"/>
    <w:rsid w:val="001944EE"/>
    <w:rsid w:val="0019460C"/>
    <w:rsid w:val="00194F97"/>
    <w:rsid w:val="001951FF"/>
    <w:rsid w:val="00195358"/>
    <w:rsid w:val="00195DDF"/>
    <w:rsid w:val="00195E6A"/>
    <w:rsid w:val="00195F08"/>
    <w:rsid w:val="00195F65"/>
    <w:rsid w:val="00196192"/>
    <w:rsid w:val="001961F8"/>
    <w:rsid w:val="001976EB"/>
    <w:rsid w:val="00197AEB"/>
    <w:rsid w:val="001A0495"/>
    <w:rsid w:val="001A0D19"/>
    <w:rsid w:val="001A0F62"/>
    <w:rsid w:val="001A13AE"/>
    <w:rsid w:val="001A15B0"/>
    <w:rsid w:val="001A15D9"/>
    <w:rsid w:val="001A1629"/>
    <w:rsid w:val="001A1B2A"/>
    <w:rsid w:val="001A1F86"/>
    <w:rsid w:val="001A2142"/>
    <w:rsid w:val="001A21D0"/>
    <w:rsid w:val="001A2752"/>
    <w:rsid w:val="001A2A13"/>
    <w:rsid w:val="001A3702"/>
    <w:rsid w:val="001A3A95"/>
    <w:rsid w:val="001A3FD0"/>
    <w:rsid w:val="001A44F3"/>
    <w:rsid w:val="001A46B1"/>
    <w:rsid w:val="001A4836"/>
    <w:rsid w:val="001A4FA0"/>
    <w:rsid w:val="001A5BCA"/>
    <w:rsid w:val="001A641D"/>
    <w:rsid w:val="001A70DB"/>
    <w:rsid w:val="001A7755"/>
    <w:rsid w:val="001B0208"/>
    <w:rsid w:val="001B0248"/>
    <w:rsid w:val="001B0A9A"/>
    <w:rsid w:val="001B0BDA"/>
    <w:rsid w:val="001B0DF8"/>
    <w:rsid w:val="001B1D74"/>
    <w:rsid w:val="001B250E"/>
    <w:rsid w:val="001B335C"/>
    <w:rsid w:val="001B3D3F"/>
    <w:rsid w:val="001B40A8"/>
    <w:rsid w:val="001B449A"/>
    <w:rsid w:val="001B47C4"/>
    <w:rsid w:val="001B4A3F"/>
    <w:rsid w:val="001B4B7A"/>
    <w:rsid w:val="001B52E8"/>
    <w:rsid w:val="001B537B"/>
    <w:rsid w:val="001B5C1A"/>
    <w:rsid w:val="001B5F36"/>
    <w:rsid w:val="001B681F"/>
    <w:rsid w:val="001B6880"/>
    <w:rsid w:val="001B737B"/>
    <w:rsid w:val="001B7489"/>
    <w:rsid w:val="001B7FD6"/>
    <w:rsid w:val="001C05E6"/>
    <w:rsid w:val="001C074C"/>
    <w:rsid w:val="001C079D"/>
    <w:rsid w:val="001C0882"/>
    <w:rsid w:val="001C0CB3"/>
    <w:rsid w:val="001C0D79"/>
    <w:rsid w:val="001C0E9E"/>
    <w:rsid w:val="001C0EBB"/>
    <w:rsid w:val="001C1601"/>
    <w:rsid w:val="001C1AB3"/>
    <w:rsid w:val="001C1C62"/>
    <w:rsid w:val="001C1E03"/>
    <w:rsid w:val="001C26C0"/>
    <w:rsid w:val="001C2C50"/>
    <w:rsid w:val="001C2DD9"/>
    <w:rsid w:val="001C35C7"/>
    <w:rsid w:val="001C361E"/>
    <w:rsid w:val="001C38B3"/>
    <w:rsid w:val="001C3AD5"/>
    <w:rsid w:val="001C3B85"/>
    <w:rsid w:val="001C3F07"/>
    <w:rsid w:val="001C4170"/>
    <w:rsid w:val="001C5458"/>
    <w:rsid w:val="001C5A6E"/>
    <w:rsid w:val="001C5F62"/>
    <w:rsid w:val="001C62D0"/>
    <w:rsid w:val="001C658A"/>
    <w:rsid w:val="001C680D"/>
    <w:rsid w:val="001C722D"/>
    <w:rsid w:val="001C778D"/>
    <w:rsid w:val="001C7D1A"/>
    <w:rsid w:val="001D0053"/>
    <w:rsid w:val="001D01F3"/>
    <w:rsid w:val="001D024D"/>
    <w:rsid w:val="001D040D"/>
    <w:rsid w:val="001D0CA8"/>
    <w:rsid w:val="001D0E95"/>
    <w:rsid w:val="001D15FF"/>
    <w:rsid w:val="001D1B01"/>
    <w:rsid w:val="001D2195"/>
    <w:rsid w:val="001D2A6B"/>
    <w:rsid w:val="001D2DFC"/>
    <w:rsid w:val="001D373A"/>
    <w:rsid w:val="001D3979"/>
    <w:rsid w:val="001D3981"/>
    <w:rsid w:val="001D3B5C"/>
    <w:rsid w:val="001D44B1"/>
    <w:rsid w:val="001D48D5"/>
    <w:rsid w:val="001D4EF9"/>
    <w:rsid w:val="001D5050"/>
    <w:rsid w:val="001D64D4"/>
    <w:rsid w:val="001D6569"/>
    <w:rsid w:val="001D6D9F"/>
    <w:rsid w:val="001D749E"/>
    <w:rsid w:val="001D7E70"/>
    <w:rsid w:val="001D7ECC"/>
    <w:rsid w:val="001E1357"/>
    <w:rsid w:val="001E1371"/>
    <w:rsid w:val="001E1AEA"/>
    <w:rsid w:val="001E219E"/>
    <w:rsid w:val="001E2367"/>
    <w:rsid w:val="001E24B0"/>
    <w:rsid w:val="001E24D6"/>
    <w:rsid w:val="001E2653"/>
    <w:rsid w:val="001E2EA7"/>
    <w:rsid w:val="001E2F57"/>
    <w:rsid w:val="001E3445"/>
    <w:rsid w:val="001E3788"/>
    <w:rsid w:val="001E3E81"/>
    <w:rsid w:val="001E44C2"/>
    <w:rsid w:val="001E4A29"/>
    <w:rsid w:val="001E55D4"/>
    <w:rsid w:val="001E5839"/>
    <w:rsid w:val="001E5C9F"/>
    <w:rsid w:val="001E5CCF"/>
    <w:rsid w:val="001E6071"/>
    <w:rsid w:val="001E64F6"/>
    <w:rsid w:val="001E6749"/>
    <w:rsid w:val="001E6A28"/>
    <w:rsid w:val="001E76EB"/>
    <w:rsid w:val="001E7706"/>
    <w:rsid w:val="001E7D38"/>
    <w:rsid w:val="001E7D48"/>
    <w:rsid w:val="001F0262"/>
    <w:rsid w:val="001F02C8"/>
    <w:rsid w:val="001F08AC"/>
    <w:rsid w:val="001F0F4E"/>
    <w:rsid w:val="001F131E"/>
    <w:rsid w:val="001F1438"/>
    <w:rsid w:val="001F191C"/>
    <w:rsid w:val="001F19D4"/>
    <w:rsid w:val="001F1FC9"/>
    <w:rsid w:val="001F2130"/>
    <w:rsid w:val="001F2A9A"/>
    <w:rsid w:val="001F2C24"/>
    <w:rsid w:val="001F2CCE"/>
    <w:rsid w:val="001F37F2"/>
    <w:rsid w:val="001F3CF1"/>
    <w:rsid w:val="001F3EFC"/>
    <w:rsid w:val="001F4571"/>
    <w:rsid w:val="001F461D"/>
    <w:rsid w:val="001F510D"/>
    <w:rsid w:val="001F5FFC"/>
    <w:rsid w:val="001F629F"/>
    <w:rsid w:val="001F64A5"/>
    <w:rsid w:val="001F673F"/>
    <w:rsid w:val="001F69E6"/>
    <w:rsid w:val="001F69FF"/>
    <w:rsid w:val="001F704E"/>
    <w:rsid w:val="001F7114"/>
    <w:rsid w:val="001F784E"/>
    <w:rsid w:val="0020016C"/>
    <w:rsid w:val="002001CC"/>
    <w:rsid w:val="00200BED"/>
    <w:rsid w:val="00200E80"/>
    <w:rsid w:val="00201088"/>
    <w:rsid w:val="002011FD"/>
    <w:rsid w:val="00201535"/>
    <w:rsid w:val="00201B12"/>
    <w:rsid w:val="00201D71"/>
    <w:rsid w:val="00202228"/>
    <w:rsid w:val="00202959"/>
    <w:rsid w:val="00203366"/>
    <w:rsid w:val="00203CC6"/>
    <w:rsid w:val="00204182"/>
    <w:rsid w:val="002041A6"/>
    <w:rsid w:val="0020423A"/>
    <w:rsid w:val="00204880"/>
    <w:rsid w:val="00205375"/>
    <w:rsid w:val="002056AC"/>
    <w:rsid w:val="0020609D"/>
    <w:rsid w:val="0020674F"/>
    <w:rsid w:val="0020696A"/>
    <w:rsid w:val="002073E4"/>
    <w:rsid w:val="002074A9"/>
    <w:rsid w:val="00207D84"/>
    <w:rsid w:val="0021049C"/>
    <w:rsid w:val="00211061"/>
    <w:rsid w:val="0021119F"/>
    <w:rsid w:val="0021197B"/>
    <w:rsid w:val="00211B98"/>
    <w:rsid w:val="00211E4E"/>
    <w:rsid w:val="00212014"/>
    <w:rsid w:val="00212107"/>
    <w:rsid w:val="00212470"/>
    <w:rsid w:val="00212497"/>
    <w:rsid w:val="002129C9"/>
    <w:rsid w:val="00212AA9"/>
    <w:rsid w:val="00212D3D"/>
    <w:rsid w:val="00212E28"/>
    <w:rsid w:val="00213142"/>
    <w:rsid w:val="0021394A"/>
    <w:rsid w:val="00213A73"/>
    <w:rsid w:val="00213AB7"/>
    <w:rsid w:val="00213AF1"/>
    <w:rsid w:val="00213FE9"/>
    <w:rsid w:val="00213FFE"/>
    <w:rsid w:val="00214403"/>
    <w:rsid w:val="00216083"/>
    <w:rsid w:val="002165BB"/>
    <w:rsid w:val="002167F5"/>
    <w:rsid w:val="00216E16"/>
    <w:rsid w:val="0021792D"/>
    <w:rsid w:val="00217A26"/>
    <w:rsid w:val="00217DD1"/>
    <w:rsid w:val="002202CD"/>
    <w:rsid w:val="002208A4"/>
    <w:rsid w:val="00220A4A"/>
    <w:rsid w:val="00220AFA"/>
    <w:rsid w:val="00220C61"/>
    <w:rsid w:val="00221911"/>
    <w:rsid w:val="00222189"/>
    <w:rsid w:val="002227F7"/>
    <w:rsid w:val="00222AC2"/>
    <w:rsid w:val="00222D5B"/>
    <w:rsid w:val="00222DFE"/>
    <w:rsid w:val="00223680"/>
    <w:rsid w:val="002237A4"/>
    <w:rsid w:val="002241FC"/>
    <w:rsid w:val="002243D1"/>
    <w:rsid w:val="002244D5"/>
    <w:rsid w:val="00224822"/>
    <w:rsid w:val="00225979"/>
    <w:rsid w:val="00225BD9"/>
    <w:rsid w:val="00225DB9"/>
    <w:rsid w:val="0022627F"/>
    <w:rsid w:val="00226C8E"/>
    <w:rsid w:val="0022778A"/>
    <w:rsid w:val="00227AB4"/>
    <w:rsid w:val="00227E75"/>
    <w:rsid w:val="00227EB1"/>
    <w:rsid w:val="002304E0"/>
    <w:rsid w:val="0023051B"/>
    <w:rsid w:val="002309C0"/>
    <w:rsid w:val="00230A78"/>
    <w:rsid w:val="00230DC6"/>
    <w:rsid w:val="00231814"/>
    <w:rsid w:val="00231895"/>
    <w:rsid w:val="00231C2A"/>
    <w:rsid w:val="002320BE"/>
    <w:rsid w:val="002328DF"/>
    <w:rsid w:val="00232D46"/>
    <w:rsid w:val="00233041"/>
    <w:rsid w:val="002335B2"/>
    <w:rsid w:val="002339BC"/>
    <w:rsid w:val="00233BAB"/>
    <w:rsid w:val="00233BE8"/>
    <w:rsid w:val="00234208"/>
    <w:rsid w:val="00234AE5"/>
    <w:rsid w:val="00234C9E"/>
    <w:rsid w:val="0023522C"/>
    <w:rsid w:val="002355DB"/>
    <w:rsid w:val="00235695"/>
    <w:rsid w:val="00235F01"/>
    <w:rsid w:val="0023616B"/>
    <w:rsid w:val="002362A2"/>
    <w:rsid w:val="002377E0"/>
    <w:rsid w:val="002401B7"/>
    <w:rsid w:val="002408EE"/>
    <w:rsid w:val="00240E89"/>
    <w:rsid w:val="00240F0D"/>
    <w:rsid w:val="00241367"/>
    <w:rsid w:val="002415F0"/>
    <w:rsid w:val="002426D5"/>
    <w:rsid w:val="002428A0"/>
    <w:rsid w:val="00242BAF"/>
    <w:rsid w:val="00242D70"/>
    <w:rsid w:val="00242FA1"/>
    <w:rsid w:val="00243952"/>
    <w:rsid w:val="0024400E"/>
    <w:rsid w:val="0024406C"/>
    <w:rsid w:val="002448E4"/>
    <w:rsid w:val="00245738"/>
    <w:rsid w:val="002457BF"/>
    <w:rsid w:val="00245DC2"/>
    <w:rsid w:val="0024619D"/>
    <w:rsid w:val="00246B12"/>
    <w:rsid w:val="00246F68"/>
    <w:rsid w:val="0024703A"/>
    <w:rsid w:val="002472AE"/>
    <w:rsid w:val="00247501"/>
    <w:rsid w:val="00247B5C"/>
    <w:rsid w:val="00247E2C"/>
    <w:rsid w:val="002500E6"/>
    <w:rsid w:val="0025030D"/>
    <w:rsid w:val="0025031D"/>
    <w:rsid w:val="002504BB"/>
    <w:rsid w:val="0025126A"/>
    <w:rsid w:val="002523C3"/>
    <w:rsid w:val="00252B74"/>
    <w:rsid w:val="00252C3C"/>
    <w:rsid w:val="00252E6C"/>
    <w:rsid w:val="002532B9"/>
    <w:rsid w:val="00253DC0"/>
    <w:rsid w:val="00253F3F"/>
    <w:rsid w:val="00253FCE"/>
    <w:rsid w:val="0025431D"/>
    <w:rsid w:val="002555B0"/>
    <w:rsid w:val="00255A46"/>
    <w:rsid w:val="0025624F"/>
    <w:rsid w:val="002566B7"/>
    <w:rsid w:val="00256BC9"/>
    <w:rsid w:val="0025759E"/>
    <w:rsid w:val="00257806"/>
    <w:rsid w:val="002579B6"/>
    <w:rsid w:val="00257B6A"/>
    <w:rsid w:val="002601A9"/>
    <w:rsid w:val="0026058B"/>
    <w:rsid w:val="002609CA"/>
    <w:rsid w:val="00260A69"/>
    <w:rsid w:val="00261030"/>
    <w:rsid w:val="002615C0"/>
    <w:rsid w:val="00261B8C"/>
    <w:rsid w:val="0026286A"/>
    <w:rsid w:val="00263A91"/>
    <w:rsid w:val="00263BAC"/>
    <w:rsid w:val="00263C58"/>
    <w:rsid w:val="00263E22"/>
    <w:rsid w:val="00264C3A"/>
    <w:rsid w:val="00264C8E"/>
    <w:rsid w:val="00264F25"/>
    <w:rsid w:val="00265062"/>
    <w:rsid w:val="00265BFC"/>
    <w:rsid w:val="00265FBB"/>
    <w:rsid w:val="002660AF"/>
    <w:rsid w:val="0026618F"/>
    <w:rsid w:val="00266261"/>
    <w:rsid w:val="002664EB"/>
    <w:rsid w:val="0026662D"/>
    <w:rsid w:val="00266807"/>
    <w:rsid w:val="00267472"/>
    <w:rsid w:val="00267DCB"/>
    <w:rsid w:val="00270806"/>
    <w:rsid w:val="002713CF"/>
    <w:rsid w:val="00271961"/>
    <w:rsid w:val="00272056"/>
    <w:rsid w:val="002722F0"/>
    <w:rsid w:val="00272629"/>
    <w:rsid w:val="00272C12"/>
    <w:rsid w:val="00272FEF"/>
    <w:rsid w:val="0027362E"/>
    <w:rsid w:val="0027391E"/>
    <w:rsid w:val="002744F3"/>
    <w:rsid w:val="00274C83"/>
    <w:rsid w:val="00275005"/>
    <w:rsid w:val="00275105"/>
    <w:rsid w:val="00275663"/>
    <w:rsid w:val="0027569E"/>
    <w:rsid w:val="002756A4"/>
    <w:rsid w:val="0027570D"/>
    <w:rsid w:val="00275C75"/>
    <w:rsid w:val="002769BD"/>
    <w:rsid w:val="00276BC8"/>
    <w:rsid w:val="00277654"/>
    <w:rsid w:val="00277927"/>
    <w:rsid w:val="00277B6E"/>
    <w:rsid w:val="00280B00"/>
    <w:rsid w:val="00280F07"/>
    <w:rsid w:val="002816E4"/>
    <w:rsid w:val="00281772"/>
    <w:rsid w:val="00282E8E"/>
    <w:rsid w:val="00283E79"/>
    <w:rsid w:val="002842D5"/>
    <w:rsid w:val="00284877"/>
    <w:rsid w:val="00284DE5"/>
    <w:rsid w:val="00284F2B"/>
    <w:rsid w:val="002859C6"/>
    <w:rsid w:val="002859F0"/>
    <w:rsid w:val="00285C12"/>
    <w:rsid w:val="00285DDB"/>
    <w:rsid w:val="002866BC"/>
    <w:rsid w:val="00286893"/>
    <w:rsid w:val="00286BD8"/>
    <w:rsid w:val="00286CDB"/>
    <w:rsid w:val="00286D79"/>
    <w:rsid w:val="00286F15"/>
    <w:rsid w:val="00287221"/>
    <w:rsid w:val="00287574"/>
    <w:rsid w:val="00287FD8"/>
    <w:rsid w:val="002902E5"/>
    <w:rsid w:val="0029048A"/>
    <w:rsid w:val="00290A6E"/>
    <w:rsid w:val="00290DD2"/>
    <w:rsid w:val="00290DF2"/>
    <w:rsid w:val="0029105B"/>
    <w:rsid w:val="002910B7"/>
    <w:rsid w:val="0029142F"/>
    <w:rsid w:val="00292908"/>
    <w:rsid w:val="00292B40"/>
    <w:rsid w:val="00292E7A"/>
    <w:rsid w:val="00292FCF"/>
    <w:rsid w:val="00293090"/>
    <w:rsid w:val="00293D8F"/>
    <w:rsid w:val="00294778"/>
    <w:rsid w:val="00294CD8"/>
    <w:rsid w:val="00294E1F"/>
    <w:rsid w:val="00295632"/>
    <w:rsid w:val="00295958"/>
    <w:rsid w:val="00296209"/>
    <w:rsid w:val="0029668F"/>
    <w:rsid w:val="00296932"/>
    <w:rsid w:val="00297D13"/>
    <w:rsid w:val="00297E8A"/>
    <w:rsid w:val="00297F99"/>
    <w:rsid w:val="002A02B5"/>
    <w:rsid w:val="002A0432"/>
    <w:rsid w:val="002A0C39"/>
    <w:rsid w:val="002A0CCC"/>
    <w:rsid w:val="002A11BF"/>
    <w:rsid w:val="002A1718"/>
    <w:rsid w:val="002A196C"/>
    <w:rsid w:val="002A1C62"/>
    <w:rsid w:val="002A1DB7"/>
    <w:rsid w:val="002A1E7B"/>
    <w:rsid w:val="002A2F17"/>
    <w:rsid w:val="002A2F1B"/>
    <w:rsid w:val="002A3453"/>
    <w:rsid w:val="002A37A5"/>
    <w:rsid w:val="002A39FD"/>
    <w:rsid w:val="002A476F"/>
    <w:rsid w:val="002A49E6"/>
    <w:rsid w:val="002A58E7"/>
    <w:rsid w:val="002A5C69"/>
    <w:rsid w:val="002A5CA0"/>
    <w:rsid w:val="002A6945"/>
    <w:rsid w:val="002A697A"/>
    <w:rsid w:val="002A6FF9"/>
    <w:rsid w:val="002A7B40"/>
    <w:rsid w:val="002B0190"/>
    <w:rsid w:val="002B043E"/>
    <w:rsid w:val="002B0554"/>
    <w:rsid w:val="002B05D5"/>
    <w:rsid w:val="002B0871"/>
    <w:rsid w:val="002B0D22"/>
    <w:rsid w:val="002B14C7"/>
    <w:rsid w:val="002B17AD"/>
    <w:rsid w:val="002B2C48"/>
    <w:rsid w:val="002B2CAF"/>
    <w:rsid w:val="002B3230"/>
    <w:rsid w:val="002B3B31"/>
    <w:rsid w:val="002B40AD"/>
    <w:rsid w:val="002B4196"/>
    <w:rsid w:val="002B4B82"/>
    <w:rsid w:val="002B4B83"/>
    <w:rsid w:val="002B4D7E"/>
    <w:rsid w:val="002B4EC1"/>
    <w:rsid w:val="002B53B9"/>
    <w:rsid w:val="002B5513"/>
    <w:rsid w:val="002B585F"/>
    <w:rsid w:val="002B6081"/>
    <w:rsid w:val="002B6086"/>
    <w:rsid w:val="002B6172"/>
    <w:rsid w:val="002B6184"/>
    <w:rsid w:val="002B6607"/>
    <w:rsid w:val="002B6AF1"/>
    <w:rsid w:val="002B797E"/>
    <w:rsid w:val="002C0023"/>
    <w:rsid w:val="002C0056"/>
    <w:rsid w:val="002C01B3"/>
    <w:rsid w:val="002C027E"/>
    <w:rsid w:val="002C0D4E"/>
    <w:rsid w:val="002C1725"/>
    <w:rsid w:val="002C1B83"/>
    <w:rsid w:val="002C1D10"/>
    <w:rsid w:val="002C220B"/>
    <w:rsid w:val="002C22C0"/>
    <w:rsid w:val="002C28E5"/>
    <w:rsid w:val="002C492E"/>
    <w:rsid w:val="002C4CD1"/>
    <w:rsid w:val="002C501A"/>
    <w:rsid w:val="002C5A2E"/>
    <w:rsid w:val="002C5D55"/>
    <w:rsid w:val="002C668D"/>
    <w:rsid w:val="002C6B3D"/>
    <w:rsid w:val="002C71E7"/>
    <w:rsid w:val="002C75A9"/>
    <w:rsid w:val="002C776E"/>
    <w:rsid w:val="002D0277"/>
    <w:rsid w:val="002D0392"/>
    <w:rsid w:val="002D0CC4"/>
    <w:rsid w:val="002D0E2E"/>
    <w:rsid w:val="002D1322"/>
    <w:rsid w:val="002D18DF"/>
    <w:rsid w:val="002D1BC0"/>
    <w:rsid w:val="002D2829"/>
    <w:rsid w:val="002D2F9B"/>
    <w:rsid w:val="002D364B"/>
    <w:rsid w:val="002D3A10"/>
    <w:rsid w:val="002D3A1E"/>
    <w:rsid w:val="002D3CA8"/>
    <w:rsid w:val="002D4105"/>
    <w:rsid w:val="002D44BC"/>
    <w:rsid w:val="002D4C03"/>
    <w:rsid w:val="002D4D91"/>
    <w:rsid w:val="002D4FFD"/>
    <w:rsid w:val="002D50D6"/>
    <w:rsid w:val="002D519B"/>
    <w:rsid w:val="002D59B7"/>
    <w:rsid w:val="002D5B16"/>
    <w:rsid w:val="002D5CC7"/>
    <w:rsid w:val="002D5E46"/>
    <w:rsid w:val="002D601F"/>
    <w:rsid w:val="002D6393"/>
    <w:rsid w:val="002D6D68"/>
    <w:rsid w:val="002D740E"/>
    <w:rsid w:val="002D781C"/>
    <w:rsid w:val="002D7B4F"/>
    <w:rsid w:val="002E0374"/>
    <w:rsid w:val="002E058B"/>
    <w:rsid w:val="002E08B9"/>
    <w:rsid w:val="002E0ADF"/>
    <w:rsid w:val="002E0D77"/>
    <w:rsid w:val="002E1700"/>
    <w:rsid w:val="002E1F1A"/>
    <w:rsid w:val="002E24D4"/>
    <w:rsid w:val="002E2B2F"/>
    <w:rsid w:val="002E2F02"/>
    <w:rsid w:val="002E31AB"/>
    <w:rsid w:val="002E3655"/>
    <w:rsid w:val="002E37EF"/>
    <w:rsid w:val="002E39A8"/>
    <w:rsid w:val="002E3FF5"/>
    <w:rsid w:val="002E467C"/>
    <w:rsid w:val="002E5368"/>
    <w:rsid w:val="002E592D"/>
    <w:rsid w:val="002E6708"/>
    <w:rsid w:val="002E7CB7"/>
    <w:rsid w:val="002F0D48"/>
    <w:rsid w:val="002F0E90"/>
    <w:rsid w:val="002F13EA"/>
    <w:rsid w:val="002F173F"/>
    <w:rsid w:val="002F1AD8"/>
    <w:rsid w:val="002F1B5F"/>
    <w:rsid w:val="002F1D35"/>
    <w:rsid w:val="002F23CF"/>
    <w:rsid w:val="002F2CB1"/>
    <w:rsid w:val="002F31ED"/>
    <w:rsid w:val="002F3AE6"/>
    <w:rsid w:val="002F4EAC"/>
    <w:rsid w:val="002F4F0B"/>
    <w:rsid w:val="002F575B"/>
    <w:rsid w:val="002F6455"/>
    <w:rsid w:val="002F6998"/>
    <w:rsid w:val="002F6DB6"/>
    <w:rsid w:val="002F6E95"/>
    <w:rsid w:val="002F6F0D"/>
    <w:rsid w:val="002F7072"/>
    <w:rsid w:val="002F7B15"/>
    <w:rsid w:val="002F7B79"/>
    <w:rsid w:val="002F7CA2"/>
    <w:rsid w:val="002F7DB5"/>
    <w:rsid w:val="002F7FE4"/>
    <w:rsid w:val="00300111"/>
    <w:rsid w:val="0030061D"/>
    <w:rsid w:val="00300A04"/>
    <w:rsid w:val="0030148E"/>
    <w:rsid w:val="00301542"/>
    <w:rsid w:val="00301954"/>
    <w:rsid w:val="00302037"/>
    <w:rsid w:val="00302279"/>
    <w:rsid w:val="00302611"/>
    <w:rsid w:val="0030271B"/>
    <w:rsid w:val="003027EE"/>
    <w:rsid w:val="00302E8C"/>
    <w:rsid w:val="00303693"/>
    <w:rsid w:val="0030404C"/>
    <w:rsid w:val="00304114"/>
    <w:rsid w:val="00304708"/>
    <w:rsid w:val="00304E2F"/>
    <w:rsid w:val="003050A6"/>
    <w:rsid w:val="00305DA7"/>
    <w:rsid w:val="0030662A"/>
    <w:rsid w:val="00306FFA"/>
    <w:rsid w:val="0030728E"/>
    <w:rsid w:val="003075DD"/>
    <w:rsid w:val="00307770"/>
    <w:rsid w:val="00307A03"/>
    <w:rsid w:val="00307DB8"/>
    <w:rsid w:val="00310535"/>
    <w:rsid w:val="00310561"/>
    <w:rsid w:val="00310745"/>
    <w:rsid w:val="00310831"/>
    <w:rsid w:val="00310AAA"/>
    <w:rsid w:val="00310D31"/>
    <w:rsid w:val="003117B5"/>
    <w:rsid w:val="0031188A"/>
    <w:rsid w:val="00311A8D"/>
    <w:rsid w:val="003120A8"/>
    <w:rsid w:val="00312497"/>
    <w:rsid w:val="0031260E"/>
    <w:rsid w:val="00312765"/>
    <w:rsid w:val="00313179"/>
    <w:rsid w:val="0031321F"/>
    <w:rsid w:val="003133A8"/>
    <w:rsid w:val="0031352D"/>
    <w:rsid w:val="003136A7"/>
    <w:rsid w:val="0031552F"/>
    <w:rsid w:val="00315809"/>
    <w:rsid w:val="00315CBC"/>
    <w:rsid w:val="00315F96"/>
    <w:rsid w:val="00316471"/>
    <w:rsid w:val="0031713B"/>
    <w:rsid w:val="00317226"/>
    <w:rsid w:val="003173EF"/>
    <w:rsid w:val="00317695"/>
    <w:rsid w:val="00317A76"/>
    <w:rsid w:val="00317E42"/>
    <w:rsid w:val="00320052"/>
    <w:rsid w:val="003201A8"/>
    <w:rsid w:val="00320A45"/>
    <w:rsid w:val="00320A5F"/>
    <w:rsid w:val="00320CAE"/>
    <w:rsid w:val="00320CFA"/>
    <w:rsid w:val="003211E8"/>
    <w:rsid w:val="00321515"/>
    <w:rsid w:val="0032195F"/>
    <w:rsid w:val="00321E2D"/>
    <w:rsid w:val="0032223B"/>
    <w:rsid w:val="0032251B"/>
    <w:rsid w:val="00322A95"/>
    <w:rsid w:val="003236D9"/>
    <w:rsid w:val="00323C3C"/>
    <w:rsid w:val="00323ED1"/>
    <w:rsid w:val="00324FE4"/>
    <w:rsid w:val="00325A7B"/>
    <w:rsid w:val="00325B57"/>
    <w:rsid w:val="003262C5"/>
    <w:rsid w:val="00326711"/>
    <w:rsid w:val="00326732"/>
    <w:rsid w:val="00326E0A"/>
    <w:rsid w:val="00327528"/>
    <w:rsid w:val="0032781D"/>
    <w:rsid w:val="00327F83"/>
    <w:rsid w:val="003303EF"/>
    <w:rsid w:val="003304E2"/>
    <w:rsid w:val="003308FE"/>
    <w:rsid w:val="003312DA"/>
    <w:rsid w:val="003313B0"/>
    <w:rsid w:val="00331424"/>
    <w:rsid w:val="003317F6"/>
    <w:rsid w:val="00331C77"/>
    <w:rsid w:val="00331DB3"/>
    <w:rsid w:val="00331E0A"/>
    <w:rsid w:val="00331E84"/>
    <w:rsid w:val="00332100"/>
    <w:rsid w:val="003323F2"/>
    <w:rsid w:val="00332785"/>
    <w:rsid w:val="0033350D"/>
    <w:rsid w:val="00333E29"/>
    <w:rsid w:val="00334165"/>
    <w:rsid w:val="003341D8"/>
    <w:rsid w:val="003343F4"/>
    <w:rsid w:val="00334496"/>
    <w:rsid w:val="003347C4"/>
    <w:rsid w:val="00334C82"/>
    <w:rsid w:val="0033528D"/>
    <w:rsid w:val="003357FF"/>
    <w:rsid w:val="00335844"/>
    <w:rsid w:val="00335999"/>
    <w:rsid w:val="0033637F"/>
    <w:rsid w:val="00336661"/>
    <w:rsid w:val="00336AED"/>
    <w:rsid w:val="00336EEB"/>
    <w:rsid w:val="003374C8"/>
    <w:rsid w:val="00337CA1"/>
    <w:rsid w:val="00340283"/>
    <w:rsid w:val="0034047C"/>
    <w:rsid w:val="00340676"/>
    <w:rsid w:val="00340945"/>
    <w:rsid w:val="00340ED3"/>
    <w:rsid w:val="0034100B"/>
    <w:rsid w:val="003411C1"/>
    <w:rsid w:val="003421C2"/>
    <w:rsid w:val="00342455"/>
    <w:rsid w:val="00342AB2"/>
    <w:rsid w:val="0034335C"/>
    <w:rsid w:val="0034395C"/>
    <w:rsid w:val="00343C90"/>
    <w:rsid w:val="00343F4E"/>
    <w:rsid w:val="003441A9"/>
    <w:rsid w:val="00344B95"/>
    <w:rsid w:val="00344F24"/>
    <w:rsid w:val="003451C0"/>
    <w:rsid w:val="003452B9"/>
    <w:rsid w:val="00346894"/>
    <w:rsid w:val="00350073"/>
    <w:rsid w:val="00350074"/>
    <w:rsid w:val="003500A2"/>
    <w:rsid w:val="003512F9"/>
    <w:rsid w:val="00351468"/>
    <w:rsid w:val="003516A6"/>
    <w:rsid w:val="00351A13"/>
    <w:rsid w:val="00352086"/>
    <w:rsid w:val="003521DA"/>
    <w:rsid w:val="00352746"/>
    <w:rsid w:val="00353122"/>
    <w:rsid w:val="003532E9"/>
    <w:rsid w:val="00353ECF"/>
    <w:rsid w:val="0035406E"/>
    <w:rsid w:val="00354EEC"/>
    <w:rsid w:val="00355384"/>
    <w:rsid w:val="0035546A"/>
    <w:rsid w:val="00355A5C"/>
    <w:rsid w:val="00355AFE"/>
    <w:rsid w:val="00355BBA"/>
    <w:rsid w:val="003560E3"/>
    <w:rsid w:val="003564E3"/>
    <w:rsid w:val="003567D5"/>
    <w:rsid w:val="00356AD1"/>
    <w:rsid w:val="00356C4E"/>
    <w:rsid w:val="00356D3F"/>
    <w:rsid w:val="0035722B"/>
    <w:rsid w:val="003572B5"/>
    <w:rsid w:val="003577A7"/>
    <w:rsid w:val="00357FE8"/>
    <w:rsid w:val="00360610"/>
    <w:rsid w:val="00360670"/>
    <w:rsid w:val="00360935"/>
    <w:rsid w:val="00360A1D"/>
    <w:rsid w:val="00360C5E"/>
    <w:rsid w:val="00360F9F"/>
    <w:rsid w:val="003610F7"/>
    <w:rsid w:val="00361E6D"/>
    <w:rsid w:val="00362311"/>
    <w:rsid w:val="00362380"/>
    <w:rsid w:val="003623C3"/>
    <w:rsid w:val="00362432"/>
    <w:rsid w:val="0036249F"/>
    <w:rsid w:val="00362A3D"/>
    <w:rsid w:val="00362D63"/>
    <w:rsid w:val="00362E5B"/>
    <w:rsid w:val="003641E5"/>
    <w:rsid w:val="003645C3"/>
    <w:rsid w:val="00364A87"/>
    <w:rsid w:val="00365739"/>
    <w:rsid w:val="003660AA"/>
    <w:rsid w:val="0036684D"/>
    <w:rsid w:val="00367DA5"/>
    <w:rsid w:val="003700C9"/>
    <w:rsid w:val="00370464"/>
    <w:rsid w:val="00371897"/>
    <w:rsid w:val="003724E2"/>
    <w:rsid w:val="00372E40"/>
    <w:rsid w:val="00374AF5"/>
    <w:rsid w:val="00375BAC"/>
    <w:rsid w:val="0037643C"/>
    <w:rsid w:val="00376597"/>
    <w:rsid w:val="003772B8"/>
    <w:rsid w:val="00377F43"/>
    <w:rsid w:val="00380633"/>
    <w:rsid w:val="00381086"/>
    <w:rsid w:val="003811F8"/>
    <w:rsid w:val="0038125A"/>
    <w:rsid w:val="00381BF2"/>
    <w:rsid w:val="003828B1"/>
    <w:rsid w:val="00382FE3"/>
    <w:rsid w:val="003834D3"/>
    <w:rsid w:val="00383521"/>
    <w:rsid w:val="00383DC2"/>
    <w:rsid w:val="00383E71"/>
    <w:rsid w:val="00384405"/>
    <w:rsid w:val="0038571B"/>
    <w:rsid w:val="00385811"/>
    <w:rsid w:val="00385A70"/>
    <w:rsid w:val="00385D6B"/>
    <w:rsid w:val="00385EB4"/>
    <w:rsid w:val="0038636D"/>
    <w:rsid w:val="00386585"/>
    <w:rsid w:val="003865F6"/>
    <w:rsid w:val="003869EC"/>
    <w:rsid w:val="00386B44"/>
    <w:rsid w:val="00386C63"/>
    <w:rsid w:val="00386D66"/>
    <w:rsid w:val="00387347"/>
    <w:rsid w:val="0038736C"/>
    <w:rsid w:val="00387BFF"/>
    <w:rsid w:val="00390622"/>
    <w:rsid w:val="003917A7"/>
    <w:rsid w:val="003918EC"/>
    <w:rsid w:val="0039199B"/>
    <w:rsid w:val="00392206"/>
    <w:rsid w:val="00392336"/>
    <w:rsid w:val="00392364"/>
    <w:rsid w:val="003925FC"/>
    <w:rsid w:val="00392EBB"/>
    <w:rsid w:val="00394069"/>
    <w:rsid w:val="0039465B"/>
    <w:rsid w:val="00394A5B"/>
    <w:rsid w:val="003953EE"/>
    <w:rsid w:val="00395462"/>
    <w:rsid w:val="00395F08"/>
    <w:rsid w:val="0039640D"/>
    <w:rsid w:val="00396E55"/>
    <w:rsid w:val="00397122"/>
    <w:rsid w:val="00397357"/>
    <w:rsid w:val="00397719"/>
    <w:rsid w:val="00397D56"/>
    <w:rsid w:val="003A003F"/>
    <w:rsid w:val="003A009B"/>
    <w:rsid w:val="003A05D4"/>
    <w:rsid w:val="003A0B53"/>
    <w:rsid w:val="003A0E88"/>
    <w:rsid w:val="003A0EF6"/>
    <w:rsid w:val="003A117A"/>
    <w:rsid w:val="003A15D9"/>
    <w:rsid w:val="003A1F24"/>
    <w:rsid w:val="003A2646"/>
    <w:rsid w:val="003A2898"/>
    <w:rsid w:val="003A2C61"/>
    <w:rsid w:val="003A3054"/>
    <w:rsid w:val="003A3DB0"/>
    <w:rsid w:val="003A434F"/>
    <w:rsid w:val="003A46F6"/>
    <w:rsid w:val="003A4AB6"/>
    <w:rsid w:val="003A4CE7"/>
    <w:rsid w:val="003A5322"/>
    <w:rsid w:val="003A577A"/>
    <w:rsid w:val="003A5E1A"/>
    <w:rsid w:val="003A5F33"/>
    <w:rsid w:val="003A5F6F"/>
    <w:rsid w:val="003A641D"/>
    <w:rsid w:val="003A653E"/>
    <w:rsid w:val="003A68ED"/>
    <w:rsid w:val="003B12A4"/>
    <w:rsid w:val="003B1545"/>
    <w:rsid w:val="003B16B9"/>
    <w:rsid w:val="003B1A50"/>
    <w:rsid w:val="003B1D2B"/>
    <w:rsid w:val="003B1F52"/>
    <w:rsid w:val="003B1F6C"/>
    <w:rsid w:val="003B2AA6"/>
    <w:rsid w:val="003B2BA9"/>
    <w:rsid w:val="003B2CFD"/>
    <w:rsid w:val="003B2D6F"/>
    <w:rsid w:val="003B3A2B"/>
    <w:rsid w:val="003B3F2E"/>
    <w:rsid w:val="003B42B9"/>
    <w:rsid w:val="003B42FA"/>
    <w:rsid w:val="003B42FE"/>
    <w:rsid w:val="003B49ED"/>
    <w:rsid w:val="003B5070"/>
    <w:rsid w:val="003B508D"/>
    <w:rsid w:val="003B51E6"/>
    <w:rsid w:val="003B5562"/>
    <w:rsid w:val="003B6041"/>
    <w:rsid w:val="003B6B25"/>
    <w:rsid w:val="003C044A"/>
    <w:rsid w:val="003C073C"/>
    <w:rsid w:val="003C08C2"/>
    <w:rsid w:val="003C0B66"/>
    <w:rsid w:val="003C1074"/>
    <w:rsid w:val="003C18DF"/>
    <w:rsid w:val="003C1E0D"/>
    <w:rsid w:val="003C1F45"/>
    <w:rsid w:val="003C2350"/>
    <w:rsid w:val="003C2AA9"/>
    <w:rsid w:val="003C2FCA"/>
    <w:rsid w:val="003C3098"/>
    <w:rsid w:val="003C3CF9"/>
    <w:rsid w:val="003C3E4E"/>
    <w:rsid w:val="003C41D4"/>
    <w:rsid w:val="003C434C"/>
    <w:rsid w:val="003C6002"/>
    <w:rsid w:val="003C63BC"/>
    <w:rsid w:val="003C77B0"/>
    <w:rsid w:val="003C786B"/>
    <w:rsid w:val="003C7ABB"/>
    <w:rsid w:val="003C7ADE"/>
    <w:rsid w:val="003C7C6E"/>
    <w:rsid w:val="003C7EFA"/>
    <w:rsid w:val="003D00B2"/>
    <w:rsid w:val="003D0278"/>
    <w:rsid w:val="003D0474"/>
    <w:rsid w:val="003D0C5A"/>
    <w:rsid w:val="003D0D18"/>
    <w:rsid w:val="003D154C"/>
    <w:rsid w:val="003D1A25"/>
    <w:rsid w:val="003D2045"/>
    <w:rsid w:val="003D237A"/>
    <w:rsid w:val="003D24E7"/>
    <w:rsid w:val="003D2C66"/>
    <w:rsid w:val="003D35A0"/>
    <w:rsid w:val="003D3774"/>
    <w:rsid w:val="003D3B8A"/>
    <w:rsid w:val="003D3E6E"/>
    <w:rsid w:val="003D3E8E"/>
    <w:rsid w:val="003D436F"/>
    <w:rsid w:val="003D4436"/>
    <w:rsid w:val="003D44A7"/>
    <w:rsid w:val="003D461D"/>
    <w:rsid w:val="003D4627"/>
    <w:rsid w:val="003D46C3"/>
    <w:rsid w:val="003D477B"/>
    <w:rsid w:val="003D4C68"/>
    <w:rsid w:val="003D4EA8"/>
    <w:rsid w:val="003D4ED3"/>
    <w:rsid w:val="003D50C6"/>
    <w:rsid w:val="003D54E7"/>
    <w:rsid w:val="003D55CD"/>
    <w:rsid w:val="003D5DC6"/>
    <w:rsid w:val="003D6B46"/>
    <w:rsid w:val="003D70E9"/>
    <w:rsid w:val="003D7364"/>
    <w:rsid w:val="003D76F8"/>
    <w:rsid w:val="003D7A99"/>
    <w:rsid w:val="003D7B84"/>
    <w:rsid w:val="003D7BC5"/>
    <w:rsid w:val="003D7EDB"/>
    <w:rsid w:val="003E006E"/>
    <w:rsid w:val="003E086E"/>
    <w:rsid w:val="003E0DE5"/>
    <w:rsid w:val="003E1BC6"/>
    <w:rsid w:val="003E2D61"/>
    <w:rsid w:val="003E33D2"/>
    <w:rsid w:val="003E354E"/>
    <w:rsid w:val="003E37DF"/>
    <w:rsid w:val="003E44D7"/>
    <w:rsid w:val="003E44FC"/>
    <w:rsid w:val="003E4906"/>
    <w:rsid w:val="003E495A"/>
    <w:rsid w:val="003E49CB"/>
    <w:rsid w:val="003E4A3F"/>
    <w:rsid w:val="003E4CD0"/>
    <w:rsid w:val="003E50D0"/>
    <w:rsid w:val="003E534C"/>
    <w:rsid w:val="003E5DA8"/>
    <w:rsid w:val="003E67A4"/>
    <w:rsid w:val="003E67B1"/>
    <w:rsid w:val="003E6C38"/>
    <w:rsid w:val="003E7B12"/>
    <w:rsid w:val="003F0646"/>
    <w:rsid w:val="003F17E4"/>
    <w:rsid w:val="003F196B"/>
    <w:rsid w:val="003F1CAA"/>
    <w:rsid w:val="003F20F6"/>
    <w:rsid w:val="003F2DAE"/>
    <w:rsid w:val="003F2F6E"/>
    <w:rsid w:val="003F33A9"/>
    <w:rsid w:val="003F3CB7"/>
    <w:rsid w:val="003F3E23"/>
    <w:rsid w:val="003F40DF"/>
    <w:rsid w:val="003F424D"/>
    <w:rsid w:val="003F432D"/>
    <w:rsid w:val="003F43BC"/>
    <w:rsid w:val="003F45A0"/>
    <w:rsid w:val="003F5046"/>
    <w:rsid w:val="003F52CE"/>
    <w:rsid w:val="003F5377"/>
    <w:rsid w:val="003F6142"/>
    <w:rsid w:val="003F65EE"/>
    <w:rsid w:val="003F752F"/>
    <w:rsid w:val="003F7640"/>
    <w:rsid w:val="003F769F"/>
    <w:rsid w:val="003F7C96"/>
    <w:rsid w:val="003F7E4B"/>
    <w:rsid w:val="003F7FDD"/>
    <w:rsid w:val="004001FE"/>
    <w:rsid w:val="00400965"/>
    <w:rsid w:val="004011EA"/>
    <w:rsid w:val="004013BA"/>
    <w:rsid w:val="00401634"/>
    <w:rsid w:val="00401AAB"/>
    <w:rsid w:val="00401E17"/>
    <w:rsid w:val="00401F78"/>
    <w:rsid w:val="00402EE8"/>
    <w:rsid w:val="00403084"/>
    <w:rsid w:val="00403135"/>
    <w:rsid w:val="00403506"/>
    <w:rsid w:val="00403749"/>
    <w:rsid w:val="0040377C"/>
    <w:rsid w:val="00403A18"/>
    <w:rsid w:val="00403A30"/>
    <w:rsid w:val="00403C92"/>
    <w:rsid w:val="00404302"/>
    <w:rsid w:val="00404CA6"/>
    <w:rsid w:val="00404CD8"/>
    <w:rsid w:val="00404DC0"/>
    <w:rsid w:val="00406B4A"/>
    <w:rsid w:val="00406C6E"/>
    <w:rsid w:val="004071BD"/>
    <w:rsid w:val="0040723B"/>
    <w:rsid w:val="00407B90"/>
    <w:rsid w:val="00407E69"/>
    <w:rsid w:val="00407FA3"/>
    <w:rsid w:val="00407FA7"/>
    <w:rsid w:val="004105B4"/>
    <w:rsid w:val="004109C8"/>
    <w:rsid w:val="00410B63"/>
    <w:rsid w:val="00411054"/>
    <w:rsid w:val="004118C6"/>
    <w:rsid w:val="00411926"/>
    <w:rsid w:val="00411FA7"/>
    <w:rsid w:val="00412634"/>
    <w:rsid w:val="0041281E"/>
    <w:rsid w:val="00412C98"/>
    <w:rsid w:val="00412DFF"/>
    <w:rsid w:val="00412EB6"/>
    <w:rsid w:val="00412F30"/>
    <w:rsid w:val="00413BCE"/>
    <w:rsid w:val="00413C1F"/>
    <w:rsid w:val="004145B5"/>
    <w:rsid w:val="004148BE"/>
    <w:rsid w:val="004153C2"/>
    <w:rsid w:val="00416B6B"/>
    <w:rsid w:val="00416FB7"/>
    <w:rsid w:val="00417050"/>
    <w:rsid w:val="004171BF"/>
    <w:rsid w:val="00420447"/>
    <w:rsid w:val="004208A8"/>
    <w:rsid w:val="004208D6"/>
    <w:rsid w:val="00420CBB"/>
    <w:rsid w:val="00420E6C"/>
    <w:rsid w:val="0042140E"/>
    <w:rsid w:val="004215CB"/>
    <w:rsid w:val="00421771"/>
    <w:rsid w:val="00421A8C"/>
    <w:rsid w:val="00421F60"/>
    <w:rsid w:val="004223D2"/>
    <w:rsid w:val="00422DD6"/>
    <w:rsid w:val="00423520"/>
    <w:rsid w:val="00423563"/>
    <w:rsid w:val="00423762"/>
    <w:rsid w:val="004244EE"/>
    <w:rsid w:val="004245AF"/>
    <w:rsid w:val="00424A69"/>
    <w:rsid w:val="00425743"/>
    <w:rsid w:val="0042581C"/>
    <w:rsid w:val="00425E6C"/>
    <w:rsid w:val="00425EEF"/>
    <w:rsid w:val="00426682"/>
    <w:rsid w:val="0042708F"/>
    <w:rsid w:val="004275D5"/>
    <w:rsid w:val="00427755"/>
    <w:rsid w:val="004278C7"/>
    <w:rsid w:val="00430FF9"/>
    <w:rsid w:val="00431368"/>
    <w:rsid w:val="0043210A"/>
    <w:rsid w:val="00432E7E"/>
    <w:rsid w:val="004334EC"/>
    <w:rsid w:val="004334FC"/>
    <w:rsid w:val="004338F8"/>
    <w:rsid w:val="00433A4E"/>
    <w:rsid w:val="0043468E"/>
    <w:rsid w:val="0043489D"/>
    <w:rsid w:val="0043502E"/>
    <w:rsid w:val="004358D9"/>
    <w:rsid w:val="004366C1"/>
    <w:rsid w:val="004369FA"/>
    <w:rsid w:val="00436B9F"/>
    <w:rsid w:val="00436C6A"/>
    <w:rsid w:val="00436E62"/>
    <w:rsid w:val="00437257"/>
    <w:rsid w:val="004372A9"/>
    <w:rsid w:val="004375D0"/>
    <w:rsid w:val="004376B3"/>
    <w:rsid w:val="004401CE"/>
    <w:rsid w:val="00441273"/>
    <w:rsid w:val="00441567"/>
    <w:rsid w:val="0044221C"/>
    <w:rsid w:val="00442364"/>
    <w:rsid w:val="0044245A"/>
    <w:rsid w:val="00442A64"/>
    <w:rsid w:val="00442A6B"/>
    <w:rsid w:val="0044378A"/>
    <w:rsid w:val="00443A89"/>
    <w:rsid w:val="0044439A"/>
    <w:rsid w:val="00444D8C"/>
    <w:rsid w:val="00444EA4"/>
    <w:rsid w:val="00444FE1"/>
    <w:rsid w:val="004451AE"/>
    <w:rsid w:val="00445548"/>
    <w:rsid w:val="00445680"/>
    <w:rsid w:val="00445CAD"/>
    <w:rsid w:val="00445DF4"/>
    <w:rsid w:val="00446835"/>
    <w:rsid w:val="004468BA"/>
    <w:rsid w:val="00446AE1"/>
    <w:rsid w:val="00446C40"/>
    <w:rsid w:val="00446CB6"/>
    <w:rsid w:val="00446E4A"/>
    <w:rsid w:val="00447096"/>
    <w:rsid w:val="0044733D"/>
    <w:rsid w:val="00447812"/>
    <w:rsid w:val="0045007B"/>
    <w:rsid w:val="00450BF7"/>
    <w:rsid w:val="00450D55"/>
    <w:rsid w:val="00451131"/>
    <w:rsid w:val="00451286"/>
    <w:rsid w:val="00451666"/>
    <w:rsid w:val="00451AD6"/>
    <w:rsid w:val="00451C49"/>
    <w:rsid w:val="00451F22"/>
    <w:rsid w:val="004523F7"/>
    <w:rsid w:val="0045250D"/>
    <w:rsid w:val="00452AA4"/>
    <w:rsid w:val="00454362"/>
    <w:rsid w:val="004550D2"/>
    <w:rsid w:val="00455761"/>
    <w:rsid w:val="00455E07"/>
    <w:rsid w:val="00455EBC"/>
    <w:rsid w:val="00455FBC"/>
    <w:rsid w:val="004566BB"/>
    <w:rsid w:val="0045671D"/>
    <w:rsid w:val="00456BFB"/>
    <w:rsid w:val="00456D08"/>
    <w:rsid w:val="0045799D"/>
    <w:rsid w:val="00457D5B"/>
    <w:rsid w:val="00457D99"/>
    <w:rsid w:val="00457D9E"/>
    <w:rsid w:val="004605F6"/>
    <w:rsid w:val="00460DAC"/>
    <w:rsid w:val="004612CF"/>
    <w:rsid w:val="00461716"/>
    <w:rsid w:val="0046203C"/>
    <w:rsid w:val="00462B6D"/>
    <w:rsid w:val="00463112"/>
    <w:rsid w:val="004633C6"/>
    <w:rsid w:val="00463BCE"/>
    <w:rsid w:val="00464173"/>
    <w:rsid w:val="00464CD5"/>
    <w:rsid w:val="00464DAF"/>
    <w:rsid w:val="0046502A"/>
    <w:rsid w:val="00466748"/>
    <w:rsid w:val="00466E5D"/>
    <w:rsid w:val="00467C19"/>
    <w:rsid w:val="00470DA5"/>
    <w:rsid w:val="00470DF0"/>
    <w:rsid w:val="0047119B"/>
    <w:rsid w:val="00471526"/>
    <w:rsid w:val="00471AB8"/>
    <w:rsid w:val="00472959"/>
    <w:rsid w:val="004729C8"/>
    <w:rsid w:val="00472A18"/>
    <w:rsid w:val="004734F4"/>
    <w:rsid w:val="00473645"/>
    <w:rsid w:val="00473985"/>
    <w:rsid w:val="00473A3C"/>
    <w:rsid w:val="00473AA8"/>
    <w:rsid w:val="00476659"/>
    <w:rsid w:val="0047699D"/>
    <w:rsid w:val="004769AF"/>
    <w:rsid w:val="004769E9"/>
    <w:rsid w:val="00476F70"/>
    <w:rsid w:val="0047707A"/>
    <w:rsid w:val="004770F2"/>
    <w:rsid w:val="004770F8"/>
    <w:rsid w:val="00477283"/>
    <w:rsid w:val="0048045B"/>
    <w:rsid w:val="00480CDA"/>
    <w:rsid w:val="00480E81"/>
    <w:rsid w:val="00481690"/>
    <w:rsid w:val="00481C43"/>
    <w:rsid w:val="00481EFB"/>
    <w:rsid w:val="00482DD9"/>
    <w:rsid w:val="00483489"/>
    <w:rsid w:val="004840CA"/>
    <w:rsid w:val="0048435E"/>
    <w:rsid w:val="00484711"/>
    <w:rsid w:val="0048477A"/>
    <w:rsid w:val="00484B3B"/>
    <w:rsid w:val="004859D7"/>
    <w:rsid w:val="0048651A"/>
    <w:rsid w:val="00486811"/>
    <w:rsid w:val="004869BD"/>
    <w:rsid w:val="00486B95"/>
    <w:rsid w:val="004871E8"/>
    <w:rsid w:val="004876B8"/>
    <w:rsid w:val="00487E5F"/>
    <w:rsid w:val="004904C7"/>
    <w:rsid w:val="004905E9"/>
    <w:rsid w:val="00490881"/>
    <w:rsid w:val="00490CCE"/>
    <w:rsid w:val="00490FBB"/>
    <w:rsid w:val="00490FE1"/>
    <w:rsid w:val="00491311"/>
    <w:rsid w:val="0049154D"/>
    <w:rsid w:val="0049158D"/>
    <w:rsid w:val="00491642"/>
    <w:rsid w:val="00491DD3"/>
    <w:rsid w:val="00491EAF"/>
    <w:rsid w:val="00491F3A"/>
    <w:rsid w:val="00492760"/>
    <w:rsid w:val="004929D3"/>
    <w:rsid w:val="00492D65"/>
    <w:rsid w:val="00492DE9"/>
    <w:rsid w:val="00492FAE"/>
    <w:rsid w:val="00493AB0"/>
    <w:rsid w:val="0049465D"/>
    <w:rsid w:val="00495714"/>
    <w:rsid w:val="00496D0F"/>
    <w:rsid w:val="00496D1E"/>
    <w:rsid w:val="004970A6"/>
    <w:rsid w:val="00497562"/>
    <w:rsid w:val="004976A1"/>
    <w:rsid w:val="00497BAC"/>
    <w:rsid w:val="004A0127"/>
    <w:rsid w:val="004A0508"/>
    <w:rsid w:val="004A05CC"/>
    <w:rsid w:val="004A085F"/>
    <w:rsid w:val="004A0A39"/>
    <w:rsid w:val="004A0B7F"/>
    <w:rsid w:val="004A1489"/>
    <w:rsid w:val="004A14EC"/>
    <w:rsid w:val="004A1959"/>
    <w:rsid w:val="004A1A0F"/>
    <w:rsid w:val="004A1BB3"/>
    <w:rsid w:val="004A1D60"/>
    <w:rsid w:val="004A2723"/>
    <w:rsid w:val="004A3CB6"/>
    <w:rsid w:val="004A3DDB"/>
    <w:rsid w:val="004A42ED"/>
    <w:rsid w:val="004A4461"/>
    <w:rsid w:val="004A461D"/>
    <w:rsid w:val="004A49E8"/>
    <w:rsid w:val="004A5309"/>
    <w:rsid w:val="004A59DC"/>
    <w:rsid w:val="004A60FF"/>
    <w:rsid w:val="004A613C"/>
    <w:rsid w:val="004A61FE"/>
    <w:rsid w:val="004A6946"/>
    <w:rsid w:val="004A6F59"/>
    <w:rsid w:val="004A7395"/>
    <w:rsid w:val="004A73CA"/>
    <w:rsid w:val="004A79EB"/>
    <w:rsid w:val="004A7F50"/>
    <w:rsid w:val="004B07F9"/>
    <w:rsid w:val="004B1387"/>
    <w:rsid w:val="004B1749"/>
    <w:rsid w:val="004B199E"/>
    <w:rsid w:val="004B1A0A"/>
    <w:rsid w:val="004B23D6"/>
    <w:rsid w:val="004B27E2"/>
    <w:rsid w:val="004B2FF2"/>
    <w:rsid w:val="004B301B"/>
    <w:rsid w:val="004B310E"/>
    <w:rsid w:val="004B310F"/>
    <w:rsid w:val="004B35B7"/>
    <w:rsid w:val="004B3833"/>
    <w:rsid w:val="004B41AE"/>
    <w:rsid w:val="004B41D2"/>
    <w:rsid w:val="004B478D"/>
    <w:rsid w:val="004B47F3"/>
    <w:rsid w:val="004B4A47"/>
    <w:rsid w:val="004B5157"/>
    <w:rsid w:val="004B520E"/>
    <w:rsid w:val="004B590B"/>
    <w:rsid w:val="004B5B0B"/>
    <w:rsid w:val="004B63E6"/>
    <w:rsid w:val="004B6400"/>
    <w:rsid w:val="004B6710"/>
    <w:rsid w:val="004B6821"/>
    <w:rsid w:val="004B6E9B"/>
    <w:rsid w:val="004B6F64"/>
    <w:rsid w:val="004B7E67"/>
    <w:rsid w:val="004C005F"/>
    <w:rsid w:val="004C038C"/>
    <w:rsid w:val="004C095D"/>
    <w:rsid w:val="004C0E1E"/>
    <w:rsid w:val="004C1934"/>
    <w:rsid w:val="004C1A98"/>
    <w:rsid w:val="004C1BE6"/>
    <w:rsid w:val="004C2055"/>
    <w:rsid w:val="004C220D"/>
    <w:rsid w:val="004C2C00"/>
    <w:rsid w:val="004C3301"/>
    <w:rsid w:val="004C37CA"/>
    <w:rsid w:val="004C3EC9"/>
    <w:rsid w:val="004C4224"/>
    <w:rsid w:val="004C4682"/>
    <w:rsid w:val="004C4DA9"/>
    <w:rsid w:val="004C5043"/>
    <w:rsid w:val="004C532D"/>
    <w:rsid w:val="004C5379"/>
    <w:rsid w:val="004C55F5"/>
    <w:rsid w:val="004C5AAC"/>
    <w:rsid w:val="004C5C0E"/>
    <w:rsid w:val="004C5C6D"/>
    <w:rsid w:val="004C6138"/>
    <w:rsid w:val="004C6A7E"/>
    <w:rsid w:val="004C6AE4"/>
    <w:rsid w:val="004C7190"/>
    <w:rsid w:val="004C72D3"/>
    <w:rsid w:val="004C78A3"/>
    <w:rsid w:val="004C7A00"/>
    <w:rsid w:val="004D06A7"/>
    <w:rsid w:val="004D1E7C"/>
    <w:rsid w:val="004D1EFD"/>
    <w:rsid w:val="004D1F6A"/>
    <w:rsid w:val="004D2174"/>
    <w:rsid w:val="004D2B62"/>
    <w:rsid w:val="004D2FD8"/>
    <w:rsid w:val="004D30F4"/>
    <w:rsid w:val="004D3212"/>
    <w:rsid w:val="004D35F7"/>
    <w:rsid w:val="004D36D8"/>
    <w:rsid w:val="004D3869"/>
    <w:rsid w:val="004D3A5A"/>
    <w:rsid w:val="004D3DE7"/>
    <w:rsid w:val="004D3FA9"/>
    <w:rsid w:val="004D4522"/>
    <w:rsid w:val="004D457D"/>
    <w:rsid w:val="004D4A78"/>
    <w:rsid w:val="004D5B35"/>
    <w:rsid w:val="004D6340"/>
    <w:rsid w:val="004D6552"/>
    <w:rsid w:val="004D6614"/>
    <w:rsid w:val="004D6CA7"/>
    <w:rsid w:val="004D6FE6"/>
    <w:rsid w:val="004D7277"/>
    <w:rsid w:val="004D737D"/>
    <w:rsid w:val="004D76DB"/>
    <w:rsid w:val="004D7936"/>
    <w:rsid w:val="004D7BE7"/>
    <w:rsid w:val="004D7D94"/>
    <w:rsid w:val="004D7DDA"/>
    <w:rsid w:val="004E092A"/>
    <w:rsid w:val="004E1ADD"/>
    <w:rsid w:val="004E245F"/>
    <w:rsid w:val="004E2AA2"/>
    <w:rsid w:val="004E2CD6"/>
    <w:rsid w:val="004E3071"/>
    <w:rsid w:val="004E342C"/>
    <w:rsid w:val="004E3845"/>
    <w:rsid w:val="004E419E"/>
    <w:rsid w:val="004E424F"/>
    <w:rsid w:val="004E4464"/>
    <w:rsid w:val="004E50C8"/>
    <w:rsid w:val="004E5427"/>
    <w:rsid w:val="004E6F00"/>
    <w:rsid w:val="004E7230"/>
    <w:rsid w:val="004E739C"/>
    <w:rsid w:val="004E75B4"/>
    <w:rsid w:val="004E7773"/>
    <w:rsid w:val="004E7A0F"/>
    <w:rsid w:val="004E7B81"/>
    <w:rsid w:val="004F018F"/>
    <w:rsid w:val="004F0281"/>
    <w:rsid w:val="004F0E75"/>
    <w:rsid w:val="004F1450"/>
    <w:rsid w:val="004F1623"/>
    <w:rsid w:val="004F1833"/>
    <w:rsid w:val="004F19B7"/>
    <w:rsid w:val="004F21DA"/>
    <w:rsid w:val="004F2244"/>
    <w:rsid w:val="004F22A4"/>
    <w:rsid w:val="004F2584"/>
    <w:rsid w:val="004F3121"/>
    <w:rsid w:val="004F3206"/>
    <w:rsid w:val="004F4C9B"/>
    <w:rsid w:val="004F4D4A"/>
    <w:rsid w:val="004F54CD"/>
    <w:rsid w:val="004F60D4"/>
    <w:rsid w:val="004F68E9"/>
    <w:rsid w:val="004F695C"/>
    <w:rsid w:val="004F6DC7"/>
    <w:rsid w:val="004F73F8"/>
    <w:rsid w:val="004F7484"/>
    <w:rsid w:val="00500010"/>
    <w:rsid w:val="0050053D"/>
    <w:rsid w:val="005005E1"/>
    <w:rsid w:val="00500965"/>
    <w:rsid w:val="00500DC4"/>
    <w:rsid w:val="00500FC3"/>
    <w:rsid w:val="00501034"/>
    <w:rsid w:val="00501255"/>
    <w:rsid w:val="00501463"/>
    <w:rsid w:val="005019D9"/>
    <w:rsid w:val="00501BF4"/>
    <w:rsid w:val="005028F1"/>
    <w:rsid w:val="00502ACB"/>
    <w:rsid w:val="00502EBE"/>
    <w:rsid w:val="005032A5"/>
    <w:rsid w:val="005039AD"/>
    <w:rsid w:val="00504973"/>
    <w:rsid w:val="00504976"/>
    <w:rsid w:val="00504ADC"/>
    <w:rsid w:val="005052B5"/>
    <w:rsid w:val="00505483"/>
    <w:rsid w:val="005057C7"/>
    <w:rsid w:val="005057E8"/>
    <w:rsid w:val="00505C5C"/>
    <w:rsid w:val="00505CCB"/>
    <w:rsid w:val="0050634B"/>
    <w:rsid w:val="00506594"/>
    <w:rsid w:val="00506A44"/>
    <w:rsid w:val="00506C8F"/>
    <w:rsid w:val="00507A6D"/>
    <w:rsid w:val="00507A8C"/>
    <w:rsid w:val="005100DB"/>
    <w:rsid w:val="00510E44"/>
    <w:rsid w:val="0051184C"/>
    <w:rsid w:val="00511D69"/>
    <w:rsid w:val="0051255A"/>
    <w:rsid w:val="00512717"/>
    <w:rsid w:val="00512899"/>
    <w:rsid w:val="005128F7"/>
    <w:rsid w:val="00512F68"/>
    <w:rsid w:val="00512F81"/>
    <w:rsid w:val="00513816"/>
    <w:rsid w:val="005138CF"/>
    <w:rsid w:val="00514419"/>
    <w:rsid w:val="00514D34"/>
    <w:rsid w:val="00514EF2"/>
    <w:rsid w:val="00514F12"/>
    <w:rsid w:val="00514F38"/>
    <w:rsid w:val="00515387"/>
    <w:rsid w:val="005158E0"/>
    <w:rsid w:val="00516016"/>
    <w:rsid w:val="005161D0"/>
    <w:rsid w:val="005167F0"/>
    <w:rsid w:val="00516893"/>
    <w:rsid w:val="005168ED"/>
    <w:rsid w:val="00516AD9"/>
    <w:rsid w:val="005171F3"/>
    <w:rsid w:val="00517282"/>
    <w:rsid w:val="005174BD"/>
    <w:rsid w:val="00517915"/>
    <w:rsid w:val="00517A12"/>
    <w:rsid w:val="00517B11"/>
    <w:rsid w:val="00517DE1"/>
    <w:rsid w:val="00517E2A"/>
    <w:rsid w:val="00520871"/>
    <w:rsid w:val="00520946"/>
    <w:rsid w:val="00520F8F"/>
    <w:rsid w:val="005210CA"/>
    <w:rsid w:val="005214EA"/>
    <w:rsid w:val="0052151E"/>
    <w:rsid w:val="005216DC"/>
    <w:rsid w:val="005217EF"/>
    <w:rsid w:val="00521B3B"/>
    <w:rsid w:val="005221E0"/>
    <w:rsid w:val="005224A1"/>
    <w:rsid w:val="00522F22"/>
    <w:rsid w:val="005231A6"/>
    <w:rsid w:val="00523AE2"/>
    <w:rsid w:val="00523C5D"/>
    <w:rsid w:val="00524770"/>
    <w:rsid w:val="00524BDC"/>
    <w:rsid w:val="00524BE9"/>
    <w:rsid w:val="00524FAA"/>
    <w:rsid w:val="00525651"/>
    <w:rsid w:val="005256A8"/>
    <w:rsid w:val="00525B86"/>
    <w:rsid w:val="00526C20"/>
    <w:rsid w:val="00526E89"/>
    <w:rsid w:val="00527308"/>
    <w:rsid w:val="00527430"/>
    <w:rsid w:val="00527B9F"/>
    <w:rsid w:val="00527D62"/>
    <w:rsid w:val="00527D71"/>
    <w:rsid w:val="00530370"/>
    <w:rsid w:val="00530B05"/>
    <w:rsid w:val="005310F6"/>
    <w:rsid w:val="00531225"/>
    <w:rsid w:val="00531A0F"/>
    <w:rsid w:val="00531A66"/>
    <w:rsid w:val="00531A8C"/>
    <w:rsid w:val="00531C4A"/>
    <w:rsid w:val="00531C92"/>
    <w:rsid w:val="00531CC4"/>
    <w:rsid w:val="00532649"/>
    <w:rsid w:val="00532AE3"/>
    <w:rsid w:val="00532BA2"/>
    <w:rsid w:val="00532C64"/>
    <w:rsid w:val="00533223"/>
    <w:rsid w:val="00533EAD"/>
    <w:rsid w:val="00534454"/>
    <w:rsid w:val="00534AC2"/>
    <w:rsid w:val="00534C64"/>
    <w:rsid w:val="00534C83"/>
    <w:rsid w:val="0053561A"/>
    <w:rsid w:val="0053592F"/>
    <w:rsid w:val="00535AF4"/>
    <w:rsid w:val="00535DE5"/>
    <w:rsid w:val="0053629B"/>
    <w:rsid w:val="00536DCA"/>
    <w:rsid w:val="00537182"/>
    <w:rsid w:val="0053751E"/>
    <w:rsid w:val="00540D3E"/>
    <w:rsid w:val="00541AB7"/>
    <w:rsid w:val="00541D38"/>
    <w:rsid w:val="00542CF6"/>
    <w:rsid w:val="0054325D"/>
    <w:rsid w:val="005436DC"/>
    <w:rsid w:val="005436EF"/>
    <w:rsid w:val="005437D9"/>
    <w:rsid w:val="00543992"/>
    <w:rsid w:val="00543AF1"/>
    <w:rsid w:val="00543F2E"/>
    <w:rsid w:val="00544544"/>
    <w:rsid w:val="0054460C"/>
    <w:rsid w:val="00544CC4"/>
    <w:rsid w:val="005457BF"/>
    <w:rsid w:val="00545D03"/>
    <w:rsid w:val="00545F69"/>
    <w:rsid w:val="00546427"/>
    <w:rsid w:val="005467B7"/>
    <w:rsid w:val="00546C68"/>
    <w:rsid w:val="00547813"/>
    <w:rsid w:val="00547C23"/>
    <w:rsid w:val="00547E8B"/>
    <w:rsid w:val="00547F61"/>
    <w:rsid w:val="005504A1"/>
    <w:rsid w:val="00550C9F"/>
    <w:rsid w:val="00550CCD"/>
    <w:rsid w:val="00551407"/>
    <w:rsid w:val="00551F45"/>
    <w:rsid w:val="005521FD"/>
    <w:rsid w:val="005527E2"/>
    <w:rsid w:val="00552EE0"/>
    <w:rsid w:val="00552FE1"/>
    <w:rsid w:val="00553368"/>
    <w:rsid w:val="00553398"/>
    <w:rsid w:val="0055355F"/>
    <w:rsid w:val="005538DE"/>
    <w:rsid w:val="00554283"/>
    <w:rsid w:val="00554294"/>
    <w:rsid w:val="00554FA4"/>
    <w:rsid w:val="00555113"/>
    <w:rsid w:val="005552C1"/>
    <w:rsid w:val="0055534E"/>
    <w:rsid w:val="005558A7"/>
    <w:rsid w:val="005563AB"/>
    <w:rsid w:val="005569C2"/>
    <w:rsid w:val="00556C17"/>
    <w:rsid w:val="00556D49"/>
    <w:rsid w:val="00556E15"/>
    <w:rsid w:val="00556E4C"/>
    <w:rsid w:val="00556EE1"/>
    <w:rsid w:val="00556FC1"/>
    <w:rsid w:val="00557257"/>
    <w:rsid w:val="005572BA"/>
    <w:rsid w:val="005605A5"/>
    <w:rsid w:val="0056090A"/>
    <w:rsid w:val="00560D31"/>
    <w:rsid w:val="00560D6E"/>
    <w:rsid w:val="0056208C"/>
    <w:rsid w:val="0056243F"/>
    <w:rsid w:val="00562807"/>
    <w:rsid w:val="0056298C"/>
    <w:rsid w:val="005629CB"/>
    <w:rsid w:val="00564022"/>
    <w:rsid w:val="0056430C"/>
    <w:rsid w:val="005649D2"/>
    <w:rsid w:val="00564C15"/>
    <w:rsid w:val="00565684"/>
    <w:rsid w:val="00565F6A"/>
    <w:rsid w:val="00566F60"/>
    <w:rsid w:val="005671C8"/>
    <w:rsid w:val="00567300"/>
    <w:rsid w:val="00570018"/>
    <w:rsid w:val="0057010D"/>
    <w:rsid w:val="005703B6"/>
    <w:rsid w:val="00570682"/>
    <w:rsid w:val="005713F0"/>
    <w:rsid w:val="00571EEE"/>
    <w:rsid w:val="005722FF"/>
    <w:rsid w:val="00572963"/>
    <w:rsid w:val="0057369B"/>
    <w:rsid w:val="0057497D"/>
    <w:rsid w:val="00575390"/>
    <w:rsid w:val="005756D6"/>
    <w:rsid w:val="005758A4"/>
    <w:rsid w:val="00575A68"/>
    <w:rsid w:val="00576A9E"/>
    <w:rsid w:val="00576E0E"/>
    <w:rsid w:val="00576E6D"/>
    <w:rsid w:val="00576F8B"/>
    <w:rsid w:val="005773D9"/>
    <w:rsid w:val="00577C32"/>
    <w:rsid w:val="00577DCD"/>
    <w:rsid w:val="00580BD9"/>
    <w:rsid w:val="00580C4C"/>
    <w:rsid w:val="005814C5"/>
    <w:rsid w:val="00581D98"/>
    <w:rsid w:val="00581EAD"/>
    <w:rsid w:val="00582248"/>
    <w:rsid w:val="00582786"/>
    <w:rsid w:val="00582B70"/>
    <w:rsid w:val="00582B84"/>
    <w:rsid w:val="005835D4"/>
    <w:rsid w:val="00583703"/>
    <w:rsid w:val="00584119"/>
    <w:rsid w:val="005858E8"/>
    <w:rsid w:val="00585C96"/>
    <w:rsid w:val="00585EB9"/>
    <w:rsid w:val="0058656C"/>
    <w:rsid w:val="00586839"/>
    <w:rsid w:val="00586EC1"/>
    <w:rsid w:val="00587366"/>
    <w:rsid w:val="005900B9"/>
    <w:rsid w:val="0059038E"/>
    <w:rsid w:val="005904C9"/>
    <w:rsid w:val="005907A1"/>
    <w:rsid w:val="00590EB3"/>
    <w:rsid w:val="00591049"/>
    <w:rsid w:val="00591CFE"/>
    <w:rsid w:val="00592010"/>
    <w:rsid w:val="0059235A"/>
    <w:rsid w:val="005925E4"/>
    <w:rsid w:val="005926EC"/>
    <w:rsid w:val="005932D9"/>
    <w:rsid w:val="00593696"/>
    <w:rsid w:val="0059398B"/>
    <w:rsid w:val="00593D6D"/>
    <w:rsid w:val="005948E7"/>
    <w:rsid w:val="00594BFD"/>
    <w:rsid w:val="00595151"/>
    <w:rsid w:val="00595B43"/>
    <w:rsid w:val="00597903"/>
    <w:rsid w:val="00597E52"/>
    <w:rsid w:val="005A000A"/>
    <w:rsid w:val="005A0321"/>
    <w:rsid w:val="005A04FA"/>
    <w:rsid w:val="005A1190"/>
    <w:rsid w:val="005A142B"/>
    <w:rsid w:val="005A177E"/>
    <w:rsid w:val="005A1F48"/>
    <w:rsid w:val="005A275B"/>
    <w:rsid w:val="005A3848"/>
    <w:rsid w:val="005A42FF"/>
    <w:rsid w:val="005A4434"/>
    <w:rsid w:val="005A4533"/>
    <w:rsid w:val="005A47E8"/>
    <w:rsid w:val="005A5315"/>
    <w:rsid w:val="005A5486"/>
    <w:rsid w:val="005A5F9B"/>
    <w:rsid w:val="005A60A5"/>
    <w:rsid w:val="005A6634"/>
    <w:rsid w:val="005A687C"/>
    <w:rsid w:val="005A7034"/>
    <w:rsid w:val="005A7373"/>
    <w:rsid w:val="005A741C"/>
    <w:rsid w:val="005B123F"/>
    <w:rsid w:val="005B1293"/>
    <w:rsid w:val="005B1489"/>
    <w:rsid w:val="005B1697"/>
    <w:rsid w:val="005B16B5"/>
    <w:rsid w:val="005B1795"/>
    <w:rsid w:val="005B1989"/>
    <w:rsid w:val="005B1F6D"/>
    <w:rsid w:val="005B202D"/>
    <w:rsid w:val="005B238D"/>
    <w:rsid w:val="005B264B"/>
    <w:rsid w:val="005B285E"/>
    <w:rsid w:val="005B2EE0"/>
    <w:rsid w:val="005B2F97"/>
    <w:rsid w:val="005B2F9D"/>
    <w:rsid w:val="005B306D"/>
    <w:rsid w:val="005B370B"/>
    <w:rsid w:val="005B3742"/>
    <w:rsid w:val="005B393F"/>
    <w:rsid w:val="005B3FF6"/>
    <w:rsid w:val="005B4751"/>
    <w:rsid w:val="005B4C31"/>
    <w:rsid w:val="005B5059"/>
    <w:rsid w:val="005B54A6"/>
    <w:rsid w:val="005B6447"/>
    <w:rsid w:val="005B7662"/>
    <w:rsid w:val="005B7D5C"/>
    <w:rsid w:val="005B7DF6"/>
    <w:rsid w:val="005B7E4A"/>
    <w:rsid w:val="005C1205"/>
    <w:rsid w:val="005C1827"/>
    <w:rsid w:val="005C2959"/>
    <w:rsid w:val="005C29BD"/>
    <w:rsid w:val="005C33BE"/>
    <w:rsid w:val="005C3446"/>
    <w:rsid w:val="005C3738"/>
    <w:rsid w:val="005C44D6"/>
    <w:rsid w:val="005C5174"/>
    <w:rsid w:val="005C525B"/>
    <w:rsid w:val="005C5BE4"/>
    <w:rsid w:val="005C6282"/>
    <w:rsid w:val="005C6498"/>
    <w:rsid w:val="005C708B"/>
    <w:rsid w:val="005C746C"/>
    <w:rsid w:val="005C77F8"/>
    <w:rsid w:val="005C7CB8"/>
    <w:rsid w:val="005C7E0A"/>
    <w:rsid w:val="005C7FC4"/>
    <w:rsid w:val="005D00E3"/>
    <w:rsid w:val="005D06AE"/>
    <w:rsid w:val="005D0780"/>
    <w:rsid w:val="005D0AB8"/>
    <w:rsid w:val="005D0B55"/>
    <w:rsid w:val="005D0CFF"/>
    <w:rsid w:val="005D0E04"/>
    <w:rsid w:val="005D1120"/>
    <w:rsid w:val="005D11A2"/>
    <w:rsid w:val="005D11A5"/>
    <w:rsid w:val="005D1725"/>
    <w:rsid w:val="005D1B08"/>
    <w:rsid w:val="005D2901"/>
    <w:rsid w:val="005D2DB1"/>
    <w:rsid w:val="005D3817"/>
    <w:rsid w:val="005D42F5"/>
    <w:rsid w:val="005D43C9"/>
    <w:rsid w:val="005D4479"/>
    <w:rsid w:val="005D48CA"/>
    <w:rsid w:val="005D4BA0"/>
    <w:rsid w:val="005D55A9"/>
    <w:rsid w:val="005D5701"/>
    <w:rsid w:val="005D58C1"/>
    <w:rsid w:val="005D6163"/>
    <w:rsid w:val="005D676E"/>
    <w:rsid w:val="005D69EA"/>
    <w:rsid w:val="005D6AC8"/>
    <w:rsid w:val="005D7A31"/>
    <w:rsid w:val="005D7A80"/>
    <w:rsid w:val="005D7F32"/>
    <w:rsid w:val="005E018D"/>
    <w:rsid w:val="005E0697"/>
    <w:rsid w:val="005E081E"/>
    <w:rsid w:val="005E0C9D"/>
    <w:rsid w:val="005E10D2"/>
    <w:rsid w:val="005E16E6"/>
    <w:rsid w:val="005E17F3"/>
    <w:rsid w:val="005E1CD8"/>
    <w:rsid w:val="005E2054"/>
    <w:rsid w:val="005E24B8"/>
    <w:rsid w:val="005E2528"/>
    <w:rsid w:val="005E269C"/>
    <w:rsid w:val="005E2819"/>
    <w:rsid w:val="005E282C"/>
    <w:rsid w:val="005E2D93"/>
    <w:rsid w:val="005E2ED4"/>
    <w:rsid w:val="005E338B"/>
    <w:rsid w:val="005E3D00"/>
    <w:rsid w:val="005E4148"/>
    <w:rsid w:val="005E4177"/>
    <w:rsid w:val="005E4406"/>
    <w:rsid w:val="005E4414"/>
    <w:rsid w:val="005E4701"/>
    <w:rsid w:val="005E4784"/>
    <w:rsid w:val="005E4A7C"/>
    <w:rsid w:val="005E4BE0"/>
    <w:rsid w:val="005E5423"/>
    <w:rsid w:val="005E57AF"/>
    <w:rsid w:val="005E5CDF"/>
    <w:rsid w:val="005E5D35"/>
    <w:rsid w:val="005E64B8"/>
    <w:rsid w:val="005E6D72"/>
    <w:rsid w:val="005E6E94"/>
    <w:rsid w:val="005E7576"/>
    <w:rsid w:val="005E7612"/>
    <w:rsid w:val="005E7B7C"/>
    <w:rsid w:val="005F0077"/>
    <w:rsid w:val="005F0340"/>
    <w:rsid w:val="005F0BF9"/>
    <w:rsid w:val="005F17B2"/>
    <w:rsid w:val="005F1DA0"/>
    <w:rsid w:val="005F2559"/>
    <w:rsid w:val="005F2F6A"/>
    <w:rsid w:val="005F3295"/>
    <w:rsid w:val="005F3323"/>
    <w:rsid w:val="005F3865"/>
    <w:rsid w:val="005F3989"/>
    <w:rsid w:val="005F3A8A"/>
    <w:rsid w:val="005F3BDD"/>
    <w:rsid w:val="005F3D32"/>
    <w:rsid w:val="005F3F29"/>
    <w:rsid w:val="005F4358"/>
    <w:rsid w:val="005F439C"/>
    <w:rsid w:val="005F49F6"/>
    <w:rsid w:val="005F50F6"/>
    <w:rsid w:val="005F5884"/>
    <w:rsid w:val="005F623A"/>
    <w:rsid w:val="005F71AA"/>
    <w:rsid w:val="005F75AE"/>
    <w:rsid w:val="005F762C"/>
    <w:rsid w:val="005F7D96"/>
    <w:rsid w:val="005F7E2E"/>
    <w:rsid w:val="006001C8"/>
    <w:rsid w:val="006002F3"/>
    <w:rsid w:val="006004FB"/>
    <w:rsid w:val="0060070B"/>
    <w:rsid w:val="00600B5C"/>
    <w:rsid w:val="0060111E"/>
    <w:rsid w:val="0060129E"/>
    <w:rsid w:val="00601340"/>
    <w:rsid w:val="006017F1"/>
    <w:rsid w:val="00602067"/>
    <w:rsid w:val="00602216"/>
    <w:rsid w:val="006025FA"/>
    <w:rsid w:val="00602652"/>
    <w:rsid w:val="006031BD"/>
    <w:rsid w:val="0060387A"/>
    <w:rsid w:val="00604BAD"/>
    <w:rsid w:val="00605CF5"/>
    <w:rsid w:val="00605D77"/>
    <w:rsid w:val="0060615A"/>
    <w:rsid w:val="00606378"/>
    <w:rsid w:val="0060668A"/>
    <w:rsid w:val="006067FC"/>
    <w:rsid w:val="00606B4A"/>
    <w:rsid w:val="00606C68"/>
    <w:rsid w:val="00606D40"/>
    <w:rsid w:val="0060707C"/>
    <w:rsid w:val="00607251"/>
    <w:rsid w:val="006072B4"/>
    <w:rsid w:val="006073B6"/>
    <w:rsid w:val="00607793"/>
    <w:rsid w:val="00607D09"/>
    <w:rsid w:val="00607D5C"/>
    <w:rsid w:val="0061124A"/>
    <w:rsid w:val="006112C9"/>
    <w:rsid w:val="006113E3"/>
    <w:rsid w:val="006115DE"/>
    <w:rsid w:val="00611C04"/>
    <w:rsid w:val="00611F47"/>
    <w:rsid w:val="00612265"/>
    <w:rsid w:val="006127A0"/>
    <w:rsid w:val="006130D2"/>
    <w:rsid w:val="0061348C"/>
    <w:rsid w:val="006134EC"/>
    <w:rsid w:val="00614617"/>
    <w:rsid w:val="0061476B"/>
    <w:rsid w:val="00615509"/>
    <w:rsid w:val="0061595E"/>
    <w:rsid w:val="00615975"/>
    <w:rsid w:val="00615BE2"/>
    <w:rsid w:val="006164BD"/>
    <w:rsid w:val="00616B15"/>
    <w:rsid w:val="00616E65"/>
    <w:rsid w:val="00617750"/>
    <w:rsid w:val="006205EB"/>
    <w:rsid w:val="00620AF1"/>
    <w:rsid w:val="00620EBB"/>
    <w:rsid w:val="00621010"/>
    <w:rsid w:val="0062137E"/>
    <w:rsid w:val="00621447"/>
    <w:rsid w:val="00621676"/>
    <w:rsid w:val="00621F86"/>
    <w:rsid w:val="00622826"/>
    <w:rsid w:val="006228C3"/>
    <w:rsid w:val="00622BE1"/>
    <w:rsid w:val="0062323F"/>
    <w:rsid w:val="006235CE"/>
    <w:rsid w:val="00623610"/>
    <w:rsid w:val="00623633"/>
    <w:rsid w:val="006243DA"/>
    <w:rsid w:val="00624D6E"/>
    <w:rsid w:val="0062515C"/>
    <w:rsid w:val="00625BFA"/>
    <w:rsid w:val="006261C6"/>
    <w:rsid w:val="006264A6"/>
    <w:rsid w:val="00626673"/>
    <w:rsid w:val="00626B2B"/>
    <w:rsid w:val="00626FC8"/>
    <w:rsid w:val="006276BA"/>
    <w:rsid w:val="00627AE6"/>
    <w:rsid w:val="00627FEB"/>
    <w:rsid w:val="00630950"/>
    <w:rsid w:val="00630AA7"/>
    <w:rsid w:val="00630AD4"/>
    <w:rsid w:val="00630EE6"/>
    <w:rsid w:val="0063125A"/>
    <w:rsid w:val="00631594"/>
    <w:rsid w:val="0063187F"/>
    <w:rsid w:val="00632F8E"/>
    <w:rsid w:val="00633239"/>
    <w:rsid w:val="006342FE"/>
    <w:rsid w:val="0063490A"/>
    <w:rsid w:val="00635CE0"/>
    <w:rsid w:val="0063669D"/>
    <w:rsid w:val="006369C7"/>
    <w:rsid w:val="00636BF3"/>
    <w:rsid w:val="00636F07"/>
    <w:rsid w:val="00637926"/>
    <w:rsid w:val="006379FF"/>
    <w:rsid w:val="00637EEC"/>
    <w:rsid w:val="0064013A"/>
    <w:rsid w:val="00640369"/>
    <w:rsid w:val="006406F9"/>
    <w:rsid w:val="0064073A"/>
    <w:rsid w:val="00641040"/>
    <w:rsid w:val="006418CB"/>
    <w:rsid w:val="00641AFC"/>
    <w:rsid w:val="00642019"/>
    <w:rsid w:val="006424E9"/>
    <w:rsid w:val="006425FB"/>
    <w:rsid w:val="00642643"/>
    <w:rsid w:val="006429A0"/>
    <w:rsid w:val="00642B54"/>
    <w:rsid w:val="00643014"/>
    <w:rsid w:val="006431D6"/>
    <w:rsid w:val="00643481"/>
    <w:rsid w:val="00643C9F"/>
    <w:rsid w:val="00643E82"/>
    <w:rsid w:val="00643EAC"/>
    <w:rsid w:val="00644376"/>
    <w:rsid w:val="006446A6"/>
    <w:rsid w:val="00644AD1"/>
    <w:rsid w:val="00644EBA"/>
    <w:rsid w:val="0064506B"/>
    <w:rsid w:val="006456B1"/>
    <w:rsid w:val="00645D24"/>
    <w:rsid w:val="00645FF5"/>
    <w:rsid w:val="0064603E"/>
    <w:rsid w:val="00646646"/>
    <w:rsid w:val="006466B5"/>
    <w:rsid w:val="006466B6"/>
    <w:rsid w:val="00646BD0"/>
    <w:rsid w:val="0064736E"/>
    <w:rsid w:val="00647759"/>
    <w:rsid w:val="006478B2"/>
    <w:rsid w:val="006479B7"/>
    <w:rsid w:val="00647A20"/>
    <w:rsid w:val="00647E62"/>
    <w:rsid w:val="00650004"/>
    <w:rsid w:val="00651B11"/>
    <w:rsid w:val="00651BDD"/>
    <w:rsid w:val="0065229D"/>
    <w:rsid w:val="006526D0"/>
    <w:rsid w:val="006528B1"/>
    <w:rsid w:val="006528E8"/>
    <w:rsid w:val="0065318B"/>
    <w:rsid w:val="006537CF"/>
    <w:rsid w:val="00653978"/>
    <w:rsid w:val="00653FDC"/>
    <w:rsid w:val="0065414B"/>
    <w:rsid w:val="0065458F"/>
    <w:rsid w:val="0065484B"/>
    <w:rsid w:val="0065491D"/>
    <w:rsid w:val="00654C1E"/>
    <w:rsid w:val="00655018"/>
    <w:rsid w:val="00655CBA"/>
    <w:rsid w:val="00655DE9"/>
    <w:rsid w:val="00655F4A"/>
    <w:rsid w:val="0065619A"/>
    <w:rsid w:val="0065640E"/>
    <w:rsid w:val="00656448"/>
    <w:rsid w:val="00656DE5"/>
    <w:rsid w:val="00656E21"/>
    <w:rsid w:val="00656FFA"/>
    <w:rsid w:val="006570A0"/>
    <w:rsid w:val="006571C0"/>
    <w:rsid w:val="00657590"/>
    <w:rsid w:val="006579A1"/>
    <w:rsid w:val="00657E84"/>
    <w:rsid w:val="006601B0"/>
    <w:rsid w:val="006603EB"/>
    <w:rsid w:val="006608C1"/>
    <w:rsid w:val="00660A89"/>
    <w:rsid w:val="00660B3F"/>
    <w:rsid w:val="00660CEF"/>
    <w:rsid w:val="00660F9B"/>
    <w:rsid w:val="006613FB"/>
    <w:rsid w:val="00661490"/>
    <w:rsid w:val="0066197E"/>
    <w:rsid w:val="00662015"/>
    <w:rsid w:val="00662529"/>
    <w:rsid w:val="00662539"/>
    <w:rsid w:val="00662768"/>
    <w:rsid w:val="0066313F"/>
    <w:rsid w:val="00663194"/>
    <w:rsid w:val="006632C3"/>
    <w:rsid w:val="0066333B"/>
    <w:rsid w:val="00663695"/>
    <w:rsid w:val="006638B6"/>
    <w:rsid w:val="00663D73"/>
    <w:rsid w:val="00663E14"/>
    <w:rsid w:val="00663EA0"/>
    <w:rsid w:val="006645E3"/>
    <w:rsid w:val="0066489F"/>
    <w:rsid w:val="006649A6"/>
    <w:rsid w:val="00664A66"/>
    <w:rsid w:val="0066540F"/>
    <w:rsid w:val="0066589B"/>
    <w:rsid w:val="00665C2C"/>
    <w:rsid w:val="00666010"/>
    <w:rsid w:val="0066605F"/>
    <w:rsid w:val="00666107"/>
    <w:rsid w:val="006661A2"/>
    <w:rsid w:val="00666598"/>
    <w:rsid w:val="00666DCD"/>
    <w:rsid w:val="00666F90"/>
    <w:rsid w:val="0066725F"/>
    <w:rsid w:val="006712AA"/>
    <w:rsid w:val="00671469"/>
    <w:rsid w:val="006714BE"/>
    <w:rsid w:val="00671531"/>
    <w:rsid w:val="0067162E"/>
    <w:rsid w:val="0067168A"/>
    <w:rsid w:val="00671821"/>
    <w:rsid w:val="00671B8C"/>
    <w:rsid w:val="00672058"/>
    <w:rsid w:val="00672193"/>
    <w:rsid w:val="006726FB"/>
    <w:rsid w:val="00672D6C"/>
    <w:rsid w:val="00673FEC"/>
    <w:rsid w:val="0067424E"/>
    <w:rsid w:val="00674583"/>
    <w:rsid w:val="00674780"/>
    <w:rsid w:val="006747CC"/>
    <w:rsid w:val="006747CF"/>
    <w:rsid w:val="00674C78"/>
    <w:rsid w:val="006750DA"/>
    <w:rsid w:val="00675B0F"/>
    <w:rsid w:val="00675B9D"/>
    <w:rsid w:val="00675FC7"/>
    <w:rsid w:val="006773ED"/>
    <w:rsid w:val="00677978"/>
    <w:rsid w:val="0068050B"/>
    <w:rsid w:val="0068074A"/>
    <w:rsid w:val="006815AA"/>
    <w:rsid w:val="006818AB"/>
    <w:rsid w:val="00681A88"/>
    <w:rsid w:val="00681B6B"/>
    <w:rsid w:val="00681FF8"/>
    <w:rsid w:val="006821C2"/>
    <w:rsid w:val="006821E9"/>
    <w:rsid w:val="00682586"/>
    <w:rsid w:val="0068270C"/>
    <w:rsid w:val="00682903"/>
    <w:rsid w:val="006831CE"/>
    <w:rsid w:val="0068320B"/>
    <w:rsid w:val="00683894"/>
    <w:rsid w:val="00683F1C"/>
    <w:rsid w:val="006841BD"/>
    <w:rsid w:val="006849CE"/>
    <w:rsid w:val="00684B52"/>
    <w:rsid w:val="00684D1A"/>
    <w:rsid w:val="0068529C"/>
    <w:rsid w:val="006852D3"/>
    <w:rsid w:val="0068532B"/>
    <w:rsid w:val="00685505"/>
    <w:rsid w:val="006861ED"/>
    <w:rsid w:val="00686790"/>
    <w:rsid w:val="00686D17"/>
    <w:rsid w:val="006871DC"/>
    <w:rsid w:val="0068794D"/>
    <w:rsid w:val="00687C63"/>
    <w:rsid w:val="006904FD"/>
    <w:rsid w:val="00690C2C"/>
    <w:rsid w:val="00690D54"/>
    <w:rsid w:val="006911C4"/>
    <w:rsid w:val="00691429"/>
    <w:rsid w:val="00691BC2"/>
    <w:rsid w:val="00692583"/>
    <w:rsid w:val="0069286C"/>
    <w:rsid w:val="00692893"/>
    <w:rsid w:val="00692B4B"/>
    <w:rsid w:val="0069355F"/>
    <w:rsid w:val="00693F49"/>
    <w:rsid w:val="00694DCA"/>
    <w:rsid w:val="00694E38"/>
    <w:rsid w:val="0069505C"/>
    <w:rsid w:val="006958D6"/>
    <w:rsid w:val="00695BDA"/>
    <w:rsid w:val="00695D6A"/>
    <w:rsid w:val="00695E66"/>
    <w:rsid w:val="00695FCE"/>
    <w:rsid w:val="00695FFE"/>
    <w:rsid w:val="006960B1"/>
    <w:rsid w:val="0069617C"/>
    <w:rsid w:val="006963F6"/>
    <w:rsid w:val="00696988"/>
    <w:rsid w:val="0069769B"/>
    <w:rsid w:val="006976E1"/>
    <w:rsid w:val="006978F8"/>
    <w:rsid w:val="006A003A"/>
    <w:rsid w:val="006A035A"/>
    <w:rsid w:val="006A060A"/>
    <w:rsid w:val="006A0A91"/>
    <w:rsid w:val="006A0BBB"/>
    <w:rsid w:val="006A0FD6"/>
    <w:rsid w:val="006A2170"/>
    <w:rsid w:val="006A2D34"/>
    <w:rsid w:val="006A305C"/>
    <w:rsid w:val="006A32C7"/>
    <w:rsid w:val="006A35BA"/>
    <w:rsid w:val="006A48D2"/>
    <w:rsid w:val="006A4B17"/>
    <w:rsid w:val="006A53E1"/>
    <w:rsid w:val="006A5C98"/>
    <w:rsid w:val="006A5F73"/>
    <w:rsid w:val="006A623A"/>
    <w:rsid w:val="006A64F3"/>
    <w:rsid w:val="006A6570"/>
    <w:rsid w:val="006A6914"/>
    <w:rsid w:val="006A74D3"/>
    <w:rsid w:val="006A78C4"/>
    <w:rsid w:val="006A7AFC"/>
    <w:rsid w:val="006B0244"/>
    <w:rsid w:val="006B062E"/>
    <w:rsid w:val="006B0D9C"/>
    <w:rsid w:val="006B0E42"/>
    <w:rsid w:val="006B1243"/>
    <w:rsid w:val="006B12B1"/>
    <w:rsid w:val="006B14E9"/>
    <w:rsid w:val="006B1802"/>
    <w:rsid w:val="006B28CC"/>
    <w:rsid w:val="006B29E9"/>
    <w:rsid w:val="006B2C63"/>
    <w:rsid w:val="006B2DC6"/>
    <w:rsid w:val="006B2F10"/>
    <w:rsid w:val="006B309A"/>
    <w:rsid w:val="006B32A6"/>
    <w:rsid w:val="006B32EB"/>
    <w:rsid w:val="006B39A6"/>
    <w:rsid w:val="006B3BCE"/>
    <w:rsid w:val="006B4E60"/>
    <w:rsid w:val="006B511B"/>
    <w:rsid w:val="006B5781"/>
    <w:rsid w:val="006B5A5A"/>
    <w:rsid w:val="006B61DE"/>
    <w:rsid w:val="006B63DD"/>
    <w:rsid w:val="006B64EA"/>
    <w:rsid w:val="006B6538"/>
    <w:rsid w:val="006B6BDF"/>
    <w:rsid w:val="006B70E4"/>
    <w:rsid w:val="006B75E8"/>
    <w:rsid w:val="006B7D5A"/>
    <w:rsid w:val="006C0A53"/>
    <w:rsid w:val="006C1322"/>
    <w:rsid w:val="006C146D"/>
    <w:rsid w:val="006C1494"/>
    <w:rsid w:val="006C17B9"/>
    <w:rsid w:val="006C28BB"/>
    <w:rsid w:val="006C3480"/>
    <w:rsid w:val="006C387F"/>
    <w:rsid w:val="006C46ED"/>
    <w:rsid w:val="006C4A09"/>
    <w:rsid w:val="006C4E08"/>
    <w:rsid w:val="006C4E9E"/>
    <w:rsid w:val="006C55D7"/>
    <w:rsid w:val="006C5686"/>
    <w:rsid w:val="006C569F"/>
    <w:rsid w:val="006C5C54"/>
    <w:rsid w:val="006C6216"/>
    <w:rsid w:val="006C7015"/>
    <w:rsid w:val="006C758C"/>
    <w:rsid w:val="006C76A6"/>
    <w:rsid w:val="006C7BA6"/>
    <w:rsid w:val="006D0E0F"/>
    <w:rsid w:val="006D1157"/>
    <w:rsid w:val="006D1756"/>
    <w:rsid w:val="006D18F3"/>
    <w:rsid w:val="006D1BC0"/>
    <w:rsid w:val="006D1D9D"/>
    <w:rsid w:val="006D2B07"/>
    <w:rsid w:val="006D3408"/>
    <w:rsid w:val="006D39F3"/>
    <w:rsid w:val="006D3A8F"/>
    <w:rsid w:val="006D5F3D"/>
    <w:rsid w:val="006D5F50"/>
    <w:rsid w:val="006D5FB9"/>
    <w:rsid w:val="006D6676"/>
    <w:rsid w:val="006D6C44"/>
    <w:rsid w:val="006D6C8C"/>
    <w:rsid w:val="006D707A"/>
    <w:rsid w:val="006D7356"/>
    <w:rsid w:val="006D74CA"/>
    <w:rsid w:val="006D7FC6"/>
    <w:rsid w:val="006E0463"/>
    <w:rsid w:val="006E090B"/>
    <w:rsid w:val="006E11BB"/>
    <w:rsid w:val="006E1380"/>
    <w:rsid w:val="006E1CF3"/>
    <w:rsid w:val="006E1D7F"/>
    <w:rsid w:val="006E2520"/>
    <w:rsid w:val="006E259B"/>
    <w:rsid w:val="006E294B"/>
    <w:rsid w:val="006E2974"/>
    <w:rsid w:val="006E3021"/>
    <w:rsid w:val="006E3072"/>
    <w:rsid w:val="006E30B0"/>
    <w:rsid w:val="006E367D"/>
    <w:rsid w:val="006E3701"/>
    <w:rsid w:val="006E3C5B"/>
    <w:rsid w:val="006E47FF"/>
    <w:rsid w:val="006E494E"/>
    <w:rsid w:val="006E4B27"/>
    <w:rsid w:val="006E4B98"/>
    <w:rsid w:val="006E5059"/>
    <w:rsid w:val="006E585F"/>
    <w:rsid w:val="006E5AFA"/>
    <w:rsid w:val="006E659A"/>
    <w:rsid w:val="006E6DEF"/>
    <w:rsid w:val="006E7868"/>
    <w:rsid w:val="006E7F99"/>
    <w:rsid w:val="006F00DE"/>
    <w:rsid w:val="006F0BCA"/>
    <w:rsid w:val="006F1DB9"/>
    <w:rsid w:val="006F1F9F"/>
    <w:rsid w:val="006F217E"/>
    <w:rsid w:val="006F23A9"/>
    <w:rsid w:val="006F2C1E"/>
    <w:rsid w:val="006F316B"/>
    <w:rsid w:val="006F34E1"/>
    <w:rsid w:val="006F3522"/>
    <w:rsid w:val="006F3A3B"/>
    <w:rsid w:val="006F3C36"/>
    <w:rsid w:val="006F3DA5"/>
    <w:rsid w:val="006F4398"/>
    <w:rsid w:val="006F4810"/>
    <w:rsid w:val="006F4A47"/>
    <w:rsid w:val="006F4A6B"/>
    <w:rsid w:val="006F4EBC"/>
    <w:rsid w:val="006F53A8"/>
    <w:rsid w:val="006F551A"/>
    <w:rsid w:val="006F6188"/>
    <w:rsid w:val="006F65D2"/>
    <w:rsid w:val="006F67AB"/>
    <w:rsid w:val="006F68F3"/>
    <w:rsid w:val="006F6FC3"/>
    <w:rsid w:val="006F71C3"/>
    <w:rsid w:val="006F7227"/>
    <w:rsid w:val="006F75BD"/>
    <w:rsid w:val="007006A8"/>
    <w:rsid w:val="007007D8"/>
    <w:rsid w:val="00700847"/>
    <w:rsid w:val="00700C15"/>
    <w:rsid w:val="00700F2E"/>
    <w:rsid w:val="00701153"/>
    <w:rsid w:val="007013F1"/>
    <w:rsid w:val="007017CF"/>
    <w:rsid w:val="00701AA1"/>
    <w:rsid w:val="00701E7E"/>
    <w:rsid w:val="00702473"/>
    <w:rsid w:val="00702AB1"/>
    <w:rsid w:val="00702AC9"/>
    <w:rsid w:val="00702B61"/>
    <w:rsid w:val="00702F6B"/>
    <w:rsid w:val="007033CC"/>
    <w:rsid w:val="00703E97"/>
    <w:rsid w:val="00703EBB"/>
    <w:rsid w:val="0070400B"/>
    <w:rsid w:val="0070423D"/>
    <w:rsid w:val="00704597"/>
    <w:rsid w:val="00704664"/>
    <w:rsid w:val="00704AAC"/>
    <w:rsid w:val="00704F3E"/>
    <w:rsid w:val="00705286"/>
    <w:rsid w:val="007052E2"/>
    <w:rsid w:val="0070541F"/>
    <w:rsid w:val="007059C6"/>
    <w:rsid w:val="00705E67"/>
    <w:rsid w:val="00705EB2"/>
    <w:rsid w:val="00705F9F"/>
    <w:rsid w:val="007062B9"/>
    <w:rsid w:val="00707117"/>
    <w:rsid w:val="00707E24"/>
    <w:rsid w:val="00710289"/>
    <w:rsid w:val="0071030F"/>
    <w:rsid w:val="007105AC"/>
    <w:rsid w:val="007105D2"/>
    <w:rsid w:val="00710774"/>
    <w:rsid w:val="007116C4"/>
    <w:rsid w:val="007126CB"/>
    <w:rsid w:val="00712754"/>
    <w:rsid w:val="00712A36"/>
    <w:rsid w:val="007136FD"/>
    <w:rsid w:val="00713D3E"/>
    <w:rsid w:val="007142AA"/>
    <w:rsid w:val="007144FB"/>
    <w:rsid w:val="00714715"/>
    <w:rsid w:val="00714737"/>
    <w:rsid w:val="00714759"/>
    <w:rsid w:val="007149A3"/>
    <w:rsid w:val="007154A9"/>
    <w:rsid w:val="00715B9D"/>
    <w:rsid w:val="00715E3A"/>
    <w:rsid w:val="00716AD2"/>
    <w:rsid w:val="0071708F"/>
    <w:rsid w:val="00717C45"/>
    <w:rsid w:val="007202ED"/>
    <w:rsid w:val="00720359"/>
    <w:rsid w:val="0072044C"/>
    <w:rsid w:val="00720E84"/>
    <w:rsid w:val="00721238"/>
    <w:rsid w:val="0072161F"/>
    <w:rsid w:val="007219E8"/>
    <w:rsid w:val="00721F0F"/>
    <w:rsid w:val="00722235"/>
    <w:rsid w:val="0072238D"/>
    <w:rsid w:val="00722465"/>
    <w:rsid w:val="00722929"/>
    <w:rsid w:val="00722E51"/>
    <w:rsid w:val="00722F27"/>
    <w:rsid w:val="00723605"/>
    <w:rsid w:val="00723E24"/>
    <w:rsid w:val="00724132"/>
    <w:rsid w:val="00724371"/>
    <w:rsid w:val="007252DD"/>
    <w:rsid w:val="007253BD"/>
    <w:rsid w:val="00725740"/>
    <w:rsid w:val="00725BAF"/>
    <w:rsid w:val="00725DE4"/>
    <w:rsid w:val="007268E4"/>
    <w:rsid w:val="00726A11"/>
    <w:rsid w:val="00726CCB"/>
    <w:rsid w:val="00726EC8"/>
    <w:rsid w:val="00726EFD"/>
    <w:rsid w:val="00727E3A"/>
    <w:rsid w:val="0072DA16"/>
    <w:rsid w:val="007301E1"/>
    <w:rsid w:val="007305BB"/>
    <w:rsid w:val="007305D3"/>
    <w:rsid w:val="007311A7"/>
    <w:rsid w:val="007314A6"/>
    <w:rsid w:val="00731650"/>
    <w:rsid w:val="0073168D"/>
    <w:rsid w:val="007323EA"/>
    <w:rsid w:val="00732D13"/>
    <w:rsid w:val="00732EDF"/>
    <w:rsid w:val="00733150"/>
    <w:rsid w:val="0073321D"/>
    <w:rsid w:val="007333F5"/>
    <w:rsid w:val="00733BDE"/>
    <w:rsid w:val="00733F60"/>
    <w:rsid w:val="00734155"/>
    <w:rsid w:val="007343D0"/>
    <w:rsid w:val="0073464C"/>
    <w:rsid w:val="007348E5"/>
    <w:rsid w:val="00734A03"/>
    <w:rsid w:val="00735A3D"/>
    <w:rsid w:val="00735E7C"/>
    <w:rsid w:val="0073674C"/>
    <w:rsid w:val="007367B3"/>
    <w:rsid w:val="00736815"/>
    <w:rsid w:val="00736D48"/>
    <w:rsid w:val="00740153"/>
    <w:rsid w:val="007409D9"/>
    <w:rsid w:val="007420D2"/>
    <w:rsid w:val="0074217E"/>
    <w:rsid w:val="0074292B"/>
    <w:rsid w:val="00742D39"/>
    <w:rsid w:val="0074313E"/>
    <w:rsid w:val="0074371E"/>
    <w:rsid w:val="007442AD"/>
    <w:rsid w:val="0074438B"/>
    <w:rsid w:val="007444AD"/>
    <w:rsid w:val="00744E5D"/>
    <w:rsid w:val="007452AD"/>
    <w:rsid w:val="00745F3C"/>
    <w:rsid w:val="0074628B"/>
    <w:rsid w:val="007466CD"/>
    <w:rsid w:val="0074697C"/>
    <w:rsid w:val="00746DCF"/>
    <w:rsid w:val="0074711A"/>
    <w:rsid w:val="00747966"/>
    <w:rsid w:val="00747A71"/>
    <w:rsid w:val="007505FA"/>
    <w:rsid w:val="00750E4F"/>
    <w:rsid w:val="0075148B"/>
    <w:rsid w:val="00751D79"/>
    <w:rsid w:val="00751FD3"/>
    <w:rsid w:val="007524F8"/>
    <w:rsid w:val="007527A5"/>
    <w:rsid w:val="007528DB"/>
    <w:rsid w:val="007532EA"/>
    <w:rsid w:val="007534D3"/>
    <w:rsid w:val="00753788"/>
    <w:rsid w:val="007538C7"/>
    <w:rsid w:val="0075392F"/>
    <w:rsid w:val="00753B9D"/>
    <w:rsid w:val="0075403B"/>
    <w:rsid w:val="00754100"/>
    <w:rsid w:val="0075453D"/>
    <w:rsid w:val="0075499F"/>
    <w:rsid w:val="00755055"/>
    <w:rsid w:val="00755B35"/>
    <w:rsid w:val="00755EF4"/>
    <w:rsid w:val="00756B7C"/>
    <w:rsid w:val="00756C2E"/>
    <w:rsid w:val="007579F7"/>
    <w:rsid w:val="00757ED8"/>
    <w:rsid w:val="00757FF3"/>
    <w:rsid w:val="007604A7"/>
    <w:rsid w:val="007604A8"/>
    <w:rsid w:val="00760501"/>
    <w:rsid w:val="00760529"/>
    <w:rsid w:val="00760DB2"/>
    <w:rsid w:val="007612AD"/>
    <w:rsid w:val="007616A8"/>
    <w:rsid w:val="007620F4"/>
    <w:rsid w:val="0076229D"/>
    <w:rsid w:val="00762BFE"/>
    <w:rsid w:val="00762C10"/>
    <w:rsid w:val="007642CF"/>
    <w:rsid w:val="007643C8"/>
    <w:rsid w:val="007644B3"/>
    <w:rsid w:val="007646BD"/>
    <w:rsid w:val="00764916"/>
    <w:rsid w:val="00764F97"/>
    <w:rsid w:val="00765429"/>
    <w:rsid w:val="0076576B"/>
    <w:rsid w:val="00767B80"/>
    <w:rsid w:val="00767C42"/>
    <w:rsid w:val="00767C83"/>
    <w:rsid w:val="00767CB6"/>
    <w:rsid w:val="00767E40"/>
    <w:rsid w:val="00770165"/>
    <w:rsid w:val="0077028B"/>
    <w:rsid w:val="00770B65"/>
    <w:rsid w:val="00770C2A"/>
    <w:rsid w:val="00770F56"/>
    <w:rsid w:val="0077110E"/>
    <w:rsid w:val="00771638"/>
    <w:rsid w:val="0077177A"/>
    <w:rsid w:val="007718D5"/>
    <w:rsid w:val="007720E6"/>
    <w:rsid w:val="00772E48"/>
    <w:rsid w:val="00772F96"/>
    <w:rsid w:val="007733BC"/>
    <w:rsid w:val="0077363E"/>
    <w:rsid w:val="00773A1C"/>
    <w:rsid w:val="00774D5E"/>
    <w:rsid w:val="00774E75"/>
    <w:rsid w:val="007752F5"/>
    <w:rsid w:val="00776143"/>
    <w:rsid w:val="00776B52"/>
    <w:rsid w:val="00777018"/>
    <w:rsid w:val="007772C1"/>
    <w:rsid w:val="007772E3"/>
    <w:rsid w:val="0077784D"/>
    <w:rsid w:val="00777A9D"/>
    <w:rsid w:val="00777CF3"/>
    <w:rsid w:val="00780220"/>
    <w:rsid w:val="0078046D"/>
    <w:rsid w:val="0078087C"/>
    <w:rsid w:val="00780AB0"/>
    <w:rsid w:val="00780C00"/>
    <w:rsid w:val="007811BF"/>
    <w:rsid w:val="00781300"/>
    <w:rsid w:val="00782340"/>
    <w:rsid w:val="0078236F"/>
    <w:rsid w:val="00782984"/>
    <w:rsid w:val="00782B3D"/>
    <w:rsid w:val="00782D9B"/>
    <w:rsid w:val="00783333"/>
    <w:rsid w:val="0078379F"/>
    <w:rsid w:val="00783FEE"/>
    <w:rsid w:val="00784245"/>
    <w:rsid w:val="007847D3"/>
    <w:rsid w:val="00784BD1"/>
    <w:rsid w:val="00784C13"/>
    <w:rsid w:val="00785842"/>
    <w:rsid w:val="00785880"/>
    <w:rsid w:val="00785C38"/>
    <w:rsid w:val="00786837"/>
    <w:rsid w:val="00786CCA"/>
    <w:rsid w:val="007870AA"/>
    <w:rsid w:val="007873F5"/>
    <w:rsid w:val="007877A9"/>
    <w:rsid w:val="00787A96"/>
    <w:rsid w:val="00787AD2"/>
    <w:rsid w:val="00787FA3"/>
    <w:rsid w:val="00787FAC"/>
    <w:rsid w:val="00790CEC"/>
    <w:rsid w:val="00790DB0"/>
    <w:rsid w:val="007914FB"/>
    <w:rsid w:val="00791A1C"/>
    <w:rsid w:val="00791AFB"/>
    <w:rsid w:val="00791C24"/>
    <w:rsid w:val="00791D32"/>
    <w:rsid w:val="007924C3"/>
    <w:rsid w:val="007937AE"/>
    <w:rsid w:val="00793F0D"/>
    <w:rsid w:val="0079424E"/>
    <w:rsid w:val="00794C46"/>
    <w:rsid w:val="00795357"/>
    <w:rsid w:val="0079576D"/>
    <w:rsid w:val="0079595E"/>
    <w:rsid w:val="00795C9C"/>
    <w:rsid w:val="00795F5A"/>
    <w:rsid w:val="007960AE"/>
    <w:rsid w:val="00796345"/>
    <w:rsid w:val="007964E7"/>
    <w:rsid w:val="00796A11"/>
    <w:rsid w:val="00796CEF"/>
    <w:rsid w:val="00796FA4"/>
    <w:rsid w:val="00797019"/>
    <w:rsid w:val="00797A4E"/>
    <w:rsid w:val="00797B56"/>
    <w:rsid w:val="007A0219"/>
    <w:rsid w:val="007A0D61"/>
    <w:rsid w:val="007A116F"/>
    <w:rsid w:val="007A1544"/>
    <w:rsid w:val="007A1860"/>
    <w:rsid w:val="007A2654"/>
    <w:rsid w:val="007A29F3"/>
    <w:rsid w:val="007A2BF0"/>
    <w:rsid w:val="007A2EF1"/>
    <w:rsid w:val="007A339B"/>
    <w:rsid w:val="007A36F3"/>
    <w:rsid w:val="007A412D"/>
    <w:rsid w:val="007A4CB3"/>
    <w:rsid w:val="007A526E"/>
    <w:rsid w:val="007A5626"/>
    <w:rsid w:val="007A574F"/>
    <w:rsid w:val="007A57AA"/>
    <w:rsid w:val="007A67E0"/>
    <w:rsid w:val="007A6EEE"/>
    <w:rsid w:val="007A6F29"/>
    <w:rsid w:val="007A77F9"/>
    <w:rsid w:val="007A783D"/>
    <w:rsid w:val="007A7D62"/>
    <w:rsid w:val="007B036A"/>
    <w:rsid w:val="007B0883"/>
    <w:rsid w:val="007B0BFF"/>
    <w:rsid w:val="007B1193"/>
    <w:rsid w:val="007B1749"/>
    <w:rsid w:val="007B1844"/>
    <w:rsid w:val="007B1FC9"/>
    <w:rsid w:val="007B2585"/>
    <w:rsid w:val="007B266A"/>
    <w:rsid w:val="007B311D"/>
    <w:rsid w:val="007B3240"/>
    <w:rsid w:val="007B39F4"/>
    <w:rsid w:val="007B3A16"/>
    <w:rsid w:val="007B3B6F"/>
    <w:rsid w:val="007B43EF"/>
    <w:rsid w:val="007B4D71"/>
    <w:rsid w:val="007B4E02"/>
    <w:rsid w:val="007B4F53"/>
    <w:rsid w:val="007B59D0"/>
    <w:rsid w:val="007B5F8B"/>
    <w:rsid w:val="007B6C4F"/>
    <w:rsid w:val="007B7249"/>
    <w:rsid w:val="007B7476"/>
    <w:rsid w:val="007B747B"/>
    <w:rsid w:val="007B7D1E"/>
    <w:rsid w:val="007C0697"/>
    <w:rsid w:val="007C082B"/>
    <w:rsid w:val="007C0A66"/>
    <w:rsid w:val="007C0EAF"/>
    <w:rsid w:val="007C1751"/>
    <w:rsid w:val="007C1865"/>
    <w:rsid w:val="007C190F"/>
    <w:rsid w:val="007C2185"/>
    <w:rsid w:val="007C2F89"/>
    <w:rsid w:val="007C31B1"/>
    <w:rsid w:val="007C3496"/>
    <w:rsid w:val="007C3702"/>
    <w:rsid w:val="007C3983"/>
    <w:rsid w:val="007C39DD"/>
    <w:rsid w:val="007C3EC2"/>
    <w:rsid w:val="007C4753"/>
    <w:rsid w:val="007C49E1"/>
    <w:rsid w:val="007C5081"/>
    <w:rsid w:val="007C538D"/>
    <w:rsid w:val="007C5678"/>
    <w:rsid w:val="007C5926"/>
    <w:rsid w:val="007C629C"/>
    <w:rsid w:val="007C73F0"/>
    <w:rsid w:val="007C76E2"/>
    <w:rsid w:val="007C7893"/>
    <w:rsid w:val="007C79D3"/>
    <w:rsid w:val="007C7A6E"/>
    <w:rsid w:val="007D0145"/>
    <w:rsid w:val="007D08A7"/>
    <w:rsid w:val="007D0B5B"/>
    <w:rsid w:val="007D1B93"/>
    <w:rsid w:val="007D28A1"/>
    <w:rsid w:val="007D2DFC"/>
    <w:rsid w:val="007D2F72"/>
    <w:rsid w:val="007D3565"/>
    <w:rsid w:val="007D35FD"/>
    <w:rsid w:val="007D4CDB"/>
    <w:rsid w:val="007D5809"/>
    <w:rsid w:val="007D58E1"/>
    <w:rsid w:val="007D5D44"/>
    <w:rsid w:val="007D5FB6"/>
    <w:rsid w:val="007D6337"/>
    <w:rsid w:val="007D660F"/>
    <w:rsid w:val="007D6867"/>
    <w:rsid w:val="007D6A27"/>
    <w:rsid w:val="007D6A64"/>
    <w:rsid w:val="007D6BEA"/>
    <w:rsid w:val="007D6FBC"/>
    <w:rsid w:val="007D6FBE"/>
    <w:rsid w:val="007D70DA"/>
    <w:rsid w:val="007D7E7B"/>
    <w:rsid w:val="007E05BA"/>
    <w:rsid w:val="007E091F"/>
    <w:rsid w:val="007E1046"/>
    <w:rsid w:val="007E243C"/>
    <w:rsid w:val="007E25A6"/>
    <w:rsid w:val="007E2AB0"/>
    <w:rsid w:val="007E2CEC"/>
    <w:rsid w:val="007E354B"/>
    <w:rsid w:val="007E388D"/>
    <w:rsid w:val="007E3A62"/>
    <w:rsid w:val="007E3F3F"/>
    <w:rsid w:val="007E46BF"/>
    <w:rsid w:val="007E4B45"/>
    <w:rsid w:val="007E4DB2"/>
    <w:rsid w:val="007E5269"/>
    <w:rsid w:val="007E5CCF"/>
    <w:rsid w:val="007E5DD5"/>
    <w:rsid w:val="007E615B"/>
    <w:rsid w:val="007E6339"/>
    <w:rsid w:val="007E6832"/>
    <w:rsid w:val="007E6920"/>
    <w:rsid w:val="007E761C"/>
    <w:rsid w:val="007E78FD"/>
    <w:rsid w:val="007E790F"/>
    <w:rsid w:val="007E7920"/>
    <w:rsid w:val="007F009A"/>
    <w:rsid w:val="007F0137"/>
    <w:rsid w:val="007F0402"/>
    <w:rsid w:val="007F0567"/>
    <w:rsid w:val="007F06C8"/>
    <w:rsid w:val="007F0814"/>
    <w:rsid w:val="007F0823"/>
    <w:rsid w:val="007F0FD9"/>
    <w:rsid w:val="007F11B6"/>
    <w:rsid w:val="007F249A"/>
    <w:rsid w:val="007F2B1E"/>
    <w:rsid w:val="007F30BB"/>
    <w:rsid w:val="007F3499"/>
    <w:rsid w:val="007F38A9"/>
    <w:rsid w:val="007F441B"/>
    <w:rsid w:val="007F4685"/>
    <w:rsid w:val="007F4A75"/>
    <w:rsid w:val="007F5311"/>
    <w:rsid w:val="007F552C"/>
    <w:rsid w:val="007F5865"/>
    <w:rsid w:val="007F61C5"/>
    <w:rsid w:val="007F70AD"/>
    <w:rsid w:val="007F771F"/>
    <w:rsid w:val="007F77F8"/>
    <w:rsid w:val="007F781C"/>
    <w:rsid w:val="007F7E94"/>
    <w:rsid w:val="00800821"/>
    <w:rsid w:val="00800B70"/>
    <w:rsid w:val="00800C90"/>
    <w:rsid w:val="00800E5A"/>
    <w:rsid w:val="0080131E"/>
    <w:rsid w:val="008013F9"/>
    <w:rsid w:val="00801A0E"/>
    <w:rsid w:val="00801F69"/>
    <w:rsid w:val="00802006"/>
    <w:rsid w:val="00802184"/>
    <w:rsid w:val="0080255C"/>
    <w:rsid w:val="00802E39"/>
    <w:rsid w:val="00803322"/>
    <w:rsid w:val="008037C7"/>
    <w:rsid w:val="00803960"/>
    <w:rsid w:val="00803B39"/>
    <w:rsid w:val="00803CFE"/>
    <w:rsid w:val="008040B4"/>
    <w:rsid w:val="0080560E"/>
    <w:rsid w:val="00805F91"/>
    <w:rsid w:val="008061BD"/>
    <w:rsid w:val="00806B80"/>
    <w:rsid w:val="00810017"/>
    <w:rsid w:val="00810030"/>
    <w:rsid w:val="008101FC"/>
    <w:rsid w:val="0081042B"/>
    <w:rsid w:val="0081048D"/>
    <w:rsid w:val="008107F3"/>
    <w:rsid w:val="008109A5"/>
    <w:rsid w:val="00810F5F"/>
    <w:rsid w:val="00811077"/>
    <w:rsid w:val="008110E0"/>
    <w:rsid w:val="00811170"/>
    <w:rsid w:val="00811F30"/>
    <w:rsid w:val="008123E6"/>
    <w:rsid w:val="008126BF"/>
    <w:rsid w:val="00812FA4"/>
    <w:rsid w:val="008132DD"/>
    <w:rsid w:val="00813507"/>
    <w:rsid w:val="00813988"/>
    <w:rsid w:val="00813A21"/>
    <w:rsid w:val="0081452C"/>
    <w:rsid w:val="00814C7C"/>
    <w:rsid w:val="00814F14"/>
    <w:rsid w:val="008150F1"/>
    <w:rsid w:val="0081532C"/>
    <w:rsid w:val="00815361"/>
    <w:rsid w:val="00815916"/>
    <w:rsid w:val="00816362"/>
    <w:rsid w:val="00816A15"/>
    <w:rsid w:val="00816DE0"/>
    <w:rsid w:val="0081713B"/>
    <w:rsid w:val="00817173"/>
    <w:rsid w:val="00817DF6"/>
    <w:rsid w:val="00817E04"/>
    <w:rsid w:val="00817EE1"/>
    <w:rsid w:val="00820C91"/>
    <w:rsid w:val="008211FB"/>
    <w:rsid w:val="00821356"/>
    <w:rsid w:val="00821725"/>
    <w:rsid w:val="008218C3"/>
    <w:rsid w:val="008218F4"/>
    <w:rsid w:val="00821E7E"/>
    <w:rsid w:val="00822134"/>
    <w:rsid w:val="008227F5"/>
    <w:rsid w:val="00822E9E"/>
    <w:rsid w:val="008238A4"/>
    <w:rsid w:val="00823CCA"/>
    <w:rsid w:val="00823FB4"/>
    <w:rsid w:val="00824F51"/>
    <w:rsid w:val="00824FE3"/>
    <w:rsid w:val="008250F9"/>
    <w:rsid w:val="00825482"/>
    <w:rsid w:val="008256DA"/>
    <w:rsid w:val="0082595D"/>
    <w:rsid w:val="00825DBF"/>
    <w:rsid w:val="008263A8"/>
    <w:rsid w:val="0082783F"/>
    <w:rsid w:val="00827A08"/>
    <w:rsid w:val="00827A77"/>
    <w:rsid w:val="00827C8E"/>
    <w:rsid w:val="00831154"/>
    <w:rsid w:val="008312CD"/>
    <w:rsid w:val="008318E3"/>
    <w:rsid w:val="008319CD"/>
    <w:rsid w:val="00831A63"/>
    <w:rsid w:val="00831D66"/>
    <w:rsid w:val="00831DD2"/>
    <w:rsid w:val="00832DE0"/>
    <w:rsid w:val="00832EEB"/>
    <w:rsid w:val="00832F00"/>
    <w:rsid w:val="00833790"/>
    <w:rsid w:val="00833A0F"/>
    <w:rsid w:val="00833F33"/>
    <w:rsid w:val="00834236"/>
    <w:rsid w:val="008349B5"/>
    <w:rsid w:val="00835166"/>
    <w:rsid w:val="00837076"/>
    <w:rsid w:val="00837834"/>
    <w:rsid w:val="00837F81"/>
    <w:rsid w:val="008401B3"/>
    <w:rsid w:val="0084047C"/>
    <w:rsid w:val="0084069E"/>
    <w:rsid w:val="008406A2"/>
    <w:rsid w:val="00840F9A"/>
    <w:rsid w:val="008416F6"/>
    <w:rsid w:val="00841A35"/>
    <w:rsid w:val="00842A5C"/>
    <w:rsid w:val="00842BB8"/>
    <w:rsid w:val="00843227"/>
    <w:rsid w:val="00843CC0"/>
    <w:rsid w:val="00843FAD"/>
    <w:rsid w:val="00845138"/>
    <w:rsid w:val="00845677"/>
    <w:rsid w:val="008456F5"/>
    <w:rsid w:val="0084632E"/>
    <w:rsid w:val="00846573"/>
    <w:rsid w:val="008467E8"/>
    <w:rsid w:val="008469D3"/>
    <w:rsid w:val="00847641"/>
    <w:rsid w:val="00847DE9"/>
    <w:rsid w:val="0085034A"/>
    <w:rsid w:val="008505CD"/>
    <w:rsid w:val="00850F3B"/>
    <w:rsid w:val="00851479"/>
    <w:rsid w:val="008518C9"/>
    <w:rsid w:val="00851F92"/>
    <w:rsid w:val="00852513"/>
    <w:rsid w:val="0085251C"/>
    <w:rsid w:val="00852E2D"/>
    <w:rsid w:val="00853199"/>
    <w:rsid w:val="00853778"/>
    <w:rsid w:val="0085491C"/>
    <w:rsid w:val="00854B9C"/>
    <w:rsid w:val="0085509E"/>
    <w:rsid w:val="00855F1E"/>
    <w:rsid w:val="008566F4"/>
    <w:rsid w:val="00856B86"/>
    <w:rsid w:val="00856BF5"/>
    <w:rsid w:val="00856C63"/>
    <w:rsid w:val="00856D75"/>
    <w:rsid w:val="00857276"/>
    <w:rsid w:val="008572CA"/>
    <w:rsid w:val="0085774C"/>
    <w:rsid w:val="008577ED"/>
    <w:rsid w:val="00857EE9"/>
    <w:rsid w:val="00857FCA"/>
    <w:rsid w:val="0086060E"/>
    <w:rsid w:val="00860B5B"/>
    <w:rsid w:val="00860EF1"/>
    <w:rsid w:val="008612CF"/>
    <w:rsid w:val="008615B4"/>
    <w:rsid w:val="0086178A"/>
    <w:rsid w:val="008619B2"/>
    <w:rsid w:val="008627F4"/>
    <w:rsid w:val="00862878"/>
    <w:rsid w:val="00862C99"/>
    <w:rsid w:val="00862E1F"/>
    <w:rsid w:val="00862FBA"/>
    <w:rsid w:val="0086324F"/>
    <w:rsid w:val="008637FA"/>
    <w:rsid w:val="00863869"/>
    <w:rsid w:val="008638D9"/>
    <w:rsid w:val="00863BDB"/>
    <w:rsid w:val="00863BFA"/>
    <w:rsid w:val="00864011"/>
    <w:rsid w:val="008644F3"/>
    <w:rsid w:val="008646B8"/>
    <w:rsid w:val="00864A75"/>
    <w:rsid w:val="00864DB3"/>
    <w:rsid w:val="0086556C"/>
    <w:rsid w:val="00865801"/>
    <w:rsid w:val="00865975"/>
    <w:rsid w:val="00865CBC"/>
    <w:rsid w:val="008671E4"/>
    <w:rsid w:val="00867202"/>
    <w:rsid w:val="00867368"/>
    <w:rsid w:val="008678B6"/>
    <w:rsid w:val="00870204"/>
    <w:rsid w:val="00870528"/>
    <w:rsid w:val="00871682"/>
    <w:rsid w:val="0087192A"/>
    <w:rsid w:val="008719D8"/>
    <w:rsid w:val="00871E92"/>
    <w:rsid w:val="00871FB6"/>
    <w:rsid w:val="0087257E"/>
    <w:rsid w:val="00872B91"/>
    <w:rsid w:val="0087391B"/>
    <w:rsid w:val="00874292"/>
    <w:rsid w:val="00874833"/>
    <w:rsid w:val="00875642"/>
    <w:rsid w:val="0087579D"/>
    <w:rsid w:val="00875843"/>
    <w:rsid w:val="008762DA"/>
    <w:rsid w:val="008765E4"/>
    <w:rsid w:val="00876908"/>
    <w:rsid w:val="00876C92"/>
    <w:rsid w:val="00876F85"/>
    <w:rsid w:val="00877178"/>
    <w:rsid w:val="008778EE"/>
    <w:rsid w:val="00877BCE"/>
    <w:rsid w:val="008802B5"/>
    <w:rsid w:val="00880699"/>
    <w:rsid w:val="00880F5D"/>
    <w:rsid w:val="0088158E"/>
    <w:rsid w:val="008817B2"/>
    <w:rsid w:val="00881992"/>
    <w:rsid w:val="00881B37"/>
    <w:rsid w:val="00881C36"/>
    <w:rsid w:val="00882153"/>
    <w:rsid w:val="008823A0"/>
    <w:rsid w:val="0088258F"/>
    <w:rsid w:val="008825A1"/>
    <w:rsid w:val="00882942"/>
    <w:rsid w:val="00883173"/>
    <w:rsid w:val="00883D0C"/>
    <w:rsid w:val="00883D91"/>
    <w:rsid w:val="00884019"/>
    <w:rsid w:val="00884825"/>
    <w:rsid w:val="0088675C"/>
    <w:rsid w:val="00887C0C"/>
    <w:rsid w:val="00887F8D"/>
    <w:rsid w:val="00890739"/>
    <w:rsid w:val="00891015"/>
    <w:rsid w:val="008916E0"/>
    <w:rsid w:val="00891CDF"/>
    <w:rsid w:val="00891F0C"/>
    <w:rsid w:val="0089203E"/>
    <w:rsid w:val="008922E3"/>
    <w:rsid w:val="00892F41"/>
    <w:rsid w:val="00892FAA"/>
    <w:rsid w:val="00893243"/>
    <w:rsid w:val="008932A8"/>
    <w:rsid w:val="008934DB"/>
    <w:rsid w:val="00893ACF"/>
    <w:rsid w:val="0089406D"/>
    <w:rsid w:val="00894118"/>
    <w:rsid w:val="0089483B"/>
    <w:rsid w:val="00894AC8"/>
    <w:rsid w:val="00894CE6"/>
    <w:rsid w:val="008952C1"/>
    <w:rsid w:val="00895CF0"/>
    <w:rsid w:val="00896A3D"/>
    <w:rsid w:val="00896D86"/>
    <w:rsid w:val="00896EF3"/>
    <w:rsid w:val="00896F85"/>
    <w:rsid w:val="00897205"/>
    <w:rsid w:val="00897783"/>
    <w:rsid w:val="00897E41"/>
    <w:rsid w:val="008A04DC"/>
    <w:rsid w:val="008A05BA"/>
    <w:rsid w:val="008A0C47"/>
    <w:rsid w:val="008A0E6C"/>
    <w:rsid w:val="008A106D"/>
    <w:rsid w:val="008A12BD"/>
    <w:rsid w:val="008A15CF"/>
    <w:rsid w:val="008A2750"/>
    <w:rsid w:val="008A28F1"/>
    <w:rsid w:val="008A34AC"/>
    <w:rsid w:val="008A3E6C"/>
    <w:rsid w:val="008A3F94"/>
    <w:rsid w:val="008A48AB"/>
    <w:rsid w:val="008A492A"/>
    <w:rsid w:val="008A53EE"/>
    <w:rsid w:val="008A5589"/>
    <w:rsid w:val="008A5B98"/>
    <w:rsid w:val="008A5E23"/>
    <w:rsid w:val="008A5EA9"/>
    <w:rsid w:val="008A6007"/>
    <w:rsid w:val="008A6274"/>
    <w:rsid w:val="008A7367"/>
    <w:rsid w:val="008A7F03"/>
    <w:rsid w:val="008B102A"/>
    <w:rsid w:val="008B20F7"/>
    <w:rsid w:val="008B2721"/>
    <w:rsid w:val="008B2844"/>
    <w:rsid w:val="008B2B50"/>
    <w:rsid w:val="008B37BD"/>
    <w:rsid w:val="008B3C1D"/>
    <w:rsid w:val="008B404C"/>
    <w:rsid w:val="008B4317"/>
    <w:rsid w:val="008B4959"/>
    <w:rsid w:val="008B4991"/>
    <w:rsid w:val="008B49C9"/>
    <w:rsid w:val="008B505D"/>
    <w:rsid w:val="008B585A"/>
    <w:rsid w:val="008B5A71"/>
    <w:rsid w:val="008B602D"/>
    <w:rsid w:val="008B6496"/>
    <w:rsid w:val="008B671F"/>
    <w:rsid w:val="008B684C"/>
    <w:rsid w:val="008B697D"/>
    <w:rsid w:val="008B6E11"/>
    <w:rsid w:val="008B6EB1"/>
    <w:rsid w:val="008B72AA"/>
    <w:rsid w:val="008B7F8D"/>
    <w:rsid w:val="008C0750"/>
    <w:rsid w:val="008C09C2"/>
    <w:rsid w:val="008C0C3B"/>
    <w:rsid w:val="008C1677"/>
    <w:rsid w:val="008C1764"/>
    <w:rsid w:val="008C1776"/>
    <w:rsid w:val="008C1D7C"/>
    <w:rsid w:val="008C227C"/>
    <w:rsid w:val="008C27F0"/>
    <w:rsid w:val="008C28A0"/>
    <w:rsid w:val="008C2AC5"/>
    <w:rsid w:val="008C2B29"/>
    <w:rsid w:val="008C2D1E"/>
    <w:rsid w:val="008C39F7"/>
    <w:rsid w:val="008C4853"/>
    <w:rsid w:val="008C49C5"/>
    <w:rsid w:val="008C4A51"/>
    <w:rsid w:val="008C4BD0"/>
    <w:rsid w:val="008C504A"/>
    <w:rsid w:val="008C5793"/>
    <w:rsid w:val="008C5828"/>
    <w:rsid w:val="008C59BB"/>
    <w:rsid w:val="008C5F31"/>
    <w:rsid w:val="008C6726"/>
    <w:rsid w:val="008C6992"/>
    <w:rsid w:val="008C6B97"/>
    <w:rsid w:val="008C6E39"/>
    <w:rsid w:val="008C7BD7"/>
    <w:rsid w:val="008C7E79"/>
    <w:rsid w:val="008D002C"/>
    <w:rsid w:val="008D00A1"/>
    <w:rsid w:val="008D057A"/>
    <w:rsid w:val="008D103E"/>
    <w:rsid w:val="008D13FC"/>
    <w:rsid w:val="008D1486"/>
    <w:rsid w:val="008D16C0"/>
    <w:rsid w:val="008D1C39"/>
    <w:rsid w:val="008D1CD3"/>
    <w:rsid w:val="008D2220"/>
    <w:rsid w:val="008D24D3"/>
    <w:rsid w:val="008D3216"/>
    <w:rsid w:val="008D3588"/>
    <w:rsid w:val="008D3E67"/>
    <w:rsid w:val="008D4082"/>
    <w:rsid w:val="008D41E4"/>
    <w:rsid w:val="008D4EC7"/>
    <w:rsid w:val="008D56C1"/>
    <w:rsid w:val="008D58F2"/>
    <w:rsid w:val="008D59DA"/>
    <w:rsid w:val="008D5DDD"/>
    <w:rsid w:val="008D5ECE"/>
    <w:rsid w:val="008D66F1"/>
    <w:rsid w:val="008D6892"/>
    <w:rsid w:val="008D7683"/>
    <w:rsid w:val="008E001D"/>
    <w:rsid w:val="008E0810"/>
    <w:rsid w:val="008E08BB"/>
    <w:rsid w:val="008E163F"/>
    <w:rsid w:val="008E19F8"/>
    <w:rsid w:val="008E1A8B"/>
    <w:rsid w:val="008E260D"/>
    <w:rsid w:val="008E27EB"/>
    <w:rsid w:val="008E2B66"/>
    <w:rsid w:val="008E2EDE"/>
    <w:rsid w:val="008E2FF9"/>
    <w:rsid w:val="008E31E6"/>
    <w:rsid w:val="008E36A0"/>
    <w:rsid w:val="008E385C"/>
    <w:rsid w:val="008E3935"/>
    <w:rsid w:val="008E39DF"/>
    <w:rsid w:val="008E500F"/>
    <w:rsid w:val="008E54F2"/>
    <w:rsid w:val="008E5594"/>
    <w:rsid w:val="008E58BA"/>
    <w:rsid w:val="008E5A4A"/>
    <w:rsid w:val="008E6508"/>
    <w:rsid w:val="008E72DD"/>
    <w:rsid w:val="008E78E9"/>
    <w:rsid w:val="008E7A67"/>
    <w:rsid w:val="008E7C5F"/>
    <w:rsid w:val="008E7D79"/>
    <w:rsid w:val="008E7F38"/>
    <w:rsid w:val="008F0EC8"/>
    <w:rsid w:val="008F13D9"/>
    <w:rsid w:val="008F1522"/>
    <w:rsid w:val="008F17ED"/>
    <w:rsid w:val="008F1998"/>
    <w:rsid w:val="008F19BE"/>
    <w:rsid w:val="008F1A04"/>
    <w:rsid w:val="008F1B99"/>
    <w:rsid w:val="008F233F"/>
    <w:rsid w:val="008F2C7E"/>
    <w:rsid w:val="008F2D36"/>
    <w:rsid w:val="008F2E1F"/>
    <w:rsid w:val="008F3084"/>
    <w:rsid w:val="008F40FC"/>
    <w:rsid w:val="008F42DC"/>
    <w:rsid w:val="008F54B4"/>
    <w:rsid w:val="008F5510"/>
    <w:rsid w:val="008F5551"/>
    <w:rsid w:val="008F5C82"/>
    <w:rsid w:val="008F5E77"/>
    <w:rsid w:val="008F705C"/>
    <w:rsid w:val="008F7146"/>
    <w:rsid w:val="008F7905"/>
    <w:rsid w:val="008F79BB"/>
    <w:rsid w:val="008F7DAF"/>
    <w:rsid w:val="008F7DB3"/>
    <w:rsid w:val="009002E7"/>
    <w:rsid w:val="00900562"/>
    <w:rsid w:val="0090092C"/>
    <w:rsid w:val="009009E5"/>
    <w:rsid w:val="00900CEF"/>
    <w:rsid w:val="00900DAB"/>
    <w:rsid w:val="00902896"/>
    <w:rsid w:val="00902A38"/>
    <w:rsid w:val="00902C18"/>
    <w:rsid w:val="00902E56"/>
    <w:rsid w:val="009032A8"/>
    <w:rsid w:val="009035A3"/>
    <w:rsid w:val="009035BE"/>
    <w:rsid w:val="00903F1B"/>
    <w:rsid w:val="009042BB"/>
    <w:rsid w:val="00905143"/>
    <w:rsid w:val="009051AE"/>
    <w:rsid w:val="009054B9"/>
    <w:rsid w:val="0090615A"/>
    <w:rsid w:val="0090631A"/>
    <w:rsid w:val="00906542"/>
    <w:rsid w:val="00906B0F"/>
    <w:rsid w:val="00907039"/>
    <w:rsid w:val="0090761E"/>
    <w:rsid w:val="00907AC4"/>
    <w:rsid w:val="00907E06"/>
    <w:rsid w:val="00910327"/>
    <w:rsid w:val="00910A08"/>
    <w:rsid w:val="00910A35"/>
    <w:rsid w:val="00910BAC"/>
    <w:rsid w:val="00910BC1"/>
    <w:rsid w:val="00910E60"/>
    <w:rsid w:val="009110E6"/>
    <w:rsid w:val="009114A1"/>
    <w:rsid w:val="00912043"/>
    <w:rsid w:val="009124C0"/>
    <w:rsid w:val="0091281C"/>
    <w:rsid w:val="0091316F"/>
    <w:rsid w:val="009133DD"/>
    <w:rsid w:val="00913EED"/>
    <w:rsid w:val="00915303"/>
    <w:rsid w:val="00915841"/>
    <w:rsid w:val="00915854"/>
    <w:rsid w:val="0091592D"/>
    <w:rsid w:val="009162E1"/>
    <w:rsid w:val="009168D3"/>
    <w:rsid w:val="00916912"/>
    <w:rsid w:val="0091733E"/>
    <w:rsid w:val="00917B32"/>
    <w:rsid w:val="00917DB7"/>
    <w:rsid w:val="00917F1B"/>
    <w:rsid w:val="00920081"/>
    <w:rsid w:val="0092026F"/>
    <w:rsid w:val="009202B8"/>
    <w:rsid w:val="00921461"/>
    <w:rsid w:val="009227E0"/>
    <w:rsid w:val="00922801"/>
    <w:rsid w:val="0092299E"/>
    <w:rsid w:val="00923354"/>
    <w:rsid w:val="00923907"/>
    <w:rsid w:val="00924A0E"/>
    <w:rsid w:val="00924A72"/>
    <w:rsid w:val="00924FFE"/>
    <w:rsid w:val="00925533"/>
    <w:rsid w:val="00925E1B"/>
    <w:rsid w:val="00925E60"/>
    <w:rsid w:val="009264FE"/>
    <w:rsid w:val="0092668D"/>
    <w:rsid w:val="00926BCD"/>
    <w:rsid w:val="00926C92"/>
    <w:rsid w:val="00927056"/>
    <w:rsid w:val="009270AF"/>
    <w:rsid w:val="00927401"/>
    <w:rsid w:val="009274BD"/>
    <w:rsid w:val="00927991"/>
    <w:rsid w:val="00927BFE"/>
    <w:rsid w:val="0093040A"/>
    <w:rsid w:val="009307D9"/>
    <w:rsid w:val="00931CC1"/>
    <w:rsid w:val="009325F4"/>
    <w:rsid w:val="00932899"/>
    <w:rsid w:val="00932986"/>
    <w:rsid w:val="00932D9E"/>
    <w:rsid w:val="00932DC8"/>
    <w:rsid w:val="00933083"/>
    <w:rsid w:val="009333E9"/>
    <w:rsid w:val="00933B38"/>
    <w:rsid w:val="00933D40"/>
    <w:rsid w:val="00933E93"/>
    <w:rsid w:val="00934B03"/>
    <w:rsid w:val="0093559B"/>
    <w:rsid w:val="0093559E"/>
    <w:rsid w:val="00935B25"/>
    <w:rsid w:val="00935C65"/>
    <w:rsid w:val="009365C2"/>
    <w:rsid w:val="00936729"/>
    <w:rsid w:val="0093677D"/>
    <w:rsid w:val="00936947"/>
    <w:rsid w:val="009371A2"/>
    <w:rsid w:val="0093725C"/>
    <w:rsid w:val="0094014F"/>
    <w:rsid w:val="00940BC4"/>
    <w:rsid w:val="009418E7"/>
    <w:rsid w:val="00941D02"/>
    <w:rsid w:val="009427E6"/>
    <w:rsid w:val="009428FD"/>
    <w:rsid w:val="00942E10"/>
    <w:rsid w:val="0094300E"/>
    <w:rsid w:val="0094371B"/>
    <w:rsid w:val="00943736"/>
    <w:rsid w:val="00943CBF"/>
    <w:rsid w:val="00943E30"/>
    <w:rsid w:val="0094414C"/>
    <w:rsid w:val="00944893"/>
    <w:rsid w:val="00944BD4"/>
    <w:rsid w:val="00945121"/>
    <w:rsid w:val="00945146"/>
    <w:rsid w:val="009455D4"/>
    <w:rsid w:val="00945858"/>
    <w:rsid w:val="00945B95"/>
    <w:rsid w:val="00945E8A"/>
    <w:rsid w:val="0094609A"/>
    <w:rsid w:val="00946343"/>
    <w:rsid w:val="00946680"/>
    <w:rsid w:val="00946929"/>
    <w:rsid w:val="00946BC0"/>
    <w:rsid w:val="009470AB"/>
    <w:rsid w:val="009472C6"/>
    <w:rsid w:val="0095050F"/>
    <w:rsid w:val="00951371"/>
    <w:rsid w:val="009518EE"/>
    <w:rsid w:val="00951A73"/>
    <w:rsid w:val="00951CEB"/>
    <w:rsid w:val="00951F9D"/>
    <w:rsid w:val="00952A2C"/>
    <w:rsid w:val="00952A80"/>
    <w:rsid w:val="00952A87"/>
    <w:rsid w:val="009535F4"/>
    <w:rsid w:val="009539F2"/>
    <w:rsid w:val="00953EB2"/>
    <w:rsid w:val="0095469B"/>
    <w:rsid w:val="00954B88"/>
    <w:rsid w:val="00954D80"/>
    <w:rsid w:val="00954D81"/>
    <w:rsid w:val="00954EE9"/>
    <w:rsid w:val="00954FF6"/>
    <w:rsid w:val="009557D8"/>
    <w:rsid w:val="00956050"/>
    <w:rsid w:val="0095629D"/>
    <w:rsid w:val="0095636F"/>
    <w:rsid w:val="00956447"/>
    <w:rsid w:val="00956DF0"/>
    <w:rsid w:val="00957171"/>
    <w:rsid w:val="009573EE"/>
    <w:rsid w:val="00957FDC"/>
    <w:rsid w:val="00960201"/>
    <w:rsid w:val="0096023F"/>
    <w:rsid w:val="0096029A"/>
    <w:rsid w:val="0096163F"/>
    <w:rsid w:val="009616DD"/>
    <w:rsid w:val="0096182D"/>
    <w:rsid w:val="009618C2"/>
    <w:rsid w:val="00961AAF"/>
    <w:rsid w:val="00962685"/>
    <w:rsid w:val="00962B71"/>
    <w:rsid w:val="00963678"/>
    <w:rsid w:val="00963771"/>
    <w:rsid w:val="00964558"/>
    <w:rsid w:val="009651D5"/>
    <w:rsid w:val="009652F2"/>
    <w:rsid w:val="009655AA"/>
    <w:rsid w:val="009656B9"/>
    <w:rsid w:val="009658DD"/>
    <w:rsid w:val="00965B00"/>
    <w:rsid w:val="00965F4E"/>
    <w:rsid w:val="00966A27"/>
    <w:rsid w:val="00966E6A"/>
    <w:rsid w:val="009676BC"/>
    <w:rsid w:val="009676CE"/>
    <w:rsid w:val="00967DA5"/>
    <w:rsid w:val="00967E80"/>
    <w:rsid w:val="00970143"/>
    <w:rsid w:val="009706CB"/>
    <w:rsid w:val="009712E7"/>
    <w:rsid w:val="009715C4"/>
    <w:rsid w:val="00971763"/>
    <w:rsid w:val="009720EC"/>
    <w:rsid w:val="009723B1"/>
    <w:rsid w:val="00972700"/>
    <w:rsid w:val="00972A2D"/>
    <w:rsid w:val="00973027"/>
    <w:rsid w:val="00973697"/>
    <w:rsid w:val="009748D1"/>
    <w:rsid w:val="00975241"/>
    <w:rsid w:val="009755A8"/>
    <w:rsid w:val="009758A6"/>
    <w:rsid w:val="0097627E"/>
    <w:rsid w:val="009762EE"/>
    <w:rsid w:val="00976395"/>
    <w:rsid w:val="009766DB"/>
    <w:rsid w:val="009769D5"/>
    <w:rsid w:val="00976B01"/>
    <w:rsid w:val="00976DD7"/>
    <w:rsid w:val="00976FFB"/>
    <w:rsid w:val="009773CE"/>
    <w:rsid w:val="00977430"/>
    <w:rsid w:val="009776B9"/>
    <w:rsid w:val="00977946"/>
    <w:rsid w:val="009779F0"/>
    <w:rsid w:val="00977A17"/>
    <w:rsid w:val="00977A90"/>
    <w:rsid w:val="00980849"/>
    <w:rsid w:val="00980BE9"/>
    <w:rsid w:val="00980CA8"/>
    <w:rsid w:val="009813C1"/>
    <w:rsid w:val="00981782"/>
    <w:rsid w:val="00981C68"/>
    <w:rsid w:val="0098259C"/>
    <w:rsid w:val="009831CD"/>
    <w:rsid w:val="009835B2"/>
    <w:rsid w:val="00983716"/>
    <w:rsid w:val="00983874"/>
    <w:rsid w:val="00983E02"/>
    <w:rsid w:val="009846F1"/>
    <w:rsid w:val="00984E3E"/>
    <w:rsid w:val="009854A4"/>
    <w:rsid w:val="00985C72"/>
    <w:rsid w:val="00985D7D"/>
    <w:rsid w:val="00986AE9"/>
    <w:rsid w:val="00986D29"/>
    <w:rsid w:val="00987D47"/>
    <w:rsid w:val="00990C15"/>
    <w:rsid w:val="00990CE1"/>
    <w:rsid w:val="00990D3A"/>
    <w:rsid w:val="00990DA2"/>
    <w:rsid w:val="00991354"/>
    <w:rsid w:val="00991ABC"/>
    <w:rsid w:val="00992B26"/>
    <w:rsid w:val="00992C4B"/>
    <w:rsid w:val="00992C50"/>
    <w:rsid w:val="00993988"/>
    <w:rsid w:val="00993D4C"/>
    <w:rsid w:val="00993EEE"/>
    <w:rsid w:val="0099411B"/>
    <w:rsid w:val="009941BB"/>
    <w:rsid w:val="0099421B"/>
    <w:rsid w:val="009948C6"/>
    <w:rsid w:val="009948EB"/>
    <w:rsid w:val="009955E9"/>
    <w:rsid w:val="00995704"/>
    <w:rsid w:val="00995CBC"/>
    <w:rsid w:val="0099765C"/>
    <w:rsid w:val="00997CDE"/>
    <w:rsid w:val="00997EE1"/>
    <w:rsid w:val="00997F27"/>
    <w:rsid w:val="009A002C"/>
    <w:rsid w:val="009A049A"/>
    <w:rsid w:val="009A0E35"/>
    <w:rsid w:val="009A0F64"/>
    <w:rsid w:val="009A1738"/>
    <w:rsid w:val="009A1896"/>
    <w:rsid w:val="009A1BA2"/>
    <w:rsid w:val="009A23B6"/>
    <w:rsid w:val="009A2841"/>
    <w:rsid w:val="009A2A4D"/>
    <w:rsid w:val="009A3187"/>
    <w:rsid w:val="009A3521"/>
    <w:rsid w:val="009A3810"/>
    <w:rsid w:val="009A3BFE"/>
    <w:rsid w:val="009A4004"/>
    <w:rsid w:val="009A402F"/>
    <w:rsid w:val="009A4215"/>
    <w:rsid w:val="009A4618"/>
    <w:rsid w:val="009A4898"/>
    <w:rsid w:val="009A4E85"/>
    <w:rsid w:val="009A50A0"/>
    <w:rsid w:val="009A55D5"/>
    <w:rsid w:val="009A5CD2"/>
    <w:rsid w:val="009A60A2"/>
    <w:rsid w:val="009A64AD"/>
    <w:rsid w:val="009A68C7"/>
    <w:rsid w:val="009A7C31"/>
    <w:rsid w:val="009A7F71"/>
    <w:rsid w:val="009B035A"/>
    <w:rsid w:val="009B03CD"/>
    <w:rsid w:val="009B18B3"/>
    <w:rsid w:val="009B191A"/>
    <w:rsid w:val="009B1EBD"/>
    <w:rsid w:val="009B2C77"/>
    <w:rsid w:val="009B32E8"/>
    <w:rsid w:val="009B33F6"/>
    <w:rsid w:val="009B36CE"/>
    <w:rsid w:val="009B37EF"/>
    <w:rsid w:val="009B459D"/>
    <w:rsid w:val="009B4CCD"/>
    <w:rsid w:val="009B4D8E"/>
    <w:rsid w:val="009B4F3C"/>
    <w:rsid w:val="009B5772"/>
    <w:rsid w:val="009B5899"/>
    <w:rsid w:val="009B5B9E"/>
    <w:rsid w:val="009B5C3E"/>
    <w:rsid w:val="009B5E91"/>
    <w:rsid w:val="009B6798"/>
    <w:rsid w:val="009B6B95"/>
    <w:rsid w:val="009B7029"/>
    <w:rsid w:val="009B76FF"/>
    <w:rsid w:val="009B7717"/>
    <w:rsid w:val="009B7953"/>
    <w:rsid w:val="009B7E4F"/>
    <w:rsid w:val="009B7F10"/>
    <w:rsid w:val="009C04DA"/>
    <w:rsid w:val="009C0AC6"/>
    <w:rsid w:val="009C152C"/>
    <w:rsid w:val="009C1CA1"/>
    <w:rsid w:val="009C285D"/>
    <w:rsid w:val="009C2D41"/>
    <w:rsid w:val="009C316E"/>
    <w:rsid w:val="009C3DFA"/>
    <w:rsid w:val="009C515F"/>
    <w:rsid w:val="009C5436"/>
    <w:rsid w:val="009C5A00"/>
    <w:rsid w:val="009C5EB3"/>
    <w:rsid w:val="009C6215"/>
    <w:rsid w:val="009C67BC"/>
    <w:rsid w:val="009C72BA"/>
    <w:rsid w:val="009C76D3"/>
    <w:rsid w:val="009C7C9D"/>
    <w:rsid w:val="009D0798"/>
    <w:rsid w:val="009D09D3"/>
    <w:rsid w:val="009D113A"/>
    <w:rsid w:val="009D1285"/>
    <w:rsid w:val="009D16FE"/>
    <w:rsid w:val="009D1F1E"/>
    <w:rsid w:val="009D207B"/>
    <w:rsid w:val="009D24FC"/>
    <w:rsid w:val="009D2B6E"/>
    <w:rsid w:val="009D36CF"/>
    <w:rsid w:val="009D407E"/>
    <w:rsid w:val="009D4778"/>
    <w:rsid w:val="009D4925"/>
    <w:rsid w:val="009D4AD3"/>
    <w:rsid w:val="009D5494"/>
    <w:rsid w:val="009D5631"/>
    <w:rsid w:val="009D5B89"/>
    <w:rsid w:val="009D6314"/>
    <w:rsid w:val="009D6B34"/>
    <w:rsid w:val="009D7429"/>
    <w:rsid w:val="009D75EF"/>
    <w:rsid w:val="009D7AAE"/>
    <w:rsid w:val="009D7BB3"/>
    <w:rsid w:val="009E026A"/>
    <w:rsid w:val="009E03E9"/>
    <w:rsid w:val="009E0D7F"/>
    <w:rsid w:val="009E10E2"/>
    <w:rsid w:val="009E12DA"/>
    <w:rsid w:val="009E13B0"/>
    <w:rsid w:val="009E1549"/>
    <w:rsid w:val="009E1739"/>
    <w:rsid w:val="009E2059"/>
    <w:rsid w:val="009E209A"/>
    <w:rsid w:val="009E2846"/>
    <w:rsid w:val="009E2CBF"/>
    <w:rsid w:val="009E31EF"/>
    <w:rsid w:val="009E331B"/>
    <w:rsid w:val="009E36AC"/>
    <w:rsid w:val="009E3950"/>
    <w:rsid w:val="009E4004"/>
    <w:rsid w:val="009E41F3"/>
    <w:rsid w:val="009E422D"/>
    <w:rsid w:val="009E51F6"/>
    <w:rsid w:val="009E5C32"/>
    <w:rsid w:val="009E5F38"/>
    <w:rsid w:val="009E5F53"/>
    <w:rsid w:val="009E67A5"/>
    <w:rsid w:val="009E6AD3"/>
    <w:rsid w:val="009E6C1A"/>
    <w:rsid w:val="009E75B2"/>
    <w:rsid w:val="009E793F"/>
    <w:rsid w:val="009F0625"/>
    <w:rsid w:val="009F16D1"/>
    <w:rsid w:val="009F1EFD"/>
    <w:rsid w:val="009F200C"/>
    <w:rsid w:val="009F21A4"/>
    <w:rsid w:val="009F2393"/>
    <w:rsid w:val="009F239F"/>
    <w:rsid w:val="009F2F20"/>
    <w:rsid w:val="009F3349"/>
    <w:rsid w:val="009F3A7B"/>
    <w:rsid w:val="009F3C56"/>
    <w:rsid w:val="009F44EA"/>
    <w:rsid w:val="009F53CA"/>
    <w:rsid w:val="009F558C"/>
    <w:rsid w:val="009F5DFC"/>
    <w:rsid w:val="009F7002"/>
    <w:rsid w:val="009F71FE"/>
    <w:rsid w:val="009F747B"/>
    <w:rsid w:val="009F7A33"/>
    <w:rsid w:val="00A0087B"/>
    <w:rsid w:val="00A00B8A"/>
    <w:rsid w:val="00A01215"/>
    <w:rsid w:val="00A01639"/>
    <w:rsid w:val="00A017BD"/>
    <w:rsid w:val="00A01A14"/>
    <w:rsid w:val="00A01D8E"/>
    <w:rsid w:val="00A01EA4"/>
    <w:rsid w:val="00A020D6"/>
    <w:rsid w:val="00A023CF"/>
    <w:rsid w:val="00A029D4"/>
    <w:rsid w:val="00A037B0"/>
    <w:rsid w:val="00A037DB"/>
    <w:rsid w:val="00A03868"/>
    <w:rsid w:val="00A03A79"/>
    <w:rsid w:val="00A04930"/>
    <w:rsid w:val="00A04CE8"/>
    <w:rsid w:val="00A05979"/>
    <w:rsid w:val="00A059DA"/>
    <w:rsid w:val="00A06115"/>
    <w:rsid w:val="00A06773"/>
    <w:rsid w:val="00A06DAF"/>
    <w:rsid w:val="00A06E51"/>
    <w:rsid w:val="00A0739C"/>
    <w:rsid w:val="00A077AB"/>
    <w:rsid w:val="00A07B01"/>
    <w:rsid w:val="00A07D98"/>
    <w:rsid w:val="00A1008F"/>
    <w:rsid w:val="00A10BA9"/>
    <w:rsid w:val="00A10D8D"/>
    <w:rsid w:val="00A1132E"/>
    <w:rsid w:val="00A1148B"/>
    <w:rsid w:val="00A11896"/>
    <w:rsid w:val="00A11D80"/>
    <w:rsid w:val="00A1235F"/>
    <w:rsid w:val="00A12764"/>
    <w:rsid w:val="00A127ED"/>
    <w:rsid w:val="00A12F87"/>
    <w:rsid w:val="00A12F9B"/>
    <w:rsid w:val="00A13961"/>
    <w:rsid w:val="00A13F94"/>
    <w:rsid w:val="00A143CD"/>
    <w:rsid w:val="00A14585"/>
    <w:rsid w:val="00A145A2"/>
    <w:rsid w:val="00A1475A"/>
    <w:rsid w:val="00A1524D"/>
    <w:rsid w:val="00A156EB"/>
    <w:rsid w:val="00A158E6"/>
    <w:rsid w:val="00A15B15"/>
    <w:rsid w:val="00A15BF7"/>
    <w:rsid w:val="00A15D38"/>
    <w:rsid w:val="00A15F7F"/>
    <w:rsid w:val="00A162CC"/>
    <w:rsid w:val="00A1646E"/>
    <w:rsid w:val="00A1652D"/>
    <w:rsid w:val="00A17345"/>
    <w:rsid w:val="00A17B24"/>
    <w:rsid w:val="00A17B8D"/>
    <w:rsid w:val="00A17E9A"/>
    <w:rsid w:val="00A2032C"/>
    <w:rsid w:val="00A209C7"/>
    <w:rsid w:val="00A217AE"/>
    <w:rsid w:val="00A21F55"/>
    <w:rsid w:val="00A22670"/>
    <w:rsid w:val="00A22E32"/>
    <w:rsid w:val="00A2342D"/>
    <w:rsid w:val="00A23632"/>
    <w:rsid w:val="00A242FE"/>
    <w:rsid w:val="00A24B9E"/>
    <w:rsid w:val="00A24EDD"/>
    <w:rsid w:val="00A2519B"/>
    <w:rsid w:val="00A25A5B"/>
    <w:rsid w:val="00A26573"/>
    <w:rsid w:val="00A266E3"/>
    <w:rsid w:val="00A2732F"/>
    <w:rsid w:val="00A27A88"/>
    <w:rsid w:val="00A27F36"/>
    <w:rsid w:val="00A30479"/>
    <w:rsid w:val="00A30A04"/>
    <w:rsid w:val="00A30A3C"/>
    <w:rsid w:val="00A30E57"/>
    <w:rsid w:val="00A31A36"/>
    <w:rsid w:val="00A31A8F"/>
    <w:rsid w:val="00A31FBC"/>
    <w:rsid w:val="00A32272"/>
    <w:rsid w:val="00A32392"/>
    <w:rsid w:val="00A32B1C"/>
    <w:rsid w:val="00A32C00"/>
    <w:rsid w:val="00A32C29"/>
    <w:rsid w:val="00A3344F"/>
    <w:rsid w:val="00A33460"/>
    <w:rsid w:val="00A33850"/>
    <w:rsid w:val="00A33CBB"/>
    <w:rsid w:val="00A3534C"/>
    <w:rsid w:val="00A3569E"/>
    <w:rsid w:val="00A35740"/>
    <w:rsid w:val="00A357BB"/>
    <w:rsid w:val="00A35BD1"/>
    <w:rsid w:val="00A35FA1"/>
    <w:rsid w:val="00A3601E"/>
    <w:rsid w:val="00A363CF"/>
    <w:rsid w:val="00A3658C"/>
    <w:rsid w:val="00A366ED"/>
    <w:rsid w:val="00A36787"/>
    <w:rsid w:val="00A367E7"/>
    <w:rsid w:val="00A368B5"/>
    <w:rsid w:val="00A36903"/>
    <w:rsid w:val="00A3693E"/>
    <w:rsid w:val="00A36AB3"/>
    <w:rsid w:val="00A400CB"/>
    <w:rsid w:val="00A40838"/>
    <w:rsid w:val="00A40A6D"/>
    <w:rsid w:val="00A40C49"/>
    <w:rsid w:val="00A40FAB"/>
    <w:rsid w:val="00A410A9"/>
    <w:rsid w:val="00A415FA"/>
    <w:rsid w:val="00A41A12"/>
    <w:rsid w:val="00A41BDA"/>
    <w:rsid w:val="00A41C72"/>
    <w:rsid w:val="00A4202C"/>
    <w:rsid w:val="00A42387"/>
    <w:rsid w:val="00A425A7"/>
    <w:rsid w:val="00A42642"/>
    <w:rsid w:val="00A426CF"/>
    <w:rsid w:val="00A42798"/>
    <w:rsid w:val="00A4284A"/>
    <w:rsid w:val="00A42F59"/>
    <w:rsid w:val="00A42FD0"/>
    <w:rsid w:val="00A43150"/>
    <w:rsid w:val="00A4370B"/>
    <w:rsid w:val="00A43D9F"/>
    <w:rsid w:val="00A44676"/>
    <w:rsid w:val="00A4469C"/>
    <w:rsid w:val="00A44730"/>
    <w:rsid w:val="00A44C42"/>
    <w:rsid w:val="00A450D8"/>
    <w:rsid w:val="00A45465"/>
    <w:rsid w:val="00A45650"/>
    <w:rsid w:val="00A45AD0"/>
    <w:rsid w:val="00A45AF2"/>
    <w:rsid w:val="00A45BC2"/>
    <w:rsid w:val="00A45D21"/>
    <w:rsid w:val="00A45E7D"/>
    <w:rsid w:val="00A45F5F"/>
    <w:rsid w:val="00A461D6"/>
    <w:rsid w:val="00A46268"/>
    <w:rsid w:val="00A46E54"/>
    <w:rsid w:val="00A47A67"/>
    <w:rsid w:val="00A50DAA"/>
    <w:rsid w:val="00A5138D"/>
    <w:rsid w:val="00A5151E"/>
    <w:rsid w:val="00A51803"/>
    <w:rsid w:val="00A51BC4"/>
    <w:rsid w:val="00A52211"/>
    <w:rsid w:val="00A52406"/>
    <w:rsid w:val="00A52428"/>
    <w:rsid w:val="00A5244B"/>
    <w:rsid w:val="00A525E5"/>
    <w:rsid w:val="00A52B4F"/>
    <w:rsid w:val="00A530FA"/>
    <w:rsid w:val="00A539D4"/>
    <w:rsid w:val="00A53B09"/>
    <w:rsid w:val="00A53D98"/>
    <w:rsid w:val="00A5400E"/>
    <w:rsid w:val="00A54473"/>
    <w:rsid w:val="00A5492A"/>
    <w:rsid w:val="00A54A69"/>
    <w:rsid w:val="00A550B6"/>
    <w:rsid w:val="00A551D4"/>
    <w:rsid w:val="00A5542F"/>
    <w:rsid w:val="00A55976"/>
    <w:rsid w:val="00A55DA9"/>
    <w:rsid w:val="00A5606C"/>
    <w:rsid w:val="00A5629D"/>
    <w:rsid w:val="00A562FB"/>
    <w:rsid w:val="00A5684C"/>
    <w:rsid w:val="00A5706B"/>
    <w:rsid w:val="00A57BD9"/>
    <w:rsid w:val="00A60220"/>
    <w:rsid w:val="00A60AD5"/>
    <w:rsid w:val="00A60D35"/>
    <w:rsid w:val="00A61329"/>
    <w:rsid w:val="00A615A0"/>
    <w:rsid w:val="00A61B9E"/>
    <w:rsid w:val="00A62862"/>
    <w:rsid w:val="00A629CB"/>
    <w:rsid w:val="00A63392"/>
    <w:rsid w:val="00A645E3"/>
    <w:rsid w:val="00A64B36"/>
    <w:rsid w:val="00A653A7"/>
    <w:rsid w:val="00A65CCE"/>
    <w:rsid w:val="00A65D37"/>
    <w:rsid w:val="00A66014"/>
    <w:rsid w:val="00A66B44"/>
    <w:rsid w:val="00A66B58"/>
    <w:rsid w:val="00A6731A"/>
    <w:rsid w:val="00A675FC"/>
    <w:rsid w:val="00A67A12"/>
    <w:rsid w:val="00A67C4D"/>
    <w:rsid w:val="00A702A8"/>
    <w:rsid w:val="00A706F3"/>
    <w:rsid w:val="00A7111B"/>
    <w:rsid w:val="00A7115C"/>
    <w:rsid w:val="00A71465"/>
    <w:rsid w:val="00A71C93"/>
    <w:rsid w:val="00A71DC8"/>
    <w:rsid w:val="00A72A37"/>
    <w:rsid w:val="00A74558"/>
    <w:rsid w:val="00A74917"/>
    <w:rsid w:val="00A74A86"/>
    <w:rsid w:val="00A759A4"/>
    <w:rsid w:val="00A76CE7"/>
    <w:rsid w:val="00A770FE"/>
    <w:rsid w:val="00A771B3"/>
    <w:rsid w:val="00A77262"/>
    <w:rsid w:val="00A772FF"/>
    <w:rsid w:val="00A776D0"/>
    <w:rsid w:val="00A80632"/>
    <w:rsid w:val="00A80679"/>
    <w:rsid w:val="00A82326"/>
    <w:rsid w:val="00A82577"/>
    <w:rsid w:val="00A82896"/>
    <w:rsid w:val="00A82B1B"/>
    <w:rsid w:val="00A82F4E"/>
    <w:rsid w:val="00A831FF"/>
    <w:rsid w:val="00A83319"/>
    <w:rsid w:val="00A838E0"/>
    <w:rsid w:val="00A83A15"/>
    <w:rsid w:val="00A83AFD"/>
    <w:rsid w:val="00A83EE9"/>
    <w:rsid w:val="00A840DC"/>
    <w:rsid w:val="00A84650"/>
    <w:rsid w:val="00A849B3"/>
    <w:rsid w:val="00A84B0C"/>
    <w:rsid w:val="00A84D86"/>
    <w:rsid w:val="00A84DAB"/>
    <w:rsid w:val="00A84F65"/>
    <w:rsid w:val="00A85298"/>
    <w:rsid w:val="00A852D4"/>
    <w:rsid w:val="00A855DB"/>
    <w:rsid w:val="00A85774"/>
    <w:rsid w:val="00A85D63"/>
    <w:rsid w:val="00A85F9A"/>
    <w:rsid w:val="00A860CC"/>
    <w:rsid w:val="00A86DAF"/>
    <w:rsid w:val="00A870CE"/>
    <w:rsid w:val="00A875F5"/>
    <w:rsid w:val="00A87B12"/>
    <w:rsid w:val="00A87CA2"/>
    <w:rsid w:val="00A90724"/>
    <w:rsid w:val="00A9088B"/>
    <w:rsid w:val="00A90AC0"/>
    <w:rsid w:val="00A90E6C"/>
    <w:rsid w:val="00A91697"/>
    <w:rsid w:val="00A91C0E"/>
    <w:rsid w:val="00A91F8F"/>
    <w:rsid w:val="00A9241A"/>
    <w:rsid w:val="00A9244D"/>
    <w:rsid w:val="00A9257C"/>
    <w:rsid w:val="00A92A48"/>
    <w:rsid w:val="00A93538"/>
    <w:rsid w:val="00A93C07"/>
    <w:rsid w:val="00A94088"/>
    <w:rsid w:val="00A94CB3"/>
    <w:rsid w:val="00A94EE8"/>
    <w:rsid w:val="00A953A4"/>
    <w:rsid w:val="00A953C9"/>
    <w:rsid w:val="00A955D5"/>
    <w:rsid w:val="00A960D1"/>
    <w:rsid w:val="00A96406"/>
    <w:rsid w:val="00A96935"/>
    <w:rsid w:val="00A96D65"/>
    <w:rsid w:val="00A96F6C"/>
    <w:rsid w:val="00A97AFA"/>
    <w:rsid w:val="00AA06AC"/>
    <w:rsid w:val="00AA0B89"/>
    <w:rsid w:val="00AA1A8A"/>
    <w:rsid w:val="00AA2A10"/>
    <w:rsid w:val="00AA2D66"/>
    <w:rsid w:val="00AA370E"/>
    <w:rsid w:val="00AA3B81"/>
    <w:rsid w:val="00AA4004"/>
    <w:rsid w:val="00AA422B"/>
    <w:rsid w:val="00AA4B89"/>
    <w:rsid w:val="00AA512E"/>
    <w:rsid w:val="00AA559E"/>
    <w:rsid w:val="00AA56B3"/>
    <w:rsid w:val="00AA571D"/>
    <w:rsid w:val="00AA588D"/>
    <w:rsid w:val="00AA5AE2"/>
    <w:rsid w:val="00AA5E8E"/>
    <w:rsid w:val="00AA6909"/>
    <w:rsid w:val="00AA7115"/>
    <w:rsid w:val="00AA735B"/>
    <w:rsid w:val="00AA77D6"/>
    <w:rsid w:val="00AA7815"/>
    <w:rsid w:val="00AA78B0"/>
    <w:rsid w:val="00AB0369"/>
    <w:rsid w:val="00AB0AFF"/>
    <w:rsid w:val="00AB0CAF"/>
    <w:rsid w:val="00AB1009"/>
    <w:rsid w:val="00AB1386"/>
    <w:rsid w:val="00AB1525"/>
    <w:rsid w:val="00AB1DD3"/>
    <w:rsid w:val="00AB241D"/>
    <w:rsid w:val="00AB295A"/>
    <w:rsid w:val="00AB2FE6"/>
    <w:rsid w:val="00AB3E70"/>
    <w:rsid w:val="00AB40F4"/>
    <w:rsid w:val="00AB469B"/>
    <w:rsid w:val="00AB5110"/>
    <w:rsid w:val="00AB5494"/>
    <w:rsid w:val="00AB55C9"/>
    <w:rsid w:val="00AB573C"/>
    <w:rsid w:val="00AB58B5"/>
    <w:rsid w:val="00AB6113"/>
    <w:rsid w:val="00AB6631"/>
    <w:rsid w:val="00AB669E"/>
    <w:rsid w:val="00AB7B6E"/>
    <w:rsid w:val="00AC02AC"/>
    <w:rsid w:val="00AC0C90"/>
    <w:rsid w:val="00AC111B"/>
    <w:rsid w:val="00AC1EDD"/>
    <w:rsid w:val="00AC23ED"/>
    <w:rsid w:val="00AC271D"/>
    <w:rsid w:val="00AC2919"/>
    <w:rsid w:val="00AC2DC9"/>
    <w:rsid w:val="00AC31F1"/>
    <w:rsid w:val="00AC32A5"/>
    <w:rsid w:val="00AC32EE"/>
    <w:rsid w:val="00AC333C"/>
    <w:rsid w:val="00AC34A6"/>
    <w:rsid w:val="00AC3566"/>
    <w:rsid w:val="00AC3BBA"/>
    <w:rsid w:val="00AC3DA9"/>
    <w:rsid w:val="00AC4026"/>
    <w:rsid w:val="00AC51CE"/>
    <w:rsid w:val="00AC612C"/>
    <w:rsid w:val="00AC62AC"/>
    <w:rsid w:val="00AC62BC"/>
    <w:rsid w:val="00AC6424"/>
    <w:rsid w:val="00AC6498"/>
    <w:rsid w:val="00AC66FF"/>
    <w:rsid w:val="00AC6741"/>
    <w:rsid w:val="00AC6BFA"/>
    <w:rsid w:val="00AC6CF4"/>
    <w:rsid w:val="00AC732B"/>
    <w:rsid w:val="00AC7A30"/>
    <w:rsid w:val="00AC7D66"/>
    <w:rsid w:val="00AC7DE6"/>
    <w:rsid w:val="00AC7E3B"/>
    <w:rsid w:val="00AC7FF7"/>
    <w:rsid w:val="00AD0B1E"/>
    <w:rsid w:val="00AD0DA5"/>
    <w:rsid w:val="00AD14AB"/>
    <w:rsid w:val="00AD18A7"/>
    <w:rsid w:val="00AD18F4"/>
    <w:rsid w:val="00AD1D13"/>
    <w:rsid w:val="00AD1E1A"/>
    <w:rsid w:val="00AD1F4D"/>
    <w:rsid w:val="00AD1FFB"/>
    <w:rsid w:val="00AD2179"/>
    <w:rsid w:val="00AD23F8"/>
    <w:rsid w:val="00AD2736"/>
    <w:rsid w:val="00AD2756"/>
    <w:rsid w:val="00AD31DE"/>
    <w:rsid w:val="00AD3BC4"/>
    <w:rsid w:val="00AD3C9E"/>
    <w:rsid w:val="00AD3E7A"/>
    <w:rsid w:val="00AD411A"/>
    <w:rsid w:val="00AD45C0"/>
    <w:rsid w:val="00AD49D6"/>
    <w:rsid w:val="00AD49E2"/>
    <w:rsid w:val="00AD5107"/>
    <w:rsid w:val="00AD5EC3"/>
    <w:rsid w:val="00AD5EDA"/>
    <w:rsid w:val="00AD6D2E"/>
    <w:rsid w:val="00AD726B"/>
    <w:rsid w:val="00AD74D7"/>
    <w:rsid w:val="00AD77AB"/>
    <w:rsid w:val="00AD7B89"/>
    <w:rsid w:val="00AD7CA2"/>
    <w:rsid w:val="00AD7CD1"/>
    <w:rsid w:val="00AE1044"/>
    <w:rsid w:val="00AE147A"/>
    <w:rsid w:val="00AE1533"/>
    <w:rsid w:val="00AE1ACB"/>
    <w:rsid w:val="00AE2787"/>
    <w:rsid w:val="00AE2BC0"/>
    <w:rsid w:val="00AE2BD6"/>
    <w:rsid w:val="00AE3020"/>
    <w:rsid w:val="00AE31BA"/>
    <w:rsid w:val="00AE3696"/>
    <w:rsid w:val="00AE3E48"/>
    <w:rsid w:val="00AE4012"/>
    <w:rsid w:val="00AE41E7"/>
    <w:rsid w:val="00AE4262"/>
    <w:rsid w:val="00AE561C"/>
    <w:rsid w:val="00AE5E1C"/>
    <w:rsid w:val="00AE5FE0"/>
    <w:rsid w:val="00AE6B1E"/>
    <w:rsid w:val="00AE6CC3"/>
    <w:rsid w:val="00AE7041"/>
    <w:rsid w:val="00AE72D3"/>
    <w:rsid w:val="00AE7369"/>
    <w:rsid w:val="00AE7405"/>
    <w:rsid w:val="00AE7547"/>
    <w:rsid w:val="00AE754D"/>
    <w:rsid w:val="00AE76C0"/>
    <w:rsid w:val="00AE7795"/>
    <w:rsid w:val="00AE7C49"/>
    <w:rsid w:val="00AF0625"/>
    <w:rsid w:val="00AF16C6"/>
    <w:rsid w:val="00AF17B6"/>
    <w:rsid w:val="00AF1C47"/>
    <w:rsid w:val="00AF3376"/>
    <w:rsid w:val="00AF3FA8"/>
    <w:rsid w:val="00AF4548"/>
    <w:rsid w:val="00AF4719"/>
    <w:rsid w:val="00AF4CFC"/>
    <w:rsid w:val="00AF4D1C"/>
    <w:rsid w:val="00AF6549"/>
    <w:rsid w:val="00AF6AEE"/>
    <w:rsid w:val="00AF6BA4"/>
    <w:rsid w:val="00AF6F9D"/>
    <w:rsid w:val="00AF7061"/>
    <w:rsid w:val="00AF739A"/>
    <w:rsid w:val="00AF78B8"/>
    <w:rsid w:val="00B000B6"/>
    <w:rsid w:val="00B007DD"/>
    <w:rsid w:val="00B00A23"/>
    <w:rsid w:val="00B012E2"/>
    <w:rsid w:val="00B016F0"/>
    <w:rsid w:val="00B017D5"/>
    <w:rsid w:val="00B01926"/>
    <w:rsid w:val="00B02023"/>
    <w:rsid w:val="00B025CD"/>
    <w:rsid w:val="00B03155"/>
    <w:rsid w:val="00B03480"/>
    <w:rsid w:val="00B036DA"/>
    <w:rsid w:val="00B041AF"/>
    <w:rsid w:val="00B04D44"/>
    <w:rsid w:val="00B04D5A"/>
    <w:rsid w:val="00B0565D"/>
    <w:rsid w:val="00B05849"/>
    <w:rsid w:val="00B05AC3"/>
    <w:rsid w:val="00B05BE3"/>
    <w:rsid w:val="00B05CA0"/>
    <w:rsid w:val="00B065FD"/>
    <w:rsid w:val="00B0677E"/>
    <w:rsid w:val="00B06A2E"/>
    <w:rsid w:val="00B06C1F"/>
    <w:rsid w:val="00B07662"/>
    <w:rsid w:val="00B07C2A"/>
    <w:rsid w:val="00B07ECC"/>
    <w:rsid w:val="00B10517"/>
    <w:rsid w:val="00B10F23"/>
    <w:rsid w:val="00B111DD"/>
    <w:rsid w:val="00B11562"/>
    <w:rsid w:val="00B11A5F"/>
    <w:rsid w:val="00B11B9A"/>
    <w:rsid w:val="00B11E72"/>
    <w:rsid w:val="00B125EE"/>
    <w:rsid w:val="00B12F85"/>
    <w:rsid w:val="00B13267"/>
    <w:rsid w:val="00B1347F"/>
    <w:rsid w:val="00B134ED"/>
    <w:rsid w:val="00B139B5"/>
    <w:rsid w:val="00B1453C"/>
    <w:rsid w:val="00B14763"/>
    <w:rsid w:val="00B15729"/>
    <w:rsid w:val="00B15753"/>
    <w:rsid w:val="00B15916"/>
    <w:rsid w:val="00B1597F"/>
    <w:rsid w:val="00B16551"/>
    <w:rsid w:val="00B16614"/>
    <w:rsid w:val="00B16696"/>
    <w:rsid w:val="00B16891"/>
    <w:rsid w:val="00B16C67"/>
    <w:rsid w:val="00B16DDF"/>
    <w:rsid w:val="00B16E54"/>
    <w:rsid w:val="00B16FAA"/>
    <w:rsid w:val="00B1728D"/>
    <w:rsid w:val="00B17408"/>
    <w:rsid w:val="00B176F8"/>
    <w:rsid w:val="00B17C48"/>
    <w:rsid w:val="00B20187"/>
    <w:rsid w:val="00B203D9"/>
    <w:rsid w:val="00B22407"/>
    <w:rsid w:val="00B22752"/>
    <w:rsid w:val="00B2279F"/>
    <w:rsid w:val="00B23778"/>
    <w:rsid w:val="00B238A0"/>
    <w:rsid w:val="00B23B17"/>
    <w:rsid w:val="00B23B19"/>
    <w:rsid w:val="00B2437D"/>
    <w:rsid w:val="00B245C6"/>
    <w:rsid w:val="00B24A67"/>
    <w:rsid w:val="00B25287"/>
    <w:rsid w:val="00B25678"/>
    <w:rsid w:val="00B25F94"/>
    <w:rsid w:val="00B26A5D"/>
    <w:rsid w:val="00B26CA2"/>
    <w:rsid w:val="00B26DBD"/>
    <w:rsid w:val="00B27179"/>
    <w:rsid w:val="00B27627"/>
    <w:rsid w:val="00B302AC"/>
    <w:rsid w:val="00B30957"/>
    <w:rsid w:val="00B309D3"/>
    <w:rsid w:val="00B30AE0"/>
    <w:rsid w:val="00B30B09"/>
    <w:rsid w:val="00B30DCA"/>
    <w:rsid w:val="00B31278"/>
    <w:rsid w:val="00B31A0A"/>
    <w:rsid w:val="00B31A29"/>
    <w:rsid w:val="00B31ED8"/>
    <w:rsid w:val="00B31F2B"/>
    <w:rsid w:val="00B32167"/>
    <w:rsid w:val="00B32D43"/>
    <w:rsid w:val="00B32DAD"/>
    <w:rsid w:val="00B33A37"/>
    <w:rsid w:val="00B33A42"/>
    <w:rsid w:val="00B33C2D"/>
    <w:rsid w:val="00B34270"/>
    <w:rsid w:val="00B34495"/>
    <w:rsid w:val="00B347B9"/>
    <w:rsid w:val="00B355ED"/>
    <w:rsid w:val="00B35639"/>
    <w:rsid w:val="00B356C7"/>
    <w:rsid w:val="00B36D58"/>
    <w:rsid w:val="00B3759C"/>
    <w:rsid w:val="00B37796"/>
    <w:rsid w:val="00B37DA4"/>
    <w:rsid w:val="00B404B5"/>
    <w:rsid w:val="00B404E7"/>
    <w:rsid w:val="00B409D4"/>
    <w:rsid w:val="00B40CB7"/>
    <w:rsid w:val="00B40CFB"/>
    <w:rsid w:val="00B40F62"/>
    <w:rsid w:val="00B416CC"/>
    <w:rsid w:val="00B416DF"/>
    <w:rsid w:val="00B41884"/>
    <w:rsid w:val="00B41E74"/>
    <w:rsid w:val="00B42223"/>
    <w:rsid w:val="00B43305"/>
    <w:rsid w:val="00B43561"/>
    <w:rsid w:val="00B439A0"/>
    <w:rsid w:val="00B43DD3"/>
    <w:rsid w:val="00B43EB4"/>
    <w:rsid w:val="00B43EBA"/>
    <w:rsid w:val="00B444BD"/>
    <w:rsid w:val="00B44B23"/>
    <w:rsid w:val="00B44D37"/>
    <w:rsid w:val="00B44F2D"/>
    <w:rsid w:val="00B45DC8"/>
    <w:rsid w:val="00B471C1"/>
    <w:rsid w:val="00B4760B"/>
    <w:rsid w:val="00B479D4"/>
    <w:rsid w:val="00B47CBE"/>
    <w:rsid w:val="00B50158"/>
    <w:rsid w:val="00B50409"/>
    <w:rsid w:val="00B5066F"/>
    <w:rsid w:val="00B50CFA"/>
    <w:rsid w:val="00B50EFB"/>
    <w:rsid w:val="00B517BC"/>
    <w:rsid w:val="00B517D7"/>
    <w:rsid w:val="00B51CDE"/>
    <w:rsid w:val="00B51F6B"/>
    <w:rsid w:val="00B5279D"/>
    <w:rsid w:val="00B527DB"/>
    <w:rsid w:val="00B5297D"/>
    <w:rsid w:val="00B53140"/>
    <w:rsid w:val="00B532F9"/>
    <w:rsid w:val="00B545A3"/>
    <w:rsid w:val="00B54B45"/>
    <w:rsid w:val="00B54E1B"/>
    <w:rsid w:val="00B55C0E"/>
    <w:rsid w:val="00B55DB1"/>
    <w:rsid w:val="00B5602E"/>
    <w:rsid w:val="00B56A81"/>
    <w:rsid w:val="00B56D4E"/>
    <w:rsid w:val="00B57DFB"/>
    <w:rsid w:val="00B6028B"/>
    <w:rsid w:val="00B6052F"/>
    <w:rsid w:val="00B60712"/>
    <w:rsid w:val="00B6089A"/>
    <w:rsid w:val="00B61844"/>
    <w:rsid w:val="00B61A58"/>
    <w:rsid w:val="00B61FA4"/>
    <w:rsid w:val="00B6296E"/>
    <w:rsid w:val="00B62AAC"/>
    <w:rsid w:val="00B62B0C"/>
    <w:rsid w:val="00B63716"/>
    <w:rsid w:val="00B63B53"/>
    <w:rsid w:val="00B63F50"/>
    <w:rsid w:val="00B6418C"/>
    <w:rsid w:val="00B641B9"/>
    <w:rsid w:val="00B64515"/>
    <w:rsid w:val="00B64C62"/>
    <w:rsid w:val="00B64FC0"/>
    <w:rsid w:val="00B65352"/>
    <w:rsid w:val="00B655FB"/>
    <w:rsid w:val="00B65672"/>
    <w:rsid w:val="00B65AB9"/>
    <w:rsid w:val="00B65B5C"/>
    <w:rsid w:val="00B65BF7"/>
    <w:rsid w:val="00B665AA"/>
    <w:rsid w:val="00B67053"/>
    <w:rsid w:val="00B670A2"/>
    <w:rsid w:val="00B67486"/>
    <w:rsid w:val="00B67555"/>
    <w:rsid w:val="00B6797C"/>
    <w:rsid w:val="00B67B0A"/>
    <w:rsid w:val="00B67E9B"/>
    <w:rsid w:val="00B7018D"/>
    <w:rsid w:val="00B70719"/>
    <w:rsid w:val="00B70FF2"/>
    <w:rsid w:val="00B71256"/>
    <w:rsid w:val="00B71711"/>
    <w:rsid w:val="00B71716"/>
    <w:rsid w:val="00B71BCD"/>
    <w:rsid w:val="00B71BF3"/>
    <w:rsid w:val="00B72177"/>
    <w:rsid w:val="00B721CF"/>
    <w:rsid w:val="00B728AA"/>
    <w:rsid w:val="00B73023"/>
    <w:rsid w:val="00B731C4"/>
    <w:rsid w:val="00B73624"/>
    <w:rsid w:val="00B73825"/>
    <w:rsid w:val="00B7397D"/>
    <w:rsid w:val="00B73E7E"/>
    <w:rsid w:val="00B7428F"/>
    <w:rsid w:val="00B74913"/>
    <w:rsid w:val="00B74E5F"/>
    <w:rsid w:val="00B7502F"/>
    <w:rsid w:val="00B75451"/>
    <w:rsid w:val="00B75544"/>
    <w:rsid w:val="00B75B6E"/>
    <w:rsid w:val="00B75FE5"/>
    <w:rsid w:val="00B76C10"/>
    <w:rsid w:val="00B77DDF"/>
    <w:rsid w:val="00B80A3C"/>
    <w:rsid w:val="00B80D44"/>
    <w:rsid w:val="00B80E38"/>
    <w:rsid w:val="00B81718"/>
    <w:rsid w:val="00B81F38"/>
    <w:rsid w:val="00B820AC"/>
    <w:rsid w:val="00B82686"/>
    <w:rsid w:val="00B82A07"/>
    <w:rsid w:val="00B82E06"/>
    <w:rsid w:val="00B837D0"/>
    <w:rsid w:val="00B83BCC"/>
    <w:rsid w:val="00B83DF8"/>
    <w:rsid w:val="00B8427A"/>
    <w:rsid w:val="00B848D2"/>
    <w:rsid w:val="00B84986"/>
    <w:rsid w:val="00B85AA3"/>
    <w:rsid w:val="00B85D01"/>
    <w:rsid w:val="00B86CE5"/>
    <w:rsid w:val="00B87118"/>
    <w:rsid w:val="00B87D78"/>
    <w:rsid w:val="00B90171"/>
    <w:rsid w:val="00B909F7"/>
    <w:rsid w:val="00B90CE8"/>
    <w:rsid w:val="00B90E93"/>
    <w:rsid w:val="00B91720"/>
    <w:rsid w:val="00B92006"/>
    <w:rsid w:val="00B92E1A"/>
    <w:rsid w:val="00B92F03"/>
    <w:rsid w:val="00B930D1"/>
    <w:rsid w:val="00B93B33"/>
    <w:rsid w:val="00B93E12"/>
    <w:rsid w:val="00B93F53"/>
    <w:rsid w:val="00B93F6B"/>
    <w:rsid w:val="00B940AF"/>
    <w:rsid w:val="00B94693"/>
    <w:rsid w:val="00B94C35"/>
    <w:rsid w:val="00B94DD2"/>
    <w:rsid w:val="00B94E29"/>
    <w:rsid w:val="00B95122"/>
    <w:rsid w:val="00B9546F"/>
    <w:rsid w:val="00B9590E"/>
    <w:rsid w:val="00B95937"/>
    <w:rsid w:val="00B959DA"/>
    <w:rsid w:val="00B95C25"/>
    <w:rsid w:val="00B95C78"/>
    <w:rsid w:val="00B967A1"/>
    <w:rsid w:val="00B96AEF"/>
    <w:rsid w:val="00B96E67"/>
    <w:rsid w:val="00B97181"/>
    <w:rsid w:val="00B97548"/>
    <w:rsid w:val="00BA05A6"/>
    <w:rsid w:val="00BA0716"/>
    <w:rsid w:val="00BA0795"/>
    <w:rsid w:val="00BA0B10"/>
    <w:rsid w:val="00BA1614"/>
    <w:rsid w:val="00BA1935"/>
    <w:rsid w:val="00BA1B82"/>
    <w:rsid w:val="00BA22DF"/>
    <w:rsid w:val="00BA254E"/>
    <w:rsid w:val="00BA2CC8"/>
    <w:rsid w:val="00BA2DBF"/>
    <w:rsid w:val="00BA2DD9"/>
    <w:rsid w:val="00BA2EEF"/>
    <w:rsid w:val="00BA2F4C"/>
    <w:rsid w:val="00BA33DB"/>
    <w:rsid w:val="00BA39DA"/>
    <w:rsid w:val="00BA4315"/>
    <w:rsid w:val="00BA45AC"/>
    <w:rsid w:val="00BA4F2D"/>
    <w:rsid w:val="00BA5242"/>
    <w:rsid w:val="00BA550F"/>
    <w:rsid w:val="00BA55D9"/>
    <w:rsid w:val="00BA580F"/>
    <w:rsid w:val="00BA5ADB"/>
    <w:rsid w:val="00BA5B66"/>
    <w:rsid w:val="00BA5EA7"/>
    <w:rsid w:val="00BA5FA6"/>
    <w:rsid w:val="00BA613E"/>
    <w:rsid w:val="00BA61A2"/>
    <w:rsid w:val="00BA6328"/>
    <w:rsid w:val="00BA6614"/>
    <w:rsid w:val="00BA6A2D"/>
    <w:rsid w:val="00BA6A5A"/>
    <w:rsid w:val="00BA6B79"/>
    <w:rsid w:val="00BA7296"/>
    <w:rsid w:val="00BB0570"/>
    <w:rsid w:val="00BB0858"/>
    <w:rsid w:val="00BB0A3D"/>
    <w:rsid w:val="00BB0B42"/>
    <w:rsid w:val="00BB0E9F"/>
    <w:rsid w:val="00BB25BE"/>
    <w:rsid w:val="00BB2871"/>
    <w:rsid w:val="00BB2981"/>
    <w:rsid w:val="00BB2984"/>
    <w:rsid w:val="00BB2E1A"/>
    <w:rsid w:val="00BB2EE6"/>
    <w:rsid w:val="00BB37D6"/>
    <w:rsid w:val="00BB3E0F"/>
    <w:rsid w:val="00BB3E3F"/>
    <w:rsid w:val="00BB417B"/>
    <w:rsid w:val="00BB4415"/>
    <w:rsid w:val="00BB4EE4"/>
    <w:rsid w:val="00BB506D"/>
    <w:rsid w:val="00BB523B"/>
    <w:rsid w:val="00BB52BA"/>
    <w:rsid w:val="00BB52CE"/>
    <w:rsid w:val="00BB5723"/>
    <w:rsid w:val="00BB59EE"/>
    <w:rsid w:val="00BB5EE4"/>
    <w:rsid w:val="00BB64DF"/>
    <w:rsid w:val="00BB6734"/>
    <w:rsid w:val="00BB6B22"/>
    <w:rsid w:val="00BB7167"/>
    <w:rsid w:val="00BB7C0A"/>
    <w:rsid w:val="00BB7F51"/>
    <w:rsid w:val="00BC0316"/>
    <w:rsid w:val="00BC0714"/>
    <w:rsid w:val="00BC11F4"/>
    <w:rsid w:val="00BC1945"/>
    <w:rsid w:val="00BC1E79"/>
    <w:rsid w:val="00BC2457"/>
    <w:rsid w:val="00BC3185"/>
    <w:rsid w:val="00BC3D5C"/>
    <w:rsid w:val="00BC3DEE"/>
    <w:rsid w:val="00BC4279"/>
    <w:rsid w:val="00BC443C"/>
    <w:rsid w:val="00BC557C"/>
    <w:rsid w:val="00BC620C"/>
    <w:rsid w:val="00BC6592"/>
    <w:rsid w:val="00BC697E"/>
    <w:rsid w:val="00BC6B29"/>
    <w:rsid w:val="00BC6DA4"/>
    <w:rsid w:val="00BC70B3"/>
    <w:rsid w:val="00BC710E"/>
    <w:rsid w:val="00BD0593"/>
    <w:rsid w:val="00BD084C"/>
    <w:rsid w:val="00BD0955"/>
    <w:rsid w:val="00BD0E3B"/>
    <w:rsid w:val="00BD0F29"/>
    <w:rsid w:val="00BD23AC"/>
    <w:rsid w:val="00BD2669"/>
    <w:rsid w:val="00BD3020"/>
    <w:rsid w:val="00BD3453"/>
    <w:rsid w:val="00BD388F"/>
    <w:rsid w:val="00BD3BD7"/>
    <w:rsid w:val="00BD406B"/>
    <w:rsid w:val="00BD4B5C"/>
    <w:rsid w:val="00BD55C1"/>
    <w:rsid w:val="00BD584B"/>
    <w:rsid w:val="00BD596D"/>
    <w:rsid w:val="00BD59CB"/>
    <w:rsid w:val="00BD63D3"/>
    <w:rsid w:val="00BD668E"/>
    <w:rsid w:val="00BD71AC"/>
    <w:rsid w:val="00BE00AE"/>
    <w:rsid w:val="00BE0360"/>
    <w:rsid w:val="00BE06FC"/>
    <w:rsid w:val="00BE0D3B"/>
    <w:rsid w:val="00BE0F51"/>
    <w:rsid w:val="00BE1948"/>
    <w:rsid w:val="00BE1F96"/>
    <w:rsid w:val="00BE219D"/>
    <w:rsid w:val="00BE2242"/>
    <w:rsid w:val="00BE225E"/>
    <w:rsid w:val="00BE2540"/>
    <w:rsid w:val="00BE27CD"/>
    <w:rsid w:val="00BE2804"/>
    <w:rsid w:val="00BE323B"/>
    <w:rsid w:val="00BE33BB"/>
    <w:rsid w:val="00BE3886"/>
    <w:rsid w:val="00BE3973"/>
    <w:rsid w:val="00BE4B51"/>
    <w:rsid w:val="00BE4C3A"/>
    <w:rsid w:val="00BE4CA8"/>
    <w:rsid w:val="00BE4D14"/>
    <w:rsid w:val="00BE4D76"/>
    <w:rsid w:val="00BE4E9F"/>
    <w:rsid w:val="00BE50E6"/>
    <w:rsid w:val="00BE53C1"/>
    <w:rsid w:val="00BE54AA"/>
    <w:rsid w:val="00BE54C8"/>
    <w:rsid w:val="00BE55C1"/>
    <w:rsid w:val="00BE5763"/>
    <w:rsid w:val="00BE5A25"/>
    <w:rsid w:val="00BE725D"/>
    <w:rsid w:val="00BE775D"/>
    <w:rsid w:val="00BE78C6"/>
    <w:rsid w:val="00BE7D7F"/>
    <w:rsid w:val="00BF07C6"/>
    <w:rsid w:val="00BF145C"/>
    <w:rsid w:val="00BF153A"/>
    <w:rsid w:val="00BF18E1"/>
    <w:rsid w:val="00BF1AE1"/>
    <w:rsid w:val="00BF1B14"/>
    <w:rsid w:val="00BF1F5A"/>
    <w:rsid w:val="00BF1F6A"/>
    <w:rsid w:val="00BF2C44"/>
    <w:rsid w:val="00BF2E3D"/>
    <w:rsid w:val="00BF2F36"/>
    <w:rsid w:val="00BF35D5"/>
    <w:rsid w:val="00BF3BED"/>
    <w:rsid w:val="00BF3EB7"/>
    <w:rsid w:val="00BF4581"/>
    <w:rsid w:val="00BF45C7"/>
    <w:rsid w:val="00BF598B"/>
    <w:rsid w:val="00BF62ED"/>
    <w:rsid w:val="00BF6901"/>
    <w:rsid w:val="00BF691F"/>
    <w:rsid w:val="00BF6B49"/>
    <w:rsid w:val="00BF70EF"/>
    <w:rsid w:val="00BF717A"/>
    <w:rsid w:val="00BF7570"/>
    <w:rsid w:val="00BF7787"/>
    <w:rsid w:val="00BF7A50"/>
    <w:rsid w:val="00C0070B"/>
    <w:rsid w:val="00C0143A"/>
    <w:rsid w:val="00C01ACA"/>
    <w:rsid w:val="00C020D3"/>
    <w:rsid w:val="00C02105"/>
    <w:rsid w:val="00C02412"/>
    <w:rsid w:val="00C02451"/>
    <w:rsid w:val="00C027DE"/>
    <w:rsid w:val="00C03130"/>
    <w:rsid w:val="00C03851"/>
    <w:rsid w:val="00C03A8D"/>
    <w:rsid w:val="00C0401F"/>
    <w:rsid w:val="00C0404B"/>
    <w:rsid w:val="00C04506"/>
    <w:rsid w:val="00C0479E"/>
    <w:rsid w:val="00C05044"/>
    <w:rsid w:val="00C0525D"/>
    <w:rsid w:val="00C056A1"/>
    <w:rsid w:val="00C058CF"/>
    <w:rsid w:val="00C05979"/>
    <w:rsid w:val="00C05CF3"/>
    <w:rsid w:val="00C05D05"/>
    <w:rsid w:val="00C05E31"/>
    <w:rsid w:val="00C05EEA"/>
    <w:rsid w:val="00C0637C"/>
    <w:rsid w:val="00C06765"/>
    <w:rsid w:val="00C073B8"/>
    <w:rsid w:val="00C10137"/>
    <w:rsid w:val="00C10327"/>
    <w:rsid w:val="00C10B52"/>
    <w:rsid w:val="00C10CB4"/>
    <w:rsid w:val="00C11A8A"/>
    <w:rsid w:val="00C1233E"/>
    <w:rsid w:val="00C1288D"/>
    <w:rsid w:val="00C1295B"/>
    <w:rsid w:val="00C129D8"/>
    <w:rsid w:val="00C12A28"/>
    <w:rsid w:val="00C13181"/>
    <w:rsid w:val="00C13249"/>
    <w:rsid w:val="00C1375D"/>
    <w:rsid w:val="00C1398F"/>
    <w:rsid w:val="00C14109"/>
    <w:rsid w:val="00C144FA"/>
    <w:rsid w:val="00C14663"/>
    <w:rsid w:val="00C1483D"/>
    <w:rsid w:val="00C14B60"/>
    <w:rsid w:val="00C14CC1"/>
    <w:rsid w:val="00C14CF3"/>
    <w:rsid w:val="00C15F00"/>
    <w:rsid w:val="00C16585"/>
    <w:rsid w:val="00C166B1"/>
    <w:rsid w:val="00C16FBE"/>
    <w:rsid w:val="00C20DDC"/>
    <w:rsid w:val="00C21426"/>
    <w:rsid w:val="00C21596"/>
    <w:rsid w:val="00C215B4"/>
    <w:rsid w:val="00C2164A"/>
    <w:rsid w:val="00C22141"/>
    <w:rsid w:val="00C22684"/>
    <w:rsid w:val="00C23425"/>
    <w:rsid w:val="00C234AA"/>
    <w:rsid w:val="00C238D4"/>
    <w:rsid w:val="00C23B7D"/>
    <w:rsid w:val="00C24141"/>
    <w:rsid w:val="00C25170"/>
    <w:rsid w:val="00C25D06"/>
    <w:rsid w:val="00C2623F"/>
    <w:rsid w:val="00C267FB"/>
    <w:rsid w:val="00C26C21"/>
    <w:rsid w:val="00C26D04"/>
    <w:rsid w:val="00C27818"/>
    <w:rsid w:val="00C278E2"/>
    <w:rsid w:val="00C279AE"/>
    <w:rsid w:val="00C30742"/>
    <w:rsid w:val="00C3075A"/>
    <w:rsid w:val="00C30803"/>
    <w:rsid w:val="00C30821"/>
    <w:rsid w:val="00C30AC0"/>
    <w:rsid w:val="00C31376"/>
    <w:rsid w:val="00C31738"/>
    <w:rsid w:val="00C31CF4"/>
    <w:rsid w:val="00C31FA9"/>
    <w:rsid w:val="00C32A0F"/>
    <w:rsid w:val="00C33064"/>
    <w:rsid w:val="00C33751"/>
    <w:rsid w:val="00C33754"/>
    <w:rsid w:val="00C33CE6"/>
    <w:rsid w:val="00C3459E"/>
    <w:rsid w:val="00C34831"/>
    <w:rsid w:val="00C349A8"/>
    <w:rsid w:val="00C34C8A"/>
    <w:rsid w:val="00C3556B"/>
    <w:rsid w:val="00C35959"/>
    <w:rsid w:val="00C35C33"/>
    <w:rsid w:val="00C35DEB"/>
    <w:rsid w:val="00C36132"/>
    <w:rsid w:val="00C366CC"/>
    <w:rsid w:val="00C36931"/>
    <w:rsid w:val="00C36B0E"/>
    <w:rsid w:val="00C36DCF"/>
    <w:rsid w:val="00C36F19"/>
    <w:rsid w:val="00C36F3B"/>
    <w:rsid w:val="00C377B5"/>
    <w:rsid w:val="00C37F13"/>
    <w:rsid w:val="00C4065E"/>
    <w:rsid w:val="00C406FC"/>
    <w:rsid w:val="00C40970"/>
    <w:rsid w:val="00C4172E"/>
    <w:rsid w:val="00C41ADD"/>
    <w:rsid w:val="00C41AEC"/>
    <w:rsid w:val="00C41B4A"/>
    <w:rsid w:val="00C41C29"/>
    <w:rsid w:val="00C41CFF"/>
    <w:rsid w:val="00C4208B"/>
    <w:rsid w:val="00C42370"/>
    <w:rsid w:val="00C423A6"/>
    <w:rsid w:val="00C425AB"/>
    <w:rsid w:val="00C427C1"/>
    <w:rsid w:val="00C4292D"/>
    <w:rsid w:val="00C42EBC"/>
    <w:rsid w:val="00C44D7E"/>
    <w:rsid w:val="00C45017"/>
    <w:rsid w:val="00C45B37"/>
    <w:rsid w:val="00C45D24"/>
    <w:rsid w:val="00C45E0D"/>
    <w:rsid w:val="00C465AD"/>
    <w:rsid w:val="00C46E24"/>
    <w:rsid w:val="00C4701E"/>
    <w:rsid w:val="00C47031"/>
    <w:rsid w:val="00C47A89"/>
    <w:rsid w:val="00C47AA9"/>
    <w:rsid w:val="00C5000B"/>
    <w:rsid w:val="00C50DD5"/>
    <w:rsid w:val="00C51135"/>
    <w:rsid w:val="00C52D4E"/>
    <w:rsid w:val="00C54342"/>
    <w:rsid w:val="00C54476"/>
    <w:rsid w:val="00C54958"/>
    <w:rsid w:val="00C54AFB"/>
    <w:rsid w:val="00C54BCC"/>
    <w:rsid w:val="00C54C6A"/>
    <w:rsid w:val="00C54E9B"/>
    <w:rsid w:val="00C554E6"/>
    <w:rsid w:val="00C55516"/>
    <w:rsid w:val="00C556C9"/>
    <w:rsid w:val="00C558BA"/>
    <w:rsid w:val="00C5629E"/>
    <w:rsid w:val="00C56776"/>
    <w:rsid w:val="00C56A22"/>
    <w:rsid w:val="00C56A6C"/>
    <w:rsid w:val="00C56BCE"/>
    <w:rsid w:val="00C57272"/>
    <w:rsid w:val="00C57607"/>
    <w:rsid w:val="00C5784A"/>
    <w:rsid w:val="00C608E2"/>
    <w:rsid w:val="00C60EAC"/>
    <w:rsid w:val="00C61C2A"/>
    <w:rsid w:val="00C61D1F"/>
    <w:rsid w:val="00C61F2C"/>
    <w:rsid w:val="00C61F7C"/>
    <w:rsid w:val="00C61FF6"/>
    <w:rsid w:val="00C62121"/>
    <w:rsid w:val="00C62948"/>
    <w:rsid w:val="00C62B54"/>
    <w:rsid w:val="00C6336E"/>
    <w:rsid w:val="00C63A96"/>
    <w:rsid w:val="00C63D27"/>
    <w:rsid w:val="00C64184"/>
    <w:rsid w:val="00C64A1C"/>
    <w:rsid w:val="00C64BF5"/>
    <w:rsid w:val="00C64E7F"/>
    <w:rsid w:val="00C65280"/>
    <w:rsid w:val="00C65685"/>
    <w:rsid w:val="00C65E42"/>
    <w:rsid w:val="00C65E65"/>
    <w:rsid w:val="00C65EA0"/>
    <w:rsid w:val="00C6655D"/>
    <w:rsid w:val="00C66837"/>
    <w:rsid w:val="00C66930"/>
    <w:rsid w:val="00C66A64"/>
    <w:rsid w:val="00C672F5"/>
    <w:rsid w:val="00C674C0"/>
    <w:rsid w:val="00C678F9"/>
    <w:rsid w:val="00C67E5B"/>
    <w:rsid w:val="00C7022B"/>
    <w:rsid w:val="00C70D46"/>
    <w:rsid w:val="00C71293"/>
    <w:rsid w:val="00C71C18"/>
    <w:rsid w:val="00C71CBF"/>
    <w:rsid w:val="00C72058"/>
    <w:rsid w:val="00C732DE"/>
    <w:rsid w:val="00C7395B"/>
    <w:rsid w:val="00C73DD8"/>
    <w:rsid w:val="00C7405E"/>
    <w:rsid w:val="00C740BE"/>
    <w:rsid w:val="00C74748"/>
    <w:rsid w:val="00C7475F"/>
    <w:rsid w:val="00C74E6B"/>
    <w:rsid w:val="00C7544E"/>
    <w:rsid w:val="00C75931"/>
    <w:rsid w:val="00C75A6E"/>
    <w:rsid w:val="00C75EDE"/>
    <w:rsid w:val="00C7676A"/>
    <w:rsid w:val="00C76D32"/>
    <w:rsid w:val="00C776FD"/>
    <w:rsid w:val="00C77850"/>
    <w:rsid w:val="00C779D3"/>
    <w:rsid w:val="00C800B8"/>
    <w:rsid w:val="00C80240"/>
    <w:rsid w:val="00C8040E"/>
    <w:rsid w:val="00C80768"/>
    <w:rsid w:val="00C80A19"/>
    <w:rsid w:val="00C80D56"/>
    <w:rsid w:val="00C80E59"/>
    <w:rsid w:val="00C82317"/>
    <w:rsid w:val="00C83030"/>
    <w:rsid w:val="00C83A51"/>
    <w:rsid w:val="00C841D7"/>
    <w:rsid w:val="00C84326"/>
    <w:rsid w:val="00C8437F"/>
    <w:rsid w:val="00C847FD"/>
    <w:rsid w:val="00C84A24"/>
    <w:rsid w:val="00C84F60"/>
    <w:rsid w:val="00C8550B"/>
    <w:rsid w:val="00C858DD"/>
    <w:rsid w:val="00C864B0"/>
    <w:rsid w:val="00C86677"/>
    <w:rsid w:val="00C873B3"/>
    <w:rsid w:val="00C87969"/>
    <w:rsid w:val="00C87DFF"/>
    <w:rsid w:val="00C87F54"/>
    <w:rsid w:val="00C90163"/>
    <w:rsid w:val="00C909CA"/>
    <w:rsid w:val="00C90CD7"/>
    <w:rsid w:val="00C90D24"/>
    <w:rsid w:val="00C913F6"/>
    <w:rsid w:val="00C9157A"/>
    <w:rsid w:val="00C91C4C"/>
    <w:rsid w:val="00C921E1"/>
    <w:rsid w:val="00C9296D"/>
    <w:rsid w:val="00C92B52"/>
    <w:rsid w:val="00C931C4"/>
    <w:rsid w:val="00C9395A"/>
    <w:rsid w:val="00C93A73"/>
    <w:rsid w:val="00C944FB"/>
    <w:rsid w:val="00C94A69"/>
    <w:rsid w:val="00C94B8B"/>
    <w:rsid w:val="00C94ECB"/>
    <w:rsid w:val="00C9509A"/>
    <w:rsid w:val="00C950E6"/>
    <w:rsid w:val="00C952F6"/>
    <w:rsid w:val="00C9566F"/>
    <w:rsid w:val="00C95768"/>
    <w:rsid w:val="00C95C70"/>
    <w:rsid w:val="00C95D12"/>
    <w:rsid w:val="00C95F6E"/>
    <w:rsid w:val="00C96324"/>
    <w:rsid w:val="00C96D3F"/>
    <w:rsid w:val="00C96E8A"/>
    <w:rsid w:val="00C972FF"/>
    <w:rsid w:val="00C97E2C"/>
    <w:rsid w:val="00CA0D9D"/>
    <w:rsid w:val="00CA0E2E"/>
    <w:rsid w:val="00CA144E"/>
    <w:rsid w:val="00CA1EC2"/>
    <w:rsid w:val="00CA2368"/>
    <w:rsid w:val="00CA2826"/>
    <w:rsid w:val="00CA33F0"/>
    <w:rsid w:val="00CA3447"/>
    <w:rsid w:val="00CA4A64"/>
    <w:rsid w:val="00CA5190"/>
    <w:rsid w:val="00CA5621"/>
    <w:rsid w:val="00CA5768"/>
    <w:rsid w:val="00CA57D5"/>
    <w:rsid w:val="00CA5932"/>
    <w:rsid w:val="00CA6099"/>
    <w:rsid w:val="00CA678A"/>
    <w:rsid w:val="00CA6E7C"/>
    <w:rsid w:val="00CA76F9"/>
    <w:rsid w:val="00CA7F05"/>
    <w:rsid w:val="00CB05FC"/>
    <w:rsid w:val="00CB078E"/>
    <w:rsid w:val="00CB1741"/>
    <w:rsid w:val="00CB1CBD"/>
    <w:rsid w:val="00CB200F"/>
    <w:rsid w:val="00CB2ABF"/>
    <w:rsid w:val="00CB2CC2"/>
    <w:rsid w:val="00CB2EAD"/>
    <w:rsid w:val="00CB3076"/>
    <w:rsid w:val="00CB3B54"/>
    <w:rsid w:val="00CB3BAA"/>
    <w:rsid w:val="00CB402B"/>
    <w:rsid w:val="00CB4C28"/>
    <w:rsid w:val="00CB4DF6"/>
    <w:rsid w:val="00CB58AA"/>
    <w:rsid w:val="00CB59CC"/>
    <w:rsid w:val="00CB6110"/>
    <w:rsid w:val="00CB6573"/>
    <w:rsid w:val="00CB6B48"/>
    <w:rsid w:val="00CB6D28"/>
    <w:rsid w:val="00CB6F76"/>
    <w:rsid w:val="00CB7602"/>
    <w:rsid w:val="00CB7625"/>
    <w:rsid w:val="00CB7AA6"/>
    <w:rsid w:val="00CC006E"/>
    <w:rsid w:val="00CC028C"/>
    <w:rsid w:val="00CC0CFB"/>
    <w:rsid w:val="00CC0F97"/>
    <w:rsid w:val="00CC14D7"/>
    <w:rsid w:val="00CC15CE"/>
    <w:rsid w:val="00CC1644"/>
    <w:rsid w:val="00CC1791"/>
    <w:rsid w:val="00CC190B"/>
    <w:rsid w:val="00CC1F8A"/>
    <w:rsid w:val="00CC22FC"/>
    <w:rsid w:val="00CC255A"/>
    <w:rsid w:val="00CC2741"/>
    <w:rsid w:val="00CC300A"/>
    <w:rsid w:val="00CC3095"/>
    <w:rsid w:val="00CC3342"/>
    <w:rsid w:val="00CC3580"/>
    <w:rsid w:val="00CC366C"/>
    <w:rsid w:val="00CC4788"/>
    <w:rsid w:val="00CC4B87"/>
    <w:rsid w:val="00CC4E92"/>
    <w:rsid w:val="00CC520E"/>
    <w:rsid w:val="00CC5731"/>
    <w:rsid w:val="00CC62D0"/>
    <w:rsid w:val="00CC6367"/>
    <w:rsid w:val="00CC648B"/>
    <w:rsid w:val="00CC74A9"/>
    <w:rsid w:val="00CD0B26"/>
    <w:rsid w:val="00CD0C16"/>
    <w:rsid w:val="00CD0FA3"/>
    <w:rsid w:val="00CD1360"/>
    <w:rsid w:val="00CD148D"/>
    <w:rsid w:val="00CD1AAF"/>
    <w:rsid w:val="00CD1AD8"/>
    <w:rsid w:val="00CD1BCE"/>
    <w:rsid w:val="00CD26E1"/>
    <w:rsid w:val="00CD2A7E"/>
    <w:rsid w:val="00CD3DCB"/>
    <w:rsid w:val="00CD435E"/>
    <w:rsid w:val="00CD43D0"/>
    <w:rsid w:val="00CD4BE3"/>
    <w:rsid w:val="00CD4C1F"/>
    <w:rsid w:val="00CD4C71"/>
    <w:rsid w:val="00CD4DEF"/>
    <w:rsid w:val="00CD5049"/>
    <w:rsid w:val="00CD52D0"/>
    <w:rsid w:val="00CD5496"/>
    <w:rsid w:val="00CD5795"/>
    <w:rsid w:val="00CD5BEF"/>
    <w:rsid w:val="00CD5E92"/>
    <w:rsid w:val="00CD69E4"/>
    <w:rsid w:val="00CD6F88"/>
    <w:rsid w:val="00CD7284"/>
    <w:rsid w:val="00CD7779"/>
    <w:rsid w:val="00CD78F8"/>
    <w:rsid w:val="00CD792A"/>
    <w:rsid w:val="00CE0745"/>
    <w:rsid w:val="00CE0A4F"/>
    <w:rsid w:val="00CE0F78"/>
    <w:rsid w:val="00CE1007"/>
    <w:rsid w:val="00CE1C3F"/>
    <w:rsid w:val="00CE1E63"/>
    <w:rsid w:val="00CE20C0"/>
    <w:rsid w:val="00CE2234"/>
    <w:rsid w:val="00CE28D1"/>
    <w:rsid w:val="00CE2A49"/>
    <w:rsid w:val="00CE34D5"/>
    <w:rsid w:val="00CE420B"/>
    <w:rsid w:val="00CE4240"/>
    <w:rsid w:val="00CE53DA"/>
    <w:rsid w:val="00CE544E"/>
    <w:rsid w:val="00CE59C4"/>
    <w:rsid w:val="00CE5D55"/>
    <w:rsid w:val="00CE5FE9"/>
    <w:rsid w:val="00CE6544"/>
    <w:rsid w:val="00CE684F"/>
    <w:rsid w:val="00CE6E13"/>
    <w:rsid w:val="00CE736C"/>
    <w:rsid w:val="00CE74A6"/>
    <w:rsid w:val="00CE7F64"/>
    <w:rsid w:val="00CF09DB"/>
    <w:rsid w:val="00CF0CC4"/>
    <w:rsid w:val="00CF0FBA"/>
    <w:rsid w:val="00CF103A"/>
    <w:rsid w:val="00CF1772"/>
    <w:rsid w:val="00CF1A1B"/>
    <w:rsid w:val="00CF1D3B"/>
    <w:rsid w:val="00CF274F"/>
    <w:rsid w:val="00CF2AE7"/>
    <w:rsid w:val="00CF2AF6"/>
    <w:rsid w:val="00CF3A22"/>
    <w:rsid w:val="00CF4312"/>
    <w:rsid w:val="00CF48E0"/>
    <w:rsid w:val="00CF57B5"/>
    <w:rsid w:val="00CF59B8"/>
    <w:rsid w:val="00CF61EE"/>
    <w:rsid w:val="00CF666C"/>
    <w:rsid w:val="00CF6C6E"/>
    <w:rsid w:val="00CF72C7"/>
    <w:rsid w:val="00CF7F0B"/>
    <w:rsid w:val="00D000B6"/>
    <w:rsid w:val="00D00468"/>
    <w:rsid w:val="00D007BD"/>
    <w:rsid w:val="00D0137F"/>
    <w:rsid w:val="00D014F6"/>
    <w:rsid w:val="00D01CC5"/>
    <w:rsid w:val="00D02E43"/>
    <w:rsid w:val="00D03221"/>
    <w:rsid w:val="00D034F7"/>
    <w:rsid w:val="00D03A48"/>
    <w:rsid w:val="00D03ADB"/>
    <w:rsid w:val="00D03D37"/>
    <w:rsid w:val="00D0415E"/>
    <w:rsid w:val="00D0487C"/>
    <w:rsid w:val="00D04900"/>
    <w:rsid w:val="00D05B57"/>
    <w:rsid w:val="00D05B8F"/>
    <w:rsid w:val="00D06A61"/>
    <w:rsid w:val="00D06D42"/>
    <w:rsid w:val="00D07603"/>
    <w:rsid w:val="00D07987"/>
    <w:rsid w:val="00D1043E"/>
    <w:rsid w:val="00D1122D"/>
    <w:rsid w:val="00D116A9"/>
    <w:rsid w:val="00D1171F"/>
    <w:rsid w:val="00D11AE3"/>
    <w:rsid w:val="00D11FD8"/>
    <w:rsid w:val="00D12257"/>
    <w:rsid w:val="00D12337"/>
    <w:rsid w:val="00D12654"/>
    <w:rsid w:val="00D1278A"/>
    <w:rsid w:val="00D12861"/>
    <w:rsid w:val="00D128DE"/>
    <w:rsid w:val="00D12912"/>
    <w:rsid w:val="00D12BC0"/>
    <w:rsid w:val="00D13091"/>
    <w:rsid w:val="00D130E9"/>
    <w:rsid w:val="00D13463"/>
    <w:rsid w:val="00D13B6A"/>
    <w:rsid w:val="00D13EE5"/>
    <w:rsid w:val="00D144D9"/>
    <w:rsid w:val="00D145D6"/>
    <w:rsid w:val="00D14B39"/>
    <w:rsid w:val="00D14F9E"/>
    <w:rsid w:val="00D15534"/>
    <w:rsid w:val="00D156E2"/>
    <w:rsid w:val="00D15BF1"/>
    <w:rsid w:val="00D15F8C"/>
    <w:rsid w:val="00D15FDA"/>
    <w:rsid w:val="00D1628F"/>
    <w:rsid w:val="00D163E8"/>
    <w:rsid w:val="00D16487"/>
    <w:rsid w:val="00D16EF3"/>
    <w:rsid w:val="00D170AB"/>
    <w:rsid w:val="00D17403"/>
    <w:rsid w:val="00D1783A"/>
    <w:rsid w:val="00D17A65"/>
    <w:rsid w:val="00D17D72"/>
    <w:rsid w:val="00D206D9"/>
    <w:rsid w:val="00D2073E"/>
    <w:rsid w:val="00D20BC6"/>
    <w:rsid w:val="00D2113C"/>
    <w:rsid w:val="00D216B0"/>
    <w:rsid w:val="00D217B0"/>
    <w:rsid w:val="00D22600"/>
    <w:rsid w:val="00D23143"/>
    <w:rsid w:val="00D234F1"/>
    <w:rsid w:val="00D2393D"/>
    <w:rsid w:val="00D239A6"/>
    <w:rsid w:val="00D23AC1"/>
    <w:rsid w:val="00D23D55"/>
    <w:rsid w:val="00D24879"/>
    <w:rsid w:val="00D25127"/>
    <w:rsid w:val="00D2516B"/>
    <w:rsid w:val="00D25446"/>
    <w:rsid w:val="00D25644"/>
    <w:rsid w:val="00D26A3E"/>
    <w:rsid w:val="00D26DF0"/>
    <w:rsid w:val="00D3012E"/>
    <w:rsid w:val="00D3055C"/>
    <w:rsid w:val="00D31919"/>
    <w:rsid w:val="00D31AB6"/>
    <w:rsid w:val="00D31C12"/>
    <w:rsid w:val="00D31E16"/>
    <w:rsid w:val="00D31E1C"/>
    <w:rsid w:val="00D32425"/>
    <w:rsid w:val="00D32A73"/>
    <w:rsid w:val="00D32B3D"/>
    <w:rsid w:val="00D32C96"/>
    <w:rsid w:val="00D33963"/>
    <w:rsid w:val="00D33F0B"/>
    <w:rsid w:val="00D3439D"/>
    <w:rsid w:val="00D34D2A"/>
    <w:rsid w:val="00D35A8B"/>
    <w:rsid w:val="00D361A3"/>
    <w:rsid w:val="00D3627E"/>
    <w:rsid w:val="00D36596"/>
    <w:rsid w:val="00D368FA"/>
    <w:rsid w:val="00D369C4"/>
    <w:rsid w:val="00D37130"/>
    <w:rsid w:val="00D374D9"/>
    <w:rsid w:val="00D37534"/>
    <w:rsid w:val="00D37884"/>
    <w:rsid w:val="00D378C3"/>
    <w:rsid w:val="00D37C57"/>
    <w:rsid w:val="00D37E5A"/>
    <w:rsid w:val="00D40460"/>
    <w:rsid w:val="00D405B1"/>
    <w:rsid w:val="00D405F3"/>
    <w:rsid w:val="00D40931"/>
    <w:rsid w:val="00D40D3A"/>
    <w:rsid w:val="00D41108"/>
    <w:rsid w:val="00D4158B"/>
    <w:rsid w:val="00D415DF"/>
    <w:rsid w:val="00D4192A"/>
    <w:rsid w:val="00D4235A"/>
    <w:rsid w:val="00D425E9"/>
    <w:rsid w:val="00D428A5"/>
    <w:rsid w:val="00D429DA"/>
    <w:rsid w:val="00D42C4F"/>
    <w:rsid w:val="00D42C68"/>
    <w:rsid w:val="00D430C7"/>
    <w:rsid w:val="00D431D2"/>
    <w:rsid w:val="00D43C44"/>
    <w:rsid w:val="00D43DC7"/>
    <w:rsid w:val="00D43EDF"/>
    <w:rsid w:val="00D43F26"/>
    <w:rsid w:val="00D44110"/>
    <w:rsid w:val="00D4431F"/>
    <w:rsid w:val="00D445C9"/>
    <w:rsid w:val="00D44DCD"/>
    <w:rsid w:val="00D45106"/>
    <w:rsid w:val="00D4559B"/>
    <w:rsid w:val="00D4580C"/>
    <w:rsid w:val="00D459FA"/>
    <w:rsid w:val="00D46385"/>
    <w:rsid w:val="00D46617"/>
    <w:rsid w:val="00D46A74"/>
    <w:rsid w:val="00D472D1"/>
    <w:rsid w:val="00D47544"/>
    <w:rsid w:val="00D4779E"/>
    <w:rsid w:val="00D47911"/>
    <w:rsid w:val="00D47BA4"/>
    <w:rsid w:val="00D50798"/>
    <w:rsid w:val="00D50B0A"/>
    <w:rsid w:val="00D50C75"/>
    <w:rsid w:val="00D51180"/>
    <w:rsid w:val="00D5160D"/>
    <w:rsid w:val="00D51AAE"/>
    <w:rsid w:val="00D51C50"/>
    <w:rsid w:val="00D51CF0"/>
    <w:rsid w:val="00D528E9"/>
    <w:rsid w:val="00D52B3B"/>
    <w:rsid w:val="00D52BF2"/>
    <w:rsid w:val="00D53135"/>
    <w:rsid w:val="00D5325F"/>
    <w:rsid w:val="00D5340B"/>
    <w:rsid w:val="00D53593"/>
    <w:rsid w:val="00D53758"/>
    <w:rsid w:val="00D53E59"/>
    <w:rsid w:val="00D54328"/>
    <w:rsid w:val="00D5439F"/>
    <w:rsid w:val="00D545FD"/>
    <w:rsid w:val="00D54659"/>
    <w:rsid w:val="00D54B6D"/>
    <w:rsid w:val="00D55368"/>
    <w:rsid w:val="00D55CFA"/>
    <w:rsid w:val="00D560AD"/>
    <w:rsid w:val="00D564F6"/>
    <w:rsid w:val="00D56744"/>
    <w:rsid w:val="00D57182"/>
    <w:rsid w:val="00D57E83"/>
    <w:rsid w:val="00D60289"/>
    <w:rsid w:val="00D60BCF"/>
    <w:rsid w:val="00D60CB3"/>
    <w:rsid w:val="00D60E92"/>
    <w:rsid w:val="00D610BB"/>
    <w:rsid w:val="00D61343"/>
    <w:rsid w:val="00D61768"/>
    <w:rsid w:val="00D61B4D"/>
    <w:rsid w:val="00D61E0D"/>
    <w:rsid w:val="00D62148"/>
    <w:rsid w:val="00D62335"/>
    <w:rsid w:val="00D63668"/>
    <w:rsid w:val="00D64007"/>
    <w:rsid w:val="00D64244"/>
    <w:rsid w:val="00D64301"/>
    <w:rsid w:val="00D643F2"/>
    <w:rsid w:val="00D65051"/>
    <w:rsid w:val="00D6565D"/>
    <w:rsid w:val="00D65A4C"/>
    <w:rsid w:val="00D664F3"/>
    <w:rsid w:val="00D6664D"/>
    <w:rsid w:val="00D66B66"/>
    <w:rsid w:val="00D66B9D"/>
    <w:rsid w:val="00D66D83"/>
    <w:rsid w:val="00D66EBA"/>
    <w:rsid w:val="00D6780C"/>
    <w:rsid w:val="00D67ACF"/>
    <w:rsid w:val="00D70450"/>
    <w:rsid w:val="00D704B6"/>
    <w:rsid w:val="00D70A46"/>
    <w:rsid w:val="00D70A7B"/>
    <w:rsid w:val="00D7141A"/>
    <w:rsid w:val="00D716E0"/>
    <w:rsid w:val="00D71B4F"/>
    <w:rsid w:val="00D71E4C"/>
    <w:rsid w:val="00D72183"/>
    <w:rsid w:val="00D72193"/>
    <w:rsid w:val="00D72CCB"/>
    <w:rsid w:val="00D73170"/>
    <w:rsid w:val="00D73F99"/>
    <w:rsid w:val="00D745FF"/>
    <w:rsid w:val="00D74891"/>
    <w:rsid w:val="00D748A7"/>
    <w:rsid w:val="00D74944"/>
    <w:rsid w:val="00D75073"/>
    <w:rsid w:val="00D75275"/>
    <w:rsid w:val="00D76591"/>
    <w:rsid w:val="00D76E99"/>
    <w:rsid w:val="00D77775"/>
    <w:rsid w:val="00D7792F"/>
    <w:rsid w:val="00D801D5"/>
    <w:rsid w:val="00D80C55"/>
    <w:rsid w:val="00D81185"/>
    <w:rsid w:val="00D8128B"/>
    <w:rsid w:val="00D82CCC"/>
    <w:rsid w:val="00D831A2"/>
    <w:rsid w:val="00D83837"/>
    <w:rsid w:val="00D839DC"/>
    <w:rsid w:val="00D83EB3"/>
    <w:rsid w:val="00D84202"/>
    <w:rsid w:val="00D85295"/>
    <w:rsid w:val="00D85816"/>
    <w:rsid w:val="00D85AC8"/>
    <w:rsid w:val="00D8658A"/>
    <w:rsid w:val="00D86923"/>
    <w:rsid w:val="00D86A20"/>
    <w:rsid w:val="00D86AB2"/>
    <w:rsid w:val="00D86BB3"/>
    <w:rsid w:val="00D86BF1"/>
    <w:rsid w:val="00D86CEA"/>
    <w:rsid w:val="00D86DBD"/>
    <w:rsid w:val="00D87224"/>
    <w:rsid w:val="00D87B0E"/>
    <w:rsid w:val="00D902B5"/>
    <w:rsid w:val="00D904B8"/>
    <w:rsid w:val="00D91352"/>
    <w:rsid w:val="00D91533"/>
    <w:rsid w:val="00D917EA"/>
    <w:rsid w:val="00D92176"/>
    <w:rsid w:val="00D92303"/>
    <w:rsid w:val="00D92BEF"/>
    <w:rsid w:val="00D93310"/>
    <w:rsid w:val="00D93456"/>
    <w:rsid w:val="00D93873"/>
    <w:rsid w:val="00D93B57"/>
    <w:rsid w:val="00D93DFD"/>
    <w:rsid w:val="00D93F03"/>
    <w:rsid w:val="00D940BD"/>
    <w:rsid w:val="00D94B05"/>
    <w:rsid w:val="00D9569A"/>
    <w:rsid w:val="00D95C29"/>
    <w:rsid w:val="00D95E07"/>
    <w:rsid w:val="00D96B90"/>
    <w:rsid w:val="00D96C18"/>
    <w:rsid w:val="00D96D8C"/>
    <w:rsid w:val="00D96E5A"/>
    <w:rsid w:val="00D96EDB"/>
    <w:rsid w:val="00D9738C"/>
    <w:rsid w:val="00D97BC7"/>
    <w:rsid w:val="00D97D9B"/>
    <w:rsid w:val="00DA0143"/>
    <w:rsid w:val="00DA015C"/>
    <w:rsid w:val="00DA0490"/>
    <w:rsid w:val="00DA177D"/>
    <w:rsid w:val="00DA1D6E"/>
    <w:rsid w:val="00DA2569"/>
    <w:rsid w:val="00DA33AF"/>
    <w:rsid w:val="00DA358A"/>
    <w:rsid w:val="00DA35AA"/>
    <w:rsid w:val="00DA38C6"/>
    <w:rsid w:val="00DA3B53"/>
    <w:rsid w:val="00DA3B6C"/>
    <w:rsid w:val="00DA3CA6"/>
    <w:rsid w:val="00DA534C"/>
    <w:rsid w:val="00DA5647"/>
    <w:rsid w:val="00DA7906"/>
    <w:rsid w:val="00DA7ED4"/>
    <w:rsid w:val="00DB0F12"/>
    <w:rsid w:val="00DB10AC"/>
    <w:rsid w:val="00DB11E1"/>
    <w:rsid w:val="00DB12B5"/>
    <w:rsid w:val="00DB1395"/>
    <w:rsid w:val="00DB1737"/>
    <w:rsid w:val="00DB176B"/>
    <w:rsid w:val="00DB19E7"/>
    <w:rsid w:val="00DB2A66"/>
    <w:rsid w:val="00DB2D0D"/>
    <w:rsid w:val="00DB32A9"/>
    <w:rsid w:val="00DB3438"/>
    <w:rsid w:val="00DB3A82"/>
    <w:rsid w:val="00DB42EC"/>
    <w:rsid w:val="00DB4701"/>
    <w:rsid w:val="00DB4CCE"/>
    <w:rsid w:val="00DB5015"/>
    <w:rsid w:val="00DB5331"/>
    <w:rsid w:val="00DB58E7"/>
    <w:rsid w:val="00DB5AD5"/>
    <w:rsid w:val="00DB5B91"/>
    <w:rsid w:val="00DB62CA"/>
    <w:rsid w:val="00DB6424"/>
    <w:rsid w:val="00DB65CA"/>
    <w:rsid w:val="00DB6AA1"/>
    <w:rsid w:val="00DB6EE4"/>
    <w:rsid w:val="00DB7408"/>
    <w:rsid w:val="00DB746B"/>
    <w:rsid w:val="00DB7991"/>
    <w:rsid w:val="00DB7AFC"/>
    <w:rsid w:val="00DB7EF8"/>
    <w:rsid w:val="00DC063F"/>
    <w:rsid w:val="00DC0E8F"/>
    <w:rsid w:val="00DC0EEF"/>
    <w:rsid w:val="00DC154D"/>
    <w:rsid w:val="00DC1822"/>
    <w:rsid w:val="00DC1A3F"/>
    <w:rsid w:val="00DC206D"/>
    <w:rsid w:val="00DC20C2"/>
    <w:rsid w:val="00DC23BD"/>
    <w:rsid w:val="00DC2736"/>
    <w:rsid w:val="00DC27C5"/>
    <w:rsid w:val="00DC2B4F"/>
    <w:rsid w:val="00DC3905"/>
    <w:rsid w:val="00DC3AF6"/>
    <w:rsid w:val="00DC3C40"/>
    <w:rsid w:val="00DC3C6F"/>
    <w:rsid w:val="00DC41DB"/>
    <w:rsid w:val="00DC423F"/>
    <w:rsid w:val="00DC444E"/>
    <w:rsid w:val="00DC46B9"/>
    <w:rsid w:val="00DC4A3B"/>
    <w:rsid w:val="00DC5377"/>
    <w:rsid w:val="00DC552D"/>
    <w:rsid w:val="00DC5AB3"/>
    <w:rsid w:val="00DC5CA9"/>
    <w:rsid w:val="00DC641F"/>
    <w:rsid w:val="00DC6B6B"/>
    <w:rsid w:val="00DC7803"/>
    <w:rsid w:val="00DC79F7"/>
    <w:rsid w:val="00DC7B46"/>
    <w:rsid w:val="00DC7E70"/>
    <w:rsid w:val="00DD0E63"/>
    <w:rsid w:val="00DD0F7D"/>
    <w:rsid w:val="00DD18B7"/>
    <w:rsid w:val="00DD19DB"/>
    <w:rsid w:val="00DD1DC8"/>
    <w:rsid w:val="00DD2E66"/>
    <w:rsid w:val="00DD312C"/>
    <w:rsid w:val="00DD323E"/>
    <w:rsid w:val="00DD3B13"/>
    <w:rsid w:val="00DD43B8"/>
    <w:rsid w:val="00DD4E17"/>
    <w:rsid w:val="00DD522E"/>
    <w:rsid w:val="00DD5550"/>
    <w:rsid w:val="00DD57EC"/>
    <w:rsid w:val="00DD58FC"/>
    <w:rsid w:val="00DD6D83"/>
    <w:rsid w:val="00DD6FF2"/>
    <w:rsid w:val="00DD71BF"/>
    <w:rsid w:val="00DD7511"/>
    <w:rsid w:val="00DD7519"/>
    <w:rsid w:val="00DD7DA7"/>
    <w:rsid w:val="00DD7DF5"/>
    <w:rsid w:val="00DD7F6F"/>
    <w:rsid w:val="00DE014A"/>
    <w:rsid w:val="00DE0605"/>
    <w:rsid w:val="00DE0707"/>
    <w:rsid w:val="00DE09C8"/>
    <w:rsid w:val="00DE17E4"/>
    <w:rsid w:val="00DE1FD5"/>
    <w:rsid w:val="00DE2232"/>
    <w:rsid w:val="00DE2F5C"/>
    <w:rsid w:val="00DE32E8"/>
    <w:rsid w:val="00DE34CD"/>
    <w:rsid w:val="00DE373F"/>
    <w:rsid w:val="00DE3EF2"/>
    <w:rsid w:val="00DE41DF"/>
    <w:rsid w:val="00DE44BD"/>
    <w:rsid w:val="00DE4641"/>
    <w:rsid w:val="00DE4C17"/>
    <w:rsid w:val="00DE4F98"/>
    <w:rsid w:val="00DE5B27"/>
    <w:rsid w:val="00DE61A1"/>
    <w:rsid w:val="00DE651F"/>
    <w:rsid w:val="00DE6568"/>
    <w:rsid w:val="00DE6746"/>
    <w:rsid w:val="00DE695A"/>
    <w:rsid w:val="00DE7FBF"/>
    <w:rsid w:val="00DF0956"/>
    <w:rsid w:val="00DF099F"/>
    <w:rsid w:val="00DF0D7C"/>
    <w:rsid w:val="00DF1542"/>
    <w:rsid w:val="00DF1685"/>
    <w:rsid w:val="00DF276C"/>
    <w:rsid w:val="00DF3056"/>
    <w:rsid w:val="00DF3440"/>
    <w:rsid w:val="00DF379A"/>
    <w:rsid w:val="00DF3A28"/>
    <w:rsid w:val="00DF407D"/>
    <w:rsid w:val="00DF40D1"/>
    <w:rsid w:val="00DF449C"/>
    <w:rsid w:val="00DF4712"/>
    <w:rsid w:val="00DF487A"/>
    <w:rsid w:val="00DF4927"/>
    <w:rsid w:val="00DF4A91"/>
    <w:rsid w:val="00DF511B"/>
    <w:rsid w:val="00DF5A30"/>
    <w:rsid w:val="00DF5A5F"/>
    <w:rsid w:val="00DF607C"/>
    <w:rsid w:val="00DF609B"/>
    <w:rsid w:val="00DF6F5B"/>
    <w:rsid w:val="00DF794B"/>
    <w:rsid w:val="00DF7A0F"/>
    <w:rsid w:val="00DF7A48"/>
    <w:rsid w:val="00DF7DF1"/>
    <w:rsid w:val="00DF7E49"/>
    <w:rsid w:val="00E000B6"/>
    <w:rsid w:val="00E00220"/>
    <w:rsid w:val="00E002D8"/>
    <w:rsid w:val="00E00B48"/>
    <w:rsid w:val="00E01BD1"/>
    <w:rsid w:val="00E01C17"/>
    <w:rsid w:val="00E01C7E"/>
    <w:rsid w:val="00E01FF3"/>
    <w:rsid w:val="00E02356"/>
    <w:rsid w:val="00E034A1"/>
    <w:rsid w:val="00E035B2"/>
    <w:rsid w:val="00E035BC"/>
    <w:rsid w:val="00E03EAA"/>
    <w:rsid w:val="00E042FA"/>
    <w:rsid w:val="00E05599"/>
    <w:rsid w:val="00E05C49"/>
    <w:rsid w:val="00E05DC5"/>
    <w:rsid w:val="00E05E02"/>
    <w:rsid w:val="00E0607F"/>
    <w:rsid w:val="00E0696E"/>
    <w:rsid w:val="00E06971"/>
    <w:rsid w:val="00E07A2F"/>
    <w:rsid w:val="00E07FC6"/>
    <w:rsid w:val="00E1012C"/>
    <w:rsid w:val="00E10B3D"/>
    <w:rsid w:val="00E10F0D"/>
    <w:rsid w:val="00E118B6"/>
    <w:rsid w:val="00E11CB3"/>
    <w:rsid w:val="00E11E59"/>
    <w:rsid w:val="00E11EE1"/>
    <w:rsid w:val="00E12584"/>
    <w:rsid w:val="00E12E62"/>
    <w:rsid w:val="00E13982"/>
    <w:rsid w:val="00E143CA"/>
    <w:rsid w:val="00E146FB"/>
    <w:rsid w:val="00E14B0C"/>
    <w:rsid w:val="00E14F47"/>
    <w:rsid w:val="00E15024"/>
    <w:rsid w:val="00E15320"/>
    <w:rsid w:val="00E15391"/>
    <w:rsid w:val="00E16009"/>
    <w:rsid w:val="00E16232"/>
    <w:rsid w:val="00E16264"/>
    <w:rsid w:val="00E16713"/>
    <w:rsid w:val="00E16D5C"/>
    <w:rsid w:val="00E174E8"/>
    <w:rsid w:val="00E20720"/>
    <w:rsid w:val="00E20BAC"/>
    <w:rsid w:val="00E20E9F"/>
    <w:rsid w:val="00E217EC"/>
    <w:rsid w:val="00E217F2"/>
    <w:rsid w:val="00E22133"/>
    <w:rsid w:val="00E222F3"/>
    <w:rsid w:val="00E2247D"/>
    <w:rsid w:val="00E226C7"/>
    <w:rsid w:val="00E226F5"/>
    <w:rsid w:val="00E22B3D"/>
    <w:rsid w:val="00E22DA8"/>
    <w:rsid w:val="00E234F6"/>
    <w:rsid w:val="00E23C0F"/>
    <w:rsid w:val="00E23D64"/>
    <w:rsid w:val="00E241E3"/>
    <w:rsid w:val="00E24664"/>
    <w:rsid w:val="00E24729"/>
    <w:rsid w:val="00E2498E"/>
    <w:rsid w:val="00E24BEA"/>
    <w:rsid w:val="00E24F88"/>
    <w:rsid w:val="00E2528A"/>
    <w:rsid w:val="00E258C8"/>
    <w:rsid w:val="00E25ADC"/>
    <w:rsid w:val="00E25EF2"/>
    <w:rsid w:val="00E2626B"/>
    <w:rsid w:val="00E268D2"/>
    <w:rsid w:val="00E26BE1"/>
    <w:rsid w:val="00E26D76"/>
    <w:rsid w:val="00E27011"/>
    <w:rsid w:val="00E279E3"/>
    <w:rsid w:val="00E30064"/>
    <w:rsid w:val="00E306FE"/>
    <w:rsid w:val="00E30746"/>
    <w:rsid w:val="00E30DFA"/>
    <w:rsid w:val="00E30E23"/>
    <w:rsid w:val="00E3123A"/>
    <w:rsid w:val="00E31534"/>
    <w:rsid w:val="00E31A1D"/>
    <w:rsid w:val="00E31CC9"/>
    <w:rsid w:val="00E32210"/>
    <w:rsid w:val="00E32468"/>
    <w:rsid w:val="00E32E4B"/>
    <w:rsid w:val="00E335C7"/>
    <w:rsid w:val="00E336F1"/>
    <w:rsid w:val="00E33A37"/>
    <w:rsid w:val="00E33CD9"/>
    <w:rsid w:val="00E33D9E"/>
    <w:rsid w:val="00E33FDD"/>
    <w:rsid w:val="00E34AC8"/>
    <w:rsid w:val="00E34E45"/>
    <w:rsid w:val="00E34E58"/>
    <w:rsid w:val="00E34FCA"/>
    <w:rsid w:val="00E35057"/>
    <w:rsid w:val="00E351A2"/>
    <w:rsid w:val="00E35859"/>
    <w:rsid w:val="00E35A1A"/>
    <w:rsid w:val="00E35B38"/>
    <w:rsid w:val="00E364CF"/>
    <w:rsid w:val="00E36D87"/>
    <w:rsid w:val="00E36EF9"/>
    <w:rsid w:val="00E3727A"/>
    <w:rsid w:val="00E373C6"/>
    <w:rsid w:val="00E37F89"/>
    <w:rsid w:val="00E4006B"/>
    <w:rsid w:val="00E40478"/>
    <w:rsid w:val="00E40F98"/>
    <w:rsid w:val="00E41D85"/>
    <w:rsid w:val="00E41E17"/>
    <w:rsid w:val="00E422B9"/>
    <w:rsid w:val="00E42489"/>
    <w:rsid w:val="00E4262A"/>
    <w:rsid w:val="00E42ABA"/>
    <w:rsid w:val="00E4326D"/>
    <w:rsid w:val="00E43902"/>
    <w:rsid w:val="00E43A1F"/>
    <w:rsid w:val="00E43BEF"/>
    <w:rsid w:val="00E441A6"/>
    <w:rsid w:val="00E44477"/>
    <w:rsid w:val="00E45092"/>
    <w:rsid w:val="00E4514F"/>
    <w:rsid w:val="00E45386"/>
    <w:rsid w:val="00E45B5C"/>
    <w:rsid w:val="00E45EB3"/>
    <w:rsid w:val="00E47567"/>
    <w:rsid w:val="00E47803"/>
    <w:rsid w:val="00E504E0"/>
    <w:rsid w:val="00E50952"/>
    <w:rsid w:val="00E5114A"/>
    <w:rsid w:val="00E5196C"/>
    <w:rsid w:val="00E51B94"/>
    <w:rsid w:val="00E51BED"/>
    <w:rsid w:val="00E521D3"/>
    <w:rsid w:val="00E5380E"/>
    <w:rsid w:val="00E53E6E"/>
    <w:rsid w:val="00E541AC"/>
    <w:rsid w:val="00E54E67"/>
    <w:rsid w:val="00E55591"/>
    <w:rsid w:val="00E55FD5"/>
    <w:rsid w:val="00E568F1"/>
    <w:rsid w:val="00E5732C"/>
    <w:rsid w:val="00E6012A"/>
    <w:rsid w:val="00E601B0"/>
    <w:rsid w:val="00E6029A"/>
    <w:rsid w:val="00E627C8"/>
    <w:rsid w:val="00E62BB8"/>
    <w:rsid w:val="00E636DB"/>
    <w:rsid w:val="00E63B49"/>
    <w:rsid w:val="00E6456D"/>
    <w:rsid w:val="00E6462B"/>
    <w:rsid w:val="00E64A15"/>
    <w:rsid w:val="00E651E7"/>
    <w:rsid w:val="00E65624"/>
    <w:rsid w:val="00E65702"/>
    <w:rsid w:val="00E6619C"/>
    <w:rsid w:val="00E66C77"/>
    <w:rsid w:val="00E676BF"/>
    <w:rsid w:val="00E679E0"/>
    <w:rsid w:val="00E67DD1"/>
    <w:rsid w:val="00E7089C"/>
    <w:rsid w:val="00E70C7B"/>
    <w:rsid w:val="00E70F5A"/>
    <w:rsid w:val="00E70FA0"/>
    <w:rsid w:val="00E711D2"/>
    <w:rsid w:val="00E718A6"/>
    <w:rsid w:val="00E72B41"/>
    <w:rsid w:val="00E72F62"/>
    <w:rsid w:val="00E736B6"/>
    <w:rsid w:val="00E73731"/>
    <w:rsid w:val="00E73DB3"/>
    <w:rsid w:val="00E73EA9"/>
    <w:rsid w:val="00E73FDD"/>
    <w:rsid w:val="00E74A9F"/>
    <w:rsid w:val="00E74DD5"/>
    <w:rsid w:val="00E7523E"/>
    <w:rsid w:val="00E75858"/>
    <w:rsid w:val="00E759D0"/>
    <w:rsid w:val="00E75C46"/>
    <w:rsid w:val="00E75EC4"/>
    <w:rsid w:val="00E76246"/>
    <w:rsid w:val="00E764DF"/>
    <w:rsid w:val="00E76836"/>
    <w:rsid w:val="00E76C8E"/>
    <w:rsid w:val="00E779BA"/>
    <w:rsid w:val="00E77EA1"/>
    <w:rsid w:val="00E8016A"/>
    <w:rsid w:val="00E801E2"/>
    <w:rsid w:val="00E80871"/>
    <w:rsid w:val="00E80947"/>
    <w:rsid w:val="00E80B14"/>
    <w:rsid w:val="00E80E53"/>
    <w:rsid w:val="00E812A5"/>
    <w:rsid w:val="00E81300"/>
    <w:rsid w:val="00E815D2"/>
    <w:rsid w:val="00E81678"/>
    <w:rsid w:val="00E81A08"/>
    <w:rsid w:val="00E82D9E"/>
    <w:rsid w:val="00E83CD7"/>
    <w:rsid w:val="00E84020"/>
    <w:rsid w:val="00E84142"/>
    <w:rsid w:val="00E844EB"/>
    <w:rsid w:val="00E84505"/>
    <w:rsid w:val="00E84BC4"/>
    <w:rsid w:val="00E84DEB"/>
    <w:rsid w:val="00E84F22"/>
    <w:rsid w:val="00E854A2"/>
    <w:rsid w:val="00E85AEC"/>
    <w:rsid w:val="00E85E5F"/>
    <w:rsid w:val="00E861B6"/>
    <w:rsid w:val="00E86505"/>
    <w:rsid w:val="00E87111"/>
    <w:rsid w:val="00E872C4"/>
    <w:rsid w:val="00E875CC"/>
    <w:rsid w:val="00E87D0A"/>
    <w:rsid w:val="00E90BD8"/>
    <w:rsid w:val="00E912BC"/>
    <w:rsid w:val="00E9152F"/>
    <w:rsid w:val="00E91701"/>
    <w:rsid w:val="00E91AF6"/>
    <w:rsid w:val="00E91E9D"/>
    <w:rsid w:val="00E92167"/>
    <w:rsid w:val="00E9245D"/>
    <w:rsid w:val="00E9254F"/>
    <w:rsid w:val="00E92854"/>
    <w:rsid w:val="00E92864"/>
    <w:rsid w:val="00E92876"/>
    <w:rsid w:val="00E92A45"/>
    <w:rsid w:val="00E9309A"/>
    <w:rsid w:val="00E9362B"/>
    <w:rsid w:val="00E938FB"/>
    <w:rsid w:val="00E93E82"/>
    <w:rsid w:val="00E94457"/>
    <w:rsid w:val="00E94EE6"/>
    <w:rsid w:val="00E95184"/>
    <w:rsid w:val="00E95F01"/>
    <w:rsid w:val="00E96162"/>
    <w:rsid w:val="00E963A8"/>
    <w:rsid w:val="00E966B2"/>
    <w:rsid w:val="00E96AB3"/>
    <w:rsid w:val="00E96ADE"/>
    <w:rsid w:val="00E96B03"/>
    <w:rsid w:val="00E96E64"/>
    <w:rsid w:val="00E97F3C"/>
    <w:rsid w:val="00EA078D"/>
    <w:rsid w:val="00EA0CB5"/>
    <w:rsid w:val="00EA0E49"/>
    <w:rsid w:val="00EA1035"/>
    <w:rsid w:val="00EA120E"/>
    <w:rsid w:val="00EA12F8"/>
    <w:rsid w:val="00EA1A28"/>
    <w:rsid w:val="00EA25C2"/>
    <w:rsid w:val="00EA3792"/>
    <w:rsid w:val="00EA4485"/>
    <w:rsid w:val="00EA4CD6"/>
    <w:rsid w:val="00EA5272"/>
    <w:rsid w:val="00EA5637"/>
    <w:rsid w:val="00EA5C28"/>
    <w:rsid w:val="00EA6070"/>
    <w:rsid w:val="00EA6F9D"/>
    <w:rsid w:val="00EA6FE9"/>
    <w:rsid w:val="00EA70CB"/>
    <w:rsid w:val="00EA7914"/>
    <w:rsid w:val="00EA7B8A"/>
    <w:rsid w:val="00EA7FA1"/>
    <w:rsid w:val="00EB0CF1"/>
    <w:rsid w:val="00EB213F"/>
    <w:rsid w:val="00EB28A7"/>
    <w:rsid w:val="00EB2B8A"/>
    <w:rsid w:val="00EB30C8"/>
    <w:rsid w:val="00EB31F0"/>
    <w:rsid w:val="00EB35F1"/>
    <w:rsid w:val="00EB370C"/>
    <w:rsid w:val="00EB3A14"/>
    <w:rsid w:val="00EB3C62"/>
    <w:rsid w:val="00EB3DC8"/>
    <w:rsid w:val="00EB3DE6"/>
    <w:rsid w:val="00EB3FF6"/>
    <w:rsid w:val="00EB419F"/>
    <w:rsid w:val="00EB460A"/>
    <w:rsid w:val="00EB4D21"/>
    <w:rsid w:val="00EB51FB"/>
    <w:rsid w:val="00EB5297"/>
    <w:rsid w:val="00EB57DE"/>
    <w:rsid w:val="00EB5DB3"/>
    <w:rsid w:val="00EB5F8A"/>
    <w:rsid w:val="00EB6018"/>
    <w:rsid w:val="00EB6352"/>
    <w:rsid w:val="00EB640D"/>
    <w:rsid w:val="00EB6575"/>
    <w:rsid w:val="00EB6809"/>
    <w:rsid w:val="00EB763C"/>
    <w:rsid w:val="00EB7D64"/>
    <w:rsid w:val="00EB7E94"/>
    <w:rsid w:val="00EC05CA"/>
    <w:rsid w:val="00EC067A"/>
    <w:rsid w:val="00EC096A"/>
    <w:rsid w:val="00EC0E58"/>
    <w:rsid w:val="00EC1468"/>
    <w:rsid w:val="00EC233D"/>
    <w:rsid w:val="00EC237D"/>
    <w:rsid w:val="00EC299C"/>
    <w:rsid w:val="00EC3ABF"/>
    <w:rsid w:val="00EC3B6E"/>
    <w:rsid w:val="00EC44C6"/>
    <w:rsid w:val="00EC46DB"/>
    <w:rsid w:val="00EC5496"/>
    <w:rsid w:val="00EC5BD4"/>
    <w:rsid w:val="00EC6700"/>
    <w:rsid w:val="00EC681B"/>
    <w:rsid w:val="00EC7667"/>
    <w:rsid w:val="00EC7F5C"/>
    <w:rsid w:val="00ED0862"/>
    <w:rsid w:val="00ED0BF9"/>
    <w:rsid w:val="00ED0CD4"/>
    <w:rsid w:val="00ED152E"/>
    <w:rsid w:val="00ED17B6"/>
    <w:rsid w:val="00ED18B3"/>
    <w:rsid w:val="00ED1C58"/>
    <w:rsid w:val="00ED1C92"/>
    <w:rsid w:val="00ED1FFE"/>
    <w:rsid w:val="00ED214D"/>
    <w:rsid w:val="00ED2693"/>
    <w:rsid w:val="00ED27C6"/>
    <w:rsid w:val="00ED2E28"/>
    <w:rsid w:val="00ED3F1C"/>
    <w:rsid w:val="00ED3F93"/>
    <w:rsid w:val="00ED413B"/>
    <w:rsid w:val="00ED4C35"/>
    <w:rsid w:val="00ED5C24"/>
    <w:rsid w:val="00ED5D26"/>
    <w:rsid w:val="00ED5F5C"/>
    <w:rsid w:val="00ED6ADF"/>
    <w:rsid w:val="00ED7AB8"/>
    <w:rsid w:val="00EE0CDB"/>
    <w:rsid w:val="00EE0CF7"/>
    <w:rsid w:val="00EE1037"/>
    <w:rsid w:val="00EE13DE"/>
    <w:rsid w:val="00EE13FC"/>
    <w:rsid w:val="00EE1BA9"/>
    <w:rsid w:val="00EE1C75"/>
    <w:rsid w:val="00EE27EC"/>
    <w:rsid w:val="00EE2B39"/>
    <w:rsid w:val="00EE3121"/>
    <w:rsid w:val="00EE338F"/>
    <w:rsid w:val="00EE3440"/>
    <w:rsid w:val="00EE392C"/>
    <w:rsid w:val="00EE3995"/>
    <w:rsid w:val="00EE4FD5"/>
    <w:rsid w:val="00EE54B9"/>
    <w:rsid w:val="00EE5A78"/>
    <w:rsid w:val="00EE6260"/>
    <w:rsid w:val="00EE6A13"/>
    <w:rsid w:val="00EE727C"/>
    <w:rsid w:val="00EE785C"/>
    <w:rsid w:val="00EE78EB"/>
    <w:rsid w:val="00EE7B64"/>
    <w:rsid w:val="00EE7FE7"/>
    <w:rsid w:val="00EF06F4"/>
    <w:rsid w:val="00EF0D77"/>
    <w:rsid w:val="00EF0F3F"/>
    <w:rsid w:val="00EF0F62"/>
    <w:rsid w:val="00EF11DA"/>
    <w:rsid w:val="00EF160B"/>
    <w:rsid w:val="00EF16D2"/>
    <w:rsid w:val="00EF1A9A"/>
    <w:rsid w:val="00EF1FBE"/>
    <w:rsid w:val="00EF21C8"/>
    <w:rsid w:val="00EF242C"/>
    <w:rsid w:val="00EF284A"/>
    <w:rsid w:val="00EF2C16"/>
    <w:rsid w:val="00EF314D"/>
    <w:rsid w:val="00EF3252"/>
    <w:rsid w:val="00EF383F"/>
    <w:rsid w:val="00EF4093"/>
    <w:rsid w:val="00EF5069"/>
    <w:rsid w:val="00EF50D4"/>
    <w:rsid w:val="00EF54C5"/>
    <w:rsid w:val="00EF573C"/>
    <w:rsid w:val="00EF5D5D"/>
    <w:rsid w:val="00EF5FE4"/>
    <w:rsid w:val="00EF60D4"/>
    <w:rsid w:val="00EF669F"/>
    <w:rsid w:val="00EF68E1"/>
    <w:rsid w:val="00EF69A8"/>
    <w:rsid w:val="00EF6AB8"/>
    <w:rsid w:val="00EF6BC6"/>
    <w:rsid w:val="00EF731D"/>
    <w:rsid w:val="00EF7575"/>
    <w:rsid w:val="00EF76B4"/>
    <w:rsid w:val="00F005AF"/>
    <w:rsid w:val="00F006DA"/>
    <w:rsid w:val="00F00908"/>
    <w:rsid w:val="00F00912"/>
    <w:rsid w:val="00F0094D"/>
    <w:rsid w:val="00F01686"/>
    <w:rsid w:val="00F01991"/>
    <w:rsid w:val="00F01B15"/>
    <w:rsid w:val="00F01E8A"/>
    <w:rsid w:val="00F026C8"/>
    <w:rsid w:val="00F02846"/>
    <w:rsid w:val="00F02D77"/>
    <w:rsid w:val="00F03967"/>
    <w:rsid w:val="00F03E3F"/>
    <w:rsid w:val="00F03FC8"/>
    <w:rsid w:val="00F04360"/>
    <w:rsid w:val="00F04DB3"/>
    <w:rsid w:val="00F057E3"/>
    <w:rsid w:val="00F05C0E"/>
    <w:rsid w:val="00F05D88"/>
    <w:rsid w:val="00F06173"/>
    <w:rsid w:val="00F06492"/>
    <w:rsid w:val="00F066D6"/>
    <w:rsid w:val="00F06C55"/>
    <w:rsid w:val="00F06D60"/>
    <w:rsid w:val="00F0711F"/>
    <w:rsid w:val="00F073E5"/>
    <w:rsid w:val="00F100A2"/>
    <w:rsid w:val="00F11631"/>
    <w:rsid w:val="00F11DF6"/>
    <w:rsid w:val="00F127E5"/>
    <w:rsid w:val="00F127E7"/>
    <w:rsid w:val="00F12D10"/>
    <w:rsid w:val="00F13396"/>
    <w:rsid w:val="00F14413"/>
    <w:rsid w:val="00F148AD"/>
    <w:rsid w:val="00F15092"/>
    <w:rsid w:val="00F150A1"/>
    <w:rsid w:val="00F15754"/>
    <w:rsid w:val="00F159AD"/>
    <w:rsid w:val="00F15B57"/>
    <w:rsid w:val="00F15C65"/>
    <w:rsid w:val="00F15E0F"/>
    <w:rsid w:val="00F16036"/>
    <w:rsid w:val="00F163CE"/>
    <w:rsid w:val="00F16595"/>
    <w:rsid w:val="00F166E0"/>
    <w:rsid w:val="00F169EB"/>
    <w:rsid w:val="00F16C35"/>
    <w:rsid w:val="00F17606"/>
    <w:rsid w:val="00F17910"/>
    <w:rsid w:val="00F17975"/>
    <w:rsid w:val="00F20182"/>
    <w:rsid w:val="00F2038F"/>
    <w:rsid w:val="00F2078F"/>
    <w:rsid w:val="00F20CD0"/>
    <w:rsid w:val="00F211A0"/>
    <w:rsid w:val="00F2143D"/>
    <w:rsid w:val="00F220AF"/>
    <w:rsid w:val="00F22B7B"/>
    <w:rsid w:val="00F22E1A"/>
    <w:rsid w:val="00F22FF8"/>
    <w:rsid w:val="00F23645"/>
    <w:rsid w:val="00F23AB6"/>
    <w:rsid w:val="00F23B13"/>
    <w:rsid w:val="00F23D1F"/>
    <w:rsid w:val="00F23E60"/>
    <w:rsid w:val="00F23FF0"/>
    <w:rsid w:val="00F24162"/>
    <w:rsid w:val="00F242F7"/>
    <w:rsid w:val="00F242FE"/>
    <w:rsid w:val="00F245C0"/>
    <w:rsid w:val="00F24C52"/>
    <w:rsid w:val="00F250A3"/>
    <w:rsid w:val="00F25403"/>
    <w:rsid w:val="00F25920"/>
    <w:rsid w:val="00F25A05"/>
    <w:rsid w:val="00F25D80"/>
    <w:rsid w:val="00F2621D"/>
    <w:rsid w:val="00F26705"/>
    <w:rsid w:val="00F27C6E"/>
    <w:rsid w:val="00F30C02"/>
    <w:rsid w:val="00F30EFA"/>
    <w:rsid w:val="00F3107A"/>
    <w:rsid w:val="00F31B08"/>
    <w:rsid w:val="00F31ECD"/>
    <w:rsid w:val="00F32023"/>
    <w:rsid w:val="00F3216D"/>
    <w:rsid w:val="00F324DC"/>
    <w:rsid w:val="00F32598"/>
    <w:rsid w:val="00F32A79"/>
    <w:rsid w:val="00F33915"/>
    <w:rsid w:val="00F340CB"/>
    <w:rsid w:val="00F34A17"/>
    <w:rsid w:val="00F34DB1"/>
    <w:rsid w:val="00F3558F"/>
    <w:rsid w:val="00F35750"/>
    <w:rsid w:val="00F357B2"/>
    <w:rsid w:val="00F35921"/>
    <w:rsid w:val="00F35C70"/>
    <w:rsid w:val="00F3604D"/>
    <w:rsid w:val="00F365A1"/>
    <w:rsid w:val="00F3681A"/>
    <w:rsid w:val="00F3792A"/>
    <w:rsid w:val="00F40187"/>
    <w:rsid w:val="00F41A58"/>
    <w:rsid w:val="00F41B89"/>
    <w:rsid w:val="00F42476"/>
    <w:rsid w:val="00F428AD"/>
    <w:rsid w:val="00F42993"/>
    <w:rsid w:val="00F43ABA"/>
    <w:rsid w:val="00F43B22"/>
    <w:rsid w:val="00F43E6A"/>
    <w:rsid w:val="00F44246"/>
    <w:rsid w:val="00F44BA8"/>
    <w:rsid w:val="00F450C4"/>
    <w:rsid w:val="00F45321"/>
    <w:rsid w:val="00F456E7"/>
    <w:rsid w:val="00F45BC9"/>
    <w:rsid w:val="00F45D1A"/>
    <w:rsid w:val="00F461ED"/>
    <w:rsid w:val="00F46440"/>
    <w:rsid w:val="00F46742"/>
    <w:rsid w:val="00F46B01"/>
    <w:rsid w:val="00F46B88"/>
    <w:rsid w:val="00F46BA4"/>
    <w:rsid w:val="00F46CD9"/>
    <w:rsid w:val="00F474AE"/>
    <w:rsid w:val="00F47FC5"/>
    <w:rsid w:val="00F505F0"/>
    <w:rsid w:val="00F507C6"/>
    <w:rsid w:val="00F509B3"/>
    <w:rsid w:val="00F50EA1"/>
    <w:rsid w:val="00F51844"/>
    <w:rsid w:val="00F5200F"/>
    <w:rsid w:val="00F520C4"/>
    <w:rsid w:val="00F522AF"/>
    <w:rsid w:val="00F52B4D"/>
    <w:rsid w:val="00F52C77"/>
    <w:rsid w:val="00F5330A"/>
    <w:rsid w:val="00F5336E"/>
    <w:rsid w:val="00F534C7"/>
    <w:rsid w:val="00F53555"/>
    <w:rsid w:val="00F54019"/>
    <w:rsid w:val="00F54034"/>
    <w:rsid w:val="00F54952"/>
    <w:rsid w:val="00F55289"/>
    <w:rsid w:val="00F55857"/>
    <w:rsid w:val="00F55A13"/>
    <w:rsid w:val="00F55E2E"/>
    <w:rsid w:val="00F55E56"/>
    <w:rsid w:val="00F564CE"/>
    <w:rsid w:val="00F56545"/>
    <w:rsid w:val="00F56550"/>
    <w:rsid w:val="00F56640"/>
    <w:rsid w:val="00F56726"/>
    <w:rsid w:val="00F56E8B"/>
    <w:rsid w:val="00F573A9"/>
    <w:rsid w:val="00F5780E"/>
    <w:rsid w:val="00F57AAF"/>
    <w:rsid w:val="00F57B5B"/>
    <w:rsid w:val="00F57D14"/>
    <w:rsid w:val="00F60CDA"/>
    <w:rsid w:val="00F61476"/>
    <w:rsid w:val="00F615BE"/>
    <w:rsid w:val="00F616E4"/>
    <w:rsid w:val="00F623EA"/>
    <w:rsid w:val="00F62AB2"/>
    <w:rsid w:val="00F63412"/>
    <w:rsid w:val="00F635F8"/>
    <w:rsid w:val="00F640DC"/>
    <w:rsid w:val="00F6450E"/>
    <w:rsid w:val="00F6489B"/>
    <w:rsid w:val="00F64A6C"/>
    <w:rsid w:val="00F64BCF"/>
    <w:rsid w:val="00F65155"/>
    <w:rsid w:val="00F65A2B"/>
    <w:rsid w:val="00F65BA1"/>
    <w:rsid w:val="00F65C94"/>
    <w:rsid w:val="00F65D4D"/>
    <w:rsid w:val="00F66ADE"/>
    <w:rsid w:val="00F66EA3"/>
    <w:rsid w:val="00F670EA"/>
    <w:rsid w:val="00F6721C"/>
    <w:rsid w:val="00F703FB"/>
    <w:rsid w:val="00F708ED"/>
    <w:rsid w:val="00F70AA6"/>
    <w:rsid w:val="00F70AB6"/>
    <w:rsid w:val="00F723D2"/>
    <w:rsid w:val="00F72629"/>
    <w:rsid w:val="00F72AA8"/>
    <w:rsid w:val="00F730A5"/>
    <w:rsid w:val="00F73370"/>
    <w:rsid w:val="00F737E9"/>
    <w:rsid w:val="00F7394F"/>
    <w:rsid w:val="00F73B0B"/>
    <w:rsid w:val="00F744B3"/>
    <w:rsid w:val="00F748E3"/>
    <w:rsid w:val="00F75713"/>
    <w:rsid w:val="00F75AE3"/>
    <w:rsid w:val="00F75FDC"/>
    <w:rsid w:val="00F7603B"/>
    <w:rsid w:val="00F7614F"/>
    <w:rsid w:val="00F76537"/>
    <w:rsid w:val="00F76BE9"/>
    <w:rsid w:val="00F76CF9"/>
    <w:rsid w:val="00F76FF1"/>
    <w:rsid w:val="00F774E5"/>
    <w:rsid w:val="00F77634"/>
    <w:rsid w:val="00F77FBE"/>
    <w:rsid w:val="00F80A2D"/>
    <w:rsid w:val="00F80AF3"/>
    <w:rsid w:val="00F80D48"/>
    <w:rsid w:val="00F81524"/>
    <w:rsid w:val="00F817AF"/>
    <w:rsid w:val="00F819F3"/>
    <w:rsid w:val="00F81A6C"/>
    <w:rsid w:val="00F81C9E"/>
    <w:rsid w:val="00F81DBB"/>
    <w:rsid w:val="00F82DA3"/>
    <w:rsid w:val="00F8303B"/>
    <w:rsid w:val="00F8347D"/>
    <w:rsid w:val="00F84072"/>
    <w:rsid w:val="00F840C8"/>
    <w:rsid w:val="00F84688"/>
    <w:rsid w:val="00F84858"/>
    <w:rsid w:val="00F84866"/>
    <w:rsid w:val="00F85A27"/>
    <w:rsid w:val="00F85D81"/>
    <w:rsid w:val="00F85DF1"/>
    <w:rsid w:val="00F85FC4"/>
    <w:rsid w:val="00F8665C"/>
    <w:rsid w:val="00F86A09"/>
    <w:rsid w:val="00F86CC7"/>
    <w:rsid w:val="00F871E9"/>
    <w:rsid w:val="00F87400"/>
    <w:rsid w:val="00F8789B"/>
    <w:rsid w:val="00F87C14"/>
    <w:rsid w:val="00F87FE7"/>
    <w:rsid w:val="00F901A8"/>
    <w:rsid w:val="00F90B38"/>
    <w:rsid w:val="00F90B63"/>
    <w:rsid w:val="00F90CB2"/>
    <w:rsid w:val="00F912F2"/>
    <w:rsid w:val="00F91404"/>
    <w:rsid w:val="00F91741"/>
    <w:rsid w:val="00F918B9"/>
    <w:rsid w:val="00F9264B"/>
    <w:rsid w:val="00F927D1"/>
    <w:rsid w:val="00F934ED"/>
    <w:rsid w:val="00F942E3"/>
    <w:rsid w:val="00F943A6"/>
    <w:rsid w:val="00F9442E"/>
    <w:rsid w:val="00F944DD"/>
    <w:rsid w:val="00F94AF0"/>
    <w:rsid w:val="00F95408"/>
    <w:rsid w:val="00F95414"/>
    <w:rsid w:val="00F962C9"/>
    <w:rsid w:val="00F965F1"/>
    <w:rsid w:val="00F9726F"/>
    <w:rsid w:val="00F97925"/>
    <w:rsid w:val="00F97AAE"/>
    <w:rsid w:val="00F97AD5"/>
    <w:rsid w:val="00F97B2C"/>
    <w:rsid w:val="00F97E66"/>
    <w:rsid w:val="00F97E86"/>
    <w:rsid w:val="00FA054A"/>
    <w:rsid w:val="00FA0D56"/>
    <w:rsid w:val="00FA0D65"/>
    <w:rsid w:val="00FA0FCB"/>
    <w:rsid w:val="00FA188F"/>
    <w:rsid w:val="00FA1914"/>
    <w:rsid w:val="00FA1A46"/>
    <w:rsid w:val="00FA20A4"/>
    <w:rsid w:val="00FA217B"/>
    <w:rsid w:val="00FA26AF"/>
    <w:rsid w:val="00FA2774"/>
    <w:rsid w:val="00FA3A4F"/>
    <w:rsid w:val="00FA3EFF"/>
    <w:rsid w:val="00FA4067"/>
    <w:rsid w:val="00FA4320"/>
    <w:rsid w:val="00FA439A"/>
    <w:rsid w:val="00FA4DC5"/>
    <w:rsid w:val="00FA4E10"/>
    <w:rsid w:val="00FA5117"/>
    <w:rsid w:val="00FA517A"/>
    <w:rsid w:val="00FA54F7"/>
    <w:rsid w:val="00FA55B8"/>
    <w:rsid w:val="00FA5D3B"/>
    <w:rsid w:val="00FA6008"/>
    <w:rsid w:val="00FA653C"/>
    <w:rsid w:val="00FA6F66"/>
    <w:rsid w:val="00FA73D3"/>
    <w:rsid w:val="00FA7917"/>
    <w:rsid w:val="00FB0DC0"/>
    <w:rsid w:val="00FB10C7"/>
    <w:rsid w:val="00FB1CD4"/>
    <w:rsid w:val="00FB2025"/>
    <w:rsid w:val="00FB2055"/>
    <w:rsid w:val="00FB2202"/>
    <w:rsid w:val="00FB2A4F"/>
    <w:rsid w:val="00FB2B4C"/>
    <w:rsid w:val="00FB2D6D"/>
    <w:rsid w:val="00FB2DE1"/>
    <w:rsid w:val="00FB35E0"/>
    <w:rsid w:val="00FB3669"/>
    <w:rsid w:val="00FB37FD"/>
    <w:rsid w:val="00FB3AFA"/>
    <w:rsid w:val="00FB3C34"/>
    <w:rsid w:val="00FB3F14"/>
    <w:rsid w:val="00FB431C"/>
    <w:rsid w:val="00FB4513"/>
    <w:rsid w:val="00FB46CF"/>
    <w:rsid w:val="00FB47EB"/>
    <w:rsid w:val="00FB4AA1"/>
    <w:rsid w:val="00FB4B34"/>
    <w:rsid w:val="00FB4CD4"/>
    <w:rsid w:val="00FB52B0"/>
    <w:rsid w:val="00FB5779"/>
    <w:rsid w:val="00FB580B"/>
    <w:rsid w:val="00FB6386"/>
    <w:rsid w:val="00FB6560"/>
    <w:rsid w:val="00FB6CFC"/>
    <w:rsid w:val="00FB7233"/>
    <w:rsid w:val="00FB7297"/>
    <w:rsid w:val="00FB7C60"/>
    <w:rsid w:val="00FC0119"/>
    <w:rsid w:val="00FC0B20"/>
    <w:rsid w:val="00FC0E49"/>
    <w:rsid w:val="00FC1635"/>
    <w:rsid w:val="00FC18DB"/>
    <w:rsid w:val="00FC24F3"/>
    <w:rsid w:val="00FC2DB3"/>
    <w:rsid w:val="00FC35DF"/>
    <w:rsid w:val="00FC362B"/>
    <w:rsid w:val="00FC370F"/>
    <w:rsid w:val="00FC4CA0"/>
    <w:rsid w:val="00FC4FFB"/>
    <w:rsid w:val="00FC571B"/>
    <w:rsid w:val="00FC6264"/>
    <w:rsid w:val="00FC668C"/>
    <w:rsid w:val="00FC67E0"/>
    <w:rsid w:val="00FC68C4"/>
    <w:rsid w:val="00FC73D7"/>
    <w:rsid w:val="00FC7520"/>
    <w:rsid w:val="00FC7559"/>
    <w:rsid w:val="00FC7B80"/>
    <w:rsid w:val="00FC7F0F"/>
    <w:rsid w:val="00FC7FA1"/>
    <w:rsid w:val="00FD0578"/>
    <w:rsid w:val="00FD068E"/>
    <w:rsid w:val="00FD132E"/>
    <w:rsid w:val="00FD1962"/>
    <w:rsid w:val="00FD1A40"/>
    <w:rsid w:val="00FD1B2A"/>
    <w:rsid w:val="00FD1DF9"/>
    <w:rsid w:val="00FD2031"/>
    <w:rsid w:val="00FD2DD7"/>
    <w:rsid w:val="00FD331B"/>
    <w:rsid w:val="00FD3D96"/>
    <w:rsid w:val="00FD4304"/>
    <w:rsid w:val="00FD4762"/>
    <w:rsid w:val="00FD49A6"/>
    <w:rsid w:val="00FD4AF3"/>
    <w:rsid w:val="00FD4B48"/>
    <w:rsid w:val="00FD4F46"/>
    <w:rsid w:val="00FD5545"/>
    <w:rsid w:val="00FD5585"/>
    <w:rsid w:val="00FD55E9"/>
    <w:rsid w:val="00FD5744"/>
    <w:rsid w:val="00FD5D85"/>
    <w:rsid w:val="00FD621A"/>
    <w:rsid w:val="00FD68E4"/>
    <w:rsid w:val="00FD6C06"/>
    <w:rsid w:val="00FD7BA8"/>
    <w:rsid w:val="00FE0096"/>
    <w:rsid w:val="00FE01A9"/>
    <w:rsid w:val="00FE031F"/>
    <w:rsid w:val="00FE0390"/>
    <w:rsid w:val="00FE07C8"/>
    <w:rsid w:val="00FE0C69"/>
    <w:rsid w:val="00FE10C6"/>
    <w:rsid w:val="00FE1306"/>
    <w:rsid w:val="00FE1314"/>
    <w:rsid w:val="00FE1CC8"/>
    <w:rsid w:val="00FE1D20"/>
    <w:rsid w:val="00FE1D29"/>
    <w:rsid w:val="00FE1F16"/>
    <w:rsid w:val="00FE2531"/>
    <w:rsid w:val="00FE2A30"/>
    <w:rsid w:val="00FE2E09"/>
    <w:rsid w:val="00FE2F0F"/>
    <w:rsid w:val="00FE3AB7"/>
    <w:rsid w:val="00FE3C4C"/>
    <w:rsid w:val="00FE3FCB"/>
    <w:rsid w:val="00FE44FB"/>
    <w:rsid w:val="00FE5200"/>
    <w:rsid w:val="00FE55D9"/>
    <w:rsid w:val="00FE5601"/>
    <w:rsid w:val="00FE5827"/>
    <w:rsid w:val="00FE58C6"/>
    <w:rsid w:val="00FE5A89"/>
    <w:rsid w:val="00FE5DDB"/>
    <w:rsid w:val="00FE5F2F"/>
    <w:rsid w:val="00FE6185"/>
    <w:rsid w:val="00FE6FA1"/>
    <w:rsid w:val="00FE7024"/>
    <w:rsid w:val="00FE760B"/>
    <w:rsid w:val="00FE76A1"/>
    <w:rsid w:val="00FE7E48"/>
    <w:rsid w:val="00FF0197"/>
    <w:rsid w:val="00FF1F0E"/>
    <w:rsid w:val="00FF261B"/>
    <w:rsid w:val="00FF2C6F"/>
    <w:rsid w:val="00FF369F"/>
    <w:rsid w:val="00FF3E59"/>
    <w:rsid w:val="00FF47CF"/>
    <w:rsid w:val="00FF58E0"/>
    <w:rsid w:val="00FF61C7"/>
    <w:rsid w:val="00FF62FF"/>
    <w:rsid w:val="00FF6B2D"/>
    <w:rsid w:val="00FF6F14"/>
    <w:rsid w:val="00FF729D"/>
    <w:rsid w:val="00FF7876"/>
    <w:rsid w:val="00FF7CB0"/>
    <w:rsid w:val="00FF7CE7"/>
    <w:rsid w:val="00FF7D18"/>
    <w:rsid w:val="01DF703C"/>
    <w:rsid w:val="01E1254D"/>
    <w:rsid w:val="01F16312"/>
    <w:rsid w:val="0237EBF9"/>
    <w:rsid w:val="02587403"/>
    <w:rsid w:val="02B3BF3E"/>
    <w:rsid w:val="03D35966"/>
    <w:rsid w:val="042E4D50"/>
    <w:rsid w:val="051C28F5"/>
    <w:rsid w:val="052F827D"/>
    <w:rsid w:val="05985A8C"/>
    <w:rsid w:val="05EE121D"/>
    <w:rsid w:val="05F3E64E"/>
    <w:rsid w:val="06A48AAB"/>
    <w:rsid w:val="06F5DF55"/>
    <w:rsid w:val="08E3CDEF"/>
    <w:rsid w:val="092CE2A8"/>
    <w:rsid w:val="094EABCE"/>
    <w:rsid w:val="097BA03E"/>
    <w:rsid w:val="09929117"/>
    <w:rsid w:val="0A58D5C8"/>
    <w:rsid w:val="0A64421C"/>
    <w:rsid w:val="0A65EBBE"/>
    <w:rsid w:val="0AAB356A"/>
    <w:rsid w:val="0B4512D3"/>
    <w:rsid w:val="0B640351"/>
    <w:rsid w:val="0BEC5A7C"/>
    <w:rsid w:val="0C166016"/>
    <w:rsid w:val="0C99D0A6"/>
    <w:rsid w:val="0CAED4EE"/>
    <w:rsid w:val="0D7212DE"/>
    <w:rsid w:val="0E560E16"/>
    <w:rsid w:val="0EC40465"/>
    <w:rsid w:val="0EF2AC41"/>
    <w:rsid w:val="0F5B3652"/>
    <w:rsid w:val="0F8A776B"/>
    <w:rsid w:val="106785FB"/>
    <w:rsid w:val="10CAA365"/>
    <w:rsid w:val="10EF16F7"/>
    <w:rsid w:val="115ABEA1"/>
    <w:rsid w:val="1231EA5E"/>
    <w:rsid w:val="12630E92"/>
    <w:rsid w:val="129CADCB"/>
    <w:rsid w:val="12AB49B8"/>
    <w:rsid w:val="12BDE4DB"/>
    <w:rsid w:val="12E1B1DC"/>
    <w:rsid w:val="13371C9B"/>
    <w:rsid w:val="137C200D"/>
    <w:rsid w:val="13C0A17B"/>
    <w:rsid w:val="14100FC0"/>
    <w:rsid w:val="1424B111"/>
    <w:rsid w:val="146151EF"/>
    <w:rsid w:val="14BC38BA"/>
    <w:rsid w:val="14ED3BF2"/>
    <w:rsid w:val="15411CCE"/>
    <w:rsid w:val="15CBA118"/>
    <w:rsid w:val="15D0E44E"/>
    <w:rsid w:val="1656C542"/>
    <w:rsid w:val="1658AF90"/>
    <w:rsid w:val="166B8F2A"/>
    <w:rsid w:val="167CBC8B"/>
    <w:rsid w:val="169F50BB"/>
    <w:rsid w:val="16C0A9A2"/>
    <w:rsid w:val="16F300C6"/>
    <w:rsid w:val="1734325B"/>
    <w:rsid w:val="17726AC9"/>
    <w:rsid w:val="177FC042"/>
    <w:rsid w:val="17BF6390"/>
    <w:rsid w:val="17C3F17A"/>
    <w:rsid w:val="17DE1081"/>
    <w:rsid w:val="18234544"/>
    <w:rsid w:val="187AAA5F"/>
    <w:rsid w:val="19092CA8"/>
    <w:rsid w:val="195F340D"/>
    <w:rsid w:val="19F83BFB"/>
    <w:rsid w:val="1ACDFC69"/>
    <w:rsid w:val="1AD85F98"/>
    <w:rsid w:val="1B287768"/>
    <w:rsid w:val="1B50BBC8"/>
    <w:rsid w:val="1B778102"/>
    <w:rsid w:val="1BDED2C1"/>
    <w:rsid w:val="1BED5624"/>
    <w:rsid w:val="1C267B96"/>
    <w:rsid w:val="1C55E8DB"/>
    <w:rsid w:val="1DC5405C"/>
    <w:rsid w:val="1E8C755A"/>
    <w:rsid w:val="1F14478E"/>
    <w:rsid w:val="1F1884F6"/>
    <w:rsid w:val="1F9F8B50"/>
    <w:rsid w:val="1FE431A9"/>
    <w:rsid w:val="203EB8D2"/>
    <w:rsid w:val="21B9419A"/>
    <w:rsid w:val="21BCD8D3"/>
    <w:rsid w:val="2210172B"/>
    <w:rsid w:val="2296E9B8"/>
    <w:rsid w:val="22E6DE1E"/>
    <w:rsid w:val="22F7AEBF"/>
    <w:rsid w:val="22FAB126"/>
    <w:rsid w:val="23B8DA92"/>
    <w:rsid w:val="2410797E"/>
    <w:rsid w:val="254B96CF"/>
    <w:rsid w:val="25606F43"/>
    <w:rsid w:val="25EF8472"/>
    <w:rsid w:val="2671B98C"/>
    <w:rsid w:val="26E0309B"/>
    <w:rsid w:val="27669B3B"/>
    <w:rsid w:val="27A27B26"/>
    <w:rsid w:val="27CEFECE"/>
    <w:rsid w:val="287013FF"/>
    <w:rsid w:val="2909A249"/>
    <w:rsid w:val="291569F1"/>
    <w:rsid w:val="2956C474"/>
    <w:rsid w:val="2961526E"/>
    <w:rsid w:val="29705B8C"/>
    <w:rsid w:val="29953A68"/>
    <w:rsid w:val="2AA94AE4"/>
    <w:rsid w:val="2ABC0E91"/>
    <w:rsid w:val="2ACF0381"/>
    <w:rsid w:val="2AEBF532"/>
    <w:rsid w:val="2AEF16B8"/>
    <w:rsid w:val="2AEFCD08"/>
    <w:rsid w:val="2AF721AA"/>
    <w:rsid w:val="2B565DFC"/>
    <w:rsid w:val="2C27C918"/>
    <w:rsid w:val="2C36FEFB"/>
    <w:rsid w:val="2C6B21FC"/>
    <w:rsid w:val="2CCDA111"/>
    <w:rsid w:val="2D04AEF1"/>
    <w:rsid w:val="2DDA76AE"/>
    <w:rsid w:val="2E616439"/>
    <w:rsid w:val="2EEF8452"/>
    <w:rsid w:val="2F58FFD0"/>
    <w:rsid w:val="2F5A61C9"/>
    <w:rsid w:val="31016E3B"/>
    <w:rsid w:val="31AF30DD"/>
    <w:rsid w:val="31BFE65C"/>
    <w:rsid w:val="3203F8C0"/>
    <w:rsid w:val="32BDC635"/>
    <w:rsid w:val="3374517F"/>
    <w:rsid w:val="341A35DE"/>
    <w:rsid w:val="3443E183"/>
    <w:rsid w:val="34650C09"/>
    <w:rsid w:val="348C8547"/>
    <w:rsid w:val="34B61FC6"/>
    <w:rsid w:val="350DA2C3"/>
    <w:rsid w:val="358D6F0B"/>
    <w:rsid w:val="35B63F15"/>
    <w:rsid w:val="35EE0F8A"/>
    <w:rsid w:val="3665A73E"/>
    <w:rsid w:val="371A3AF3"/>
    <w:rsid w:val="3727E62B"/>
    <w:rsid w:val="38C44B62"/>
    <w:rsid w:val="38FD0298"/>
    <w:rsid w:val="39354860"/>
    <w:rsid w:val="3939E514"/>
    <w:rsid w:val="395EAA96"/>
    <w:rsid w:val="39BF394D"/>
    <w:rsid w:val="39DBEC6D"/>
    <w:rsid w:val="3A3638EB"/>
    <w:rsid w:val="3AD29A17"/>
    <w:rsid w:val="3B5FF13C"/>
    <w:rsid w:val="3C198901"/>
    <w:rsid w:val="3CD50529"/>
    <w:rsid w:val="3DFE828C"/>
    <w:rsid w:val="3E077F3B"/>
    <w:rsid w:val="3E3EC050"/>
    <w:rsid w:val="3ECEF10D"/>
    <w:rsid w:val="3F55A279"/>
    <w:rsid w:val="3FE2959A"/>
    <w:rsid w:val="3FE8BEEF"/>
    <w:rsid w:val="4177E175"/>
    <w:rsid w:val="41B1AB73"/>
    <w:rsid w:val="42389986"/>
    <w:rsid w:val="43715555"/>
    <w:rsid w:val="43C72772"/>
    <w:rsid w:val="440EC6A4"/>
    <w:rsid w:val="445543C9"/>
    <w:rsid w:val="4464383F"/>
    <w:rsid w:val="44E08E80"/>
    <w:rsid w:val="4607A00F"/>
    <w:rsid w:val="461FEB74"/>
    <w:rsid w:val="46D4C020"/>
    <w:rsid w:val="46F2121F"/>
    <w:rsid w:val="4709FBC2"/>
    <w:rsid w:val="488F3367"/>
    <w:rsid w:val="48D9B82D"/>
    <w:rsid w:val="48EA794B"/>
    <w:rsid w:val="48EB61D0"/>
    <w:rsid w:val="4912449A"/>
    <w:rsid w:val="49618656"/>
    <w:rsid w:val="49C1AE26"/>
    <w:rsid w:val="4A0793DB"/>
    <w:rsid w:val="4A09E632"/>
    <w:rsid w:val="4A1DB735"/>
    <w:rsid w:val="4A384C48"/>
    <w:rsid w:val="4A4D6568"/>
    <w:rsid w:val="4A8BB298"/>
    <w:rsid w:val="4ACDE35B"/>
    <w:rsid w:val="4B13EF73"/>
    <w:rsid w:val="4B4A7DE5"/>
    <w:rsid w:val="4B5F9ACF"/>
    <w:rsid w:val="4B8EF013"/>
    <w:rsid w:val="4C0D3AD9"/>
    <w:rsid w:val="4C6C7C31"/>
    <w:rsid w:val="4C968322"/>
    <w:rsid w:val="4CAB8EC8"/>
    <w:rsid w:val="4D6E13BF"/>
    <w:rsid w:val="4EC91968"/>
    <w:rsid w:val="4ED70D11"/>
    <w:rsid w:val="4F46E5FD"/>
    <w:rsid w:val="4F872139"/>
    <w:rsid w:val="4FE9B17C"/>
    <w:rsid w:val="519BB474"/>
    <w:rsid w:val="51C426E0"/>
    <w:rsid w:val="52A59732"/>
    <w:rsid w:val="53AB3612"/>
    <w:rsid w:val="5419FCCD"/>
    <w:rsid w:val="54D56C6F"/>
    <w:rsid w:val="55CD3191"/>
    <w:rsid w:val="55EE3FD8"/>
    <w:rsid w:val="5615125B"/>
    <w:rsid w:val="572EB144"/>
    <w:rsid w:val="5731C106"/>
    <w:rsid w:val="574D7556"/>
    <w:rsid w:val="579194C6"/>
    <w:rsid w:val="5865FE19"/>
    <w:rsid w:val="58FE8E6C"/>
    <w:rsid w:val="59256874"/>
    <w:rsid w:val="593449B1"/>
    <w:rsid w:val="5957DAE8"/>
    <w:rsid w:val="59935BA3"/>
    <w:rsid w:val="5A0B136D"/>
    <w:rsid w:val="5AADFD34"/>
    <w:rsid w:val="5AE8DC7C"/>
    <w:rsid w:val="5B382812"/>
    <w:rsid w:val="5B5CDDFA"/>
    <w:rsid w:val="5BA6DD90"/>
    <w:rsid w:val="5BB7EF05"/>
    <w:rsid w:val="5BD1CFAD"/>
    <w:rsid w:val="5CDF8E33"/>
    <w:rsid w:val="5D737ABB"/>
    <w:rsid w:val="5DAEFF62"/>
    <w:rsid w:val="5E3805A6"/>
    <w:rsid w:val="5ED4C157"/>
    <w:rsid w:val="5EFC124F"/>
    <w:rsid w:val="5F5FF972"/>
    <w:rsid w:val="5F95BD32"/>
    <w:rsid w:val="5FA64466"/>
    <w:rsid w:val="5FE8F9C2"/>
    <w:rsid w:val="6036D410"/>
    <w:rsid w:val="6078B5F7"/>
    <w:rsid w:val="613D7C41"/>
    <w:rsid w:val="615339D2"/>
    <w:rsid w:val="61A8AE8E"/>
    <w:rsid w:val="624A88C9"/>
    <w:rsid w:val="629DF397"/>
    <w:rsid w:val="62C3266B"/>
    <w:rsid w:val="62F26B3E"/>
    <w:rsid w:val="6345A1DE"/>
    <w:rsid w:val="636EBC22"/>
    <w:rsid w:val="6382955B"/>
    <w:rsid w:val="63BC9D58"/>
    <w:rsid w:val="63D09D72"/>
    <w:rsid w:val="63F59BED"/>
    <w:rsid w:val="649359C0"/>
    <w:rsid w:val="6516B0E6"/>
    <w:rsid w:val="6610B975"/>
    <w:rsid w:val="661C5C0A"/>
    <w:rsid w:val="66B5BB54"/>
    <w:rsid w:val="674909F3"/>
    <w:rsid w:val="67A749BE"/>
    <w:rsid w:val="68B77D39"/>
    <w:rsid w:val="68CA4EE1"/>
    <w:rsid w:val="692F22EE"/>
    <w:rsid w:val="69528495"/>
    <w:rsid w:val="696BBDFE"/>
    <w:rsid w:val="6995B7DA"/>
    <w:rsid w:val="69CADFA6"/>
    <w:rsid w:val="6AA65F70"/>
    <w:rsid w:val="6AB48361"/>
    <w:rsid w:val="6ABEAF77"/>
    <w:rsid w:val="6B0CADCB"/>
    <w:rsid w:val="6C6E2411"/>
    <w:rsid w:val="6CECC56C"/>
    <w:rsid w:val="6CEF255D"/>
    <w:rsid w:val="6DA8410D"/>
    <w:rsid w:val="6DB60F7D"/>
    <w:rsid w:val="6F3522CD"/>
    <w:rsid w:val="6FE24058"/>
    <w:rsid w:val="70528100"/>
    <w:rsid w:val="7068777A"/>
    <w:rsid w:val="7121D2C3"/>
    <w:rsid w:val="71565689"/>
    <w:rsid w:val="7176D9B4"/>
    <w:rsid w:val="72080AB3"/>
    <w:rsid w:val="722959E1"/>
    <w:rsid w:val="7241DC58"/>
    <w:rsid w:val="730CDC9E"/>
    <w:rsid w:val="740397CD"/>
    <w:rsid w:val="741AB223"/>
    <w:rsid w:val="74C81A34"/>
    <w:rsid w:val="755C4627"/>
    <w:rsid w:val="75BC268F"/>
    <w:rsid w:val="75DDE982"/>
    <w:rsid w:val="75E24F0E"/>
    <w:rsid w:val="75FCA347"/>
    <w:rsid w:val="761B9B69"/>
    <w:rsid w:val="775A9E55"/>
    <w:rsid w:val="77896673"/>
    <w:rsid w:val="7829F03A"/>
    <w:rsid w:val="785BA1DA"/>
    <w:rsid w:val="786E3C64"/>
    <w:rsid w:val="7928B923"/>
    <w:rsid w:val="79DE0FD8"/>
    <w:rsid w:val="7A7AE85C"/>
    <w:rsid w:val="7B16A503"/>
    <w:rsid w:val="7B238CD6"/>
    <w:rsid w:val="7B8F09A8"/>
    <w:rsid w:val="7BEA8A6B"/>
    <w:rsid w:val="7C1E4689"/>
    <w:rsid w:val="7C546004"/>
    <w:rsid w:val="7C78485D"/>
    <w:rsid w:val="7CE76517"/>
    <w:rsid w:val="7D1F8D7B"/>
    <w:rsid w:val="7D5DBF96"/>
    <w:rsid w:val="7D86D4A6"/>
    <w:rsid w:val="7E8C88F6"/>
    <w:rsid w:val="7EEA7B43"/>
    <w:rsid w:val="7F51F8CE"/>
    <w:rsid w:val="7F520DC3"/>
    <w:rsid w:val="7FC0C1B1"/>
    <w:rsid w:val="7FDB2821"/>
    <w:rsid w:val="7FDCD5E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23B1F"/>
  <w15:docId w15:val="{57576F42-BC28-4057-8F1F-4E1EE50FF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40"/>
        <w:ind w:lef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446"/>
    <w:rPr>
      <w:sz w:val="19"/>
    </w:rPr>
  </w:style>
  <w:style w:type="paragraph" w:styleId="Heading1">
    <w:name w:val="heading 1"/>
    <w:basedOn w:val="Normal"/>
    <w:next w:val="Normal"/>
    <w:link w:val="Heading1Char"/>
    <w:autoRedefine/>
    <w:uiPriority w:val="9"/>
    <w:qFormat/>
    <w:rsid w:val="00AA77D6"/>
    <w:pPr>
      <w:numPr>
        <w:numId w:val="5"/>
      </w:numPr>
      <w:shd w:val="clear" w:color="auto" w:fill="FFFFFF"/>
      <w:suppressAutoHyphens/>
      <w:snapToGrid w:val="0"/>
      <w:spacing w:after="480"/>
      <w:contextualSpacing/>
      <w:outlineLvl w:val="0"/>
    </w:pPr>
    <w:rPr>
      <w:rFonts w:cstheme="minorHAnsi"/>
      <w:b/>
      <w:bCs/>
      <w:color w:val="004C43"/>
      <w:sz w:val="36"/>
      <w:szCs w:val="36"/>
    </w:rPr>
  </w:style>
  <w:style w:type="paragraph" w:styleId="Heading2">
    <w:name w:val="heading 2"/>
    <w:basedOn w:val="Normal"/>
    <w:next w:val="Normal"/>
    <w:link w:val="Heading2Char"/>
    <w:uiPriority w:val="9"/>
    <w:unhideWhenUsed/>
    <w:qFormat/>
    <w:rsid w:val="00D564F6"/>
    <w:pPr>
      <w:numPr>
        <w:ilvl w:val="1"/>
        <w:numId w:val="5"/>
      </w:numPr>
      <w:shd w:val="clear" w:color="auto" w:fill="FFFFFF"/>
      <w:snapToGrid w:val="0"/>
      <w:spacing w:before="400" w:after="80"/>
      <w:outlineLvl w:val="1"/>
    </w:pPr>
    <w:rPr>
      <w:rFonts w:cstheme="minorHAnsi"/>
      <w:b/>
      <w:bCs/>
      <w:color w:val="004C43" w:themeColor="accent1"/>
      <w:sz w:val="24"/>
    </w:rPr>
  </w:style>
  <w:style w:type="paragraph" w:styleId="Heading3">
    <w:name w:val="heading 3"/>
    <w:basedOn w:val="Normal"/>
    <w:next w:val="Normal"/>
    <w:link w:val="Heading3Char"/>
    <w:uiPriority w:val="9"/>
    <w:unhideWhenUsed/>
    <w:qFormat/>
    <w:rsid w:val="00271468"/>
    <w:pPr>
      <w:keepNext/>
      <w:keepLines/>
      <w:numPr>
        <w:ilvl w:val="2"/>
        <w:numId w:val="5"/>
      </w:numPr>
      <w:spacing w:before="240" w:after="20"/>
      <w:outlineLvl w:val="2"/>
    </w:pPr>
    <w:rPr>
      <w:rFonts w:asciiTheme="majorHAnsi" w:eastAsiaTheme="majorEastAsia" w:hAnsiTheme="majorHAnsi" w:cstheme="majorBidi"/>
      <w:b/>
      <w:color w:val="2F333C" w:themeColor="text1"/>
      <w:sz w:val="21"/>
      <w:szCs w:val="24"/>
    </w:rPr>
  </w:style>
  <w:style w:type="paragraph" w:styleId="Heading4">
    <w:name w:val="heading 4"/>
    <w:basedOn w:val="Normal"/>
    <w:next w:val="Normal"/>
    <w:link w:val="Heading4Char"/>
    <w:uiPriority w:val="9"/>
    <w:unhideWhenUsed/>
    <w:qFormat/>
    <w:rsid w:val="008816D9"/>
    <w:pPr>
      <w:keepNext/>
      <w:keepLines/>
      <w:numPr>
        <w:ilvl w:val="3"/>
        <w:numId w:val="5"/>
      </w:numPr>
      <w:spacing w:before="40" w:after="0"/>
      <w:outlineLvl w:val="3"/>
    </w:pPr>
    <w:rPr>
      <w:rFonts w:asciiTheme="majorHAnsi" w:eastAsiaTheme="majorEastAsia" w:hAnsiTheme="majorHAnsi" w:cstheme="majorBidi"/>
      <w:i/>
      <w:iCs/>
      <w:color w:val="004C43" w:themeColor="accent1"/>
    </w:rPr>
  </w:style>
  <w:style w:type="paragraph" w:styleId="Heading5">
    <w:name w:val="heading 5"/>
    <w:basedOn w:val="Normal"/>
    <w:next w:val="Normal"/>
    <w:link w:val="Heading5Char"/>
    <w:uiPriority w:val="9"/>
    <w:unhideWhenUsed/>
    <w:qFormat/>
    <w:rsid w:val="008816D9"/>
    <w:pPr>
      <w:keepNext/>
      <w:keepLines/>
      <w:numPr>
        <w:ilvl w:val="4"/>
        <w:numId w:val="5"/>
      </w:numPr>
      <w:spacing w:before="40" w:after="0"/>
      <w:ind w:left="3600" w:hanging="360"/>
      <w:outlineLvl w:val="4"/>
    </w:pPr>
    <w:rPr>
      <w:rFonts w:asciiTheme="majorHAnsi" w:eastAsiaTheme="majorEastAsia" w:hAnsiTheme="majorHAnsi" w:cstheme="majorBidi"/>
      <w:color w:val="003831" w:themeColor="accent1" w:themeShade="BF"/>
    </w:rPr>
  </w:style>
  <w:style w:type="paragraph" w:styleId="Heading6">
    <w:name w:val="heading 6"/>
    <w:basedOn w:val="Normal"/>
    <w:next w:val="Normal"/>
    <w:link w:val="Heading6Char"/>
    <w:uiPriority w:val="9"/>
    <w:semiHidden/>
    <w:unhideWhenUsed/>
    <w:qFormat/>
    <w:rsid w:val="00AC2919"/>
    <w:pPr>
      <w:keepNext/>
      <w:keepLines/>
      <w:numPr>
        <w:ilvl w:val="5"/>
        <w:numId w:val="5"/>
      </w:numPr>
      <w:spacing w:before="40" w:after="0"/>
      <w:ind w:left="4320" w:hanging="360"/>
      <w:outlineLvl w:val="5"/>
    </w:pPr>
    <w:rPr>
      <w:rFonts w:asciiTheme="majorHAnsi" w:eastAsiaTheme="majorEastAsia" w:hAnsiTheme="majorHAnsi" w:cstheme="majorBidi"/>
      <w:color w:val="002521" w:themeColor="accent1" w:themeShade="7F"/>
    </w:rPr>
  </w:style>
  <w:style w:type="paragraph" w:styleId="Heading7">
    <w:name w:val="heading 7"/>
    <w:basedOn w:val="Normal"/>
    <w:next w:val="Normal"/>
    <w:link w:val="Heading7Char"/>
    <w:uiPriority w:val="9"/>
    <w:semiHidden/>
    <w:unhideWhenUsed/>
    <w:qFormat/>
    <w:rsid w:val="00AC2919"/>
    <w:pPr>
      <w:keepNext/>
      <w:keepLines/>
      <w:numPr>
        <w:ilvl w:val="6"/>
        <w:numId w:val="5"/>
      </w:numPr>
      <w:spacing w:before="40" w:after="0"/>
      <w:ind w:left="5040" w:hanging="360"/>
      <w:outlineLvl w:val="6"/>
    </w:pPr>
    <w:rPr>
      <w:rFonts w:asciiTheme="majorHAnsi" w:eastAsiaTheme="majorEastAsia" w:hAnsiTheme="majorHAnsi" w:cstheme="majorBidi"/>
      <w:i/>
      <w:iCs/>
      <w:color w:val="002521" w:themeColor="accent1" w:themeShade="7F"/>
    </w:rPr>
  </w:style>
  <w:style w:type="paragraph" w:styleId="Heading8">
    <w:name w:val="heading 8"/>
    <w:basedOn w:val="Normal"/>
    <w:next w:val="Normal"/>
    <w:link w:val="Heading8Char"/>
    <w:uiPriority w:val="9"/>
    <w:unhideWhenUsed/>
    <w:qFormat/>
    <w:rsid w:val="008816D9"/>
    <w:pPr>
      <w:keepNext/>
      <w:keepLines/>
      <w:numPr>
        <w:ilvl w:val="7"/>
        <w:numId w:val="5"/>
      </w:numPr>
      <w:spacing w:before="40" w:after="0"/>
      <w:ind w:left="5760" w:hanging="360"/>
      <w:outlineLvl w:val="7"/>
    </w:pPr>
    <w:rPr>
      <w:rFonts w:asciiTheme="majorHAnsi" w:eastAsiaTheme="majorEastAsia" w:hAnsiTheme="majorHAnsi" w:cstheme="majorBidi"/>
      <w:color w:val="4A505E" w:themeColor="text1" w:themeTint="D8"/>
      <w:sz w:val="21"/>
      <w:szCs w:val="21"/>
    </w:rPr>
  </w:style>
  <w:style w:type="paragraph" w:styleId="Heading9">
    <w:name w:val="heading 9"/>
    <w:basedOn w:val="Normal"/>
    <w:next w:val="Normal"/>
    <w:link w:val="Heading9Char"/>
    <w:uiPriority w:val="9"/>
    <w:unhideWhenUsed/>
    <w:qFormat/>
    <w:rsid w:val="008816D9"/>
    <w:pPr>
      <w:keepNext/>
      <w:keepLines/>
      <w:numPr>
        <w:ilvl w:val="8"/>
        <w:numId w:val="5"/>
      </w:numPr>
      <w:spacing w:before="40" w:after="0"/>
      <w:ind w:left="6480" w:hanging="360"/>
      <w:outlineLvl w:val="8"/>
    </w:pPr>
    <w:rPr>
      <w:rFonts w:asciiTheme="majorHAnsi" w:eastAsiaTheme="majorEastAsia" w:hAnsiTheme="majorHAnsi" w:cstheme="majorBidi"/>
      <w:i/>
      <w:iCs/>
      <w:color w:val="4A505E"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13BF0"/>
    <w:rPr>
      <w:rFonts w:ascii="Arial" w:hAnsi="Arial"/>
      <w:sz w:val="18"/>
    </w:rPr>
  </w:style>
  <w:style w:type="character" w:customStyle="1" w:styleId="FooterChar">
    <w:name w:val="Footer Char"/>
    <w:basedOn w:val="DefaultParagraphFont"/>
    <w:link w:val="Footer"/>
    <w:uiPriority w:val="99"/>
    <w:qFormat/>
    <w:rsid w:val="00513BF0"/>
    <w:rPr>
      <w:rFonts w:ascii="Arial" w:hAnsi="Arial"/>
      <w:sz w:val="18"/>
    </w:rPr>
  </w:style>
  <w:style w:type="character" w:customStyle="1" w:styleId="Heading1Char">
    <w:name w:val="Heading 1 Char"/>
    <w:basedOn w:val="DefaultParagraphFont"/>
    <w:link w:val="Heading1"/>
    <w:uiPriority w:val="9"/>
    <w:qFormat/>
    <w:rsid w:val="00AA77D6"/>
    <w:rPr>
      <w:rFonts w:cstheme="minorHAnsi"/>
      <w:b/>
      <w:bCs/>
      <w:color w:val="004C43"/>
      <w:sz w:val="36"/>
      <w:szCs w:val="36"/>
      <w:shd w:val="clear" w:color="auto" w:fill="FFFFFF"/>
    </w:rPr>
  </w:style>
  <w:style w:type="character" w:customStyle="1" w:styleId="TitleChar">
    <w:name w:val="Title Char"/>
    <w:basedOn w:val="DefaultParagraphFont"/>
    <w:link w:val="Title"/>
    <w:uiPriority w:val="10"/>
    <w:qFormat/>
    <w:rsid w:val="005F11AF"/>
    <w:rPr>
      <w:rFonts w:asciiTheme="majorHAnsi" w:eastAsiaTheme="majorEastAsia" w:hAnsiTheme="majorHAnsi" w:cstheme="majorBidi"/>
      <w:b/>
      <w:spacing w:val="-10"/>
      <w:kern w:val="2"/>
      <w:sz w:val="64"/>
      <w:szCs w:val="56"/>
    </w:rPr>
  </w:style>
  <w:style w:type="character" w:styleId="Hyperlink">
    <w:name w:val="Hyperlink"/>
    <w:basedOn w:val="DefaultParagraphFont"/>
    <w:uiPriority w:val="99"/>
    <w:unhideWhenUsed/>
    <w:rsid w:val="00086078"/>
    <w:rPr>
      <w:rFonts w:asciiTheme="minorHAnsi" w:hAnsiTheme="minorHAnsi"/>
      <w:color w:val="65BD60" w:themeColor="hyperlink"/>
      <w:sz w:val="18"/>
      <w:u w:val="single"/>
    </w:rPr>
  </w:style>
  <w:style w:type="character" w:customStyle="1" w:styleId="Heading2Char">
    <w:name w:val="Heading 2 Char"/>
    <w:basedOn w:val="DefaultParagraphFont"/>
    <w:link w:val="Heading2"/>
    <w:uiPriority w:val="9"/>
    <w:qFormat/>
    <w:rsid w:val="00B5180C"/>
    <w:rPr>
      <w:rFonts w:cstheme="minorHAnsi"/>
      <w:b/>
      <w:bCs/>
      <w:color w:val="004C43" w:themeColor="accent1"/>
      <w:sz w:val="24"/>
      <w:shd w:val="clear" w:color="auto" w:fill="FFFFFF"/>
    </w:rPr>
  </w:style>
  <w:style w:type="character" w:styleId="CommentReference">
    <w:name w:val="annotation reference"/>
    <w:basedOn w:val="DefaultParagraphFont"/>
    <w:uiPriority w:val="99"/>
    <w:semiHidden/>
    <w:unhideWhenUsed/>
    <w:qFormat/>
    <w:rsid w:val="00DF1C50"/>
    <w:rPr>
      <w:rFonts w:asciiTheme="minorHAnsi" w:hAnsiTheme="minorHAnsi"/>
      <w:sz w:val="16"/>
      <w:szCs w:val="16"/>
    </w:rPr>
  </w:style>
  <w:style w:type="character" w:styleId="UnresolvedMention">
    <w:name w:val="Unresolved Mention"/>
    <w:basedOn w:val="DefaultParagraphFont"/>
    <w:uiPriority w:val="99"/>
    <w:semiHidden/>
    <w:unhideWhenUsed/>
    <w:qFormat/>
    <w:rsid w:val="00EF52A8"/>
    <w:rPr>
      <w:rFonts w:asciiTheme="minorHAnsi" w:hAnsiTheme="minorHAnsi"/>
      <w:color w:val="605E5C"/>
      <w:sz w:val="18"/>
      <w:shd w:val="clear" w:color="auto" w:fill="E1DFDD"/>
    </w:rPr>
  </w:style>
  <w:style w:type="character" w:customStyle="1" w:styleId="FootnoteTextChar">
    <w:name w:val="Footnote Text Char"/>
    <w:basedOn w:val="DefaultParagraphFont"/>
    <w:link w:val="FootnoteText"/>
    <w:uiPriority w:val="99"/>
    <w:qFormat/>
    <w:rsid w:val="00AD069C"/>
    <w:rPr>
      <w:sz w:val="19"/>
      <w:szCs w:val="20"/>
    </w:rPr>
  </w:style>
  <w:style w:type="character" w:customStyle="1" w:styleId="FootnoteCharacters">
    <w:name w:val="Footnote Characters"/>
    <w:basedOn w:val="DefaultParagraphFont"/>
    <w:link w:val="CIGfootnotenumber"/>
    <w:uiPriority w:val="99"/>
    <w:unhideWhenUsed/>
    <w:qFormat/>
    <w:rsid w:val="00AD069C"/>
    <w:rPr>
      <w:rFonts w:asciiTheme="minorHAnsi" w:hAnsiTheme="minorHAnsi"/>
      <w:sz w:val="18"/>
      <w:vertAlign w:val="superscript"/>
    </w:rPr>
  </w:style>
  <w:style w:type="character" w:styleId="FootnoteReference">
    <w:name w:val="footnote reference"/>
    <w:uiPriority w:val="99"/>
    <w:rPr>
      <w:rFonts w:asciiTheme="minorHAnsi" w:hAnsiTheme="minorHAnsi"/>
      <w:sz w:val="18"/>
      <w:vertAlign w:val="superscript"/>
    </w:rPr>
  </w:style>
  <w:style w:type="character" w:customStyle="1" w:styleId="Heading4Char">
    <w:name w:val="Heading 4 Char"/>
    <w:basedOn w:val="DefaultParagraphFont"/>
    <w:link w:val="Heading4"/>
    <w:uiPriority w:val="9"/>
    <w:qFormat/>
    <w:rsid w:val="008816D9"/>
    <w:rPr>
      <w:rFonts w:asciiTheme="majorHAnsi" w:eastAsiaTheme="majorEastAsia" w:hAnsiTheme="majorHAnsi" w:cstheme="majorBidi"/>
      <w:i/>
      <w:iCs/>
      <w:color w:val="004C43" w:themeColor="accent1"/>
      <w:sz w:val="19"/>
    </w:rPr>
  </w:style>
  <w:style w:type="character" w:customStyle="1" w:styleId="Heading5Char">
    <w:name w:val="Heading 5 Char"/>
    <w:basedOn w:val="DefaultParagraphFont"/>
    <w:link w:val="Heading5"/>
    <w:uiPriority w:val="9"/>
    <w:qFormat/>
    <w:rsid w:val="008816D9"/>
    <w:rPr>
      <w:rFonts w:asciiTheme="majorHAnsi" w:eastAsiaTheme="majorEastAsia" w:hAnsiTheme="majorHAnsi" w:cstheme="majorBidi"/>
      <w:color w:val="003831" w:themeColor="accent1" w:themeShade="BF"/>
      <w:sz w:val="19"/>
    </w:rPr>
  </w:style>
  <w:style w:type="character" w:customStyle="1" w:styleId="Heading8Char">
    <w:name w:val="Heading 8 Char"/>
    <w:basedOn w:val="DefaultParagraphFont"/>
    <w:link w:val="Heading8"/>
    <w:uiPriority w:val="9"/>
    <w:qFormat/>
    <w:rsid w:val="008816D9"/>
    <w:rPr>
      <w:rFonts w:asciiTheme="majorHAnsi" w:eastAsiaTheme="majorEastAsia" w:hAnsiTheme="majorHAnsi" w:cstheme="majorBidi"/>
      <w:color w:val="4A505E" w:themeColor="text1" w:themeTint="D8"/>
      <w:sz w:val="21"/>
      <w:szCs w:val="21"/>
    </w:rPr>
  </w:style>
  <w:style w:type="character" w:customStyle="1" w:styleId="PlainTextChar">
    <w:name w:val="Plain Text Char"/>
    <w:basedOn w:val="DefaultParagraphFont"/>
    <w:link w:val="PlainText"/>
    <w:uiPriority w:val="99"/>
    <w:qFormat/>
    <w:rsid w:val="00A61E34"/>
    <w:rPr>
      <w:rFonts w:ascii="Consolas" w:hAnsi="Consolas"/>
      <w:sz w:val="21"/>
      <w:szCs w:val="21"/>
    </w:rPr>
  </w:style>
  <w:style w:type="character" w:customStyle="1" w:styleId="footnoteChar">
    <w:name w:val="footnote Char"/>
    <w:basedOn w:val="FootnoteTextChar"/>
    <w:link w:val="footnote"/>
    <w:qFormat/>
    <w:rsid w:val="00DD7D52"/>
    <w:rPr>
      <w:rFonts w:ascii="Georgia" w:hAnsi="Georgia" w:cstheme="minorHAnsi"/>
      <w:sz w:val="16"/>
      <w:szCs w:val="20"/>
    </w:rPr>
  </w:style>
  <w:style w:type="character" w:customStyle="1" w:styleId="Heading9Char">
    <w:name w:val="Heading 9 Char"/>
    <w:basedOn w:val="DefaultParagraphFont"/>
    <w:link w:val="Heading9"/>
    <w:uiPriority w:val="9"/>
    <w:qFormat/>
    <w:rsid w:val="008816D9"/>
    <w:rPr>
      <w:rFonts w:asciiTheme="majorHAnsi" w:eastAsiaTheme="majorEastAsia" w:hAnsiTheme="majorHAnsi" w:cstheme="majorBidi"/>
      <w:i/>
      <w:iCs/>
      <w:color w:val="4A505E" w:themeColor="text1" w:themeTint="D8"/>
      <w:sz w:val="21"/>
      <w:szCs w:val="21"/>
    </w:rPr>
  </w:style>
  <w:style w:type="character" w:styleId="PageNumber">
    <w:name w:val="page number"/>
    <w:basedOn w:val="DefaultParagraphFont"/>
    <w:uiPriority w:val="99"/>
    <w:semiHidden/>
    <w:unhideWhenUsed/>
    <w:rsid w:val="003826D8"/>
    <w:rPr>
      <w:rFonts w:asciiTheme="minorHAnsi" w:hAnsiTheme="minorHAnsi"/>
      <w:sz w:val="18"/>
    </w:rPr>
  </w:style>
  <w:style w:type="character" w:customStyle="1" w:styleId="Heading3Char">
    <w:name w:val="Heading 3 Char"/>
    <w:basedOn w:val="DefaultParagraphFont"/>
    <w:link w:val="Heading3"/>
    <w:uiPriority w:val="9"/>
    <w:qFormat/>
    <w:rsid w:val="00271468"/>
    <w:rPr>
      <w:rFonts w:asciiTheme="majorHAnsi" w:eastAsiaTheme="majorEastAsia" w:hAnsiTheme="majorHAnsi" w:cstheme="majorBidi"/>
      <w:b/>
      <w:color w:val="2F333C" w:themeColor="text1"/>
      <w:sz w:val="21"/>
      <w:szCs w:val="24"/>
    </w:rPr>
  </w:style>
  <w:style w:type="character" w:styleId="FollowedHyperlink">
    <w:name w:val="FollowedHyperlink"/>
    <w:basedOn w:val="DefaultParagraphFont"/>
    <w:uiPriority w:val="99"/>
    <w:semiHidden/>
    <w:unhideWhenUsed/>
    <w:rsid w:val="00DD7D52"/>
    <w:rPr>
      <w:rFonts w:asciiTheme="minorHAnsi" w:hAnsiTheme="minorHAnsi"/>
      <w:color w:val="65BD60" w:themeColor="followedHyperlink"/>
      <w:sz w:val="18"/>
      <w:u w:val="single"/>
    </w:rPr>
  </w:style>
  <w:style w:type="character" w:styleId="Strong">
    <w:name w:val="Strong"/>
    <w:basedOn w:val="DefaultParagraphFont"/>
    <w:uiPriority w:val="22"/>
    <w:qFormat/>
    <w:rsid w:val="002030F0"/>
    <w:rPr>
      <w:b/>
      <w:bCs/>
    </w:rPr>
  </w:style>
  <w:style w:type="character" w:customStyle="1" w:styleId="SubtitleChar">
    <w:name w:val="Subtitle Char"/>
    <w:basedOn w:val="DefaultParagraphFont"/>
    <w:link w:val="Subtitle"/>
    <w:uiPriority w:val="11"/>
    <w:qFormat/>
    <w:rsid w:val="005F11AF"/>
    <w:rPr>
      <w:rFonts w:eastAsiaTheme="minorEastAsia"/>
      <w:color w:val="65BD60" w:themeColor="accent2"/>
      <w:spacing w:val="15"/>
      <w:sz w:val="36"/>
    </w:rPr>
  </w:style>
  <w:style w:type="character" w:customStyle="1" w:styleId="BodyTextChar">
    <w:name w:val="Body Text Char"/>
    <w:basedOn w:val="DefaultParagraphFont"/>
    <w:link w:val="BodyText"/>
    <w:uiPriority w:val="99"/>
    <w:qFormat/>
    <w:rsid w:val="00922A27"/>
    <w:rPr>
      <w:sz w:val="19"/>
    </w:rPr>
  </w:style>
  <w:style w:type="character" w:customStyle="1" w:styleId="CommentTextChar">
    <w:name w:val="Comment Text Char"/>
    <w:basedOn w:val="DefaultParagraphFont"/>
    <w:link w:val="CommentText"/>
    <w:uiPriority w:val="99"/>
    <w:qFormat/>
    <w:rPr>
      <w:sz w:val="20"/>
      <w:szCs w:val="20"/>
    </w:rPr>
  </w:style>
  <w:style w:type="character" w:customStyle="1" w:styleId="IndexLink">
    <w:name w:val="Index Link"/>
    <w:qFormat/>
  </w:style>
  <w:style w:type="character" w:styleId="LineNumber">
    <w:name w:val="line number"/>
  </w:style>
  <w:style w:type="character" w:customStyle="1" w:styleId="Bullets">
    <w:name w:val="Bullets"/>
    <w:qFormat/>
    <w:rPr>
      <w:rFonts w:ascii="OpenSymbol" w:eastAsia="OpenSymbol" w:hAnsi="OpenSymbol" w:cs="OpenSymbol"/>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922A27"/>
    <w:pPr>
      <w:spacing w:after="120"/>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DC73E0"/>
    <w:pPr>
      <w:spacing w:after="200"/>
    </w:pPr>
    <w:rPr>
      <w:i/>
      <w:iCs/>
      <w:color w:val="004E71" w:themeColor="text2"/>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13BF0"/>
    <w:pPr>
      <w:tabs>
        <w:tab w:val="center" w:pos="4513"/>
        <w:tab w:val="right" w:pos="9026"/>
      </w:tabs>
      <w:spacing w:after="0"/>
    </w:pPr>
    <w:rPr>
      <w:rFonts w:ascii="Arial" w:hAnsi="Arial"/>
      <w:sz w:val="18"/>
    </w:rPr>
  </w:style>
  <w:style w:type="paragraph" w:styleId="Footer">
    <w:name w:val="footer"/>
    <w:basedOn w:val="Normal"/>
    <w:link w:val="FooterChar"/>
    <w:uiPriority w:val="99"/>
    <w:unhideWhenUsed/>
    <w:rsid w:val="00513BF0"/>
    <w:pPr>
      <w:tabs>
        <w:tab w:val="center" w:pos="4513"/>
        <w:tab w:val="right" w:pos="9026"/>
      </w:tabs>
      <w:spacing w:after="0"/>
    </w:pPr>
    <w:rPr>
      <w:rFonts w:ascii="Arial" w:hAnsi="Arial"/>
      <w:sz w:val="18"/>
    </w:rPr>
  </w:style>
  <w:style w:type="paragraph" w:styleId="Title">
    <w:name w:val="Title"/>
    <w:basedOn w:val="Normal"/>
    <w:next w:val="Normal"/>
    <w:link w:val="TitleChar"/>
    <w:uiPriority w:val="10"/>
    <w:qFormat/>
    <w:rsid w:val="005F11AF"/>
    <w:pPr>
      <w:spacing w:after="0"/>
      <w:contextualSpacing/>
    </w:pPr>
    <w:rPr>
      <w:rFonts w:asciiTheme="majorHAnsi" w:eastAsiaTheme="majorEastAsia" w:hAnsiTheme="majorHAnsi" w:cstheme="majorBidi"/>
      <w:b/>
      <w:spacing w:val="-10"/>
      <w:kern w:val="2"/>
      <w:sz w:val="64"/>
      <w:szCs w:val="56"/>
    </w:rPr>
  </w:style>
  <w:style w:type="paragraph" w:customStyle="1" w:styleId="Acronymlist">
    <w:name w:val="Acronym list"/>
    <w:basedOn w:val="Normal"/>
    <w:qFormat/>
    <w:rsid w:val="008361CE"/>
    <w:pPr>
      <w:spacing w:before="100" w:after="100"/>
    </w:pPr>
  </w:style>
  <w:style w:type="paragraph" w:customStyle="1" w:styleId="TOC2NEW">
    <w:name w:val="TOC 2 NEW"/>
    <w:basedOn w:val="TOC1NEW"/>
    <w:qFormat/>
    <w:rsid w:val="00A4408A"/>
    <w:pPr>
      <w:tabs>
        <w:tab w:val="clear" w:pos="284"/>
        <w:tab w:val="clear" w:pos="9072"/>
        <w:tab w:val="left" w:pos="567"/>
      </w:tabs>
      <w:spacing w:before="0" w:after="200"/>
      <w:ind w:left="284"/>
    </w:pPr>
  </w:style>
  <w:style w:type="paragraph" w:styleId="NormalWeb">
    <w:name w:val="Normal (Web)"/>
    <w:basedOn w:val="Normal"/>
    <w:uiPriority w:val="99"/>
    <w:unhideWhenUsed/>
    <w:qFormat/>
    <w:rsid w:val="009030DF"/>
    <w:pPr>
      <w:spacing w:beforeAutospacing="1" w:afterAutospacing="1"/>
    </w:pPr>
    <w:rPr>
      <w:rFonts w:ascii="Times New Roman" w:eastAsia="Times New Roman" w:hAnsi="Times New Roman" w:cs="Times New Roman"/>
      <w:sz w:val="24"/>
      <w:szCs w:val="24"/>
      <w:lang w:eastAsia="en-GB"/>
    </w:rPr>
  </w:style>
  <w:style w:type="paragraph" w:styleId="Revision">
    <w:name w:val="Revision"/>
    <w:uiPriority w:val="99"/>
    <w:semiHidden/>
    <w:qFormat/>
    <w:rsid w:val="005D12DC"/>
    <w:rPr>
      <w:rFonts w:ascii="Georgia" w:hAnsi="Georgia"/>
      <w:sz w:val="20"/>
    </w:rPr>
  </w:style>
  <w:style w:type="paragraph" w:styleId="FootnoteText">
    <w:name w:val="footnote text"/>
    <w:basedOn w:val="Normal"/>
    <w:link w:val="FootnoteTextChar"/>
    <w:uiPriority w:val="99"/>
    <w:unhideWhenUsed/>
    <w:qFormat/>
    <w:rsid w:val="00265062"/>
    <w:pPr>
      <w:spacing w:after="0"/>
    </w:pPr>
    <w:rPr>
      <w:szCs w:val="20"/>
    </w:rPr>
  </w:style>
  <w:style w:type="paragraph" w:styleId="PlainText">
    <w:name w:val="Plain Text"/>
    <w:basedOn w:val="Normal"/>
    <w:link w:val="PlainTextChar"/>
    <w:uiPriority w:val="99"/>
    <w:semiHidden/>
    <w:unhideWhenUsed/>
    <w:qFormat/>
    <w:rsid w:val="00A61E34"/>
    <w:pPr>
      <w:spacing w:after="0"/>
    </w:pPr>
    <w:rPr>
      <w:rFonts w:ascii="Consolas" w:hAnsi="Consolas"/>
      <w:sz w:val="21"/>
      <w:szCs w:val="21"/>
    </w:rPr>
  </w:style>
  <w:style w:type="paragraph" w:customStyle="1" w:styleId="footnote">
    <w:name w:val="footnote"/>
    <w:basedOn w:val="FootnoteText"/>
    <w:link w:val="footnoteChar"/>
    <w:qFormat/>
    <w:rsid w:val="00DD7D52"/>
    <w:pPr>
      <w:spacing w:after="16" w:line="228" w:lineRule="auto"/>
      <w:ind w:left="130" w:hanging="130"/>
    </w:pPr>
    <w:rPr>
      <w:rFonts w:cstheme="minorHAnsi"/>
      <w:sz w:val="16"/>
    </w:rPr>
  </w:style>
  <w:style w:type="paragraph" w:customStyle="1" w:styleId="Tableheader">
    <w:name w:val="Table header"/>
    <w:basedOn w:val="Normal"/>
    <w:qFormat/>
    <w:rsid w:val="000D57F5"/>
    <w:pPr>
      <w:spacing w:before="100" w:after="100"/>
    </w:pPr>
    <w:rPr>
      <w:rFonts w:asciiTheme="majorHAnsi" w:hAnsiTheme="majorHAnsi"/>
      <w:b/>
      <w:bCs/>
      <w:color w:val="FFFFFF" w:themeColor="background1"/>
      <w:sz w:val="18"/>
      <w:szCs w:val="18"/>
    </w:rPr>
  </w:style>
  <w:style w:type="paragraph" w:customStyle="1" w:styleId="Tablebody">
    <w:name w:val="Table body"/>
    <w:basedOn w:val="Normal"/>
    <w:qFormat/>
    <w:rsid w:val="00C8705B"/>
    <w:pPr>
      <w:spacing w:before="100" w:after="100"/>
    </w:pPr>
    <w:rPr>
      <w:sz w:val="18"/>
      <w:szCs w:val="19"/>
    </w:rPr>
  </w:style>
  <w:style w:type="paragraph" w:customStyle="1" w:styleId="Bulletedlist">
    <w:name w:val="Bulleted list"/>
    <w:basedOn w:val="Normal"/>
    <w:qFormat/>
    <w:rsid w:val="008816D9"/>
    <w:pPr>
      <w:numPr>
        <w:numId w:val="1"/>
      </w:numPr>
      <w:contextualSpacing/>
    </w:pPr>
  </w:style>
  <w:style w:type="paragraph" w:customStyle="1" w:styleId="Captionnew">
    <w:name w:val="Caption new"/>
    <w:basedOn w:val="Normal"/>
    <w:qFormat/>
    <w:rsid w:val="000618B9"/>
    <w:pPr>
      <w:spacing w:before="160" w:after="160"/>
    </w:pPr>
    <w:rPr>
      <w:i/>
      <w:iCs/>
      <w:color w:val="778094" w:themeColor="text1" w:themeTint="99"/>
    </w:rPr>
  </w:style>
  <w:style w:type="paragraph" w:customStyle="1" w:styleId="Quote1">
    <w:name w:val="Quote1"/>
    <w:basedOn w:val="Normal"/>
    <w:qFormat/>
    <w:rsid w:val="00DD7D52"/>
    <w:pPr>
      <w:ind w:left="68" w:right="1134" w:hanging="68"/>
    </w:pPr>
    <w:rPr>
      <w:i/>
      <w:iCs/>
      <w:color w:val="00BCB5" w:themeColor="accent5"/>
    </w:rPr>
  </w:style>
  <w:style w:type="paragraph" w:customStyle="1" w:styleId="TOC1NEW">
    <w:name w:val="TOC 1 NEW"/>
    <w:basedOn w:val="Normal"/>
    <w:qFormat/>
    <w:rsid w:val="00A4408A"/>
    <w:pPr>
      <w:tabs>
        <w:tab w:val="left" w:pos="284"/>
        <w:tab w:val="right" w:leader="dot" w:pos="9072"/>
      </w:tabs>
      <w:spacing w:before="200" w:after="60"/>
    </w:pPr>
    <w:rPr>
      <w:lang w:eastAsia="en-GB"/>
    </w:rPr>
  </w:style>
  <w:style w:type="paragraph" w:customStyle="1" w:styleId="Contacttext">
    <w:name w:val="Contact text"/>
    <w:basedOn w:val="Normal"/>
    <w:uiPriority w:val="99"/>
    <w:qFormat/>
    <w:rsid w:val="00AA4F18"/>
    <w:pPr>
      <w:spacing w:after="57" w:line="220" w:lineRule="atLeast"/>
      <w:textAlignment w:val="center"/>
    </w:pPr>
    <w:rPr>
      <w:rFonts w:ascii="Inter Tight Light" w:hAnsi="Inter Tight Light" w:cs="Inter Tight Light"/>
      <w:color w:val="00000C"/>
      <w:spacing w:val="-1"/>
      <w:sz w:val="16"/>
      <w:szCs w:val="16"/>
    </w:rPr>
  </w:style>
  <w:style w:type="paragraph" w:customStyle="1" w:styleId="Factboxtext">
    <w:name w:val="Fact box text"/>
    <w:basedOn w:val="Normal"/>
    <w:uiPriority w:val="99"/>
    <w:qFormat/>
    <w:rsid w:val="00AA4F18"/>
    <w:pPr>
      <w:tabs>
        <w:tab w:val="left" w:pos="160"/>
      </w:tabs>
      <w:spacing w:before="113" w:after="0" w:line="210" w:lineRule="atLeast"/>
      <w:textAlignment w:val="center"/>
    </w:pPr>
    <w:rPr>
      <w:rFonts w:ascii="Inter" w:hAnsi="Inter" w:cs="Inter"/>
      <w:color w:val="FFFFFF"/>
      <w:sz w:val="17"/>
      <w:szCs w:val="17"/>
    </w:rPr>
  </w:style>
  <w:style w:type="paragraph" w:customStyle="1" w:styleId="CIGfootnotenumber">
    <w:name w:val="CIG footnote number"/>
    <w:basedOn w:val="FootnoteText"/>
    <w:next w:val="FootnoteText"/>
    <w:link w:val="FootnoteCharacters"/>
    <w:uiPriority w:val="99"/>
    <w:qFormat/>
    <w:rsid w:val="00DC73E0"/>
    <w:pPr>
      <w:spacing w:line="276" w:lineRule="auto"/>
      <w:ind w:left="187" w:hanging="187"/>
    </w:pPr>
    <w:rPr>
      <w:sz w:val="18"/>
      <w:szCs w:val="22"/>
      <w:vertAlign w:val="superscript"/>
    </w:rPr>
  </w:style>
  <w:style w:type="paragraph" w:customStyle="1" w:styleId="Boxheading">
    <w:name w:val="Box heading"/>
    <w:basedOn w:val="Normal"/>
    <w:qFormat/>
    <w:rsid w:val="007D6B9B"/>
    <w:pPr>
      <w:spacing w:before="200" w:after="60"/>
      <w:ind w:left="176" w:right="147"/>
    </w:pPr>
    <w:rPr>
      <w:rFonts w:eastAsiaTheme="minorEastAsia" w:cs="Aptos"/>
      <w:b/>
      <w:bCs/>
      <w:color w:val="FFFFFF" w:themeColor="background1"/>
      <w:sz w:val="18"/>
      <w:szCs w:val="18"/>
    </w:rPr>
  </w:style>
  <w:style w:type="paragraph" w:customStyle="1" w:styleId="Boxtext">
    <w:name w:val="Box text"/>
    <w:basedOn w:val="Normal"/>
    <w:qFormat/>
    <w:rsid w:val="007D6B9B"/>
    <w:pPr>
      <w:spacing w:before="100" w:after="60" w:line="264" w:lineRule="auto"/>
      <w:ind w:left="176" w:right="147"/>
    </w:pPr>
    <w:rPr>
      <w:rFonts w:ascii="Arial" w:eastAsia="Arial" w:hAnsi="Arial" w:cs="Arial"/>
      <w:color w:val="FFFFFF" w:themeColor="background1"/>
      <w:sz w:val="18"/>
      <w:szCs w:val="18"/>
    </w:rPr>
  </w:style>
  <w:style w:type="paragraph" w:customStyle="1" w:styleId="Boxtextlastpara">
    <w:name w:val="Box text last para"/>
    <w:basedOn w:val="Boxtext"/>
    <w:qFormat/>
    <w:rsid w:val="007D6B9B"/>
    <w:pPr>
      <w:spacing w:after="160"/>
    </w:pPr>
  </w:style>
  <w:style w:type="paragraph" w:customStyle="1" w:styleId="Quote2">
    <w:name w:val="Quote2"/>
    <w:basedOn w:val="Acronymlist"/>
    <w:qFormat/>
    <w:rsid w:val="002030F0"/>
    <w:pPr>
      <w:pBdr>
        <w:left w:val="single" w:sz="36" w:space="8" w:color="00BCB5" w:themeColor="accent5"/>
      </w:pBdr>
      <w:spacing w:before="70" w:after="70" w:line="276" w:lineRule="auto"/>
    </w:pPr>
    <w:rPr>
      <w:i/>
      <w:iCs/>
      <w:color w:val="2F333C" w:themeColor="text1"/>
      <w:szCs w:val="18"/>
    </w:rPr>
  </w:style>
  <w:style w:type="paragraph" w:customStyle="1" w:styleId="Quotesignoff">
    <w:name w:val="Quote sign off"/>
    <w:basedOn w:val="Quote2"/>
    <w:qFormat/>
    <w:rsid w:val="002030F0"/>
    <w:rPr>
      <w:b/>
      <w:i w:val="0"/>
      <w:szCs w:val="19"/>
    </w:rPr>
  </w:style>
  <w:style w:type="paragraph" w:styleId="Subtitle">
    <w:name w:val="Subtitle"/>
    <w:basedOn w:val="Normal"/>
    <w:next w:val="Normal"/>
    <w:link w:val="SubtitleChar"/>
    <w:uiPriority w:val="11"/>
    <w:qFormat/>
    <w:rsid w:val="005F11AF"/>
    <w:pPr>
      <w:spacing w:before="160" w:after="160"/>
    </w:pPr>
    <w:rPr>
      <w:rFonts w:eastAsiaTheme="minorEastAsia"/>
      <w:color w:val="65BD60" w:themeColor="accent2"/>
      <w:spacing w:val="15"/>
      <w:sz w:val="36"/>
    </w:rPr>
  </w:style>
  <w:style w:type="paragraph" w:styleId="ListParagraph">
    <w:name w:val="List Paragraph"/>
    <w:basedOn w:val="Normal"/>
    <w:uiPriority w:val="34"/>
    <w:qFormat/>
    <w:rsid w:val="00922A27"/>
    <w:pPr>
      <w:ind w:left="720"/>
      <w:contextualSpacing/>
    </w:pPr>
  </w:style>
  <w:style w:type="paragraph" w:styleId="TOC1">
    <w:name w:val="toc 1"/>
    <w:basedOn w:val="Normal"/>
    <w:next w:val="Normal"/>
    <w:uiPriority w:val="39"/>
    <w:unhideWhenUsed/>
    <w:rsid w:val="0B255B88"/>
    <w:pPr>
      <w:spacing w:after="100"/>
    </w:pPr>
  </w:style>
  <w:style w:type="paragraph" w:styleId="TOC2">
    <w:name w:val="toc 2"/>
    <w:basedOn w:val="Normal"/>
    <w:next w:val="Normal"/>
    <w:uiPriority w:val="39"/>
    <w:unhideWhenUsed/>
    <w:rsid w:val="0B255B88"/>
    <w:pPr>
      <w:spacing w:after="100"/>
      <w:ind w:left="220"/>
    </w:pPr>
  </w:style>
  <w:style w:type="paragraph" w:styleId="CommentText">
    <w:name w:val="annotation text"/>
    <w:basedOn w:val="Normal"/>
    <w:link w:val="CommentTextChar"/>
    <w:uiPriority w:val="99"/>
    <w:unhideWhenUsed/>
    <w:rPr>
      <w:sz w:val="20"/>
      <w:szCs w:val="20"/>
    </w:rPr>
  </w:style>
  <w:style w:type="table" w:styleId="TableGrid">
    <w:name w:val="Table Grid"/>
    <w:basedOn w:val="TableNormal"/>
    <w:rsid w:val="006B4614"/>
    <w:tblPr/>
  </w:style>
  <w:style w:type="table" w:customStyle="1" w:styleId="ListTable3-Accent11">
    <w:name w:val="List Table 3 - Accent 11"/>
    <w:basedOn w:val="TableNormal"/>
    <w:uiPriority w:val="48"/>
    <w:rsid w:val="00A61E34"/>
    <w:rPr>
      <w:lang w:val="en-US"/>
    </w:rPr>
    <w:tblPr/>
    <w:tblStylePr w:type="firstRow">
      <w:rPr>
        <w:b/>
        <w:bCs/>
      </w:rPr>
    </w:tblStylePr>
    <w:tblStylePr w:type="lastRow">
      <w:rPr>
        <w:b/>
        <w:bCs/>
      </w:rPr>
    </w:tblStylePr>
    <w:tblStylePr w:type="firstCol">
      <w:rPr>
        <w:b/>
        <w:bCs/>
      </w:rPr>
    </w:tblStylePr>
    <w:tblStylePr w:type="lastCol">
      <w:rPr>
        <w:b/>
        <w:bCs/>
      </w:rPr>
    </w:tblStylePr>
  </w:style>
  <w:style w:type="table" w:styleId="ListTable3-Accent1">
    <w:name w:val="List Table 3 Accent 1"/>
    <w:basedOn w:val="TableNormal"/>
    <w:uiPriority w:val="48"/>
    <w:rsid w:val="00A61E34"/>
    <w:tblPr>
      <w:tblStyleRowBandSize w:val="1"/>
      <w:tblStyleColBandSize w:val="1"/>
    </w:tblPr>
    <w:tcPr>
      <w:tcBorders>
        <w:top w:val="single" w:sz="4" w:space="0" w:color="004C43" w:themeColor="accent1"/>
        <w:left w:val="nil"/>
        <w:bottom w:val="single" w:sz="4" w:space="0" w:color="004C43" w:themeColor="accent1"/>
        <w:right w:val="nil"/>
      </w:tcBorders>
      <w:shd w:val="clear" w:color="auto" w:fill="FFFFFF"/>
    </w:tcPr>
    <w:tblStylePr w:type="firstRow">
      <w:rPr>
        <w:b/>
        <w:bCs/>
        <w:color w:val="FFFFFF" w:themeColor="background1"/>
      </w:r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style>
  <w:style w:type="table" w:customStyle="1" w:styleId="GridTable1Light-Accent11">
    <w:name w:val="Grid Table 1 Light - Accent 11"/>
    <w:basedOn w:val="TableNormal"/>
    <w:uiPriority w:val="46"/>
    <w:rsid w:val="00592F10"/>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592F10"/>
    <w:tblPr/>
    <w:tblStylePr w:type="firstRow">
      <w:rPr>
        <w:b/>
        <w:bCs/>
      </w:rPr>
    </w:tblStylePr>
    <w:tblStylePr w:type="lastRow">
      <w:rPr>
        <w:b/>
        <w:bCs/>
      </w:rPr>
    </w:tblStylePr>
    <w:tblStylePr w:type="firstCol">
      <w:rPr>
        <w:b/>
        <w:bCs/>
      </w:rPr>
    </w:tblStylePr>
    <w:tblStylePr w:type="lastCol">
      <w:rPr>
        <w:b/>
        <w:bCs/>
      </w:rPr>
    </w:tblStylePr>
  </w:style>
  <w:style w:type="table" w:styleId="TableGridLight">
    <w:name w:val="Grid Table Light"/>
    <w:basedOn w:val="TableNormal"/>
    <w:uiPriority w:val="40"/>
    <w:rsid w:val="00666074"/>
    <w:tblPr/>
  </w:style>
  <w:style w:type="table" w:styleId="GridTable5Dark-Accent5">
    <w:name w:val="Grid Table 5 Dark Accent 5"/>
    <w:basedOn w:val="TableNormal"/>
    <w:uiPriority w:val="50"/>
    <w:rsid w:val="00F57750"/>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BEFFFC" w:themeFill="accent5"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tblStylePr w:type="neCell">
      <w:tblPr/>
      <w:tcPr>
        <w:tcBorders>
          <w:left w:val="nil"/>
          <w:bottom w:val="creaturesLadyBug" w:sz="26" w:space="1" w:color="FFFF80"/>
        </w:tcBorders>
      </w:tcPr>
    </w:tblStylePr>
    <w:tblStylePr w:type="nwCell">
      <w:tblPr/>
      <w:tcPr>
        <w:tcBorders>
          <w:bottom w:val="nil"/>
        </w:tcBorders>
      </w:tcPr>
    </w:tblStylePr>
  </w:style>
  <w:style w:type="table" w:customStyle="1" w:styleId="GCIPtable1header">
    <w:name w:val="GCIP table 1 header"/>
    <w:basedOn w:val="TableNormal"/>
    <w:uiPriority w:val="99"/>
    <w:rsid w:val="00F57750"/>
    <w:tblPr/>
    <w:tblStylePr w:type="firstRow">
      <w:pPr>
        <w:wordWrap/>
        <w:spacing w:beforeLines="30" w:before="30" w:line="240" w:lineRule="auto"/>
      </w:pPr>
      <w:rPr>
        <w:rFonts w:asciiTheme="majorHAnsi" w:hAnsiTheme="majorHAnsi"/>
        <w:b/>
        <w:sz w:val="21"/>
      </w:rPr>
    </w:tblStylePr>
  </w:style>
  <w:style w:type="table" w:customStyle="1" w:styleId="TableGCIP">
    <w:name w:val="Table GCIP"/>
    <w:basedOn w:val="TableNormal"/>
    <w:uiPriority w:val="99"/>
    <w:rsid w:val="00F57750"/>
    <w:tblPr/>
  </w:style>
  <w:style w:type="table" w:styleId="ListTable4-Accent1">
    <w:name w:val="List Table 4 Accent 1"/>
    <w:basedOn w:val="TableNormal"/>
    <w:uiPriority w:val="49"/>
    <w:rsid w:val="000618B9"/>
    <w:tblPr>
      <w:tblStyleRowBandSize w:val="1"/>
      <w:tblStyleColBandSize w:val="1"/>
      <w:tblInd w:w="0" w:type="nil"/>
      <w:tblCellMar>
        <w:left w:w="0" w:type="dxa"/>
        <w:right w:w="0" w:type="dxa"/>
      </w:tblCellMar>
    </w:tblPr>
    <w:tcPr>
      <w:tcBorders>
        <w:top w:val="single" w:sz="4" w:space="0" w:color="FFFFFF" w:themeColor="background1"/>
        <w:bottom w:val="single" w:sz="4" w:space="0" w:color="FFFFFF" w:themeColor="background1" w:frame="1"/>
        <w:right w:val="single" w:sz="4" w:space="0" w:color="FFFFFF" w:themeColor="background1"/>
      </w:tcBorders>
      <w:shd w:val="clear" w:color="auto" w:fill="A8FFF4" w:themeFill="accent1" w:themeFillTint="33"/>
    </w:tcPr>
    <w:tblStylePr w:type="firstRow">
      <w:rPr>
        <w:b/>
        <w:bCs/>
        <w:color w:val="FFFFFF" w:themeColor="background1"/>
      </w:rPr>
      <w:tblPr/>
      <w:tcPr>
        <w:tcBorders>
          <w:top w:val="single" w:sz="4" w:space="0" w:color="004C43" w:themeColor="accent1"/>
          <w:left w:val="single" w:sz="4" w:space="0" w:color="004C43" w:themeColor="accent1"/>
          <w:bottom w:val="single" w:sz="4" w:space="0" w:color="004C43" w:themeColor="accent1"/>
          <w:right w:val="single" w:sz="4" w:space="0" w:color="004C43" w:themeColor="accent1"/>
          <w:insideH w:val="nil"/>
        </w:tcBorders>
        <w:shd w:val="clear" w:color="auto" w:fill="004C43" w:themeFill="accent1"/>
      </w:tcPr>
    </w:tblStylePr>
    <w:tblStylePr w:type="lastRow">
      <w:rPr>
        <w:b/>
        <w:bCs/>
      </w:rPr>
      <w:tblPr/>
      <w:tcPr>
        <w:tcBorders>
          <w:top w:val="double" w:sz="4" w:space="0" w:color="004C43" w:themeColor="accent1"/>
          <w:bottom w:val="single" w:sz="4" w:space="0" w:color="FFFFFF" w:themeColor="background1" w:frame="1"/>
        </w:tcBorders>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5025D6" w:fill="010000"/>
      </w:tcPr>
    </w:tblStylePr>
    <w:tblStylePr w:type="lastCol">
      <w:rPr>
        <w:b/>
        <w:bCs/>
      </w:rPr>
    </w:tblStylePr>
  </w:style>
  <w:style w:type="paragraph" w:customStyle="1" w:styleId="paragraph">
    <w:name w:val="paragraph"/>
    <w:basedOn w:val="Normal"/>
    <w:rsid w:val="007E615B"/>
    <w:pPr>
      <w:spacing w:before="100" w:beforeAutospacing="1" w:after="100" w:afterAutospacing="1"/>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7E615B"/>
  </w:style>
  <w:style w:type="character" w:customStyle="1" w:styleId="eop">
    <w:name w:val="eop"/>
    <w:basedOn w:val="DefaultParagraphFont"/>
    <w:rsid w:val="007E615B"/>
  </w:style>
  <w:style w:type="character" w:customStyle="1" w:styleId="scxw252518656">
    <w:name w:val="scxw252518656"/>
    <w:basedOn w:val="DefaultParagraphFont"/>
    <w:rsid w:val="007E615B"/>
  </w:style>
  <w:style w:type="character" w:customStyle="1" w:styleId="wacimagecontainer">
    <w:name w:val="wacimagecontainer"/>
    <w:basedOn w:val="DefaultParagraphFont"/>
    <w:rsid w:val="007E615B"/>
  </w:style>
  <w:style w:type="character" w:customStyle="1" w:styleId="superscript">
    <w:name w:val="superscript"/>
    <w:basedOn w:val="DefaultParagraphFont"/>
    <w:rsid w:val="007E615B"/>
  </w:style>
  <w:style w:type="paragraph" w:styleId="TOC3">
    <w:name w:val="toc 3"/>
    <w:basedOn w:val="Normal"/>
    <w:next w:val="Normal"/>
    <w:autoRedefine/>
    <w:uiPriority w:val="39"/>
    <w:unhideWhenUsed/>
    <w:rsid w:val="000C4B17"/>
    <w:pPr>
      <w:spacing w:after="100"/>
      <w:ind w:left="380"/>
    </w:pPr>
  </w:style>
  <w:style w:type="paragraph" w:styleId="CommentSubject">
    <w:name w:val="annotation subject"/>
    <w:basedOn w:val="CommentText"/>
    <w:next w:val="CommentText"/>
    <w:link w:val="CommentSubjectChar"/>
    <w:uiPriority w:val="99"/>
    <w:semiHidden/>
    <w:unhideWhenUsed/>
    <w:rsid w:val="00425E6C"/>
    <w:rPr>
      <w:b/>
      <w:bCs/>
    </w:rPr>
  </w:style>
  <w:style w:type="character" w:customStyle="1" w:styleId="CommentSubjectChar">
    <w:name w:val="Comment Subject Char"/>
    <w:basedOn w:val="CommentTextChar"/>
    <w:link w:val="CommentSubject"/>
    <w:uiPriority w:val="99"/>
    <w:semiHidden/>
    <w:rsid w:val="00425E6C"/>
    <w:rPr>
      <w:b/>
      <w:bCs/>
      <w:sz w:val="20"/>
      <w:szCs w:val="20"/>
    </w:rPr>
  </w:style>
  <w:style w:type="paragraph" w:styleId="EndnoteText">
    <w:name w:val="endnote text"/>
    <w:basedOn w:val="Normal"/>
    <w:link w:val="EndnoteTextChar"/>
    <w:uiPriority w:val="99"/>
    <w:semiHidden/>
    <w:unhideWhenUsed/>
    <w:rsid w:val="00010E00"/>
    <w:pPr>
      <w:spacing w:after="0"/>
    </w:pPr>
    <w:rPr>
      <w:sz w:val="20"/>
      <w:szCs w:val="20"/>
    </w:rPr>
  </w:style>
  <w:style w:type="character" w:customStyle="1" w:styleId="EndnoteTextChar">
    <w:name w:val="Endnote Text Char"/>
    <w:basedOn w:val="DefaultParagraphFont"/>
    <w:link w:val="EndnoteText"/>
    <w:uiPriority w:val="99"/>
    <w:semiHidden/>
    <w:rsid w:val="00010E00"/>
    <w:rPr>
      <w:sz w:val="20"/>
      <w:szCs w:val="20"/>
    </w:rPr>
  </w:style>
  <w:style w:type="paragraph" w:customStyle="1" w:styleId="p1">
    <w:name w:val="p1"/>
    <w:basedOn w:val="Normal"/>
    <w:rsid w:val="00BA55D9"/>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Style5">
    <w:name w:val="Style5"/>
    <w:basedOn w:val="Normal"/>
    <w:rsid w:val="00492FAE"/>
    <w:pPr>
      <w:numPr>
        <w:numId w:val="2"/>
      </w:numPr>
    </w:pPr>
  </w:style>
  <w:style w:type="character" w:customStyle="1" w:styleId="s1">
    <w:name w:val="s1"/>
    <w:basedOn w:val="DefaultParagraphFont"/>
    <w:rsid w:val="006B64EA"/>
  </w:style>
  <w:style w:type="paragraph" w:customStyle="1" w:styleId="p2">
    <w:name w:val="p2"/>
    <w:basedOn w:val="Normal"/>
    <w:rsid w:val="006B64EA"/>
    <w:pPr>
      <w:spacing w:before="100" w:beforeAutospacing="1" w:after="100" w:afterAutospacing="1"/>
    </w:pPr>
    <w:rPr>
      <w:rFonts w:ascii="Times New Roman" w:eastAsia="Times New Roman" w:hAnsi="Times New Roman" w:cs="Times New Roman"/>
      <w:sz w:val="24"/>
      <w:szCs w:val="24"/>
      <w:lang w:eastAsia="en-GB"/>
    </w:rPr>
  </w:style>
  <w:style w:type="table" w:styleId="GridTable4">
    <w:name w:val="Grid Table 4"/>
    <w:basedOn w:val="TableNormal"/>
    <w:uiPriority w:val="49"/>
    <w:rsid w:val="00A9241A"/>
    <w:tblPr>
      <w:tblStyleRowBandSize w:val="1"/>
      <w:tblStyleColBandSize w:val="1"/>
      <w:tblBorders>
        <w:top w:val="single" w:sz="4" w:space="0" w:color="778094" w:themeColor="text1" w:themeTint="99"/>
        <w:left w:val="single" w:sz="4" w:space="0" w:color="778094" w:themeColor="text1" w:themeTint="99"/>
        <w:bottom w:val="single" w:sz="4" w:space="0" w:color="778094" w:themeColor="text1" w:themeTint="99"/>
        <w:right w:val="single" w:sz="4" w:space="0" w:color="778094" w:themeColor="text1" w:themeTint="99"/>
        <w:insideH w:val="single" w:sz="4" w:space="0" w:color="778094" w:themeColor="text1" w:themeTint="99"/>
        <w:insideV w:val="single" w:sz="4" w:space="0" w:color="778094" w:themeColor="text1" w:themeTint="99"/>
      </w:tblBorders>
    </w:tblPr>
    <w:tblStylePr w:type="firstRow">
      <w:rPr>
        <w:b/>
        <w:bCs/>
        <w:color w:val="FFFFFF" w:themeColor="background1"/>
      </w:rPr>
      <w:tblPr/>
      <w:tcPr>
        <w:tcBorders>
          <w:top w:val="single" w:sz="4" w:space="0" w:color="2F333C" w:themeColor="text1"/>
          <w:left w:val="single" w:sz="4" w:space="0" w:color="2F333C" w:themeColor="text1"/>
          <w:bottom w:val="single" w:sz="4" w:space="0" w:color="2F333C" w:themeColor="text1"/>
          <w:right w:val="single" w:sz="4" w:space="0" w:color="2F333C" w:themeColor="text1"/>
          <w:insideH w:val="nil"/>
          <w:insideV w:val="nil"/>
        </w:tcBorders>
        <w:shd w:val="clear" w:color="auto" w:fill="2F333C" w:themeFill="text1"/>
      </w:tcPr>
    </w:tblStylePr>
    <w:tblStylePr w:type="lastRow">
      <w:rPr>
        <w:b/>
        <w:bCs/>
      </w:rPr>
      <w:tblPr/>
      <w:tcPr>
        <w:tcBorders>
          <w:top w:val="double" w:sz="4" w:space="0" w:color="2F333C" w:themeColor="text1"/>
        </w:tcBorders>
      </w:tcPr>
    </w:tblStylePr>
    <w:tblStylePr w:type="firstCol">
      <w:rPr>
        <w:b/>
        <w:bCs/>
      </w:rPr>
    </w:tblStylePr>
    <w:tblStylePr w:type="lastCol">
      <w:rPr>
        <w:b/>
        <w:bCs/>
      </w:rPr>
    </w:tblStylePr>
    <w:tblStylePr w:type="band1Vert">
      <w:tblPr/>
      <w:tcPr>
        <w:shd w:val="clear" w:color="auto" w:fill="D1D4DB" w:themeFill="text1" w:themeFillTint="33"/>
      </w:tcPr>
    </w:tblStylePr>
    <w:tblStylePr w:type="band1Horz">
      <w:tblPr/>
      <w:tcPr>
        <w:shd w:val="clear" w:color="auto" w:fill="D1D4DB" w:themeFill="text1" w:themeFillTint="33"/>
      </w:tcPr>
    </w:tblStylePr>
  </w:style>
  <w:style w:type="character" w:styleId="Emphasis">
    <w:name w:val="Emphasis"/>
    <w:basedOn w:val="DefaultParagraphFont"/>
    <w:uiPriority w:val="20"/>
    <w:qFormat/>
    <w:rsid w:val="002B0D22"/>
    <w:rPr>
      <w:i/>
      <w:iCs/>
    </w:rPr>
  </w:style>
  <w:style w:type="table" w:styleId="GridTable4-Accent3">
    <w:name w:val="Grid Table 4 Accent 3"/>
    <w:basedOn w:val="TableNormal"/>
    <w:uiPriority w:val="49"/>
    <w:rsid w:val="002B0D22"/>
    <w:tblPr>
      <w:tblStyleRowBandSize w:val="1"/>
      <w:tblStyleColBandSize w:val="1"/>
      <w:tblBorders>
        <w:top w:val="single" w:sz="4" w:space="0" w:color="DAE781" w:themeColor="accent3" w:themeTint="99"/>
        <w:left w:val="single" w:sz="4" w:space="0" w:color="DAE781" w:themeColor="accent3" w:themeTint="99"/>
        <w:bottom w:val="single" w:sz="4" w:space="0" w:color="DAE781" w:themeColor="accent3" w:themeTint="99"/>
        <w:right w:val="single" w:sz="4" w:space="0" w:color="DAE781" w:themeColor="accent3" w:themeTint="99"/>
        <w:insideH w:val="single" w:sz="4" w:space="0" w:color="DAE781" w:themeColor="accent3" w:themeTint="99"/>
        <w:insideV w:val="single" w:sz="4" w:space="0" w:color="DAE781" w:themeColor="accent3" w:themeTint="99"/>
      </w:tblBorders>
    </w:tblPr>
    <w:tblStylePr w:type="firstRow">
      <w:rPr>
        <w:b/>
        <w:bCs/>
        <w:color w:val="FFFFFF" w:themeColor="background1"/>
      </w:rPr>
      <w:tblPr/>
      <w:tcPr>
        <w:tcBorders>
          <w:top w:val="single" w:sz="4" w:space="0" w:color="C3D82E" w:themeColor="accent3"/>
          <w:left w:val="single" w:sz="4" w:space="0" w:color="C3D82E" w:themeColor="accent3"/>
          <w:bottom w:val="single" w:sz="4" w:space="0" w:color="C3D82E" w:themeColor="accent3"/>
          <w:right w:val="single" w:sz="4" w:space="0" w:color="C3D82E" w:themeColor="accent3"/>
          <w:insideH w:val="nil"/>
          <w:insideV w:val="nil"/>
        </w:tcBorders>
        <w:shd w:val="clear" w:color="auto" w:fill="C3D82E" w:themeFill="accent3"/>
      </w:tcPr>
    </w:tblStylePr>
    <w:tblStylePr w:type="lastRow">
      <w:rPr>
        <w:b/>
        <w:bCs/>
      </w:rPr>
      <w:tblPr/>
      <w:tcPr>
        <w:tcBorders>
          <w:top w:val="double" w:sz="4" w:space="0" w:color="C3D82E" w:themeColor="accent3"/>
        </w:tcBorders>
      </w:tcPr>
    </w:tblStylePr>
    <w:tblStylePr w:type="firstCol">
      <w:rPr>
        <w:b/>
        <w:bCs/>
      </w:rPr>
    </w:tblStylePr>
    <w:tblStylePr w:type="lastCol">
      <w:rPr>
        <w:b/>
        <w:bCs/>
      </w:rPr>
    </w:tblStylePr>
    <w:tblStylePr w:type="band1Vert">
      <w:tblPr/>
      <w:tcPr>
        <w:shd w:val="clear" w:color="auto" w:fill="F3F7D5" w:themeFill="accent3" w:themeFillTint="33"/>
      </w:tcPr>
    </w:tblStylePr>
    <w:tblStylePr w:type="band1Horz">
      <w:tblPr/>
      <w:tcPr>
        <w:shd w:val="clear" w:color="auto" w:fill="F3F7D5" w:themeFill="accent3" w:themeFillTint="33"/>
      </w:tcPr>
    </w:tblStylePr>
  </w:style>
  <w:style w:type="table" w:styleId="GridTable5Dark-Accent2">
    <w:name w:val="Grid Table 5 Dark Accent 2"/>
    <w:basedOn w:val="TableNormal"/>
    <w:uiPriority w:val="50"/>
    <w:rsid w:val="002B0D2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F1D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5BD6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5BD6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5BD6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5BD60" w:themeFill="accent2"/>
      </w:tcPr>
    </w:tblStylePr>
    <w:tblStylePr w:type="band1Vert">
      <w:tblPr/>
      <w:tcPr>
        <w:shd w:val="clear" w:color="auto" w:fill="C1E4BF" w:themeFill="accent2" w:themeFillTint="66"/>
      </w:tcPr>
    </w:tblStylePr>
    <w:tblStylePr w:type="band1Horz">
      <w:tblPr/>
      <w:tcPr>
        <w:shd w:val="clear" w:color="auto" w:fill="C1E4BF" w:themeFill="accent2" w:themeFillTint="66"/>
      </w:tcPr>
    </w:tblStylePr>
  </w:style>
  <w:style w:type="table" w:styleId="ListTable4-Accent6">
    <w:name w:val="List Table 4 Accent 6"/>
    <w:basedOn w:val="TableNormal"/>
    <w:uiPriority w:val="49"/>
    <w:rsid w:val="00A3658C"/>
    <w:tblPr>
      <w:tblStyleRowBandSize w:val="1"/>
      <w:tblStyleColBandSize w:val="1"/>
      <w:tblBorders>
        <w:top w:val="single" w:sz="4" w:space="0" w:color="5BD6FF" w:themeColor="accent6" w:themeTint="99"/>
        <w:left w:val="single" w:sz="4" w:space="0" w:color="5BD6FF" w:themeColor="accent6" w:themeTint="99"/>
        <w:bottom w:val="single" w:sz="4" w:space="0" w:color="5BD6FF" w:themeColor="accent6" w:themeTint="99"/>
        <w:right w:val="single" w:sz="4" w:space="0" w:color="5BD6FF" w:themeColor="accent6" w:themeTint="99"/>
        <w:insideH w:val="single" w:sz="4" w:space="0" w:color="5BD6FF" w:themeColor="accent6" w:themeTint="99"/>
      </w:tblBorders>
    </w:tblPr>
    <w:tblStylePr w:type="firstRow">
      <w:rPr>
        <w:b/>
        <w:bCs/>
        <w:color w:val="FFFFFF" w:themeColor="background1"/>
      </w:rPr>
      <w:tblPr/>
      <w:tcPr>
        <w:tcBorders>
          <w:top w:val="single" w:sz="4" w:space="0" w:color="00B3ED" w:themeColor="accent6"/>
          <w:left w:val="single" w:sz="4" w:space="0" w:color="00B3ED" w:themeColor="accent6"/>
          <w:bottom w:val="single" w:sz="4" w:space="0" w:color="00B3ED" w:themeColor="accent6"/>
          <w:right w:val="single" w:sz="4" w:space="0" w:color="00B3ED" w:themeColor="accent6"/>
          <w:insideH w:val="nil"/>
        </w:tcBorders>
        <w:shd w:val="clear" w:color="auto" w:fill="00B3ED" w:themeFill="accent6"/>
      </w:tcPr>
    </w:tblStylePr>
    <w:tblStylePr w:type="lastRow">
      <w:rPr>
        <w:b/>
        <w:bCs/>
      </w:rPr>
      <w:tblPr/>
      <w:tcPr>
        <w:tcBorders>
          <w:top w:val="double" w:sz="4" w:space="0" w:color="5BD6FF" w:themeColor="accent6" w:themeTint="99"/>
        </w:tcBorders>
      </w:tcPr>
    </w:tblStylePr>
    <w:tblStylePr w:type="firstCol">
      <w:rPr>
        <w:b/>
        <w:bCs/>
      </w:rPr>
    </w:tblStylePr>
    <w:tblStylePr w:type="lastCol">
      <w:rPr>
        <w:b/>
        <w:bCs/>
      </w:rPr>
    </w:tblStylePr>
    <w:tblStylePr w:type="band1Vert">
      <w:tblPr/>
      <w:tcPr>
        <w:shd w:val="clear" w:color="auto" w:fill="C8F1FF" w:themeFill="accent6" w:themeFillTint="33"/>
      </w:tcPr>
    </w:tblStylePr>
    <w:tblStylePr w:type="band1Horz">
      <w:tblPr/>
      <w:tcPr>
        <w:shd w:val="clear" w:color="auto" w:fill="C8F1FF" w:themeFill="accent6" w:themeFillTint="33"/>
      </w:tcPr>
    </w:tblStylePr>
  </w:style>
  <w:style w:type="character" w:styleId="Mention">
    <w:name w:val="Mention"/>
    <w:basedOn w:val="DefaultParagraphFont"/>
    <w:uiPriority w:val="99"/>
    <w:unhideWhenUsed/>
    <w:rsid w:val="00DF0D7C"/>
    <w:rPr>
      <w:color w:val="2B579A"/>
      <w:shd w:val="clear" w:color="auto" w:fill="E1DFDD"/>
    </w:rPr>
  </w:style>
  <w:style w:type="table" w:styleId="GridTable4-Accent6">
    <w:name w:val="Grid Table 4 Accent 6"/>
    <w:basedOn w:val="TableNormal"/>
    <w:uiPriority w:val="49"/>
    <w:rsid w:val="008E3935"/>
    <w:tblPr>
      <w:tblStyleRowBandSize w:val="1"/>
      <w:tblStyleColBandSize w:val="1"/>
      <w:tblBorders>
        <w:top w:val="single" w:sz="4" w:space="0" w:color="5BD6FF" w:themeColor="accent6" w:themeTint="99"/>
        <w:left w:val="single" w:sz="4" w:space="0" w:color="5BD6FF" w:themeColor="accent6" w:themeTint="99"/>
        <w:bottom w:val="single" w:sz="4" w:space="0" w:color="5BD6FF" w:themeColor="accent6" w:themeTint="99"/>
        <w:right w:val="single" w:sz="4" w:space="0" w:color="5BD6FF" w:themeColor="accent6" w:themeTint="99"/>
        <w:insideH w:val="single" w:sz="4" w:space="0" w:color="5BD6FF" w:themeColor="accent6" w:themeTint="99"/>
        <w:insideV w:val="single" w:sz="4" w:space="0" w:color="5BD6FF" w:themeColor="accent6" w:themeTint="99"/>
      </w:tblBorders>
    </w:tblPr>
    <w:tblStylePr w:type="firstRow">
      <w:rPr>
        <w:b/>
        <w:bCs/>
        <w:color w:val="FFFFFF" w:themeColor="background1"/>
      </w:rPr>
      <w:tblPr/>
      <w:tcPr>
        <w:tcBorders>
          <w:top w:val="single" w:sz="4" w:space="0" w:color="00B3ED" w:themeColor="accent6"/>
          <w:left w:val="single" w:sz="4" w:space="0" w:color="00B3ED" w:themeColor="accent6"/>
          <w:bottom w:val="single" w:sz="4" w:space="0" w:color="00B3ED" w:themeColor="accent6"/>
          <w:right w:val="single" w:sz="4" w:space="0" w:color="00B3ED" w:themeColor="accent6"/>
          <w:insideH w:val="nil"/>
          <w:insideV w:val="nil"/>
        </w:tcBorders>
        <w:shd w:val="clear" w:color="auto" w:fill="00B3ED" w:themeFill="accent6"/>
      </w:tcPr>
    </w:tblStylePr>
    <w:tblStylePr w:type="lastRow">
      <w:rPr>
        <w:b/>
        <w:bCs/>
      </w:rPr>
      <w:tblPr/>
      <w:tcPr>
        <w:tcBorders>
          <w:top w:val="double" w:sz="4" w:space="0" w:color="00B3ED" w:themeColor="accent6"/>
        </w:tcBorders>
      </w:tcPr>
    </w:tblStylePr>
    <w:tblStylePr w:type="firstCol">
      <w:rPr>
        <w:b/>
        <w:bCs/>
      </w:rPr>
    </w:tblStylePr>
    <w:tblStylePr w:type="lastCol">
      <w:rPr>
        <w:b/>
        <w:bCs/>
      </w:rPr>
    </w:tblStylePr>
    <w:tblStylePr w:type="band1Vert">
      <w:tblPr/>
      <w:tcPr>
        <w:shd w:val="clear" w:color="auto" w:fill="C8F1FF" w:themeFill="accent6" w:themeFillTint="33"/>
      </w:tcPr>
    </w:tblStylePr>
    <w:tblStylePr w:type="band1Horz">
      <w:tblPr/>
      <w:tcPr>
        <w:shd w:val="clear" w:color="auto" w:fill="C8F1FF" w:themeFill="accent6" w:themeFillTint="33"/>
      </w:tcPr>
    </w:tblStylePr>
  </w:style>
  <w:style w:type="table" w:styleId="ListTable3-Accent6">
    <w:name w:val="List Table 3 Accent 6"/>
    <w:basedOn w:val="TableNormal"/>
    <w:uiPriority w:val="48"/>
    <w:rsid w:val="000C69FD"/>
    <w:tblPr>
      <w:tblStyleRowBandSize w:val="1"/>
      <w:tblStyleColBandSize w:val="1"/>
      <w:tblBorders>
        <w:top w:val="single" w:sz="4" w:space="0" w:color="00B3ED" w:themeColor="accent6"/>
        <w:left w:val="single" w:sz="4" w:space="0" w:color="00B3ED" w:themeColor="accent6"/>
        <w:bottom w:val="single" w:sz="4" w:space="0" w:color="00B3ED" w:themeColor="accent6"/>
        <w:right w:val="single" w:sz="4" w:space="0" w:color="00B3ED" w:themeColor="accent6"/>
      </w:tblBorders>
    </w:tblPr>
    <w:tblStylePr w:type="firstRow">
      <w:rPr>
        <w:b/>
        <w:bCs/>
        <w:color w:val="FFFFFF" w:themeColor="background1"/>
      </w:rPr>
      <w:tblPr/>
      <w:tcPr>
        <w:shd w:val="clear" w:color="auto" w:fill="00B3ED" w:themeFill="accent6"/>
      </w:tcPr>
    </w:tblStylePr>
    <w:tblStylePr w:type="lastRow">
      <w:rPr>
        <w:b/>
        <w:bCs/>
      </w:rPr>
      <w:tblPr/>
      <w:tcPr>
        <w:tcBorders>
          <w:top w:val="double" w:sz="4" w:space="0" w:color="00B3E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3ED" w:themeColor="accent6"/>
          <w:right w:val="single" w:sz="4" w:space="0" w:color="00B3ED" w:themeColor="accent6"/>
        </w:tcBorders>
      </w:tcPr>
    </w:tblStylePr>
    <w:tblStylePr w:type="band1Horz">
      <w:tblPr/>
      <w:tcPr>
        <w:tcBorders>
          <w:top w:val="single" w:sz="4" w:space="0" w:color="00B3ED" w:themeColor="accent6"/>
          <w:bottom w:val="single" w:sz="4" w:space="0" w:color="00B3E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3ED" w:themeColor="accent6"/>
          <w:left w:val="nil"/>
        </w:tcBorders>
      </w:tcPr>
    </w:tblStylePr>
    <w:tblStylePr w:type="swCell">
      <w:tblPr/>
      <w:tcPr>
        <w:tcBorders>
          <w:top w:val="double" w:sz="4" w:space="0" w:color="00B3ED" w:themeColor="accent6"/>
          <w:right w:val="nil"/>
        </w:tcBorders>
      </w:tcPr>
    </w:tblStylePr>
  </w:style>
  <w:style w:type="table" w:styleId="ListTable1Light-Accent6">
    <w:name w:val="List Table 1 Light Accent 6"/>
    <w:basedOn w:val="TableNormal"/>
    <w:uiPriority w:val="46"/>
    <w:rsid w:val="004869BD"/>
    <w:tblPr>
      <w:tblStyleRowBandSize w:val="1"/>
      <w:tblStyleColBandSize w:val="1"/>
    </w:tblPr>
    <w:tblStylePr w:type="firstRow">
      <w:rPr>
        <w:b/>
        <w:bCs/>
      </w:rPr>
      <w:tblPr/>
      <w:tcPr>
        <w:tcBorders>
          <w:bottom w:val="single" w:sz="4" w:space="0" w:color="5BD6FF" w:themeColor="accent6" w:themeTint="99"/>
        </w:tcBorders>
      </w:tcPr>
    </w:tblStylePr>
    <w:tblStylePr w:type="lastRow">
      <w:rPr>
        <w:b/>
        <w:bCs/>
      </w:rPr>
      <w:tblPr/>
      <w:tcPr>
        <w:tcBorders>
          <w:top w:val="single" w:sz="4" w:space="0" w:color="5BD6FF" w:themeColor="accent6" w:themeTint="99"/>
        </w:tcBorders>
      </w:tcPr>
    </w:tblStylePr>
    <w:tblStylePr w:type="firstCol">
      <w:rPr>
        <w:b/>
        <w:bCs/>
      </w:rPr>
    </w:tblStylePr>
    <w:tblStylePr w:type="lastCol">
      <w:rPr>
        <w:b/>
        <w:bCs/>
      </w:rPr>
    </w:tblStylePr>
    <w:tblStylePr w:type="band1Vert">
      <w:tblPr/>
      <w:tcPr>
        <w:shd w:val="clear" w:color="auto" w:fill="C8F1FF" w:themeFill="accent6" w:themeFillTint="33"/>
      </w:tcPr>
    </w:tblStylePr>
    <w:tblStylePr w:type="band1Horz">
      <w:tblPr/>
      <w:tcPr>
        <w:shd w:val="clear" w:color="auto" w:fill="C8F1FF" w:themeFill="accent6" w:themeFillTint="33"/>
      </w:tcPr>
    </w:tblStylePr>
  </w:style>
  <w:style w:type="table" w:styleId="GridTable2">
    <w:name w:val="Grid Table 2"/>
    <w:basedOn w:val="TableNormal"/>
    <w:uiPriority w:val="47"/>
    <w:rsid w:val="004869BD"/>
    <w:tblPr>
      <w:tblStyleRowBandSize w:val="1"/>
      <w:tblStyleColBandSize w:val="1"/>
      <w:tblBorders>
        <w:top w:val="single" w:sz="2" w:space="0" w:color="778094" w:themeColor="text1" w:themeTint="99"/>
        <w:bottom w:val="single" w:sz="2" w:space="0" w:color="778094" w:themeColor="text1" w:themeTint="99"/>
        <w:insideH w:val="single" w:sz="2" w:space="0" w:color="778094" w:themeColor="text1" w:themeTint="99"/>
        <w:insideV w:val="single" w:sz="2" w:space="0" w:color="778094" w:themeColor="text1" w:themeTint="99"/>
      </w:tblBorders>
    </w:tblPr>
    <w:tblStylePr w:type="firstRow">
      <w:rPr>
        <w:b/>
        <w:bCs/>
      </w:rPr>
      <w:tblPr/>
      <w:tcPr>
        <w:tcBorders>
          <w:top w:val="nil"/>
          <w:bottom w:val="single" w:sz="12" w:space="0" w:color="778094" w:themeColor="text1" w:themeTint="99"/>
          <w:insideH w:val="nil"/>
          <w:insideV w:val="nil"/>
        </w:tcBorders>
        <w:shd w:val="clear" w:color="auto" w:fill="FFFFFF" w:themeFill="background1"/>
      </w:tcPr>
    </w:tblStylePr>
    <w:tblStylePr w:type="lastRow">
      <w:rPr>
        <w:b/>
        <w:bCs/>
      </w:rPr>
      <w:tblPr/>
      <w:tcPr>
        <w:tcBorders>
          <w:top w:val="double" w:sz="2" w:space="0" w:color="77809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D4DB" w:themeFill="text1" w:themeFillTint="33"/>
      </w:tcPr>
    </w:tblStylePr>
    <w:tblStylePr w:type="band1Horz">
      <w:tblPr/>
      <w:tcPr>
        <w:shd w:val="clear" w:color="auto" w:fill="D1D4DB" w:themeFill="text1" w:themeFillTint="33"/>
      </w:tcPr>
    </w:tblStylePr>
  </w:style>
  <w:style w:type="table" w:styleId="GridTable4-Accent2">
    <w:name w:val="Grid Table 4 Accent 2"/>
    <w:basedOn w:val="TableNormal"/>
    <w:uiPriority w:val="49"/>
    <w:rsid w:val="004401CE"/>
    <w:tblPr>
      <w:tblStyleRowBandSize w:val="1"/>
      <w:tblStyleColBandSize w:val="1"/>
      <w:tblBorders>
        <w:top w:val="single" w:sz="4" w:space="0" w:color="A2D79F" w:themeColor="accent2" w:themeTint="99"/>
        <w:left w:val="single" w:sz="4" w:space="0" w:color="A2D79F" w:themeColor="accent2" w:themeTint="99"/>
        <w:bottom w:val="single" w:sz="4" w:space="0" w:color="A2D79F" w:themeColor="accent2" w:themeTint="99"/>
        <w:right w:val="single" w:sz="4" w:space="0" w:color="A2D79F" w:themeColor="accent2" w:themeTint="99"/>
        <w:insideH w:val="single" w:sz="4" w:space="0" w:color="A2D79F" w:themeColor="accent2" w:themeTint="99"/>
        <w:insideV w:val="single" w:sz="4" w:space="0" w:color="A2D79F" w:themeColor="accent2" w:themeTint="99"/>
      </w:tblBorders>
    </w:tblPr>
    <w:tblStylePr w:type="firstRow">
      <w:rPr>
        <w:b/>
        <w:bCs/>
        <w:color w:val="FFFFFF" w:themeColor="background1"/>
      </w:rPr>
      <w:tblPr/>
      <w:tcPr>
        <w:tcBorders>
          <w:top w:val="single" w:sz="4" w:space="0" w:color="65BD60" w:themeColor="accent2"/>
          <w:left w:val="single" w:sz="4" w:space="0" w:color="65BD60" w:themeColor="accent2"/>
          <w:bottom w:val="single" w:sz="4" w:space="0" w:color="65BD60" w:themeColor="accent2"/>
          <w:right w:val="single" w:sz="4" w:space="0" w:color="65BD60" w:themeColor="accent2"/>
          <w:insideH w:val="nil"/>
          <w:insideV w:val="nil"/>
        </w:tcBorders>
        <w:shd w:val="clear" w:color="auto" w:fill="65BD60" w:themeFill="accent2"/>
      </w:tcPr>
    </w:tblStylePr>
    <w:tblStylePr w:type="lastRow">
      <w:rPr>
        <w:b/>
        <w:bCs/>
      </w:rPr>
      <w:tblPr/>
      <w:tcPr>
        <w:tcBorders>
          <w:top w:val="double" w:sz="4" w:space="0" w:color="65BD60" w:themeColor="accent2"/>
        </w:tcBorders>
      </w:tcPr>
    </w:tblStylePr>
    <w:tblStylePr w:type="firstCol">
      <w:rPr>
        <w:b/>
        <w:bCs/>
      </w:rPr>
    </w:tblStylePr>
    <w:tblStylePr w:type="lastCol">
      <w:rPr>
        <w:b/>
        <w:bCs/>
      </w:rPr>
    </w:tblStylePr>
    <w:tblStylePr w:type="band1Vert">
      <w:tblPr/>
      <w:tcPr>
        <w:shd w:val="clear" w:color="auto" w:fill="E0F1DF" w:themeFill="accent2" w:themeFillTint="33"/>
      </w:tcPr>
    </w:tblStylePr>
    <w:tblStylePr w:type="band1Horz">
      <w:tblPr/>
      <w:tcPr>
        <w:shd w:val="clear" w:color="auto" w:fill="E0F1DF" w:themeFill="accent2" w:themeFillTint="33"/>
      </w:tcPr>
    </w:tblStylePr>
  </w:style>
  <w:style w:type="paragraph" w:styleId="TOCHeading">
    <w:name w:val="TOC Heading"/>
    <w:basedOn w:val="Heading1"/>
    <w:next w:val="Normal"/>
    <w:uiPriority w:val="39"/>
    <w:unhideWhenUsed/>
    <w:qFormat/>
    <w:rsid w:val="00D37884"/>
    <w:pPr>
      <w:keepNext/>
      <w:keepLines/>
      <w:shd w:val="clear" w:color="auto" w:fill="auto"/>
      <w:suppressAutoHyphens w:val="0"/>
      <w:snapToGrid/>
      <w:spacing w:before="240" w:after="0" w:line="259" w:lineRule="auto"/>
      <w:ind w:left="0"/>
      <w:contextualSpacing w:val="0"/>
      <w:outlineLvl w:val="9"/>
    </w:pPr>
    <w:rPr>
      <w:rFonts w:asciiTheme="majorHAnsi" w:eastAsiaTheme="majorEastAsia" w:hAnsiTheme="majorHAnsi" w:cstheme="majorBidi"/>
      <w:b w:val="0"/>
      <w:bCs w:val="0"/>
      <w:color w:val="003831" w:themeColor="accent1" w:themeShade="BF"/>
      <w:lang w:val="en-US"/>
    </w:rPr>
  </w:style>
  <w:style w:type="character" w:customStyle="1" w:styleId="Heading6Char">
    <w:name w:val="Heading 6 Char"/>
    <w:basedOn w:val="DefaultParagraphFont"/>
    <w:link w:val="Heading6"/>
    <w:uiPriority w:val="9"/>
    <w:semiHidden/>
    <w:rsid w:val="0013670F"/>
    <w:rPr>
      <w:rFonts w:asciiTheme="majorHAnsi" w:eastAsiaTheme="majorEastAsia" w:hAnsiTheme="majorHAnsi" w:cstheme="majorBidi"/>
      <w:color w:val="002521" w:themeColor="accent1" w:themeShade="7F"/>
      <w:sz w:val="19"/>
    </w:rPr>
  </w:style>
  <w:style w:type="character" w:customStyle="1" w:styleId="Heading7Char">
    <w:name w:val="Heading 7 Char"/>
    <w:basedOn w:val="DefaultParagraphFont"/>
    <w:link w:val="Heading7"/>
    <w:uiPriority w:val="9"/>
    <w:semiHidden/>
    <w:rsid w:val="0013670F"/>
    <w:rPr>
      <w:rFonts w:asciiTheme="majorHAnsi" w:eastAsiaTheme="majorEastAsia" w:hAnsiTheme="majorHAnsi" w:cstheme="majorBidi"/>
      <w:i/>
      <w:iCs/>
      <w:color w:val="002521" w:themeColor="accent1" w:themeShade="7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hyperlink" Target="https://www.corfo.cl" TargetMode="External"/><Relationship Id="rId47" Type="http://schemas.openxmlformats.org/officeDocument/2006/relationships/image" Target="media/image24.png"/><Relationship Id="rId63" Type="http://schemas.openxmlformats.org/officeDocument/2006/relationships/image" Target="media/image29.png"/><Relationship Id="rId68" Type="http://schemas.openxmlformats.org/officeDocument/2006/relationships/hyperlink" Target="https://mnre.gov.in/green-hydrogen/sight-programme" TargetMode="External"/><Relationship Id="rId84" Type="http://schemas.openxmlformats.org/officeDocument/2006/relationships/image" Target="media/image38.png"/><Relationship Id="rId89" Type="http://schemas.openxmlformats.org/officeDocument/2006/relationships/hyperlink" Target="https://www.gob.pe/senace" TargetMode="External"/><Relationship Id="rId16" Type="http://schemas.microsoft.com/office/2007/relationships/hdphoto" Target="media/hdphoto1.wdp"/><Relationship Id="rId107" Type="http://schemas.openxmlformats.org/officeDocument/2006/relationships/footer" Target="footer2.xml"/><Relationship Id="rId11" Type="http://schemas.openxmlformats.org/officeDocument/2006/relationships/image" Target="media/image1.png"/><Relationship Id="rId32" Type="http://schemas.openxmlformats.org/officeDocument/2006/relationships/hyperlink" Target="https://arena.gov.au" TargetMode="External"/><Relationship Id="rId37"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27.png"/><Relationship Id="rId74" Type="http://schemas.openxmlformats.org/officeDocument/2006/relationships/hyperlink" Target="https://www.meti.go.jp/english/policy/energy_environment/hydrogen" TargetMode="External"/><Relationship Id="rId79" Type="http://schemas.openxmlformats.org/officeDocument/2006/relationships/image" Target="media/image37.png"/><Relationship Id="rId102" Type="http://schemas.openxmlformats.org/officeDocument/2006/relationships/hyperlink" Target="https://www.gov.uk/government/publications/uk-hydrogen-strategy" TargetMode="External"/><Relationship Id="rId5" Type="http://schemas.openxmlformats.org/officeDocument/2006/relationships/numbering" Target="numbering.xml"/><Relationship Id="rId90" Type="http://schemas.openxmlformats.org/officeDocument/2006/relationships/image" Target="media/image40.png"/><Relationship Id="rId95" Type="http://schemas.openxmlformats.org/officeDocument/2006/relationships/hyperlink" Target="https://www.motie.go.kr" TargetMode="External"/><Relationship Id="rId22" Type="http://schemas.openxmlformats.org/officeDocument/2006/relationships/image" Target="media/image8.png"/><Relationship Id="rId27" Type="http://schemas.openxmlformats.org/officeDocument/2006/relationships/image" Target="media/image12.png"/><Relationship Id="rId43" Type="http://schemas.openxmlformats.org/officeDocument/2006/relationships/hyperlink" Target="https://investchile.gob.cl" TargetMode="External"/><Relationship Id="rId48" Type="http://schemas.openxmlformats.org/officeDocument/2006/relationships/hyperlink" Target="http://www.ndrc.gov.cn" TargetMode="External"/><Relationship Id="rId64" Type="http://schemas.openxmlformats.org/officeDocument/2006/relationships/image" Target="media/image30.png"/><Relationship Id="rId69" Type="http://schemas.openxmlformats.org/officeDocument/2006/relationships/hyperlink" Target="https://mopng.gov.in" TargetMode="External"/><Relationship Id="rId80" Type="http://schemas.openxmlformats.org/officeDocument/2006/relationships/hyperlink" Target="https://www.government.nl" TargetMode="External"/><Relationship Id="rId85" Type="http://schemas.openxmlformats.org/officeDocument/2006/relationships/image" Target="media/image39.png"/><Relationship Id="rId12" Type="http://schemas.openxmlformats.org/officeDocument/2006/relationships/image" Target="media/image2.png"/><Relationship Id="rId17" Type="http://schemas.openxmlformats.org/officeDocument/2006/relationships/image" Target="media/image5.png"/><Relationship Id="rId33" Type="http://schemas.openxmlformats.org/officeDocument/2006/relationships/hyperlink" Target="https://www.cefc.com.au" TargetMode="External"/><Relationship Id="rId38" Type="http://schemas.openxmlformats.org/officeDocument/2006/relationships/image" Target="media/image19.png"/><Relationship Id="rId59" Type="http://schemas.openxmlformats.org/officeDocument/2006/relationships/image" Target="media/image28.png"/><Relationship Id="rId103" Type="http://schemas.openxmlformats.org/officeDocument/2006/relationships/hyperlink" Target="https://www.gov.uk/government/organisations/department-for-energy-security-and-net-zero" TargetMode="External"/><Relationship Id="rId108" Type="http://schemas.openxmlformats.org/officeDocument/2006/relationships/footer" Target="footer3.xml"/><Relationship Id="rId54" Type="http://schemas.openxmlformats.org/officeDocument/2006/relationships/hyperlink" Target="https://www.minenergia.gov.co" TargetMode="External"/><Relationship Id="rId70" Type="http://schemas.openxmlformats.org/officeDocument/2006/relationships/image" Target="media/image32.png"/><Relationship Id="rId75" Type="http://schemas.openxmlformats.org/officeDocument/2006/relationships/hyperlink" Target="https://www.jogmec.go.jp" TargetMode="External"/><Relationship Id="rId91" Type="http://schemas.openxmlformats.org/officeDocument/2006/relationships/image" Target="media/image41.png"/><Relationship Id="rId96" Type="http://schemas.openxmlformats.org/officeDocument/2006/relationships/hyperlink" Target="https://home.kepco.co.k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hyperlink" Target="http://www.nea.gov.cn" TargetMode="External"/><Relationship Id="rId57" Type="http://schemas.openxmlformats.org/officeDocument/2006/relationships/hyperlink" Target="https://www.creg.gov.co" TargetMode="External"/><Relationship Id="rId106"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s://www.dcceew.gov.au" TargetMode="External"/><Relationship Id="rId44" Type="http://schemas.openxmlformats.org/officeDocument/2006/relationships/image" Target="media/image21.png"/><Relationship Id="rId52" Type="http://schemas.openxmlformats.org/officeDocument/2006/relationships/image" Target="media/image25.png"/><Relationship Id="rId60" Type="http://schemas.openxmlformats.org/officeDocument/2006/relationships/hyperlink" Target="https://www.bmwk.de" TargetMode="External"/><Relationship Id="rId65" Type="http://schemas.openxmlformats.org/officeDocument/2006/relationships/image" Target="media/image31.png"/><Relationship Id="rId73" Type="http://schemas.openxmlformats.org/officeDocument/2006/relationships/hyperlink" Target="https://www.meti.go.jp" TargetMode="External"/><Relationship Id="rId78" Type="http://schemas.openxmlformats.org/officeDocument/2006/relationships/image" Target="media/image36.png"/><Relationship Id="rId81" Type="http://schemas.openxmlformats.org/officeDocument/2006/relationships/hyperlink" Target="https://english.rvo.nl" TargetMode="External"/><Relationship Id="rId86" Type="http://schemas.openxmlformats.org/officeDocument/2006/relationships/hyperlink" Target="https://www.gob.pe/minem" TargetMode="External"/><Relationship Id="rId94" Type="http://schemas.openxmlformats.org/officeDocument/2006/relationships/hyperlink" Target="https://www.motie.go.kr" TargetMode="External"/><Relationship Id="rId99" Type="http://schemas.openxmlformats.org/officeDocument/2006/relationships/image" Target="media/image45.png"/><Relationship Id="rId101" Type="http://schemas.openxmlformats.org/officeDocument/2006/relationships/image" Target="media/image4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gif"/><Relationship Id="rId18" Type="http://schemas.microsoft.com/office/2007/relationships/hdphoto" Target="media/hdphoto2.wdp"/><Relationship Id="rId39" Type="http://schemas.openxmlformats.org/officeDocument/2006/relationships/image" Target="media/image20.png"/><Relationship Id="rId109" Type="http://schemas.openxmlformats.org/officeDocument/2006/relationships/fontTable" Target="fontTable.xml"/><Relationship Id="rId34" Type="http://schemas.openxmlformats.org/officeDocument/2006/relationships/hyperlink" Target="https://www.cleanenergyregulator.gov.au" TargetMode="External"/><Relationship Id="rId50" Type="http://schemas.openxmlformats.org/officeDocument/2006/relationships/hyperlink" Target="http://www.miit.gov.cn" TargetMode="External"/><Relationship Id="rId55" Type="http://schemas.openxmlformats.org/officeDocument/2006/relationships/hyperlink" Target="https://www.minenergia.gov.co/documents/5862/Colombias_Hydrogen_Roadmap_2810.pdf" TargetMode="External"/><Relationship Id="rId76" Type="http://schemas.openxmlformats.org/officeDocument/2006/relationships/hyperlink" Target="https://www.meti.go.jp/policy/energy_environment/hydrogen" TargetMode="External"/><Relationship Id="rId97" Type="http://schemas.openxmlformats.org/officeDocument/2006/relationships/hyperlink" Target="https://www.kogas.or.kr" TargetMode="External"/><Relationship Id="rId104" Type="http://schemas.openxmlformats.org/officeDocument/2006/relationships/hyperlink" Target="https://www.gov.uk/government/collections/hydrogen-production-business-model" TargetMode="External"/><Relationship Id="rId7" Type="http://schemas.openxmlformats.org/officeDocument/2006/relationships/settings" Target="settings.xml"/><Relationship Id="rId71" Type="http://schemas.openxmlformats.org/officeDocument/2006/relationships/image" Target="media/image33.png"/><Relationship Id="rId92" Type="http://schemas.openxmlformats.org/officeDocument/2006/relationships/image" Target="media/image42.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10.svg"/><Relationship Id="rId40" Type="http://schemas.openxmlformats.org/officeDocument/2006/relationships/hyperlink" Target="https://energia.gob.cl" TargetMode="External"/><Relationship Id="rId45" Type="http://schemas.openxmlformats.org/officeDocument/2006/relationships/image" Target="media/image22.png"/><Relationship Id="rId66" Type="http://schemas.openxmlformats.org/officeDocument/2006/relationships/hyperlink" Target="https://mnre.gov.in" TargetMode="External"/><Relationship Id="rId87" Type="http://schemas.openxmlformats.org/officeDocument/2006/relationships/hyperlink" Target="https://h2.pe/uploads/01_Bases-para-la-elaboracion-estrategia-H2V-Peru.pdf" TargetMode="External"/><Relationship Id="rId110" Type="http://schemas.openxmlformats.org/officeDocument/2006/relationships/theme" Target="theme/theme1.xml"/><Relationship Id="rId61" Type="http://schemas.openxmlformats.org/officeDocument/2006/relationships/hyperlink" Target="https://www.bmwk.de/Redaktion/EN/Dossier/hydrogen.html" TargetMode="External"/><Relationship Id="rId82" Type="http://schemas.openxmlformats.org/officeDocument/2006/relationships/hyperlink" Target="https://www.gasunie.nl" TargetMode="External"/><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image" Target="media/image15.png"/><Relationship Id="rId35" Type="http://schemas.openxmlformats.org/officeDocument/2006/relationships/image" Target="media/image16.png"/><Relationship Id="rId56" Type="http://schemas.openxmlformats.org/officeDocument/2006/relationships/hyperlink" Target="https://www.upme.gov.co" TargetMode="External"/><Relationship Id="rId77" Type="http://schemas.openxmlformats.org/officeDocument/2006/relationships/image" Target="media/image35.png"/><Relationship Id="rId100" Type="http://schemas.openxmlformats.org/officeDocument/2006/relationships/image" Target="media/image46.png"/><Relationship Id="rId105" Type="http://schemas.openxmlformats.org/officeDocument/2006/relationships/hyperlink" Target="https://www.gov.uk/government/publications/low-carbon-hydrogen-standard" TargetMode="External"/><Relationship Id="rId8" Type="http://schemas.openxmlformats.org/officeDocument/2006/relationships/webSettings" Target="webSettings.xml"/><Relationship Id="rId51" Type="http://schemas.openxmlformats.org/officeDocument/2006/relationships/hyperlink" Target="http://www.chinah2.org" TargetMode="External"/><Relationship Id="rId72" Type="http://schemas.openxmlformats.org/officeDocument/2006/relationships/image" Target="media/image34.png"/><Relationship Id="rId93" Type="http://schemas.openxmlformats.org/officeDocument/2006/relationships/image" Target="media/image43.png"/><Relationship Id="rId98" Type="http://schemas.openxmlformats.org/officeDocument/2006/relationships/image" Target="media/image44.png"/><Relationship Id="rId3" Type="http://schemas.openxmlformats.org/officeDocument/2006/relationships/customXml" Target="../customXml/item3.xml"/><Relationship Id="rId25" Type="http://schemas.openxmlformats.org/officeDocument/2006/relationships/hyperlink" Target="https://www.worldbank.org/en/programs/esmap" TargetMode="External"/><Relationship Id="rId46" Type="http://schemas.openxmlformats.org/officeDocument/2006/relationships/image" Target="media/image23.png"/><Relationship Id="rId67" Type="http://schemas.openxmlformats.org/officeDocument/2006/relationships/hyperlink" Target="https://mnre.gov.in/green-hydrogen" TargetMode="External"/><Relationship Id="rId20" Type="http://schemas.microsoft.com/office/2007/relationships/hdphoto" Target="media/hdphoto3.wdp"/><Relationship Id="rId41" Type="http://schemas.openxmlformats.org/officeDocument/2006/relationships/hyperlink" Target="https://energia.gob.cl/hidrogeno-verde" TargetMode="External"/><Relationship Id="rId62" Type="http://schemas.openxmlformats.org/officeDocument/2006/relationships/hyperlink" Target="https://www.bundesnetzagentur.de" TargetMode="External"/><Relationship Id="rId83" Type="http://schemas.openxmlformats.org/officeDocument/2006/relationships/hyperlink" Target="https://www.portofrotterdam.com" TargetMode="External"/><Relationship Id="rId88" Type="http://schemas.openxmlformats.org/officeDocument/2006/relationships/hyperlink" Target="https://www.proinversion.gob.pe" TargetMode="External"/></Relationships>
</file>

<file path=word/theme/theme1.xml><?xml version="1.0" encoding="utf-8"?>
<a:theme xmlns:a="http://schemas.openxmlformats.org/drawingml/2006/main" name="Office Theme">
  <a:themeElements>
    <a:clrScheme name="GCIEP 2">
      <a:dk1>
        <a:srgbClr val="2F333C"/>
      </a:dk1>
      <a:lt1>
        <a:srgbClr val="FFFFFF"/>
      </a:lt1>
      <a:dk2>
        <a:srgbClr val="004E71"/>
      </a:dk2>
      <a:lt2>
        <a:srgbClr val="DADDE5"/>
      </a:lt2>
      <a:accent1>
        <a:srgbClr val="004C43"/>
      </a:accent1>
      <a:accent2>
        <a:srgbClr val="65BD60"/>
      </a:accent2>
      <a:accent3>
        <a:srgbClr val="C3D82E"/>
      </a:accent3>
      <a:accent4>
        <a:srgbClr val="009E4E"/>
      </a:accent4>
      <a:accent5>
        <a:srgbClr val="00BCB5"/>
      </a:accent5>
      <a:accent6>
        <a:srgbClr val="00B3ED"/>
      </a:accent6>
      <a:hlink>
        <a:srgbClr val="65BD60"/>
      </a:hlink>
      <a:folHlink>
        <a:srgbClr val="65BD6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629d1f2-b24e-4953-8bed-bad11c4d683c">
      <Terms xmlns="http://schemas.microsoft.com/office/infopath/2007/PartnerControls"/>
    </lcf76f155ced4ddcb4097134ff3c332f>
    <TaxCatchAll xmlns="363949c0-2172-4e54-ba24-b4ea6060967d" xsi:nil="true"/>
    <Datetaken xmlns="9629d1f2-b24e-4953-8bed-bad11c4d683c" xsi:nil="true"/>
    <image xmlns="9629d1f2-b24e-4953-8bed-bad11c4d683c" xsi:nil="true"/>
    <_Flow_SignoffStatus xmlns="9629d1f2-b24e-4953-8bed-bad11c4d683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C1D8538FAA5AB4D888C8EE2D1670DEB" ma:contentTypeVersion="20" ma:contentTypeDescription="Create a new document." ma:contentTypeScope="" ma:versionID="9c6a49680aac7221cc17af24b6eba20f">
  <xsd:schema xmlns:xsd="http://www.w3.org/2001/XMLSchema" xmlns:xs="http://www.w3.org/2001/XMLSchema" xmlns:p="http://schemas.microsoft.com/office/2006/metadata/properties" xmlns:ns2="9629d1f2-b24e-4953-8bed-bad11c4d683c" xmlns:ns3="363949c0-2172-4e54-ba24-b4ea6060967d" targetNamespace="http://schemas.microsoft.com/office/2006/metadata/properties" ma:root="true" ma:fieldsID="ff8df46c62c99b0830d9c381c2657501" ns2:_="" ns3:_="">
    <xsd:import namespace="9629d1f2-b24e-4953-8bed-bad11c4d683c"/>
    <xsd:import namespace="363949c0-2172-4e54-ba24-b4ea606096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Datetaken" minOccurs="0"/>
                <xsd:element ref="ns2:image"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29d1f2-b24e-4953-8bed-bad11c4d6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Datetaken" ma:index="23" nillable="true" ma:displayName="Date taken" ma:format="DateTime" ma:internalName="Datetaken">
      <xsd:simpleType>
        <xsd:restriction base="dms:DateTime"/>
      </xsd:simpleType>
    </xsd:element>
    <xsd:element name="image" ma:index="24" nillable="true" ma:displayName="image" ma:format="Thumbnail" ma:internalName="imag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_Flow_SignoffStatus" ma:index="26"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3949c0-2172-4e54-ba24-b4ea6060967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cb08ac9-7e79-4731-8a42-fae87c5b8d4f}" ma:internalName="TaxCatchAll" ma:showField="CatchAllData" ma:web="363949c0-2172-4e54-ba24-b4ea60609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9AB472-4E20-4492-872B-8E1A3AE241B1}">
  <ds:schemaRefs>
    <ds:schemaRef ds:uri="http://schemas.openxmlformats.org/officeDocument/2006/bibliography"/>
  </ds:schemaRefs>
</ds:datastoreItem>
</file>

<file path=customXml/itemProps2.xml><?xml version="1.0" encoding="utf-8"?>
<ds:datastoreItem xmlns:ds="http://schemas.openxmlformats.org/officeDocument/2006/customXml" ds:itemID="{6569A7C5-7EC7-4B0C-9576-8329DED89050}">
  <ds:schemaRefs>
    <ds:schemaRef ds:uri="http://schemas.microsoft.com/office/2006/metadata/properties"/>
    <ds:schemaRef ds:uri="http://schemas.microsoft.com/office/infopath/2007/PartnerControls"/>
    <ds:schemaRef ds:uri="9629d1f2-b24e-4953-8bed-bad11c4d683c"/>
    <ds:schemaRef ds:uri="363949c0-2172-4e54-ba24-b4ea6060967d"/>
  </ds:schemaRefs>
</ds:datastoreItem>
</file>

<file path=customXml/itemProps3.xml><?xml version="1.0" encoding="utf-8"?>
<ds:datastoreItem xmlns:ds="http://schemas.openxmlformats.org/officeDocument/2006/customXml" ds:itemID="{B5E8A230-9648-4DBB-BC6B-B2C2A80A64CF}">
  <ds:schemaRefs>
    <ds:schemaRef ds:uri="http://schemas.microsoft.com/sharepoint/v3/contenttype/forms"/>
  </ds:schemaRefs>
</ds:datastoreItem>
</file>

<file path=customXml/itemProps4.xml><?xml version="1.0" encoding="utf-8"?>
<ds:datastoreItem xmlns:ds="http://schemas.openxmlformats.org/officeDocument/2006/customXml" ds:itemID="{38FD0068-981B-4DB3-AC41-CF77DFE2A1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29d1f2-b24e-4953-8bed-bad11c4d683c"/>
    <ds:schemaRef ds:uri="363949c0-2172-4e54-ba24-b4ea60609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83</Pages>
  <Words>25802</Words>
  <Characters>182163</Characters>
  <Application>Microsoft Office Word</Application>
  <DocSecurity>0</DocSecurity>
  <Lines>5060</Lines>
  <Paragraphs>2700</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205265</CharactersWithSpaces>
  <SharedDoc>false</SharedDoc>
  <HLinks>
    <vt:vector size="60" baseType="variant">
      <vt:variant>
        <vt:i4>1507391</vt:i4>
      </vt:variant>
      <vt:variant>
        <vt:i4>56</vt:i4>
      </vt:variant>
      <vt:variant>
        <vt:i4>0</vt:i4>
      </vt:variant>
      <vt:variant>
        <vt:i4>5</vt:i4>
      </vt:variant>
      <vt:variant>
        <vt:lpwstr/>
      </vt:variant>
      <vt:variant>
        <vt:lpwstr>_Toc220786531</vt:lpwstr>
      </vt:variant>
      <vt:variant>
        <vt:i4>1507391</vt:i4>
      </vt:variant>
      <vt:variant>
        <vt:i4>50</vt:i4>
      </vt:variant>
      <vt:variant>
        <vt:i4>0</vt:i4>
      </vt:variant>
      <vt:variant>
        <vt:i4>5</vt:i4>
      </vt:variant>
      <vt:variant>
        <vt:lpwstr/>
      </vt:variant>
      <vt:variant>
        <vt:lpwstr>_Toc220786530</vt:lpwstr>
      </vt:variant>
      <vt:variant>
        <vt:i4>1441855</vt:i4>
      </vt:variant>
      <vt:variant>
        <vt:i4>44</vt:i4>
      </vt:variant>
      <vt:variant>
        <vt:i4>0</vt:i4>
      </vt:variant>
      <vt:variant>
        <vt:i4>5</vt:i4>
      </vt:variant>
      <vt:variant>
        <vt:lpwstr/>
      </vt:variant>
      <vt:variant>
        <vt:lpwstr>_Toc220786529</vt:lpwstr>
      </vt:variant>
      <vt:variant>
        <vt:i4>1441855</vt:i4>
      </vt:variant>
      <vt:variant>
        <vt:i4>38</vt:i4>
      </vt:variant>
      <vt:variant>
        <vt:i4>0</vt:i4>
      </vt:variant>
      <vt:variant>
        <vt:i4>5</vt:i4>
      </vt:variant>
      <vt:variant>
        <vt:lpwstr/>
      </vt:variant>
      <vt:variant>
        <vt:lpwstr>_Toc220786528</vt:lpwstr>
      </vt:variant>
      <vt:variant>
        <vt:i4>1441855</vt:i4>
      </vt:variant>
      <vt:variant>
        <vt:i4>32</vt:i4>
      </vt:variant>
      <vt:variant>
        <vt:i4>0</vt:i4>
      </vt:variant>
      <vt:variant>
        <vt:i4>5</vt:i4>
      </vt:variant>
      <vt:variant>
        <vt:lpwstr/>
      </vt:variant>
      <vt:variant>
        <vt:lpwstr>_Toc220786527</vt:lpwstr>
      </vt:variant>
      <vt:variant>
        <vt:i4>1441855</vt:i4>
      </vt:variant>
      <vt:variant>
        <vt:i4>26</vt:i4>
      </vt:variant>
      <vt:variant>
        <vt:i4>0</vt:i4>
      </vt:variant>
      <vt:variant>
        <vt:i4>5</vt:i4>
      </vt:variant>
      <vt:variant>
        <vt:lpwstr/>
      </vt:variant>
      <vt:variant>
        <vt:lpwstr>_Toc220786526</vt:lpwstr>
      </vt:variant>
      <vt:variant>
        <vt:i4>1441855</vt:i4>
      </vt:variant>
      <vt:variant>
        <vt:i4>20</vt:i4>
      </vt:variant>
      <vt:variant>
        <vt:i4>0</vt:i4>
      </vt:variant>
      <vt:variant>
        <vt:i4>5</vt:i4>
      </vt:variant>
      <vt:variant>
        <vt:lpwstr/>
      </vt:variant>
      <vt:variant>
        <vt:lpwstr>_Toc220786525</vt:lpwstr>
      </vt:variant>
      <vt:variant>
        <vt:i4>1441855</vt:i4>
      </vt:variant>
      <vt:variant>
        <vt:i4>14</vt:i4>
      </vt:variant>
      <vt:variant>
        <vt:i4>0</vt:i4>
      </vt:variant>
      <vt:variant>
        <vt:i4>5</vt:i4>
      </vt:variant>
      <vt:variant>
        <vt:lpwstr/>
      </vt:variant>
      <vt:variant>
        <vt:lpwstr>_Toc220786524</vt:lpwstr>
      </vt:variant>
      <vt:variant>
        <vt:i4>1441855</vt:i4>
      </vt:variant>
      <vt:variant>
        <vt:i4>8</vt:i4>
      </vt:variant>
      <vt:variant>
        <vt:i4>0</vt:i4>
      </vt:variant>
      <vt:variant>
        <vt:i4>5</vt:i4>
      </vt:variant>
      <vt:variant>
        <vt:lpwstr/>
      </vt:variant>
      <vt:variant>
        <vt:lpwstr>_Toc220786523</vt:lpwstr>
      </vt:variant>
      <vt:variant>
        <vt:i4>1441855</vt:i4>
      </vt:variant>
      <vt:variant>
        <vt:i4>2</vt:i4>
      </vt:variant>
      <vt:variant>
        <vt:i4>0</vt:i4>
      </vt:variant>
      <vt:variant>
        <vt:i4>5</vt:i4>
      </vt:variant>
      <vt:variant>
        <vt:lpwstr/>
      </vt:variant>
      <vt:variant>
        <vt:lpwstr>_Toc220786522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Convey</dc:creator>
  <cp:keywords/>
  <dc:description/>
  <cp:lastModifiedBy>Moises Sevilla (MX)</cp:lastModifiedBy>
  <cp:revision>7</cp:revision>
  <cp:lastPrinted>2026-02-19T19:46:00Z</cp:lastPrinted>
  <dcterms:created xsi:type="dcterms:W3CDTF">2026-02-19T14:04:00Z</dcterms:created>
  <dcterms:modified xsi:type="dcterms:W3CDTF">2026-02-19T20:43:00Z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0x010100BC1D8538FAA5AB4D888C8EE2D1670DEB</vt:lpwstr>
  </property>
  <property fmtid="{D5CDD505-2E9C-101B-9397-08002B2CF9AE}" pid="3" name="MediaServiceImageTags">
    <vt:lpwstr/>
  </property>
  <property fmtid="{D5CDD505-2E9C-101B-9397-08002B2CF9AE}" pid="4" name="docLang">
    <vt:lpwstr>en</vt:lpwstr>
  </property>
</Properties>
</file>