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top w:val="single" w:sz="18" w:space="1" w:color="1E5B4F"/>
        </w:pBdr>
      </w:pPr>
    </w:p>
    <w:p>
      <w:pPr>
        <w:spacing w:before="200" w:after="40"/>
        <w:jc w:val="center"/>
      </w:pPr>
      <w:r>
        <w:rPr>
          <w:rFonts w:ascii="Noto Sans" w:hAnsi="Noto Sans"/>
          <w:b/>
          <w:caps/>
          <w:color w:val="1E5B4F"/>
          <w:sz w:val="17"/>
        </w:rPr>
        <w:t>MINUTA DE REUNIÓN</w:t>
      </w:r>
    </w:p>
    <w:p>
      <w:pPr>
        <w:spacing w:after="60"/>
        <w:jc w:val="center"/>
      </w:pPr>
      <w:r>
        <w:rPr>
          <w:rFonts w:ascii="Merriweather" w:hAnsi="Merriweather"/>
          <w:b/>
          <w:color w:val="1E5B4F"/>
          <w:sz w:val="32"/>
        </w:rPr>
        <w:t>Minuta — Preselección técnica de proyectos GCR Central</w:t>
      </w:r>
    </w:p>
    <w:p>
      <w:pPr>
        <w:spacing w:after="240"/>
        <w:jc w:val="center"/>
        <w:pBdr>
          <w:bottom w:val="single" w:sz="6" w:space="4" w:color="1E5B4F"/>
        </w:pBdr>
      </w:pPr>
      <w:r>
        <w:rPr>
          <w:rFonts w:ascii="Noto Sans" w:hAnsi="Noto Sans"/>
          <w:b w:val="0"/>
          <w:color w:val="646464"/>
          <w:sz w:val="20"/>
        </w:rPr>
        <w:t>Segunda Convocatoria a Particulares · Preselección técnica de proyectos</w:t>
      </w:r>
    </w:p>
    <w:p>
      <w:pPr>
        <w:spacing w:before="260" w:after="80"/>
        <w:pBdr>
          <w:bottom w:val="single" w:sz="6" w:space="1" w:color="1E5B4F"/>
        </w:pBdr>
      </w:pPr>
      <w:r>
        <w:rPr>
          <w:rFonts w:ascii="Merriweather" w:hAnsi="Merriweather"/>
          <w:b/>
          <w:color w:val="1E5B4F"/>
          <w:sz w:val="26"/>
        </w:rPr>
        <w:t>Identificación</w:t>
      </w:r>
    </w:p>
    <w:tbl>
      <w:tblPr>
        <w:tblStyle w:val="TableGrid"/>
        <w:tblW w:type="auto" w:w="0"/>
        <w:jc w:val="center"/>
        <w:tblLayout w:type="fixed"/>
        <w:tblLook w:firstColumn="1" w:firstRow="1" w:lastColumn="0" w:lastRow="0" w:noHBand="0" w:noVBand="1" w:val="04A0"/>
      </w:tblPr>
      <w:tblGrid>
        <w:gridCol w:w="6912"/>
        <w:gridCol w:w="6912"/>
      </w:tblGrid>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Órgano</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Gerencia de Control Regional Central</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Tipo de reunión</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Preselección técnica de proyectos (criterios técnicos, sociales y ambientales)</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Fecha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16 de junio de 2026</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Modalidad</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Reunión de Microsoft Teams</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Convocante</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Claudia Marcela Meza Vega (SENER)</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Elaboró la minuta</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DGMESNIE — Unidad del Sistema Nacional de Información Energética</w:t>
            </w:r>
          </w:p>
        </w:tc>
      </w:tr>
    </w:tbl>
    <w:p>
      <w:pPr>
        <w:spacing w:after="40"/>
      </w:pPr>
    </w:p>
    <w:p>
      <w:pPr>
        <w:spacing w:before="260" w:after="80"/>
        <w:pBdr>
          <w:bottom w:val="single" w:sz="6" w:space="1" w:color="1E5B4F"/>
        </w:pBdr>
      </w:pPr>
      <w:r>
        <w:rPr>
          <w:rFonts w:ascii="Merriweather" w:hAnsi="Merriweather"/>
          <w:b/>
          <w:color w:val="1E5B4F"/>
          <w:sz w:val="26"/>
        </w:rPr>
        <w:t>Asistentes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c>
          <w:tcPr>
            <w:tcW w:type="dxa" w:w="345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464" w:type="dxa"/>
          </w:tcPr>
          <w:p>
            <w:pPr>
              <w:jc w:val="center"/>
            </w:pPr>
            <w:r>
              <w:rPr>
                <w:rFonts w:ascii="Noto Sans" w:hAnsi="Noto Sans"/>
                <w:b/>
                <w:color w:val="FFFFFF"/>
                <w:sz w:val="15"/>
              </w:rPr>
              <w:t>NOMBRE</w:t>
            </w:r>
          </w:p>
        </w:tc>
        <w:tc>
          <w:tcPr>
            <w:tcW w:type="dxa" w:w="345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736" w:type="dxa"/>
          </w:tcPr>
          <w:p>
            <w:pPr>
              <w:jc w:val="center"/>
            </w:pPr>
            <w:r>
              <w:rPr>
                <w:rFonts w:ascii="Noto Sans" w:hAnsi="Noto Sans"/>
                <w:b/>
                <w:color w:val="FFFFFF"/>
                <w:sz w:val="15"/>
              </w:rPr>
              <w:t>CARGO</w:t>
            </w:r>
          </w:p>
        </w:tc>
        <w:tc>
          <w:tcPr>
            <w:tcW w:type="dxa" w:w="345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880" w:type="dxa"/>
          </w:tcPr>
          <w:p>
            <w:pPr>
              <w:jc w:val="center"/>
            </w:pPr>
            <w:r>
              <w:rPr>
                <w:rFonts w:ascii="Noto Sans" w:hAnsi="Noto Sans"/>
                <w:b/>
                <w:color w:val="FFFFFF"/>
                <w:sz w:val="15"/>
              </w:rPr>
              <w:t>ÁREA</w:t>
            </w:r>
          </w:p>
        </w:tc>
        <w:tc>
          <w:tcPr>
            <w:tcW w:type="dxa" w:w="345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3311" w:type="dxa"/>
          </w:tcPr>
          <w:p>
            <w:pPr>
              <w:jc w:val="center"/>
            </w:pPr>
            <w:r>
              <w:rPr>
                <w:rFonts w:ascii="Noto Sans" w:hAnsi="Noto Sans"/>
                <w:b/>
                <w:color w:val="FFFFFF"/>
                <w:sz w:val="15"/>
              </w:rPr>
              <w:t>CORREO</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Claudia Marcela Meza Vega</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Convocante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cmeza@energia.gob.mx</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Javier Sasso Celaya</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 (SPTE)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jsasso@energia.gob.mx</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Raúl Adame Ortiz</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 (SPTE)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radame@energia.gob.mx</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Daniel Hilario Flores Vargas</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 (SPTE)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dflores@energia.gob.mx</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Jocelyn Gabriela Velázquez Naranjo</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jgvelazquez@energia.gob.mx</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Gabriela Velázquez</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Impacto social</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SENER</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Alfonso Márquez Chávez</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Alí Gervacio Hernández</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Daniel Álvarez Hernández</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Eliel Mendoza López</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Gabriel Aguilar García</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Isidro Ernesto Olivas Félix</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Luis Eduardo Quirazco González</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Mauricio Cuéllar Ahumada</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mauricio.cuellar@cenace.gob.mx</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Noé Cruz Ramírez</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Raúl García Kasusky</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Rubén Martínez Alonso</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ruben.martinez@cenace.gob.mx</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Zaira Yadira Pérez Pintor</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CENACE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David Salvador Velasco Olmos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david.velasco@cfe.mx</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Gabriela Aparicio Rangel</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gabriela.aparicio@cfe.mx</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Gerónimo Ramírez Popo</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Gilberto Valencia Félix</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José María Rivera Fosado</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Luis Enrique Ángeles Cervantes</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Pedro Guillermo Padrón Alvarado</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Tania Areli Salazar Terán</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Víctor Nolasco Miguel</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CFE</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Edder Tuxpan Salazar</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c>
          <w:tcPr>
            <w:tcW w:type="dxa" w:w="345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7"/>
              </w:rPr>
              <w:t>Marian Olvera Lucas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736"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880" w:type="dxa"/>
          </w:tcPr>
          <w:p>
            <w:r>
              <w:rPr>
                <w:rFonts w:ascii="Noto Sans" w:hAnsi="Noto Sans"/>
                <w:b w:val="0"/>
                <w:color w:val="1A1A1A"/>
                <w:sz w:val="17"/>
              </w:rPr>
              <w:t>—</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311" w:type="dxa"/>
          </w:tcPr>
          <w:p>
            <w:r>
              <w:rPr>
                <w:rFonts w:ascii="Noto Sans" w:hAnsi="Noto Sans"/>
                <w:b w:val="0"/>
                <w:color w:val="1A1A1A"/>
                <w:sz w:val="17"/>
              </w:rPr>
              <w:t>—</w:t>
            </w:r>
          </w:p>
        </w:tc>
      </w:tr>
    </w:tbl>
    <w:p>
      <w:pPr>
        <w:spacing w:after="40"/>
      </w:pPr>
    </w:p>
    <w:p>
      <w:pPr>
        <w:spacing w:before="260" w:after="80"/>
        <w:pBdr>
          <w:bottom w:val="single" w:sz="6" w:space="1" w:color="1E5B4F"/>
        </w:pBdr>
      </w:pPr>
      <w:r>
        <w:rPr>
          <w:rFonts w:ascii="Merriweather" w:hAnsi="Merriweather"/>
          <w:b/>
          <w:color w:val="1E5B4F"/>
          <w:sz w:val="26"/>
        </w:rPr>
        <w:t>Orden del día</w:t>
      </w:r>
    </w:p>
    <w:p>
      <w:pPr>
        <w:spacing w:after="60"/>
        <w:ind w:left="360"/>
      </w:pPr>
      <w:r>
        <w:rPr>
          <w:rFonts w:ascii="Noto Sans" w:hAnsi="Noto Sans"/>
          <w:b/>
          <w:color w:val="1E5B4F"/>
          <w:sz w:val="21"/>
        </w:rPr>
        <w:t xml:space="preserve">•  </w:t>
      </w:r>
      <w:r>
        <w:rPr>
          <w:rFonts w:ascii="Noto Sans" w:hAnsi="Noto Sans"/>
          <w:b w:val="0"/>
          <w:color w:val="1A1A1A"/>
          <w:sz w:val="21"/>
        </w:rPr>
        <w:t>Presentación del universo nacional de proyectos fotovoltaicos (49 proyectos, 4,698 MW) y criterios de preselección.</w:t>
      </w:r>
    </w:p>
    <w:p>
      <w:pPr>
        <w:spacing w:after="60"/>
        <w:ind w:left="360"/>
      </w:pPr>
      <w:r>
        <w:rPr>
          <w:rFonts w:ascii="Noto Sans" w:hAnsi="Noto Sans"/>
          <w:b/>
          <w:color w:val="1E5B4F"/>
          <w:sz w:val="21"/>
        </w:rPr>
        <w:t xml:space="preserve">•  </w:t>
      </w:r>
      <w:r>
        <w:rPr>
          <w:rFonts w:ascii="Noto Sans" w:hAnsi="Noto Sans"/>
          <w:b w:val="0"/>
          <w:color w:val="1A1A1A"/>
          <w:sz w:val="21"/>
        </w:rPr>
        <w:t>Revisión de los proyectos preseleccionados de la Gerencia de Control Regional Central.</w:t>
      </w:r>
    </w:p>
    <w:p>
      <w:pPr>
        <w:spacing w:before="260" w:after="80"/>
        <w:pBdr>
          <w:bottom w:val="single" w:sz="6" w:space="1" w:color="1E5B4F"/>
        </w:pBdr>
      </w:pPr>
      <w:r>
        <w:rPr>
          <w:rFonts w:ascii="Merriweather" w:hAnsi="Merriweather"/>
          <w:b/>
          <w:color w:val="1E5B4F"/>
          <w:sz w:val="26"/>
        </w:rPr>
        <w:t>Desarrollo de la reunión</w:t>
      </w:r>
    </w:p>
    <w:p>
      <w:pPr>
        <w:spacing w:before="160" w:after="80"/>
      </w:pPr>
      <w:r>
        <w:rPr>
          <w:rFonts w:ascii="Merriweather" w:hAnsi="Merriweather"/>
          <w:b/>
          <w:color w:val="1E5B4F"/>
          <w:sz w:val="22"/>
        </w:rPr>
        <w:t>1. Contexto</w:t>
      </w:r>
    </w:p>
    <w:p>
      <w:pPr>
        <w:spacing w:after="120"/>
      </w:pPr>
      <w:r>
        <w:rPr>
          <w:rFonts w:ascii="Noto Sans" w:hAnsi="Noto Sans"/>
          <w:b w:val="0"/>
          <w:color w:val="1A1A1A"/>
          <w:sz w:val="21"/>
        </w:rPr>
        <w:t>Se presentó el universo de proyectos de la Segunda Convocatoria (224 proyectos por 32,857 MW de capacidad neta: 189 solares con 26,400 MW, 30 eólicos con 6,391 MW y 5 hidráulicos con 66 MW) y la preselección conjunta SENER-CENACE-CFE realizada el 16 de junio de 2026. Para la Gerencia Central, la lista preliminar VUPE C2 considera del orden de 1,804 MW. Los estudios de interconexión emplean la capacidad contratada, por ser la que efectivamente se inyecta.</w:t>
      </w:r>
    </w:p>
    <w:p>
      <w:pPr>
        <w:spacing w:before="160" w:after="80"/>
      </w:pPr>
      <w:r>
        <w:rPr>
          <w:rFonts w:ascii="Merriweather" w:hAnsi="Merriweather"/>
          <w:b/>
          <w:color w:val="1E5B4F"/>
          <w:sz w:val="22"/>
        </w:rPr>
        <w:t>2. Revisión de proyectos</w:t>
      </w:r>
    </w:p>
    <w:p>
      <w:pPr>
        <w:spacing w:after="120"/>
      </w:pPr>
      <w:r>
        <w:rPr>
          <w:rFonts w:ascii="Noto Sans" w:hAnsi="Noto Sans"/>
          <w:b w:val="0"/>
          <w:color w:val="1A1A1A"/>
          <w:sz w:val="21"/>
        </w:rPr>
        <w:t>Se revisaron los proyectos de la Gerencia Central. Continúan los que coinciden con la preselección de CFE y CENACE (confirmados por Eliel Mendoza López y José María Rivera Fosado): Ajolo Solar, Atlacomulco I, Atlacomulco Solar, Central FV Ixtapan y Tepetate Solar. Para Ajolo y Tepetate se cuenta con el estudio indicativo SICE-00057-2025 (POI SE Apasco 230 kV) al 100 por ciento.</w:t>
      </w:r>
    </w:p>
    <w:p>
      <w:pPr>
        <w:spacing w:before="160" w:after="80"/>
      </w:pPr>
      <w:r>
        <w:rPr>
          <w:rFonts w:ascii="Merriweather" w:hAnsi="Merriweather"/>
          <w:b/>
          <w:color w:val="1E5B4F"/>
          <w:sz w:val="22"/>
        </w:rPr>
        <w:t>3. Impacto social</w:t>
      </w:r>
    </w:p>
    <w:p>
      <w:pPr>
        <w:spacing w:after="120"/>
      </w:pPr>
      <w:r>
        <w:rPr>
          <w:rFonts w:ascii="Noto Sans" w:hAnsi="Noto Sans"/>
          <w:b w:val="0"/>
          <w:color w:val="1A1A1A"/>
          <w:sz w:val="21"/>
        </w:rPr>
        <w:t>Varios proyectos de la zona Pachuca–Tulancingo no continúan por problemática de impacto social, a revisar con el equipo de Rafael Fonseca (observación de Gabriela Aparicio Rangel): Ocote Solar, Parque Solar Fotovoltaico Tulancingo, Saturno Solar, Delfín Solar y Akuwa Solar. Rancho San Telmo no se considera viable. Armería Solar se marcó inicialmente como continúa (Eliel Mendoza López), pero se corrigió a "no continúa" porque CFE no lo preseleccionó (Gilberto Valencia Félix).</w:t>
      </w:r>
    </w:p>
    <w:p>
      <w:pPr>
        <w:spacing w:before="160" w:after="80"/>
      </w:pPr>
      <w:r>
        <w:rPr>
          <w:rFonts w:ascii="Merriweather" w:hAnsi="Merriweather"/>
          <w:b/>
          <w:color w:val="1E5B4F"/>
          <w:sz w:val="22"/>
        </w:rPr>
        <w:t>4. Interconexión</w:t>
      </w:r>
    </w:p>
    <w:p>
      <w:pPr>
        <w:spacing w:after="120"/>
      </w:pPr>
      <w:r>
        <w:rPr>
          <w:rFonts w:ascii="Noto Sans" w:hAnsi="Noto Sans"/>
          <w:b w:val="0"/>
          <w:color w:val="1A1A1A"/>
          <w:sz w:val="21"/>
        </w:rPr>
        <w:t>Los proyectos Akuwa, Armería, Delfín, Ocote, Saturno y Tulancingo comparten la zona de maniobras entre las SE KMC–PHP y la LT Pachuca Potencia–Kilómetro 110. Atlacomulco I se interconecta en SE FPG y Atlacomulco Solar mediante apertura de la LT Lerma–Toluca.</w:t>
      </w:r>
    </w:p>
    <w:p>
      <w:pPr>
        <w:spacing w:before="260" w:after="80"/>
        <w:pBdr>
          <w:bottom w:val="single" w:sz="6" w:space="1" w:color="1E5B4F"/>
        </w:pBdr>
      </w:pPr>
      <w:r>
        <w:rPr>
          <w:rFonts w:ascii="Merriweather" w:hAnsi="Merriweather"/>
          <w:b/>
          <w:color w:val="1E5B4F"/>
          <w:sz w:val="26"/>
        </w:rPr>
        <w:t>Resumen de la votación</w:t>
      </w:r>
    </w:p>
    <w:p>
      <w:pPr>
        <w:spacing w:after="60"/>
        <w:ind w:left="360"/>
      </w:pPr>
      <w:r>
        <w:rPr>
          <w:rFonts w:ascii="Noto Sans" w:hAnsi="Noto Sans"/>
          <w:b/>
          <w:color w:val="1E5B4F"/>
          <w:sz w:val="21"/>
        </w:rPr>
        <w:t xml:space="preserve">•  </w:t>
      </w:r>
      <w:r>
        <w:rPr>
          <w:rFonts w:ascii="Noto Sans" w:hAnsi="Noto Sans"/>
          <w:b w:val="0"/>
          <w:color w:val="1A1A1A"/>
          <w:sz w:val="21"/>
        </w:rPr>
        <w:t>Proyectos revisados: 12</w:t>
      </w:r>
    </w:p>
    <w:p>
      <w:pPr>
        <w:spacing w:after="60"/>
        <w:ind w:left="360"/>
      </w:pPr>
      <w:r>
        <w:rPr>
          <w:rFonts w:ascii="Noto Sans" w:hAnsi="Noto Sans"/>
          <w:b/>
          <w:color w:val="1E5B4F"/>
          <w:sz w:val="21"/>
        </w:rPr>
        <w:t xml:space="preserve">•  </w:t>
      </w:r>
      <w:r>
        <w:rPr>
          <w:rFonts w:ascii="Noto Sans" w:hAnsi="Noto Sans"/>
          <w:b w:val="0"/>
          <w:color w:val="1A1A1A"/>
          <w:sz w:val="21"/>
        </w:rPr>
        <w:t>Continúan: 5</w:t>
      </w:r>
    </w:p>
    <w:p>
      <w:pPr>
        <w:spacing w:after="60"/>
        <w:ind w:left="360"/>
      </w:pPr>
      <w:r>
        <w:rPr>
          <w:rFonts w:ascii="Noto Sans" w:hAnsi="Noto Sans"/>
          <w:b/>
          <w:color w:val="1E5B4F"/>
          <w:sz w:val="21"/>
        </w:rPr>
        <w:t xml:space="preserve">•  </w:t>
      </w:r>
      <w:r>
        <w:rPr>
          <w:rFonts w:ascii="Noto Sans" w:hAnsi="Noto Sans"/>
          <w:b w:val="0"/>
          <w:color w:val="1A1A1A"/>
          <w:sz w:val="21"/>
        </w:rPr>
        <w:t>No continúan: 7</w:t>
      </w:r>
    </w:p>
    <w:p>
      <w:pPr>
        <w:spacing w:after="60"/>
        <w:ind w:left="360"/>
      </w:pPr>
      <w:r>
        <w:rPr>
          <w:rFonts w:ascii="Noto Sans" w:hAnsi="Noto Sans"/>
          <w:b/>
          <w:color w:val="1E5B4F"/>
          <w:sz w:val="21"/>
        </w:rPr>
        <w:t xml:space="preserve">•  </w:t>
      </w:r>
      <w:r>
        <w:rPr>
          <w:rFonts w:ascii="Noto Sans" w:hAnsi="Noto Sans"/>
          <w:b w:val="0"/>
          <w:color w:val="1A1A1A"/>
          <w:sz w:val="21"/>
        </w:rPr>
        <w:t>Pendientes: 0</w:t>
      </w:r>
    </w:p>
    <w:p>
      <w:pPr>
        <w:spacing w:after="60"/>
        <w:ind w:left="360"/>
      </w:pPr>
      <w:r>
        <w:rPr>
          <w:rFonts w:ascii="Noto Sans" w:hAnsi="Noto Sans"/>
          <w:b/>
          <w:color w:val="1E5B4F"/>
          <w:sz w:val="21"/>
        </w:rPr>
        <w:t xml:space="preserve">•  </w:t>
      </w:r>
      <w:r>
        <w:rPr>
          <w:rFonts w:ascii="Noto Sans" w:hAnsi="Noto Sans"/>
          <w:b w:val="0"/>
          <w:color w:val="1A1A1A"/>
          <w:sz w:val="21"/>
        </w:rPr>
        <w:t>Capacidad que continúa (contratada): 398.1 MW</w:t>
      </w:r>
    </w:p>
    <w:p>
      <w:pPr>
        <w:spacing w:after="60"/>
        <w:ind w:left="360"/>
      </w:pPr>
      <w:r>
        <w:rPr>
          <w:rFonts w:ascii="Noto Sans" w:hAnsi="Noto Sans"/>
          <w:b/>
          <w:color w:val="1E5B4F"/>
          <w:sz w:val="21"/>
        </w:rPr>
        <w:t xml:space="preserve">•  </w:t>
      </w:r>
      <w:r>
        <w:rPr>
          <w:rFonts w:ascii="Noto Sans" w:hAnsi="Noto Sans"/>
          <w:b w:val="0"/>
          <w:color w:val="1A1A1A"/>
          <w:sz w:val="21"/>
        </w:rPr>
        <w:t>Capacidad que continúa (neta): 413.4 MW</w:t>
      </w:r>
    </w:p>
    <w:p>
      <w:pPr>
        <w:spacing w:after="60"/>
        <w:ind w:left="360"/>
      </w:pPr>
      <w:r>
        <w:rPr>
          <w:rFonts w:ascii="Noto Sans" w:hAnsi="Noto Sans"/>
          <w:b/>
          <w:color w:val="1E5B4F"/>
          <w:sz w:val="21"/>
        </w:rPr>
        <w:t xml:space="preserve">•  </w:t>
      </w:r>
      <w:r>
        <w:rPr>
          <w:rFonts w:ascii="Noto Sans" w:hAnsi="Noto Sans"/>
          <w:b w:val="0"/>
          <w:color w:val="1A1A1A"/>
          <w:sz w:val="21"/>
        </w:rPr>
        <w:t>Capacidad que no continúa (contratada): 933.2 MW</w:t>
      </w:r>
    </w:p>
    <w:p>
      <w:pPr>
        <w:spacing w:before="260" w:after="80"/>
        <w:pBdr>
          <w:bottom w:val="single" w:sz="6" w:space="1" w:color="1E5B4F"/>
        </w:pBdr>
      </w:pPr>
      <w:r>
        <w:rPr>
          <w:rFonts w:ascii="Merriweather" w:hAnsi="Merriweather"/>
          <w:b/>
          <w:color w:val="1E5B4F"/>
          <w:sz w:val="26"/>
        </w:rPr>
        <w:t>Resultados por proyecto</w:t>
      </w:r>
    </w:p>
    <w:tbl>
      <w:tblPr>
        <w:tblStyle w:val="TableGrid"/>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655" w:type="dxa"/>
          </w:tcPr>
          <w:p>
            <w:pPr>
              <w:jc w:val="center"/>
            </w:pPr>
            <w:r>
              <w:rPr>
                <w:rFonts w:ascii="Noto Sans" w:hAnsi="Noto Sans"/>
                <w:b/>
                <w:color w:val="FFFFFF"/>
                <w:sz w:val="14"/>
              </w:rPr>
              <w:t>PROYECTO</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368" w:type="dxa"/>
          </w:tcPr>
          <w:p>
            <w:pPr>
              <w:jc w:val="center"/>
            </w:pPr>
            <w:r>
              <w:rPr>
                <w:rFonts w:ascii="Noto Sans" w:hAnsi="Noto Sans"/>
                <w:b/>
                <w:color w:val="FFFFFF"/>
                <w:sz w:val="14"/>
              </w:rPr>
              <w:t>FOLIO</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944" w:type="dxa"/>
          </w:tcPr>
          <w:p>
            <w:pPr>
              <w:jc w:val="center"/>
            </w:pPr>
            <w:r>
              <w:rPr>
                <w:rFonts w:ascii="Noto Sans" w:hAnsi="Noto Sans"/>
                <w:b/>
                <w:color w:val="FFFFFF"/>
                <w:sz w:val="14"/>
              </w:rPr>
              <w:t>GIE</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224" w:type="dxa"/>
          </w:tcPr>
          <w:p>
            <w:pPr>
              <w:jc w:val="center"/>
            </w:pPr>
            <w:r>
              <w:rPr>
                <w:rFonts w:ascii="Noto Sans" w:hAnsi="Noto Sans"/>
                <w:b/>
                <w:color w:val="FFFFFF"/>
                <w:sz w:val="14"/>
              </w:rPr>
              <w:t>TECNOLOGÍA</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232" w:type="dxa"/>
          </w:tcPr>
          <w:p>
            <w:pPr>
              <w:jc w:val="center"/>
            </w:pPr>
            <w:r>
              <w:rPr>
                <w:rFonts w:ascii="Noto Sans" w:hAnsi="Noto Sans"/>
                <w:b/>
                <w:color w:val="FFFFFF"/>
                <w:sz w:val="14"/>
              </w:rPr>
              <w:t>PUNTO DE INTERCONEXIÓN</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4"/>
              </w:rPr>
              <w:t>MW CONTR.</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4"/>
              </w:rPr>
              <w:t>MW NETA</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1036" w:type="dxa"/>
          </w:tcPr>
          <w:p>
            <w:pPr>
              <w:jc w:val="center"/>
            </w:pPr>
            <w:r>
              <w:rPr>
                <w:rFonts w:ascii="Noto Sans" w:hAnsi="Noto Sans"/>
                <w:b/>
                <w:color w:val="FFFFFF"/>
                <w:sz w:val="14"/>
              </w:rPr>
              <w:t>DECISIÓN</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232" w:type="dxa"/>
          </w:tcPr>
          <w:p>
            <w:pPr>
              <w:jc w:val="center"/>
            </w:pPr>
            <w:r>
              <w:rPr>
                <w:rFonts w:ascii="Noto Sans" w:hAnsi="Noto Sans"/>
                <w:b/>
                <w:color w:val="FFFFFF"/>
                <w:sz w:val="14"/>
              </w:rPr>
              <w:t>MOTIVO / COMENTARIOS</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AJOLO SOLAR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VUPE-C2-0145-2026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KENERGENUX</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APASCO 230KV</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68</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68</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[Eliel Mendoza López]: continúa</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ATLACOMULCO I</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VUPE-C2-0386-2026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ATLACOMULCO SOLAR FOTOVOLTAICA SA DE CV</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SUBESTACION SAN FELIPE DEL PROGRESO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[José María Rivera Fosado]: Continúa</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ATLACOMULCO SOLAR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VUPE-C2-0191-2026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DESARROLLO DE PROYECTOS DE ENERGIA RENOVABLE, CONSTRUCCIÓN Y OPERACIÓN</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Apertura LT LERMA - TOLUCA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90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90</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[Eliel Mendoza López]: Continúa</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CENTRAL FV IXTAPAN</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VUPE-C2-0659-2026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GENERACIÓN DE ENERGÍA ELÉCTRICA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CFE IXTAPA DE LA SAL</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65.1</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80.4</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[Eliel Mendoza López]: Contiúa</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TEPETATE SOLAR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VUPE-C2-0230-2026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KENERGENUX</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APASCO 230KV</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75</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75</w:t>
            </w:r>
          </w:p>
        </w:tc>
        <w:tc>
          <w:tcPr>
            <w:tcW w:type="dxa" w:w="1536"/>
            <w:shd w:val="clear" w:color="auto" w:fill="1E5B4F"/>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[Eliel Mendoza López]: Continúa</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AKUWA SOLAR</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VUPE-C2-0491-2026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AKUWA SOLAR SA DE CV</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Maniobras que entronca las dos LT entre SE kilometro 110 - Pachuca Potencia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126</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[Gabriela Aparicio Rangel]: Tema de Impacto Social, hay problemática de impacto social se debe revisar con el equipo de Rafael Fonseca</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ARMERIA SOLAR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VUPE-C2-0461-2026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PROGRESSUM ENERGY DEVELOPMENTS</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KM 110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100.2</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100.2</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CFE no los pre-seleccionó — [Eliel Mendoza López]: Continúa, [Gilberto Valencia Félix]: No lo seleccionaron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DELFIN SOLAR</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VUPE-C2-0512-2026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DHAMMA ENERGY MEXICO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Maniobras que entronca las dos LT entre SE kilometro 110 - Pachuca Potencia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164</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164</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[Gabriela Aparicio Rangel]: Tema de Impacto Social, hay problemática de impacto social se debe revisar con el equipo de Rafael Fonseca</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Ocote Solar</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VUPE-C2-0067-2026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BAYWA R.E.</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Apertura LT entre SE Pachuca Potencia y SE Km110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185</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185</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[Gabriela Aparicio Rangel]: Tema de Impacto Social, hay problemática de impacto social se debe revisar con el equipo de Rafael Fonseca [Rubén Martínez Alonso]: Otote tiene mucho interés por participar, es importante tener la evaluación puntual de Impacto Social, para su posible consideración</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parque solar fotovoltaico tulancingo</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VUPE-C2-0428-2026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DOMINION</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LT Pachuca Potencia – Kilometro 110 (93850)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108</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116</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[Gabriela Aparicio Rangel]: Tema de Impacto Social, hay problemática de impacto social se debe revisar con el equipo de Rafael Fonseca</w:t>
            </w:r>
          </w:p>
        </w:tc>
      </w:tr>
      <w:tr>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Rancho San Telmo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VUPE-C2-0231-2026</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TERRALIA ENERGIA Y CAMPO</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LT - ENTRONQUE TEXCOCO - MAGDALENA II MANIOBRAS</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100</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115</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No lo ven viable — No sleccionado</w:t>
            </w:r>
          </w:p>
        </w:tc>
      </w:tr>
      <w:tr>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655" w:type="dxa"/>
          </w:tcPr>
          <w:p>
            <w:r>
              <w:rPr>
                <w:rFonts w:ascii="Noto Sans" w:hAnsi="Noto Sans"/>
                <w:b w:val="0"/>
                <w:color w:val="1A1A1A"/>
                <w:sz w:val="16"/>
              </w:rPr>
              <w:t>SATURNO SOLAR</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368" w:type="dxa"/>
          </w:tcPr>
          <w:p>
            <w:r>
              <w:rPr>
                <w:rFonts w:ascii="Noto Sans" w:hAnsi="Noto Sans"/>
                <w:b w:val="0"/>
                <w:color w:val="1A1A1A"/>
                <w:sz w:val="16"/>
              </w:rPr>
              <w:t>VUPE-C2-0506-2026</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944" w:type="dxa"/>
          </w:tcPr>
          <w:p>
            <w:r>
              <w:rPr>
                <w:rFonts w:ascii="Noto Sans" w:hAnsi="Noto Sans"/>
                <w:b w:val="0"/>
                <w:color w:val="1A1A1A"/>
                <w:sz w:val="16"/>
              </w:rPr>
              <w:t>SATURNO SOLAR SA DE CV</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224" w:type="dxa"/>
          </w:tcPr>
          <w:p>
            <w:r>
              <w:rPr>
                <w:rFonts w:ascii="Noto Sans" w:hAnsi="Noto Sans"/>
                <w:b w:val="0"/>
                <w:color w:val="1A1A1A"/>
                <w:sz w:val="16"/>
              </w:rPr>
              <w:t>SOLAR FOTOVOLTAICA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SE Maniobras que entronca las dos LT entre SE kilometro 110 - Pachuca Potencia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150</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6"/>
              </w:rPr>
              <w:t>150</w:t>
            </w:r>
          </w:p>
        </w:tc>
        <w:tc>
          <w:tcPr>
            <w:tcW w:type="dxa" w:w="1536"/>
            <w:shd w:val="clear" w:color="auto" w:fill="9B2247"/>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1036" w:type="dxa"/>
          </w:tcPr>
          <w:p>
            <w:pPr>
              <w:jc w:val="center"/>
            </w:pPr>
            <w:r>
              <w:rPr>
                <w:rFonts w:ascii="Noto Sans" w:hAnsi="Noto Sans"/>
                <w:b/>
                <w:color w:val="FFFFFF"/>
                <w:sz w:val="13"/>
              </w:rPr>
              <w:t>NO CONTINÚA</w:t>
            </w:r>
          </w:p>
        </w:tc>
        <w:tc>
          <w:tcPr>
            <w:tcW w:type="dxa" w:w="1536"/>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232" w:type="dxa"/>
          </w:tcPr>
          <w:p>
            <w:r>
              <w:rPr>
                <w:rFonts w:ascii="Noto Sans" w:hAnsi="Noto Sans"/>
                <w:b w:val="0"/>
                <w:color w:val="1A1A1A"/>
                <w:sz w:val="16"/>
              </w:rPr>
              <w:t>⛔ [Gabriela Aparicio Rangel]: Tema de Impacto Social, hay problemática de impacto social se debe revisar con el equipo de Rafael Fonseca</w:t>
            </w:r>
          </w:p>
        </w:tc>
      </w:tr>
    </w:tbl>
    <w:p>
      <w:pPr>
        <w:spacing w:after="40"/>
      </w:pPr>
    </w:p>
    <w:p>
      <w:pPr>
        <w:spacing w:before="260" w:after="80"/>
        <w:pBdr>
          <w:bottom w:val="single" w:sz="6" w:space="1" w:color="1E5B4F"/>
        </w:pBdr>
      </w:pPr>
      <w:r>
        <w:rPr>
          <w:rFonts w:ascii="Merriweather" w:hAnsi="Merriweather"/>
          <w:b/>
          <w:color w:val="1E5B4F"/>
          <w:sz w:val="26"/>
        </w:rPr>
        <w:t>Acuerdos y compromisos</w:t>
      </w:r>
    </w:p>
    <w:tbl>
      <w:tblPr>
        <w:tblStyle w:val="TableGrid"/>
        <w:tblW w:type="auto" w:w="0"/>
        <w:jc w:val="center"/>
        <w:tblLayout w:type="fixed"/>
        <w:tblLook w:firstColumn="1" w:firstRow="1" w:lastColumn="0" w:lastRow="0" w:noHBand="0" w:noVBand="1" w:val="04A0"/>
      </w:tblPr>
      <w:tblGrid>
        <w:gridCol w:w="2765"/>
        <w:gridCol w:w="2765"/>
        <w:gridCol w:w="2765"/>
        <w:gridCol w:w="2765"/>
        <w:gridCol w:w="2765"/>
      </w:tblGrid>
      <w:tr>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720" w:type="dxa"/>
          </w:tcPr>
          <w:p>
            <w:pPr>
              <w:jc w:val="center"/>
            </w:pPr>
            <w:r>
              <w:rPr>
                <w:rFonts w:ascii="Noto Sans" w:hAnsi="Noto Sans"/>
                <w:b/>
                <w:color w:val="FFFFFF"/>
                <w:sz w:val="16"/>
              </w:rPr>
              <w:t>N°</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6048" w:type="dxa"/>
          </w:tcPr>
          <w:p>
            <w:pPr>
              <w:jc w:val="center"/>
            </w:pPr>
            <w:r>
              <w:rPr>
                <w:rFonts w:ascii="Noto Sans" w:hAnsi="Noto Sans"/>
                <w:b/>
                <w:color w:val="FFFFFF"/>
                <w:sz w:val="16"/>
              </w:rPr>
              <w:t>ACUERDO / COMPROMISO</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3744" w:type="dxa"/>
          </w:tcPr>
          <w:p>
            <w:pPr>
              <w:jc w:val="center"/>
            </w:pPr>
            <w:r>
              <w:rPr>
                <w:rFonts w:ascii="Noto Sans" w:hAnsi="Noto Sans"/>
                <w:b/>
                <w:color w:val="FFFFFF"/>
                <w:sz w:val="16"/>
              </w:rPr>
              <w:t>RESPONSABLE</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304" w:type="dxa"/>
          </w:tcPr>
          <w:p>
            <w:pPr>
              <w:jc w:val="center"/>
            </w:pPr>
            <w:r>
              <w:rPr>
                <w:rFonts w:ascii="Noto Sans" w:hAnsi="Noto Sans"/>
                <w:b/>
                <w:color w:val="FFFFFF"/>
                <w:sz w:val="16"/>
              </w:rPr>
              <w:t>FECHA LÍMITE</w:t>
            </w:r>
          </w:p>
        </w:tc>
        <w:tc>
          <w:tcPr>
            <w:tcW w:type="dxa" w:w="2765"/>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2015" w:type="dxa"/>
          </w:tcPr>
          <w:p>
            <w:pPr>
              <w:jc w:val="center"/>
            </w:pPr>
            <w:r>
              <w:rPr>
                <w:rFonts w:ascii="Noto Sans" w:hAnsi="Noto Sans"/>
                <w:b/>
                <w:color w:val="FFFFFF"/>
                <w:sz w:val="16"/>
              </w:rPr>
              <w:t>ESTATUS</w:t>
            </w:r>
          </w:p>
        </w:tc>
      </w:tr>
      <w:tr>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1</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Entregar la propuesta técnica</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Javier Sasso Celaya (SENER/SPTE)</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30 de abril</w:t>
            </w:r>
          </w:p>
        </w:tc>
        <w:tc>
          <w:tcPr>
            <w:tcW w:type="dxa" w:w="2765"/>
            <w:shd w:val="clear" w:color="auto" w:fill="A57F2C"/>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EN PROCESO</w:t>
            </w:r>
          </w:p>
        </w:tc>
      </w:tr>
      <w:tr>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2</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Enviar la presentación de la sesión</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CFE</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r>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3</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Revisar la base de datos de proyectos</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DGMESNIE</w:t>
            </w:r>
          </w:p>
        </w:tc>
        <w:tc>
          <w:tcPr>
            <w:tcW w:type="dxa" w:w="2765"/>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r>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720" w:type="dxa"/>
          </w:tcPr>
          <w:p>
            <w:r>
              <w:rPr>
                <w:rFonts w:ascii="Noto Sans" w:hAnsi="Noto Sans"/>
                <w:b w:val="0"/>
                <w:color w:val="1A1A1A"/>
                <w:sz w:val="18"/>
              </w:rPr>
              <w:t>4</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6048" w:type="dxa"/>
          </w:tcPr>
          <w:p>
            <w:r>
              <w:rPr>
                <w:rFonts w:ascii="Noto Sans" w:hAnsi="Noto Sans"/>
                <w:b w:val="0"/>
                <w:color w:val="1A1A1A"/>
                <w:sz w:val="18"/>
              </w:rPr>
              <w:t>Validar las cifras finales</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744" w:type="dxa"/>
          </w:tcPr>
          <w:p>
            <w:r>
              <w:rPr>
                <w:rFonts w:ascii="Noto Sans" w:hAnsi="Noto Sans"/>
                <w:b w:val="0"/>
                <w:color w:val="1A1A1A"/>
                <w:sz w:val="18"/>
              </w:rPr>
              <w:t>SENER / CFE / CENACE</w:t>
            </w:r>
          </w:p>
        </w:tc>
        <w:tc>
          <w:tcPr>
            <w:tcW w:type="dxa" w:w="2765"/>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2304" w:type="dxa"/>
          </w:tcPr>
          <w:p>
            <w:r>
              <w:rPr>
                <w:rFonts w:ascii="Noto Sans" w:hAnsi="Noto Sans"/>
                <w:b w:val="0"/>
                <w:color w:val="1A1A1A"/>
                <w:sz w:val="18"/>
              </w:rPr>
              <w:t>Por definir</w:t>
            </w:r>
          </w:p>
        </w:tc>
        <w:tc>
          <w:tcPr>
            <w:tcW w:type="dxa" w:w="2765"/>
            <w:shd w:val="clear" w:color="auto" w:fill="888888"/>
            <w:tcBorders>
              <w:top w:val="single" w:sz="4" w:space="0" w:color="BBBBBB"/>
              <w:left w:val="single" w:sz="4" w:space="0" w:color="BBBBBB"/>
              <w:bottom w:val="single" w:sz="4" w:space="0" w:color="BBBBBB"/>
              <w:right w:val="single" w:sz="4" w:space="0" w:color="BBBBBB"/>
            </w:tcBorders>
            <w:tcMar>
              <w:top w:w="50" w:type="dxa"/>
              <w:bottom w:w="50" w:type="dxa"/>
              <w:left w:w="70" w:type="dxa"/>
              <w:right w:w="70" w:type="dxa"/>
            </w:tcMar>
            <w:tcW w:w="2015" w:type="dxa"/>
          </w:tcPr>
          <w:p>
            <w:pPr>
              <w:jc w:val="center"/>
            </w:pPr>
            <w:r>
              <w:rPr>
                <w:rFonts w:ascii="Noto Sans" w:hAnsi="Noto Sans"/>
                <w:b/>
                <w:color w:val="FFFFFF"/>
                <w:sz w:val="15"/>
              </w:rPr>
              <w:t>PENDIENTE</w:t>
            </w:r>
          </w:p>
        </w:tc>
      </w:tr>
    </w:tbl>
    <w:p>
      <w:pPr>
        <w:spacing w:after="40"/>
      </w:pPr>
    </w:p>
    <w:p>
      <w:pPr>
        <w:jc w:val="center"/>
      </w:pPr>
      <w:r>
        <w:rPr>
          <w:rFonts w:ascii="Noto Sans" w:hAnsi="Noto Sans"/>
          <w:b/>
          <w:color w:val="1E5B4F"/>
          <w:sz w:val="18"/>
        </w:rPr>
        <w:t>Semáforo de compromisos</w:t>
      </w:r>
    </w:p>
    <w:p>
      <w:pPr>
        <w:jc w:val="center"/>
      </w:pPr>
      <w:r>
        <w:drawing>
          <wp:inline xmlns:a="http://schemas.openxmlformats.org/drawingml/2006/main" xmlns:pic="http://schemas.openxmlformats.org/drawingml/2006/picture">
            <wp:extent cx="8229600" cy="2611315"/>
            <wp:docPr id="1" name="Picture 1"/>
            <wp:cNvGraphicFramePr>
              <a:graphicFrameLocks noChangeAspect="1"/>
            </wp:cNvGraphicFramePr>
            <a:graphic>
              <a:graphicData uri="http://schemas.openxmlformats.org/drawingml/2006/picture">
                <pic:pic>
                  <pic:nvPicPr>
                    <pic:cNvPr id="0" name="_sem_tmp.png"/>
                    <pic:cNvPicPr/>
                  </pic:nvPicPr>
                  <pic:blipFill>
                    <a:blip r:embed="rId11"/>
                    <a:stretch>
                      <a:fillRect/>
                    </a:stretch>
                  </pic:blipFill>
                  <pic:spPr>
                    <a:xfrm>
                      <a:off x="0" y="0"/>
                      <a:ext cx="8229600" cy="2611315"/>
                    </a:xfrm>
                    <a:prstGeom prst="rect"/>
                  </pic:spPr>
                </pic:pic>
              </a:graphicData>
            </a:graphic>
          </wp:inline>
        </w:drawing>
      </w:r>
    </w:p>
    <w:p>
      <w:pPr>
        <w:spacing w:before="260" w:after="80"/>
        <w:pBdr>
          <w:bottom w:val="single" w:sz="6" w:space="1" w:color="1E5B4F"/>
        </w:pBdr>
      </w:pPr>
      <w:r>
        <w:rPr>
          <w:rFonts w:ascii="Merriweather" w:hAnsi="Merriweather"/>
          <w:b/>
          <w:color w:val="1E5B4F"/>
          <w:sz w:val="26"/>
        </w:rPr>
        <w:t>Riesgos y bloqueos</w:t>
      </w:r>
    </w:p>
    <w:tbl>
      <w:tblPr>
        <w:tblStyle w:val="TableGrid"/>
        <w:tblW w:type="auto" w:w="0"/>
        <w:tblLook w:firstColumn="1" w:firstRow="1" w:lastColumn="0" w:lastRow="0" w:noHBand="0" w:noVBand="1" w:val="04A0"/>
      </w:tblPr>
      <w:tblGrid>
        <w:gridCol w:w="13824"/>
      </w:tblGrid>
      <w:tr>
        <w:tc>
          <w:tcPr>
            <w:tcW w:type="dxa" w:w="13824"/>
            <w:shd w:val="clear" w:color="auto" w:fill="FEF2F4"/>
            <w:tcMar>
              <w:top w:w="90" w:type="dxa"/>
              <w:bottom w:w="90" w:type="dxa"/>
              <w:left w:w="130" w:type="dxa"/>
              <w:right w:w="110" w:type="dxa"/>
            </w:tcMar>
            <w:tcBorders>
              <w:left w:val="single" w:sz="24" w:space="0" w:color="9B2247"/>
              <w:top w:val="none"/>
              <w:bottom w:val="none"/>
              <w:right w:val="none"/>
            </w:tcBorders>
          </w:tcPr>
          <w:p>
            <w:r>
              <w:rPr>
                <w:rFonts w:ascii="Noto Sans" w:hAnsi="Noto Sans"/>
                <w:b/>
                <w:color w:val="9B2247"/>
                <w:sz w:val="18"/>
              </w:rPr>
              <w:t xml:space="preserve">⚑  Riesgo: </w:t>
            </w:r>
            <w:r>
              <w:rPr>
                <w:rFonts w:ascii="Noto Sans" w:hAnsi="Noto Sans"/>
                <w:b w:val="0"/>
                <w:color w:val="1A1A1A"/>
                <w:sz w:val="19"/>
              </w:rPr>
              <w:t>Falta información de otra área para cerrar la lista.</w:t>
            </w:r>
          </w:p>
        </w:tc>
      </w:tr>
    </w:tbl>
    <w:p>
      <w:pPr>
        <w:spacing w:after="40"/>
      </w:pPr>
    </w:p>
    <w:tbl>
      <w:tblPr>
        <w:tblStyle w:val="TableGrid"/>
        <w:tblW w:type="auto" w:w="0"/>
        <w:tblLook w:firstColumn="1" w:firstRow="1" w:lastColumn="0" w:lastRow="0" w:noHBand="0" w:noVBand="1" w:val="04A0"/>
      </w:tblPr>
      <w:tblGrid>
        <w:gridCol w:w="13824"/>
      </w:tblGrid>
      <w:tr>
        <w:tc>
          <w:tcPr>
            <w:tcW w:type="dxa" w:w="13824"/>
            <w:shd w:val="clear" w:color="auto" w:fill="FEF2F4"/>
            <w:tcMar>
              <w:top w:w="90" w:type="dxa"/>
              <w:bottom w:w="90" w:type="dxa"/>
              <w:left w:w="130" w:type="dxa"/>
              <w:right w:w="110" w:type="dxa"/>
            </w:tcMar>
            <w:tcBorders>
              <w:left w:val="single" w:sz="24" w:space="0" w:color="9B2247"/>
              <w:top w:val="none"/>
              <w:bottom w:val="none"/>
              <w:right w:val="none"/>
            </w:tcBorders>
          </w:tcPr>
          <w:p>
            <w:r>
              <w:rPr>
                <w:rFonts w:ascii="Noto Sans" w:hAnsi="Noto Sans"/>
                <w:b/>
                <w:color w:val="9B2247"/>
                <w:sz w:val="18"/>
              </w:rPr>
              <w:t xml:space="preserve">⚑  Riesgo: </w:t>
            </w:r>
            <w:r>
              <w:rPr>
                <w:rFonts w:ascii="Noto Sans" w:hAnsi="Noto Sans"/>
                <w:b w:val="0"/>
                <w:color w:val="1A1A1A"/>
                <w:sz w:val="19"/>
              </w:rPr>
              <w:t>Pendiente el visto bueno jurídico (sustento normativo de la participación de CFE).</w:t>
            </w:r>
          </w:p>
        </w:tc>
      </w:tr>
    </w:tbl>
    <w:p>
      <w:pPr>
        <w:spacing w:after="40"/>
      </w:pPr>
    </w:p>
    <w:p>
      <w:pPr>
        <w:spacing w:before="260" w:after="80"/>
        <w:pBdr>
          <w:bottom w:val="single" w:sz="6" w:space="1" w:color="1E5B4F"/>
        </w:pBdr>
      </w:pPr>
      <w:r>
        <w:rPr>
          <w:rFonts w:ascii="Merriweather" w:hAnsi="Merriweather"/>
          <w:b/>
          <w:color w:val="1E5B4F"/>
          <w:sz w:val="26"/>
        </w:rPr>
        <w:t>Decisiones relevantes</w:t>
      </w:r>
    </w:p>
    <w:p>
      <w:pPr>
        <w:spacing w:after="60"/>
        <w:ind w:left="360"/>
      </w:pPr>
      <w:r>
        <w:rPr>
          <w:rFonts w:ascii="Noto Sans" w:hAnsi="Noto Sans"/>
          <w:b/>
          <w:color w:val="1E5B4F"/>
          <w:sz w:val="21"/>
        </w:rPr>
        <w:t xml:space="preserve">•  </w:t>
      </w:r>
      <w:r>
        <w:rPr>
          <w:rFonts w:ascii="Noto Sans" w:hAnsi="Noto Sans"/>
          <w:b w:val="0"/>
          <w:color w:val="1A1A1A"/>
          <w:sz w:val="21"/>
        </w:rPr>
        <w:t>Se aprueba la fase 1 de la preselección técnica.</w:t>
      </w:r>
    </w:p>
    <w:p>
      <w:pPr>
        <w:spacing w:after="60"/>
        <w:ind w:left="360"/>
      </w:pPr>
      <w:r>
        <w:rPr>
          <w:rFonts w:ascii="Noto Sans" w:hAnsi="Noto Sans"/>
          <w:b/>
          <w:color w:val="1E5B4F"/>
          <w:sz w:val="21"/>
        </w:rPr>
        <w:t xml:space="preserve">•  </w:t>
      </w:r>
      <w:r>
        <w:rPr>
          <w:rFonts w:ascii="Noto Sans" w:hAnsi="Noto Sans"/>
          <w:b w:val="0"/>
          <w:color w:val="1A1A1A"/>
          <w:sz w:val="21"/>
        </w:rPr>
        <w:t>Se pospone el módulo geoespacial.</w:t>
      </w:r>
    </w:p>
    <w:p>
      <w:pPr>
        <w:spacing w:before="260" w:after="80"/>
        <w:pBdr>
          <w:bottom w:val="single" w:sz="6" w:space="1" w:color="1E5B4F"/>
        </w:pBdr>
      </w:pPr>
      <w:r>
        <w:rPr>
          <w:rFonts w:ascii="Merriweather" w:hAnsi="Merriweather"/>
          <w:b/>
          <w:color w:val="1E5B4F"/>
          <w:sz w:val="26"/>
        </w:rPr>
        <w:t>Próxima reunión</w:t>
      </w:r>
    </w:p>
    <w:tbl>
      <w:tblPr>
        <w:tblStyle w:val="TableGrid"/>
        <w:tblW w:type="auto" w:w="0"/>
        <w:jc w:val="center"/>
        <w:tblLayout w:type="fixed"/>
        <w:tblLook w:firstColumn="1" w:firstRow="1" w:lastColumn="0" w:lastRow="0" w:noHBand="0" w:noVBand="1" w:val="04A0"/>
      </w:tblPr>
      <w:tblGrid>
        <w:gridCol w:w="6912"/>
        <w:gridCol w:w="6912"/>
      </w:tblGrid>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Fecha tentativa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Por definir</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Temas propuestos</w:t>
            </w:r>
          </w:p>
        </w:tc>
        <w:tc>
          <w:tcPr>
            <w:tcW w:type="dxa" w:w="6912"/>
            <w:shd w:val="clear" w:color="auto" w:fill="F6F3F4"/>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Cierre de la lista tras el cruce de impacto social (equipo de Rafael Fonseca); redes asociadas</w:t>
            </w:r>
          </w:p>
        </w:tc>
      </w:tr>
      <w:tr>
        <w:tc>
          <w:tcPr>
            <w:tcW w:type="dxa" w:w="6912"/>
            <w:shd w:val="clear" w:color="auto" w:fill="EAF0EE"/>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3456" w:type="dxa"/>
          </w:tcPr>
          <w:p>
            <w:r>
              <w:rPr>
                <w:rFonts w:ascii="Noto Sans" w:hAnsi="Noto Sans"/>
                <w:b/>
                <w:color w:val="1A1A1A"/>
                <w:sz w:val="20"/>
              </w:rPr>
              <w:t>Responsable de convocatoria</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10080" w:type="dxa"/>
          </w:tcPr>
          <w:p>
            <w:r>
              <w:rPr>
                <w:rFonts w:ascii="Noto Sans" w:hAnsi="Noto Sans"/>
                <w:b w:val="0"/>
                <w:color w:val="1A1A1A"/>
                <w:sz w:val="20"/>
              </w:rPr>
              <w:t>Claudia Marcela Meza Vega</w:t>
            </w:r>
          </w:p>
        </w:tc>
      </w:tr>
    </w:tbl>
    <w:p>
      <w:pPr>
        <w:spacing w:after="40"/>
      </w:pPr>
    </w:p>
    <w:p>
      <w:pPr>
        <w:spacing w:before="260" w:after="80"/>
        <w:pBdr>
          <w:bottom w:val="single" w:sz="6" w:space="1" w:color="1E5B4F"/>
        </w:pBdr>
      </w:pPr>
      <w:r>
        <w:rPr>
          <w:rFonts w:ascii="Merriweather" w:hAnsi="Merriweather"/>
          <w:b/>
          <w:color w:val="1E5B4F"/>
          <w:sz w:val="26"/>
        </w:rPr>
        <w:t>Validación</w:t>
      </w:r>
    </w:p>
    <w:tbl>
      <w:tblPr>
        <w:tblStyle w:val="TableGrid"/>
        <w:tblW w:type="auto" w:w="0"/>
        <w:jc w:val="center"/>
        <w:tblLayout w:type="fixed"/>
        <w:tblLook w:firstColumn="1" w:firstRow="1" w:lastColumn="0" w:lastRow="0" w:noHBand="0" w:noVBand="1" w:val="04A0"/>
      </w:tblPr>
      <w:tblGrid>
        <w:gridCol w:w="4608"/>
        <w:gridCol w:w="4608"/>
        <w:gridCol w:w="4608"/>
      </w:tblGrid>
      <w:tr>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320" w:type="dxa"/>
          </w:tcPr>
          <w:p>
            <w:pPr>
              <w:jc w:val="center"/>
            </w:pPr>
            <w:r>
              <w:rPr>
                <w:rFonts w:ascii="Noto Sans" w:hAnsi="Noto Sans"/>
                <w:b/>
                <w:color w:val="FFFFFF"/>
                <w:sz w:val="17"/>
              </w:rPr>
              <w:t>ELABORÓ</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320" w:type="dxa"/>
          </w:tcPr>
          <w:p>
            <w:pPr>
              <w:jc w:val="center"/>
            </w:pPr>
            <w:r>
              <w:rPr>
                <w:rFonts w:ascii="Noto Sans" w:hAnsi="Noto Sans"/>
                <w:b/>
                <w:color w:val="FFFFFF"/>
                <w:sz w:val="17"/>
              </w:rPr>
              <w:t>REVISÓ</w:t>
            </w:r>
          </w:p>
        </w:tc>
        <w:tc>
          <w:tcPr>
            <w:tcW w:type="dxa" w:w="4608"/>
            <w:shd w:val="clear" w:color="auto" w:fill="1E5B4F"/>
            <w:tcBorders>
              <w:top w:val="single" w:sz="4" w:space="0" w:color="BBBBBB"/>
              <w:left w:val="single" w:sz="4" w:space="0" w:color="BBBBBB"/>
              <w:bottom w:val="single" w:sz="4" w:space="0" w:color="BBBBBB"/>
              <w:right w:val="single" w:sz="4" w:space="0" w:color="BBBBBB"/>
            </w:tcBorders>
            <w:tcMar>
              <w:top w:w="70" w:type="dxa"/>
              <w:bottom w:w="70" w:type="dxa"/>
              <w:left w:w="90" w:type="dxa"/>
              <w:right w:w="90" w:type="dxa"/>
            </w:tcMar>
            <w:tcW w:w="4464" w:type="dxa"/>
          </w:tcPr>
          <w:p>
            <w:pPr>
              <w:jc w:val="center"/>
            </w:pPr>
            <w:r>
              <w:rPr>
                <w:rFonts w:ascii="Noto Sans" w:hAnsi="Noto Sans"/>
                <w:b/>
                <w:color w:val="FFFFFF"/>
                <w:sz w:val="17"/>
              </w:rPr>
              <w:t>VISTO BUENO</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320" w:type="dxa"/>
          </w:tcPr>
          <w:p>
            <w:r>
              <w:rPr>
                <w:rFonts w:ascii="Noto Sans" w:hAnsi="Noto Sans"/>
                <w:b w:val="0"/>
                <w:color w:val="1A1A1A"/>
                <w:sz w:val="19"/>
              </w:rPr>
              <w:t>DGMESNIE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320" w:type="dxa"/>
          </w:tcPr>
          <w:p>
            <w:r>
              <w:rPr>
                <w:rFonts w:ascii="Noto Sans" w:hAnsi="Noto Sans"/>
                <w:b w:val="0"/>
                <w:color w:val="1A1A1A"/>
                <w:sz w:val="19"/>
              </w:rPr>
              <w:t>Gabriela Aparicio Rangel (CFE)</w:t>
            </w:r>
          </w:p>
        </w:tc>
        <w:tc>
          <w:tcPr>
            <w:tcW w:type="dxa" w:w="4608"/>
            <w:shd w:val="clear" w:color="auto" w:fill="FFFFFF"/>
            <w:tcBorders>
              <w:top w:val="single" w:sz="4" w:space="0" w:color="DDDDDD"/>
              <w:left w:val="single" w:sz="4" w:space="0" w:color="DDDDDD"/>
              <w:bottom w:val="single" w:sz="4" w:space="0" w:color="DDDDDD"/>
              <w:right w:val="single" w:sz="4" w:space="0" w:color="DDDDDD"/>
            </w:tcBorders>
            <w:tcMar>
              <w:top w:w="50" w:type="dxa"/>
              <w:bottom w:w="50" w:type="dxa"/>
              <w:left w:w="90" w:type="dxa"/>
              <w:right w:w="90" w:type="dxa"/>
            </w:tcMar>
            <w:tcW w:w="4464" w:type="dxa"/>
          </w:tcPr>
          <w:p>
            <w:r>
              <w:rPr>
                <w:rFonts w:ascii="Noto Sans" w:hAnsi="Noto Sans"/>
                <w:b w:val="0"/>
                <w:color w:val="1A1A1A"/>
                <w:sz w:val="19"/>
              </w:rPr>
              <w:t>Claudia Marcela Meza Vega (SENER)</w:t>
            </w:r>
          </w:p>
        </w:tc>
      </w:tr>
    </w:tbl>
    <w:p>
      <w:pPr>
        <w:spacing w:after="40"/>
      </w:pPr>
    </w:p>
    <w:sectPr w:rsidR="00FC693F" w:rsidRPr="0006063C" w:rsidSect="00034616">
      <w:headerReference w:type="default" r:id="rId9"/>
      <w:footerReference w:type="default" r:id="rId10"/>
      <w:pgSz w:w="15840" w:h="12240" w:orient="landscape"/>
      <w:pgMar w:top="1296"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b w:val="0"/>
        <w:color w:val="787878"/>
        <w:sz w:val="15"/>
      </w:rPr>
      <w:t>Av. Insurgentes, Número 20, Glorieta de Insurgentes, Col. Roma Norte, C.P. 06700, Alcaldía Cuauhtémoc, CDMX.  |  Tel: (55) 5000 6000  |  www.gob.mx/sener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1E5B4F"/>
        <w:sz w:val="18"/>
      </w:rPr>
      <w:t>Secretaría de Energía  ·  Gobierno de México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