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top w:val="single" w:sz="18" w:space="1" w:color="1E5B4F"/>
        </w:pBdr>
      </w:pPr>
    </w:p>
    <w:p>
      <w:pPr>
        <w:spacing w:before="200" w:after="40"/>
        <w:jc w:val="center"/>
      </w:pPr>
      <w:r>
        <w:rPr>
          <w:rFonts w:ascii="Noto Sans" w:hAnsi="Noto Sans"/>
          <w:b/>
          <w:caps/>
          <w:color w:val="1E5B4F"/>
          <w:sz w:val="17"/>
        </w:rPr>
        <w:t>MINUTA DE REUNIÓN</w:t>
      </w:r>
    </w:p>
    <w:p>
      <w:pPr>
        <w:spacing w:after="60"/>
        <w:jc w:val="center"/>
      </w:pPr>
      <w:r>
        <w:rPr>
          <w:rFonts w:ascii="Merriweather" w:hAnsi="Merriweather"/>
          <w:b/>
          <w:color w:val="1E5B4F"/>
          <w:sz w:val="32"/>
        </w:rPr>
        <w:t>Minuta — Preselección técnica de proyectos GCR Noreste</w:t>
      </w:r>
    </w:p>
    <w:p>
      <w:pPr>
        <w:spacing w:after="240"/>
        <w:jc w:val="center"/>
        <w:pBdr>
          <w:bottom w:val="single" w:sz="6" w:space="4" w:color="1E5B4F"/>
        </w:pBdr>
      </w:pPr>
      <w:r>
        <w:rPr>
          <w:rFonts w:ascii="Noto Sans" w:hAnsi="Noto Sans"/>
          <w:b w:val="0"/>
          <w:color w:val="646464"/>
          <w:sz w:val="20"/>
        </w:rPr>
        <w:t>Segunda Convocatoria a Particulares · Preselección técnica de proyectos</w:t>
      </w: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Identificación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Órgano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Gerencia de Control Regional Noreste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Tipo de reunión</w:t>
            </w:r>
          </w:p>
        </w:tc>
        <w:tc>
          <w:tcPr>
            <w:tcW w:type="dxa" w:w="6912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Preselección técnica de proyectos (criterios técnicos, sociales y ambientales)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Fecha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16 de junio de 2026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Modalidad</w:t>
            </w:r>
          </w:p>
        </w:tc>
        <w:tc>
          <w:tcPr>
            <w:tcW w:type="dxa" w:w="6912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Reunión de Microsoft Teams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Convocante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Claudia Marcela Meza Vega (SENER)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Elaboró la minuta</w:t>
            </w:r>
          </w:p>
        </w:tc>
        <w:tc>
          <w:tcPr>
            <w:tcW w:type="dxa" w:w="6912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DGMESNIE — Unidad del Sistema Nacional de Información Energética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Asistentes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446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4608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7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CARGO</w:t>
            </w:r>
          </w:p>
        </w:tc>
        <w:tc>
          <w:tcPr>
            <w:tcW w:type="dxa" w:w="4608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88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ÁREA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Claudia Marcela Meza Vega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Convocante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SENER</w:t>
            </w:r>
          </w:p>
        </w:tc>
      </w:tr>
      <w:tr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Javier Sasso Celaya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SENER (SPTE)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Raúl Adame Ortiz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SENER (SPTE)</w:t>
            </w:r>
          </w:p>
        </w:tc>
      </w:tr>
      <w:tr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Gabriela Aparicio Rangel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Gerónimo Ramírez Popo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</w:tr>
      <w:tr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José María Rivera Fosado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Luis Enrique Ángeles Cervantes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</w:tr>
      <w:tr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Pedro Guillermo Padrón Alvarado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Víctor Nolasco Miguel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CFE</w:t>
            </w:r>
          </w:p>
        </w:tc>
      </w:tr>
      <w:tr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Alí Gervacio Hernández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Pedro Martín Rubio Orozco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</w:tr>
      <w:tr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Ramón Heberto Huereca Leyva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Raúl García Kasusky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</w:tr>
      <w:tr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Rubén Martínez Alonso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CENACE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Marian Olvera Lucas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Daniel Díaz López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Edder Tuxpan Salazar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Jassiel Misael Campos Martínez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José De La Cruz Figueroa Chan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736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880" w:type="dxa"/>
          </w:tcPr>
          <w:p>
            <w:r>
              <w:rPr>
                <w:rFonts w:ascii="Noto Sans" w:hAnsi="Noto Sans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Orden del día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Revisión de los proyectos preseleccionados de la Gerencia de Control Regional Noreste.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Criterios de cercanía a la carga y saturación de los corredores de salida.</w:t>
      </w: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Desarrollo de la reunión</w:t>
      </w:r>
    </w:p>
    <w:p>
      <w:pPr>
        <w:spacing w:before="160" w:after="80"/>
      </w:pPr>
      <w:r>
        <w:rPr>
          <w:rFonts w:ascii="Merriweather" w:hAnsi="Merriweather"/>
          <w:b/>
          <w:color w:val="1E5B4F"/>
          <w:sz w:val="22"/>
        </w:rPr>
        <w:t>1. Contexto de la región</w:t>
      </w:r>
    </w:p>
    <w:p>
      <w:pPr>
        <w:spacing w:after="120"/>
      </w:pPr>
      <w:r>
        <w:rPr>
          <w:rFonts w:ascii="Noto Sans" w:hAnsi="Noto Sans"/>
          <w:b w:val="0"/>
          <w:color w:val="1A1A1A"/>
          <w:sz w:val="21"/>
        </w:rPr>
        <w:t>La región Noreste es actualmente superavitaria: en el esquema mixto se agregaron del orden de 4,000 MW en la zona de Reynosa. El criterio acordado fue seleccionar el menor número de proyectos posible, cercanos a la carga e interconectados en 115/138 kV, evitando saturar los corredores de salida (230/400 kV) y la energía embotellada.</w:t>
      </w:r>
    </w:p>
    <w:p>
      <w:pPr>
        <w:spacing w:before="160" w:after="80"/>
      </w:pPr>
      <w:r>
        <w:rPr>
          <w:rFonts w:ascii="Merriweather" w:hAnsi="Merriweather"/>
          <w:b/>
          <w:color w:val="1E5B4F"/>
          <w:sz w:val="22"/>
        </w:rPr>
        <w:t>2. Proyectos preseleccionados</w:t>
      </w:r>
    </w:p>
    <w:p>
      <w:pPr>
        <w:spacing w:after="120"/>
      </w:pPr>
      <w:r>
        <w:rPr>
          <w:rFonts w:ascii="Noto Sans" w:hAnsi="Noto Sans"/>
          <w:b w:val="0"/>
          <w:color w:val="1A1A1A"/>
          <w:sz w:val="21"/>
        </w:rPr>
        <w:t xml:space="preserve">Se preseleccionaron seis proyectos, que se enviarán al área de estudios ambientales de SENER para verificar su problemática social. Gómez Farías y El Gorrión son </w:t>
      </w:r>
      <w:r>
        <w:rPr>
          <w:rFonts w:ascii="Noto Sans" w:hAnsi="Noto Sans"/>
          <w:b/>
          <w:color w:val="1A1A1A"/>
          <w:sz w:val="21"/>
        </w:rPr>
        <w:t>mutuamente excluyentes</w:t>
      </w:r>
      <w:r>
        <w:rPr>
          <w:rFonts w:ascii="Noto Sans" w:hAnsi="Noto Sans"/>
          <w:b w:val="0"/>
          <w:color w:val="1A1A1A"/>
          <w:sz w:val="21"/>
        </w:rPr>
        <w:t xml:space="preserve"> (procede uno u otro, según la mejor propuesta/PPA); el resto se interconecta cerca de la carga: Santos (entronque Anáhuac–Ciudad Industrial, Nuevo Laredo), Barajas Solar (SE Frontera 115 kV), Aurora I (SE Nadadores, convive con Barajas) y Central Fotovoltaica Horcones (zona metropolitana de Monterrey). La capacidad preseleccionada es del orden de 409 MW considerando la exclusión mutua.</w:t>
      </w:r>
    </w:p>
    <w:p>
      <w:pPr>
        <w:spacing w:before="160" w:after="80"/>
      </w:pPr>
      <w:r>
        <w:rPr>
          <w:rFonts w:ascii="Merriweather" w:hAnsi="Merriweather"/>
          <w:b/>
          <w:color w:val="1E5B4F"/>
          <w:sz w:val="22"/>
        </w:rPr>
        <w:t>3. Proyectos no incorporados</w:t>
      </w:r>
    </w:p>
    <w:p>
      <w:pPr>
        <w:spacing w:after="120"/>
      </w:pPr>
      <w:r>
        <w:rPr>
          <w:rFonts w:ascii="Noto Sans" w:hAnsi="Noto Sans"/>
          <w:b w:val="0"/>
          <w:color w:val="1A1A1A"/>
          <w:sz w:val="21"/>
        </w:rPr>
        <w:t>Agua Nueva (415 MW) se descarta por ser una capacidad excesiva para interconectarse en 115 kV. PV Tulillo se descarta por su cercanía a corredores saturados (estaba registrado de forma incorrecta en la región Norte). Coyote Solar (200 MW, interconexión en Río Escondido 138 kV) queda pendiente: CENACE no estuvo de acuerdo y se acordó darle otra vuelta para confirmar.</w:t>
      </w: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Resumen de la votación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Proyectos revisados: 9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Continúan: 6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No continúan: 2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Pendientes: 1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Capacidad preseleccionada (contratada, bruta): 509.1 MW</w:t>
      </w:r>
    </w:p>
    <w:p>
      <w:pPr>
        <w:spacing w:after="60"/>
        <w:ind w:left="360"/>
      </w:pPr>
      <w:r>
        <w:rPr>
          <w:rFonts w:ascii="Noto Sans" w:hAnsi="Noto Sans"/>
          <w:b/>
          <w:color w:val="1E5B4F"/>
          <w:sz w:val="21"/>
        </w:rPr>
        <w:t xml:space="preserve">•  </w:t>
      </w:r>
      <w:r>
        <w:rPr>
          <w:rFonts w:ascii="Noto Sans" w:hAnsi="Noto Sans"/>
          <w:b w:val="0"/>
          <w:color w:val="1A1A1A"/>
          <w:sz w:val="21"/>
        </w:rPr>
        <w:t>Capacidad preseleccionada neta estimada (con excluyente Gómez Farías / El Gorrión): ~409 MW</w:t>
      </w: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Resultados por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65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PROYECTO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368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FOLIO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94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GIE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22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TECNOLOGÍA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232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PUNTO DE INTERCONEXIÓN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72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MW CONTR.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72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MW NETA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DECISIÓN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232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4"/>
              </w:rPr>
              <w:t>MOTIVO / COMENTARIOS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AURORA I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VUPE-C2-0540-2026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VIVA EL SOL F1, S.A.P.I. DE C.V.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SE NADADORES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10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10.13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CONTINÚA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[Pedro Martín Rubio Orozco]: Continúa, no cumple con los requisitos de la convocatoria pero por el punto de interconexión que están solicitando se pone a consideración</w:t>
            </w:r>
          </w:p>
        </w:tc>
      </w:tr>
      <w:tr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BARAJAS SOLAR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VUPE-C2-0469-2026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PROGRESSUM ENERGY DEVELOPMENTS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SE FRONTERA 115 KV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100.2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100.2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CONTINÚA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[Pedro Martín Rubio Orozco]: Continúa, no cumple con los requisitos de la convocatoria pero por el punto de interconexión que están solicitando se pone a consideración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CENTRAL FOTOVOLTAICA HORCONES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VUPE-C2-0641-2026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GENERACIÓN DE ENERGÍA ELÉCTRICA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SE PRESA EL CUCHILLO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99.9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119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CONTINÚA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[Pedro Martín Rubio Orozco]: Continúa, es el único que cumple con los requisitos de la convocatoria</w:t>
            </w:r>
          </w:p>
        </w:tc>
      </w:tr>
      <w:tr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el gorrion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VUPE-C2-0601-2026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TUSAE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LT SALTILLO-CONCEPCION DEL ORO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100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100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CONTINÚA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Seleccionado. Excluyente con Gómez Farías. Registro incorrecto en VUPE bajo la región Norte.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GOMEZ FARIAS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VUPE-C2-0555-2026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ALJAVAL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LT 115 kV CONCEPCION DEL ORO-73620-AGUA NUEVA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99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99.27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CONTINÚA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Seleccionado. Excluyente con El Gorrión (procede uno u otro según la mejor propuesta/PPA).</w:t>
            </w:r>
          </w:p>
        </w:tc>
      </w:tr>
      <w:tr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SANTOS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VUPE-C2-0629-2026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GREENDAT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LT CIUDAD INDUSTRIAL-ANAHUAC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100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100</w:t>
            </w:r>
          </w:p>
        </w:tc>
        <w:tc>
          <w:tcPr>
            <w:tcW w:type="dxa" w:w="1536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CONTINÚA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[José María Rivera Fonseca]: Continúa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COYOTE SOLAR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VUPE-C2-0613-2026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ATLAS RENEWABLE ENERGY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SE RIO ESCONDIDO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200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209</w:t>
            </w:r>
          </w:p>
        </w:tc>
        <w:tc>
          <w:tcPr>
            <w:tcW w:type="dxa" w:w="1536"/>
            <w:shd w:val="clear" w:color="auto" w:fill="A57F2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PENDIENTE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🕑 CENACE no estuvo de acuerdo; queda pendiente de otra vuelta para confirmar (interconexión Río Escondido 138 kV).</w:t>
            </w:r>
          </w:p>
        </w:tc>
      </w:tr>
      <w:tr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FV AGUA NUEVA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VUPE-C2-0307-2026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IBERDROLA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DERRAMADERO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415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415</w:t>
            </w:r>
          </w:p>
        </w:tc>
        <w:tc>
          <w:tcPr>
            <w:tcW w:type="dxa" w:w="1536"/>
            <w:shd w:val="clear" w:color="auto" w:fill="9B224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NO CONTINÚA</w:t>
            </w:r>
          </w:p>
        </w:tc>
        <w:tc>
          <w:tcPr>
            <w:tcW w:type="dxa" w:w="1536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⛔ Capacidad de 415 MW excesiva para interconexión en 115 kV; se descarta.</w:t>
            </w:r>
          </w:p>
        </w:tc>
      </w:tr>
      <w:tr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655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PV TULILLO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368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VUPE-C2-0400-2026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94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ATLANTICA RENEWABLE POWER MEXICO S DE RL DE CV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224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SOLAR FOTOVOLTAICA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Línea Monclova – La Rosita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290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290</w:t>
            </w:r>
          </w:p>
        </w:tc>
        <w:tc>
          <w:tcPr>
            <w:tcW w:type="dxa" w:w="1536"/>
            <w:shd w:val="clear" w:color="auto" w:fill="9B224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1036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3"/>
              </w:rPr>
              <w:t>NO CONTINÚA</w:t>
            </w:r>
          </w:p>
        </w:tc>
        <w:tc>
          <w:tcPr>
            <w:tcW w:type="dxa" w:w="1536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232" w:type="dxa"/>
          </w:tcPr>
          <w:p>
            <w:r>
              <w:rPr>
                <w:rFonts w:ascii="Noto Sans" w:hAnsi="Noto Sans"/>
                <w:b w:val="0"/>
                <w:color w:val="1A1A1A"/>
                <w:sz w:val="16"/>
              </w:rPr>
              <w:t>⛔ Se descarta por cercanía a corredores saturados; registro incorrecto en Norte.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824"/>
            <w:shd w:val="clear" w:color="auto" w:fill="F0F5F4"/>
            <w:tcMar>
              <w:top w:w="90" w:type="dxa"/>
              <w:bottom w:w="90" w:type="dxa"/>
              <w:left w:w="130" w:type="dxa"/>
              <w:right w:w="110" w:type="dxa"/>
            </w:tcMar>
            <w:tcBorders>
              <w:left w:val="single" w:sz="24" w:space="0" w:color="1E5B4F"/>
              <w:top w:val="none"/>
              <w:bottom w:val="none"/>
              <w:right w:val="none"/>
            </w:tcBorders>
          </w:tcPr>
          <w:p>
            <w:r>
              <w:rPr>
                <w:rFonts w:ascii="Noto Sans" w:hAnsi="Noto Sans"/>
                <w:b/>
                <w:color w:val="1E5B4F"/>
                <w:sz w:val="18"/>
              </w:rPr>
              <w:t xml:space="preserve">◆  Definicion: </w:t>
            </w:r>
            <w:r>
              <w:rPr>
                <w:rFonts w:ascii="Noto Sans" w:hAnsi="Noto Sans"/>
                <w:b w:val="0"/>
                <w:color w:val="1A1A1A"/>
                <w:sz w:val="19"/>
              </w:rPr>
              <w:t>Gómez Farías y El Gorrión son proyectos mutuamente excluyentes: procede uno u otro según la mejor propuesta (PPA).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824"/>
            <w:shd w:val="clear" w:color="auto" w:fill="FEF2F4"/>
            <w:tcMar>
              <w:top w:w="90" w:type="dxa"/>
              <w:bottom w:w="90" w:type="dxa"/>
              <w:left w:w="130" w:type="dxa"/>
              <w:right w:w="110" w:type="dxa"/>
            </w:tcMar>
            <w:tcBorders>
              <w:left w:val="single" w:sz="24" w:space="0" w:color="9B2247"/>
              <w:top w:val="none"/>
              <w:bottom w:val="none"/>
              <w:right w:val="none"/>
            </w:tcBorders>
          </w:tcPr>
          <w:p>
            <w:r>
              <w:rPr>
                <w:rFonts w:ascii="Noto Sans" w:hAnsi="Noto Sans"/>
                <w:b/>
                <w:color w:val="9B2247"/>
                <w:sz w:val="18"/>
              </w:rPr>
              <w:t xml:space="preserve">⚑  Riesgo: </w:t>
            </w:r>
            <w:r>
              <w:rPr>
                <w:rFonts w:ascii="Noto Sans" w:hAnsi="Noto Sans"/>
                <w:b w:val="0"/>
                <w:color w:val="1A1A1A"/>
                <w:sz w:val="19"/>
              </w:rPr>
              <w:t>Coyote Solar: el registro del Sheet lo marca como «No continúa», pero en la sesión quedó pendiente por desacuerdo de CENACE. Conciliar antes de cerrar.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765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72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N°</w:t>
            </w:r>
          </w:p>
        </w:tc>
        <w:tc>
          <w:tcPr>
            <w:tcW w:type="dxa" w:w="2765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6048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ACUERDO / COMPROMISO</w:t>
            </w:r>
          </w:p>
        </w:tc>
        <w:tc>
          <w:tcPr>
            <w:tcW w:type="dxa" w:w="2765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374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765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30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FECHA LÍMITE</w:t>
            </w:r>
          </w:p>
        </w:tc>
        <w:tc>
          <w:tcPr>
            <w:tcW w:type="dxa" w:w="2765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201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6"/>
              </w:rPr>
              <w:t>ESTATUS</w:t>
            </w:r>
          </w:p>
        </w:tc>
      </w:tr>
      <w:tr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6048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Elaborar la minuta de la sesión y conciliarla con SENER/CENACE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74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CFE (Gerencia Noreste)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30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Por definir</w:t>
            </w:r>
          </w:p>
        </w:tc>
        <w:tc>
          <w:tcPr>
            <w:tcW w:type="dxa" w:w="2765"/>
            <w:shd w:val="clear" w:color="auto" w:fill="A57F2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201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EN PROCESO</w:t>
            </w:r>
          </w:p>
        </w:tc>
      </w:tr>
      <w:tr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6048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Enviar los proyectos preseleccionados al área de estudios ambientales de SENER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74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DGMESNIE / SENER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30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Por definir</w:t>
            </w:r>
          </w:p>
        </w:tc>
        <w:tc>
          <w:tcPr>
            <w:tcW w:type="dxa" w:w="2765"/>
            <w:shd w:val="clear" w:color="auto" w:fill="88888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201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PENDIENTE</w:t>
            </w:r>
          </w:p>
        </w:tc>
      </w:tr>
      <w:tr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6048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Compartir la base de datos con la selección final por región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74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CFE</w:t>
            </w:r>
          </w:p>
        </w:tc>
        <w:tc>
          <w:tcPr>
            <w:tcW w:type="dxa" w:w="2765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30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Por definir</w:t>
            </w:r>
          </w:p>
        </w:tc>
        <w:tc>
          <w:tcPr>
            <w:tcW w:type="dxa" w:w="2765"/>
            <w:shd w:val="clear" w:color="auto" w:fill="88888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201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PENDIENTE</w:t>
            </w:r>
          </w:p>
        </w:tc>
      </w:tr>
      <w:tr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720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6048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Validar las cifras finales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74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SENER / CFE / CENACE</w:t>
            </w:r>
          </w:p>
        </w:tc>
        <w:tc>
          <w:tcPr>
            <w:tcW w:type="dxa" w:w="2765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2304" w:type="dxa"/>
          </w:tcPr>
          <w:p>
            <w:r>
              <w:rPr>
                <w:rFonts w:ascii="Noto Sans" w:hAnsi="Noto Sans"/>
                <w:b w:val="0"/>
                <w:color w:val="1A1A1A"/>
                <w:sz w:val="18"/>
              </w:rPr>
              <w:t>Por definir</w:t>
            </w:r>
          </w:p>
        </w:tc>
        <w:tc>
          <w:tcPr>
            <w:tcW w:type="dxa" w:w="2765"/>
            <w:shd w:val="clear" w:color="auto" w:fill="88888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bottom w:w="50" w:type="dxa"/>
              <w:left w:w="70" w:type="dxa"/>
              <w:right w:w="70" w:type="dxa"/>
            </w:tcMar>
            <w:tcW w:w="2015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5"/>
              </w:rPr>
              <w:t>PENDIENTE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Noto Sans" w:hAnsi="Noto Sans"/>
          <w:b/>
          <w:color w:val="1E5B4F"/>
          <w:sz w:val="18"/>
        </w:rPr>
        <w:t>Semáforo de compromisos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2613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em_t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13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Próxima reunión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Fecha tentativa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Por definir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Temas propuestos</w:t>
            </w:r>
          </w:p>
        </w:tc>
        <w:tc>
          <w:tcPr>
            <w:tcW w:type="dxa" w:w="6912"/>
            <w:shd w:val="clear" w:color="auto" w:fill="F6F3F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Estudios ambientales de los 6 preseleccionados; resolución de Coyote Solar</w:t>
            </w:r>
          </w:p>
        </w:tc>
      </w:tr>
      <w:tr>
        <w:tc>
          <w:tcPr>
            <w:tcW w:type="dxa" w:w="6912"/>
            <w:shd w:val="clear" w:color="auto" w:fill="EAF0EE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3456" w:type="dxa"/>
          </w:tcPr>
          <w:p>
            <w:r>
              <w:rPr>
                <w:rFonts w:ascii="Noto Sans" w:hAnsi="Noto Sans"/>
                <w:b/>
                <w:color w:val="1A1A1A"/>
                <w:sz w:val="20"/>
              </w:rPr>
              <w:t>Responsable de convocatoria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10080" w:type="dxa"/>
          </w:tcPr>
          <w:p>
            <w:r>
              <w:rPr>
                <w:rFonts w:ascii="Noto Sans" w:hAnsi="Noto Sans"/>
                <w:b w:val="0"/>
                <w:color w:val="1A1A1A"/>
                <w:sz w:val="20"/>
              </w:rPr>
              <w:t>Claudia Marcela Meza Vega</w:t>
            </w:r>
          </w:p>
        </w:tc>
      </w:tr>
    </w:tbl>
    <w:p>
      <w:pPr>
        <w:spacing w:after="40"/>
      </w:pPr>
    </w:p>
    <w:p>
      <w:pPr>
        <w:spacing w:before="260" w:after="80"/>
        <w:pBdr>
          <w:bottom w:val="single" w:sz="6" w:space="1" w:color="1E5B4F"/>
        </w:pBdr>
      </w:pPr>
      <w:r>
        <w:rPr>
          <w:rFonts w:ascii="Merriweather" w:hAnsi="Merriweather"/>
          <w:b/>
          <w:color w:val="1E5B4F"/>
          <w:sz w:val="26"/>
        </w:rPr>
        <w:t>Validación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608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432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4608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4320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4608"/>
            <w:shd w:val="clear" w:color="auto" w:fill="1E5B4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bottom w:w="70" w:type="dxa"/>
              <w:left w:w="90" w:type="dxa"/>
              <w:right w:w="90" w:type="dxa"/>
            </w:tcMar>
            <w:tcW w:w="4464" w:type="dxa"/>
          </w:tcPr>
          <w:p>
            <w:pPr>
              <w:jc w:val="center"/>
            </w:pPr>
            <w:r>
              <w:rPr>
                <w:rFonts w:ascii="Noto Sans" w:hAnsi="Noto Sans"/>
                <w:b/>
                <w:color w:val="FFFFFF"/>
                <w:sz w:val="17"/>
              </w:rPr>
              <w:t>VISTO BUENO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320" w:type="dxa"/>
          </w:tcPr>
          <w:p>
            <w:r>
              <w:rPr>
                <w:rFonts w:ascii="Noto Sans" w:hAnsi="Noto Sans"/>
                <w:b w:val="0"/>
                <w:color w:val="1A1A1A"/>
                <w:sz w:val="19"/>
              </w:rPr>
              <w:t>DGMESNIE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320" w:type="dxa"/>
          </w:tcPr>
          <w:p>
            <w:r>
              <w:rPr>
                <w:rFonts w:ascii="Noto Sans" w:hAnsi="Noto Sans"/>
                <w:b w:val="0"/>
                <w:color w:val="1A1A1A"/>
                <w:sz w:val="19"/>
              </w:rPr>
              <w:t>Gabriela Aparicio Rangel (CFE)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50" w:type="dxa"/>
              <w:bottom w:w="50" w:type="dxa"/>
              <w:left w:w="90" w:type="dxa"/>
              <w:right w:w="90" w:type="dxa"/>
            </w:tcMar>
            <w:tcW w:w="4464" w:type="dxa"/>
          </w:tcPr>
          <w:p>
            <w:r>
              <w:rPr>
                <w:rFonts w:ascii="Noto Sans" w:hAnsi="Noto Sans"/>
                <w:b w:val="0"/>
                <w:color w:val="1A1A1A"/>
                <w:sz w:val="19"/>
              </w:rPr>
              <w:t>Claudia Marcela Meza Vega (SENER)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296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b w:val="0"/>
        <w:color w:val="787878"/>
        <w:sz w:val="15"/>
      </w:rPr>
      <w:t>Av. Insurgentes, Número 20, Glorieta de Insurgentes, Col. Roma Norte, C.P. 06700, Alcaldía Cuauhtémoc, CDMX.  |  Tel: (55) 5000 6000  |  www.gob.mx/sener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E5B4F"/>
        <w:sz w:val="18"/>
      </w:rPr>
      <w:t>Secretaría de Energía  ·  Gobierno de México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