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 w:after="0"/>
        <w:pBdr>
          <w:top w:val="single" w:sz="18" w:space="1" w:color="1E5B4F"/>
        </w:pBdr>
      </w:pPr>
    </w:p>
    <w:p>
      <w:pPr>
        <w:spacing w:before="240" w:after="40"/>
        <w:jc w:val="center"/>
      </w:pPr>
      <w:r>
        <w:rPr>
          <w:rFonts w:ascii="Noto Sans" w:hAnsi="Noto Sans"/>
          <w:b/>
          <w:caps/>
          <w:color w:val="1E5B4F"/>
          <w:sz w:val="17"/>
        </w:rPr>
        <w:t>MINUTA DE REUNIÓN</w:t>
      </w:r>
    </w:p>
    <w:p>
      <w:pPr>
        <w:spacing w:before="60" w:after="80"/>
        <w:jc w:val="center"/>
      </w:pPr>
      <w:r>
        <w:rPr>
          <w:rFonts w:ascii="Merriweather" w:hAnsi="Merriweather"/>
          <w:b/>
          <w:color w:val="1E5B4F"/>
          <w:sz w:val="32"/>
        </w:rPr>
        <w:t>Preselección técnica de proyectos GCR Occidental</w:t>
      </w:r>
    </w:p>
    <w:p>
      <w:pPr>
        <w:spacing w:before="20" w:after="280"/>
        <w:jc w:val="center"/>
        <w:pBdr>
          <w:bottom w:val="single" w:sz="6" w:space="4" w:color="1E5B4F"/>
        </w:pBdr>
      </w:pPr>
      <w:r>
        <w:rPr>
          <w:rFonts w:ascii="Noto Sans" w:hAnsi="Noto Sans"/>
          <w:color w:val="646464"/>
          <w:sz w:val="20"/>
        </w:rPr>
        <w:t>Segunda Convocatoria a Particulares · Criterios técnicos, sociales y ambientales</w:t>
      </w:r>
    </w:p>
    <w:tbl>
      <w:tblPr>
        <w:tblW w:type="auto" w:w="0"/>
        <w:jc w:val="center"/>
        <w:tblLook w:firstColumn="1" w:firstRow="1" w:lastColumn="0" w:lastRow="0" w:noHBand="0" w:noVBand="1" w:val="04A0"/>
      </w:tblPr>
      <w:tblGrid>
        <w:gridCol w:w="4987"/>
        <w:gridCol w:w="4987"/>
      </w:tblGrid>
      <w:tr>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EFF4F2"/>
            <w:tcW w:w="3024" w:type="dxa"/>
          </w:tcPr>
          <w:p>
            <w:r>
              <w:rPr>
                <w:rFonts w:ascii="Noto Sans" w:hAnsi="Noto Sans"/>
                <w:b/>
                <w:color w:val="1E5B4F"/>
                <w:sz w:val="19"/>
              </w:rPr>
              <w:t>Órgano</w:t>
            </w:r>
          </w:p>
        </w:tc>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W w:w="6336" w:type="dxa"/>
          </w:tcPr>
          <w:p>
            <w:r>
              <w:rPr>
                <w:rFonts w:ascii="Noto Sans" w:hAnsi="Noto Sans"/>
                <w:b w:val="0"/>
                <w:color w:val="1A1A1A"/>
                <w:sz w:val="19"/>
              </w:rPr>
              <w:t>Gerencia de Control Regional Occidental</w:t>
            </w:r>
          </w:p>
        </w:tc>
      </w:tr>
      <w:tr>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EFF4F2"/>
            <w:tcW w:w="3024" w:type="dxa"/>
          </w:tcPr>
          <w:p>
            <w:r>
              <w:rPr>
                <w:rFonts w:ascii="Noto Sans" w:hAnsi="Noto Sans"/>
                <w:b/>
                <w:color w:val="1E5B4F"/>
                <w:sz w:val="19"/>
              </w:rPr>
              <w:t>Tipo de reunión</w:t>
            </w:r>
          </w:p>
        </w:tc>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W w:w="6336" w:type="dxa"/>
          </w:tcPr>
          <w:p>
            <w:r>
              <w:rPr>
                <w:rFonts w:ascii="Noto Sans" w:hAnsi="Noto Sans"/>
                <w:b w:val="0"/>
                <w:color w:val="1A1A1A"/>
                <w:sz w:val="19"/>
              </w:rPr>
              <w:t>Presentación y selección de proyectos (criterios técnicos, sociales y ambientales)</w:t>
            </w:r>
          </w:p>
        </w:tc>
      </w:tr>
      <w:tr>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EFF4F2"/>
            <w:tcW w:w="3024" w:type="dxa"/>
          </w:tcPr>
          <w:p>
            <w:r>
              <w:rPr>
                <w:rFonts w:ascii="Noto Sans" w:hAnsi="Noto Sans"/>
                <w:b/>
                <w:color w:val="1E5B4F"/>
                <w:sz w:val="19"/>
              </w:rPr>
              <w:t>Fecha y hora</w:t>
            </w:r>
          </w:p>
        </w:tc>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W w:w="6336" w:type="dxa"/>
          </w:tcPr>
          <w:p>
            <w:r>
              <w:rPr>
                <w:rFonts w:ascii="Noto Sans" w:hAnsi="Noto Sans"/>
                <w:b w:val="0"/>
                <w:color w:val="1A1A1A"/>
                <w:sz w:val="19"/>
              </w:rPr>
              <w:t>16 de junio de 2026</w:t>
            </w:r>
          </w:p>
        </w:tc>
      </w:tr>
      <w:tr>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EFF4F2"/>
            <w:tcW w:w="3024" w:type="dxa"/>
          </w:tcPr>
          <w:p>
            <w:r>
              <w:rPr>
                <w:rFonts w:ascii="Noto Sans" w:hAnsi="Noto Sans"/>
                <w:b/>
                <w:color w:val="1E5B4F"/>
                <w:sz w:val="19"/>
              </w:rPr>
              <w:t>Modalidad</w:t>
            </w:r>
          </w:p>
        </w:tc>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W w:w="6336" w:type="dxa"/>
          </w:tcPr>
          <w:p>
            <w:r>
              <w:rPr>
                <w:rFonts w:ascii="Noto Sans" w:hAnsi="Noto Sans"/>
                <w:b w:val="0"/>
                <w:color w:val="1A1A1A"/>
                <w:sz w:val="19"/>
              </w:rPr>
              <w:t>Reunión de Microsoft Teams</w:t>
            </w:r>
          </w:p>
        </w:tc>
      </w:tr>
      <w:tr>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EFF4F2"/>
            <w:tcW w:w="3024" w:type="dxa"/>
          </w:tcPr>
          <w:p>
            <w:r>
              <w:rPr>
                <w:rFonts w:ascii="Noto Sans" w:hAnsi="Noto Sans"/>
                <w:b/>
                <w:color w:val="1E5B4F"/>
                <w:sz w:val="19"/>
              </w:rPr>
              <w:t>Convocante</w:t>
            </w:r>
          </w:p>
        </w:tc>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W w:w="6336" w:type="dxa"/>
          </w:tcPr>
          <w:p>
            <w:r>
              <w:rPr>
                <w:rFonts w:ascii="Noto Sans" w:hAnsi="Noto Sans"/>
                <w:b w:val="0"/>
                <w:color w:val="1A1A1A"/>
                <w:sz w:val="19"/>
              </w:rPr>
              <w:t>Claudia Marcela Meza Vega (SENER)</w:t>
            </w:r>
          </w:p>
        </w:tc>
      </w:tr>
      <w:tr>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EFF4F2"/>
            <w:tcW w:w="3024" w:type="dxa"/>
          </w:tcPr>
          <w:p>
            <w:r>
              <w:rPr>
                <w:rFonts w:ascii="Noto Sans" w:hAnsi="Noto Sans"/>
                <w:b/>
                <w:color w:val="1E5B4F"/>
                <w:sz w:val="19"/>
              </w:rPr>
              <w:t>Elaboró la minuta</w:t>
            </w:r>
          </w:p>
        </w:tc>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W w:w="6336" w:type="dxa"/>
          </w:tcPr>
          <w:p>
            <w:r>
              <w:rPr>
                <w:rFonts w:ascii="Noto Sans" w:hAnsi="Noto Sans"/>
                <w:b w:val="0"/>
                <w:color w:val="1A1A1A"/>
                <w:sz w:val="19"/>
              </w:rPr>
              <w:t>DGMESNIE — Unidad del Sistema Nacional de Información Energética</w:t>
            </w:r>
          </w:p>
        </w:tc>
      </w:tr>
    </w:tbl>
    <w:p>
      <w:pPr>
        <w:spacing w:before="280" w:after="80"/>
      </w:pPr>
      <w:r>
        <w:rPr>
          <w:rFonts w:ascii="Merriweather" w:hAnsi="Merriweather"/>
          <w:b/>
          <w:color w:val="1E5B4F"/>
          <w:sz w:val="26"/>
        </w:rPr>
        <w:t>Asistentes</w:t>
      </w:r>
    </w:p>
    <w:p>
      <w:pPr>
        <w:spacing w:before="40" w:after="160"/>
        <w:pBdr>
          <w:bottom w:val="single" w:sz="6" w:space="1" w:color="1E5B4F"/>
        </w:pBdr>
      </w:pPr>
    </w:p>
    <w:tbl>
      <w:tblPr>
        <w:tblW w:type="auto" w:w="0"/>
        <w:jc w:val="center"/>
        <w:tblLook w:firstColumn="1" w:firstRow="1" w:lastColumn="0" w:lastRow="0" w:noHBand="0" w:noVBand="1" w:val="04A0"/>
      </w:tblPr>
      <w:tblGrid>
        <w:gridCol w:w="3325"/>
        <w:gridCol w:w="3325"/>
        <w:gridCol w:w="3325"/>
      </w:tblGrid>
      <w:tr>
        <w:tc>
          <w:tcPr>
            <w:tcW w:type="dxa" w:w="3325"/>
            <w:tcW w:w="5328" w:type="dxa"/>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80" w:type="dxa"/>
              <w:right w:w="80" w:type="dxa"/>
            </w:tcMar>
          </w:tcPr>
          <w:p>
            <w:pPr>
              <w:jc w:val="center"/>
            </w:pPr>
            <w:r>
              <w:rPr>
                <w:rFonts w:ascii="Noto Sans" w:hAnsi="Noto Sans"/>
                <w:b/>
                <w:color w:val="FFFFFF"/>
                <w:sz w:val="17"/>
              </w:rPr>
              <w:t>NOMBRE</w:t>
            </w:r>
          </w:p>
        </w:tc>
        <w:tc>
          <w:tcPr>
            <w:tcW w:type="dxa" w:w="3325"/>
            <w:tcW w:w="1872" w:type="dxa"/>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80" w:type="dxa"/>
              <w:right w:w="80" w:type="dxa"/>
            </w:tcMar>
          </w:tcPr>
          <w:p>
            <w:pPr>
              <w:jc w:val="center"/>
            </w:pPr>
            <w:r>
              <w:rPr>
                <w:rFonts w:ascii="Noto Sans" w:hAnsi="Noto Sans"/>
                <w:b/>
                <w:color w:val="FFFFFF"/>
                <w:sz w:val="17"/>
              </w:rPr>
              <w:t>CARGO</w:t>
            </w:r>
          </w:p>
        </w:tc>
        <w:tc>
          <w:tcPr>
            <w:tcW w:type="dxa" w:w="3325"/>
            <w:tcW w:w="2160" w:type="dxa"/>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80" w:type="dxa"/>
              <w:right w:w="80" w:type="dxa"/>
            </w:tcMar>
          </w:tcPr>
          <w:p>
            <w:pPr>
              <w:jc w:val="center"/>
            </w:pPr>
            <w:r>
              <w:rPr>
                <w:rFonts w:ascii="Noto Sans" w:hAnsi="Noto Sans"/>
                <w:b/>
                <w:color w:val="FFFFFF"/>
                <w:sz w:val="17"/>
              </w:rPr>
              <w:t>ÁREA</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Ramón Avilés Zamorano</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SENER</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Jocelyn Gabriela Velázquez Naranjo</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SENER</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Raúl Adame Ortiz</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SPTE</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Claudia Marcela Meza Vega</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SPTE</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Manuel Torres Ahumada</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CENACE</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Sergio Antonio Vargas Sánchez</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David Santillán Morales</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Gabriela Aparicio Rangel</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CFE</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Luis Enrique Ángeles Cervantes</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CFE</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Víctor Nolasco Miguel</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CFE</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José Luis Díaz Selvas</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CFE</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Jesús David Bravo Anaya</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CENACE</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Tania Areli Salazar Terán</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Carlos Salvador Valencia</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CENACE</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Pedro Guillermo Padrón Alvarado</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CFE</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David Salvador Velasco Olmos</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CFE</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Rafael de Jesús Funes Ríos</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Gerónimo Ramírez Popo</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Jassiel Misael Campos Martínez</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Rubén Martínez Alonso</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CENACE</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Alí Gervacio Hernández</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Javier Sasso Celaya</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SPTE</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José María Rivera Fosado</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CFE</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Edder Tuxpan Salazar</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Daniel Hilario Flores Vargas</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SPTE</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José Edmundo Martínez Camargo</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Gilberto Valencia Félix</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CFE</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Raúl García Kasusky</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Sergio Hernández Vázquez</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Janett Salas</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SENER</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Antonino López Ríos</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CENACE</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Raúl de Jesús Ronquillo</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Amaury Alfredo Aguirre</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w:t>
            </w:r>
          </w:p>
        </w:tc>
      </w:tr>
    </w:tbl>
    <w:p>
      <w:pPr>
        <w:spacing w:before="280" w:after="80"/>
      </w:pPr>
      <w:r>
        <w:rPr>
          <w:rFonts w:ascii="Merriweather" w:hAnsi="Merriweather"/>
          <w:b/>
          <w:color w:val="1E5B4F"/>
          <w:sz w:val="26"/>
        </w:rPr>
        <w:t>Orden del día</w:t>
      </w:r>
    </w:p>
    <w:p>
      <w:pPr>
        <w:spacing w:before="40" w:after="160"/>
        <w:pBdr>
          <w:bottom w:val="single" w:sz="6" w:space="1" w:color="1E5B4F"/>
        </w:pBdr>
      </w:pPr>
    </w:p>
    <w:p>
      <w:pPr>
        <w:spacing w:after="60"/>
        <w:ind w:left="360"/>
      </w:pPr>
      <w:r>
        <w:rPr>
          <w:rFonts w:ascii="Noto Sans" w:hAnsi="Noto Sans"/>
          <w:color w:val="1A1A1A"/>
          <w:sz w:val="21"/>
        </w:rPr>
        <w:t>•  1. Presentación del listado de proyectos identificados.</w:t>
      </w:r>
    </w:p>
    <w:p>
      <w:pPr>
        <w:spacing w:after="60"/>
        <w:ind w:left="360"/>
      </w:pPr>
      <w:r>
        <w:rPr>
          <w:rFonts w:ascii="Noto Sans" w:hAnsi="Noto Sans"/>
          <w:color w:val="1A1A1A"/>
          <w:sz w:val="21"/>
        </w:rPr>
        <w:t>•  2. Presentación de proyectos preseleccionados de CFE.</w:t>
      </w:r>
    </w:p>
    <w:p>
      <w:pPr>
        <w:spacing w:after="60"/>
        <w:ind w:left="360"/>
      </w:pPr>
      <w:r>
        <w:rPr>
          <w:rFonts w:ascii="Noto Sans" w:hAnsi="Noto Sans"/>
          <w:color w:val="1A1A1A"/>
          <w:sz w:val="21"/>
        </w:rPr>
        <w:t>•  3. Evaluación de los proyectos occidentales (caso por caso).</w:t>
      </w:r>
    </w:p>
    <w:p>
      <w:pPr>
        <w:spacing w:after="60"/>
        <w:ind w:left="360"/>
      </w:pPr>
      <w:r>
        <w:rPr>
          <w:rFonts w:ascii="Noto Sans" w:hAnsi="Noto Sans"/>
          <w:color w:val="1A1A1A"/>
          <w:sz w:val="21"/>
        </w:rPr>
        <w:t>•  4. Definición de la preselección final.</w:t>
      </w:r>
    </w:p>
    <w:p>
      <w:pPr>
        <w:spacing w:before="280" w:after="80"/>
      </w:pPr>
      <w:r>
        <w:rPr>
          <w:rFonts w:ascii="Merriweather" w:hAnsi="Merriweather"/>
          <w:b/>
          <w:color w:val="1E5B4F"/>
          <w:sz w:val="26"/>
        </w:rPr>
        <w:t>Desarrollo de temas</w:t>
      </w:r>
    </w:p>
    <w:p>
      <w:pPr>
        <w:spacing w:before="40" w:after="160"/>
        <w:pBdr>
          <w:bottom w:val="single" w:sz="6" w:space="1" w:color="1E5B4F"/>
        </w:pBdr>
      </w:pPr>
    </w:p>
    <w:p>
      <w:pPr>
        <w:spacing w:before="160" w:after="80"/>
      </w:pPr>
      <w:r>
        <w:rPr>
          <w:rFonts w:ascii="Merriweather" w:hAnsi="Merriweather"/>
          <w:b/>
          <w:color w:val="1E5B4F"/>
          <w:sz w:val="22"/>
        </w:rPr>
        <w:t>1. Criterio de selección</w:t>
      </w:r>
    </w:p>
    <w:p>
      <w:pPr>
        <w:spacing w:after="120"/>
        <w:jc w:val="both"/>
      </w:pPr>
      <w:r>
        <w:rPr>
          <w:rFonts w:ascii="Noto Sans" w:hAnsi="Noto Sans"/>
          <w:color w:val="1A1A1A"/>
          <w:sz w:val="21"/>
        </w:rPr>
        <w:t>La selección se rige por las cuotas de potencia establecidas en el PLADESE, cuidando que al horizonte 2030 no se requieran obras de refuerzo costosas. CENACE realiza la selección final de los preseleccionados privilegiando la confiabilidad del sistema y minimizando obras de refuerzo. Se utiliza la capacidad contratada por ser la que efectivamente se inyecta.</w:t>
      </w:r>
    </w:p>
    <w:p>
      <w:pPr>
        <w:spacing w:before="160" w:after="80"/>
      </w:pPr>
      <w:r>
        <w:rPr>
          <w:rFonts w:ascii="Merriweather" w:hAnsi="Merriweather"/>
          <w:b/>
          <w:color w:val="1E5B4F"/>
          <w:sz w:val="22"/>
        </w:rPr>
        <w:t>2. Universo de proyectos</w:t>
      </w:r>
    </w:p>
    <w:p>
      <w:pPr>
        <w:spacing w:after="120"/>
        <w:jc w:val="both"/>
      </w:pPr>
      <w:r>
        <w:rPr>
          <w:rFonts w:ascii="Noto Sans" w:hAnsi="Noto Sans"/>
          <w:color w:val="1A1A1A"/>
          <w:sz w:val="21"/>
        </w:rPr>
        <w:t>De los 49 proyectos preseleccionados a nivel nacional, aproximadamente la mitad (26) se ubican en el área Occidental. CFE presentó su preselección considerando los proyectos de adición de capacidad, los privados de la primera convocatoria y los esquemas de desarrollo mixto; en la región se contabilizan del orden de 1,540 MW, más 471 MW de la primera convocatoria y 340 MW de mixtos recién asignados.</w:t>
      </w:r>
    </w:p>
    <w:p>
      <w:pPr>
        <w:spacing w:before="160" w:after="80"/>
      </w:pPr>
      <w:r>
        <w:rPr>
          <w:rFonts w:ascii="Merriweather" w:hAnsi="Merriweather"/>
          <w:b/>
          <w:color w:val="1E5B4F"/>
          <w:sz w:val="22"/>
        </w:rPr>
        <w:t>3. Evaluación caso por caso</w:t>
      </w:r>
    </w:p>
    <w:p>
      <w:pPr>
        <w:spacing w:after="120"/>
        <w:jc w:val="both"/>
      </w:pPr>
      <w:r>
        <w:rPr>
          <w:rFonts w:ascii="Noto Sans" w:hAnsi="Noto Sans"/>
          <w:color w:val="1A1A1A"/>
          <w:sz w:val="21"/>
        </w:rPr>
        <w:t>Se revisaron los proyectos uno por uno atendiendo a coincidencias con CENACE, capacidad, redes radiales y obras de refuerzo. Se acordaron proyectos mutuamente excluyentes cuando comparten punto de interconexión o subestación: San Agustín con Villa Juárez, Moctezuma con Joya Honda (230 kV), Dalia 4 con Lagos El Potrero, y Santiago PV con Sol de Nayarit (se retira por riesgo de huracanes en Acaponeta). Se excluyeron proyectos con obras de refuerzo locales onerosas (Milpillas, Altair, Fresnillo, Delicias, La Playa, Parque Solar Jalisco y Huichapan).</w:t>
      </w:r>
    </w:p>
    <w:p>
      <w:pPr>
        <w:spacing w:before="160" w:after="80"/>
      </w:pPr>
      <w:r>
        <w:rPr>
          <w:rFonts w:ascii="Merriweather" w:hAnsi="Merriweather"/>
          <w:b/>
          <w:color w:val="1E5B4F"/>
          <w:sz w:val="22"/>
        </w:rPr>
        <w:t>4. Capacidad adicional</w:t>
      </w:r>
    </w:p>
    <w:p>
      <w:pPr>
        <w:spacing w:after="120"/>
        <w:jc w:val="both"/>
      </w:pPr>
      <w:r>
        <w:rPr>
          <w:rFonts w:ascii="Noto Sans" w:hAnsi="Noto Sans"/>
          <w:color w:val="1A1A1A"/>
          <w:sz w:val="21"/>
        </w:rPr>
        <w:t>Se identificaron 350 MW adicionales en caso de que la cuota no se complete. El proyecto Cañada y el Encino queda en revisión, considerando la posible inclusión del proyecto Selka Power bajo esquema mixto.</w:t>
      </w:r>
    </w:p>
    <w:p>
      <w:pPr>
        <w:spacing w:before="280" w:after="80"/>
      </w:pPr>
      <w:r>
        <w:rPr>
          <w:rFonts w:ascii="Merriweather" w:hAnsi="Merriweather"/>
          <w:b/>
          <w:color w:val="1E5B4F"/>
          <w:sz w:val="26"/>
        </w:rPr>
        <w:t>Acuerdos</w:t>
      </w:r>
    </w:p>
    <w:p>
      <w:pPr>
        <w:spacing w:before="40" w:after="160"/>
        <w:pBdr>
          <w:bottom w:val="single" w:sz="6" w:space="1" w:color="1E5B4F"/>
        </w:pBdr>
      </w:pPr>
    </w:p>
    <w:p>
      <w:pPr>
        <w:spacing w:after="60"/>
        <w:ind w:left="360"/>
      </w:pPr>
      <w:r>
        <w:rPr>
          <w:rFonts w:ascii="Noto Sans" w:hAnsi="Noto Sans"/>
          <w:color w:val="1A1A1A"/>
          <w:sz w:val="21"/>
        </w:rPr>
        <w:t>•  1. La selección se realiza conforme a las cuotas de potencia establecidas en el PLADESE, cuidando no generar obras de refuerzo costosas al horizonte 2030.</w:t>
      </w:r>
    </w:p>
    <w:p>
      <w:pPr>
        <w:spacing w:after="60"/>
        <w:ind w:left="360"/>
      </w:pPr>
      <w:r>
        <w:rPr>
          <w:rFonts w:ascii="Noto Sans" w:hAnsi="Noto Sans"/>
          <w:color w:val="1A1A1A"/>
          <w:sz w:val="21"/>
        </w:rPr>
        <w:t>•  2. Se utiliza la capacidad contratada (menor o igual a la capacidad neta de inyección).</w:t>
      </w:r>
    </w:p>
    <w:p>
      <w:pPr>
        <w:spacing w:after="60"/>
        <w:ind w:left="360"/>
      </w:pPr>
      <w:r>
        <w:rPr>
          <w:rFonts w:ascii="Noto Sans" w:hAnsi="Noto Sans"/>
          <w:color w:val="1A1A1A"/>
          <w:sz w:val="21"/>
        </w:rPr>
        <w:t>•  3. La preselección final de la GCR Occidental queda integrada por 15 proyectos.</w:t>
      </w:r>
    </w:p>
    <w:p>
      <w:pPr>
        <w:spacing w:after="60"/>
        <w:ind w:left="360"/>
      </w:pPr>
      <w:r>
        <w:rPr>
          <w:rFonts w:ascii="Noto Sans" w:hAnsi="Noto Sans"/>
          <w:color w:val="1A1A1A"/>
          <w:sz w:val="21"/>
        </w:rPr>
        <w:t>•  4. Los proyectos que comparten interconexión se marcan como mutuamente excluyentes.</w:t>
      </w:r>
    </w:p>
    <w:p>
      <w:pPr>
        <w:spacing w:after="60"/>
        <w:ind w:left="360"/>
      </w:pPr>
      <w:r>
        <w:rPr>
          <w:rFonts w:ascii="Noto Sans" w:hAnsi="Noto Sans"/>
          <w:color w:val="1A1A1A"/>
          <w:sz w:val="21"/>
        </w:rPr>
        <w:t>•  5. La minuta la envía la SPTE.</w:t>
      </w:r>
    </w:p>
    <w:p>
      <w:pPr>
        <w:spacing w:before="280" w:after="80"/>
      </w:pPr>
      <w:r>
        <w:rPr>
          <w:rFonts w:ascii="Merriweather" w:hAnsi="Merriweather"/>
          <w:b/>
          <w:color w:val="1E5B4F"/>
          <w:sz w:val="26"/>
        </w:rPr>
        <w:t>Matriz de compromisos</w:t>
      </w:r>
    </w:p>
    <w:p>
      <w:pPr>
        <w:spacing w:before="40" w:after="160"/>
        <w:pBdr>
          <w:bottom w:val="single" w:sz="6" w:space="1" w:color="1E5B4F"/>
        </w:pBdr>
      </w:pPr>
    </w:p>
    <w:tbl>
      <w:tblPr>
        <w:tblW w:type="auto" w:w="0"/>
        <w:jc w:val="center"/>
        <w:tblLook w:firstColumn="1" w:firstRow="1" w:lastColumn="0" w:lastRow="0" w:noHBand="0" w:noVBand="1" w:val="04A0"/>
      </w:tblPr>
      <w:tblGrid>
        <w:gridCol w:w="1995"/>
        <w:gridCol w:w="1995"/>
        <w:gridCol w:w="1995"/>
        <w:gridCol w:w="1995"/>
        <w:gridCol w:w="1995"/>
      </w:tblGrid>
      <w:tr>
        <w:tc>
          <w:tcPr>
            <w:tcW w:type="dxa" w:w="1995"/>
            <w:tcW w:w="720" w:type="dxa"/>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80" w:type="dxa"/>
              <w:right w:w="80" w:type="dxa"/>
            </w:tcMar>
          </w:tcPr>
          <w:p>
            <w:pPr>
              <w:jc w:val="center"/>
            </w:pPr>
            <w:r>
              <w:rPr>
                <w:rFonts w:ascii="Noto Sans" w:hAnsi="Noto Sans"/>
                <w:b/>
                <w:color w:val="FFFFFF"/>
                <w:sz w:val="17"/>
              </w:rPr>
              <w:t>N°</w:t>
            </w:r>
          </w:p>
        </w:tc>
        <w:tc>
          <w:tcPr>
            <w:tcW w:type="dxa" w:w="1995"/>
            <w:tcW w:w="3744" w:type="dxa"/>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80" w:type="dxa"/>
              <w:right w:w="80" w:type="dxa"/>
            </w:tcMar>
          </w:tcPr>
          <w:p>
            <w:pPr>
              <w:jc w:val="center"/>
            </w:pPr>
            <w:r>
              <w:rPr>
                <w:rFonts w:ascii="Noto Sans" w:hAnsi="Noto Sans"/>
                <w:b/>
                <w:color w:val="FFFFFF"/>
                <w:sz w:val="17"/>
              </w:rPr>
              <w:t>COMPROMISO</w:t>
            </w:r>
          </w:p>
        </w:tc>
        <w:tc>
          <w:tcPr>
            <w:tcW w:type="dxa" w:w="1995"/>
            <w:tcW w:w="2448" w:type="dxa"/>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80" w:type="dxa"/>
              <w:right w:w="80" w:type="dxa"/>
            </w:tcMar>
          </w:tcPr>
          <w:p>
            <w:pPr>
              <w:jc w:val="center"/>
            </w:pPr>
            <w:r>
              <w:rPr>
                <w:rFonts w:ascii="Noto Sans" w:hAnsi="Noto Sans"/>
                <w:b/>
                <w:color w:val="FFFFFF"/>
                <w:sz w:val="17"/>
              </w:rPr>
              <w:t>RESPONSABLE</w:t>
            </w:r>
          </w:p>
        </w:tc>
        <w:tc>
          <w:tcPr>
            <w:tcW w:type="dxa" w:w="1995"/>
            <w:tcW w:w="1584" w:type="dxa"/>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80" w:type="dxa"/>
              <w:right w:w="80" w:type="dxa"/>
            </w:tcMar>
          </w:tcPr>
          <w:p>
            <w:pPr>
              <w:jc w:val="center"/>
            </w:pPr>
            <w:r>
              <w:rPr>
                <w:rFonts w:ascii="Noto Sans" w:hAnsi="Noto Sans"/>
                <w:b/>
                <w:color w:val="FFFFFF"/>
                <w:sz w:val="17"/>
              </w:rPr>
              <w:t>FECHA LÍMITE</w:t>
            </w:r>
          </w:p>
        </w:tc>
        <w:tc>
          <w:tcPr>
            <w:tcW w:type="dxa" w:w="1995"/>
            <w:tcW w:w="1584" w:type="dxa"/>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80" w:type="dxa"/>
              <w:right w:w="80" w:type="dxa"/>
            </w:tcMar>
          </w:tcPr>
          <w:p>
            <w:pPr>
              <w:jc w:val="center"/>
            </w:pPr>
            <w:r>
              <w:rPr>
                <w:rFonts w:ascii="Noto Sans" w:hAnsi="Noto Sans"/>
                <w:b/>
                <w:color w:val="FFFFFF"/>
                <w:sz w:val="17"/>
              </w:rPr>
              <w:t>ESTATUS</w:t>
            </w:r>
          </w:p>
        </w:tc>
      </w:tr>
      <w:tr>
        <w:tc>
          <w:tcPr>
            <w:tcW w:type="dxa" w:w="199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1</w:t>
            </w:r>
          </w:p>
        </w:tc>
        <w:tc>
          <w:tcPr>
            <w:tcW w:type="dxa" w:w="199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Enviar la minuta de la sesión</w:t>
            </w:r>
          </w:p>
        </w:tc>
        <w:tc>
          <w:tcPr>
            <w:tcW w:type="dxa" w:w="199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SPTE</w:t>
            </w:r>
          </w:p>
        </w:tc>
        <w:tc>
          <w:tcPr>
            <w:tcW w:type="dxa" w:w="199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Por definir</w:t>
            </w:r>
          </w:p>
        </w:tc>
        <w:tc>
          <w:tcPr>
            <w:tcW w:type="dxa" w:w="1995"/>
            <w:shd w:val="clear" w:color="auto" w:fill="A57F2C"/>
            <w:tcBorders>
              <w:top w:val="single" w:sz="4" w:space="0" w:color="BBBBBB"/>
              <w:left w:val="single" w:sz="4" w:space="0" w:color="BBBBBB"/>
              <w:bottom w:val="single" w:sz="4" w:space="0" w:color="BBBBBB"/>
              <w:right w:val="single" w:sz="4" w:space="0" w:color="BBBBBB"/>
            </w:tcBorders>
            <w:tcMar>
              <w:top w:w="50" w:type="dxa"/>
              <w:bottom w:w="50" w:type="dxa"/>
              <w:left w:w="60" w:type="dxa"/>
              <w:right w:w="60" w:type="dxa"/>
            </w:tcMar>
          </w:tcPr>
          <w:p>
            <w:pPr>
              <w:jc w:val="center"/>
            </w:pPr>
            <w:r>
              <w:rPr>
                <w:rFonts w:ascii="Noto Sans" w:hAnsi="Noto Sans"/>
                <w:b/>
                <w:color w:val="FFFFFF"/>
                <w:sz w:val="16"/>
              </w:rPr>
              <w:t>PENDIENTE</w:t>
            </w:r>
          </w:p>
        </w:tc>
      </w:tr>
      <w:tr>
        <w:tc>
          <w:tcPr>
            <w:tcW w:type="dxa" w:w="199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2</w:t>
            </w:r>
          </w:p>
        </w:tc>
        <w:tc>
          <w:tcPr>
            <w:tcW w:type="dxa" w:w="199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Definir inclusión de Selka Power (esquema mixto) en Cañada y el Encino</w:t>
            </w:r>
          </w:p>
        </w:tc>
        <w:tc>
          <w:tcPr>
            <w:tcW w:type="dxa" w:w="199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CENACE / CFE</w:t>
            </w:r>
          </w:p>
        </w:tc>
        <w:tc>
          <w:tcPr>
            <w:tcW w:type="dxa" w:w="199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Por definir</w:t>
            </w:r>
          </w:p>
        </w:tc>
        <w:tc>
          <w:tcPr>
            <w:tcW w:type="dxa" w:w="1995"/>
            <w:shd w:val="clear" w:color="auto" w:fill="A57F2C"/>
            <w:tcBorders>
              <w:top w:val="single" w:sz="4" w:space="0" w:color="BBBBBB"/>
              <w:left w:val="single" w:sz="4" w:space="0" w:color="BBBBBB"/>
              <w:bottom w:val="single" w:sz="4" w:space="0" w:color="BBBBBB"/>
              <w:right w:val="single" w:sz="4" w:space="0" w:color="BBBBBB"/>
            </w:tcBorders>
            <w:tcMar>
              <w:top w:w="50" w:type="dxa"/>
              <w:bottom w:w="50" w:type="dxa"/>
              <w:left w:w="60" w:type="dxa"/>
              <w:right w:w="60" w:type="dxa"/>
            </w:tcMar>
          </w:tcPr>
          <w:p>
            <w:pPr>
              <w:jc w:val="center"/>
            </w:pPr>
            <w:r>
              <w:rPr>
                <w:rFonts w:ascii="Noto Sans" w:hAnsi="Noto Sans"/>
                <w:b/>
                <w:color w:val="FFFFFF"/>
                <w:sz w:val="16"/>
              </w:rPr>
              <w:t>PENDIENTE</w:t>
            </w:r>
          </w:p>
        </w:tc>
      </w:tr>
      <w:tr>
        <w:tc>
          <w:tcPr>
            <w:tcW w:type="dxa" w:w="199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3</w:t>
            </w:r>
          </w:p>
        </w:tc>
        <w:tc>
          <w:tcPr>
            <w:tcW w:type="dxa" w:w="199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Validar cifras finales y obras de refuerzo asociadas</w:t>
            </w:r>
          </w:p>
        </w:tc>
        <w:tc>
          <w:tcPr>
            <w:tcW w:type="dxa" w:w="199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CFE / CENACE</w:t>
            </w:r>
          </w:p>
        </w:tc>
        <w:tc>
          <w:tcPr>
            <w:tcW w:type="dxa" w:w="199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Por definir</w:t>
            </w:r>
          </w:p>
        </w:tc>
        <w:tc>
          <w:tcPr>
            <w:tcW w:type="dxa" w:w="1995"/>
            <w:shd w:val="clear" w:color="auto" w:fill="A57F2C"/>
            <w:tcBorders>
              <w:top w:val="single" w:sz="4" w:space="0" w:color="BBBBBB"/>
              <w:left w:val="single" w:sz="4" w:space="0" w:color="BBBBBB"/>
              <w:bottom w:val="single" w:sz="4" w:space="0" w:color="BBBBBB"/>
              <w:right w:val="single" w:sz="4" w:space="0" w:color="BBBBBB"/>
            </w:tcBorders>
            <w:tcMar>
              <w:top w:w="50" w:type="dxa"/>
              <w:bottom w:w="50" w:type="dxa"/>
              <w:left w:w="60" w:type="dxa"/>
              <w:right w:w="60" w:type="dxa"/>
            </w:tcMar>
          </w:tcPr>
          <w:p>
            <w:pPr>
              <w:jc w:val="center"/>
            </w:pPr>
            <w:r>
              <w:rPr>
                <w:rFonts w:ascii="Noto Sans" w:hAnsi="Noto Sans"/>
                <w:b/>
                <w:color w:val="FFFFFF"/>
                <w:sz w:val="16"/>
              </w:rPr>
              <w:t>PENDIENTE</w:t>
            </w:r>
          </w:p>
        </w:tc>
      </w:tr>
    </w:tbl>
    <w:p>
      <w:pPr>
        <w:jc w:val="center"/>
      </w:pPr>
      <w:r>
        <w:drawing>
          <wp:inline xmlns:a="http://schemas.openxmlformats.org/drawingml/2006/main" xmlns:pic="http://schemas.openxmlformats.org/drawingml/2006/picture">
            <wp:extent cx="5486400" cy="1390918"/>
            <wp:docPr id="1" name="Picture 1"/>
            <wp:cNvGraphicFramePr>
              <a:graphicFrameLocks noChangeAspect="1"/>
            </wp:cNvGraphicFramePr>
            <a:graphic>
              <a:graphicData uri="http://schemas.openxmlformats.org/drawingml/2006/picture">
                <pic:pic>
                  <pic:nvPicPr>
                    <pic:cNvPr id="0" name="_sem2.png"/>
                    <pic:cNvPicPr/>
                  </pic:nvPicPr>
                  <pic:blipFill>
                    <a:blip r:embed="rId17"/>
                    <a:stretch>
                      <a:fillRect/>
                    </a:stretch>
                  </pic:blipFill>
                  <pic:spPr>
                    <a:xfrm>
                      <a:off x="0" y="0"/>
                      <a:ext cx="5486400" cy="1390918"/>
                    </a:xfrm>
                    <a:prstGeom prst="rect"/>
                  </pic:spPr>
                </pic:pic>
              </a:graphicData>
            </a:graphic>
          </wp:inline>
        </w:drawing>
      </w:r>
    </w:p>
    <w:p>
      <w:pPr>
        <w:jc w:val="center"/>
      </w:pPr>
      <w:r>
        <w:rPr>
          <w:rFonts w:ascii="Noto Sans" w:hAnsi="Noto Sans"/>
          <w:i/>
          <w:color w:val="6E6E6E"/>
          <w:sz w:val="16"/>
        </w:rPr>
        <w:t>Figura 1. Semáforo de compromisos por estatus.</w:t>
      </w:r>
    </w:p>
    <w:p>
      <w:pPr>
        <w:spacing w:before="280" w:after="80"/>
      </w:pPr>
      <w:r>
        <w:rPr>
          <w:rFonts w:ascii="Merriweather" w:hAnsi="Merriweather"/>
          <w:b/>
          <w:color w:val="1E5B4F"/>
          <w:sz w:val="26"/>
        </w:rPr>
        <w:t>Riesgos</w:t>
      </w:r>
    </w:p>
    <w:p>
      <w:pPr>
        <w:spacing w:before="40" w:after="160"/>
        <w:pBdr>
          <w:bottom w:val="single" w:sz="6" w:space="1" w:color="1E5B4F"/>
        </w:pBdr>
      </w:pPr>
    </w:p>
    <w:tbl>
      <w:tblPr>
        <w:tblW w:type="auto" w:w="0"/>
        <w:tblLook w:firstColumn="1" w:firstRow="1" w:lastColumn="0" w:lastRow="0" w:noHBand="0" w:noVBand="1" w:val="04A0"/>
      </w:tblPr>
      <w:tblGrid>
        <w:gridCol w:w="9974"/>
      </w:tblGrid>
      <w:tr>
        <w:tc>
          <w:tcPr>
            <w:tcW w:type="dxa" w:w="9974"/>
            <w:shd w:val="clear" w:color="auto" w:fill="FEF2F4"/>
            <w:tcMar>
              <w:top w:w="100" w:type="dxa"/>
              <w:bottom w:w="100" w:type="dxa"/>
              <w:left w:w="140" w:type="dxa"/>
              <w:right w:w="120" w:type="dxa"/>
            </w:tcMar>
            <w:tcBorders>
              <w:left w:val="single" w:sz="24" w:space="0" w:color="9B2247"/>
              <w:top w:val="none"/>
              <w:bottom w:val="none"/>
              <w:right w:val="none"/>
            </w:tcBorders>
          </w:tcPr>
          <w:p>
            <w:r>
              <w:rPr>
                <w:rFonts w:ascii="Noto Sans" w:hAnsi="Noto Sans"/>
                <w:b/>
                <w:color w:val="9B2247"/>
                <w:sz w:val="18"/>
              </w:rPr>
              <w:t>⚑  Riesgo</w:t>
            </w:r>
          </w:p>
          <w:p>
            <w:pPr>
              <w:spacing w:before="40"/>
            </w:pPr>
            <w:r>
              <w:rPr>
                <w:rFonts w:ascii="Noto Sans" w:hAnsi="Noto Sans"/>
                <w:color w:val="1A1A1A"/>
                <w:sz w:val="19"/>
              </w:rPr>
              <w:t>Obras de refuerzo locales onerosas en varios puntos de interconexión (115 kV) que condicionan la viabilidad.</w:t>
            </w:r>
          </w:p>
        </w:tc>
      </w:tr>
    </w:tbl>
    <w:tbl>
      <w:tblPr>
        <w:tblW w:type="auto" w:w="0"/>
        <w:tblLook w:firstColumn="1" w:firstRow="1" w:lastColumn="0" w:lastRow="0" w:noHBand="0" w:noVBand="1" w:val="04A0"/>
      </w:tblPr>
      <w:tblGrid>
        <w:gridCol w:w="9974"/>
      </w:tblGrid>
      <w:tr>
        <w:tc>
          <w:tcPr>
            <w:tcW w:type="dxa" w:w="9974"/>
            <w:shd w:val="clear" w:color="auto" w:fill="FEF2F4"/>
            <w:tcMar>
              <w:top w:w="100" w:type="dxa"/>
              <w:bottom w:w="100" w:type="dxa"/>
              <w:left w:w="140" w:type="dxa"/>
              <w:right w:w="120" w:type="dxa"/>
            </w:tcMar>
            <w:tcBorders>
              <w:left w:val="single" w:sz="24" w:space="0" w:color="9B2247"/>
              <w:top w:val="none"/>
              <w:bottom w:val="none"/>
              <w:right w:val="none"/>
            </w:tcBorders>
          </w:tcPr>
          <w:p>
            <w:r>
              <w:rPr>
                <w:rFonts w:ascii="Noto Sans" w:hAnsi="Noto Sans"/>
                <w:b/>
                <w:color w:val="9B2247"/>
                <w:sz w:val="18"/>
              </w:rPr>
              <w:t>⚑  Riesgo</w:t>
            </w:r>
          </w:p>
          <w:p>
            <w:pPr>
              <w:spacing w:before="40"/>
            </w:pPr>
            <w:r>
              <w:rPr>
                <w:rFonts w:ascii="Noto Sans" w:hAnsi="Noto Sans"/>
                <w:color w:val="1A1A1A"/>
                <w:sz w:val="19"/>
              </w:rPr>
              <w:t>Capacidad ya asignada en la primera convocatoria (VUPE 1) limita la generación adicional en algunas zonas.</w:t>
            </w:r>
          </w:p>
        </w:tc>
      </w:tr>
    </w:tbl>
    <w:p>
      <w:pPr>
        <w:spacing w:before="280" w:after="80"/>
      </w:pPr>
      <w:r>
        <w:rPr>
          <w:rFonts w:ascii="Merriweather" w:hAnsi="Merriweather"/>
          <w:b/>
          <w:color w:val="1E5B4F"/>
          <w:sz w:val="26"/>
        </w:rPr>
        <w:t>Preselección final — 15 proyectos GCR Occidental</w:t>
      </w:r>
    </w:p>
    <w:p>
      <w:pPr>
        <w:spacing w:before="40" w:after="160"/>
        <w:pBdr>
          <w:bottom w:val="single" w:sz="6" w:space="1" w:color="1E5B4F"/>
        </w:pBdr>
      </w:pPr>
    </w:p>
    <w:tbl>
      <w:tblPr>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tcW w:w="1655" w:type="dxa"/>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80" w:type="dxa"/>
              <w:right w:w="80" w:type="dxa"/>
            </w:tcMar>
          </w:tcPr>
          <w:p>
            <w:pPr>
              <w:jc w:val="center"/>
            </w:pPr>
            <w:r>
              <w:rPr>
                <w:rFonts w:ascii="Noto Sans" w:hAnsi="Noto Sans"/>
                <w:b/>
                <w:color w:val="FFFFFF"/>
                <w:sz w:val="14"/>
              </w:rPr>
              <w:t>PROYECTO</w:t>
            </w:r>
          </w:p>
        </w:tc>
        <w:tc>
          <w:tcPr>
            <w:tcW w:type="dxa" w:w="1425"/>
            <w:tcW w:w="1655" w:type="dxa"/>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80" w:type="dxa"/>
              <w:right w:w="80" w:type="dxa"/>
            </w:tcMar>
          </w:tcPr>
          <w:p>
            <w:pPr>
              <w:jc w:val="center"/>
            </w:pPr>
            <w:r>
              <w:rPr>
                <w:rFonts w:ascii="Noto Sans" w:hAnsi="Noto Sans"/>
                <w:b/>
                <w:color w:val="FFFFFF"/>
                <w:sz w:val="14"/>
              </w:rPr>
              <w:t>GIE</w:t>
            </w:r>
          </w:p>
        </w:tc>
        <w:tc>
          <w:tcPr>
            <w:tcW w:type="dxa" w:w="1425"/>
            <w:tcW w:w="936" w:type="dxa"/>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80" w:type="dxa"/>
              <w:right w:w="80" w:type="dxa"/>
            </w:tcMar>
          </w:tcPr>
          <w:p>
            <w:pPr>
              <w:jc w:val="center"/>
            </w:pPr>
            <w:r>
              <w:rPr>
                <w:rFonts w:ascii="Noto Sans" w:hAnsi="Noto Sans"/>
                <w:b/>
                <w:color w:val="FFFFFF"/>
                <w:sz w:val="14"/>
              </w:rPr>
              <w:t>TEC.</w:t>
            </w:r>
          </w:p>
        </w:tc>
        <w:tc>
          <w:tcPr>
            <w:tcW w:type="dxa" w:w="1425"/>
            <w:tcW w:w="1800" w:type="dxa"/>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80" w:type="dxa"/>
              <w:right w:w="80" w:type="dxa"/>
            </w:tcMar>
          </w:tcPr>
          <w:p>
            <w:pPr>
              <w:jc w:val="center"/>
            </w:pPr>
            <w:r>
              <w:rPr>
                <w:rFonts w:ascii="Noto Sans" w:hAnsi="Noto Sans"/>
                <w:b/>
                <w:color w:val="FFFFFF"/>
                <w:sz w:val="14"/>
              </w:rPr>
              <w:t>INTERCONEXIÓN</w:t>
            </w:r>
          </w:p>
        </w:tc>
        <w:tc>
          <w:tcPr>
            <w:tcW w:type="dxa" w:w="1425"/>
            <w:tcW w:w="576" w:type="dxa"/>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80" w:type="dxa"/>
              <w:right w:w="80" w:type="dxa"/>
            </w:tcMar>
          </w:tcPr>
          <w:p>
            <w:pPr>
              <w:jc w:val="center"/>
            </w:pPr>
            <w:r>
              <w:rPr>
                <w:rFonts w:ascii="Noto Sans" w:hAnsi="Noto Sans"/>
                <w:b/>
                <w:color w:val="FFFFFF"/>
                <w:sz w:val="14"/>
              </w:rPr>
              <w:t>MW</w:t>
            </w:r>
          </w:p>
        </w:tc>
        <w:tc>
          <w:tcPr>
            <w:tcW w:type="dxa" w:w="1425"/>
            <w:tcW w:w="1224" w:type="dxa"/>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80" w:type="dxa"/>
              <w:right w:w="80" w:type="dxa"/>
            </w:tcMar>
          </w:tcPr>
          <w:p>
            <w:pPr>
              <w:jc w:val="center"/>
            </w:pPr>
            <w:r>
              <w:rPr>
                <w:rFonts w:ascii="Noto Sans" w:hAnsi="Noto Sans"/>
                <w:b/>
                <w:color w:val="FFFFFF"/>
                <w:sz w:val="14"/>
              </w:rPr>
              <w:t>DECISIÓN</w:t>
            </w:r>
          </w:p>
        </w:tc>
        <w:tc>
          <w:tcPr>
            <w:tcW w:type="dxa" w:w="1425"/>
            <w:tcW w:w="1512" w:type="dxa"/>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80" w:type="dxa"/>
              <w:right w:w="80" w:type="dxa"/>
            </w:tcMar>
          </w:tcPr>
          <w:p>
            <w:pPr>
              <w:jc w:val="center"/>
            </w:pPr>
            <w:r>
              <w:rPr>
                <w:rFonts w:ascii="Noto Sans" w:hAnsi="Noto Sans"/>
                <w:b/>
                <w:color w:val="FFFFFF"/>
                <w:sz w:val="14"/>
              </w:rPr>
              <w:t>OBSERVACIÓN</w:t>
            </w:r>
          </w:p>
        </w:tc>
      </w:tr>
      <w:tr>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FV Santa Fe</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BLUEMEX SAN MIGUEL</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Solar FV</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SE Santa Fe</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122</w:t>
            </w:r>
          </w:p>
        </w:tc>
        <w:tc>
          <w:tcPr>
            <w:tcW w:type="dxa" w:w="1425"/>
            <w:shd w:val="clear" w:color="auto" w:fill="1E5B4F"/>
            <w:tcBorders>
              <w:top w:val="single" w:sz="4" w:space="0" w:color="BBBBBB"/>
              <w:left w:val="single" w:sz="4" w:space="0" w:color="BBBBBB"/>
              <w:bottom w:val="single" w:sz="4" w:space="0" w:color="BBBBBB"/>
              <w:right w:val="single" w:sz="4" w:space="0" w:color="BBBBBB"/>
            </w:tcBorders>
            <w:tcMar>
              <w:top w:w="50" w:type="dxa"/>
              <w:bottom w:w="50" w:type="dxa"/>
              <w:left w:w="60" w:type="dxa"/>
              <w:right w:w="60" w:type="dxa"/>
            </w:tcMar>
          </w:tcPr>
          <w:p>
            <w:pPr>
              <w:jc w:val="center"/>
            </w:pPr>
            <w:r>
              <w:rPr>
                <w:rFonts w:ascii="Noto Sans" w:hAnsi="Noto Sans"/>
                <w:b/>
                <w:color w:val="FFFFFF"/>
                <w:sz w:val="13"/>
              </w:rPr>
              <w:t>CONTINÚA</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Coincide CFE/CENACE</w:t>
            </w:r>
          </w:p>
        </w:tc>
      </w:tr>
      <w:tr>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El Mezquital</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GR Energía Renovables 3</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Solar FV</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SE Santa Fe (03STF-115)</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33</w:t>
            </w:r>
          </w:p>
        </w:tc>
        <w:tc>
          <w:tcPr>
            <w:tcW w:type="dxa" w:w="1425"/>
            <w:shd w:val="clear" w:color="auto" w:fill="1E5B4F"/>
            <w:tcBorders>
              <w:top w:val="single" w:sz="4" w:space="0" w:color="BBBBBB"/>
              <w:left w:val="single" w:sz="4" w:space="0" w:color="BBBBBB"/>
              <w:bottom w:val="single" w:sz="4" w:space="0" w:color="BBBBBB"/>
              <w:right w:val="single" w:sz="4" w:space="0" w:color="BBBBBB"/>
            </w:tcBorders>
            <w:tcMar>
              <w:top w:w="50" w:type="dxa"/>
              <w:bottom w:w="50" w:type="dxa"/>
              <w:left w:w="60" w:type="dxa"/>
              <w:right w:w="60" w:type="dxa"/>
            </w:tcMar>
          </w:tcPr>
          <w:p>
            <w:pPr>
              <w:jc w:val="center"/>
            </w:pPr>
            <w:r>
              <w:rPr>
                <w:rFonts w:ascii="Noto Sans" w:hAnsi="Noto Sans"/>
                <w:b/>
                <w:color w:val="FFFFFF"/>
                <w:sz w:val="13"/>
              </w:rPr>
              <w:t>CONTINÚA</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w:t>
            </w:r>
          </w:p>
        </w:tc>
      </w:tr>
      <w:tr>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Moctezuma SLP</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Iberdrola</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Solar FV</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SE Moctezuma</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96</w:t>
            </w:r>
          </w:p>
        </w:tc>
        <w:tc>
          <w:tcPr>
            <w:tcW w:type="dxa" w:w="1425"/>
            <w:shd w:val="clear" w:color="auto" w:fill="1E5B4F"/>
            <w:tcBorders>
              <w:top w:val="single" w:sz="4" w:space="0" w:color="BBBBBB"/>
              <w:left w:val="single" w:sz="4" w:space="0" w:color="BBBBBB"/>
              <w:bottom w:val="single" w:sz="4" w:space="0" w:color="BBBBBB"/>
              <w:right w:val="single" w:sz="4" w:space="0" w:color="BBBBBB"/>
            </w:tcBorders>
            <w:tcMar>
              <w:top w:w="50" w:type="dxa"/>
              <w:bottom w:w="50" w:type="dxa"/>
              <w:left w:w="60" w:type="dxa"/>
              <w:right w:w="60" w:type="dxa"/>
            </w:tcMar>
          </w:tcPr>
          <w:p>
            <w:pPr>
              <w:jc w:val="center"/>
            </w:pPr>
            <w:r>
              <w:rPr>
                <w:rFonts w:ascii="Noto Sans" w:hAnsi="Noto Sans"/>
                <w:b/>
                <w:color w:val="FFFFFF"/>
                <w:sz w:val="13"/>
              </w:rPr>
              <w:t>CONTINÚA</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Excluyente con Joya Honda</w:t>
            </w:r>
          </w:p>
        </w:tc>
      </w:tr>
      <w:tr>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FV Cuquío</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Iberdrola</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Solar FV</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SE Cuquío</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121</w:t>
            </w:r>
          </w:p>
        </w:tc>
        <w:tc>
          <w:tcPr>
            <w:tcW w:type="dxa" w:w="1425"/>
            <w:shd w:val="clear" w:color="auto" w:fill="1E5B4F"/>
            <w:tcBorders>
              <w:top w:val="single" w:sz="4" w:space="0" w:color="BBBBBB"/>
              <w:left w:val="single" w:sz="4" w:space="0" w:color="BBBBBB"/>
              <w:bottom w:val="single" w:sz="4" w:space="0" w:color="BBBBBB"/>
              <w:right w:val="single" w:sz="4" w:space="0" w:color="BBBBBB"/>
            </w:tcBorders>
            <w:tcMar>
              <w:top w:w="50" w:type="dxa"/>
              <w:bottom w:w="50" w:type="dxa"/>
              <w:left w:w="60" w:type="dxa"/>
              <w:right w:w="60" w:type="dxa"/>
            </w:tcMar>
          </w:tcPr>
          <w:p>
            <w:pPr>
              <w:jc w:val="center"/>
            </w:pPr>
            <w:r>
              <w:rPr>
                <w:rFonts w:ascii="Noto Sans" w:hAnsi="Noto Sans"/>
                <w:b/>
                <w:color w:val="FFFFFF"/>
                <w:sz w:val="13"/>
              </w:rPr>
              <w:t>CONTINÚA</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w:t>
            </w:r>
          </w:p>
        </w:tc>
      </w:tr>
      <w:tr>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Parque Solar Lagos El Potrero</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Desarrollo de Proyectos Solares FV</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Solar FV</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LGG-115</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112</w:t>
            </w:r>
          </w:p>
        </w:tc>
        <w:tc>
          <w:tcPr>
            <w:tcW w:type="dxa" w:w="1425"/>
            <w:shd w:val="clear" w:color="auto" w:fill="1E5B4F"/>
            <w:tcBorders>
              <w:top w:val="single" w:sz="4" w:space="0" w:color="BBBBBB"/>
              <w:left w:val="single" w:sz="4" w:space="0" w:color="BBBBBB"/>
              <w:bottom w:val="single" w:sz="4" w:space="0" w:color="BBBBBB"/>
              <w:right w:val="single" w:sz="4" w:space="0" w:color="BBBBBB"/>
            </w:tcBorders>
            <w:tcMar>
              <w:top w:w="50" w:type="dxa"/>
              <w:bottom w:w="50" w:type="dxa"/>
              <w:left w:w="60" w:type="dxa"/>
              <w:right w:w="60" w:type="dxa"/>
            </w:tcMar>
          </w:tcPr>
          <w:p>
            <w:pPr>
              <w:jc w:val="center"/>
            </w:pPr>
            <w:r>
              <w:rPr>
                <w:rFonts w:ascii="Noto Sans" w:hAnsi="Noto Sans"/>
                <w:b/>
                <w:color w:val="FFFFFF"/>
                <w:sz w:val="13"/>
              </w:rPr>
              <w:t>CONTINÚA</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Excluyente con Dalia 4</w:t>
            </w:r>
          </w:p>
        </w:tc>
      </w:tr>
      <w:tr>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FV Villa Juárez</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Iberdrola</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Solar FV</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SE Villa Juárez</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145</w:t>
            </w:r>
          </w:p>
        </w:tc>
        <w:tc>
          <w:tcPr>
            <w:tcW w:type="dxa" w:w="1425"/>
            <w:shd w:val="clear" w:color="auto" w:fill="1E5B4F"/>
            <w:tcBorders>
              <w:top w:val="single" w:sz="4" w:space="0" w:color="BBBBBB"/>
              <w:left w:val="single" w:sz="4" w:space="0" w:color="BBBBBB"/>
              <w:bottom w:val="single" w:sz="4" w:space="0" w:color="BBBBBB"/>
              <w:right w:val="single" w:sz="4" w:space="0" w:color="BBBBBB"/>
            </w:tcBorders>
            <w:tcMar>
              <w:top w:w="50" w:type="dxa"/>
              <w:bottom w:w="50" w:type="dxa"/>
              <w:left w:w="60" w:type="dxa"/>
              <w:right w:w="60" w:type="dxa"/>
            </w:tcMar>
          </w:tcPr>
          <w:p>
            <w:pPr>
              <w:jc w:val="center"/>
            </w:pPr>
            <w:r>
              <w:rPr>
                <w:rFonts w:ascii="Noto Sans" w:hAnsi="Noto Sans"/>
                <w:b/>
                <w:color w:val="FFFFFF"/>
                <w:sz w:val="13"/>
              </w:rPr>
              <w:t>CONTINÚA</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Excluyente con San Agustín</w:t>
            </w:r>
          </w:p>
        </w:tc>
      </w:tr>
      <w:tr>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FV San Diego de la Unión</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Iberdrola</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Solar FV</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SE San Diego Peñuelas</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157</w:t>
            </w:r>
          </w:p>
        </w:tc>
        <w:tc>
          <w:tcPr>
            <w:tcW w:type="dxa" w:w="1425"/>
            <w:shd w:val="clear" w:color="auto" w:fill="1E5B4F"/>
            <w:tcBorders>
              <w:top w:val="single" w:sz="4" w:space="0" w:color="BBBBBB"/>
              <w:left w:val="single" w:sz="4" w:space="0" w:color="BBBBBB"/>
              <w:bottom w:val="single" w:sz="4" w:space="0" w:color="BBBBBB"/>
              <w:right w:val="single" w:sz="4" w:space="0" w:color="BBBBBB"/>
            </w:tcBorders>
            <w:tcMar>
              <w:top w:w="50" w:type="dxa"/>
              <w:bottom w:w="50" w:type="dxa"/>
              <w:left w:w="60" w:type="dxa"/>
              <w:right w:w="60" w:type="dxa"/>
            </w:tcMar>
          </w:tcPr>
          <w:p>
            <w:pPr>
              <w:jc w:val="center"/>
            </w:pPr>
            <w:r>
              <w:rPr>
                <w:rFonts w:ascii="Noto Sans" w:hAnsi="Noto Sans"/>
                <w:b/>
                <w:color w:val="FFFFFF"/>
                <w:sz w:val="13"/>
              </w:rPr>
              <w:t>CONTINÚA</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w:t>
            </w:r>
          </w:p>
        </w:tc>
      </w:tr>
      <w:tr>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EOL Joya Honda</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Iberdrola</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Eólica</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SE El Potosí</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177</w:t>
            </w:r>
          </w:p>
        </w:tc>
        <w:tc>
          <w:tcPr>
            <w:tcW w:type="dxa" w:w="1425"/>
            <w:shd w:val="clear" w:color="auto" w:fill="1E5B4F"/>
            <w:tcBorders>
              <w:top w:val="single" w:sz="4" w:space="0" w:color="BBBBBB"/>
              <w:left w:val="single" w:sz="4" w:space="0" w:color="BBBBBB"/>
              <w:bottom w:val="single" w:sz="4" w:space="0" w:color="BBBBBB"/>
              <w:right w:val="single" w:sz="4" w:space="0" w:color="BBBBBB"/>
            </w:tcBorders>
            <w:tcMar>
              <w:top w:w="50" w:type="dxa"/>
              <w:bottom w:w="50" w:type="dxa"/>
              <w:left w:w="60" w:type="dxa"/>
              <w:right w:w="60" w:type="dxa"/>
            </w:tcMar>
          </w:tcPr>
          <w:p>
            <w:pPr>
              <w:jc w:val="center"/>
            </w:pPr>
            <w:r>
              <w:rPr>
                <w:rFonts w:ascii="Noto Sans" w:hAnsi="Noto Sans"/>
                <w:b/>
                <w:color w:val="FFFFFF"/>
                <w:sz w:val="13"/>
              </w:rPr>
              <w:t>CONTINÚA</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Excluyente con Moctezuma</w:t>
            </w:r>
          </w:p>
        </w:tc>
      </w:tr>
      <w:tr>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Cañada y el Encino</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Greendat</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Solar FV</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SE Irapuato II</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125</w:t>
            </w:r>
          </w:p>
        </w:tc>
        <w:tc>
          <w:tcPr>
            <w:tcW w:type="dxa" w:w="1425"/>
            <w:shd w:val="clear" w:color="auto" w:fill="A57F2C"/>
            <w:tcBorders>
              <w:top w:val="single" w:sz="4" w:space="0" w:color="BBBBBB"/>
              <w:left w:val="single" w:sz="4" w:space="0" w:color="BBBBBB"/>
              <w:bottom w:val="single" w:sz="4" w:space="0" w:color="BBBBBB"/>
              <w:right w:val="single" w:sz="4" w:space="0" w:color="BBBBBB"/>
            </w:tcBorders>
            <w:tcMar>
              <w:top w:w="50" w:type="dxa"/>
              <w:bottom w:w="50" w:type="dxa"/>
              <w:left w:w="60" w:type="dxa"/>
              <w:right w:w="60" w:type="dxa"/>
            </w:tcMar>
          </w:tcPr>
          <w:p>
            <w:pPr>
              <w:jc w:val="center"/>
            </w:pPr>
            <w:r>
              <w:rPr>
                <w:rFonts w:ascii="Noto Sans" w:hAnsi="Noto Sans"/>
                <w:b/>
                <w:color w:val="FFFFFF"/>
                <w:sz w:val="13"/>
              </w:rPr>
              <w:t>PENDIENTE</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En revisión; posible Selka Power (mixto)</w:t>
            </w:r>
          </w:p>
        </w:tc>
      </w:tr>
      <w:tr>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Parque Solar San Agustín</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AES México</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Solar FV</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SE CFE Villa Hidalgo</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45</w:t>
            </w:r>
          </w:p>
        </w:tc>
        <w:tc>
          <w:tcPr>
            <w:tcW w:type="dxa" w:w="1425"/>
            <w:shd w:val="clear" w:color="auto" w:fill="1E5B4F"/>
            <w:tcBorders>
              <w:top w:val="single" w:sz="4" w:space="0" w:color="BBBBBB"/>
              <w:left w:val="single" w:sz="4" w:space="0" w:color="BBBBBB"/>
              <w:bottom w:val="single" w:sz="4" w:space="0" w:color="BBBBBB"/>
              <w:right w:val="single" w:sz="4" w:space="0" w:color="BBBBBB"/>
            </w:tcBorders>
            <w:tcMar>
              <w:top w:w="50" w:type="dxa"/>
              <w:bottom w:w="50" w:type="dxa"/>
              <w:left w:w="60" w:type="dxa"/>
              <w:right w:w="60" w:type="dxa"/>
            </w:tcMar>
          </w:tcPr>
          <w:p>
            <w:pPr>
              <w:jc w:val="center"/>
            </w:pPr>
            <w:r>
              <w:rPr>
                <w:rFonts w:ascii="Noto Sans" w:hAnsi="Noto Sans"/>
                <w:b/>
                <w:color w:val="FFFFFF"/>
                <w:sz w:val="13"/>
              </w:rPr>
              <w:t>CONTINÚA</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Excluyente con Villa Juárez</w:t>
            </w:r>
          </w:p>
        </w:tc>
      </w:tr>
      <w:tr>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Santiago PV</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Conv. Extraordinaria</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Solar FV</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SE Santiago Ixcuintla 115 kV</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75</w:t>
            </w:r>
          </w:p>
        </w:tc>
        <w:tc>
          <w:tcPr>
            <w:tcW w:type="dxa" w:w="1425"/>
            <w:shd w:val="clear" w:color="auto" w:fill="1E5B4F"/>
            <w:tcBorders>
              <w:top w:val="single" w:sz="4" w:space="0" w:color="BBBBBB"/>
              <w:left w:val="single" w:sz="4" w:space="0" w:color="BBBBBB"/>
              <w:bottom w:val="single" w:sz="4" w:space="0" w:color="BBBBBB"/>
              <w:right w:val="single" w:sz="4" w:space="0" w:color="BBBBBB"/>
            </w:tcBorders>
            <w:tcMar>
              <w:top w:w="50" w:type="dxa"/>
              <w:bottom w:w="50" w:type="dxa"/>
              <w:left w:w="60" w:type="dxa"/>
              <w:right w:w="60" w:type="dxa"/>
            </w:tcMar>
          </w:tcPr>
          <w:p>
            <w:pPr>
              <w:jc w:val="center"/>
            </w:pPr>
            <w:r>
              <w:rPr>
                <w:rFonts w:ascii="Noto Sans" w:hAnsi="Noto Sans"/>
                <w:b/>
                <w:color w:val="FFFFFF"/>
                <w:sz w:val="13"/>
              </w:rPr>
              <w:t>CONTINÚA</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Excluyente con Sol de Nayarit</w:t>
            </w:r>
          </w:p>
        </w:tc>
      </w:tr>
      <w:tr>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Dalia 4 (PV Lagos)</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Energía Renovable Dalia 4</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Solar FV</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Lagos Galera</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118</w:t>
            </w:r>
          </w:p>
        </w:tc>
        <w:tc>
          <w:tcPr>
            <w:tcW w:type="dxa" w:w="1425"/>
            <w:shd w:val="clear" w:color="auto" w:fill="1E5B4F"/>
            <w:tcBorders>
              <w:top w:val="single" w:sz="4" w:space="0" w:color="BBBBBB"/>
              <w:left w:val="single" w:sz="4" w:space="0" w:color="BBBBBB"/>
              <w:bottom w:val="single" w:sz="4" w:space="0" w:color="BBBBBB"/>
              <w:right w:val="single" w:sz="4" w:space="0" w:color="BBBBBB"/>
            </w:tcBorders>
            <w:tcMar>
              <w:top w:w="50" w:type="dxa"/>
              <w:bottom w:w="50" w:type="dxa"/>
              <w:left w:w="60" w:type="dxa"/>
              <w:right w:w="60" w:type="dxa"/>
            </w:tcMar>
          </w:tcPr>
          <w:p>
            <w:pPr>
              <w:jc w:val="center"/>
            </w:pPr>
            <w:r>
              <w:rPr>
                <w:rFonts w:ascii="Noto Sans" w:hAnsi="Noto Sans"/>
                <w:b/>
                <w:color w:val="FFFFFF"/>
                <w:sz w:val="13"/>
              </w:rPr>
              <w:t>CONTINÚA</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Excluyente con Lagos El Potrero</w:t>
            </w:r>
          </w:p>
        </w:tc>
      </w:tr>
      <w:tr>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Pfv Guanajuato I</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Alten Renewable Energy</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Solar FV</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SE San Diego Peñuelas</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92</w:t>
            </w:r>
          </w:p>
        </w:tc>
        <w:tc>
          <w:tcPr>
            <w:tcW w:type="dxa" w:w="1425"/>
            <w:shd w:val="clear" w:color="auto" w:fill="1E5B4F"/>
            <w:tcBorders>
              <w:top w:val="single" w:sz="4" w:space="0" w:color="BBBBBB"/>
              <w:left w:val="single" w:sz="4" w:space="0" w:color="BBBBBB"/>
              <w:bottom w:val="single" w:sz="4" w:space="0" w:color="BBBBBB"/>
              <w:right w:val="single" w:sz="4" w:space="0" w:color="BBBBBB"/>
            </w:tcBorders>
            <w:tcMar>
              <w:top w:w="50" w:type="dxa"/>
              <w:bottom w:w="50" w:type="dxa"/>
              <w:left w:w="60" w:type="dxa"/>
              <w:right w:w="60" w:type="dxa"/>
            </w:tcMar>
          </w:tcPr>
          <w:p>
            <w:pPr>
              <w:jc w:val="center"/>
            </w:pPr>
            <w:r>
              <w:rPr>
                <w:rFonts w:ascii="Noto Sans" w:hAnsi="Noto Sans"/>
                <w:b/>
                <w:color w:val="FFFFFF"/>
                <w:sz w:val="13"/>
              </w:rPr>
              <w:t>CONTINÚA</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w:t>
            </w:r>
          </w:p>
        </w:tc>
      </w:tr>
      <w:tr>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Teuchitlán Solar</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Proyener</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Solar FV</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S.E. La Vega</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38</w:t>
            </w:r>
          </w:p>
        </w:tc>
        <w:tc>
          <w:tcPr>
            <w:tcW w:type="dxa" w:w="1425"/>
            <w:shd w:val="clear" w:color="auto" w:fill="1E5B4F"/>
            <w:tcBorders>
              <w:top w:val="single" w:sz="4" w:space="0" w:color="BBBBBB"/>
              <w:left w:val="single" w:sz="4" w:space="0" w:color="BBBBBB"/>
              <w:bottom w:val="single" w:sz="4" w:space="0" w:color="BBBBBB"/>
              <w:right w:val="single" w:sz="4" w:space="0" w:color="BBBBBB"/>
            </w:tcBorders>
            <w:tcMar>
              <w:top w:w="50" w:type="dxa"/>
              <w:bottom w:w="50" w:type="dxa"/>
              <w:left w:w="60" w:type="dxa"/>
              <w:right w:w="60" w:type="dxa"/>
            </w:tcMar>
          </w:tcPr>
          <w:p>
            <w:pPr>
              <w:jc w:val="center"/>
            </w:pPr>
            <w:r>
              <w:rPr>
                <w:rFonts w:ascii="Noto Sans" w:hAnsi="Noto Sans"/>
                <w:b/>
                <w:color w:val="FFFFFF"/>
                <w:sz w:val="13"/>
              </w:rPr>
              <w:t>CONTINÚA</w:t>
            </w:r>
          </w:p>
        </w:tc>
        <w:tc>
          <w:tcPr>
            <w:tcW w:type="dxa" w:w="1425"/>
            <w:shd w:val="clear" w:color="auto" w:fill="F2F6F4"/>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w:t>
            </w:r>
          </w:p>
        </w:tc>
      </w:tr>
      <w:tr>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La Sauceda Solar</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Empresarial</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Solar FV</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SE San Diego Peñuelas</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99</w:t>
            </w:r>
          </w:p>
        </w:tc>
        <w:tc>
          <w:tcPr>
            <w:tcW w:type="dxa" w:w="1425"/>
            <w:shd w:val="clear" w:color="auto" w:fill="1E5B4F"/>
            <w:tcBorders>
              <w:top w:val="single" w:sz="4" w:space="0" w:color="BBBBBB"/>
              <w:left w:val="single" w:sz="4" w:space="0" w:color="BBBBBB"/>
              <w:bottom w:val="single" w:sz="4" w:space="0" w:color="BBBBBB"/>
              <w:right w:val="single" w:sz="4" w:space="0" w:color="BBBBBB"/>
            </w:tcBorders>
            <w:tcMar>
              <w:top w:w="50" w:type="dxa"/>
              <w:bottom w:w="50" w:type="dxa"/>
              <w:left w:w="60" w:type="dxa"/>
              <w:right w:w="60" w:type="dxa"/>
            </w:tcMar>
          </w:tcPr>
          <w:p>
            <w:pPr>
              <w:jc w:val="center"/>
            </w:pPr>
            <w:r>
              <w:rPr>
                <w:rFonts w:ascii="Noto Sans" w:hAnsi="Noto Sans"/>
                <w:b/>
                <w:color w:val="FFFFFF"/>
                <w:sz w:val="13"/>
              </w:rPr>
              <w:t>CONTINÚA</w:t>
            </w:r>
          </w:p>
        </w:tc>
        <w:tc>
          <w:tcPr>
            <w:tcW w:type="dxa" w:w="14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6"/>
              </w:rPr>
              <w:t>Preferente sobre Tampico</w:t>
            </w:r>
          </w:p>
        </w:tc>
      </w:tr>
    </w:tbl>
    <w:tbl>
      <w:tblPr>
        <w:tblW w:type="auto" w:w="0"/>
        <w:tblLook w:firstColumn="1" w:firstRow="1" w:lastColumn="0" w:lastRow="0" w:noHBand="0" w:noVBand="1" w:val="04A0"/>
      </w:tblPr>
      <w:tblGrid>
        <w:gridCol w:w="9974"/>
      </w:tblGrid>
      <w:tr>
        <w:tc>
          <w:tcPr>
            <w:tcW w:type="dxa" w:w="9974"/>
            <w:shd w:val="clear" w:color="auto" w:fill="FAF6EE"/>
            <w:tcMar>
              <w:top w:w="100" w:type="dxa"/>
              <w:bottom w:w="100" w:type="dxa"/>
              <w:left w:w="140" w:type="dxa"/>
              <w:right w:w="120" w:type="dxa"/>
            </w:tcMar>
            <w:tcBorders>
              <w:left w:val="single" w:sz="24" w:space="0" w:color="A57F2C"/>
              <w:top w:val="none"/>
              <w:bottom w:val="none"/>
              <w:right w:val="none"/>
            </w:tcBorders>
          </w:tcPr>
          <w:p>
            <w:r>
              <w:rPr>
                <w:rFonts w:ascii="Noto Sans" w:hAnsi="Noto Sans"/>
                <w:b/>
                <w:color w:val="A57F2C"/>
                <w:sz w:val="18"/>
              </w:rPr>
              <w:t>⚠  Supuesto</w:t>
            </w:r>
          </w:p>
          <w:p>
            <w:pPr>
              <w:spacing w:before="40"/>
            </w:pPr>
            <w:r>
              <w:rPr>
                <w:rFonts w:ascii="Noto Sans" w:hAnsi="Noto Sans"/>
                <w:color w:val="1A1A1A"/>
                <w:sz w:val="19"/>
              </w:rPr>
              <w:t>La preselección por proyecto es preliminar; las decisiones definitivas quedan sujetas al cruce de impacto social y a la confirmación de CENACE.</w:t>
            </w:r>
          </w:p>
        </w:tc>
      </w:tr>
    </w:tbl>
    <w:p>
      <w:pPr>
        <w:spacing w:before="280" w:after="80"/>
      </w:pPr>
      <w:r>
        <w:rPr>
          <w:rFonts w:ascii="Merriweather" w:hAnsi="Merriweather"/>
          <w:b/>
          <w:color w:val="1E5B4F"/>
          <w:sz w:val="26"/>
        </w:rPr>
        <w:t>Próxima reunión</w:t>
      </w:r>
    </w:p>
    <w:p>
      <w:pPr>
        <w:spacing w:before="40" w:after="160"/>
        <w:pBdr>
          <w:bottom w:val="single" w:sz="6" w:space="1" w:color="1E5B4F"/>
        </w:pBdr>
      </w:pPr>
    </w:p>
    <w:tbl>
      <w:tblPr>
        <w:tblW w:type="auto" w:w="0"/>
        <w:jc w:val="center"/>
        <w:tblLook w:firstColumn="1" w:firstRow="1" w:lastColumn="0" w:lastRow="0" w:noHBand="0" w:noVBand="1" w:val="04A0"/>
      </w:tblPr>
      <w:tblGrid>
        <w:gridCol w:w="4987"/>
        <w:gridCol w:w="4987"/>
      </w:tblGrid>
      <w:tr>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EFF4F2"/>
            <w:tcW w:w="3024" w:type="dxa"/>
          </w:tcPr>
          <w:p>
            <w:r>
              <w:rPr>
                <w:rFonts w:ascii="Noto Sans" w:hAnsi="Noto Sans"/>
                <w:b/>
                <w:color w:val="1E5B4F"/>
                <w:sz w:val="19"/>
              </w:rPr>
              <w:t>Fecha tentativa</w:t>
            </w:r>
          </w:p>
        </w:tc>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W w:w="6336" w:type="dxa"/>
          </w:tcPr>
          <w:p>
            <w:r>
              <w:rPr>
                <w:rFonts w:ascii="Noto Sans" w:hAnsi="Noto Sans"/>
                <w:b w:val="0"/>
                <w:color w:val="1A1A1A"/>
                <w:sz w:val="19"/>
              </w:rPr>
              <w:t>Por definir</w:t>
            </w:r>
          </w:p>
        </w:tc>
      </w:tr>
      <w:tr>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EFF4F2"/>
            <w:tcW w:w="3024" w:type="dxa"/>
          </w:tcPr>
          <w:p>
            <w:r>
              <w:rPr>
                <w:rFonts w:ascii="Noto Sans" w:hAnsi="Noto Sans"/>
                <w:b/>
                <w:color w:val="1E5B4F"/>
                <w:sz w:val="19"/>
              </w:rPr>
              <w:t>Temas propuestos</w:t>
            </w:r>
          </w:p>
        </w:tc>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W w:w="6336" w:type="dxa"/>
          </w:tcPr>
          <w:p>
            <w:r>
              <w:rPr>
                <w:rFonts w:ascii="Noto Sans" w:hAnsi="Noto Sans"/>
                <w:b w:val="0"/>
                <w:color w:val="1A1A1A"/>
                <w:sz w:val="19"/>
              </w:rPr>
              <w:t>Cierre de la lista; obras de refuerzo asociadas; definición de Selka Power</w:t>
            </w:r>
          </w:p>
        </w:tc>
      </w:tr>
      <w:tr>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EFF4F2"/>
            <w:tcW w:w="3024" w:type="dxa"/>
          </w:tcPr>
          <w:p>
            <w:r>
              <w:rPr>
                <w:rFonts w:ascii="Noto Sans" w:hAnsi="Noto Sans"/>
                <w:b/>
                <w:color w:val="1E5B4F"/>
                <w:sz w:val="19"/>
              </w:rPr>
              <w:t>Responsable de convocatoria</w:t>
            </w:r>
          </w:p>
        </w:tc>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W w:w="6336" w:type="dxa"/>
          </w:tcPr>
          <w:p>
            <w:r>
              <w:rPr>
                <w:rFonts w:ascii="Noto Sans" w:hAnsi="Noto Sans"/>
                <w:b w:val="0"/>
                <w:color w:val="1A1A1A"/>
                <w:sz w:val="19"/>
              </w:rPr>
              <w:t>Claudia Marcela Meza Vega</w:t>
            </w:r>
          </w:p>
        </w:tc>
      </w:tr>
    </w:tbl>
    <w:p>
      <w:pPr>
        <w:spacing w:before="280" w:after="80"/>
      </w:pPr>
      <w:r>
        <w:rPr>
          <w:rFonts w:ascii="Merriweather" w:hAnsi="Merriweather"/>
          <w:b/>
          <w:color w:val="1E5B4F"/>
          <w:sz w:val="26"/>
        </w:rPr>
        <w:t>Validación</w:t>
      </w:r>
    </w:p>
    <w:p>
      <w:pPr>
        <w:spacing w:before="40" w:after="160"/>
        <w:pBdr>
          <w:bottom w:val="single" w:sz="6" w:space="1" w:color="1E5B4F"/>
        </w:pBdr>
      </w:pPr>
    </w:p>
    <w:tbl>
      <w:tblPr>
        <w:tblW w:type="auto" w:w="0"/>
        <w:jc w:val="center"/>
        <w:tblLook w:firstColumn="1" w:firstRow="1" w:lastColumn="0" w:lastRow="0" w:noHBand="0" w:noVBand="1" w:val="04A0"/>
      </w:tblPr>
      <w:tblGrid>
        <w:gridCol w:w="3325"/>
        <w:gridCol w:w="3325"/>
        <w:gridCol w:w="3325"/>
      </w:tblGrid>
      <w:tr>
        <w:tc>
          <w:tcPr>
            <w:tcW w:type="dxa" w:w="3325"/>
            <w:tcW w:w="3168" w:type="dxa"/>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80" w:type="dxa"/>
              <w:right w:w="80" w:type="dxa"/>
            </w:tcMar>
          </w:tcPr>
          <w:p>
            <w:pPr>
              <w:jc w:val="center"/>
            </w:pPr>
            <w:r>
              <w:rPr>
                <w:rFonts w:ascii="Noto Sans" w:hAnsi="Noto Sans"/>
                <w:b/>
                <w:color w:val="FFFFFF"/>
                <w:sz w:val="17"/>
              </w:rPr>
              <w:t>ELABORÓ</w:t>
            </w:r>
          </w:p>
        </w:tc>
        <w:tc>
          <w:tcPr>
            <w:tcW w:type="dxa" w:w="3325"/>
            <w:tcW w:w="3168" w:type="dxa"/>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80" w:type="dxa"/>
              <w:right w:w="80" w:type="dxa"/>
            </w:tcMar>
          </w:tcPr>
          <w:p>
            <w:pPr>
              <w:jc w:val="center"/>
            </w:pPr>
            <w:r>
              <w:rPr>
                <w:rFonts w:ascii="Noto Sans" w:hAnsi="Noto Sans"/>
                <w:b/>
                <w:color w:val="FFFFFF"/>
                <w:sz w:val="17"/>
              </w:rPr>
              <w:t>REVISÓ</w:t>
            </w:r>
          </w:p>
        </w:tc>
        <w:tc>
          <w:tcPr>
            <w:tcW w:type="dxa" w:w="3325"/>
            <w:tcW w:w="3311" w:type="dxa"/>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80" w:type="dxa"/>
              <w:right w:w="80" w:type="dxa"/>
            </w:tcMar>
          </w:tcPr>
          <w:p>
            <w:pPr>
              <w:jc w:val="center"/>
            </w:pPr>
            <w:r>
              <w:rPr>
                <w:rFonts w:ascii="Noto Sans" w:hAnsi="Noto Sans"/>
                <w:b/>
                <w:color w:val="FFFFFF"/>
                <w:sz w:val="17"/>
              </w:rPr>
              <w:t>VISTO BUENO</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DGMESNIE</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Antonino López Ríos</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80" w:type="dxa"/>
              <w:right w:w="80" w:type="dxa"/>
            </w:tcMar>
          </w:tcPr>
          <w:p>
            <w:r>
              <w:rPr>
                <w:rFonts w:ascii="Noto Sans" w:hAnsi="Noto Sans"/>
                <w:color w:val="1A1A1A"/>
                <w:sz w:val="19"/>
              </w:rPr>
              <w:t>Claudia Marcela Meza Vega</w:t>
            </w:r>
          </w:p>
        </w:tc>
      </w:tr>
    </w:tbl>
    <w:sectPr w:rsidR="0060769B" w:rsidRPr="00577677" w:rsidSect="003F52AB">
      <w:headerReference w:type="even" r:id="rId11"/>
      <w:headerReference w:type="default" r:id="rId12"/>
      <w:footerReference w:type="default" r:id="rId13"/>
      <w:headerReference w:type="first" r:id="rId14"/>
      <w:pgSz w:w="12242" w:h="19278" w:code="120"/>
      <w:pgMar w:top="2381" w:right="1134" w:bottom="1814" w:left="1134" w:header="90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77EF7" w14:textId="77777777" w:rsidR="00B10A42" w:rsidRPr="00577677" w:rsidRDefault="00B10A42" w:rsidP="00BE461E">
      <w:r w:rsidRPr="00577677">
        <w:separator/>
      </w:r>
    </w:p>
  </w:endnote>
  <w:endnote w:type="continuationSeparator" w:id="0">
    <w:p w14:paraId="1CA1270E" w14:textId="77777777" w:rsidR="00B10A42" w:rsidRPr="00577677" w:rsidRDefault="00B10A42" w:rsidP="00BE461E">
      <w:r w:rsidRPr="0057767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Patria">
    <w:altName w:val="Cambria"/>
    <w:panose1 w:val="00000000000000000000"/>
    <w:charset w:val="00"/>
    <w:family w:val="modern"/>
    <w:notTrueType/>
    <w:pitch w:val="variable"/>
    <w:sig w:usb0="80000087" w:usb1="00000042"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Noto Sans Medium">
    <w:altName w:val="Calibri"/>
    <w:charset w:val="00"/>
    <w:family w:val="swiss"/>
    <w:pitch w:val="variable"/>
    <w:sig w:usb0="E00002FF" w:usb1="4000201F" w:usb2="08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72DB" w14:textId="77777777" w:rsidR="00ED76F2" w:rsidRPr="00577677" w:rsidRDefault="00ED76F2">
    <w:pPr>
      <w:pStyle w:val="Piedepgina"/>
    </w:pPr>
    <w:r w:rsidRPr="00577677">
      <w:rPr>
        <w:noProof/>
      </w:rPr>
      <mc:AlternateContent>
        <mc:Choice Requires="wps">
          <w:drawing>
            <wp:anchor distT="0" distB="0" distL="114300" distR="114300" simplePos="0" relativeHeight="251656192" behindDoc="0" locked="0" layoutInCell="1" hidden="0" allowOverlap="1" wp14:anchorId="62EE5DC4" wp14:editId="6D901239">
              <wp:simplePos x="0" y="0"/>
              <wp:positionH relativeFrom="column">
                <wp:posOffset>1584960</wp:posOffset>
              </wp:positionH>
              <wp:positionV relativeFrom="paragraph">
                <wp:posOffset>56928</wp:posOffset>
              </wp:positionV>
              <wp:extent cx="4939030" cy="295910"/>
              <wp:effectExtent l="0" t="0" r="0" b="8890"/>
              <wp:wrapNone/>
              <wp:docPr id="464501762" name="Rectángulo 464501762"/>
              <wp:cNvGraphicFramePr/>
              <a:graphic xmlns:a="http://schemas.openxmlformats.org/drawingml/2006/main">
                <a:graphicData uri="http://schemas.microsoft.com/office/word/2010/wordprocessingShape">
                  <wps:wsp>
                    <wps:cNvSpPr/>
                    <wps:spPr>
                      <a:xfrm>
                        <a:off x="0" y="0"/>
                        <a:ext cx="4939030" cy="295910"/>
                      </a:xfrm>
                      <a:prstGeom prst="rect">
                        <a:avLst/>
                      </a:prstGeom>
                      <a:noFill/>
                      <a:ln>
                        <a:noFill/>
                      </a:ln>
                    </wps:spPr>
                    <wps:txbx>
                      <w:txbxContent>
                        <w:p w14:paraId="76069F0A" w14:textId="4CF57A48" w:rsidR="003F52AB" w:rsidRPr="00577677" w:rsidRDefault="003F52AB" w:rsidP="003F52AB">
                          <w:pPr>
                            <w:textDirection w:val="btLr"/>
                            <w:rPr>
                              <w:rFonts w:eastAsia="Noto Sans" w:cs="Noto Sans"/>
                              <w:color w:val="4D192A"/>
                              <w:sz w:val="13"/>
                            </w:rPr>
                          </w:pPr>
                          <w:r w:rsidRPr="00577677">
                            <w:rPr>
                              <w:rFonts w:eastAsia="Noto Sans" w:cs="Noto Sans"/>
                              <w:color w:val="4D192A"/>
                              <w:sz w:val="13"/>
                            </w:rPr>
                            <w:t>Av. Insurgentes, Número 20, de la Glorieta de Insurgentes, Col</w:t>
                          </w:r>
                          <w:r w:rsidR="0006610A" w:rsidRPr="00577677">
                            <w:rPr>
                              <w:rFonts w:eastAsia="Noto Sans" w:cs="Noto Sans"/>
                              <w:color w:val="4D192A"/>
                              <w:sz w:val="13"/>
                            </w:rPr>
                            <w:t>.</w:t>
                          </w:r>
                          <w:r w:rsidRPr="00577677">
                            <w:rPr>
                              <w:rFonts w:eastAsia="Noto Sans" w:cs="Noto Sans"/>
                              <w:color w:val="4D192A"/>
                              <w:sz w:val="13"/>
                            </w:rPr>
                            <w:t xml:space="preserve"> Roma Norte, C.P. 06700. Alcaldía Cuauhtémoc. CDMX.</w:t>
                          </w:r>
                        </w:p>
                        <w:p w14:paraId="7710495A" w14:textId="77777777" w:rsidR="003F52AB" w:rsidRPr="00577677" w:rsidRDefault="003F52AB" w:rsidP="003F52AB">
                          <w:pPr>
                            <w:textDirection w:val="btLr"/>
                          </w:pPr>
                          <w:r w:rsidRPr="00577677">
                            <w:rPr>
                              <w:rFonts w:eastAsia="Noto Sans" w:cs="Noto Sans"/>
                              <w:color w:val="4D192A"/>
                              <w:sz w:val="13"/>
                            </w:rPr>
                            <w:t>Tel: (55) 5000 6000    www.gob.mx/sener</w:t>
                          </w:r>
                        </w:p>
                        <w:p w14:paraId="46DAF250" w14:textId="77777777" w:rsidR="00ED76F2" w:rsidRPr="00577677" w:rsidRDefault="00ED76F2" w:rsidP="00ED76F2">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62EE5DC4" id="Rectángulo 464501762" o:spid="_x0000_s1026" style="position:absolute;margin-left:124.8pt;margin-top:4.5pt;width:388.9pt;height:23.3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" filled="f" stroked="f">
              <v:textbox inset="2.53958mm,1.2694mm,2.53958mm,1.2694mm">
                <w:txbxContent>
                  <w:p w14:paraId="76069F0A" w14:textId="4CF57A48" w:rsidR="003F52AB" w:rsidRPr="00577677" w:rsidRDefault="003F52AB" w:rsidP="003F52AB">
                    <w:pPr>
                      <w:textDirection w:val="btLr"/>
                      <w:rPr>
                        <w:rFonts w:eastAsia="Noto Sans" w:cs="Noto Sans"/>
                        <w:color w:val="4D192A"/>
                        <w:sz w:val="13"/>
                      </w:rPr>
                    </w:pPr>
                    <w:r w:rsidRPr="00577677">
                      <w:rPr>
                        <w:rFonts w:eastAsia="Noto Sans" w:cs="Noto Sans"/>
                        <w:color w:val="4D192A"/>
                        <w:sz w:val="13"/>
                      </w:rPr>
                      <w:t>Av. Insurgentes, Número 20, de la Glorieta de Insurgentes, Col</w:t>
                    </w:r>
                    <w:r w:rsidR="0006610A" w:rsidRPr="00577677">
                      <w:rPr>
                        <w:rFonts w:eastAsia="Noto Sans" w:cs="Noto Sans"/>
                        <w:color w:val="4D192A"/>
                        <w:sz w:val="13"/>
                      </w:rPr>
                      <w:t>.</w:t>
                    </w:r>
                    <w:r w:rsidRPr="00577677">
                      <w:rPr>
                        <w:rFonts w:eastAsia="Noto Sans" w:cs="Noto Sans"/>
                        <w:color w:val="4D192A"/>
                        <w:sz w:val="13"/>
                      </w:rPr>
                      <w:t xml:space="preserve"> Roma Norte, C.P. 06700. Alcaldía Cuauhtémoc. CDMX.</w:t>
                    </w:r>
                  </w:p>
                  <w:p w14:paraId="7710495A" w14:textId="77777777" w:rsidR="003F52AB" w:rsidRPr="00577677" w:rsidRDefault="003F52AB" w:rsidP="003F52AB">
                    <w:pPr>
                      <w:textDirection w:val="btLr"/>
                    </w:pPr>
                    <w:r w:rsidRPr="00577677">
                      <w:rPr>
                        <w:rFonts w:eastAsia="Noto Sans" w:cs="Noto Sans"/>
                        <w:color w:val="4D192A"/>
                        <w:sz w:val="13"/>
                      </w:rPr>
                      <w:t>Tel: (55) 5000 6000    www.gob.mx/sener</w:t>
                    </w:r>
                  </w:p>
                  <w:p w14:paraId="46DAF250" w14:textId="77777777" w:rsidR="00ED76F2" w:rsidRPr="00577677" w:rsidRDefault="00ED76F2" w:rsidP="00ED76F2">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0CBAE" w14:textId="77777777" w:rsidR="00B10A42" w:rsidRPr="00577677" w:rsidRDefault="00B10A42" w:rsidP="00BE461E">
      <w:r w:rsidRPr="00577677">
        <w:separator/>
      </w:r>
    </w:p>
  </w:footnote>
  <w:footnote w:type="continuationSeparator" w:id="0">
    <w:p w14:paraId="0B6769C8" w14:textId="77777777" w:rsidR="00B10A42" w:rsidRPr="00577677" w:rsidRDefault="00B10A42" w:rsidP="00BE461E">
      <w:r w:rsidRPr="0057767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30CF1" w14:textId="7629DD9F" w:rsidR="00964972" w:rsidRPr="00577677" w:rsidRDefault="00577677">
    <w:pPr>
      <w:pStyle w:val="Encabezado"/>
    </w:pPr>
    <w:r w:rsidRPr="00577677">
      <w:rPr>
        <w:noProof/>
      </w:rPr>
      <w:drawing>
        <wp:anchor distT="0" distB="0" distL="114300" distR="114300" simplePos="0" relativeHeight="251657216" behindDoc="1" locked="0" layoutInCell="0" allowOverlap="1" wp14:anchorId="4933EE1D" wp14:editId="01676211">
          <wp:simplePos x="0" y="0"/>
          <wp:positionH relativeFrom="margin">
            <wp:align>center</wp:align>
          </wp:positionH>
          <wp:positionV relativeFrom="margin">
            <wp:align>center</wp:align>
          </wp:positionV>
          <wp:extent cx="5814695" cy="9577705"/>
          <wp:effectExtent l="0" t="0" r="0" b="4445"/>
          <wp:wrapNone/>
          <wp:docPr id="13909617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4695" cy="95777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C26C6" w14:textId="50D38214" w:rsidR="00BE461E" w:rsidRPr="00577677" w:rsidRDefault="00577677" w:rsidP="00AB77E6">
    <w:pPr>
      <w:pStyle w:val="Encabezado"/>
      <w:tabs>
        <w:tab w:val="clear" w:pos="4419"/>
        <w:tab w:val="clear" w:pos="8838"/>
        <w:tab w:val="left" w:pos="2880"/>
      </w:tabs>
    </w:pPr>
    <w:r w:rsidRPr="00577677">
      <w:rPr>
        <w:noProof/>
      </w:rPr>
      <w:drawing>
        <wp:anchor distT="0" distB="0" distL="114300" distR="114300" simplePos="0" relativeHeight="251658240" behindDoc="1" locked="0" layoutInCell="0" allowOverlap="1" wp14:anchorId="6842BA34" wp14:editId="357BC22F">
          <wp:simplePos x="0" y="0"/>
          <wp:positionH relativeFrom="margin">
            <wp:align>center</wp:align>
          </wp:positionH>
          <wp:positionV relativeFrom="page">
            <wp:posOffset>-60384</wp:posOffset>
          </wp:positionV>
          <wp:extent cx="7617125" cy="12546587"/>
          <wp:effectExtent l="0" t="0" r="3175" b="7620"/>
          <wp:wrapNone/>
          <wp:docPr id="17457475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7125" cy="12546587"/>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3585D" w14:textId="77777777" w:rsidR="00964972" w:rsidRPr="00577677" w:rsidRDefault="00000000">
    <w:pPr>
      <w:pStyle w:val="Encabezado"/>
    </w:pPr>
    <w:r>
      <w:pict w14:anchorId="4B1815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34" type="#_x0000_t75" style="position:absolute;margin-left:0;margin-top:0;width:468.55pt;height:771.75pt;z-index:-251657216;mso-position-horizontal:center;mso-position-horizontal-relative:margin;mso-position-vertical:center;mso-position-vertical-relative:margin" o:allowincell="f">
          <v:imagedata r:id="rId1" o:title="HM 26 Energia oficio_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07522"/>
    <w:multiLevelType w:val="multilevel"/>
    <w:tmpl w:val="BAE2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239B1"/>
    <w:multiLevelType w:val="hybridMultilevel"/>
    <w:tmpl w:val="06CC006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6984D96"/>
    <w:multiLevelType w:val="hybridMultilevel"/>
    <w:tmpl w:val="C76C2918"/>
    <w:lvl w:ilvl="0" w:tplc="FFFFFFFF">
      <w:start w:val="1"/>
      <w:numFmt w:val="bullet"/>
      <w:lvlText w:val=""/>
      <w:lvlJc w:val="left"/>
      <w:pPr>
        <w:ind w:left="720" w:hanging="360"/>
      </w:pPr>
      <w:rPr>
        <w:rFonts w:ascii="Wingdings" w:hAnsi="Wingdings" w:hint="default"/>
      </w:rPr>
    </w:lvl>
    <w:lvl w:ilvl="1" w:tplc="080A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AEA1FFB"/>
    <w:multiLevelType w:val="multilevel"/>
    <w:tmpl w:val="3960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9192C"/>
    <w:multiLevelType w:val="hybridMultilevel"/>
    <w:tmpl w:val="E446FF88"/>
    <w:lvl w:ilvl="0" w:tplc="080A000F">
      <w:start w:val="1"/>
      <w:numFmt w:val="decimal"/>
      <w:lvlText w:val="%1."/>
      <w:lvlJc w:val="left"/>
      <w:pPr>
        <w:ind w:left="1155" w:hanging="360"/>
      </w:pPr>
    </w:lvl>
    <w:lvl w:ilvl="1" w:tplc="080A0019" w:tentative="1">
      <w:start w:val="1"/>
      <w:numFmt w:val="lowerLetter"/>
      <w:lvlText w:val="%2."/>
      <w:lvlJc w:val="left"/>
      <w:pPr>
        <w:ind w:left="1875" w:hanging="360"/>
      </w:pPr>
    </w:lvl>
    <w:lvl w:ilvl="2" w:tplc="080A001B" w:tentative="1">
      <w:start w:val="1"/>
      <w:numFmt w:val="lowerRoman"/>
      <w:lvlText w:val="%3."/>
      <w:lvlJc w:val="right"/>
      <w:pPr>
        <w:ind w:left="2595" w:hanging="180"/>
      </w:pPr>
    </w:lvl>
    <w:lvl w:ilvl="3" w:tplc="080A000F" w:tentative="1">
      <w:start w:val="1"/>
      <w:numFmt w:val="decimal"/>
      <w:lvlText w:val="%4."/>
      <w:lvlJc w:val="left"/>
      <w:pPr>
        <w:ind w:left="3315" w:hanging="360"/>
      </w:pPr>
    </w:lvl>
    <w:lvl w:ilvl="4" w:tplc="080A0019" w:tentative="1">
      <w:start w:val="1"/>
      <w:numFmt w:val="lowerLetter"/>
      <w:lvlText w:val="%5."/>
      <w:lvlJc w:val="left"/>
      <w:pPr>
        <w:ind w:left="4035" w:hanging="360"/>
      </w:pPr>
    </w:lvl>
    <w:lvl w:ilvl="5" w:tplc="080A001B" w:tentative="1">
      <w:start w:val="1"/>
      <w:numFmt w:val="lowerRoman"/>
      <w:lvlText w:val="%6."/>
      <w:lvlJc w:val="right"/>
      <w:pPr>
        <w:ind w:left="4755" w:hanging="180"/>
      </w:pPr>
    </w:lvl>
    <w:lvl w:ilvl="6" w:tplc="080A000F" w:tentative="1">
      <w:start w:val="1"/>
      <w:numFmt w:val="decimal"/>
      <w:lvlText w:val="%7."/>
      <w:lvlJc w:val="left"/>
      <w:pPr>
        <w:ind w:left="5475" w:hanging="360"/>
      </w:pPr>
    </w:lvl>
    <w:lvl w:ilvl="7" w:tplc="080A0019" w:tentative="1">
      <w:start w:val="1"/>
      <w:numFmt w:val="lowerLetter"/>
      <w:lvlText w:val="%8."/>
      <w:lvlJc w:val="left"/>
      <w:pPr>
        <w:ind w:left="6195" w:hanging="360"/>
      </w:pPr>
    </w:lvl>
    <w:lvl w:ilvl="8" w:tplc="080A001B" w:tentative="1">
      <w:start w:val="1"/>
      <w:numFmt w:val="lowerRoman"/>
      <w:lvlText w:val="%9."/>
      <w:lvlJc w:val="right"/>
      <w:pPr>
        <w:ind w:left="6915" w:hanging="180"/>
      </w:pPr>
    </w:lvl>
  </w:abstractNum>
  <w:abstractNum w:abstractNumId="5" w15:restartNumberingAfterBreak="0">
    <w:nsid w:val="429B7BB2"/>
    <w:multiLevelType w:val="multilevel"/>
    <w:tmpl w:val="3BCEAD30"/>
    <w:lvl w:ilvl="0">
      <w:start w:val="1"/>
      <w:numFmt w:val="bullet"/>
      <w:lvlText w:val=""/>
      <w:lvlJc w:val="left"/>
      <w:pPr>
        <w:ind w:left="435" w:hanging="435"/>
      </w:pPr>
      <w:rPr>
        <w:rFonts w:ascii="Wingdings" w:hAnsi="Wingding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2C34BFE"/>
    <w:multiLevelType w:val="hybridMultilevel"/>
    <w:tmpl w:val="D26E53F8"/>
    <w:lvl w:ilvl="0" w:tplc="FFFFFFFF">
      <w:start w:val="1"/>
      <w:numFmt w:val="bullet"/>
      <w:lvlText w:val=""/>
      <w:lvlJc w:val="left"/>
      <w:pPr>
        <w:ind w:left="720" w:hanging="360"/>
      </w:pPr>
      <w:rPr>
        <w:rFonts w:ascii="Wingdings" w:hAnsi="Wingdings" w:hint="default"/>
      </w:rPr>
    </w:lvl>
    <w:lvl w:ilvl="1" w:tplc="080A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6E26A33"/>
    <w:multiLevelType w:val="hybridMultilevel"/>
    <w:tmpl w:val="9FF88FCA"/>
    <w:lvl w:ilvl="0" w:tplc="080A0005">
      <w:start w:val="1"/>
      <w:numFmt w:val="bullet"/>
      <w:lvlText w:val=""/>
      <w:lvlJc w:val="left"/>
      <w:pPr>
        <w:ind w:left="720" w:hanging="360"/>
      </w:pPr>
      <w:rPr>
        <w:rFonts w:ascii="Wingdings" w:hAnsi="Wingdings" w:hint="default"/>
      </w:rPr>
    </w:lvl>
    <w:lvl w:ilvl="1" w:tplc="A79A5468">
      <w:numFmt w:val="bullet"/>
      <w:lvlText w:val="•"/>
      <w:lvlJc w:val="left"/>
      <w:pPr>
        <w:ind w:left="1440" w:hanging="360"/>
      </w:pPr>
      <w:rPr>
        <w:rFonts w:ascii="Noto Sans" w:eastAsiaTheme="minorEastAsia" w:hAnsi="Noto Sans" w:cs="Noto San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7C32038"/>
    <w:multiLevelType w:val="hybridMultilevel"/>
    <w:tmpl w:val="AEA69D7A"/>
    <w:lvl w:ilvl="0" w:tplc="080A000F">
      <w:start w:val="1"/>
      <w:numFmt w:val="decimal"/>
      <w:lvlText w:val="%1."/>
      <w:lvlJc w:val="left"/>
      <w:pPr>
        <w:ind w:left="720" w:hanging="360"/>
      </w:pPr>
      <w:rPr>
        <w:rFonts w:hint="default"/>
      </w:rPr>
    </w:lvl>
    <w:lvl w:ilvl="1" w:tplc="FFFFFFFF">
      <w:numFmt w:val="bullet"/>
      <w:lvlText w:val="•"/>
      <w:lvlJc w:val="left"/>
      <w:pPr>
        <w:ind w:left="1440" w:hanging="360"/>
      </w:pPr>
      <w:rPr>
        <w:rFonts w:ascii="Noto Sans" w:eastAsiaTheme="minorEastAsia" w:hAnsi="Noto Sans" w:cs="Noto San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E8148B3"/>
    <w:multiLevelType w:val="hybridMultilevel"/>
    <w:tmpl w:val="AA7E45B2"/>
    <w:lvl w:ilvl="0" w:tplc="080A000F">
      <w:start w:val="1"/>
      <w:numFmt w:val="decimal"/>
      <w:lvlText w:val="%1."/>
      <w:lvlJc w:val="left"/>
      <w:pPr>
        <w:ind w:left="2136" w:hanging="360"/>
      </w:pPr>
      <w:rPr>
        <w:rFonts w:hint="default"/>
      </w:rPr>
    </w:lvl>
    <w:lvl w:ilvl="1" w:tplc="080A0003">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10" w15:restartNumberingAfterBreak="0">
    <w:nsid w:val="626640C4"/>
    <w:multiLevelType w:val="hybridMultilevel"/>
    <w:tmpl w:val="33187EC2"/>
    <w:lvl w:ilvl="0" w:tplc="080A000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D1323A7"/>
    <w:multiLevelType w:val="multilevel"/>
    <w:tmpl w:val="E4A6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275622">
    <w:abstractNumId w:val="5"/>
  </w:num>
  <w:num w:numId="2" w16cid:durableId="1932853572">
    <w:abstractNumId w:val="7"/>
  </w:num>
  <w:num w:numId="3" w16cid:durableId="495001300">
    <w:abstractNumId w:val="6"/>
  </w:num>
  <w:num w:numId="4" w16cid:durableId="2064088843">
    <w:abstractNumId w:val="1"/>
  </w:num>
  <w:num w:numId="5" w16cid:durableId="1004280101">
    <w:abstractNumId w:val="2"/>
  </w:num>
  <w:num w:numId="6" w16cid:durableId="749620387">
    <w:abstractNumId w:val="8"/>
  </w:num>
  <w:num w:numId="7" w16cid:durableId="1532379797">
    <w:abstractNumId w:val="10"/>
  </w:num>
  <w:num w:numId="8" w16cid:durableId="629552170">
    <w:abstractNumId w:val="11"/>
  </w:num>
  <w:num w:numId="9" w16cid:durableId="65538664">
    <w:abstractNumId w:val="0"/>
  </w:num>
  <w:num w:numId="10" w16cid:durableId="371346321">
    <w:abstractNumId w:val="4"/>
  </w:num>
  <w:num w:numId="11" w16cid:durableId="1688213227">
    <w:abstractNumId w:val="9"/>
  </w:num>
  <w:num w:numId="12" w16cid:durableId="15226713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10A"/>
    <w:rsid w:val="00011EA4"/>
    <w:rsid w:val="000339B1"/>
    <w:rsid w:val="0006610A"/>
    <w:rsid w:val="0008359C"/>
    <w:rsid w:val="000870E2"/>
    <w:rsid w:val="000A1D27"/>
    <w:rsid w:val="000A2AB9"/>
    <w:rsid w:val="000C414D"/>
    <w:rsid w:val="000C6B1B"/>
    <w:rsid w:val="00107F0C"/>
    <w:rsid w:val="0014039E"/>
    <w:rsid w:val="00166CE6"/>
    <w:rsid w:val="001B788E"/>
    <w:rsid w:val="00207EB6"/>
    <w:rsid w:val="002536D9"/>
    <w:rsid w:val="0027539F"/>
    <w:rsid w:val="002A5162"/>
    <w:rsid w:val="002C5BEE"/>
    <w:rsid w:val="00314C86"/>
    <w:rsid w:val="003278C2"/>
    <w:rsid w:val="00357F7B"/>
    <w:rsid w:val="00377A89"/>
    <w:rsid w:val="0038410E"/>
    <w:rsid w:val="003D6736"/>
    <w:rsid w:val="003F52AB"/>
    <w:rsid w:val="00431AE1"/>
    <w:rsid w:val="00432AA2"/>
    <w:rsid w:val="00432B04"/>
    <w:rsid w:val="00433BA0"/>
    <w:rsid w:val="0048222C"/>
    <w:rsid w:val="00492309"/>
    <w:rsid w:val="004923FB"/>
    <w:rsid w:val="004A18AD"/>
    <w:rsid w:val="004A2CDE"/>
    <w:rsid w:val="004A3F50"/>
    <w:rsid w:val="004E3562"/>
    <w:rsid w:val="004E50FA"/>
    <w:rsid w:val="005159DB"/>
    <w:rsid w:val="00520D3B"/>
    <w:rsid w:val="00577677"/>
    <w:rsid w:val="005778D2"/>
    <w:rsid w:val="005C5290"/>
    <w:rsid w:val="005D086B"/>
    <w:rsid w:val="005E74D5"/>
    <w:rsid w:val="00600BD8"/>
    <w:rsid w:val="0060769B"/>
    <w:rsid w:val="0061199B"/>
    <w:rsid w:val="007308F6"/>
    <w:rsid w:val="00784523"/>
    <w:rsid w:val="00795E93"/>
    <w:rsid w:val="007F150D"/>
    <w:rsid w:val="007F5EAD"/>
    <w:rsid w:val="00872574"/>
    <w:rsid w:val="008F4463"/>
    <w:rsid w:val="009038D1"/>
    <w:rsid w:val="00920D98"/>
    <w:rsid w:val="0093234C"/>
    <w:rsid w:val="0094327D"/>
    <w:rsid w:val="00964972"/>
    <w:rsid w:val="00997298"/>
    <w:rsid w:val="009A1D76"/>
    <w:rsid w:val="009B4C48"/>
    <w:rsid w:val="009B5569"/>
    <w:rsid w:val="009C0E8D"/>
    <w:rsid w:val="00A16DC2"/>
    <w:rsid w:val="00A20AD4"/>
    <w:rsid w:val="00A77477"/>
    <w:rsid w:val="00A87E0D"/>
    <w:rsid w:val="00AA2EAA"/>
    <w:rsid w:val="00AB0CF0"/>
    <w:rsid w:val="00AB77E6"/>
    <w:rsid w:val="00AC288F"/>
    <w:rsid w:val="00AD630D"/>
    <w:rsid w:val="00AE72CC"/>
    <w:rsid w:val="00B01AA0"/>
    <w:rsid w:val="00B10A42"/>
    <w:rsid w:val="00B1377A"/>
    <w:rsid w:val="00B15477"/>
    <w:rsid w:val="00B1590F"/>
    <w:rsid w:val="00B25172"/>
    <w:rsid w:val="00B72277"/>
    <w:rsid w:val="00B846BD"/>
    <w:rsid w:val="00B87805"/>
    <w:rsid w:val="00BB1CAA"/>
    <w:rsid w:val="00BD0F0A"/>
    <w:rsid w:val="00BE461E"/>
    <w:rsid w:val="00C92B15"/>
    <w:rsid w:val="00D61022"/>
    <w:rsid w:val="00D80FF3"/>
    <w:rsid w:val="00DA2F90"/>
    <w:rsid w:val="00DA3886"/>
    <w:rsid w:val="00DA5AE4"/>
    <w:rsid w:val="00DE6D6D"/>
    <w:rsid w:val="00E15AEF"/>
    <w:rsid w:val="00E26437"/>
    <w:rsid w:val="00E62894"/>
    <w:rsid w:val="00E72143"/>
    <w:rsid w:val="00ED08A8"/>
    <w:rsid w:val="00ED76F2"/>
    <w:rsid w:val="00EE1E78"/>
    <w:rsid w:val="00F44A7F"/>
    <w:rsid w:val="00F85A20"/>
    <w:rsid w:val="00FA2D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41B8FF"/>
  <w15:chartTrackingRefBased/>
  <w15:docId w15:val="{ADE5D576-F0C1-48D7-8627-DE7BF2B72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677"/>
    <w:rPr>
      <w:rFonts w:ascii="Noto Sans" w:eastAsiaTheme="minorEastAsia" w:hAnsi="Noto Sans"/>
    </w:rPr>
  </w:style>
  <w:style w:type="paragraph" w:styleId="Ttulo1">
    <w:name w:val="heading 1"/>
    <w:basedOn w:val="Ttulo"/>
    <w:next w:val="Normal"/>
    <w:link w:val="Ttulo1Car"/>
    <w:autoRedefine/>
    <w:uiPriority w:val="9"/>
    <w:qFormat/>
    <w:rsid w:val="00577677"/>
    <w:pPr>
      <w:keepNext/>
      <w:keepLines/>
      <w:spacing w:before="240"/>
      <w:outlineLvl w:val="0"/>
    </w:pPr>
    <w:rPr>
      <w:rFonts w:ascii="Noto Sans" w:eastAsiaTheme="minorEastAsia" w:hAnsi="Noto Sans" w:cs="Noto Sans"/>
      <w:b/>
      <w:color w:val="6A1C32"/>
      <w:spacing w:val="0"/>
      <w:kern w:val="0"/>
      <w:sz w:val="32"/>
      <w:szCs w:val="22"/>
    </w:rPr>
  </w:style>
  <w:style w:type="paragraph" w:styleId="Ttulo2">
    <w:name w:val="heading 2"/>
    <w:basedOn w:val="Normal"/>
    <w:next w:val="Normal"/>
    <w:link w:val="Ttulo2Car"/>
    <w:autoRedefine/>
    <w:uiPriority w:val="9"/>
    <w:unhideWhenUsed/>
    <w:qFormat/>
    <w:rsid w:val="00577677"/>
    <w:pPr>
      <w:keepNext/>
      <w:keepLines/>
      <w:spacing w:before="40"/>
      <w:outlineLvl w:val="1"/>
    </w:pPr>
    <w:rPr>
      <w:rFonts w:ascii="Patria" w:eastAsiaTheme="majorEastAsia" w:hAnsi="Patria" w:cstheme="majorBidi"/>
      <w:b/>
      <w:color w:val="595959" w:themeColor="text1" w:themeTint="A6"/>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461E"/>
    <w:pPr>
      <w:tabs>
        <w:tab w:val="center" w:pos="4419"/>
        <w:tab w:val="right" w:pos="8838"/>
      </w:tabs>
    </w:pPr>
    <w:rPr>
      <w:rFonts w:eastAsiaTheme="minorHAnsi"/>
    </w:rPr>
  </w:style>
  <w:style w:type="character" w:customStyle="1" w:styleId="EncabezadoCar">
    <w:name w:val="Encabezado Car"/>
    <w:basedOn w:val="Fuentedeprrafopredeter"/>
    <w:link w:val="Encabezado"/>
    <w:uiPriority w:val="99"/>
    <w:rsid w:val="00BE461E"/>
  </w:style>
  <w:style w:type="paragraph" w:styleId="Piedepgina">
    <w:name w:val="footer"/>
    <w:basedOn w:val="Normal"/>
    <w:link w:val="PiedepginaCar"/>
    <w:uiPriority w:val="99"/>
    <w:unhideWhenUsed/>
    <w:rsid w:val="00BE461E"/>
    <w:pPr>
      <w:tabs>
        <w:tab w:val="center" w:pos="4419"/>
        <w:tab w:val="right" w:pos="8838"/>
      </w:tabs>
    </w:pPr>
    <w:rPr>
      <w:rFonts w:eastAsiaTheme="minorHAnsi"/>
    </w:rPr>
  </w:style>
  <w:style w:type="character" w:customStyle="1" w:styleId="PiedepginaCar">
    <w:name w:val="Pie de página Car"/>
    <w:basedOn w:val="Fuentedeprrafopredeter"/>
    <w:link w:val="Piedepgina"/>
    <w:uiPriority w:val="99"/>
    <w:rsid w:val="00BE461E"/>
  </w:style>
  <w:style w:type="paragraph" w:styleId="NormalWeb">
    <w:name w:val="Normal (Web)"/>
    <w:basedOn w:val="Normal"/>
    <w:uiPriority w:val="99"/>
    <w:unhideWhenUsed/>
    <w:rsid w:val="00784523"/>
    <w:pPr>
      <w:spacing w:before="100" w:beforeAutospacing="1" w:after="100" w:afterAutospacing="1"/>
    </w:pPr>
    <w:rPr>
      <w:rFonts w:ascii="Times New Roman" w:eastAsia="Times New Roman" w:hAnsi="Times New Roman" w:cs="Times New Roman"/>
      <w:lang w:eastAsia="es-MX"/>
    </w:rPr>
  </w:style>
  <w:style w:type="character" w:customStyle="1" w:styleId="Ttulo1Car">
    <w:name w:val="Título 1 Car"/>
    <w:basedOn w:val="Fuentedeprrafopredeter"/>
    <w:link w:val="Ttulo1"/>
    <w:uiPriority w:val="9"/>
    <w:rsid w:val="00577677"/>
    <w:rPr>
      <w:rFonts w:ascii="Noto Sans" w:eastAsiaTheme="minorEastAsia" w:hAnsi="Noto Sans" w:cs="Noto Sans"/>
      <w:b/>
      <w:color w:val="6A1C32"/>
      <w:sz w:val="32"/>
      <w:szCs w:val="22"/>
    </w:rPr>
  </w:style>
  <w:style w:type="character" w:customStyle="1" w:styleId="Ttulo2Car">
    <w:name w:val="Título 2 Car"/>
    <w:basedOn w:val="Fuentedeprrafopredeter"/>
    <w:link w:val="Ttulo2"/>
    <w:uiPriority w:val="9"/>
    <w:rsid w:val="00577677"/>
    <w:rPr>
      <w:rFonts w:ascii="Patria" w:eastAsiaTheme="majorEastAsia" w:hAnsi="Patria" w:cstheme="majorBidi"/>
      <w:b/>
      <w:color w:val="595959" w:themeColor="text1" w:themeTint="A6"/>
      <w:sz w:val="26"/>
      <w:szCs w:val="26"/>
    </w:rPr>
  </w:style>
  <w:style w:type="paragraph" w:styleId="Prrafodelista">
    <w:name w:val="List Paragraph"/>
    <w:basedOn w:val="Normal"/>
    <w:uiPriority w:val="34"/>
    <w:qFormat/>
    <w:rsid w:val="00577677"/>
    <w:pPr>
      <w:ind w:left="720"/>
      <w:contextualSpacing/>
    </w:pPr>
  </w:style>
  <w:style w:type="table" w:styleId="Tabladelista7concolores-nfasis4">
    <w:name w:val="List Table 7 Colorful Accent 4"/>
    <w:basedOn w:val="Tablanormal"/>
    <w:uiPriority w:val="52"/>
    <w:rsid w:val="00577677"/>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tuloTDC">
    <w:name w:val="TOC Heading"/>
    <w:basedOn w:val="Ttulo1"/>
    <w:next w:val="Normal"/>
    <w:uiPriority w:val="39"/>
    <w:unhideWhenUsed/>
    <w:qFormat/>
    <w:rsid w:val="00577677"/>
    <w:pPr>
      <w:spacing w:line="259" w:lineRule="auto"/>
      <w:contextualSpacing w:val="0"/>
      <w:outlineLvl w:val="9"/>
    </w:pPr>
    <w:rPr>
      <w:rFonts w:asciiTheme="majorHAnsi" w:eastAsiaTheme="majorEastAsia" w:hAnsiTheme="majorHAnsi" w:cstheme="majorBidi"/>
      <w:b w:val="0"/>
      <w:color w:val="2F5496" w:themeColor="accent1" w:themeShade="BF"/>
      <w:szCs w:val="32"/>
      <w:lang w:eastAsia="es-MX"/>
    </w:rPr>
  </w:style>
  <w:style w:type="paragraph" w:styleId="TDC2">
    <w:name w:val="toc 2"/>
    <w:basedOn w:val="Normal"/>
    <w:next w:val="Normal"/>
    <w:autoRedefine/>
    <w:uiPriority w:val="39"/>
    <w:unhideWhenUsed/>
    <w:rsid w:val="00577677"/>
    <w:pPr>
      <w:spacing w:after="100"/>
      <w:ind w:left="240"/>
    </w:pPr>
  </w:style>
  <w:style w:type="paragraph" w:styleId="TDC1">
    <w:name w:val="toc 1"/>
    <w:basedOn w:val="Normal"/>
    <w:next w:val="Normal"/>
    <w:autoRedefine/>
    <w:uiPriority w:val="39"/>
    <w:unhideWhenUsed/>
    <w:rsid w:val="00577677"/>
    <w:pPr>
      <w:spacing w:after="100"/>
    </w:pPr>
  </w:style>
  <w:style w:type="character" w:styleId="Hipervnculo">
    <w:name w:val="Hyperlink"/>
    <w:basedOn w:val="Fuentedeprrafopredeter"/>
    <w:uiPriority w:val="99"/>
    <w:unhideWhenUsed/>
    <w:rsid w:val="00577677"/>
    <w:rPr>
      <w:color w:val="0563C1" w:themeColor="hyperlink"/>
      <w:u w:val="single"/>
    </w:rPr>
  </w:style>
  <w:style w:type="paragraph" w:styleId="Ttulo">
    <w:name w:val="Title"/>
    <w:basedOn w:val="Normal"/>
    <w:next w:val="Normal"/>
    <w:link w:val="TtuloCar"/>
    <w:uiPriority w:val="10"/>
    <w:qFormat/>
    <w:rsid w:val="00577677"/>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7677"/>
    <w:rPr>
      <w:rFonts w:asciiTheme="majorHAnsi" w:eastAsiaTheme="majorEastAsia" w:hAnsiTheme="majorHAnsi" w:cstheme="majorBidi"/>
      <w:spacing w:val="-10"/>
      <w:kern w:val="28"/>
      <w:sz w:val="56"/>
      <w:szCs w:val="5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4e5472e-fb65-4d50-bc06-98c8e60b895c" xsi:nil="true"/>
    <lcf76f155ced4ddcb4097134ff3c332f xmlns="e2700415-1c61-49d9-92ac-f8e3a6144b9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D2339F2E3F5A44AB778877CAB977BB9" ma:contentTypeVersion="14" ma:contentTypeDescription="Crear nuevo documento." ma:contentTypeScope="" ma:versionID="a4800daf7e4d2266d65956d53a8baa8b">
  <xsd:schema xmlns:xsd="http://www.w3.org/2001/XMLSchema" xmlns:xs="http://www.w3.org/2001/XMLSchema" xmlns:p="http://schemas.microsoft.com/office/2006/metadata/properties" xmlns:ns2="e2700415-1c61-49d9-92ac-f8e3a6144b93" xmlns:ns3="44e5472e-fb65-4d50-bc06-98c8e60b895c" targetNamespace="http://schemas.microsoft.com/office/2006/metadata/properties" ma:root="true" ma:fieldsID="75c66e50ca5bb51e8116a13ba370e641" ns2:_="" ns3:_="">
    <xsd:import namespace="e2700415-1c61-49d9-92ac-f8e3a6144b93"/>
    <xsd:import namespace="44e5472e-fb65-4d50-bc06-98c8e60b895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700415-1c61-49d9-92ac-f8e3a6144b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764738b5-171d-4523-9a7f-04b25a28d81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e5472e-fb65-4d50-bc06-98c8e60b895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e4b658a-e74b-4565-8c63-51e623266ee1}" ma:internalName="TaxCatchAll" ma:showField="CatchAllData" ma:web="44e5472e-fb65-4d50-bc06-98c8e60b89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743B24-A1B5-4586-BA7F-9AF0738EF33E}">
  <ds:schemaRefs>
    <ds:schemaRef ds:uri="http://schemas.microsoft.com/office/2006/metadata/properties"/>
    <ds:schemaRef ds:uri="http://schemas.microsoft.com/office/infopath/2007/PartnerControls"/>
    <ds:schemaRef ds:uri="44e5472e-fb65-4d50-bc06-98c8e60b895c"/>
    <ds:schemaRef ds:uri="e2700415-1c61-49d9-92ac-f8e3a6144b93"/>
  </ds:schemaRefs>
</ds:datastoreItem>
</file>

<file path=customXml/itemProps2.xml><?xml version="1.0" encoding="utf-8"?>
<ds:datastoreItem xmlns:ds="http://schemas.openxmlformats.org/officeDocument/2006/customXml" ds:itemID="{6A44CBF3-817D-8A48-81B5-55976A692F5B}">
  <ds:schemaRefs>
    <ds:schemaRef ds:uri="http://schemas.openxmlformats.org/officeDocument/2006/bibliography"/>
  </ds:schemaRefs>
</ds:datastoreItem>
</file>

<file path=customXml/itemProps3.xml><?xml version="1.0" encoding="utf-8"?>
<ds:datastoreItem xmlns:ds="http://schemas.openxmlformats.org/officeDocument/2006/customXml" ds:itemID="{62333745-4332-4199-BCDF-39DAE37D11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700415-1c61-49d9-92ac-f8e3a6144b93"/>
    <ds:schemaRef ds:uri="44e5472e-fb65-4d50-bc06-98c8e60b89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612A80-48FE-44FA-8F2E-E93A6D2A41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Pages>
  <Words>14</Words>
  <Characters>77</Characters>
  <Application>Microsoft Office Word</Application>
  <DocSecurity>0</DocSecurity>
  <Lines>1</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Gonzalez Esquivel</dc:creator>
  <cp:keywords/>
  <dc:description/>
  <cp:lastModifiedBy>Javier Sasso</cp:lastModifiedBy>
  <cp:revision>5</cp:revision>
  <dcterms:created xsi:type="dcterms:W3CDTF">2026-03-03T01:22:00Z</dcterms:created>
  <dcterms:modified xsi:type="dcterms:W3CDTF">2026-04-09T16:59:00Z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0x0101004D2339F2E3F5A44AB778877CAB977BB9</vt:lpwstr>
  </property>
</Properties>
</file>