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80" w:after="0"/>
        <w:pBdr>
          <w:top w:val="single" w:sz="18" w:space="1" w:color="1E5B4F"/>
        </w:pBdr>
      </w:pPr>
    </w:p>
    <w:p>
      <w:pPr>
        <w:spacing w:before="240" w:after="40"/>
        <w:jc w:val="center"/>
      </w:pPr>
      <w:r>
        <w:rPr>
          <w:rFonts w:ascii="Noto Sans" w:hAnsi="Noto Sans"/>
          <w:b/>
          <w:caps/>
          <w:color w:val="1E5B4F"/>
          <w:sz w:val="17"/>
        </w:rPr>
        <w:t>MINUTA DE REUNIÓN</w:t>
      </w:r>
    </w:p>
    <w:p>
      <w:pPr>
        <w:spacing w:before="60" w:after="80"/>
        <w:jc w:val="center"/>
      </w:pPr>
      <w:r>
        <w:rPr>
          <w:rFonts w:ascii="Merriweather" w:hAnsi="Merriweather"/>
          <w:b/>
          <w:color w:val="1E5B4F"/>
          <w:sz w:val="32"/>
        </w:rPr>
        <w:t>Preselección técnica de proyectos GCR Oriental</w:t>
      </w:r>
    </w:p>
    <w:p>
      <w:pPr>
        <w:spacing w:before="20" w:after="280"/>
        <w:jc w:val="center"/>
        <w:pBdr>
          <w:bottom w:val="single" w:sz="6" w:space="4" w:color="1E5B4F"/>
        </w:pBdr>
      </w:pPr>
      <w:r>
        <w:rPr>
          <w:rFonts w:ascii="Noto Sans" w:hAnsi="Noto Sans"/>
          <w:color w:val="646464"/>
          <w:sz w:val="20"/>
        </w:rPr>
        <w:t>Segunda Convocatoria a Particulares · Criterios técnicos, sociales y ambientales</w:t>
      </w:r>
    </w:p>
    <w:tbl>
      <w:tblPr>
        <w:tblW w:type="auto" w:w="0"/>
        <w:jc w:val="center"/>
        <w:tblLook w:firstColumn="1" w:firstRow="1" w:lastColumn="0" w:lastRow="0" w:noHBand="0" w:noVBand="1" w:val="04A0"/>
      </w:tblPr>
      <w:tblGrid>
        <w:gridCol w:w="4987"/>
        <w:gridCol w:w="4987"/>
      </w:tblGrid>
      <w:tr>
        <w:tc>
          <w:tcPr>
            <w:tcW w:type="dxa" w:w="4987"/>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EFF4F2"/>
            <w:tcW w:w="3024" w:type="dxa"/>
          </w:tcPr>
          <w:p>
            <w:r>
              <w:rPr>
                <w:rFonts w:ascii="Noto Sans" w:hAnsi="Noto Sans"/>
                <w:b/>
                <w:color w:val="1E5B4F"/>
                <w:sz w:val="19"/>
              </w:rPr>
              <w:t>Órgano</w:t>
            </w:r>
          </w:p>
        </w:tc>
        <w:tc>
          <w:tcPr>
            <w:tcW w:type="dxa" w:w="4987"/>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W w:w="6336" w:type="dxa"/>
          </w:tcPr>
          <w:p>
            <w:r>
              <w:rPr>
                <w:rFonts w:ascii="Noto Sans" w:hAnsi="Noto Sans"/>
                <w:b w:val="0"/>
                <w:color w:val="1A1A1A"/>
                <w:sz w:val="19"/>
              </w:rPr>
              <w:t>Gerencia de Control Regional Oriental</w:t>
            </w:r>
          </w:p>
        </w:tc>
      </w:tr>
      <w:tr>
        <w:tc>
          <w:tcPr>
            <w:tcW w:type="dxa" w:w="4987"/>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EFF4F2"/>
            <w:tcW w:w="3024" w:type="dxa"/>
          </w:tcPr>
          <w:p>
            <w:r>
              <w:rPr>
                <w:rFonts w:ascii="Noto Sans" w:hAnsi="Noto Sans"/>
                <w:b/>
                <w:color w:val="1E5B4F"/>
                <w:sz w:val="19"/>
              </w:rPr>
              <w:t>Tipo de reunión</w:t>
            </w:r>
          </w:p>
        </w:tc>
        <w:tc>
          <w:tcPr>
            <w:tcW w:type="dxa" w:w="4987"/>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W w:w="6336" w:type="dxa"/>
          </w:tcPr>
          <w:p>
            <w:r>
              <w:rPr>
                <w:rFonts w:ascii="Noto Sans" w:hAnsi="Noto Sans"/>
                <w:b w:val="0"/>
                <w:color w:val="1A1A1A"/>
                <w:sz w:val="19"/>
              </w:rPr>
              <w:t>Preselección técnica de proyectos (criterios técnicos, sociales y ambientales)</w:t>
            </w:r>
          </w:p>
        </w:tc>
      </w:tr>
      <w:tr>
        <w:tc>
          <w:tcPr>
            <w:tcW w:type="dxa" w:w="4987"/>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EFF4F2"/>
            <w:tcW w:w="3024" w:type="dxa"/>
          </w:tcPr>
          <w:p>
            <w:r>
              <w:rPr>
                <w:rFonts w:ascii="Noto Sans" w:hAnsi="Noto Sans"/>
                <w:b/>
                <w:color w:val="1E5B4F"/>
                <w:sz w:val="19"/>
              </w:rPr>
              <w:t>Fecha y hora</w:t>
            </w:r>
          </w:p>
        </w:tc>
        <w:tc>
          <w:tcPr>
            <w:tcW w:type="dxa" w:w="4987"/>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W w:w="6336" w:type="dxa"/>
          </w:tcPr>
          <w:p>
            <w:r>
              <w:rPr>
                <w:rFonts w:ascii="Noto Sans" w:hAnsi="Noto Sans"/>
                <w:b w:val="0"/>
                <w:color w:val="1A1A1A"/>
                <w:sz w:val="19"/>
              </w:rPr>
              <w:t>16 de junio de 2026, 08:00 a 09:30 h</w:t>
            </w:r>
          </w:p>
        </w:tc>
      </w:tr>
      <w:tr>
        <w:tc>
          <w:tcPr>
            <w:tcW w:type="dxa" w:w="4987"/>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EFF4F2"/>
            <w:tcW w:w="3024" w:type="dxa"/>
          </w:tcPr>
          <w:p>
            <w:r>
              <w:rPr>
                <w:rFonts w:ascii="Noto Sans" w:hAnsi="Noto Sans"/>
                <w:b/>
                <w:color w:val="1E5B4F"/>
                <w:sz w:val="19"/>
              </w:rPr>
              <w:t>Modalidad</w:t>
            </w:r>
          </w:p>
        </w:tc>
        <w:tc>
          <w:tcPr>
            <w:tcW w:type="dxa" w:w="4987"/>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W w:w="6336" w:type="dxa"/>
          </w:tcPr>
          <w:p>
            <w:r>
              <w:rPr>
                <w:rFonts w:ascii="Noto Sans" w:hAnsi="Noto Sans"/>
                <w:b w:val="0"/>
                <w:color w:val="1A1A1A"/>
                <w:sz w:val="19"/>
              </w:rPr>
              <w:t>Reunión de Microsoft Teams</w:t>
            </w:r>
          </w:p>
        </w:tc>
      </w:tr>
      <w:tr>
        <w:tc>
          <w:tcPr>
            <w:tcW w:type="dxa" w:w="4987"/>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EFF4F2"/>
            <w:tcW w:w="3024" w:type="dxa"/>
          </w:tcPr>
          <w:p>
            <w:r>
              <w:rPr>
                <w:rFonts w:ascii="Noto Sans" w:hAnsi="Noto Sans"/>
                <w:b/>
                <w:color w:val="1E5B4F"/>
                <w:sz w:val="19"/>
              </w:rPr>
              <w:t>Convocante</w:t>
            </w:r>
          </w:p>
        </w:tc>
        <w:tc>
          <w:tcPr>
            <w:tcW w:type="dxa" w:w="4987"/>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W w:w="6336" w:type="dxa"/>
          </w:tcPr>
          <w:p>
            <w:r>
              <w:rPr>
                <w:rFonts w:ascii="Noto Sans" w:hAnsi="Noto Sans"/>
                <w:b w:val="0"/>
                <w:color w:val="1A1A1A"/>
                <w:sz w:val="19"/>
              </w:rPr>
              <w:t>Claudia Marcela Meza Vega (SENER)</w:t>
            </w:r>
          </w:p>
        </w:tc>
      </w:tr>
      <w:tr>
        <w:tc>
          <w:tcPr>
            <w:tcW w:type="dxa" w:w="4987"/>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EFF4F2"/>
            <w:tcW w:w="3024" w:type="dxa"/>
          </w:tcPr>
          <w:p>
            <w:r>
              <w:rPr>
                <w:rFonts w:ascii="Noto Sans" w:hAnsi="Noto Sans"/>
                <w:b/>
                <w:color w:val="1E5B4F"/>
                <w:sz w:val="19"/>
              </w:rPr>
              <w:t>Elaboró la minuta</w:t>
            </w:r>
          </w:p>
        </w:tc>
        <w:tc>
          <w:tcPr>
            <w:tcW w:type="dxa" w:w="4987"/>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W w:w="6336" w:type="dxa"/>
          </w:tcPr>
          <w:p>
            <w:r>
              <w:rPr>
                <w:rFonts w:ascii="Noto Sans" w:hAnsi="Noto Sans"/>
                <w:b w:val="0"/>
                <w:color w:val="1A1A1A"/>
                <w:sz w:val="19"/>
              </w:rPr>
              <w:t>DGMESNIE — Unidad del Sistema Nacional de Información Energética</w:t>
            </w:r>
          </w:p>
        </w:tc>
      </w:tr>
    </w:tbl>
    <w:p>
      <w:pPr>
        <w:spacing w:before="280" w:after="80"/>
      </w:pPr>
      <w:r>
        <w:rPr>
          <w:rFonts w:ascii="Merriweather" w:hAnsi="Merriweather"/>
          <w:b/>
          <w:color w:val="1E5B4F"/>
          <w:sz w:val="26"/>
        </w:rPr>
        <w:t>Asistentes</w:t>
      </w:r>
    </w:p>
    <w:p>
      <w:pPr>
        <w:spacing w:before="40" w:after="160"/>
        <w:pBdr>
          <w:bottom w:val="single" w:sz="6" w:space="1" w:color="1E5B4F"/>
        </w:pBdr>
      </w:pPr>
    </w:p>
    <w:tbl>
      <w:tblPr>
        <w:tblW w:type="auto" w:w="0"/>
        <w:jc w:val="center"/>
        <w:tblLook w:firstColumn="1" w:firstRow="1" w:lastColumn="0" w:lastRow="0" w:noHBand="0" w:noVBand="1" w:val="04A0"/>
      </w:tblPr>
      <w:tblGrid>
        <w:gridCol w:w="3325"/>
        <w:gridCol w:w="3325"/>
        <w:gridCol w:w="3325"/>
      </w:tblGrid>
      <w:tr>
        <w:tc>
          <w:tcPr>
            <w:tcW w:type="dxa" w:w="3325"/>
            <w:tcW w:w="5184" w:type="dxa"/>
            <w:shd w:val="clear" w:color="auto" w:fill="1E5B4F"/>
            <w:tcBorders>
              <w:top w:val="single" w:sz="4" w:space="0" w:color="BBBBBB"/>
              <w:left w:val="single" w:sz="4" w:space="0" w:color="BBBBBB"/>
              <w:bottom w:val="single" w:sz="4" w:space="0" w:color="BBBBBB"/>
              <w:right w:val="single" w:sz="4" w:space="0" w:color="BBBBBB"/>
            </w:tcBorders>
            <w:tcMar>
              <w:top w:w="80" w:type="dxa"/>
              <w:bottom w:w="80" w:type="dxa"/>
              <w:left w:w="100" w:type="dxa"/>
              <w:right w:w="100" w:type="dxa"/>
            </w:tcMar>
          </w:tcPr>
          <w:p>
            <w:pPr>
              <w:jc w:val="center"/>
            </w:pPr>
            <w:r>
              <w:rPr>
                <w:rFonts w:ascii="Noto Sans" w:hAnsi="Noto Sans"/>
                <w:b/>
                <w:color w:val="FFFFFF"/>
                <w:sz w:val="18"/>
              </w:rPr>
              <w:t>NOMBRE</w:t>
            </w:r>
          </w:p>
        </w:tc>
        <w:tc>
          <w:tcPr>
            <w:tcW w:type="dxa" w:w="3325"/>
            <w:tcW w:w="2015" w:type="dxa"/>
            <w:shd w:val="clear" w:color="auto" w:fill="1E5B4F"/>
            <w:tcBorders>
              <w:top w:val="single" w:sz="4" w:space="0" w:color="BBBBBB"/>
              <w:left w:val="single" w:sz="4" w:space="0" w:color="BBBBBB"/>
              <w:bottom w:val="single" w:sz="4" w:space="0" w:color="BBBBBB"/>
              <w:right w:val="single" w:sz="4" w:space="0" w:color="BBBBBB"/>
            </w:tcBorders>
            <w:tcMar>
              <w:top w:w="80" w:type="dxa"/>
              <w:bottom w:w="80" w:type="dxa"/>
              <w:left w:w="100" w:type="dxa"/>
              <w:right w:w="100" w:type="dxa"/>
            </w:tcMar>
          </w:tcPr>
          <w:p>
            <w:pPr>
              <w:jc w:val="center"/>
            </w:pPr>
            <w:r>
              <w:rPr>
                <w:rFonts w:ascii="Noto Sans" w:hAnsi="Noto Sans"/>
                <w:b/>
                <w:color w:val="FFFFFF"/>
                <w:sz w:val="18"/>
              </w:rPr>
              <w:t>CARGO</w:t>
            </w:r>
          </w:p>
        </w:tc>
        <w:tc>
          <w:tcPr>
            <w:tcW w:type="dxa" w:w="3325"/>
            <w:tcW w:w="2160" w:type="dxa"/>
            <w:shd w:val="clear" w:color="auto" w:fill="1E5B4F"/>
            <w:tcBorders>
              <w:top w:val="single" w:sz="4" w:space="0" w:color="BBBBBB"/>
              <w:left w:val="single" w:sz="4" w:space="0" w:color="BBBBBB"/>
              <w:bottom w:val="single" w:sz="4" w:space="0" w:color="BBBBBB"/>
              <w:right w:val="single" w:sz="4" w:space="0" w:color="BBBBBB"/>
            </w:tcBorders>
            <w:tcMar>
              <w:top w:w="80" w:type="dxa"/>
              <w:bottom w:w="80" w:type="dxa"/>
              <w:left w:w="100" w:type="dxa"/>
              <w:right w:w="100" w:type="dxa"/>
            </w:tcMar>
          </w:tcPr>
          <w:p>
            <w:pPr>
              <w:jc w:val="center"/>
            </w:pPr>
            <w:r>
              <w:rPr>
                <w:rFonts w:ascii="Noto Sans" w:hAnsi="Noto Sans"/>
                <w:b/>
                <w:color w:val="FFFFFF"/>
                <w:sz w:val="18"/>
              </w:rPr>
              <w:t>ÁREA</w:t>
            </w:r>
          </w:p>
        </w:tc>
      </w:tr>
      <w:tr>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Claudia Marcela Meza Vega</w:t>
            </w:r>
          </w:p>
        </w:tc>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w:t>
            </w:r>
          </w:p>
        </w:tc>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SENER</w:t>
            </w:r>
          </w:p>
        </w:tc>
      </w:tr>
      <w:tr>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Pedro Guillermo Padrón Alvarado</w:t>
            </w:r>
          </w:p>
        </w:tc>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w:t>
            </w:r>
          </w:p>
        </w:tc>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w:t>
            </w:r>
          </w:p>
        </w:tc>
      </w:tr>
      <w:tr>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Ofelio Gaona López</w:t>
            </w:r>
          </w:p>
        </w:tc>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w:t>
            </w:r>
          </w:p>
        </w:tc>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w:t>
            </w:r>
          </w:p>
        </w:tc>
      </w:tr>
      <w:tr>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Gabriela Aparicio Rangel</w:t>
            </w:r>
          </w:p>
        </w:tc>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w:t>
            </w:r>
          </w:p>
        </w:tc>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CFE</w:t>
            </w:r>
          </w:p>
        </w:tc>
      </w:tr>
      <w:tr>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José María Rivera Fosado</w:t>
            </w:r>
          </w:p>
        </w:tc>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w:t>
            </w:r>
          </w:p>
        </w:tc>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w:t>
            </w:r>
          </w:p>
        </w:tc>
      </w:tr>
      <w:tr>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Víctor Nolasco Miguel</w:t>
            </w:r>
          </w:p>
        </w:tc>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w:t>
            </w:r>
          </w:p>
        </w:tc>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CFE</w:t>
            </w:r>
          </w:p>
        </w:tc>
      </w:tr>
      <w:tr>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Antonino López Ríos</w:t>
            </w:r>
          </w:p>
        </w:tc>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w:t>
            </w:r>
          </w:p>
        </w:tc>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CENACE</w:t>
            </w:r>
          </w:p>
        </w:tc>
      </w:tr>
      <w:tr>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Gerónimo Ramírez Popo</w:t>
            </w:r>
          </w:p>
        </w:tc>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w:t>
            </w:r>
          </w:p>
        </w:tc>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w:t>
            </w:r>
          </w:p>
        </w:tc>
      </w:tr>
      <w:tr>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Raúl Adame Ortiz</w:t>
            </w:r>
          </w:p>
        </w:tc>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w:t>
            </w:r>
          </w:p>
        </w:tc>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SENER</w:t>
            </w:r>
          </w:p>
        </w:tc>
      </w:tr>
      <w:tr>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Alí Gervacio Hernández</w:t>
            </w:r>
          </w:p>
        </w:tc>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w:t>
            </w:r>
          </w:p>
        </w:tc>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w:t>
            </w:r>
          </w:p>
        </w:tc>
      </w:tr>
      <w:tr>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Jocelyn Gabriela Velázquez Naranjo</w:t>
            </w:r>
          </w:p>
        </w:tc>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w:t>
            </w:r>
          </w:p>
        </w:tc>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SENER</w:t>
            </w:r>
          </w:p>
        </w:tc>
      </w:tr>
      <w:tr>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Rubén Martínez Alonso</w:t>
            </w:r>
          </w:p>
        </w:tc>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w:t>
            </w:r>
          </w:p>
        </w:tc>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CENACE</w:t>
            </w:r>
          </w:p>
        </w:tc>
      </w:tr>
      <w:tr>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José Luis Díaz Selvas</w:t>
            </w:r>
          </w:p>
        </w:tc>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w:t>
            </w:r>
          </w:p>
        </w:tc>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w:t>
            </w:r>
          </w:p>
        </w:tc>
      </w:tr>
      <w:tr>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Javier Sasso Celaya</w:t>
            </w:r>
          </w:p>
        </w:tc>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w:t>
            </w:r>
          </w:p>
        </w:tc>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SENER</w:t>
            </w:r>
          </w:p>
        </w:tc>
      </w:tr>
      <w:tr>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Moisés Salazar Espino</w:t>
            </w:r>
          </w:p>
        </w:tc>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w:t>
            </w:r>
          </w:p>
        </w:tc>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w:t>
            </w:r>
          </w:p>
        </w:tc>
      </w:tr>
      <w:tr>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José Edmundo Martínez Camargo</w:t>
            </w:r>
          </w:p>
        </w:tc>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w:t>
            </w:r>
          </w:p>
        </w:tc>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w:t>
            </w:r>
          </w:p>
        </w:tc>
      </w:tr>
      <w:tr>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Gabriel Rosas Martín Del Campo</w:t>
            </w:r>
          </w:p>
        </w:tc>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w:t>
            </w:r>
          </w:p>
        </w:tc>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w:t>
            </w:r>
          </w:p>
        </w:tc>
      </w:tr>
      <w:tr>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Enrique Hernández Álvarez</w:t>
            </w:r>
          </w:p>
        </w:tc>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w:t>
            </w:r>
          </w:p>
        </w:tc>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w:t>
            </w:r>
          </w:p>
        </w:tc>
      </w:tr>
      <w:tr>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Gilberto Valencia Félix</w:t>
            </w:r>
          </w:p>
        </w:tc>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w:t>
            </w:r>
          </w:p>
        </w:tc>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w:t>
            </w:r>
          </w:p>
        </w:tc>
      </w:tr>
      <w:tr>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Luis Enrique Ángeles Cervantes</w:t>
            </w:r>
          </w:p>
        </w:tc>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w:t>
            </w:r>
          </w:p>
        </w:tc>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w:t>
            </w:r>
          </w:p>
        </w:tc>
      </w:tr>
      <w:tr>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David Salvador Velasco Olmos</w:t>
            </w:r>
          </w:p>
        </w:tc>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w:t>
            </w:r>
          </w:p>
        </w:tc>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CFE</w:t>
            </w:r>
          </w:p>
        </w:tc>
      </w:tr>
      <w:tr>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Tania Areli Salazar Terán</w:t>
            </w:r>
          </w:p>
        </w:tc>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w:t>
            </w:r>
          </w:p>
        </w:tc>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w:t>
            </w:r>
          </w:p>
        </w:tc>
      </w:tr>
      <w:tr>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Julio César Guadalupe Rivera Pizaña</w:t>
            </w:r>
          </w:p>
        </w:tc>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w:t>
            </w:r>
          </w:p>
        </w:tc>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w:t>
            </w:r>
          </w:p>
        </w:tc>
      </w:tr>
      <w:tr>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Raúl García Kasusky</w:t>
            </w:r>
          </w:p>
        </w:tc>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w:t>
            </w:r>
          </w:p>
        </w:tc>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w:t>
            </w:r>
          </w:p>
        </w:tc>
      </w:tr>
      <w:tr>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Daniel Álvarez Hernández</w:t>
            </w:r>
          </w:p>
        </w:tc>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w:t>
            </w:r>
          </w:p>
        </w:tc>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w:t>
            </w:r>
          </w:p>
        </w:tc>
      </w:tr>
      <w:tr>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Daniel Hilario Flores Vargas</w:t>
            </w:r>
          </w:p>
        </w:tc>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w:t>
            </w:r>
          </w:p>
        </w:tc>
        <w:tc>
          <w:tcPr>
            <w:tcW w:type="dxa" w:w="3325"/>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SENER</w:t>
            </w:r>
          </w:p>
        </w:tc>
      </w:tr>
    </w:tbl>
    <w:p>
      <w:pPr>
        <w:spacing w:before="280" w:after="80"/>
      </w:pPr>
      <w:r>
        <w:rPr>
          <w:rFonts w:ascii="Merriweather" w:hAnsi="Merriweather"/>
          <w:b/>
          <w:color w:val="1E5B4F"/>
          <w:sz w:val="26"/>
        </w:rPr>
        <w:t>Orden del día</w:t>
      </w:r>
    </w:p>
    <w:p>
      <w:pPr>
        <w:spacing w:before="40" w:after="160"/>
        <w:pBdr>
          <w:bottom w:val="single" w:sz="6" w:space="1" w:color="1E5B4F"/>
        </w:pBdr>
      </w:pPr>
    </w:p>
    <w:p>
      <w:pPr>
        <w:spacing w:after="60"/>
        <w:ind w:left="360"/>
      </w:pPr>
      <w:r>
        <w:rPr>
          <w:rFonts w:ascii="Noto Sans" w:hAnsi="Noto Sans"/>
          <w:color w:val="1A1A1A"/>
          <w:sz w:val="21"/>
        </w:rPr>
        <w:t>•  1. Presentación de proyectos (universo nacional de 49 proyectos fotovoltaicos, 4,698 MW).</w:t>
      </w:r>
    </w:p>
    <w:p>
      <w:pPr>
        <w:spacing w:after="60"/>
        <w:ind w:left="360"/>
      </w:pPr>
      <w:r>
        <w:rPr>
          <w:rFonts w:ascii="Noto Sans" w:hAnsi="Noto Sans"/>
          <w:color w:val="1A1A1A"/>
          <w:sz w:val="21"/>
        </w:rPr>
        <w:t>•  2. Revisión de los proyectos preseleccionados de la Gerencia de Control Regional Oriental.</w:t>
      </w:r>
    </w:p>
    <w:p>
      <w:pPr>
        <w:spacing w:before="280" w:after="80"/>
      </w:pPr>
      <w:r>
        <w:rPr>
          <w:rFonts w:ascii="Merriweather" w:hAnsi="Merriweather"/>
          <w:b/>
          <w:color w:val="1E5B4F"/>
          <w:sz w:val="26"/>
        </w:rPr>
        <w:t>Desarrollo de temas</w:t>
      </w:r>
    </w:p>
    <w:p>
      <w:pPr>
        <w:spacing w:before="40" w:after="160"/>
        <w:pBdr>
          <w:bottom w:val="single" w:sz="6" w:space="1" w:color="1E5B4F"/>
        </w:pBdr>
      </w:pPr>
    </w:p>
    <w:p>
      <w:pPr>
        <w:spacing w:before="160" w:after="80"/>
      </w:pPr>
      <w:r>
        <w:rPr>
          <w:rFonts w:ascii="Merriweather" w:hAnsi="Merriweather"/>
          <w:b/>
          <w:color w:val="1E5B4F"/>
          <w:sz w:val="22"/>
        </w:rPr>
        <w:t>1. Contexto y criterios de preselección</w:t>
      </w:r>
    </w:p>
    <w:p>
      <w:pPr>
        <w:spacing w:after="120"/>
        <w:jc w:val="both"/>
      </w:pPr>
      <w:r>
        <w:rPr>
          <w:rFonts w:ascii="Noto Sans" w:hAnsi="Noto Sans"/>
          <w:color w:val="1A1A1A"/>
          <w:sz w:val="21"/>
        </w:rPr>
        <w:t>Se expuso el ajuste del universo de proyectos a nivel nacional y la alineación con el plan de expansión de generación renovable de CFE. Se acordó privilegiar la entrada en operación, antes del término del periodo (diciembre de 2029), de los proyectos ubicados en las áreas Occidental, Oriental y Central. Como criterio técnico se priorizan los proyectos mayores a 60 MW; respecto de los proyectos menores a 5 MW, se determinó considerarlos siempre que se interconecten en la red general de distribución (RGD).</w:t>
      </w:r>
    </w:p>
    <w:p>
      <w:pPr>
        <w:spacing w:before="160" w:after="80"/>
      </w:pPr>
      <w:r>
        <w:rPr>
          <w:rFonts w:ascii="Merriweather" w:hAnsi="Merriweather"/>
          <w:b/>
          <w:color w:val="1E5B4F"/>
          <w:sz w:val="22"/>
        </w:rPr>
        <w:t>2. Preselección de la GCR Oriental</w:t>
      </w:r>
    </w:p>
    <w:p>
      <w:pPr>
        <w:spacing w:after="120"/>
        <w:jc w:val="both"/>
      </w:pPr>
      <w:r>
        <w:rPr>
          <w:rFonts w:ascii="Noto Sans" w:hAnsi="Noto Sans"/>
          <w:color w:val="1A1A1A"/>
          <w:sz w:val="21"/>
        </w:rPr>
        <w:t>De manera preliminar se preseleccionaron 10 proyectos en la Gerencia Oriental. Los proyectos sombreados en verde coinciden con la evaluación de CENACE (por ejemplo, Álamo I). Se identificó coincidencia con CFE en 8 de 10 proyectos, además de Antares Energy Center y Alborada Solar; este último se interconecta en 115 kV en la zona de Papantla y puede operar como punto de inyección al sistema. La capacidad contratada de la preselección Oriental sería del orden de 1,430 MW. Para los estudios de interconexión se utiliza la capacidad contratada, por ser la que efectivamente se inyecta.</w:t>
      </w:r>
    </w:p>
    <w:p>
      <w:pPr>
        <w:spacing w:before="160" w:after="80"/>
      </w:pPr>
      <w:r>
        <w:rPr>
          <w:rFonts w:ascii="Merriweather" w:hAnsi="Merriweather"/>
          <w:b/>
          <w:color w:val="1E5B4F"/>
          <w:sz w:val="22"/>
        </w:rPr>
        <w:t>3. Proyectos excluyentes y mutuamente excluyentes</w:t>
      </w:r>
    </w:p>
    <w:p>
      <w:pPr>
        <w:spacing w:after="120"/>
        <w:jc w:val="both"/>
      </w:pPr>
      <w:r>
        <w:rPr>
          <w:rFonts w:ascii="Noto Sans" w:hAnsi="Noto Sans"/>
          <w:color w:val="1A1A1A"/>
          <w:sz w:val="21"/>
        </w:rPr>
        <w:t>Se determinó que San Martín y Antares Energy Center son mutuamente excluyentes (solo procede uno, del orden de 360 MW); se define cuál se incorpora y el otro queda como reserva. Se acordó que los proyectos excluyentes no se descartan de entrada: CFE puede elegir el de mejor propuesta (PPA) y someterlo a competencia.</w:t>
      </w:r>
    </w:p>
    <w:p>
      <w:pPr>
        <w:spacing w:before="160" w:after="80"/>
      </w:pPr>
      <w:r>
        <w:rPr>
          <w:rFonts w:ascii="Merriweather" w:hAnsi="Merriweather"/>
          <w:b/>
          <w:color w:val="1E5B4F"/>
          <w:sz w:val="22"/>
        </w:rPr>
        <w:t>4. Revisión social y ambiental</w:t>
      </w:r>
    </w:p>
    <w:p>
      <w:pPr>
        <w:spacing w:after="120"/>
        <w:jc w:val="both"/>
      </w:pPr>
      <w:r>
        <w:rPr>
          <w:rFonts w:ascii="Noto Sans" w:hAnsi="Noto Sans"/>
          <w:color w:val="1A1A1A"/>
          <w:sz w:val="21"/>
        </w:rPr>
        <w:t>Sobre el universo de 49 proyectos existe un preanálisis de focos rojos. Requieren revisión de situación social los proyectos ubicados en Oaxaca, Puebla y Tlaxcala. Se identificaron con riesgo social los proyectos Coyote Solar, Gómez Farías y Barajas, correspondientes a otras gerencias. Cuatro proyectos ubicados en Hidalgo (Tulancingo) se descartan de entrada por riesgo social, ambiental y territorial.</w:t>
      </w:r>
    </w:p>
    <w:p>
      <w:pPr>
        <w:spacing w:before="160" w:after="80"/>
      </w:pPr>
      <w:r>
        <w:rPr>
          <w:rFonts w:ascii="Merriweather" w:hAnsi="Merriweather"/>
          <w:b/>
          <w:color w:val="1E5B4F"/>
          <w:sz w:val="22"/>
        </w:rPr>
        <w:t>5. Coordinación</w:t>
      </w:r>
    </w:p>
    <w:p>
      <w:pPr>
        <w:spacing w:after="120"/>
        <w:jc w:val="both"/>
      </w:pPr>
      <w:r>
        <w:rPr>
          <w:rFonts w:ascii="Noto Sans" w:hAnsi="Noto Sans"/>
          <w:color w:val="1A1A1A"/>
          <w:sz w:val="21"/>
        </w:rPr>
        <w:t>Se acordó que la ventanilla de intercambio de información sea Claudia Marcela Meza Vega y Antonino López Ríos por parte de SENER, y Gabriela Aparicio Rangel por parte de CFE, a fin de no duplicar ni mezclar la información.</w:t>
      </w:r>
    </w:p>
    <w:p>
      <w:pPr>
        <w:spacing w:before="280" w:after="80"/>
      </w:pPr>
      <w:r>
        <w:rPr>
          <w:rFonts w:ascii="Merriweather" w:hAnsi="Merriweather"/>
          <w:b/>
          <w:color w:val="1E5B4F"/>
          <w:sz w:val="26"/>
        </w:rPr>
        <w:t>Acuerdos</w:t>
      </w:r>
    </w:p>
    <w:p>
      <w:pPr>
        <w:spacing w:before="40" w:after="160"/>
        <w:pBdr>
          <w:bottom w:val="single" w:sz="6" w:space="1" w:color="1E5B4F"/>
        </w:pBdr>
      </w:pPr>
    </w:p>
    <w:p>
      <w:pPr>
        <w:spacing w:after="60"/>
        <w:ind w:left="360"/>
      </w:pPr>
      <w:r>
        <w:rPr>
          <w:rFonts w:ascii="Noto Sans" w:hAnsi="Noto Sans"/>
          <w:color w:val="1A1A1A"/>
          <w:sz w:val="21"/>
        </w:rPr>
        <w:t>•  1. Se utiliza la capacidad contratada (menor o igual a la capacidad neta de inyección).</w:t>
      </w:r>
    </w:p>
    <w:p>
      <w:pPr>
        <w:spacing w:after="60"/>
        <w:ind w:left="360"/>
      </w:pPr>
      <w:r>
        <w:rPr>
          <w:rFonts w:ascii="Noto Sans" w:hAnsi="Noto Sans"/>
          <w:color w:val="1A1A1A"/>
          <w:sz w:val="21"/>
        </w:rPr>
        <w:t>•  2. Se dan de alta los proyectos pequeños, siempre que se interconecten en la red general de distribución.</w:t>
      </w:r>
    </w:p>
    <w:p>
      <w:pPr>
        <w:spacing w:after="60"/>
        <w:ind w:left="360"/>
      </w:pPr>
      <w:r>
        <w:rPr>
          <w:rFonts w:ascii="Noto Sans" w:hAnsi="Noto Sans"/>
          <w:color w:val="1A1A1A"/>
          <w:sz w:val="21"/>
        </w:rPr>
        <w:t>•  3. Se cuenta con una lista de proyectos conciliados con CFE; solo existe un proyecto excluyente; posteriormente se filtrará por impacto social. Claudia Meza comparte la lista.</w:t>
      </w:r>
    </w:p>
    <w:p>
      <w:pPr>
        <w:spacing w:after="60"/>
        <w:ind w:left="360"/>
      </w:pPr>
      <w:r>
        <w:rPr>
          <w:rFonts w:ascii="Noto Sans" w:hAnsi="Noto Sans"/>
          <w:color w:val="1A1A1A"/>
          <w:sz w:val="21"/>
        </w:rPr>
        <w:t>•  4. CFE comparte el listado final con la SPTE y con CENACE.</w:t>
      </w:r>
    </w:p>
    <w:p>
      <w:pPr>
        <w:spacing w:after="60"/>
        <w:ind w:left="360"/>
      </w:pPr>
      <w:r>
        <w:rPr>
          <w:rFonts w:ascii="Noto Sans" w:hAnsi="Noto Sans"/>
          <w:color w:val="1A1A1A"/>
          <w:sz w:val="21"/>
        </w:rPr>
        <w:t>•  5. Se sube la presentación al chat de la reunión.</w:t>
      </w:r>
    </w:p>
    <w:p>
      <w:pPr>
        <w:spacing w:before="280" w:after="80"/>
      </w:pPr>
      <w:r>
        <w:rPr>
          <w:rFonts w:ascii="Merriweather" w:hAnsi="Merriweather"/>
          <w:b/>
          <w:color w:val="1E5B4F"/>
          <w:sz w:val="26"/>
        </w:rPr>
        <w:t>Matriz de compromisos</w:t>
      </w:r>
    </w:p>
    <w:p>
      <w:pPr>
        <w:spacing w:before="40" w:after="160"/>
        <w:pBdr>
          <w:bottom w:val="single" w:sz="6" w:space="1" w:color="1E5B4F"/>
        </w:pBdr>
      </w:pPr>
    </w:p>
    <w:tbl>
      <w:tblPr>
        <w:tblW w:type="auto" w:w="0"/>
        <w:jc w:val="center"/>
        <w:tblLook w:firstColumn="1" w:firstRow="1" w:lastColumn="0" w:lastRow="0" w:noHBand="0" w:noVBand="1" w:val="04A0"/>
      </w:tblPr>
      <w:tblGrid>
        <w:gridCol w:w="1995"/>
        <w:gridCol w:w="1995"/>
        <w:gridCol w:w="1995"/>
        <w:gridCol w:w="1995"/>
        <w:gridCol w:w="1995"/>
      </w:tblGrid>
      <w:tr>
        <w:tc>
          <w:tcPr>
            <w:tcW w:type="dxa" w:w="1995"/>
            <w:tcW w:w="720" w:type="dxa"/>
            <w:shd w:val="clear" w:color="auto" w:fill="1E5B4F"/>
            <w:tcBorders>
              <w:top w:val="single" w:sz="4" w:space="0" w:color="BBBBBB"/>
              <w:left w:val="single" w:sz="4" w:space="0" w:color="BBBBBB"/>
              <w:bottom w:val="single" w:sz="4" w:space="0" w:color="BBBBBB"/>
              <w:right w:val="single" w:sz="4" w:space="0" w:color="BBBBBB"/>
            </w:tcBorders>
            <w:tcMar>
              <w:top w:w="80" w:type="dxa"/>
              <w:bottom w:w="80" w:type="dxa"/>
              <w:left w:w="100" w:type="dxa"/>
              <w:right w:w="100" w:type="dxa"/>
            </w:tcMar>
          </w:tcPr>
          <w:p>
            <w:pPr>
              <w:jc w:val="center"/>
            </w:pPr>
            <w:r>
              <w:rPr>
                <w:rFonts w:ascii="Noto Sans" w:hAnsi="Noto Sans"/>
                <w:b/>
                <w:color w:val="FFFFFF"/>
                <w:sz w:val="18"/>
              </w:rPr>
              <w:t>N°</w:t>
            </w:r>
          </w:p>
        </w:tc>
        <w:tc>
          <w:tcPr>
            <w:tcW w:type="dxa" w:w="1995"/>
            <w:tcW w:w="3456" w:type="dxa"/>
            <w:shd w:val="clear" w:color="auto" w:fill="1E5B4F"/>
            <w:tcBorders>
              <w:top w:val="single" w:sz="4" w:space="0" w:color="BBBBBB"/>
              <w:left w:val="single" w:sz="4" w:space="0" w:color="BBBBBB"/>
              <w:bottom w:val="single" w:sz="4" w:space="0" w:color="BBBBBB"/>
              <w:right w:val="single" w:sz="4" w:space="0" w:color="BBBBBB"/>
            </w:tcBorders>
            <w:tcMar>
              <w:top w:w="80" w:type="dxa"/>
              <w:bottom w:w="80" w:type="dxa"/>
              <w:left w:w="100" w:type="dxa"/>
              <w:right w:w="100" w:type="dxa"/>
            </w:tcMar>
          </w:tcPr>
          <w:p>
            <w:pPr>
              <w:jc w:val="center"/>
            </w:pPr>
            <w:r>
              <w:rPr>
                <w:rFonts w:ascii="Noto Sans" w:hAnsi="Noto Sans"/>
                <w:b/>
                <w:color w:val="FFFFFF"/>
                <w:sz w:val="18"/>
              </w:rPr>
              <w:t>COMPROMISO</w:t>
            </w:r>
          </w:p>
        </w:tc>
        <w:tc>
          <w:tcPr>
            <w:tcW w:type="dxa" w:w="1995"/>
            <w:tcW w:w="2736" w:type="dxa"/>
            <w:shd w:val="clear" w:color="auto" w:fill="1E5B4F"/>
            <w:tcBorders>
              <w:top w:val="single" w:sz="4" w:space="0" w:color="BBBBBB"/>
              <w:left w:val="single" w:sz="4" w:space="0" w:color="BBBBBB"/>
              <w:bottom w:val="single" w:sz="4" w:space="0" w:color="BBBBBB"/>
              <w:right w:val="single" w:sz="4" w:space="0" w:color="BBBBBB"/>
            </w:tcBorders>
            <w:tcMar>
              <w:top w:w="80" w:type="dxa"/>
              <w:bottom w:w="80" w:type="dxa"/>
              <w:left w:w="100" w:type="dxa"/>
              <w:right w:w="100" w:type="dxa"/>
            </w:tcMar>
          </w:tcPr>
          <w:p>
            <w:pPr>
              <w:jc w:val="center"/>
            </w:pPr>
            <w:r>
              <w:rPr>
                <w:rFonts w:ascii="Noto Sans" w:hAnsi="Noto Sans"/>
                <w:b/>
                <w:color w:val="FFFFFF"/>
                <w:sz w:val="18"/>
              </w:rPr>
              <w:t>RESPONSABLE</w:t>
            </w:r>
          </w:p>
        </w:tc>
        <w:tc>
          <w:tcPr>
            <w:tcW w:type="dxa" w:w="1995"/>
            <w:tcW w:w="1728" w:type="dxa"/>
            <w:shd w:val="clear" w:color="auto" w:fill="1E5B4F"/>
            <w:tcBorders>
              <w:top w:val="single" w:sz="4" w:space="0" w:color="BBBBBB"/>
              <w:left w:val="single" w:sz="4" w:space="0" w:color="BBBBBB"/>
              <w:bottom w:val="single" w:sz="4" w:space="0" w:color="BBBBBB"/>
              <w:right w:val="single" w:sz="4" w:space="0" w:color="BBBBBB"/>
            </w:tcBorders>
            <w:tcMar>
              <w:top w:w="80" w:type="dxa"/>
              <w:bottom w:w="80" w:type="dxa"/>
              <w:left w:w="100" w:type="dxa"/>
              <w:right w:w="100" w:type="dxa"/>
            </w:tcMar>
          </w:tcPr>
          <w:p>
            <w:pPr>
              <w:jc w:val="center"/>
            </w:pPr>
            <w:r>
              <w:rPr>
                <w:rFonts w:ascii="Noto Sans" w:hAnsi="Noto Sans"/>
                <w:b/>
                <w:color w:val="FFFFFF"/>
                <w:sz w:val="18"/>
              </w:rPr>
              <w:t>FECHA LÍMITE</w:t>
            </w:r>
          </w:p>
        </w:tc>
        <w:tc>
          <w:tcPr>
            <w:tcW w:type="dxa" w:w="1995"/>
            <w:tcW w:w="1584" w:type="dxa"/>
            <w:shd w:val="clear" w:color="auto" w:fill="1E5B4F"/>
            <w:tcBorders>
              <w:top w:val="single" w:sz="4" w:space="0" w:color="BBBBBB"/>
              <w:left w:val="single" w:sz="4" w:space="0" w:color="BBBBBB"/>
              <w:bottom w:val="single" w:sz="4" w:space="0" w:color="BBBBBB"/>
              <w:right w:val="single" w:sz="4" w:space="0" w:color="BBBBBB"/>
            </w:tcBorders>
            <w:tcMar>
              <w:top w:w="80" w:type="dxa"/>
              <w:bottom w:w="80" w:type="dxa"/>
              <w:left w:w="100" w:type="dxa"/>
              <w:right w:w="100" w:type="dxa"/>
            </w:tcMar>
          </w:tcPr>
          <w:p>
            <w:pPr>
              <w:jc w:val="center"/>
            </w:pPr>
            <w:r>
              <w:rPr>
                <w:rFonts w:ascii="Noto Sans" w:hAnsi="Noto Sans"/>
                <w:b/>
                <w:color w:val="FFFFFF"/>
                <w:sz w:val="18"/>
              </w:rPr>
              <w:t>ESTATUS</w:t>
            </w:r>
          </w:p>
        </w:tc>
      </w:tr>
      <w:tr>
        <w:tc>
          <w:tcPr>
            <w:tcW w:type="dxa" w:w="1995"/>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1</w:t>
            </w:r>
          </w:p>
        </w:tc>
        <w:tc>
          <w:tcPr>
            <w:tcW w:type="dxa" w:w="1995"/>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Entregar propuesta técnica</w:t>
            </w:r>
          </w:p>
        </w:tc>
        <w:tc>
          <w:tcPr>
            <w:tcW w:type="dxa" w:w="1995"/>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Javier Sasso Celaya</w:t>
            </w:r>
          </w:p>
        </w:tc>
        <w:tc>
          <w:tcPr>
            <w:tcW w:type="dxa" w:w="1995"/>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30 de abril</w:t>
            </w:r>
          </w:p>
        </w:tc>
        <w:tc>
          <w:tcPr>
            <w:tcW w:type="dxa" w:w="1995"/>
            <w:shd w:val="clear" w:color="auto" w:fill="A57F2C"/>
            <w:tcBorders>
              <w:top w:val="single" w:sz="4" w:space="0" w:color="BBBBBB"/>
              <w:left w:val="single" w:sz="4" w:space="0" w:color="BBBBBB"/>
              <w:bottom w:val="single" w:sz="4" w:space="0" w:color="BBBBBB"/>
              <w:right w:val="single" w:sz="4" w:space="0" w:color="BBBBBB"/>
            </w:tcBorders>
            <w:tcMar>
              <w:top w:w="60" w:type="dxa"/>
              <w:bottom w:w="60" w:type="dxa"/>
              <w:left w:w="80" w:type="dxa"/>
              <w:right w:w="80" w:type="dxa"/>
            </w:tcMar>
          </w:tcPr>
          <w:p>
            <w:pPr>
              <w:jc w:val="center"/>
            </w:pPr>
            <w:r>
              <w:rPr>
                <w:rFonts w:ascii="Noto Sans" w:hAnsi="Noto Sans"/>
                <w:b/>
                <w:color w:val="FFFFFF"/>
                <w:sz w:val="16"/>
              </w:rPr>
              <w:t>EN PROCESO</w:t>
            </w:r>
          </w:p>
        </w:tc>
      </w:tr>
      <w:tr>
        <w:tc>
          <w:tcPr>
            <w:tcW w:type="dxa" w:w="1995"/>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2</w:t>
            </w:r>
          </w:p>
        </w:tc>
        <w:tc>
          <w:tcPr>
            <w:tcW w:type="dxa" w:w="1995"/>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Enviar la presentación</w:t>
            </w:r>
          </w:p>
        </w:tc>
        <w:tc>
          <w:tcPr>
            <w:tcW w:type="dxa" w:w="1995"/>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CFE</w:t>
            </w:r>
          </w:p>
        </w:tc>
        <w:tc>
          <w:tcPr>
            <w:tcW w:type="dxa" w:w="1995"/>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Por definir</w:t>
            </w:r>
          </w:p>
        </w:tc>
        <w:tc>
          <w:tcPr>
            <w:tcW w:type="dxa" w:w="1995"/>
            <w:shd w:val="clear" w:color="auto" w:fill="888888"/>
            <w:tcBorders>
              <w:top w:val="single" w:sz="4" w:space="0" w:color="BBBBBB"/>
              <w:left w:val="single" w:sz="4" w:space="0" w:color="BBBBBB"/>
              <w:bottom w:val="single" w:sz="4" w:space="0" w:color="BBBBBB"/>
              <w:right w:val="single" w:sz="4" w:space="0" w:color="BBBBBB"/>
            </w:tcBorders>
            <w:tcMar>
              <w:top w:w="60" w:type="dxa"/>
              <w:bottom w:w="60" w:type="dxa"/>
              <w:left w:w="80" w:type="dxa"/>
              <w:right w:w="80" w:type="dxa"/>
            </w:tcMar>
          </w:tcPr>
          <w:p>
            <w:pPr>
              <w:jc w:val="center"/>
            </w:pPr>
            <w:r>
              <w:rPr>
                <w:rFonts w:ascii="Noto Sans" w:hAnsi="Noto Sans"/>
                <w:b/>
                <w:color w:val="FFFFFF"/>
                <w:sz w:val="16"/>
              </w:rPr>
              <w:t>PENDIENTE</w:t>
            </w:r>
          </w:p>
        </w:tc>
      </w:tr>
      <w:tr>
        <w:tc>
          <w:tcPr>
            <w:tcW w:type="dxa" w:w="1995"/>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3</w:t>
            </w:r>
          </w:p>
        </w:tc>
        <w:tc>
          <w:tcPr>
            <w:tcW w:type="dxa" w:w="1995"/>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Revisar la base de datos</w:t>
            </w:r>
          </w:p>
        </w:tc>
        <w:tc>
          <w:tcPr>
            <w:tcW w:type="dxa" w:w="1995"/>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DGMESNIE</w:t>
            </w:r>
          </w:p>
        </w:tc>
        <w:tc>
          <w:tcPr>
            <w:tcW w:type="dxa" w:w="1995"/>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Por definir</w:t>
            </w:r>
          </w:p>
        </w:tc>
        <w:tc>
          <w:tcPr>
            <w:tcW w:type="dxa" w:w="1995"/>
            <w:shd w:val="clear" w:color="auto" w:fill="888888"/>
            <w:tcBorders>
              <w:top w:val="single" w:sz="4" w:space="0" w:color="BBBBBB"/>
              <w:left w:val="single" w:sz="4" w:space="0" w:color="BBBBBB"/>
              <w:bottom w:val="single" w:sz="4" w:space="0" w:color="BBBBBB"/>
              <w:right w:val="single" w:sz="4" w:space="0" w:color="BBBBBB"/>
            </w:tcBorders>
            <w:tcMar>
              <w:top w:w="60" w:type="dxa"/>
              <w:bottom w:w="60" w:type="dxa"/>
              <w:left w:w="80" w:type="dxa"/>
              <w:right w:w="80" w:type="dxa"/>
            </w:tcMar>
          </w:tcPr>
          <w:p>
            <w:pPr>
              <w:jc w:val="center"/>
            </w:pPr>
            <w:r>
              <w:rPr>
                <w:rFonts w:ascii="Noto Sans" w:hAnsi="Noto Sans"/>
                <w:b/>
                <w:color w:val="FFFFFF"/>
                <w:sz w:val="16"/>
              </w:rPr>
              <w:t>PENDIENTE</w:t>
            </w:r>
          </w:p>
        </w:tc>
      </w:tr>
      <w:tr>
        <w:tc>
          <w:tcPr>
            <w:tcW w:type="dxa" w:w="1995"/>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4</w:t>
            </w:r>
          </w:p>
        </w:tc>
        <w:tc>
          <w:tcPr>
            <w:tcW w:type="dxa" w:w="1995"/>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Validar cifras finales</w:t>
            </w:r>
          </w:p>
        </w:tc>
        <w:tc>
          <w:tcPr>
            <w:tcW w:type="dxa" w:w="1995"/>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SENER / CFE / CENACE</w:t>
            </w:r>
          </w:p>
        </w:tc>
        <w:tc>
          <w:tcPr>
            <w:tcW w:type="dxa" w:w="1995"/>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Por definir</w:t>
            </w:r>
          </w:p>
        </w:tc>
        <w:tc>
          <w:tcPr>
            <w:tcW w:type="dxa" w:w="1995"/>
            <w:shd w:val="clear" w:color="auto" w:fill="888888"/>
            <w:tcBorders>
              <w:top w:val="single" w:sz="4" w:space="0" w:color="BBBBBB"/>
              <w:left w:val="single" w:sz="4" w:space="0" w:color="BBBBBB"/>
              <w:bottom w:val="single" w:sz="4" w:space="0" w:color="BBBBBB"/>
              <w:right w:val="single" w:sz="4" w:space="0" w:color="BBBBBB"/>
            </w:tcBorders>
            <w:tcMar>
              <w:top w:w="60" w:type="dxa"/>
              <w:bottom w:w="60" w:type="dxa"/>
              <w:left w:w="80" w:type="dxa"/>
              <w:right w:w="80" w:type="dxa"/>
            </w:tcMar>
          </w:tcPr>
          <w:p>
            <w:pPr>
              <w:jc w:val="center"/>
            </w:pPr>
            <w:r>
              <w:rPr>
                <w:rFonts w:ascii="Noto Sans" w:hAnsi="Noto Sans"/>
                <w:b/>
                <w:color w:val="FFFFFF"/>
                <w:sz w:val="16"/>
              </w:rPr>
              <w:t>PENDIENTE</w:t>
            </w:r>
          </w:p>
        </w:tc>
      </w:tr>
    </w:tbl>
    <w:p>
      <w:pPr>
        <w:jc w:val="center"/>
      </w:pPr>
      <w:r>
        <w:drawing>
          <wp:inline xmlns:a="http://schemas.openxmlformats.org/drawingml/2006/main" xmlns:pic="http://schemas.openxmlformats.org/drawingml/2006/picture">
            <wp:extent cx="5669280" cy="1671506"/>
            <wp:docPr id="1" name="Picture 1"/>
            <wp:cNvGraphicFramePr>
              <a:graphicFrameLocks noChangeAspect="1"/>
            </wp:cNvGraphicFramePr>
            <a:graphic>
              <a:graphicData uri="http://schemas.openxmlformats.org/drawingml/2006/picture">
                <pic:pic>
                  <pic:nvPicPr>
                    <pic:cNvPr id="0" name="_sem_compromisos.png"/>
                    <pic:cNvPicPr/>
                  </pic:nvPicPr>
                  <pic:blipFill>
                    <a:blip r:embed="rId17"/>
                    <a:stretch>
                      <a:fillRect/>
                    </a:stretch>
                  </pic:blipFill>
                  <pic:spPr>
                    <a:xfrm>
                      <a:off x="0" y="0"/>
                      <a:ext cx="5669280" cy="1671506"/>
                    </a:xfrm>
                    <a:prstGeom prst="rect"/>
                  </pic:spPr>
                </pic:pic>
              </a:graphicData>
            </a:graphic>
          </wp:inline>
        </w:drawing>
      </w:r>
    </w:p>
    <w:p>
      <w:pPr>
        <w:jc w:val="center"/>
      </w:pPr>
      <w:r>
        <w:rPr>
          <w:rFonts w:ascii="Noto Sans" w:hAnsi="Noto Sans"/>
          <w:i/>
          <w:color w:val="6E6E6E"/>
          <w:sz w:val="16"/>
        </w:rPr>
        <w:t>Figura 1. Semáforo de compromisos por estatus.</w:t>
      </w:r>
    </w:p>
    <w:p>
      <w:pPr>
        <w:spacing w:before="280" w:after="80"/>
      </w:pPr>
      <w:r>
        <w:rPr>
          <w:rFonts w:ascii="Merriweather" w:hAnsi="Merriweather"/>
          <w:b/>
          <w:color w:val="1E5B4F"/>
          <w:sz w:val="26"/>
        </w:rPr>
        <w:t>Riesgos</w:t>
      </w:r>
    </w:p>
    <w:p>
      <w:pPr>
        <w:spacing w:before="40" w:after="160"/>
        <w:pBdr>
          <w:bottom w:val="single" w:sz="6" w:space="1" w:color="1E5B4F"/>
        </w:pBdr>
      </w:pPr>
    </w:p>
    <w:tbl>
      <w:tblPr>
        <w:tblW w:type="auto" w:w="0"/>
        <w:tblLook w:firstColumn="1" w:firstRow="1" w:lastColumn="0" w:lastRow="0" w:noHBand="0" w:noVBand="1" w:val="04A0"/>
      </w:tblPr>
      <w:tblGrid>
        <w:gridCol w:w="9974"/>
      </w:tblGrid>
      <w:tr>
        <w:tc>
          <w:tcPr>
            <w:tcW w:type="dxa" w:w="9974"/>
            <w:shd w:val="clear" w:color="auto" w:fill="FEF2F4"/>
            <w:tcMar>
              <w:top w:w="100" w:type="dxa"/>
              <w:bottom w:w="100" w:type="dxa"/>
              <w:left w:w="140" w:type="dxa"/>
              <w:right w:w="120" w:type="dxa"/>
            </w:tcMar>
            <w:tcBorders>
              <w:left w:val="single" w:sz="24" w:space="0" w:color="9B2247"/>
              <w:top w:val="none"/>
              <w:bottom w:val="none"/>
              <w:right w:val="none"/>
            </w:tcBorders>
          </w:tcPr>
          <w:p>
            <w:r>
              <w:rPr>
                <w:rFonts w:ascii="Noto Sans" w:hAnsi="Noto Sans"/>
                <w:b/>
                <w:color w:val="9B2247"/>
                <w:sz w:val="18"/>
              </w:rPr>
              <w:t>⚑  Riesgo</w:t>
            </w:r>
          </w:p>
          <w:p>
            <w:pPr>
              <w:spacing w:before="40"/>
            </w:pPr>
            <w:r>
              <w:rPr>
                <w:rFonts w:ascii="Noto Sans" w:hAnsi="Noto Sans"/>
                <w:color w:val="1A1A1A"/>
                <w:sz w:val="19"/>
              </w:rPr>
              <w:t>Falta información de otra área para cerrar la lista.</w:t>
            </w:r>
          </w:p>
        </w:tc>
      </w:tr>
    </w:tbl>
    <w:tbl>
      <w:tblPr>
        <w:tblW w:type="auto" w:w="0"/>
        <w:tblLook w:firstColumn="1" w:firstRow="1" w:lastColumn="0" w:lastRow="0" w:noHBand="0" w:noVBand="1" w:val="04A0"/>
      </w:tblPr>
      <w:tblGrid>
        <w:gridCol w:w="9974"/>
      </w:tblGrid>
      <w:tr>
        <w:tc>
          <w:tcPr>
            <w:tcW w:type="dxa" w:w="9974"/>
            <w:shd w:val="clear" w:color="auto" w:fill="FEF2F4"/>
            <w:tcMar>
              <w:top w:w="100" w:type="dxa"/>
              <w:bottom w:w="100" w:type="dxa"/>
              <w:left w:w="140" w:type="dxa"/>
              <w:right w:w="120" w:type="dxa"/>
            </w:tcMar>
            <w:tcBorders>
              <w:left w:val="single" w:sz="24" w:space="0" w:color="9B2247"/>
              <w:top w:val="none"/>
              <w:bottom w:val="none"/>
              <w:right w:val="none"/>
            </w:tcBorders>
          </w:tcPr>
          <w:p>
            <w:r>
              <w:rPr>
                <w:rFonts w:ascii="Noto Sans" w:hAnsi="Noto Sans"/>
                <w:b/>
                <w:color w:val="9B2247"/>
                <w:sz w:val="18"/>
              </w:rPr>
              <w:t>⚑  Riesgo</w:t>
            </w:r>
          </w:p>
          <w:p>
            <w:pPr>
              <w:spacing w:before="40"/>
            </w:pPr>
            <w:r>
              <w:rPr>
                <w:rFonts w:ascii="Noto Sans" w:hAnsi="Noto Sans"/>
                <w:color w:val="1A1A1A"/>
                <w:sz w:val="19"/>
              </w:rPr>
              <w:t>Pendiente el visto bueno jurídico (sustento normativo de la participación de CFE).</w:t>
            </w:r>
          </w:p>
        </w:tc>
      </w:tr>
    </w:tbl>
    <w:p>
      <w:pPr>
        <w:spacing w:before="280" w:after="80"/>
      </w:pPr>
      <w:r>
        <w:rPr>
          <w:rFonts w:ascii="Merriweather" w:hAnsi="Merriweather"/>
          <w:b/>
          <w:color w:val="1E5B4F"/>
          <w:sz w:val="26"/>
        </w:rPr>
        <w:t>Decisiones relevantes</w:t>
      </w:r>
    </w:p>
    <w:p>
      <w:pPr>
        <w:spacing w:before="40" w:after="160"/>
        <w:pBdr>
          <w:bottom w:val="single" w:sz="6" w:space="1" w:color="1E5B4F"/>
        </w:pBdr>
      </w:pPr>
    </w:p>
    <w:p>
      <w:pPr>
        <w:spacing w:after="60"/>
        <w:ind w:left="360"/>
      </w:pPr>
      <w:r>
        <w:rPr>
          <w:rFonts w:ascii="Noto Sans" w:hAnsi="Noto Sans"/>
          <w:color w:val="1A1A1A"/>
          <w:sz w:val="21"/>
        </w:rPr>
        <w:t>•  Se aprueba la fase 1 de la preselección de la GCR Oriental.</w:t>
      </w:r>
    </w:p>
    <w:p>
      <w:pPr>
        <w:spacing w:after="60"/>
        <w:ind w:left="360"/>
      </w:pPr>
      <w:r>
        <w:rPr>
          <w:rFonts w:ascii="Noto Sans" w:hAnsi="Noto Sans"/>
          <w:color w:val="1A1A1A"/>
          <w:sz w:val="21"/>
        </w:rPr>
        <w:t>•  Se pospone el módulo geoespacial.</w:t>
      </w:r>
    </w:p>
    <w:p>
      <w:pPr>
        <w:spacing w:before="280" w:after="80"/>
      </w:pPr>
      <w:r>
        <w:rPr>
          <w:rFonts w:ascii="Merriweather" w:hAnsi="Merriweather"/>
          <w:b/>
          <w:color w:val="1E5B4F"/>
          <w:sz w:val="26"/>
        </w:rPr>
        <w:t>Proyectos preseleccionados GCR Oriental (preliminar)</w:t>
      </w:r>
    </w:p>
    <w:p>
      <w:pPr>
        <w:spacing w:before="40" w:after="160"/>
        <w:pBdr>
          <w:bottom w:val="single" w:sz="6" w:space="1" w:color="1E5B4F"/>
        </w:pBdr>
      </w:pPr>
    </w:p>
    <w:tbl>
      <w:tblPr>
        <w:tblW w:type="auto" w:w="0"/>
        <w:jc w:val="center"/>
        <w:tblLook w:firstColumn="1" w:firstRow="1" w:lastColumn="0" w:lastRow="0" w:noHBand="0" w:noVBand="1" w:val="04A0"/>
      </w:tblPr>
      <w:tblGrid>
        <w:gridCol w:w="2493"/>
        <w:gridCol w:w="2493"/>
        <w:gridCol w:w="2493"/>
        <w:gridCol w:w="2493"/>
      </w:tblGrid>
      <w:tr>
        <w:tc>
          <w:tcPr>
            <w:tcW w:type="dxa" w:w="2493"/>
            <w:tcW w:w="3168" w:type="dxa"/>
            <w:shd w:val="clear" w:color="auto" w:fill="1E5B4F"/>
            <w:tcBorders>
              <w:top w:val="single" w:sz="4" w:space="0" w:color="BBBBBB"/>
              <w:left w:val="single" w:sz="4" w:space="0" w:color="BBBBBB"/>
              <w:bottom w:val="single" w:sz="4" w:space="0" w:color="BBBBBB"/>
              <w:right w:val="single" w:sz="4" w:space="0" w:color="BBBBBB"/>
            </w:tcBorders>
            <w:tcMar>
              <w:top w:w="80" w:type="dxa"/>
              <w:bottom w:w="80" w:type="dxa"/>
              <w:left w:w="100" w:type="dxa"/>
              <w:right w:w="100" w:type="dxa"/>
            </w:tcMar>
          </w:tcPr>
          <w:p>
            <w:pPr>
              <w:jc w:val="center"/>
            </w:pPr>
            <w:r>
              <w:rPr>
                <w:rFonts w:ascii="Noto Sans" w:hAnsi="Noto Sans"/>
                <w:b/>
                <w:color w:val="FFFFFF"/>
                <w:sz w:val="18"/>
              </w:rPr>
              <w:t>PROYECTO</w:t>
            </w:r>
          </w:p>
        </w:tc>
        <w:tc>
          <w:tcPr>
            <w:tcW w:type="dxa" w:w="2493"/>
            <w:tcW w:w="1584" w:type="dxa"/>
            <w:shd w:val="clear" w:color="auto" w:fill="1E5B4F"/>
            <w:tcBorders>
              <w:top w:val="single" w:sz="4" w:space="0" w:color="BBBBBB"/>
              <w:left w:val="single" w:sz="4" w:space="0" w:color="BBBBBB"/>
              <w:bottom w:val="single" w:sz="4" w:space="0" w:color="BBBBBB"/>
              <w:right w:val="single" w:sz="4" w:space="0" w:color="BBBBBB"/>
            </w:tcBorders>
            <w:tcMar>
              <w:top w:w="80" w:type="dxa"/>
              <w:bottom w:w="80" w:type="dxa"/>
              <w:left w:w="100" w:type="dxa"/>
              <w:right w:w="100" w:type="dxa"/>
            </w:tcMar>
          </w:tcPr>
          <w:p>
            <w:pPr>
              <w:jc w:val="center"/>
            </w:pPr>
            <w:r>
              <w:rPr>
                <w:rFonts w:ascii="Noto Sans" w:hAnsi="Noto Sans"/>
                <w:b/>
                <w:color w:val="FFFFFF"/>
                <w:sz w:val="18"/>
              </w:rPr>
              <w:t>ENTIDAD</w:t>
            </w:r>
          </w:p>
        </w:tc>
        <w:tc>
          <w:tcPr>
            <w:tcW w:type="dxa" w:w="2493"/>
            <w:tcW w:w="1872" w:type="dxa"/>
            <w:shd w:val="clear" w:color="auto" w:fill="1E5B4F"/>
            <w:tcBorders>
              <w:top w:val="single" w:sz="4" w:space="0" w:color="BBBBBB"/>
              <w:left w:val="single" w:sz="4" w:space="0" w:color="BBBBBB"/>
              <w:bottom w:val="single" w:sz="4" w:space="0" w:color="BBBBBB"/>
              <w:right w:val="single" w:sz="4" w:space="0" w:color="BBBBBB"/>
            </w:tcBorders>
            <w:tcMar>
              <w:top w:w="80" w:type="dxa"/>
              <w:bottom w:w="80" w:type="dxa"/>
              <w:left w:w="100" w:type="dxa"/>
              <w:right w:w="100" w:type="dxa"/>
            </w:tcMar>
          </w:tcPr>
          <w:p>
            <w:pPr>
              <w:jc w:val="center"/>
            </w:pPr>
            <w:r>
              <w:rPr>
                <w:rFonts w:ascii="Noto Sans" w:hAnsi="Noto Sans"/>
                <w:b/>
                <w:color w:val="FFFFFF"/>
                <w:sz w:val="18"/>
              </w:rPr>
              <w:t>ESTATUS</w:t>
            </w:r>
          </w:p>
        </w:tc>
        <w:tc>
          <w:tcPr>
            <w:tcW w:type="dxa" w:w="2493"/>
            <w:tcW w:w="3024" w:type="dxa"/>
            <w:shd w:val="clear" w:color="auto" w:fill="1E5B4F"/>
            <w:tcBorders>
              <w:top w:val="single" w:sz="4" w:space="0" w:color="BBBBBB"/>
              <w:left w:val="single" w:sz="4" w:space="0" w:color="BBBBBB"/>
              <w:bottom w:val="single" w:sz="4" w:space="0" w:color="BBBBBB"/>
              <w:right w:val="single" w:sz="4" w:space="0" w:color="BBBBBB"/>
            </w:tcBorders>
            <w:tcMar>
              <w:top w:w="80" w:type="dxa"/>
              <w:bottom w:w="80" w:type="dxa"/>
              <w:left w:w="100" w:type="dxa"/>
              <w:right w:w="100" w:type="dxa"/>
            </w:tcMar>
          </w:tcPr>
          <w:p>
            <w:pPr>
              <w:jc w:val="center"/>
            </w:pPr>
            <w:r>
              <w:rPr>
                <w:rFonts w:ascii="Noto Sans" w:hAnsi="Noto Sans"/>
                <w:b/>
                <w:color w:val="FFFFFF"/>
                <w:sz w:val="18"/>
              </w:rPr>
              <w:t>OBSERVACIONES</w:t>
            </w:r>
          </w:p>
        </w:tc>
      </w:tr>
      <w:tr>
        <w:tc>
          <w:tcPr>
            <w:tcW w:type="dxa" w:w="2493"/>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Álamo I Solar</w:t>
            </w:r>
          </w:p>
        </w:tc>
        <w:tc>
          <w:tcPr>
            <w:tcW w:type="dxa" w:w="2493"/>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Veracruz</w:t>
            </w:r>
          </w:p>
        </w:tc>
        <w:tc>
          <w:tcPr>
            <w:tcW w:type="dxa" w:w="2493"/>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Preseleccionado</w:t>
            </w:r>
          </w:p>
        </w:tc>
        <w:tc>
          <w:tcPr>
            <w:tcW w:type="dxa" w:w="2493"/>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Coincide con CENACE</w:t>
            </w:r>
          </w:p>
        </w:tc>
      </w:tr>
      <w:tr>
        <w:tc>
          <w:tcPr>
            <w:tcW w:type="dxa" w:w="2493"/>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Loma Bonita Solar</w:t>
            </w:r>
          </w:p>
        </w:tc>
        <w:tc>
          <w:tcPr>
            <w:tcW w:type="dxa" w:w="2493"/>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Oaxaca</w:t>
            </w:r>
          </w:p>
        </w:tc>
        <w:tc>
          <w:tcPr>
            <w:tcW w:type="dxa" w:w="2493"/>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Preseleccionado</w:t>
            </w:r>
          </w:p>
        </w:tc>
        <w:tc>
          <w:tcPr>
            <w:tcW w:type="dxa" w:w="2493"/>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Pendiente revisión social</w:t>
            </w:r>
          </w:p>
        </w:tc>
      </w:tr>
      <w:tr>
        <w:tc>
          <w:tcPr>
            <w:tcW w:type="dxa" w:w="2493"/>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Tecamachalco Solar</w:t>
            </w:r>
          </w:p>
        </w:tc>
        <w:tc>
          <w:tcPr>
            <w:tcW w:type="dxa" w:w="2493"/>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Puebla</w:t>
            </w:r>
          </w:p>
        </w:tc>
        <w:tc>
          <w:tcPr>
            <w:tcW w:type="dxa" w:w="2493"/>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Preseleccionado</w:t>
            </w:r>
          </w:p>
        </w:tc>
        <w:tc>
          <w:tcPr>
            <w:tcW w:type="dxa" w:w="2493"/>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Pendiente revisión social</w:t>
            </w:r>
          </w:p>
        </w:tc>
      </w:tr>
      <w:tr>
        <w:tc>
          <w:tcPr>
            <w:tcW w:type="dxa" w:w="2493"/>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Proyecto Solar Las Cañas</w:t>
            </w:r>
          </w:p>
        </w:tc>
        <w:tc>
          <w:tcPr>
            <w:tcW w:type="dxa" w:w="2493"/>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Veracruz</w:t>
            </w:r>
          </w:p>
        </w:tc>
        <w:tc>
          <w:tcPr>
            <w:tcW w:type="dxa" w:w="2493"/>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Preseleccionado</w:t>
            </w:r>
          </w:p>
        </w:tc>
        <w:tc>
          <w:tcPr>
            <w:tcW w:type="dxa" w:w="2493"/>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w:t>
            </w:r>
          </w:p>
        </w:tc>
      </w:tr>
      <w:tr>
        <w:tc>
          <w:tcPr>
            <w:tcW w:type="dxa" w:w="2493"/>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Tirapeche Solar</w:t>
            </w:r>
          </w:p>
        </w:tc>
        <w:tc>
          <w:tcPr>
            <w:tcW w:type="dxa" w:w="2493"/>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Veracruz</w:t>
            </w:r>
          </w:p>
        </w:tc>
        <w:tc>
          <w:tcPr>
            <w:tcW w:type="dxa" w:w="2493"/>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Preseleccionado</w:t>
            </w:r>
          </w:p>
        </w:tc>
        <w:tc>
          <w:tcPr>
            <w:tcW w:type="dxa" w:w="2493"/>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w:t>
            </w:r>
          </w:p>
        </w:tc>
      </w:tr>
      <w:tr>
        <w:tc>
          <w:tcPr>
            <w:tcW w:type="dxa" w:w="2493"/>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Matraca Maya</w:t>
            </w:r>
          </w:p>
        </w:tc>
        <w:tc>
          <w:tcPr>
            <w:tcW w:type="dxa" w:w="2493"/>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Tlaxcala</w:t>
            </w:r>
          </w:p>
        </w:tc>
        <w:tc>
          <w:tcPr>
            <w:tcW w:type="dxa" w:w="2493"/>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Preseleccionado</w:t>
            </w:r>
          </w:p>
        </w:tc>
        <w:tc>
          <w:tcPr>
            <w:tcW w:type="dxa" w:w="2493"/>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Coincide con CENACE</w:t>
            </w:r>
          </w:p>
        </w:tc>
      </w:tr>
      <w:tr>
        <w:tc>
          <w:tcPr>
            <w:tcW w:type="dxa" w:w="2493"/>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Malva Solar</w:t>
            </w:r>
          </w:p>
        </w:tc>
        <w:tc>
          <w:tcPr>
            <w:tcW w:type="dxa" w:w="2493"/>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Veracruz</w:t>
            </w:r>
          </w:p>
        </w:tc>
        <w:tc>
          <w:tcPr>
            <w:tcW w:type="dxa" w:w="2493"/>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Preseleccionado</w:t>
            </w:r>
          </w:p>
        </w:tc>
        <w:tc>
          <w:tcPr>
            <w:tcW w:type="dxa" w:w="2493"/>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w:t>
            </w:r>
          </w:p>
        </w:tc>
      </w:tr>
      <w:tr>
        <w:tc>
          <w:tcPr>
            <w:tcW w:type="dxa" w:w="2493"/>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Veladero</w:t>
            </w:r>
          </w:p>
        </w:tc>
        <w:tc>
          <w:tcPr>
            <w:tcW w:type="dxa" w:w="2493"/>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Tabasco</w:t>
            </w:r>
          </w:p>
        </w:tc>
        <w:tc>
          <w:tcPr>
            <w:tcW w:type="dxa" w:w="2493"/>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Preseleccionado</w:t>
            </w:r>
          </w:p>
        </w:tc>
        <w:tc>
          <w:tcPr>
            <w:tcW w:type="dxa" w:w="2493"/>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Coincide con CENACE</w:t>
            </w:r>
          </w:p>
        </w:tc>
      </w:tr>
      <w:tr>
        <w:tc>
          <w:tcPr>
            <w:tcW w:type="dxa" w:w="2493"/>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Alborada Solar</w:t>
            </w:r>
          </w:p>
        </w:tc>
        <w:tc>
          <w:tcPr>
            <w:tcW w:type="dxa" w:w="2493"/>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Puebla</w:t>
            </w:r>
          </w:p>
        </w:tc>
        <w:tc>
          <w:tcPr>
            <w:tcW w:type="dxa" w:w="2493"/>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Preseleccionado</w:t>
            </w:r>
          </w:p>
        </w:tc>
        <w:tc>
          <w:tcPr>
            <w:tcW w:type="dxa" w:w="2493"/>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Punto de inyección en Papantla (115 kV)</w:t>
            </w:r>
          </w:p>
        </w:tc>
      </w:tr>
      <w:tr>
        <w:tc>
          <w:tcPr>
            <w:tcW w:type="dxa" w:w="2493"/>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Antares Energy Center</w:t>
            </w:r>
          </w:p>
        </w:tc>
        <w:tc>
          <w:tcPr>
            <w:tcW w:type="dxa" w:w="2493"/>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Tlaxcala</w:t>
            </w:r>
          </w:p>
        </w:tc>
        <w:tc>
          <w:tcPr>
            <w:tcW w:type="dxa" w:w="2493"/>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Excluyente</w:t>
            </w:r>
          </w:p>
        </w:tc>
        <w:tc>
          <w:tcPr>
            <w:tcW w:type="dxa" w:w="2493"/>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Mutuamente excluyente con San Martín</w:t>
            </w:r>
          </w:p>
        </w:tc>
      </w:tr>
      <w:tr>
        <w:tc>
          <w:tcPr>
            <w:tcW w:type="dxa" w:w="2493"/>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San Martín</w:t>
            </w:r>
          </w:p>
        </w:tc>
        <w:tc>
          <w:tcPr>
            <w:tcW w:type="dxa" w:w="2493"/>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Tlaxcala</w:t>
            </w:r>
          </w:p>
        </w:tc>
        <w:tc>
          <w:tcPr>
            <w:tcW w:type="dxa" w:w="2493"/>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Reserva</w:t>
            </w:r>
          </w:p>
        </w:tc>
        <w:tc>
          <w:tcPr>
            <w:tcW w:type="dxa" w:w="2493"/>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Excluyente con Antares Energy Center</w:t>
            </w:r>
          </w:p>
        </w:tc>
      </w:tr>
      <w:tr>
        <w:tc>
          <w:tcPr>
            <w:tcW w:type="dxa" w:w="2493"/>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4 proyectos en Hidalgo (Tulancingo)</w:t>
            </w:r>
          </w:p>
        </w:tc>
        <w:tc>
          <w:tcPr>
            <w:tcW w:type="dxa" w:w="2493"/>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Hidalgo</w:t>
            </w:r>
          </w:p>
        </w:tc>
        <w:tc>
          <w:tcPr>
            <w:tcW w:type="dxa" w:w="2493"/>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Descartados</w:t>
            </w:r>
          </w:p>
        </w:tc>
        <w:tc>
          <w:tcPr>
            <w:tcW w:type="dxa" w:w="2493"/>
            <w:shd w:val="clear" w:color="auto" w:fill="F2F6F4"/>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Riesgo social, ambiental y territorial</w:t>
            </w:r>
          </w:p>
        </w:tc>
      </w:tr>
    </w:tbl>
    <w:tbl>
      <w:tblPr>
        <w:tblW w:type="auto" w:w="0"/>
        <w:tblLook w:firstColumn="1" w:firstRow="1" w:lastColumn="0" w:lastRow="0" w:noHBand="0" w:noVBand="1" w:val="04A0"/>
      </w:tblPr>
      <w:tblGrid>
        <w:gridCol w:w="9974"/>
      </w:tblGrid>
      <w:tr>
        <w:tc>
          <w:tcPr>
            <w:tcW w:type="dxa" w:w="9974"/>
            <w:shd w:val="clear" w:color="auto" w:fill="FAF6EE"/>
            <w:tcMar>
              <w:top w:w="100" w:type="dxa"/>
              <w:bottom w:w="100" w:type="dxa"/>
              <w:left w:w="140" w:type="dxa"/>
              <w:right w:w="120" w:type="dxa"/>
            </w:tcMar>
            <w:tcBorders>
              <w:left w:val="single" w:sz="24" w:space="0" w:color="A57F2C"/>
              <w:top w:val="none"/>
              <w:bottom w:val="none"/>
              <w:right w:val="none"/>
            </w:tcBorders>
          </w:tcPr>
          <w:p>
            <w:r>
              <w:rPr>
                <w:rFonts w:ascii="Noto Sans" w:hAnsi="Noto Sans"/>
                <w:b/>
                <w:color w:val="A57F2C"/>
                <w:sz w:val="18"/>
              </w:rPr>
              <w:t>⚠  Supuesto</w:t>
            </w:r>
          </w:p>
          <w:p>
            <w:pPr>
              <w:spacing w:before="40"/>
            </w:pPr>
            <w:r>
              <w:rPr>
                <w:rFonts w:ascii="Noto Sans" w:hAnsi="Noto Sans"/>
                <w:color w:val="1A1A1A"/>
                <w:sz w:val="19"/>
              </w:rPr>
              <w:t>La preselección por proyecto es preliminar; las decisiones definitivas quedan sujetas al filtrado de impacto social y a la confirmación de CENACE.</w:t>
            </w:r>
          </w:p>
        </w:tc>
      </w:tr>
    </w:tbl>
    <w:p>
      <w:pPr>
        <w:spacing w:before="280" w:after="80"/>
      </w:pPr>
      <w:r>
        <w:rPr>
          <w:rFonts w:ascii="Merriweather" w:hAnsi="Merriweather"/>
          <w:b/>
          <w:color w:val="1E5B4F"/>
          <w:sz w:val="26"/>
        </w:rPr>
        <w:t>Próxima reunión</w:t>
      </w:r>
    </w:p>
    <w:p>
      <w:pPr>
        <w:spacing w:before="40" w:after="160"/>
        <w:pBdr>
          <w:bottom w:val="single" w:sz="6" w:space="1" w:color="1E5B4F"/>
        </w:pBdr>
      </w:pPr>
    </w:p>
    <w:tbl>
      <w:tblPr>
        <w:tblW w:type="auto" w:w="0"/>
        <w:jc w:val="center"/>
        <w:tblLook w:firstColumn="1" w:firstRow="1" w:lastColumn="0" w:lastRow="0" w:noHBand="0" w:noVBand="1" w:val="04A0"/>
      </w:tblPr>
      <w:tblGrid>
        <w:gridCol w:w="4987"/>
        <w:gridCol w:w="4987"/>
      </w:tblGrid>
      <w:tr>
        <w:tc>
          <w:tcPr>
            <w:tcW w:type="dxa" w:w="4987"/>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EFF4F2"/>
            <w:tcW w:w="3024" w:type="dxa"/>
          </w:tcPr>
          <w:p>
            <w:r>
              <w:rPr>
                <w:rFonts w:ascii="Noto Sans" w:hAnsi="Noto Sans"/>
                <w:b/>
                <w:color w:val="1E5B4F"/>
                <w:sz w:val="19"/>
              </w:rPr>
              <w:t>Fecha tentativa</w:t>
            </w:r>
          </w:p>
        </w:tc>
        <w:tc>
          <w:tcPr>
            <w:tcW w:type="dxa" w:w="4987"/>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W w:w="6336" w:type="dxa"/>
          </w:tcPr>
          <w:p>
            <w:r>
              <w:rPr>
                <w:rFonts w:ascii="Noto Sans" w:hAnsi="Noto Sans"/>
                <w:b w:val="0"/>
                <w:color w:val="1A1A1A"/>
                <w:sz w:val="19"/>
              </w:rPr>
              <w:t>Por definir</w:t>
            </w:r>
          </w:p>
        </w:tc>
      </w:tr>
      <w:tr>
        <w:tc>
          <w:tcPr>
            <w:tcW w:type="dxa" w:w="4987"/>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EFF4F2"/>
            <w:tcW w:w="3024" w:type="dxa"/>
          </w:tcPr>
          <w:p>
            <w:r>
              <w:rPr>
                <w:rFonts w:ascii="Noto Sans" w:hAnsi="Noto Sans"/>
                <w:b/>
                <w:color w:val="1E5B4F"/>
                <w:sz w:val="19"/>
              </w:rPr>
              <w:t>Temas propuestos</w:t>
            </w:r>
          </w:p>
        </w:tc>
        <w:tc>
          <w:tcPr>
            <w:tcW w:type="dxa" w:w="4987"/>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W w:w="6336" w:type="dxa"/>
          </w:tcPr>
          <w:p>
            <w:r>
              <w:rPr>
                <w:rFonts w:ascii="Noto Sans" w:hAnsi="Noto Sans"/>
                <w:b w:val="0"/>
                <w:color w:val="1A1A1A"/>
                <w:sz w:val="19"/>
              </w:rPr>
              <w:t>Cierre de la lista tras el cruce de impacto social; redes asociadas</w:t>
            </w:r>
          </w:p>
        </w:tc>
      </w:tr>
      <w:tr>
        <w:tc>
          <w:tcPr>
            <w:tcW w:type="dxa" w:w="4987"/>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shd w:val="clear" w:color="auto" w:fill="EFF4F2"/>
            <w:tcW w:w="3024" w:type="dxa"/>
          </w:tcPr>
          <w:p>
            <w:r>
              <w:rPr>
                <w:rFonts w:ascii="Noto Sans" w:hAnsi="Noto Sans"/>
                <w:b/>
                <w:color w:val="1E5B4F"/>
                <w:sz w:val="19"/>
              </w:rPr>
              <w:t>Responsable de convocatoria</w:t>
            </w:r>
          </w:p>
        </w:tc>
        <w:tc>
          <w:tcPr>
            <w:tcW w:type="dxa" w:w="4987"/>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W w:w="6336" w:type="dxa"/>
          </w:tcPr>
          <w:p>
            <w:r>
              <w:rPr>
                <w:rFonts w:ascii="Noto Sans" w:hAnsi="Noto Sans"/>
                <w:b w:val="0"/>
                <w:color w:val="1A1A1A"/>
                <w:sz w:val="19"/>
              </w:rPr>
              <w:t>Claudia Marcela Meza Vega</w:t>
            </w:r>
          </w:p>
        </w:tc>
      </w:tr>
    </w:tbl>
    <w:p>
      <w:pPr>
        <w:spacing w:before="280" w:after="80"/>
      </w:pPr>
      <w:r>
        <w:rPr>
          <w:rFonts w:ascii="Merriweather" w:hAnsi="Merriweather"/>
          <w:b/>
          <w:color w:val="1E5B4F"/>
          <w:sz w:val="26"/>
        </w:rPr>
        <w:t>Validación</w:t>
      </w:r>
    </w:p>
    <w:p>
      <w:pPr>
        <w:spacing w:before="40" w:after="160"/>
        <w:pBdr>
          <w:bottom w:val="single" w:sz="6" w:space="1" w:color="1E5B4F"/>
        </w:pBdr>
      </w:pPr>
    </w:p>
    <w:tbl>
      <w:tblPr>
        <w:tblW w:type="auto" w:w="0"/>
        <w:jc w:val="center"/>
        <w:tblLook w:firstColumn="1" w:firstRow="1" w:lastColumn="0" w:lastRow="0" w:noHBand="0" w:noVBand="1" w:val="04A0"/>
      </w:tblPr>
      <w:tblGrid>
        <w:gridCol w:w="3325"/>
        <w:gridCol w:w="3325"/>
        <w:gridCol w:w="3325"/>
      </w:tblGrid>
      <w:tr>
        <w:tc>
          <w:tcPr>
            <w:tcW w:type="dxa" w:w="3325"/>
            <w:tcW w:w="3168" w:type="dxa"/>
            <w:shd w:val="clear" w:color="auto" w:fill="1E5B4F"/>
            <w:tcBorders>
              <w:top w:val="single" w:sz="4" w:space="0" w:color="BBBBBB"/>
              <w:left w:val="single" w:sz="4" w:space="0" w:color="BBBBBB"/>
              <w:bottom w:val="single" w:sz="4" w:space="0" w:color="BBBBBB"/>
              <w:right w:val="single" w:sz="4" w:space="0" w:color="BBBBBB"/>
            </w:tcBorders>
            <w:tcMar>
              <w:top w:w="80" w:type="dxa"/>
              <w:bottom w:w="80" w:type="dxa"/>
              <w:left w:w="100" w:type="dxa"/>
              <w:right w:w="100" w:type="dxa"/>
            </w:tcMar>
          </w:tcPr>
          <w:p>
            <w:pPr>
              <w:jc w:val="center"/>
            </w:pPr>
            <w:r>
              <w:rPr>
                <w:rFonts w:ascii="Noto Sans" w:hAnsi="Noto Sans"/>
                <w:b/>
                <w:color w:val="FFFFFF"/>
                <w:sz w:val="18"/>
              </w:rPr>
              <w:t>ELABORÓ</w:t>
            </w:r>
          </w:p>
        </w:tc>
        <w:tc>
          <w:tcPr>
            <w:tcW w:type="dxa" w:w="3325"/>
            <w:tcW w:w="3168" w:type="dxa"/>
            <w:shd w:val="clear" w:color="auto" w:fill="1E5B4F"/>
            <w:tcBorders>
              <w:top w:val="single" w:sz="4" w:space="0" w:color="BBBBBB"/>
              <w:left w:val="single" w:sz="4" w:space="0" w:color="BBBBBB"/>
              <w:bottom w:val="single" w:sz="4" w:space="0" w:color="BBBBBB"/>
              <w:right w:val="single" w:sz="4" w:space="0" w:color="BBBBBB"/>
            </w:tcBorders>
            <w:tcMar>
              <w:top w:w="80" w:type="dxa"/>
              <w:bottom w:w="80" w:type="dxa"/>
              <w:left w:w="100" w:type="dxa"/>
              <w:right w:w="100" w:type="dxa"/>
            </w:tcMar>
          </w:tcPr>
          <w:p>
            <w:pPr>
              <w:jc w:val="center"/>
            </w:pPr>
            <w:r>
              <w:rPr>
                <w:rFonts w:ascii="Noto Sans" w:hAnsi="Noto Sans"/>
                <w:b/>
                <w:color w:val="FFFFFF"/>
                <w:sz w:val="18"/>
              </w:rPr>
              <w:t>REVISÓ</w:t>
            </w:r>
          </w:p>
        </w:tc>
        <w:tc>
          <w:tcPr>
            <w:tcW w:type="dxa" w:w="3325"/>
            <w:tcW w:w="3311" w:type="dxa"/>
            <w:shd w:val="clear" w:color="auto" w:fill="1E5B4F"/>
            <w:tcBorders>
              <w:top w:val="single" w:sz="4" w:space="0" w:color="BBBBBB"/>
              <w:left w:val="single" w:sz="4" w:space="0" w:color="BBBBBB"/>
              <w:bottom w:val="single" w:sz="4" w:space="0" w:color="BBBBBB"/>
              <w:right w:val="single" w:sz="4" w:space="0" w:color="BBBBBB"/>
            </w:tcBorders>
            <w:tcMar>
              <w:top w:w="80" w:type="dxa"/>
              <w:bottom w:w="80" w:type="dxa"/>
              <w:left w:w="100" w:type="dxa"/>
              <w:right w:w="100" w:type="dxa"/>
            </w:tcMar>
          </w:tcPr>
          <w:p>
            <w:pPr>
              <w:jc w:val="center"/>
            </w:pPr>
            <w:r>
              <w:rPr>
                <w:rFonts w:ascii="Noto Sans" w:hAnsi="Noto Sans"/>
                <w:b/>
                <w:color w:val="FFFFFF"/>
                <w:sz w:val="18"/>
              </w:rPr>
              <w:t>VISTO BUENO</w:t>
            </w:r>
          </w:p>
        </w:tc>
      </w:tr>
      <w:tr>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DGMESNIE</w:t>
            </w:r>
          </w:p>
        </w:tc>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Antonino López Ríos</w:t>
            </w:r>
          </w:p>
        </w:tc>
        <w:tc>
          <w:tcPr>
            <w:tcW w:type="dxa" w:w="3325"/>
            <w:shd w:val="clear" w:color="auto" w:fill="FFFFFF"/>
            <w:tcBorders>
              <w:top w:val="single" w:sz="4" w:space="0" w:color="DDDDDD"/>
              <w:left w:val="single" w:sz="4" w:space="0" w:color="DDDDDD"/>
              <w:bottom w:val="single" w:sz="4" w:space="0" w:color="DDDDDD"/>
              <w:right w:val="single" w:sz="4" w:space="0" w:color="DDDDDD"/>
            </w:tcBorders>
            <w:tcMar>
              <w:top w:w="60" w:type="dxa"/>
              <w:bottom w:w="60" w:type="dxa"/>
              <w:left w:w="100" w:type="dxa"/>
              <w:right w:w="100" w:type="dxa"/>
            </w:tcMar>
          </w:tcPr>
          <w:p>
            <w:r>
              <w:rPr>
                <w:rFonts w:ascii="Noto Sans" w:hAnsi="Noto Sans"/>
                <w:color w:val="1A1A1A"/>
                <w:sz w:val="19"/>
              </w:rPr>
              <w:t>Claudia Marcela Meza Vega</w:t>
            </w:r>
          </w:p>
        </w:tc>
      </w:tr>
    </w:tbl>
    <w:sectPr w:rsidR="0060769B" w:rsidRPr="00577677" w:rsidSect="003F52AB">
      <w:headerReference w:type="even" r:id="rId11"/>
      <w:headerReference w:type="default" r:id="rId12"/>
      <w:footerReference w:type="default" r:id="rId13"/>
      <w:headerReference w:type="first" r:id="rId14"/>
      <w:pgSz w:w="12242" w:h="19278" w:code="120"/>
      <w:pgMar w:top="2381" w:right="1134" w:bottom="1814" w:left="1134" w:header="90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77EF7" w14:textId="77777777" w:rsidR="00B10A42" w:rsidRPr="00577677" w:rsidRDefault="00B10A42" w:rsidP="00BE461E">
      <w:r w:rsidRPr="00577677">
        <w:separator/>
      </w:r>
    </w:p>
  </w:endnote>
  <w:endnote w:type="continuationSeparator" w:id="0">
    <w:p w14:paraId="1CA1270E" w14:textId="77777777" w:rsidR="00B10A42" w:rsidRPr="00577677" w:rsidRDefault="00B10A42" w:rsidP="00BE461E">
      <w:r w:rsidRPr="0057767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w:charset w:val="00"/>
    <w:family w:val="swiss"/>
    <w:pitch w:val="variable"/>
    <w:sig w:usb0="E00082FF" w:usb1="400078FF" w:usb2="00000021" w:usb3="00000000" w:csb0="0000019F" w:csb1="00000000"/>
  </w:font>
  <w:font w:name="Calibri">
    <w:panose1 w:val="020F0502020204030204"/>
    <w:charset w:val="00"/>
    <w:family w:val="swiss"/>
    <w:pitch w:val="variable"/>
    <w:sig w:usb0="E4002EFF" w:usb1="C200247B" w:usb2="00000009" w:usb3="00000000" w:csb0="000001FF" w:csb1="00000000"/>
  </w:font>
  <w:font w:name="Patria">
    <w:altName w:val="Cambria"/>
    <w:panose1 w:val="00000000000000000000"/>
    <w:charset w:val="00"/>
    <w:family w:val="modern"/>
    <w:notTrueType/>
    <w:pitch w:val="variable"/>
    <w:sig w:usb0="80000087" w:usb1="00000042"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Noto Sans Medium">
    <w:altName w:val="Calibri"/>
    <w:charset w:val="00"/>
    <w:family w:val="swiss"/>
    <w:pitch w:val="variable"/>
    <w:sig w:usb0="E00002FF" w:usb1="4000201F" w:usb2="0800002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F72DB" w14:textId="77777777" w:rsidR="00ED76F2" w:rsidRPr="00577677" w:rsidRDefault="00ED76F2">
    <w:pPr>
      <w:pStyle w:val="Piedepgina"/>
    </w:pPr>
    <w:r w:rsidRPr="00577677">
      <w:rPr>
        <w:noProof/>
      </w:rPr>
      <mc:AlternateContent>
        <mc:Choice Requires="wps">
          <w:drawing>
            <wp:anchor distT="0" distB="0" distL="114300" distR="114300" simplePos="0" relativeHeight="251656192" behindDoc="0" locked="0" layoutInCell="1" hidden="0" allowOverlap="1" wp14:anchorId="62EE5DC4" wp14:editId="6D901239">
              <wp:simplePos x="0" y="0"/>
              <wp:positionH relativeFrom="column">
                <wp:posOffset>1584960</wp:posOffset>
              </wp:positionH>
              <wp:positionV relativeFrom="paragraph">
                <wp:posOffset>56928</wp:posOffset>
              </wp:positionV>
              <wp:extent cx="4939030" cy="295910"/>
              <wp:effectExtent l="0" t="0" r="0" b="8890"/>
              <wp:wrapNone/>
              <wp:docPr id="464501762" name="Rectángulo 464501762"/>
              <wp:cNvGraphicFramePr/>
              <a:graphic xmlns:a="http://schemas.openxmlformats.org/drawingml/2006/main">
                <a:graphicData uri="http://schemas.microsoft.com/office/word/2010/wordprocessingShape">
                  <wps:wsp>
                    <wps:cNvSpPr/>
                    <wps:spPr>
                      <a:xfrm>
                        <a:off x="0" y="0"/>
                        <a:ext cx="4939030" cy="295910"/>
                      </a:xfrm>
                      <a:prstGeom prst="rect">
                        <a:avLst/>
                      </a:prstGeom>
                      <a:noFill/>
                      <a:ln>
                        <a:noFill/>
                      </a:ln>
                    </wps:spPr>
                    <wps:txbx>
                      <w:txbxContent>
                        <w:p w14:paraId="76069F0A" w14:textId="4CF57A48" w:rsidR="003F52AB" w:rsidRPr="00577677" w:rsidRDefault="003F52AB" w:rsidP="003F52AB">
                          <w:pPr>
                            <w:textDirection w:val="btLr"/>
                            <w:rPr>
                              <w:rFonts w:eastAsia="Noto Sans" w:cs="Noto Sans"/>
                              <w:color w:val="4D192A"/>
                              <w:sz w:val="13"/>
                            </w:rPr>
                          </w:pPr>
                          <w:r w:rsidRPr="00577677">
                            <w:rPr>
                              <w:rFonts w:eastAsia="Noto Sans" w:cs="Noto Sans"/>
                              <w:color w:val="4D192A"/>
                              <w:sz w:val="13"/>
                            </w:rPr>
                            <w:t>Av. Insurgentes, Número 20, de la Glorieta de Insurgentes, Col</w:t>
                          </w:r>
                          <w:r w:rsidR="0006610A" w:rsidRPr="00577677">
                            <w:rPr>
                              <w:rFonts w:eastAsia="Noto Sans" w:cs="Noto Sans"/>
                              <w:color w:val="4D192A"/>
                              <w:sz w:val="13"/>
                            </w:rPr>
                            <w:t>.</w:t>
                          </w:r>
                          <w:r w:rsidRPr="00577677">
                            <w:rPr>
                              <w:rFonts w:eastAsia="Noto Sans" w:cs="Noto Sans"/>
                              <w:color w:val="4D192A"/>
                              <w:sz w:val="13"/>
                            </w:rPr>
                            <w:t xml:space="preserve"> Roma Norte, C.P. 06700. Alcaldía Cuauhtémoc. CDMX.</w:t>
                          </w:r>
                        </w:p>
                        <w:p w14:paraId="7710495A" w14:textId="77777777" w:rsidR="003F52AB" w:rsidRPr="00577677" w:rsidRDefault="003F52AB" w:rsidP="003F52AB">
                          <w:pPr>
                            <w:textDirection w:val="btLr"/>
                          </w:pPr>
                          <w:r w:rsidRPr="00577677">
                            <w:rPr>
                              <w:rFonts w:eastAsia="Noto Sans" w:cs="Noto Sans"/>
                              <w:color w:val="4D192A"/>
                              <w:sz w:val="13"/>
                            </w:rPr>
                            <w:t>Tel: (55) 5000 6000    www.gob.mx/sener</w:t>
                          </w:r>
                        </w:p>
                        <w:p w14:paraId="46DAF250" w14:textId="77777777" w:rsidR="00ED76F2" w:rsidRPr="00577677" w:rsidRDefault="00ED76F2" w:rsidP="00ED76F2">
                          <w:pPr>
                            <w:textDirection w:val="btLr"/>
                          </w:pP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62EE5DC4" id="Rectángulo 464501762" o:spid="_x0000_s1026" style="position:absolute;margin-left:124.8pt;margin-top:4.5pt;width:388.9pt;height:23.3pt;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" filled="f" stroked="f">
              <v:textbox inset="2.53958mm,1.2694mm,2.53958mm,1.2694mm">
                <w:txbxContent>
                  <w:p w14:paraId="76069F0A" w14:textId="4CF57A48" w:rsidR="003F52AB" w:rsidRPr="00577677" w:rsidRDefault="003F52AB" w:rsidP="003F52AB">
                    <w:pPr>
                      <w:textDirection w:val="btLr"/>
                      <w:rPr>
                        <w:rFonts w:eastAsia="Noto Sans" w:cs="Noto Sans"/>
                        <w:color w:val="4D192A"/>
                        <w:sz w:val="13"/>
                      </w:rPr>
                    </w:pPr>
                    <w:r w:rsidRPr="00577677">
                      <w:rPr>
                        <w:rFonts w:eastAsia="Noto Sans" w:cs="Noto Sans"/>
                        <w:color w:val="4D192A"/>
                        <w:sz w:val="13"/>
                      </w:rPr>
                      <w:t>Av. Insurgentes, Número 20, de la Glorieta de Insurgentes, Col</w:t>
                    </w:r>
                    <w:r w:rsidR="0006610A" w:rsidRPr="00577677">
                      <w:rPr>
                        <w:rFonts w:eastAsia="Noto Sans" w:cs="Noto Sans"/>
                        <w:color w:val="4D192A"/>
                        <w:sz w:val="13"/>
                      </w:rPr>
                      <w:t>.</w:t>
                    </w:r>
                    <w:r w:rsidRPr="00577677">
                      <w:rPr>
                        <w:rFonts w:eastAsia="Noto Sans" w:cs="Noto Sans"/>
                        <w:color w:val="4D192A"/>
                        <w:sz w:val="13"/>
                      </w:rPr>
                      <w:t xml:space="preserve"> Roma Norte, C.P. 06700. Alcaldía Cuauhtémoc. CDMX.</w:t>
                    </w:r>
                  </w:p>
                  <w:p w14:paraId="7710495A" w14:textId="77777777" w:rsidR="003F52AB" w:rsidRPr="00577677" w:rsidRDefault="003F52AB" w:rsidP="003F52AB">
                    <w:pPr>
                      <w:textDirection w:val="btLr"/>
                    </w:pPr>
                    <w:r w:rsidRPr="00577677">
                      <w:rPr>
                        <w:rFonts w:eastAsia="Noto Sans" w:cs="Noto Sans"/>
                        <w:color w:val="4D192A"/>
                        <w:sz w:val="13"/>
                      </w:rPr>
                      <w:t>Tel: (55) 5000 6000    www.gob.mx/sener</w:t>
                    </w:r>
                  </w:p>
                  <w:p w14:paraId="46DAF250" w14:textId="77777777" w:rsidR="00ED76F2" w:rsidRPr="00577677" w:rsidRDefault="00ED76F2" w:rsidP="00ED76F2">
                    <w:pPr>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0CBAE" w14:textId="77777777" w:rsidR="00B10A42" w:rsidRPr="00577677" w:rsidRDefault="00B10A42" w:rsidP="00BE461E">
      <w:r w:rsidRPr="00577677">
        <w:separator/>
      </w:r>
    </w:p>
  </w:footnote>
  <w:footnote w:type="continuationSeparator" w:id="0">
    <w:p w14:paraId="0B6769C8" w14:textId="77777777" w:rsidR="00B10A42" w:rsidRPr="00577677" w:rsidRDefault="00B10A42" w:rsidP="00BE461E">
      <w:r w:rsidRPr="0057767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30CF1" w14:textId="7629DD9F" w:rsidR="00964972" w:rsidRPr="00577677" w:rsidRDefault="00577677">
    <w:pPr>
      <w:pStyle w:val="Encabezado"/>
    </w:pPr>
    <w:r w:rsidRPr="00577677">
      <w:rPr>
        <w:noProof/>
      </w:rPr>
      <w:drawing>
        <wp:anchor distT="0" distB="0" distL="114300" distR="114300" simplePos="0" relativeHeight="251657216" behindDoc="1" locked="0" layoutInCell="0" allowOverlap="1" wp14:anchorId="4933EE1D" wp14:editId="01676211">
          <wp:simplePos x="0" y="0"/>
          <wp:positionH relativeFrom="margin">
            <wp:align>center</wp:align>
          </wp:positionH>
          <wp:positionV relativeFrom="margin">
            <wp:align>center</wp:align>
          </wp:positionV>
          <wp:extent cx="5814695" cy="9577705"/>
          <wp:effectExtent l="0" t="0" r="0" b="4445"/>
          <wp:wrapNone/>
          <wp:docPr id="139096176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4695" cy="957770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C26C6" w14:textId="50D38214" w:rsidR="00BE461E" w:rsidRPr="00577677" w:rsidRDefault="00577677" w:rsidP="00AB77E6">
    <w:pPr>
      <w:pStyle w:val="Encabezado"/>
      <w:tabs>
        <w:tab w:val="clear" w:pos="4419"/>
        <w:tab w:val="clear" w:pos="8838"/>
        <w:tab w:val="left" w:pos="2880"/>
      </w:tabs>
    </w:pPr>
    <w:r w:rsidRPr="00577677">
      <w:rPr>
        <w:noProof/>
      </w:rPr>
      <w:drawing>
        <wp:anchor distT="0" distB="0" distL="114300" distR="114300" simplePos="0" relativeHeight="251658240" behindDoc="1" locked="0" layoutInCell="0" allowOverlap="1" wp14:anchorId="6842BA34" wp14:editId="357BC22F">
          <wp:simplePos x="0" y="0"/>
          <wp:positionH relativeFrom="margin">
            <wp:align>center</wp:align>
          </wp:positionH>
          <wp:positionV relativeFrom="page">
            <wp:posOffset>-60384</wp:posOffset>
          </wp:positionV>
          <wp:extent cx="7617125" cy="12546587"/>
          <wp:effectExtent l="0" t="0" r="3175" b="7620"/>
          <wp:wrapNone/>
          <wp:docPr id="174574751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17125" cy="12546587"/>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3585D" w14:textId="77777777" w:rsidR="00964972" w:rsidRPr="00577677" w:rsidRDefault="00000000">
    <w:pPr>
      <w:pStyle w:val="Encabezado"/>
    </w:pPr>
    <w:r>
      <w:pict w14:anchorId="4B1815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34" type="#_x0000_t75" style="position:absolute;margin-left:0;margin-top:0;width:468.55pt;height:771.75pt;z-index:-251657216;mso-position-horizontal:center;mso-position-horizontal-relative:margin;mso-position-vertical:center;mso-position-vertical-relative:margin" o:allowincell="f">
          <v:imagedata r:id="rId1" o:title="HM 26 Energia oficio_0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07522"/>
    <w:multiLevelType w:val="multilevel"/>
    <w:tmpl w:val="BAE2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F239B1"/>
    <w:multiLevelType w:val="hybridMultilevel"/>
    <w:tmpl w:val="06CC006A"/>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6984D96"/>
    <w:multiLevelType w:val="hybridMultilevel"/>
    <w:tmpl w:val="C76C2918"/>
    <w:lvl w:ilvl="0" w:tplc="FFFFFFFF">
      <w:start w:val="1"/>
      <w:numFmt w:val="bullet"/>
      <w:lvlText w:val=""/>
      <w:lvlJc w:val="left"/>
      <w:pPr>
        <w:ind w:left="720" w:hanging="360"/>
      </w:pPr>
      <w:rPr>
        <w:rFonts w:ascii="Wingdings" w:hAnsi="Wingdings" w:hint="default"/>
      </w:rPr>
    </w:lvl>
    <w:lvl w:ilvl="1" w:tplc="080A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AEA1FFB"/>
    <w:multiLevelType w:val="multilevel"/>
    <w:tmpl w:val="3960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D9192C"/>
    <w:multiLevelType w:val="hybridMultilevel"/>
    <w:tmpl w:val="E446FF88"/>
    <w:lvl w:ilvl="0" w:tplc="080A000F">
      <w:start w:val="1"/>
      <w:numFmt w:val="decimal"/>
      <w:lvlText w:val="%1."/>
      <w:lvlJc w:val="left"/>
      <w:pPr>
        <w:ind w:left="1155" w:hanging="360"/>
      </w:pPr>
    </w:lvl>
    <w:lvl w:ilvl="1" w:tplc="080A0019" w:tentative="1">
      <w:start w:val="1"/>
      <w:numFmt w:val="lowerLetter"/>
      <w:lvlText w:val="%2."/>
      <w:lvlJc w:val="left"/>
      <w:pPr>
        <w:ind w:left="1875" w:hanging="360"/>
      </w:pPr>
    </w:lvl>
    <w:lvl w:ilvl="2" w:tplc="080A001B" w:tentative="1">
      <w:start w:val="1"/>
      <w:numFmt w:val="lowerRoman"/>
      <w:lvlText w:val="%3."/>
      <w:lvlJc w:val="right"/>
      <w:pPr>
        <w:ind w:left="2595" w:hanging="180"/>
      </w:pPr>
    </w:lvl>
    <w:lvl w:ilvl="3" w:tplc="080A000F" w:tentative="1">
      <w:start w:val="1"/>
      <w:numFmt w:val="decimal"/>
      <w:lvlText w:val="%4."/>
      <w:lvlJc w:val="left"/>
      <w:pPr>
        <w:ind w:left="3315" w:hanging="360"/>
      </w:pPr>
    </w:lvl>
    <w:lvl w:ilvl="4" w:tplc="080A0019" w:tentative="1">
      <w:start w:val="1"/>
      <w:numFmt w:val="lowerLetter"/>
      <w:lvlText w:val="%5."/>
      <w:lvlJc w:val="left"/>
      <w:pPr>
        <w:ind w:left="4035" w:hanging="360"/>
      </w:pPr>
    </w:lvl>
    <w:lvl w:ilvl="5" w:tplc="080A001B" w:tentative="1">
      <w:start w:val="1"/>
      <w:numFmt w:val="lowerRoman"/>
      <w:lvlText w:val="%6."/>
      <w:lvlJc w:val="right"/>
      <w:pPr>
        <w:ind w:left="4755" w:hanging="180"/>
      </w:pPr>
    </w:lvl>
    <w:lvl w:ilvl="6" w:tplc="080A000F" w:tentative="1">
      <w:start w:val="1"/>
      <w:numFmt w:val="decimal"/>
      <w:lvlText w:val="%7."/>
      <w:lvlJc w:val="left"/>
      <w:pPr>
        <w:ind w:left="5475" w:hanging="360"/>
      </w:pPr>
    </w:lvl>
    <w:lvl w:ilvl="7" w:tplc="080A0019" w:tentative="1">
      <w:start w:val="1"/>
      <w:numFmt w:val="lowerLetter"/>
      <w:lvlText w:val="%8."/>
      <w:lvlJc w:val="left"/>
      <w:pPr>
        <w:ind w:left="6195" w:hanging="360"/>
      </w:pPr>
    </w:lvl>
    <w:lvl w:ilvl="8" w:tplc="080A001B" w:tentative="1">
      <w:start w:val="1"/>
      <w:numFmt w:val="lowerRoman"/>
      <w:lvlText w:val="%9."/>
      <w:lvlJc w:val="right"/>
      <w:pPr>
        <w:ind w:left="6915" w:hanging="180"/>
      </w:pPr>
    </w:lvl>
  </w:abstractNum>
  <w:abstractNum w:abstractNumId="5" w15:restartNumberingAfterBreak="0">
    <w:nsid w:val="429B7BB2"/>
    <w:multiLevelType w:val="multilevel"/>
    <w:tmpl w:val="3BCEAD30"/>
    <w:lvl w:ilvl="0">
      <w:start w:val="1"/>
      <w:numFmt w:val="bullet"/>
      <w:lvlText w:val=""/>
      <w:lvlJc w:val="left"/>
      <w:pPr>
        <w:ind w:left="435" w:hanging="435"/>
      </w:pPr>
      <w:rPr>
        <w:rFonts w:ascii="Wingdings" w:hAnsi="Wingding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2C34BFE"/>
    <w:multiLevelType w:val="hybridMultilevel"/>
    <w:tmpl w:val="D26E53F8"/>
    <w:lvl w:ilvl="0" w:tplc="FFFFFFFF">
      <w:start w:val="1"/>
      <w:numFmt w:val="bullet"/>
      <w:lvlText w:val=""/>
      <w:lvlJc w:val="left"/>
      <w:pPr>
        <w:ind w:left="720" w:hanging="360"/>
      </w:pPr>
      <w:rPr>
        <w:rFonts w:ascii="Wingdings" w:hAnsi="Wingdings" w:hint="default"/>
      </w:rPr>
    </w:lvl>
    <w:lvl w:ilvl="1" w:tplc="080A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6E26A33"/>
    <w:multiLevelType w:val="hybridMultilevel"/>
    <w:tmpl w:val="9FF88FCA"/>
    <w:lvl w:ilvl="0" w:tplc="080A0005">
      <w:start w:val="1"/>
      <w:numFmt w:val="bullet"/>
      <w:lvlText w:val=""/>
      <w:lvlJc w:val="left"/>
      <w:pPr>
        <w:ind w:left="720" w:hanging="360"/>
      </w:pPr>
      <w:rPr>
        <w:rFonts w:ascii="Wingdings" w:hAnsi="Wingdings" w:hint="default"/>
      </w:rPr>
    </w:lvl>
    <w:lvl w:ilvl="1" w:tplc="A79A5468">
      <w:numFmt w:val="bullet"/>
      <w:lvlText w:val="•"/>
      <w:lvlJc w:val="left"/>
      <w:pPr>
        <w:ind w:left="1440" w:hanging="360"/>
      </w:pPr>
      <w:rPr>
        <w:rFonts w:ascii="Noto Sans" w:eastAsiaTheme="minorEastAsia" w:hAnsi="Noto Sans" w:cs="Noto San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7C32038"/>
    <w:multiLevelType w:val="hybridMultilevel"/>
    <w:tmpl w:val="AEA69D7A"/>
    <w:lvl w:ilvl="0" w:tplc="080A000F">
      <w:start w:val="1"/>
      <w:numFmt w:val="decimal"/>
      <w:lvlText w:val="%1."/>
      <w:lvlJc w:val="left"/>
      <w:pPr>
        <w:ind w:left="720" w:hanging="360"/>
      </w:pPr>
      <w:rPr>
        <w:rFonts w:hint="default"/>
      </w:rPr>
    </w:lvl>
    <w:lvl w:ilvl="1" w:tplc="FFFFFFFF">
      <w:numFmt w:val="bullet"/>
      <w:lvlText w:val="•"/>
      <w:lvlJc w:val="left"/>
      <w:pPr>
        <w:ind w:left="1440" w:hanging="360"/>
      </w:pPr>
      <w:rPr>
        <w:rFonts w:ascii="Noto Sans" w:eastAsiaTheme="minorEastAsia" w:hAnsi="Noto Sans" w:cs="Noto San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E8148B3"/>
    <w:multiLevelType w:val="hybridMultilevel"/>
    <w:tmpl w:val="AA7E45B2"/>
    <w:lvl w:ilvl="0" w:tplc="080A000F">
      <w:start w:val="1"/>
      <w:numFmt w:val="decimal"/>
      <w:lvlText w:val="%1."/>
      <w:lvlJc w:val="left"/>
      <w:pPr>
        <w:ind w:left="2136" w:hanging="360"/>
      </w:pPr>
      <w:rPr>
        <w:rFonts w:hint="default"/>
      </w:rPr>
    </w:lvl>
    <w:lvl w:ilvl="1" w:tplc="080A0003">
      <w:start w:val="1"/>
      <w:numFmt w:val="bullet"/>
      <w:lvlText w:val="o"/>
      <w:lvlJc w:val="left"/>
      <w:pPr>
        <w:ind w:left="2856" w:hanging="360"/>
      </w:pPr>
      <w:rPr>
        <w:rFonts w:ascii="Courier New" w:hAnsi="Courier New" w:cs="Courier New" w:hint="default"/>
      </w:rPr>
    </w:lvl>
    <w:lvl w:ilvl="2" w:tplc="080A0005" w:tentative="1">
      <w:start w:val="1"/>
      <w:numFmt w:val="bullet"/>
      <w:lvlText w:val=""/>
      <w:lvlJc w:val="left"/>
      <w:pPr>
        <w:ind w:left="3576" w:hanging="360"/>
      </w:pPr>
      <w:rPr>
        <w:rFonts w:ascii="Wingdings" w:hAnsi="Wingdings" w:hint="default"/>
      </w:rPr>
    </w:lvl>
    <w:lvl w:ilvl="3" w:tplc="080A0001" w:tentative="1">
      <w:start w:val="1"/>
      <w:numFmt w:val="bullet"/>
      <w:lvlText w:val=""/>
      <w:lvlJc w:val="left"/>
      <w:pPr>
        <w:ind w:left="4296" w:hanging="360"/>
      </w:pPr>
      <w:rPr>
        <w:rFonts w:ascii="Symbol" w:hAnsi="Symbol" w:hint="default"/>
      </w:rPr>
    </w:lvl>
    <w:lvl w:ilvl="4" w:tplc="080A0003" w:tentative="1">
      <w:start w:val="1"/>
      <w:numFmt w:val="bullet"/>
      <w:lvlText w:val="o"/>
      <w:lvlJc w:val="left"/>
      <w:pPr>
        <w:ind w:left="5016" w:hanging="360"/>
      </w:pPr>
      <w:rPr>
        <w:rFonts w:ascii="Courier New" w:hAnsi="Courier New" w:cs="Courier New" w:hint="default"/>
      </w:rPr>
    </w:lvl>
    <w:lvl w:ilvl="5" w:tplc="080A0005" w:tentative="1">
      <w:start w:val="1"/>
      <w:numFmt w:val="bullet"/>
      <w:lvlText w:val=""/>
      <w:lvlJc w:val="left"/>
      <w:pPr>
        <w:ind w:left="5736" w:hanging="360"/>
      </w:pPr>
      <w:rPr>
        <w:rFonts w:ascii="Wingdings" w:hAnsi="Wingdings" w:hint="default"/>
      </w:rPr>
    </w:lvl>
    <w:lvl w:ilvl="6" w:tplc="080A0001" w:tentative="1">
      <w:start w:val="1"/>
      <w:numFmt w:val="bullet"/>
      <w:lvlText w:val=""/>
      <w:lvlJc w:val="left"/>
      <w:pPr>
        <w:ind w:left="6456" w:hanging="360"/>
      </w:pPr>
      <w:rPr>
        <w:rFonts w:ascii="Symbol" w:hAnsi="Symbol" w:hint="default"/>
      </w:rPr>
    </w:lvl>
    <w:lvl w:ilvl="7" w:tplc="080A0003" w:tentative="1">
      <w:start w:val="1"/>
      <w:numFmt w:val="bullet"/>
      <w:lvlText w:val="o"/>
      <w:lvlJc w:val="left"/>
      <w:pPr>
        <w:ind w:left="7176" w:hanging="360"/>
      </w:pPr>
      <w:rPr>
        <w:rFonts w:ascii="Courier New" w:hAnsi="Courier New" w:cs="Courier New" w:hint="default"/>
      </w:rPr>
    </w:lvl>
    <w:lvl w:ilvl="8" w:tplc="080A0005" w:tentative="1">
      <w:start w:val="1"/>
      <w:numFmt w:val="bullet"/>
      <w:lvlText w:val=""/>
      <w:lvlJc w:val="left"/>
      <w:pPr>
        <w:ind w:left="7896" w:hanging="360"/>
      </w:pPr>
      <w:rPr>
        <w:rFonts w:ascii="Wingdings" w:hAnsi="Wingdings" w:hint="default"/>
      </w:rPr>
    </w:lvl>
  </w:abstractNum>
  <w:abstractNum w:abstractNumId="10" w15:restartNumberingAfterBreak="0">
    <w:nsid w:val="626640C4"/>
    <w:multiLevelType w:val="hybridMultilevel"/>
    <w:tmpl w:val="33187EC2"/>
    <w:lvl w:ilvl="0" w:tplc="080A000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D1323A7"/>
    <w:multiLevelType w:val="multilevel"/>
    <w:tmpl w:val="E4A6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3275622">
    <w:abstractNumId w:val="5"/>
  </w:num>
  <w:num w:numId="2" w16cid:durableId="1932853572">
    <w:abstractNumId w:val="7"/>
  </w:num>
  <w:num w:numId="3" w16cid:durableId="495001300">
    <w:abstractNumId w:val="6"/>
  </w:num>
  <w:num w:numId="4" w16cid:durableId="2064088843">
    <w:abstractNumId w:val="1"/>
  </w:num>
  <w:num w:numId="5" w16cid:durableId="1004280101">
    <w:abstractNumId w:val="2"/>
  </w:num>
  <w:num w:numId="6" w16cid:durableId="749620387">
    <w:abstractNumId w:val="8"/>
  </w:num>
  <w:num w:numId="7" w16cid:durableId="1532379797">
    <w:abstractNumId w:val="10"/>
  </w:num>
  <w:num w:numId="8" w16cid:durableId="629552170">
    <w:abstractNumId w:val="11"/>
  </w:num>
  <w:num w:numId="9" w16cid:durableId="65538664">
    <w:abstractNumId w:val="0"/>
  </w:num>
  <w:num w:numId="10" w16cid:durableId="371346321">
    <w:abstractNumId w:val="4"/>
  </w:num>
  <w:num w:numId="11" w16cid:durableId="1688213227">
    <w:abstractNumId w:val="9"/>
  </w:num>
  <w:num w:numId="12" w16cid:durableId="15226713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10A"/>
    <w:rsid w:val="00011EA4"/>
    <w:rsid w:val="000339B1"/>
    <w:rsid w:val="0006610A"/>
    <w:rsid w:val="0008359C"/>
    <w:rsid w:val="000870E2"/>
    <w:rsid w:val="000A1D27"/>
    <w:rsid w:val="000A2AB9"/>
    <w:rsid w:val="000C414D"/>
    <w:rsid w:val="000C6B1B"/>
    <w:rsid w:val="00107F0C"/>
    <w:rsid w:val="0014039E"/>
    <w:rsid w:val="00166CE6"/>
    <w:rsid w:val="001B788E"/>
    <w:rsid w:val="00207EB6"/>
    <w:rsid w:val="002536D9"/>
    <w:rsid w:val="0027539F"/>
    <w:rsid w:val="002A5162"/>
    <w:rsid w:val="002C5BEE"/>
    <w:rsid w:val="00314C86"/>
    <w:rsid w:val="003278C2"/>
    <w:rsid w:val="00357F7B"/>
    <w:rsid w:val="00377A89"/>
    <w:rsid w:val="0038410E"/>
    <w:rsid w:val="003D6736"/>
    <w:rsid w:val="003F52AB"/>
    <w:rsid w:val="00431AE1"/>
    <w:rsid w:val="00432AA2"/>
    <w:rsid w:val="00432B04"/>
    <w:rsid w:val="00433BA0"/>
    <w:rsid w:val="0048222C"/>
    <w:rsid w:val="00492309"/>
    <w:rsid w:val="004923FB"/>
    <w:rsid w:val="004A18AD"/>
    <w:rsid w:val="004A2CDE"/>
    <w:rsid w:val="004A3F50"/>
    <w:rsid w:val="004E3562"/>
    <w:rsid w:val="004E50FA"/>
    <w:rsid w:val="005159DB"/>
    <w:rsid w:val="00520D3B"/>
    <w:rsid w:val="00577677"/>
    <w:rsid w:val="005778D2"/>
    <w:rsid w:val="005C5290"/>
    <w:rsid w:val="005D086B"/>
    <w:rsid w:val="005E74D5"/>
    <w:rsid w:val="00600BD8"/>
    <w:rsid w:val="0060769B"/>
    <w:rsid w:val="0061199B"/>
    <w:rsid w:val="007308F6"/>
    <w:rsid w:val="00784523"/>
    <w:rsid w:val="00795E93"/>
    <w:rsid w:val="007F150D"/>
    <w:rsid w:val="007F5EAD"/>
    <w:rsid w:val="00872574"/>
    <w:rsid w:val="008F4463"/>
    <w:rsid w:val="009038D1"/>
    <w:rsid w:val="00920D98"/>
    <w:rsid w:val="0093234C"/>
    <w:rsid w:val="0094327D"/>
    <w:rsid w:val="00964972"/>
    <w:rsid w:val="00997298"/>
    <w:rsid w:val="009A1D76"/>
    <w:rsid w:val="009B4C48"/>
    <w:rsid w:val="009B5569"/>
    <w:rsid w:val="009C0E8D"/>
    <w:rsid w:val="00A16DC2"/>
    <w:rsid w:val="00A20AD4"/>
    <w:rsid w:val="00A77477"/>
    <w:rsid w:val="00A87E0D"/>
    <w:rsid w:val="00AA2EAA"/>
    <w:rsid w:val="00AB0CF0"/>
    <w:rsid w:val="00AB77E6"/>
    <w:rsid w:val="00AC288F"/>
    <w:rsid w:val="00AD630D"/>
    <w:rsid w:val="00AE72CC"/>
    <w:rsid w:val="00B01AA0"/>
    <w:rsid w:val="00B10A42"/>
    <w:rsid w:val="00B1377A"/>
    <w:rsid w:val="00B15477"/>
    <w:rsid w:val="00B1590F"/>
    <w:rsid w:val="00B25172"/>
    <w:rsid w:val="00B72277"/>
    <w:rsid w:val="00B846BD"/>
    <w:rsid w:val="00B87805"/>
    <w:rsid w:val="00BB1CAA"/>
    <w:rsid w:val="00BD0F0A"/>
    <w:rsid w:val="00BE461E"/>
    <w:rsid w:val="00C92B15"/>
    <w:rsid w:val="00D61022"/>
    <w:rsid w:val="00D80FF3"/>
    <w:rsid w:val="00DA2F90"/>
    <w:rsid w:val="00DA3886"/>
    <w:rsid w:val="00DA5AE4"/>
    <w:rsid w:val="00DE6D6D"/>
    <w:rsid w:val="00E15AEF"/>
    <w:rsid w:val="00E26437"/>
    <w:rsid w:val="00E62894"/>
    <w:rsid w:val="00E72143"/>
    <w:rsid w:val="00ED08A8"/>
    <w:rsid w:val="00ED76F2"/>
    <w:rsid w:val="00EE1E78"/>
    <w:rsid w:val="00F44A7F"/>
    <w:rsid w:val="00F85A20"/>
    <w:rsid w:val="00FA2D3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41B8FF"/>
  <w15:chartTrackingRefBased/>
  <w15:docId w15:val="{ADE5D576-F0C1-48D7-8627-DE7BF2B72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677"/>
    <w:rPr>
      <w:rFonts w:ascii="Noto Sans" w:eastAsiaTheme="minorEastAsia" w:hAnsi="Noto Sans"/>
    </w:rPr>
  </w:style>
  <w:style w:type="paragraph" w:styleId="Ttulo1">
    <w:name w:val="heading 1"/>
    <w:basedOn w:val="Ttulo"/>
    <w:next w:val="Normal"/>
    <w:link w:val="Ttulo1Car"/>
    <w:autoRedefine/>
    <w:uiPriority w:val="9"/>
    <w:qFormat/>
    <w:rsid w:val="00577677"/>
    <w:pPr>
      <w:keepNext/>
      <w:keepLines/>
      <w:spacing w:before="240"/>
      <w:outlineLvl w:val="0"/>
    </w:pPr>
    <w:rPr>
      <w:rFonts w:ascii="Noto Sans" w:eastAsiaTheme="minorEastAsia" w:hAnsi="Noto Sans" w:cs="Noto Sans"/>
      <w:b/>
      <w:color w:val="6A1C32"/>
      <w:spacing w:val="0"/>
      <w:kern w:val="0"/>
      <w:sz w:val="32"/>
      <w:szCs w:val="22"/>
    </w:rPr>
  </w:style>
  <w:style w:type="paragraph" w:styleId="Ttulo2">
    <w:name w:val="heading 2"/>
    <w:basedOn w:val="Normal"/>
    <w:next w:val="Normal"/>
    <w:link w:val="Ttulo2Car"/>
    <w:autoRedefine/>
    <w:uiPriority w:val="9"/>
    <w:unhideWhenUsed/>
    <w:qFormat/>
    <w:rsid w:val="00577677"/>
    <w:pPr>
      <w:keepNext/>
      <w:keepLines/>
      <w:spacing w:before="40"/>
      <w:outlineLvl w:val="1"/>
    </w:pPr>
    <w:rPr>
      <w:rFonts w:ascii="Patria" w:eastAsiaTheme="majorEastAsia" w:hAnsi="Patria" w:cstheme="majorBidi"/>
      <w:b/>
      <w:color w:val="595959" w:themeColor="text1" w:themeTint="A6"/>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E461E"/>
    <w:pPr>
      <w:tabs>
        <w:tab w:val="center" w:pos="4419"/>
        <w:tab w:val="right" w:pos="8838"/>
      </w:tabs>
    </w:pPr>
    <w:rPr>
      <w:rFonts w:eastAsiaTheme="minorHAnsi"/>
    </w:rPr>
  </w:style>
  <w:style w:type="character" w:customStyle="1" w:styleId="EncabezadoCar">
    <w:name w:val="Encabezado Car"/>
    <w:basedOn w:val="Fuentedeprrafopredeter"/>
    <w:link w:val="Encabezado"/>
    <w:uiPriority w:val="99"/>
    <w:rsid w:val="00BE461E"/>
  </w:style>
  <w:style w:type="paragraph" w:styleId="Piedepgina">
    <w:name w:val="footer"/>
    <w:basedOn w:val="Normal"/>
    <w:link w:val="PiedepginaCar"/>
    <w:uiPriority w:val="99"/>
    <w:unhideWhenUsed/>
    <w:rsid w:val="00BE461E"/>
    <w:pPr>
      <w:tabs>
        <w:tab w:val="center" w:pos="4419"/>
        <w:tab w:val="right" w:pos="8838"/>
      </w:tabs>
    </w:pPr>
    <w:rPr>
      <w:rFonts w:eastAsiaTheme="minorHAnsi"/>
    </w:rPr>
  </w:style>
  <w:style w:type="character" w:customStyle="1" w:styleId="PiedepginaCar">
    <w:name w:val="Pie de página Car"/>
    <w:basedOn w:val="Fuentedeprrafopredeter"/>
    <w:link w:val="Piedepgina"/>
    <w:uiPriority w:val="99"/>
    <w:rsid w:val="00BE461E"/>
  </w:style>
  <w:style w:type="paragraph" w:styleId="NormalWeb">
    <w:name w:val="Normal (Web)"/>
    <w:basedOn w:val="Normal"/>
    <w:uiPriority w:val="99"/>
    <w:unhideWhenUsed/>
    <w:rsid w:val="00784523"/>
    <w:pPr>
      <w:spacing w:before="100" w:beforeAutospacing="1" w:after="100" w:afterAutospacing="1"/>
    </w:pPr>
    <w:rPr>
      <w:rFonts w:ascii="Times New Roman" w:eastAsia="Times New Roman" w:hAnsi="Times New Roman" w:cs="Times New Roman"/>
      <w:lang w:eastAsia="es-MX"/>
    </w:rPr>
  </w:style>
  <w:style w:type="character" w:customStyle="1" w:styleId="Ttulo1Car">
    <w:name w:val="Título 1 Car"/>
    <w:basedOn w:val="Fuentedeprrafopredeter"/>
    <w:link w:val="Ttulo1"/>
    <w:uiPriority w:val="9"/>
    <w:rsid w:val="00577677"/>
    <w:rPr>
      <w:rFonts w:ascii="Noto Sans" w:eastAsiaTheme="minorEastAsia" w:hAnsi="Noto Sans" w:cs="Noto Sans"/>
      <w:b/>
      <w:color w:val="6A1C32"/>
      <w:sz w:val="32"/>
      <w:szCs w:val="22"/>
    </w:rPr>
  </w:style>
  <w:style w:type="character" w:customStyle="1" w:styleId="Ttulo2Car">
    <w:name w:val="Título 2 Car"/>
    <w:basedOn w:val="Fuentedeprrafopredeter"/>
    <w:link w:val="Ttulo2"/>
    <w:uiPriority w:val="9"/>
    <w:rsid w:val="00577677"/>
    <w:rPr>
      <w:rFonts w:ascii="Patria" w:eastAsiaTheme="majorEastAsia" w:hAnsi="Patria" w:cstheme="majorBidi"/>
      <w:b/>
      <w:color w:val="595959" w:themeColor="text1" w:themeTint="A6"/>
      <w:sz w:val="26"/>
      <w:szCs w:val="26"/>
    </w:rPr>
  </w:style>
  <w:style w:type="paragraph" w:styleId="Prrafodelista">
    <w:name w:val="List Paragraph"/>
    <w:basedOn w:val="Normal"/>
    <w:uiPriority w:val="34"/>
    <w:qFormat/>
    <w:rsid w:val="00577677"/>
    <w:pPr>
      <w:ind w:left="720"/>
      <w:contextualSpacing/>
    </w:pPr>
  </w:style>
  <w:style w:type="table" w:styleId="Tabladelista7concolores-nfasis4">
    <w:name w:val="List Table 7 Colorful Accent 4"/>
    <w:basedOn w:val="Tablanormal"/>
    <w:uiPriority w:val="52"/>
    <w:rsid w:val="00577677"/>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tuloTDC">
    <w:name w:val="TOC Heading"/>
    <w:basedOn w:val="Ttulo1"/>
    <w:next w:val="Normal"/>
    <w:uiPriority w:val="39"/>
    <w:unhideWhenUsed/>
    <w:qFormat/>
    <w:rsid w:val="00577677"/>
    <w:pPr>
      <w:spacing w:line="259" w:lineRule="auto"/>
      <w:contextualSpacing w:val="0"/>
      <w:outlineLvl w:val="9"/>
    </w:pPr>
    <w:rPr>
      <w:rFonts w:asciiTheme="majorHAnsi" w:eastAsiaTheme="majorEastAsia" w:hAnsiTheme="majorHAnsi" w:cstheme="majorBidi"/>
      <w:b w:val="0"/>
      <w:color w:val="2F5496" w:themeColor="accent1" w:themeShade="BF"/>
      <w:szCs w:val="32"/>
      <w:lang w:eastAsia="es-MX"/>
    </w:rPr>
  </w:style>
  <w:style w:type="paragraph" w:styleId="TDC2">
    <w:name w:val="toc 2"/>
    <w:basedOn w:val="Normal"/>
    <w:next w:val="Normal"/>
    <w:autoRedefine/>
    <w:uiPriority w:val="39"/>
    <w:unhideWhenUsed/>
    <w:rsid w:val="00577677"/>
    <w:pPr>
      <w:spacing w:after="100"/>
      <w:ind w:left="240"/>
    </w:pPr>
  </w:style>
  <w:style w:type="paragraph" w:styleId="TDC1">
    <w:name w:val="toc 1"/>
    <w:basedOn w:val="Normal"/>
    <w:next w:val="Normal"/>
    <w:autoRedefine/>
    <w:uiPriority w:val="39"/>
    <w:unhideWhenUsed/>
    <w:rsid w:val="00577677"/>
    <w:pPr>
      <w:spacing w:after="100"/>
    </w:pPr>
  </w:style>
  <w:style w:type="character" w:styleId="Hipervnculo">
    <w:name w:val="Hyperlink"/>
    <w:basedOn w:val="Fuentedeprrafopredeter"/>
    <w:uiPriority w:val="99"/>
    <w:unhideWhenUsed/>
    <w:rsid w:val="00577677"/>
    <w:rPr>
      <w:color w:val="0563C1" w:themeColor="hyperlink"/>
      <w:u w:val="single"/>
    </w:rPr>
  </w:style>
  <w:style w:type="paragraph" w:styleId="Ttulo">
    <w:name w:val="Title"/>
    <w:basedOn w:val="Normal"/>
    <w:next w:val="Normal"/>
    <w:link w:val="TtuloCar"/>
    <w:uiPriority w:val="10"/>
    <w:qFormat/>
    <w:rsid w:val="00577677"/>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77677"/>
    <w:rPr>
      <w:rFonts w:asciiTheme="majorHAnsi" w:eastAsiaTheme="majorEastAsia" w:hAnsiTheme="majorHAnsi" w:cstheme="majorBidi"/>
      <w:spacing w:val="-10"/>
      <w:kern w:val="28"/>
      <w:sz w:val="56"/>
      <w:szCs w:val="56"/>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17"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4e5472e-fb65-4d50-bc06-98c8e60b895c" xsi:nil="true"/>
    <lcf76f155ced4ddcb4097134ff3c332f xmlns="e2700415-1c61-49d9-92ac-f8e3a6144b93">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4D2339F2E3F5A44AB778877CAB977BB9" ma:contentTypeVersion="14" ma:contentTypeDescription="Crear nuevo documento." ma:contentTypeScope="" ma:versionID="a4800daf7e4d2266d65956d53a8baa8b">
  <xsd:schema xmlns:xsd="http://www.w3.org/2001/XMLSchema" xmlns:xs="http://www.w3.org/2001/XMLSchema" xmlns:p="http://schemas.microsoft.com/office/2006/metadata/properties" xmlns:ns2="e2700415-1c61-49d9-92ac-f8e3a6144b93" xmlns:ns3="44e5472e-fb65-4d50-bc06-98c8e60b895c" targetNamespace="http://schemas.microsoft.com/office/2006/metadata/properties" ma:root="true" ma:fieldsID="75c66e50ca5bb51e8116a13ba370e641" ns2:_="" ns3:_="">
    <xsd:import namespace="e2700415-1c61-49d9-92ac-f8e3a6144b93"/>
    <xsd:import namespace="44e5472e-fb65-4d50-bc06-98c8e60b895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700415-1c61-49d9-92ac-f8e3a6144b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764738b5-171d-4523-9a7f-04b25a28d81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e5472e-fb65-4d50-bc06-98c8e60b895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5e4b658a-e74b-4565-8c63-51e623266ee1}" ma:internalName="TaxCatchAll" ma:showField="CatchAllData" ma:web="44e5472e-fb65-4d50-bc06-98c8e60b89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F743B24-A1B5-4586-BA7F-9AF0738EF33E}">
  <ds:schemaRefs>
    <ds:schemaRef ds:uri="http://schemas.microsoft.com/office/2006/metadata/properties"/>
    <ds:schemaRef ds:uri="http://schemas.microsoft.com/office/infopath/2007/PartnerControls"/>
    <ds:schemaRef ds:uri="44e5472e-fb65-4d50-bc06-98c8e60b895c"/>
    <ds:schemaRef ds:uri="e2700415-1c61-49d9-92ac-f8e3a6144b93"/>
  </ds:schemaRefs>
</ds:datastoreItem>
</file>

<file path=customXml/itemProps2.xml><?xml version="1.0" encoding="utf-8"?>
<ds:datastoreItem xmlns:ds="http://schemas.openxmlformats.org/officeDocument/2006/customXml" ds:itemID="{6A44CBF3-817D-8A48-81B5-55976A692F5B}">
  <ds:schemaRefs>
    <ds:schemaRef ds:uri="http://schemas.openxmlformats.org/officeDocument/2006/bibliography"/>
  </ds:schemaRefs>
</ds:datastoreItem>
</file>

<file path=customXml/itemProps3.xml><?xml version="1.0" encoding="utf-8"?>
<ds:datastoreItem xmlns:ds="http://schemas.openxmlformats.org/officeDocument/2006/customXml" ds:itemID="{62333745-4332-4199-BCDF-39DAE37D11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700415-1c61-49d9-92ac-f8e3a6144b93"/>
    <ds:schemaRef ds:uri="44e5472e-fb65-4d50-bc06-98c8e60b89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6612A80-48FE-44FA-8F2E-E93A6D2A41F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Pages>
  <Words>14</Words>
  <Characters>77</Characters>
  <Application>Microsoft Office Word</Application>
  <DocSecurity>0</DocSecurity>
  <Lines>1</Lines>
  <Paragraphs>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Paola Gonzalez Esquivel</dc:creator>
  <cp:keywords/>
  <dc:description/>
  <cp:lastModifiedBy>Javier Sasso</cp:lastModifiedBy>
  <cp:revision>5</cp:revision>
  <dcterms:created xsi:type="dcterms:W3CDTF">2026-03-03T01:22:00Z</dcterms:created>
  <dcterms:modified xsi:type="dcterms:W3CDTF">2026-04-09T16:59:00Z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0x0101004D2339F2E3F5A44AB778877CAB977BB9</vt:lpwstr>
  </property>
</Properties>
</file>