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pacing w:val="20"/>
          <w:sz w:val="32"/>
          <w:szCs w:val="32"/>
        </w:rPr>
        <w:t xml:space="preserve">JESSE EVANS</w:t>
      </w:r>
    </w:p>
    <w:p>
      <w:pPr>
        <w:spacing w:after="180"/>
        <w:jc w:val="center"/>
      </w:pPr>
      <w:r>
        <w:rPr>
          <w:rFonts w:ascii="Calibri" w:cs="Calibri" w:eastAsia="Calibri" w:hAnsi="Calibri"/>
          <w:sz w:val="21"/>
          <w:szCs w:val="21"/>
        </w:rPr>
        <w:t xml:space="preserve">Kuna, ID | 208-957-8958 | iam@jesseevans.net | linkedin.com/in/jsevans0 | jsevans0.github.io</w:t>
      </w:r>
    </w:p>
    <w:p>
      <w:pPr>
        <w:pStyle w:val="Heading1"/>
        <w:pBdr>
          <w:bottom w:val="single" w:color="000000" w:sz="6" w:space="2"/>
        </w:pBdr>
        <w:spacing w:after="100" w:before="200"/>
      </w:pPr>
      <w:r>
        <w:rPr>
          <w:rFonts w:ascii="Calibri" w:cs="Calibri" w:eastAsia="Calibri" w:hAnsi="Calibri"/>
          <w:b/>
          <w:bCs/>
          <w:color w:val="000000"/>
          <w:spacing w:val="20"/>
          <w:sz w:val="23"/>
          <w:szCs w:val="23"/>
        </w:rPr>
        <w:t xml:space="preserve">PROFESSIONAL SUMMARY</w:t>
      </w:r>
    </w:p>
    <w:p>
      <w:pPr>
        <w:spacing w:after="80" w:before="0"/>
      </w:pPr>
      <w:r>
        <w:rPr>
          <w:rFonts w:ascii="Calibri" w:cs="Calibri" w:eastAsia="Calibri" w:hAnsi="Calibri"/>
          <w:b w:val="false"/>
          <w:bCs w:val="false"/>
          <w:sz w:val="21"/>
          <w:szCs w:val="21"/>
        </w:rPr>
        <w:t xml:space="preserve">Data Analyst with hands-on experience classifying, enriching, and analyzing large product and sales datasets. Strongest in Python and SQL: mapped over 100,000 product records to standardized classifications, built an automated catalog audit covering 3,100 SKUs, and delivered brand and parent company sales analysis across a 170,000-row transaction dataset. Comfortable turning messy source data into clean datasets, clear visuals, and findings non-technical stakeholders can act on.</w:t>
      </w:r>
    </w:p>
    <w:p>
      <w:pPr>
        <w:pStyle w:val="Heading1"/>
        <w:pBdr>
          <w:bottom w:val="single" w:color="000000" w:sz="6" w:space="2"/>
        </w:pBdr>
        <w:spacing w:after="100" w:before="200"/>
      </w:pPr>
      <w:r>
        <w:rPr>
          <w:rFonts w:ascii="Calibri" w:cs="Calibri" w:eastAsia="Calibri" w:hAnsi="Calibri"/>
          <w:b/>
          <w:bCs/>
          <w:color w:val="000000"/>
          <w:spacing w:val="20"/>
          <w:sz w:val="23"/>
          <w:szCs w:val="23"/>
        </w:rPr>
        <w:t xml:space="preserve">SKILLS</w:t>
      </w:r>
    </w:p>
    <w:p>
      <w:pPr>
        <w:spacing w:after="80" w:before="0"/>
      </w:pPr>
      <w:r>
        <w:rPr>
          <w:rFonts w:ascii="Calibri" w:cs="Calibri" w:eastAsia="Calibri" w:hAnsi="Calibri"/>
          <w:b/>
          <w:bCs/>
          <w:sz w:val="21"/>
          <w:szCs w:val="21"/>
        </w:rPr>
        <w:t xml:space="preserve">Languages &amp; Tools: </w:t>
      </w:r>
      <w:r>
        <w:rPr>
          <w:rFonts w:ascii="Calibri" w:cs="Calibri" w:eastAsia="Calibri" w:hAnsi="Calibri"/>
          <w:b w:val="false"/>
          <w:bCs w:val="false"/>
          <w:sz w:val="21"/>
          <w:szCs w:val="21"/>
        </w:rPr>
        <w:t xml:space="preserve">SQL, Python, R, Bash/Shell, Git, Jupyter Notebook, RStudio, Anaconda, Linux/CLI</w:t>
      </w:r>
    </w:p>
    <w:p>
      <w:pPr>
        <w:spacing w:after="80" w:before="0"/>
      </w:pPr>
      <w:r>
        <w:rPr>
          <w:rFonts w:ascii="Calibri" w:cs="Calibri" w:eastAsia="Calibri" w:hAnsi="Calibri"/>
          <w:b/>
          <w:bCs/>
          <w:sz w:val="21"/>
          <w:szCs w:val="21"/>
        </w:rPr>
        <w:t xml:space="preserve">Databases &amp; Data Modeling: </w:t>
      </w:r>
      <w:r>
        <w:rPr>
          <w:rFonts w:ascii="Calibri" w:cs="Calibri" w:eastAsia="Calibri" w:hAnsi="Calibri"/>
          <w:b w:val="false"/>
          <w:bCs w:val="false"/>
          <w:sz w:val="21"/>
          <w:szCs w:val="21"/>
        </w:rPr>
        <w:t xml:space="preserve">MySQL, PostgreSQL, MongoDB, NoSQL, JSON, entity relationship modeling, normalization, relational design</w:t>
      </w:r>
    </w:p>
    <w:p>
      <w:pPr>
        <w:spacing w:after="80" w:before="0"/>
      </w:pPr>
      <w:r>
        <w:rPr>
          <w:rFonts w:ascii="Calibri" w:cs="Calibri" w:eastAsia="Calibri" w:hAnsi="Calibri"/>
          <w:b/>
          <w:bCs/>
          <w:sz w:val="21"/>
          <w:szCs w:val="21"/>
        </w:rPr>
        <w:t xml:space="preserve">Data Preparation: </w:t>
      </w:r>
      <w:r>
        <w:rPr>
          <w:rFonts w:ascii="Calibri" w:cs="Calibri" w:eastAsia="Calibri" w:hAnsi="Calibri"/>
          <w:b w:val="false"/>
          <w:bCs w:val="false"/>
          <w:sz w:val="21"/>
          <w:szCs w:val="21"/>
        </w:rPr>
        <w:t xml:space="preserve">Data cleaning, data transformation, data mapping and classification, Regex, Pandas, NumPy, dplyr, tidyverse, API/requests</w:t>
      </w:r>
    </w:p>
    <w:p>
      <w:pPr>
        <w:spacing w:after="80" w:before="0"/>
      </w:pPr>
      <w:r>
        <w:rPr>
          <w:rFonts w:ascii="Calibri" w:cs="Calibri" w:eastAsia="Calibri" w:hAnsi="Calibri"/>
          <w:b/>
          <w:bCs/>
          <w:sz w:val="21"/>
          <w:szCs w:val="21"/>
        </w:rPr>
        <w:t xml:space="preserve">Analysis &amp; Statistics: </w:t>
      </w:r>
      <w:r>
        <w:rPr>
          <w:rFonts w:ascii="Calibri" w:cs="Calibri" w:eastAsia="Calibri" w:hAnsi="Calibri"/>
          <w:b w:val="false"/>
          <w:bCs w:val="false"/>
          <w:sz w:val="21"/>
          <w:szCs w:val="21"/>
        </w:rPr>
        <w:t xml:space="preserve">Exploratory data analysis, descriptive and inferential statistics, hypothesis testing, probability distributions, correlation and causation, experiment design and evaluation, sampling, percentiles</w:t>
      </w:r>
    </w:p>
    <w:p>
      <w:pPr>
        <w:spacing w:after="80" w:before="0"/>
      </w:pPr>
      <w:r>
        <w:rPr>
          <w:rFonts w:ascii="Calibri" w:cs="Calibri" w:eastAsia="Calibri" w:hAnsi="Calibri"/>
          <w:b/>
          <w:bCs/>
          <w:sz w:val="21"/>
          <w:szCs w:val="21"/>
        </w:rPr>
        <w:t xml:space="preserve">Machine Learning: </w:t>
      </w:r>
      <w:r>
        <w:rPr>
          <w:rFonts w:ascii="Calibri" w:cs="Calibri" w:eastAsia="Calibri" w:hAnsi="Calibri"/>
          <w:b w:val="false"/>
          <w:bCs w:val="false"/>
          <w:sz w:val="21"/>
          <w:szCs w:val="21"/>
        </w:rPr>
        <w:t xml:space="preserve">Linear and polynomial regression, classification, K-nearest neighbors, model evaluation, confusion matrix, model refinement, predictive analysis, scikit-learn</w:t>
      </w:r>
    </w:p>
    <w:p>
      <w:pPr>
        <w:spacing w:after="80" w:before="0"/>
      </w:pPr>
      <w:r>
        <w:rPr>
          <w:rFonts w:ascii="Calibri" w:cs="Calibri" w:eastAsia="Calibri" w:hAnsi="Calibri"/>
          <w:b/>
          <w:bCs/>
          <w:sz w:val="21"/>
          <w:szCs w:val="21"/>
        </w:rPr>
        <w:t xml:space="preserve">Visualization &amp; Reporting: </w:t>
      </w:r>
      <w:r>
        <w:rPr>
          <w:rFonts w:ascii="Calibri" w:cs="Calibri" w:eastAsia="Calibri" w:hAnsi="Calibri"/>
          <w:b w:val="false"/>
          <w:bCs w:val="false"/>
          <w:sz w:val="21"/>
          <w:szCs w:val="21"/>
        </w:rPr>
        <w:t xml:space="preserve">Plotly, Tableau, dashboard development, Microsoft Excel (pivot tables, lookups, charting), Matplotlib, ggplot2, data communication, Streamlit, Seaborn</w:t>
      </w:r>
    </w:p>
    <w:p>
      <w:pPr>
        <w:pStyle w:val="Heading1"/>
        <w:pBdr>
          <w:bottom w:val="single" w:color="000000" w:sz="6" w:space="2"/>
        </w:pBdr>
        <w:spacing w:after="100" w:before="200"/>
      </w:pPr>
      <w:r>
        <w:rPr>
          <w:rFonts w:ascii="Calibri" w:cs="Calibri" w:eastAsia="Calibri" w:hAnsi="Calibri"/>
          <w:b/>
          <w:bCs/>
          <w:color w:val="000000"/>
          <w:spacing w:val="20"/>
          <w:sz w:val="23"/>
          <w:szCs w:val="23"/>
        </w:rPr>
        <w:t xml:space="preserve">PROFESSIONAL EXPERIENCE</w:t>
      </w:r>
    </w:p>
    <w:p>
      <w:pPr>
        <w:spacing w:after="60" w:before="0"/>
      </w:pPr>
      <w:r>
        <w:rPr>
          <w:rFonts w:ascii="Calibri" w:cs="Calibri" w:eastAsia="Calibri" w:hAnsi="Calibri"/>
          <w:b/>
          <w:bCs/>
          <w:sz w:val="21"/>
          <w:szCs w:val="21"/>
        </w:rPr>
        <w:t xml:space="preserve">Data Mapper</w:t>
      </w:r>
      <w:r>
        <w:rPr>
          <w:rFonts w:ascii="Calibri" w:cs="Calibri" w:eastAsia="Calibri" w:hAnsi="Calibri"/>
          <w:b w:val="false"/>
          <w:bCs w:val="false"/>
          <w:sz w:val="21"/>
          <w:szCs w:val="21"/>
        </w:rPr>
        <w:t xml:space="preserve"> | Fincretive LLC | Boise, ID | 12/2025 – 08/2026</w:t>
      </w:r>
    </w:p>
    <w:p>
      <w:pPr>
        <w:pStyle w:val="ListParagraph"/>
        <w:numPr>
          <w:ilvl w:val="0"/>
          <w:numId w:val="2"/>
        </w:numPr>
        <w:spacing w:after="40"/>
      </w:pPr>
      <w:r>
        <w:rPr>
          <w:rFonts w:ascii="Calibri" w:cs="Calibri" w:eastAsia="Calibri" w:hAnsi="Calibri"/>
          <w:sz w:val="21"/>
          <w:szCs w:val="21"/>
        </w:rPr>
        <w:t xml:space="preserve">Classified and mapped over 100,000 product records to standardized taxonomies, improving catalog consistency and downstream reporting accuracy.</w:t>
      </w:r>
    </w:p>
    <w:p>
      <w:pPr>
        <w:pStyle w:val="ListParagraph"/>
        <w:numPr>
          <w:ilvl w:val="0"/>
          <w:numId w:val="2"/>
        </w:numPr>
        <w:spacing w:after="40"/>
      </w:pPr>
      <w:r>
        <w:rPr>
          <w:rFonts w:ascii="Calibri" w:cs="Calibri" w:eastAsia="Calibri" w:hAnsi="Calibri"/>
          <w:sz w:val="21"/>
          <w:szCs w:val="21"/>
        </w:rPr>
        <w:t xml:space="preserve">Consolidated seven months of daily store sales reports into a single 170,000-row dataset using Python and Pandas, deduplicating to roughly 3,100 unique SKUs for analysis.</w:t>
      </w:r>
    </w:p>
    <w:p>
      <w:pPr>
        <w:pStyle w:val="ListParagraph"/>
        <w:numPr>
          <w:ilvl w:val="0"/>
          <w:numId w:val="2"/>
        </w:numPr>
        <w:spacing w:after="40"/>
      </w:pPr>
      <w:r>
        <w:rPr>
          <w:rFonts w:ascii="Calibri" w:cs="Calibri" w:eastAsia="Calibri" w:hAnsi="Calibri"/>
          <w:sz w:val="21"/>
          <w:szCs w:val="21"/>
        </w:rPr>
        <w:t xml:space="preserve">Built a Python web scraper to validate each SKU against the company Master Item List, automating a catalog audit that identified fewer than 200 products missing from master data.</w:t>
      </w:r>
    </w:p>
    <w:p>
      <w:pPr>
        <w:pStyle w:val="ListParagraph"/>
        <w:numPr>
          <w:ilvl w:val="0"/>
          <w:numId w:val="2"/>
        </w:numPr>
        <w:spacing w:after="40"/>
      </w:pPr>
      <w:r>
        <w:rPr>
          <w:rFonts w:ascii="Calibri" w:cs="Calibri" w:eastAsia="Calibri" w:hAnsi="Calibri"/>
          <w:sz w:val="21"/>
          <w:szCs w:val="21"/>
        </w:rPr>
        <w:t xml:space="preserve">Enriched 3,100 products with brand and ultimate parent company attribution through automated matching and manual research, reaching an estimated 92% accuracy with no existing reference source available; tracked cleaning progress across records using structured Excel tables.</w:t>
      </w:r>
    </w:p>
    <w:p>
      <w:pPr>
        <w:pStyle w:val="ListParagraph"/>
        <w:numPr>
          <w:ilvl w:val="0"/>
          <w:numId w:val="2"/>
        </w:numPr>
        <w:spacing w:after="40"/>
      </w:pPr>
      <w:r>
        <w:rPr>
          <w:rFonts w:ascii="Calibri" w:cs="Calibri" w:eastAsia="Calibri" w:hAnsi="Calibri"/>
          <w:sz w:val="21"/>
          <w:szCs w:val="21"/>
        </w:rPr>
        <w:t xml:space="preserve">Delivered the enriched mapping as a reusable product key file, then joined it back to the full transaction dataset to enable sales analysis by brand, parent company, and GS1 GPC classification for the first time.</w:t>
      </w:r>
    </w:p>
    <w:p>
      <w:pPr>
        <w:pStyle w:val="ListParagraph"/>
        <w:numPr>
          <w:ilvl w:val="0"/>
          <w:numId w:val="2"/>
        </w:numPr>
        <w:spacing w:after="40"/>
      </w:pPr>
      <w:r>
        <w:rPr>
          <w:rFonts w:ascii="Calibri" w:cs="Calibri" w:eastAsia="Calibri" w:hAnsi="Calibri"/>
          <w:sz w:val="21"/>
          <w:szCs w:val="21"/>
        </w:rPr>
        <w:t xml:space="preserve">Produced Plotly visualizations identifying peak sales days, top-selling and most consistently sold products, and the brands and parent companies driving the largest share of volume; delivered the full analysis to management within three weeks.</w:t>
      </w:r>
    </w:p>
    <w:p>
      <w:pPr>
        <w:spacing w:after="60" w:before="140"/>
      </w:pPr>
      <w:r>
        <w:rPr>
          <w:rFonts w:ascii="Calibri" w:cs="Calibri" w:eastAsia="Calibri" w:hAnsi="Calibri"/>
          <w:b/>
          <w:bCs/>
          <w:sz w:val="21"/>
          <w:szCs w:val="21"/>
        </w:rPr>
        <w:t xml:space="preserve">Delivery Expert</w:t>
      </w:r>
      <w:r>
        <w:rPr>
          <w:rFonts w:ascii="Calibri" w:cs="Calibri" w:eastAsia="Calibri" w:hAnsi="Calibri"/>
          <w:b w:val="false"/>
          <w:bCs w:val="false"/>
          <w:sz w:val="21"/>
          <w:szCs w:val="21"/>
        </w:rPr>
        <w:t xml:space="preserve"> | Domino's Pizza | Kuna, ID | 05/2020 – 12/2020</w:t>
      </w:r>
    </w:p>
    <w:p>
      <w:pPr>
        <w:pStyle w:val="ListParagraph"/>
        <w:numPr>
          <w:ilvl w:val="0"/>
          <w:numId w:val="2"/>
        </w:numPr>
        <w:spacing w:after="40"/>
      </w:pPr>
      <w:r>
        <w:rPr>
          <w:rFonts w:ascii="Calibri" w:cs="Calibri" w:eastAsia="Calibri" w:hAnsi="Calibri"/>
          <w:sz w:val="21"/>
          <w:szCs w:val="21"/>
        </w:rPr>
        <w:t xml:space="preserve">Handled deliveries, phone orders, and morning prep in a high-volume store, maintaining order accuracy under time pressure.</w:t>
      </w:r>
    </w:p>
    <w:p>
      <w:pPr>
        <w:pStyle w:val="ListParagraph"/>
        <w:numPr>
          <w:ilvl w:val="0"/>
          <w:numId w:val="2"/>
        </w:numPr>
        <w:spacing w:after="40"/>
      </w:pPr>
      <w:r>
        <w:rPr>
          <w:rFonts w:ascii="Calibri" w:cs="Calibri" w:eastAsia="Calibri" w:hAnsi="Calibri"/>
          <w:sz w:val="21"/>
          <w:szCs w:val="21"/>
        </w:rPr>
        <w:t xml:space="preserve">Cross-trained on food production to cover peak demand periods.</w:t>
      </w:r>
    </w:p>
    <w:p>
      <w:pPr>
        <w:pStyle w:val="Heading1"/>
        <w:pBdr>
          <w:bottom w:val="single" w:color="000000" w:sz="6" w:space="2"/>
        </w:pBdr>
        <w:spacing w:after="100" w:before="200"/>
      </w:pPr>
      <w:r>
        <w:rPr>
          <w:rFonts w:ascii="Calibri" w:cs="Calibri" w:eastAsia="Calibri" w:hAnsi="Calibri"/>
          <w:b/>
          <w:bCs/>
          <w:color w:val="000000"/>
          <w:spacing w:val="20"/>
          <w:sz w:val="23"/>
          <w:szCs w:val="23"/>
        </w:rPr>
        <w:t xml:space="preserve">PROJECTS</w:t>
      </w:r>
    </w:p>
    <w:p>
      <w:pPr>
        <w:spacing w:after="60" w:before="0"/>
      </w:pPr>
      <w:r>
        <w:rPr>
          <w:rFonts w:ascii="Calibri" w:cs="Calibri" w:eastAsia="Calibri" w:hAnsi="Calibri"/>
          <w:b/>
          <w:bCs/>
          <w:sz w:val="21"/>
          <w:szCs w:val="21"/>
        </w:rPr>
        <w:t xml:space="preserve">Airline Passenger Satisfaction</w:t>
      </w:r>
      <w:r>
        <w:rPr>
          <w:rFonts w:ascii="Calibri" w:cs="Calibri" w:eastAsia="Calibri" w:hAnsi="Calibri"/>
          <w:b w:val="false"/>
          <w:bCs w:val="false"/>
          <w:sz w:val="21"/>
          <w:szCs w:val="21"/>
        </w:rPr>
        <w:t xml:space="preserve"> | Python, pandas, scikit-learn, Streamlit | 2025</w:t>
      </w:r>
    </w:p>
    <w:p>
      <w:pPr>
        <w:pStyle w:val="ListParagraph"/>
        <w:numPr>
          <w:ilvl w:val="0"/>
          <w:numId w:val="2"/>
        </w:numPr>
        <w:spacing w:after="40"/>
      </w:pPr>
      <w:r>
        <w:rPr>
          <w:rFonts w:ascii="Calibri" w:cs="Calibri" w:eastAsia="Calibri" w:hAnsi="Calibri"/>
          <w:sz w:val="21"/>
          <w:szCs w:val="21"/>
        </w:rPr>
        <w:t xml:space="preserve">Analyzed roughly 130,000 airline survey responses to rank which parts of the travel experience drive satisfaction, retaining over 99% of rows through targeted null and outlier handling rather than blanket drops.</w:t>
      </w:r>
    </w:p>
    <w:p>
      <w:pPr>
        <w:pStyle w:val="ListParagraph"/>
        <w:numPr>
          <w:ilvl w:val="0"/>
          <w:numId w:val="2"/>
        </w:numPr>
        <w:spacing w:after="40"/>
      </w:pPr>
      <w:r>
        <w:rPr>
          <w:rFonts w:ascii="Calibri" w:cs="Calibri" w:eastAsia="Calibri" w:hAnsi="Calibri"/>
          <w:sz w:val="21"/>
          <w:szCs w:val="21"/>
        </w:rPr>
        <w:t xml:space="preserve">Trained a regression model that cut RMSE from a 0.495 mean baseline to 0.376, then read the coefficients to identify online boarding as the strongest positive driver and schedule convenience as the strongest negative.</w:t>
      </w:r>
    </w:p>
    <w:p>
      <w:pPr>
        <w:pStyle w:val="ListParagraph"/>
        <w:numPr>
          <w:ilvl w:val="0"/>
          <w:numId w:val="2"/>
        </w:numPr>
        <w:spacing w:after="40"/>
      </w:pPr>
      <w:r>
        <w:rPr>
          <w:rFonts w:ascii="Calibri" w:cs="Calibri" w:eastAsia="Calibri" w:hAnsi="Calibri"/>
          <w:sz w:val="21"/>
          <w:szCs w:val="21"/>
        </w:rPr>
        <w:t xml:space="preserve">Shipped an interactive Streamlit explorer so non-technical stakeholders could slice the data themselves, and delivered prioritized recommendations including evidence that delay reduction did not move satisfaction scores.</w:t>
      </w:r>
    </w:p>
    <w:p>
      <w:pPr>
        <w:spacing w:after="60" w:before="140"/>
      </w:pPr>
      <w:r>
        <w:rPr>
          <w:rFonts w:ascii="Calibri" w:cs="Calibri" w:eastAsia="Calibri" w:hAnsi="Calibri"/>
          <w:b/>
          <w:bCs/>
          <w:sz w:val="21"/>
          <w:szCs w:val="21"/>
        </w:rPr>
        <w:t xml:space="preserve">Global Ad Performance: Budget Reallocation Analysis</w:t>
      </w:r>
      <w:r>
        <w:rPr>
          <w:rFonts w:ascii="Calibri" w:cs="Calibri" w:eastAsia="Calibri" w:hAnsi="Calibri"/>
          <w:b w:val="false"/>
          <w:bCs w:val="false"/>
          <w:sz w:val="21"/>
          <w:szCs w:val="21"/>
        </w:rPr>
        <w:t xml:space="preserve"> | PostgreSQL, SQL, HTML | 2026</w:t>
      </w:r>
    </w:p>
    <w:p>
      <w:pPr>
        <w:pStyle w:val="ListParagraph"/>
        <w:numPr>
          <w:ilvl w:val="0"/>
          <w:numId w:val="2"/>
        </w:numPr>
        <w:spacing w:after="40"/>
      </w:pPr>
      <w:r>
        <w:rPr>
          <w:rFonts w:ascii="Calibri" w:cs="Calibri" w:eastAsia="Calibri" w:hAnsi="Calibri"/>
          <w:sz w:val="21"/>
          <w:szCs w:val="21"/>
        </w:rPr>
        <w:t xml:space="preserve">Designed a five-dimension star schema over 1,800 ad performance records in PostgreSQL, storing only additive measures and computing CTR, CPC, CPA and ROAS as ratios of sums at query time to keep small campaigns from distorting portfolio averages.</w:t>
      </w:r>
    </w:p>
    <w:p>
      <w:pPr>
        <w:pStyle w:val="ListParagraph"/>
        <w:numPr>
          <w:ilvl w:val="0"/>
          <w:numId w:val="2"/>
        </w:numPr>
        <w:spacing w:after="40"/>
      </w:pPr>
      <w:r>
        <w:rPr>
          <w:rFonts w:ascii="Calibri" w:cs="Calibri" w:eastAsia="Calibri" w:hAnsi="Calibri"/>
          <w:sz w:val="21"/>
          <w:szCs w:val="21"/>
        </w:rPr>
        <w:t xml:space="preserve">Performed all aggregation in SQL, including window functions, FILTER aggregates, percentile_cont and a 2,000-iteration bootstrap built with generate_series and LATERAL.</w:t>
      </w:r>
    </w:p>
    <w:p>
      <w:pPr>
        <w:pStyle w:val="ListParagraph"/>
        <w:numPr>
          <w:ilvl w:val="0"/>
          <w:numId w:val="2"/>
        </w:numPr>
        <w:spacing w:after="40"/>
      </w:pPr>
      <w:r>
        <w:rPr>
          <w:rFonts w:ascii="Calibri" w:cs="Calibri" w:eastAsia="Calibri" w:hAnsi="Calibri"/>
          <w:sz w:val="21"/>
          <w:szCs w:val="21"/>
        </w:rPr>
        <w:t xml:space="preserve">Sized a 20% budget reallocation away from the lowest-returning platform and reported its break-even tolerance, a 54.5% decay in marginal return, as the decision-relevant figure rather than the headline revenue gain.</w:t>
      </w:r>
    </w:p>
    <w:p>
      <w:pPr>
        <w:pStyle w:val="ListParagraph"/>
        <w:numPr>
          <w:ilvl w:val="0"/>
          <w:numId w:val="2"/>
        </w:numPr>
        <w:spacing w:after="40"/>
      </w:pPr>
      <w:r>
        <w:rPr>
          <w:rFonts w:ascii="Calibri" w:cs="Calibri" w:eastAsia="Calibri" w:hAnsi="Calibri"/>
          <w:sz w:val="21"/>
          <w:szCs w:val="21"/>
        </w:rPr>
        <w:t xml:space="preserve">Scoped conclusions to what the data supported, using bootstrap intervals that separated platforms cleanly but overlapped across all 21 country pairs; delivered a one-page memo for a non-technical stakeholder and a self-contained HTML dashboard backed by load-time integrity checks.</w:t>
      </w:r>
    </w:p>
    <w:p>
      <w:pPr>
        <w:spacing w:after="60" w:before="140"/>
      </w:pPr>
      <w:r>
        <w:rPr>
          <w:rFonts w:ascii="Calibri" w:cs="Calibri" w:eastAsia="Calibri" w:hAnsi="Calibri"/>
          <w:b/>
          <w:bCs/>
          <w:sz w:val="21"/>
          <w:szCs w:val="21"/>
        </w:rPr>
        <w:t xml:space="preserve">Higher Education Consulting Analytics</w:t>
      </w:r>
      <w:r>
        <w:rPr>
          <w:rFonts w:ascii="Calibri" w:cs="Calibri" w:eastAsia="Calibri" w:hAnsi="Calibri"/>
          <w:b w:val="false"/>
          <w:bCs w:val="false"/>
          <w:sz w:val="21"/>
          <w:szCs w:val="21"/>
        </w:rPr>
        <w:t xml:space="preserve"> | Python, pandas, Seaborn | 2025</w:t>
      </w:r>
    </w:p>
    <w:p>
      <w:pPr>
        <w:pStyle w:val="ListParagraph"/>
        <w:numPr>
          <w:ilvl w:val="0"/>
          <w:numId w:val="2"/>
        </w:numPr>
        <w:spacing w:after="40"/>
      </w:pPr>
      <w:r>
        <w:rPr>
          <w:rFonts w:ascii="Calibri" w:cs="Calibri" w:eastAsia="Calibri" w:hAnsi="Calibri"/>
          <w:sz w:val="21"/>
          <w:szCs w:val="21"/>
        </w:rPr>
        <w:t xml:space="preserve">Analyzed institution-level cost, admissions, enrollment and faculty data for a consulting client seeking measurable levers to raise college graduation rates.</w:t>
      </w:r>
    </w:p>
    <w:p>
      <w:pPr>
        <w:pStyle w:val="ListParagraph"/>
        <w:numPr>
          <w:ilvl w:val="0"/>
          <w:numId w:val="2"/>
        </w:numPr>
        <w:spacing w:after="40"/>
      </w:pPr>
      <w:r>
        <w:rPr>
          <w:rFonts w:ascii="Calibri" w:cs="Calibri" w:eastAsia="Calibri" w:hAnsi="Calibri"/>
          <w:sz w:val="21"/>
          <w:szCs w:val="21"/>
        </w:rPr>
        <w:t xml:space="preserve">Built the data dictionary from scratch, then used column-level histograms to locate outliers and selected median imputation over mean based on the distributions rather than by default.</w:t>
      </w:r>
    </w:p>
    <w:p>
      <w:pPr>
        <w:pStyle w:val="ListParagraph"/>
        <w:numPr>
          <w:ilvl w:val="0"/>
          <w:numId w:val="2"/>
        </w:numPr>
        <w:spacing w:after="40"/>
      </w:pPr>
      <w:r>
        <w:rPr>
          <w:rFonts w:ascii="Calibri" w:cs="Calibri" w:eastAsia="Calibri" w:hAnsi="Calibri"/>
          <w:sz w:val="21"/>
          <w:szCs w:val="21"/>
        </w:rPr>
        <w:t xml:space="preserve">Identified student-to-faculty ratio and share of PhD-holding faculty as the factors tracking most closely with graduation rate, and delivered ranked recommendations scoped to what an institution can actually control.</w:t>
      </w:r>
    </w:p>
    <w:p>
      <w:pPr>
        <w:pStyle w:val="Heading1"/>
        <w:pBdr>
          <w:bottom w:val="single" w:color="000000" w:sz="6" w:space="2"/>
        </w:pBdr>
        <w:spacing w:after="100" w:before="200"/>
      </w:pPr>
      <w:r>
        <w:rPr>
          <w:rFonts w:ascii="Calibri" w:cs="Calibri" w:eastAsia="Calibri" w:hAnsi="Calibri"/>
          <w:b/>
          <w:bCs/>
          <w:color w:val="000000"/>
          <w:spacing w:val="20"/>
          <w:sz w:val="23"/>
          <w:szCs w:val="23"/>
        </w:rPr>
        <w:t xml:space="preserve">EDUCATION</w:t>
      </w:r>
    </w:p>
    <w:p>
      <w:pPr>
        <w:spacing w:after="80" w:before="0"/>
      </w:pPr>
      <w:r>
        <w:rPr>
          <w:rFonts w:ascii="Calibri" w:cs="Calibri" w:eastAsia="Calibri" w:hAnsi="Calibri"/>
          <w:b/>
          <w:bCs/>
          <w:sz w:val="21"/>
          <w:szCs w:val="21"/>
        </w:rPr>
        <w:t xml:space="preserve">Associate of Arts, Liberal Arts</w:t>
      </w:r>
      <w:r>
        <w:rPr>
          <w:rFonts w:ascii="Calibri" w:cs="Calibri" w:eastAsia="Calibri" w:hAnsi="Calibri"/>
          <w:b w:val="false"/>
          <w:bCs w:val="false"/>
          <w:sz w:val="21"/>
          <w:szCs w:val="21"/>
        </w:rPr>
        <w:t xml:space="preserve"> | College of Western Idaho | Nampa, ID | 12/2024</w:t>
      </w:r>
    </w:p>
    <w:p>
      <w:pPr>
        <w:spacing w:after="80" w:before="0"/>
      </w:pPr>
      <w:r>
        <w:rPr>
          <w:rFonts w:ascii="Calibri" w:cs="Calibri" w:eastAsia="Calibri" w:hAnsi="Calibri"/>
          <w:b/>
          <w:bCs/>
          <w:sz w:val="21"/>
          <w:szCs w:val="21"/>
        </w:rPr>
        <w:t xml:space="preserve">Associate of Arts, Media Arts</w:t>
      </w:r>
      <w:r>
        <w:rPr>
          <w:rFonts w:ascii="Calibri" w:cs="Calibri" w:eastAsia="Calibri" w:hAnsi="Calibri"/>
          <w:b w:val="false"/>
          <w:bCs w:val="false"/>
          <w:sz w:val="21"/>
          <w:szCs w:val="21"/>
        </w:rPr>
        <w:t xml:space="preserve"> | College of Western Idaho | Nampa, ID | 06/2023</w:t>
      </w:r>
    </w:p>
    <w:p>
      <w:pPr>
        <w:spacing w:after="80" w:before="0"/>
      </w:pPr>
      <w:r>
        <w:rPr>
          <w:rFonts w:ascii="Calibri" w:cs="Calibri" w:eastAsia="Calibri" w:hAnsi="Calibri"/>
          <w:b/>
          <w:bCs/>
          <w:sz w:val="21"/>
          <w:szCs w:val="21"/>
        </w:rPr>
        <w:t xml:space="preserve">Coursework in Computer Programming, Business, and Accounting</w:t>
      </w:r>
      <w:r>
        <w:rPr>
          <w:rFonts w:ascii="Calibri" w:cs="Calibri" w:eastAsia="Calibri" w:hAnsi="Calibri"/>
          <w:b w:val="false"/>
          <w:bCs w:val="false"/>
          <w:sz w:val="21"/>
          <w:szCs w:val="21"/>
        </w:rPr>
        <w:t xml:space="preserve"> | Brigham Young University–Idaho | Rexburg, ID | 2021 – 2022</w:t>
      </w:r>
    </w:p>
    <w:p>
      <w:pPr>
        <w:pStyle w:val="Heading1"/>
        <w:pBdr>
          <w:bottom w:val="single" w:color="000000" w:sz="6" w:space="2"/>
        </w:pBdr>
        <w:spacing w:after="100" w:before="200"/>
      </w:pPr>
      <w:r>
        <w:rPr>
          <w:rFonts w:ascii="Calibri" w:cs="Calibri" w:eastAsia="Calibri" w:hAnsi="Calibri"/>
          <w:b/>
          <w:bCs/>
          <w:color w:val="000000"/>
          <w:spacing w:val="20"/>
          <w:sz w:val="23"/>
          <w:szCs w:val="23"/>
        </w:rPr>
        <w:t xml:space="preserve">CERTIFICATIONS</w:t>
      </w:r>
    </w:p>
    <w:p>
      <w:pPr>
        <w:pStyle w:val="ListParagraph"/>
        <w:numPr>
          <w:ilvl w:val="0"/>
          <w:numId w:val="2"/>
        </w:numPr>
        <w:spacing w:after="40"/>
      </w:pPr>
      <w:r>
        <w:rPr>
          <w:rFonts w:ascii="Calibri" w:cs="Calibri" w:eastAsia="Calibri" w:hAnsi="Calibri"/>
          <w:sz w:val="21"/>
          <w:szCs w:val="21"/>
        </w:rPr>
        <w:t xml:space="preserve">Data Analytics Certificate, Coding Temple | 10/2025</w:t>
      </w:r>
    </w:p>
    <w:p>
      <w:pPr>
        <w:pStyle w:val="ListParagraph"/>
        <w:numPr>
          <w:ilvl w:val="0"/>
          <w:numId w:val="2"/>
        </w:numPr>
        <w:spacing w:after="40"/>
      </w:pPr>
      <w:r>
        <w:rPr>
          <w:rFonts w:ascii="Calibri" w:cs="Calibri" w:eastAsia="Calibri" w:hAnsi="Calibri"/>
          <w:sz w:val="21"/>
          <w:szCs w:val="21"/>
        </w:rPr>
        <w:t xml:space="preserve">Microsoft Certified: Azure Fundamentals (AZ-900) | 10/2023</w:t>
      </w:r>
    </w:p>
    <w:p>
      <w:pPr>
        <w:pStyle w:val="ListParagraph"/>
        <w:numPr>
          <w:ilvl w:val="0"/>
          <w:numId w:val="2"/>
        </w:numPr>
        <w:spacing w:after="40"/>
      </w:pPr>
      <w:r>
        <w:rPr>
          <w:rFonts w:ascii="Calibri" w:cs="Calibri" w:eastAsia="Calibri" w:hAnsi="Calibri"/>
          <w:sz w:val="21"/>
          <w:szCs w:val="21"/>
        </w:rPr>
        <w:t xml:space="preserve">Microsoft Office Specialist: Excel Associate (Excel 2019) | 10/2024</w:t>
      </w:r>
    </w:p>
    <w:p>
      <w:pPr>
        <w:pStyle w:val="ListParagraph"/>
        <w:numPr>
          <w:ilvl w:val="0"/>
          <w:numId w:val="2"/>
        </w:numPr>
        <w:spacing w:after="40"/>
      </w:pPr>
      <w:r>
        <w:rPr>
          <w:rFonts w:ascii="Calibri" w:cs="Calibri" w:eastAsia="Calibri" w:hAnsi="Calibri"/>
          <w:sz w:val="21"/>
          <w:szCs w:val="21"/>
        </w:rPr>
        <w:t xml:space="preserve">Microsoft Office Specialist: Word Associate (Word 2019) | 10/2024</w:t>
      </w:r>
    </w:p>
    <w:p>
      <w:pPr>
        <w:pStyle w:val="ListParagraph"/>
        <w:numPr>
          <w:ilvl w:val="0"/>
          <w:numId w:val="2"/>
        </w:numPr>
        <w:spacing w:after="40"/>
      </w:pPr>
      <w:r>
        <w:rPr>
          <w:rFonts w:ascii="Calibri" w:cs="Calibri" w:eastAsia="Calibri" w:hAnsi="Calibri"/>
          <w:sz w:val="21"/>
          <w:szCs w:val="21"/>
        </w:rPr>
        <w:t xml:space="preserve">Coding Temple program certificates: SQL, Advanced Querying with SQL, Python, Advanced Python for Data, R, Statistics with R Programming, Statistics, Excel, Data Analysis with Excel, Data Visualization with Tableau, Machine Learning (Regression and Classification), MongoDB, Shell Scripting, Foundations of Data Analytics</w:t>
      </w:r>
    </w:p>
    <w:sectPr>
      <w:pgSz w:w="12240" w:h="15840" w:orient="portrait"/>
      <w:pgMar w:top="863" w:right="1008" w:bottom="863"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Jesse Evans - Resume</dc:title>
  <dc:creator>Jesse Evans</dc:creator>
  <dc:description>Data Analyst resume</dc:description>
  <cp:lastModifiedBy>Un-named</cp:lastModifiedBy>
  <cp:revision>1</cp:revision>
  <dcterms:created xsi:type="dcterms:W3CDTF">2026-09-11T17:22:42.302Z</dcterms:created>
  <dcterms:modified xsi:type="dcterms:W3CDTF">2026-09-11T17:22:42.315Z</dcterms:modified>
</cp:coreProperties>
</file>

<file path=docProps/custom.xml><?xml version="1.0" encoding="utf-8"?>
<Properties xmlns="http://schemas.openxmlformats.org/officeDocument/2006/custom-properties" xmlns:vt="http://schemas.openxmlformats.org/officeDocument/2006/docPropsVTypes"/>
</file>