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B5642A"/>
          <w:spacing w:val="60"/>
          <w:sz w:val="18"/>
          <w:szCs w:val="18"/>
        </w:rPr>
        <w:t xml:space="preserve">SEED &amp; SPOON, INC.</w:t>
      </w:r>
    </w:p>
    <w:p>
      <w:pPr>
        <w:spacing w:after="80"/>
      </w:pPr>
      <w:r>
        <w:rPr>
          <w:rFonts w:ascii="Georgia" w:cs="Georgia" w:eastAsia="Georgia" w:hAnsi="Georgia"/>
          <w:b/>
          <w:bCs/>
          <w:color w:val="1E3D22"/>
          <w:sz w:val="40"/>
          <w:szCs w:val="40"/>
        </w:rPr>
        <w:t xml:space="preserve">Ethos in the Face of a Game-Changing Grant</w:t>
      </w:r>
    </w:p>
    <w:p>
      <w:pPr>
        <w:spacing w:after="160"/>
      </w:pPr>
      <w:r>
        <w:rPr>
          <w:rFonts w:ascii="Georgia" w:cs="Georgia" w:eastAsia="Georgia" w:hAnsi="Georgia"/>
          <w:i/>
          <w:iCs/>
          <w:color w:val="2E5A34"/>
          <w:sz w:val="24"/>
          <w:szCs w:val="24"/>
        </w:rPr>
        <w:t xml:space="preserve">A readiness doctrine for a large, unrestricted gift</w:t>
      </w:r>
    </w:p>
    <w:p>
      <w:pPr>
        <w:spacing w:after="120"/>
      </w:pPr>
      <w:r>
        <w:rPr>
          <w:rFonts w:ascii="Georgia" w:cs="Georgia" w:eastAsia="Georgia" w:hAnsi="Georgia"/>
          <w:i/>
          <w:iCs/>
          <w:color w:val="6A6F66"/>
          <w:sz w:val="20"/>
          <w:szCs w:val="20"/>
        </w:rPr>
        <w:t xml:space="preserve">Decided in advance, so our response is principled — not reactive.</w:t>
      </w:r>
    </w:p>
    <w:p>
      <w:pPr>
        <w:pBdr>
          <w:bottom w:val="single" w:color="B5642A" w:sz="8" w:space="1"/>
        </w:pBdr>
        <w:spacing w:after="200" w:before="40"/>
      </w:pPr>
      <w:r>
        <w:rPr>
          <w:sz w:val="2"/>
          <w:szCs w:val="2"/>
        </w:rPr>
        <w:t xml:space="preserve"/>
      </w:r>
    </w:p>
    <w:p>
      <w:pPr>
        <w:pStyle w:val="Heading2"/>
        <w:spacing w:after="100" w:before="280"/>
      </w:pPr>
      <w:r>
        <w:rPr>
          <w:rFonts w:ascii="Georgia" w:cs="Georgia" w:eastAsia="Georgia" w:hAnsi="Georgia"/>
          <w:b/>
          <w:bCs/>
          <w:color w:val="2E5A34"/>
          <w:sz w:val="26"/>
          <w:szCs w:val="26"/>
        </w:rPr>
        <w:t xml:space="preserve">Why this document exists</w:t>
      </w:r>
    </w:p>
    <w:p>
      <w:pPr>
        <w:spacing w:after="140" w:line="276"/>
        <w:jc w:val="left"/>
      </w:pPr>
      <w:r>
        <w:rPr>
          <w:rFonts w:ascii="Georgia" w:cs="Georgia" w:eastAsia="Georgia" w:hAnsi="Georgia"/>
          <w:b w:val="false"/>
          <w:bCs w:val="false"/>
          <w:i w:val="false"/>
          <w:iCs w:val="false"/>
          <w:color w:val="23281F"/>
          <w:sz w:val="21"/>
          <w:szCs w:val="21"/>
        </w:rPr>
        <w:t xml:space="preserve">Most organizations meet a windfall unprepared. The call comes, the wire lands, and a cascade of decisions arrives all at once — about people, money, program, scale, and public voice — at the exact moment the organization is least equipped to think clearly. The gift becomes a source of pressure instead of freedom.</w:t>
      </w:r>
    </w:p>
    <w:p>
      <w:pPr>
        <w:spacing w:after="140" w:line="276"/>
        <w:jc w:val="left"/>
      </w:pPr>
      <w:r>
        <w:rPr>
          <w:rFonts w:ascii="Georgia" w:cs="Georgia" w:eastAsia="Georgia" w:hAnsi="Georgia"/>
          <w:b w:val="false"/>
          <w:bCs w:val="false"/>
          <w:i w:val="false"/>
          <w:iCs w:val="false"/>
          <w:color w:val="23281F"/>
          <w:sz w:val="21"/>
          <w:szCs w:val="21"/>
        </w:rPr>
        <w:t xml:space="preserve">Seed &amp; Spoon will not be caught flat-footed. This document encodes, ahead of time, how we respond to a large unrestricted gift — whether a MacKenzie Scott–style windfall, a first six- or seven-figure foundation award, or a fiscal-sponsorship pass-through that changes our scale overnight. It exists so that when the good news comes, we already know who we are.</w:t>
      </w:r>
    </w:p>
    <w:p>
      <w:pPr>
        <w:spacing w:after="140" w:line="276"/>
        <w:jc w:val="left"/>
      </w:pPr>
      <w:r>
        <w:rPr>
          <w:rFonts w:ascii="Georgia" w:cs="Georgia" w:eastAsia="Georgia" w:hAnsi="Georgia"/>
          <w:b w:val="false"/>
          <w:bCs w:val="false"/>
          <w:i w:val="false"/>
          <w:iCs w:val="false"/>
          <w:color w:val="23281F"/>
          <w:sz w:val="21"/>
          <w:szCs w:val="21"/>
        </w:rPr>
        <w:t xml:space="preserve">The seven-domain structure is adapted from Panorama Global's “Navigating Game-Changing Grants,” distilled from 100+ nonprofits that received unexpected unrestricted gifts. The principles here are written in Seed &amp; Spoon's own voice and context.</w:t>
      </w:r>
    </w:p>
    <w:p>
      <w:pPr>
        <w:pStyle w:val="Heading2"/>
        <w:spacing w:after="100" w:before="280"/>
      </w:pPr>
      <w:r>
        <w:rPr>
          <w:rFonts w:ascii="Georgia" w:cs="Georgia" w:eastAsia="Georgia" w:hAnsi="Georgia"/>
          <w:b/>
          <w:bCs/>
          <w:color w:val="2E5A34"/>
          <w:sz w:val="26"/>
          <w:szCs w:val="26"/>
        </w:rPr>
        <w:t xml:space="preserve">What holds constant, no matter the number</w:t>
      </w:r>
    </w:p>
    <w:p>
      <w:pPr>
        <w:spacing w:after="140" w:line="276"/>
        <w:jc w:val="left"/>
      </w:pPr>
      <w:r>
        <w:rPr>
          <w:rFonts w:ascii="Georgia" w:cs="Georgia" w:eastAsia="Georgia" w:hAnsi="Georgia"/>
          <w:b w:val="false"/>
          <w:bCs w:val="false"/>
          <w:i w:val="false"/>
          <w:iCs w:val="false"/>
          <w:color w:val="23281F"/>
          <w:sz w:val="21"/>
          <w:szCs w:val="21"/>
        </w:rPr>
        <w:t xml:space="preserve">A windfall changes our capacity. It does not change our identity. Before the seven domains, the non-negotiables:</w:t>
      </w:r>
    </w:p>
    <w:p>
      <w:pPr>
        <w:pStyle w:val="ListParagraph"/>
        <w:numPr>
          <w:ilvl w:val="0"/>
          <w:numId w:val="1"/>
        </w:numPr>
        <w:spacing w:after="90" w:line="264"/>
      </w:pPr>
      <w:r>
        <w:rPr>
          <w:rFonts w:ascii="Georgia" w:cs="Georgia" w:eastAsia="Georgia" w:hAnsi="Georgia"/>
          <w:b/>
          <w:bCs/>
          <w:color w:val="1E3D22"/>
          <w:sz w:val="21"/>
          <w:szCs w:val="21"/>
        </w:rPr>
        <w:t xml:space="preserve">Mission before momentum. </w:t>
      </w:r>
      <w:r>
        <w:rPr>
          <w:rFonts w:ascii="Georgia" w:cs="Georgia" w:eastAsia="Georgia" w:hAnsi="Georgia"/>
          <w:color w:val="23281F"/>
          <w:sz w:val="21"/>
          <w:szCs w:val="21"/>
        </w:rPr>
        <w:t xml:space="preserve">More money is not a mandate to do more things. It is a mandate to do the mission more completely. Every dollar answers one question: does this get a meal to a hungry kid, or make it possible to?</w:t>
      </w:r>
    </w:p>
    <w:p>
      <w:pPr>
        <w:pStyle w:val="ListParagraph"/>
        <w:numPr>
          <w:ilvl w:val="0"/>
          <w:numId w:val="1"/>
        </w:numPr>
        <w:spacing w:after="90" w:line="264"/>
      </w:pPr>
      <w:r>
        <w:rPr>
          <w:rFonts w:ascii="Georgia" w:cs="Georgia" w:eastAsia="Georgia" w:hAnsi="Georgia"/>
          <w:b/>
          <w:bCs/>
          <w:color w:val="1E3D22"/>
          <w:sz w:val="21"/>
          <w:szCs w:val="21"/>
        </w:rPr>
        <w:t xml:space="preserve">Traceability is sacred. </w:t>
      </w:r>
      <w:r>
        <w:rPr>
          <w:rFonts w:ascii="Georgia" w:cs="Georgia" w:eastAsia="Georgia" w:hAnsi="Georgia"/>
          <w:color w:val="23281F"/>
          <w:sz w:val="21"/>
          <w:szCs w:val="21"/>
        </w:rPr>
        <w:t xml:space="preserve">Our analytical standard does not relax because the account is fuller. Claims must be traceable; the absence of a paper trail is itself data. We spend on evidence, not on faith.</w:t>
      </w:r>
    </w:p>
    <w:p>
      <w:pPr>
        <w:pStyle w:val="ListParagraph"/>
        <w:numPr>
          <w:ilvl w:val="0"/>
          <w:numId w:val="1"/>
        </w:numPr>
        <w:spacing w:after="90" w:line="264"/>
      </w:pPr>
      <w:r>
        <w:rPr>
          <w:rFonts w:ascii="Georgia" w:cs="Georgia" w:eastAsia="Georgia" w:hAnsi="Georgia"/>
          <w:b/>
          <w:bCs/>
          <w:color w:val="1E3D22"/>
          <w:sz w:val="21"/>
          <w:szCs w:val="21"/>
        </w:rPr>
        <w:t xml:space="preserve">Discipline is a value, not a constraint. </w:t>
      </w:r>
      <w:r>
        <w:rPr>
          <w:rFonts w:ascii="Georgia" w:cs="Georgia" w:eastAsia="Georgia" w:hAnsi="Georgia"/>
          <w:color w:val="23281F"/>
          <w:sz w:val="21"/>
          <w:szCs w:val="21"/>
        </w:rPr>
        <w:t xml:space="preserve">The build-it-ourselves, no-SaaS posture was never only about cost — it was about owning our tools and refusing to let overhead quietly become the mission. A large gift funds that discipline deliberately; it does not retire it.</w:t>
      </w:r>
    </w:p>
    <w:p>
      <w:pPr>
        <w:pStyle w:val="ListParagraph"/>
        <w:numPr>
          <w:ilvl w:val="0"/>
          <w:numId w:val="1"/>
        </w:numPr>
        <w:spacing w:after="90" w:line="264"/>
      </w:pPr>
      <w:r>
        <w:rPr>
          <w:rFonts w:ascii="Georgia" w:cs="Georgia" w:eastAsia="Georgia" w:hAnsi="Georgia"/>
          <w:b/>
          <w:bCs/>
          <w:color w:val="1E3D22"/>
          <w:sz w:val="21"/>
          <w:szCs w:val="21"/>
        </w:rPr>
        <w:t xml:space="preserve">Building as healing. </w:t>
      </w:r>
      <w:r>
        <w:rPr>
          <w:rFonts w:ascii="Georgia" w:cs="Georgia" w:eastAsia="Georgia" w:hAnsi="Georgia"/>
          <w:color w:val="23281F"/>
          <w:sz w:val="21"/>
          <w:szCs w:val="21"/>
        </w:rPr>
        <w:t xml:space="preserve">We build systems for problems we have lived. A windfall lets us build more of them, better — not abandon that stance for whatever a “real” organization is supposed to look like.</w:t>
      </w:r>
    </w:p>
    <w:p>
      <w:pPr>
        <w:pStyle w:val="ListParagraph"/>
        <w:numPr>
          <w:ilvl w:val="0"/>
          <w:numId w:val="1"/>
        </w:numPr>
        <w:spacing w:after="90" w:line="264"/>
      </w:pPr>
      <w:r>
        <w:rPr>
          <w:rFonts w:ascii="Georgia" w:cs="Georgia" w:eastAsia="Georgia" w:hAnsi="Georgia"/>
          <w:b/>
          <w:bCs/>
          <w:color w:val="1E3D22"/>
          <w:sz w:val="21"/>
          <w:szCs w:val="21"/>
        </w:rPr>
        <w:t xml:space="preserve">Community over optics. </w:t>
      </w:r>
      <w:r>
        <w:rPr>
          <w:rFonts w:ascii="Georgia" w:cs="Georgia" w:eastAsia="Georgia" w:hAnsi="Georgia"/>
          <w:color w:val="23281F"/>
          <w:sz w:val="21"/>
          <w:szCs w:val="21"/>
        </w:rPr>
        <w:t xml:space="preserve">We are moved by impact and contribution, not self-promotion. A large gift tempts us toward performance — the gala, the rebrand, the press tour. We resist in proportion to the temptation.</w:t>
      </w:r>
    </w:p>
    <w:p>
      <w:pPr>
        <w:pStyle w:val="Heading2"/>
        <w:spacing w:after="100" w:before="280"/>
      </w:pPr>
      <w:r>
        <w:rPr>
          <w:rFonts w:ascii="Georgia" w:cs="Georgia" w:eastAsia="Georgia" w:hAnsi="Georgia"/>
          <w:b/>
          <w:bCs/>
          <w:color w:val="2E5A34"/>
          <w:sz w:val="26"/>
          <w:szCs w:val="26"/>
        </w:rPr>
        <w:t xml:space="preserve">The seven readiness domains</w:t>
      </w:r>
    </w:p>
    <w:p>
      <w:pPr>
        <w:pStyle w:val="Heading2"/>
        <w:spacing w:after="100" w:before="300"/>
      </w:pPr>
      <w:r>
        <w:rPr>
          <w:rFonts w:ascii="Georgia" w:cs="Georgia" w:eastAsia="Georgia" w:hAnsi="Georgia"/>
          <w:b/>
          <w:bCs/>
          <w:color w:val="B5642A"/>
          <w:sz w:val="26"/>
          <w:szCs w:val="26"/>
        </w:rPr>
        <w:t xml:space="preserve">1  </w:t>
      </w:r>
      <w:r>
        <w:rPr>
          <w:rFonts w:ascii="Georgia" w:cs="Georgia" w:eastAsia="Georgia" w:hAnsi="Georgia"/>
          <w:b/>
          <w:bCs/>
          <w:color w:val="2E5A34"/>
          <w:sz w:val="26"/>
          <w:szCs w:val="26"/>
        </w:rPr>
        <w:t xml:space="preserve">Stakeholder Communications</w:t>
      </w:r>
    </w:p>
    <w:p>
      <w:pPr>
        <w:spacing w:after="140" w:line="276"/>
        <w:jc w:val="left"/>
      </w:pPr>
      <w:r>
        <w:rPr>
          <w:rFonts w:ascii="Georgia" w:cs="Georgia" w:eastAsia="Georgia" w:hAnsi="Georgia"/>
          <w:b w:val="false"/>
          <w:bCs w:val="false"/>
          <w:i w:val="false"/>
          <w:iCs w:val="false"/>
          <w:color w:val="23281F"/>
          <w:sz w:val="21"/>
          <w:szCs w:val="21"/>
        </w:rPr>
        <w:t xml:space="preserve">A windfall is not a private event. Volunteers, partners, board, allies, and the families we serve will all hear about it, and each will quietly ask the same thing: what does this mean for me? Silence gets filled with speculation — that the work is “done,” that smaller gifts no longer matter, that priorities shifted without explanation.</w:t>
      </w:r>
    </w:p>
    <w:p>
      <w:pPr>
        <w:spacing w:after="140" w:line="276"/>
      </w:pPr>
      <w:r>
        <w:rPr>
          <w:rFonts w:ascii="Georgia" w:cs="Georgia" w:eastAsia="Georgia" w:hAnsi="Georgia"/>
          <w:b/>
          <w:bCs/>
          <w:color w:val="1E3D22"/>
          <w:sz w:val="21"/>
          <w:szCs w:val="21"/>
        </w:rPr>
        <w:t xml:space="preserve">Our posture: </w:t>
      </w:r>
      <w:r>
        <w:rPr>
          <w:rFonts w:ascii="Georgia" w:cs="Georgia" w:eastAsia="Georgia" w:hAnsi="Georgia"/>
          <w:color w:val="23281F"/>
          <w:sz w:val="21"/>
          <w:szCs w:val="21"/>
        </w:rPr>
        <w:t xml:space="preserve">We communicate deliberately and early, tailored to each audience, before rumor sets the narrative. Existing donors hear that their gift still matters and why. Partners hear how it strengthens, not replaces, the relationship. Staff and volunteers hear it before the public does. We name what will change and what emphatically will not.</w:t>
      </w:r>
    </w:p>
    <w:p>
      <w:pPr>
        <w:spacing w:after="140" w:line="276"/>
      </w:pPr>
      <w:r>
        <w:rPr>
          <w:rFonts w:ascii="Georgia" w:cs="Georgia" w:eastAsia="Georgia" w:hAnsi="Georgia"/>
          <w:b/>
          <w:bCs/>
          <w:color w:val="1E3D22"/>
          <w:sz w:val="21"/>
          <w:szCs w:val="21"/>
        </w:rPr>
        <w:t xml:space="preserve">Pre-commitment: </w:t>
      </w:r>
      <w:r>
        <w:rPr>
          <w:rFonts w:ascii="Georgia" w:cs="Georgia" w:eastAsia="Georgia" w:hAnsi="Georgia"/>
          <w:color w:val="23281F"/>
          <w:sz w:val="21"/>
          <w:szCs w:val="21"/>
        </w:rPr>
        <w:t xml:space="preserve">A one-page internal message and a tiered external message exist in draft form before any gift is announced, so we are never composing our identity under deadline.</w:t>
      </w:r>
    </w:p>
    <w:p>
      <w:pPr>
        <w:pStyle w:val="Heading2"/>
        <w:spacing w:after="100" w:before="300"/>
      </w:pPr>
      <w:r>
        <w:rPr>
          <w:rFonts w:ascii="Georgia" w:cs="Georgia" w:eastAsia="Georgia" w:hAnsi="Georgia"/>
          <w:b/>
          <w:bCs/>
          <w:color w:val="B5642A"/>
          <w:sz w:val="26"/>
          <w:szCs w:val="26"/>
        </w:rPr>
        <w:t xml:space="preserve">2  </w:t>
      </w:r>
      <w:r>
        <w:rPr>
          <w:rFonts w:ascii="Georgia" w:cs="Georgia" w:eastAsia="Georgia" w:hAnsi="Georgia"/>
          <w:b/>
          <w:bCs/>
          <w:color w:val="2E5A34"/>
          <w:sz w:val="26"/>
          <w:szCs w:val="26"/>
        </w:rPr>
        <w:t xml:space="preserve">Donor Engagement</w:t>
      </w:r>
    </w:p>
    <w:p>
      <w:pPr>
        <w:spacing w:after="140" w:line="276"/>
        <w:jc w:val="left"/>
      </w:pPr>
      <w:r>
        <w:rPr>
          <w:rFonts w:ascii="Georgia" w:cs="Georgia" w:eastAsia="Georgia" w:hAnsi="Georgia"/>
          <w:b w:val="false"/>
          <w:bCs w:val="false"/>
          <w:i w:val="false"/>
          <w:iCs w:val="false"/>
          <w:color w:val="23281F"/>
          <w:sz w:val="21"/>
          <w:szCs w:val="21"/>
        </w:rPr>
        <w:t xml:space="preserve">Trust-based, unrestricted funders behave differently from the transactional grant world we mostly navigate now — they fund the organization, not a line item. The instinct to over-report and over-justify can erode the very trust they extended. Meanwhile, a single large gift is not a sustainability plan; the smaller, restricted, and recurring pipeline still has to run.</w:t>
      </w:r>
    </w:p>
    <w:p>
      <w:pPr>
        <w:spacing w:after="140" w:line="276"/>
      </w:pPr>
      <w:r>
        <w:rPr>
          <w:rFonts w:ascii="Georgia" w:cs="Georgia" w:eastAsia="Georgia" w:hAnsi="Georgia"/>
          <w:b/>
          <w:bCs/>
          <w:color w:val="1E3D22"/>
          <w:sz w:val="21"/>
          <w:szCs w:val="21"/>
        </w:rPr>
        <w:t xml:space="preserve">Our posture: </w:t>
      </w:r>
      <w:r>
        <w:rPr>
          <w:rFonts w:ascii="Georgia" w:cs="Georgia" w:eastAsia="Georgia" w:hAnsi="Georgia"/>
          <w:color w:val="23281F"/>
          <w:sz w:val="21"/>
          <w:szCs w:val="21"/>
        </w:rPr>
        <w:t xml:space="preserve">We honor unrestricted trust by using the latitude it grants — investing where we see the most need — rather than retreating into anxious, restricted-style spending. We keep our pipeline alive: the Schumann Fund LOI, church outreach, government pathways, and grant prospects do not go dormant because one account is full. A windfall funds the runway; it does not end the flight.</w:t>
      </w:r>
    </w:p>
    <w:p>
      <w:pPr>
        <w:spacing w:after="140" w:line="276"/>
      </w:pPr>
      <w:r>
        <w:rPr>
          <w:rFonts w:ascii="Georgia" w:cs="Georgia" w:eastAsia="Georgia" w:hAnsi="Georgia"/>
          <w:b/>
          <w:bCs/>
          <w:color w:val="1E3D22"/>
          <w:sz w:val="21"/>
          <w:szCs w:val="21"/>
        </w:rPr>
        <w:t xml:space="preserve">Pre-commitment: </w:t>
      </w:r>
      <w:r>
        <w:rPr>
          <w:rFonts w:ascii="Georgia" w:cs="Georgia" w:eastAsia="Georgia" w:hAnsi="Georgia"/>
          <w:color w:val="23281F"/>
          <w:sz w:val="21"/>
          <w:szCs w:val="21"/>
        </w:rPr>
        <w:t xml:space="preserve">We steward every funder relationship at its own cadence. We never let a large gift make a faithful small donor feel obsolete.</w:t>
      </w:r>
    </w:p>
    <w:p>
      <w:pPr>
        <w:pStyle w:val="Heading2"/>
        <w:spacing w:after="100" w:before="300"/>
      </w:pPr>
      <w:r>
        <w:rPr>
          <w:rFonts w:ascii="Georgia" w:cs="Georgia" w:eastAsia="Georgia" w:hAnsi="Georgia"/>
          <w:b/>
          <w:bCs/>
          <w:color w:val="B5642A"/>
          <w:sz w:val="26"/>
          <w:szCs w:val="26"/>
        </w:rPr>
        <w:t xml:space="preserve">3  </w:t>
      </w:r>
      <w:r>
        <w:rPr>
          <w:rFonts w:ascii="Georgia" w:cs="Georgia" w:eastAsia="Georgia" w:hAnsi="Georgia"/>
          <w:b/>
          <w:bCs/>
          <w:color w:val="2E5A34"/>
          <w:sz w:val="26"/>
          <w:szCs w:val="26"/>
        </w:rPr>
        <w:t xml:space="preserve">Financial Management &amp; Sustainability</w:t>
      </w:r>
    </w:p>
    <w:p>
      <w:pPr>
        <w:spacing w:after="140" w:line="276"/>
        <w:jc w:val="left"/>
      </w:pPr>
      <w:r>
        <w:rPr>
          <w:rFonts w:ascii="Georgia" w:cs="Georgia" w:eastAsia="Georgia" w:hAnsi="Georgia"/>
          <w:b w:val="false"/>
          <w:bCs w:val="false"/>
          <w:i w:val="false"/>
          <w:iCs w:val="false"/>
          <w:color w:val="23281F"/>
          <w:sz w:val="21"/>
          <w:szCs w:val="21"/>
        </w:rPr>
        <w:t xml:space="preserve">This is where windfalls are won or lost. The two failure modes are opposite and equally fatal: paralysis (hoarding the gift, changing nothing, wasting the opportunity) and combustion (scaling fixed costs to match a one-time infusion, then falling off a cliff when it is spent).</w:t>
      </w:r>
    </w:p>
    <w:p>
      <w:pPr>
        <w:spacing w:after="140" w:line="276"/>
      </w:pPr>
      <w:r>
        <w:rPr>
          <w:rFonts w:ascii="Georgia" w:cs="Georgia" w:eastAsia="Georgia" w:hAnsi="Georgia"/>
          <w:b/>
          <w:bCs/>
          <w:color w:val="1E3D22"/>
          <w:sz w:val="21"/>
          <w:szCs w:val="21"/>
        </w:rPr>
        <w:t xml:space="preserve">Our posture: </w:t>
      </w:r>
      <w:r>
        <w:rPr>
          <w:rFonts w:ascii="Georgia" w:cs="Georgia" w:eastAsia="Georgia" w:hAnsi="Georgia"/>
          <w:color w:val="23281F"/>
          <w:sz w:val="21"/>
          <w:szCs w:val="21"/>
        </w:rPr>
        <w:t xml:space="preserve">We treat a large unrestricted gift as runway, not revenue. We separate one-time investments — capability we own permanently, such as a kitchen build-out, a technology buildout, or an endowment-like reserve — from recurring obligations like salaries and rent that outlive the gift. New recurring cost is taken on only against a credible plan to sustain it. Our unit economics stay honest: the ~$3.56/meal model is the anchor, and scale that quietly triples the unit cost is not scale — it is drift.</w:t>
      </w:r>
    </w:p>
    <w:p>
      <w:pPr>
        <w:spacing w:after="140" w:line="276"/>
      </w:pPr>
      <w:r>
        <w:rPr>
          <w:rFonts w:ascii="Georgia" w:cs="Georgia" w:eastAsia="Georgia" w:hAnsi="Georgia"/>
          <w:b/>
          <w:bCs/>
          <w:color w:val="1E3D22"/>
          <w:sz w:val="21"/>
          <w:szCs w:val="21"/>
        </w:rPr>
        <w:t xml:space="preserve">Pre-commitment: </w:t>
      </w:r>
      <w:r>
        <w:rPr>
          <w:rFonts w:ascii="Georgia" w:cs="Georgia" w:eastAsia="Georgia" w:hAnsi="Georgia"/>
          <w:color w:val="23281F"/>
          <w:sz w:val="21"/>
          <w:szCs w:val="21"/>
        </w:rPr>
        <w:t xml:space="preserve">Before deploying a windfall, we write down (a) the multi-year cash picture, (b) which costs are one-time versus recurring, and (c) the reserve floor we will not spend below. No major disbursement happens without that document.</w:t>
      </w:r>
    </w:p>
    <w:p>
      <w:pPr>
        <w:pStyle w:val="Heading2"/>
        <w:spacing w:after="100" w:before="300"/>
      </w:pPr>
      <w:r>
        <w:rPr>
          <w:rFonts w:ascii="Georgia" w:cs="Georgia" w:eastAsia="Georgia" w:hAnsi="Georgia"/>
          <w:b/>
          <w:bCs/>
          <w:color w:val="B5642A"/>
          <w:sz w:val="26"/>
          <w:szCs w:val="26"/>
        </w:rPr>
        <w:t xml:space="preserve">4  </w:t>
      </w:r>
      <w:r>
        <w:rPr>
          <w:rFonts w:ascii="Georgia" w:cs="Georgia" w:eastAsia="Georgia" w:hAnsi="Georgia"/>
          <w:b/>
          <w:bCs/>
          <w:color w:val="2E5A34"/>
          <w:sz w:val="26"/>
          <w:szCs w:val="26"/>
        </w:rPr>
        <w:t xml:space="preserve">Operational Infrastructure</w:t>
      </w:r>
    </w:p>
    <w:p>
      <w:pPr>
        <w:spacing w:after="140" w:line="276"/>
        <w:jc w:val="left"/>
      </w:pPr>
      <w:r>
        <w:rPr>
          <w:rFonts w:ascii="Georgia" w:cs="Georgia" w:eastAsia="Georgia" w:hAnsi="Georgia"/>
          <w:b w:val="false"/>
          <w:bCs w:val="false"/>
          <w:i w:val="false"/>
          <w:iCs w:val="false"/>
          <w:color w:val="23281F"/>
          <w:sz w:val="21"/>
          <w:szCs w:val="21"/>
        </w:rPr>
        <w:t xml:space="preserve">Growth breaks the systems that worked at small scale first. The tools, controls, and workflows that carried a scrappy pilot buckle under real volume — often invisibly, until something fails at the worst moment.</w:t>
      </w:r>
    </w:p>
    <w:p>
      <w:pPr>
        <w:spacing w:after="140" w:line="276"/>
      </w:pPr>
      <w:r>
        <w:rPr>
          <w:rFonts w:ascii="Georgia" w:cs="Georgia" w:eastAsia="Georgia" w:hAnsi="Georgia"/>
          <w:b/>
          <w:bCs/>
          <w:color w:val="1E3D22"/>
          <w:sz w:val="21"/>
          <w:szCs w:val="21"/>
        </w:rPr>
        <w:t xml:space="preserve">Our posture: </w:t>
      </w:r>
      <w:r>
        <w:rPr>
          <w:rFonts w:ascii="Georgia" w:cs="Georgia" w:eastAsia="Georgia" w:hAnsi="Georgia"/>
          <w:color w:val="23281F"/>
          <w:sz w:val="21"/>
          <w:szCs w:val="21"/>
        </w:rPr>
        <w:t xml:space="preserve">We already build our own infrastructure — the CRM suite, donor pipeline, grant database, HACCP and food-safety SOPs, SpoonAssist. A windfall is permission to harden what we have built and fill genuine gaps, not to bolt on expensive systems we do not control. We invest in the durable, unglamorous things first: financial controls, compliance (the NJ charity registration and 501(c)(3) work gating us now), data integrity, and documented process.</w:t>
      </w:r>
    </w:p>
    <w:p>
      <w:pPr>
        <w:spacing w:after="140" w:line="276"/>
      </w:pPr>
      <w:r>
        <w:rPr>
          <w:rFonts w:ascii="Georgia" w:cs="Georgia" w:eastAsia="Georgia" w:hAnsi="Georgia"/>
          <w:b/>
          <w:bCs/>
          <w:color w:val="1E3D22"/>
          <w:sz w:val="21"/>
          <w:szCs w:val="21"/>
        </w:rPr>
        <w:t xml:space="preserve">Pre-commitment: </w:t>
      </w:r>
      <w:r>
        <w:rPr>
          <w:rFonts w:ascii="Georgia" w:cs="Georgia" w:eastAsia="Georgia" w:hAnsi="Georgia"/>
          <w:color w:val="23281F"/>
          <w:sz w:val="21"/>
          <w:szCs w:val="21"/>
        </w:rPr>
        <w:t xml:space="preserve">Compliance and controls are funded first out of any windfall — because infrastructure that cannot survive an audit cannot survive scale.</w:t>
      </w:r>
    </w:p>
    <w:p>
      <w:pPr>
        <w:pStyle w:val="Heading2"/>
        <w:spacing w:after="100" w:before="300"/>
      </w:pPr>
      <w:r>
        <w:rPr>
          <w:rFonts w:ascii="Georgia" w:cs="Georgia" w:eastAsia="Georgia" w:hAnsi="Georgia"/>
          <w:b/>
          <w:bCs/>
          <w:color w:val="B5642A"/>
          <w:sz w:val="26"/>
          <w:szCs w:val="26"/>
        </w:rPr>
        <w:t xml:space="preserve">5  </w:t>
      </w:r>
      <w:r>
        <w:rPr>
          <w:rFonts w:ascii="Georgia" w:cs="Georgia" w:eastAsia="Georgia" w:hAnsi="Georgia"/>
          <w:b/>
          <w:bCs/>
          <w:color w:val="2E5A34"/>
          <w:sz w:val="26"/>
          <w:szCs w:val="26"/>
        </w:rPr>
        <w:t xml:space="preserve">People &amp; Culture</w:t>
      </w:r>
    </w:p>
    <w:p>
      <w:pPr>
        <w:spacing w:after="140" w:line="276"/>
        <w:jc w:val="left"/>
      </w:pPr>
      <w:r>
        <w:rPr>
          <w:rFonts w:ascii="Georgia" w:cs="Georgia" w:eastAsia="Georgia" w:hAnsi="Georgia"/>
          <w:b w:val="false"/>
          <w:bCs w:val="false"/>
          <w:i w:val="false"/>
          <w:iCs w:val="false"/>
          <w:color w:val="23281F"/>
          <w:sz w:val="21"/>
          <w:szCs w:val="21"/>
        </w:rPr>
        <w:t xml:space="preserve">The people who built the organization on conviction and undercompensation are its heart. A windfall can honor them or fracture the culture — through inequitable pay decisions, sudden hierarchy, or hiring so fast that the mission gets diluted by people who never shared it.</w:t>
      </w:r>
    </w:p>
    <w:p>
      <w:pPr>
        <w:spacing w:after="140" w:line="276"/>
      </w:pPr>
      <w:r>
        <w:rPr>
          <w:rFonts w:ascii="Georgia" w:cs="Georgia" w:eastAsia="Georgia" w:hAnsi="Georgia"/>
          <w:b/>
          <w:bCs/>
          <w:color w:val="1E3D22"/>
          <w:sz w:val="21"/>
          <w:szCs w:val="21"/>
        </w:rPr>
        <w:t xml:space="preserve">Our posture: </w:t>
      </w:r>
      <w:r>
        <w:rPr>
          <w:rFonts w:ascii="Georgia" w:cs="Georgia" w:eastAsia="Georgia" w:hAnsi="Georgia"/>
          <w:color w:val="23281F"/>
          <w:sz w:val="21"/>
          <w:szCs w:val="21"/>
        </w:rPr>
        <w:t xml:space="preserve">We invest in the humans doing the work — fair compensation, wellbeing, and the conditions that let good people stay. We grow the team at the speed culture can absorb, not the speed the balance allows. New hires are chosen for mission alignment as much as skill; a bigger team that believes less is a downgrade. We protect founder and staff from the particular burnout that follows a windfall — when everyone assumes the hard part is over precisely when it accelerates.</w:t>
      </w:r>
    </w:p>
    <w:p>
      <w:pPr>
        <w:spacing w:after="140" w:line="276"/>
      </w:pPr>
      <w:r>
        <w:rPr>
          <w:rFonts w:ascii="Georgia" w:cs="Georgia" w:eastAsia="Georgia" w:hAnsi="Georgia"/>
          <w:b/>
          <w:bCs/>
          <w:color w:val="1E3D22"/>
          <w:sz w:val="21"/>
          <w:szCs w:val="21"/>
        </w:rPr>
        <w:t xml:space="preserve">Pre-commitment: </w:t>
      </w:r>
      <w:r>
        <w:rPr>
          <w:rFonts w:ascii="Georgia" w:cs="Georgia" w:eastAsia="Georgia" w:hAnsi="Georgia"/>
          <w:color w:val="23281F"/>
          <w:sz w:val="21"/>
          <w:szCs w:val="21"/>
        </w:rPr>
        <w:t xml:space="preserve">Any compensation or hiring surge follows a written, equitable framework decided in a clear moment — never improvised in the excitement of the gift.</w:t>
      </w:r>
    </w:p>
    <w:p>
      <w:pPr>
        <w:pStyle w:val="Heading2"/>
        <w:spacing w:after="100" w:before="300"/>
      </w:pPr>
      <w:r>
        <w:rPr>
          <w:rFonts w:ascii="Georgia" w:cs="Georgia" w:eastAsia="Georgia" w:hAnsi="Georgia"/>
          <w:b/>
          <w:bCs/>
          <w:color w:val="B5642A"/>
          <w:sz w:val="26"/>
          <w:szCs w:val="26"/>
        </w:rPr>
        <w:t xml:space="preserve">6  </w:t>
      </w:r>
      <w:r>
        <w:rPr>
          <w:rFonts w:ascii="Georgia" w:cs="Georgia" w:eastAsia="Georgia" w:hAnsi="Georgia"/>
          <w:b/>
          <w:bCs/>
          <w:color w:val="2E5A34"/>
          <w:sz w:val="26"/>
          <w:szCs w:val="26"/>
        </w:rPr>
        <w:t xml:space="preserve">Change Management</w:t>
      </w:r>
    </w:p>
    <w:p>
      <w:pPr>
        <w:spacing w:after="140" w:line="276"/>
        <w:jc w:val="left"/>
      </w:pPr>
      <w:r>
        <w:rPr>
          <w:rFonts w:ascii="Georgia" w:cs="Georgia" w:eastAsia="Georgia" w:hAnsi="Georgia"/>
          <w:b w:val="false"/>
          <w:bCs w:val="false"/>
          <w:i w:val="false"/>
          <w:iCs w:val="false"/>
          <w:color w:val="23281F"/>
          <w:sz w:val="21"/>
          <w:szCs w:val="21"/>
        </w:rPr>
        <w:t xml:space="preserve">A windfall is organizational change whether we manage it or not. Handled well, it is a step-change in impact. Handled poorly, it is whiplash — new initiatives half-started, old commitments dropped, everyone unsure what the organization even is anymore.</w:t>
      </w:r>
    </w:p>
    <w:p>
      <w:pPr>
        <w:spacing w:after="140" w:line="276"/>
      </w:pPr>
      <w:r>
        <w:rPr>
          <w:rFonts w:ascii="Georgia" w:cs="Georgia" w:eastAsia="Georgia" w:hAnsi="Georgia"/>
          <w:b/>
          <w:bCs/>
          <w:color w:val="1E3D22"/>
          <w:sz w:val="21"/>
          <w:szCs w:val="21"/>
        </w:rPr>
        <w:t xml:space="preserve">Our posture: </w:t>
      </w:r>
      <w:r>
        <w:rPr>
          <w:rFonts w:ascii="Georgia" w:cs="Georgia" w:eastAsia="Georgia" w:hAnsi="Georgia"/>
          <w:color w:val="23281F"/>
          <w:sz w:val="21"/>
          <w:szCs w:val="21"/>
        </w:rPr>
        <w:t xml:space="preserve">We change on purpose and at a survivable pace. We name what is changing, why, and in what sequence. We finish what we start before starting the next thing. We keep the founder's clarity from becoming the organization's bottleneck by documenting decisions and distributing ownership as we grow. The gift is an opportunity to reimagine — carefully — not a mandate to overturn everything that got us here.</w:t>
      </w:r>
    </w:p>
    <w:p>
      <w:pPr>
        <w:spacing w:after="140" w:line="276"/>
      </w:pPr>
      <w:r>
        <w:rPr>
          <w:rFonts w:ascii="Georgia" w:cs="Georgia" w:eastAsia="Georgia" w:hAnsi="Georgia"/>
          <w:b/>
          <w:bCs/>
          <w:color w:val="1E3D22"/>
          <w:sz w:val="21"/>
          <w:szCs w:val="21"/>
        </w:rPr>
        <w:t xml:space="preserve">Pre-commitment: </w:t>
      </w:r>
      <w:r>
        <w:rPr>
          <w:rFonts w:ascii="Georgia" w:cs="Georgia" w:eastAsia="Georgia" w:hAnsi="Georgia"/>
          <w:color w:val="23281F"/>
          <w:sz w:val="21"/>
          <w:szCs w:val="21"/>
        </w:rPr>
        <w:t xml:space="preserve">No more than a small, defined number of major new initiatives launch in the first year of a windfall. Focus is the discipline that turns money into impact.</w:t>
      </w:r>
    </w:p>
    <w:p>
      <w:pPr>
        <w:pStyle w:val="Heading2"/>
        <w:spacing w:after="100" w:before="300"/>
      </w:pPr>
      <w:r>
        <w:rPr>
          <w:rFonts w:ascii="Georgia" w:cs="Georgia" w:eastAsia="Georgia" w:hAnsi="Georgia"/>
          <w:b/>
          <w:bCs/>
          <w:color w:val="B5642A"/>
          <w:sz w:val="26"/>
          <w:szCs w:val="26"/>
        </w:rPr>
        <w:t xml:space="preserve">7  </w:t>
      </w:r>
      <w:r>
        <w:rPr>
          <w:rFonts w:ascii="Georgia" w:cs="Georgia" w:eastAsia="Georgia" w:hAnsi="Georgia"/>
          <w:b/>
          <w:bCs/>
          <w:color w:val="2E5A34"/>
          <w:sz w:val="26"/>
          <w:szCs w:val="26"/>
        </w:rPr>
        <w:t xml:space="preserve">Planning for Scale</w:t>
      </w:r>
    </w:p>
    <w:p>
      <w:pPr>
        <w:spacing w:after="140" w:line="276"/>
        <w:jc w:val="left"/>
      </w:pPr>
      <w:r>
        <w:rPr>
          <w:rFonts w:ascii="Georgia" w:cs="Georgia" w:eastAsia="Georgia" w:hAnsi="Georgia"/>
          <w:b w:val="false"/>
          <w:bCs w:val="false"/>
          <w:i w:val="false"/>
          <w:iCs w:val="false"/>
          <w:color w:val="23281F"/>
          <w:sz w:val="21"/>
          <w:szCs w:val="21"/>
        </w:rPr>
        <w:t xml:space="preserve">Scale is not only “more of the same, bigger.” It can mean deepening who we serve and how we include them; regranting resources outward to the community; keeping humanity at the center as systems grow; or simply buying enough runway to work on long-term impact without the constant pressure to raise the next dollar. Scale that loses the heart of the work — that turns us into just another institution — is a failure even if the numbers grow.</w:t>
      </w:r>
    </w:p>
    <w:p>
      <w:pPr>
        <w:spacing w:after="140" w:line="276"/>
      </w:pPr>
      <w:r>
        <w:rPr>
          <w:rFonts w:ascii="Georgia" w:cs="Georgia" w:eastAsia="Georgia" w:hAnsi="Georgia"/>
          <w:b/>
          <w:bCs/>
          <w:color w:val="1E3D22"/>
          <w:sz w:val="21"/>
          <w:szCs w:val="21"/>
        </w:rPr>
        <w:t xml:space="preserve">Our posture: </w:t>
      </w:r>
      <w:r>
        <w:rPr>
          <w:rFonts w:ascii="Georgia" w:cs="Georgia" w:eastAsia="Georgia" w:hAnsi="Georgia"/>
          <w:color w:val="23281F"/>
          <w:sz w:val="21"/>
          <w:szCs w:val="21"/>
        </w:rPr>
        <w:t xml:space="preserve">We scale toward the mission, not toward institutional self-preservation. That may look like more meals through more kitchens (Garden State Kitchen and beyond), a SpoonAssist that reaches more families, or resources pushed outward to community partners closest to the problem. We hold open the possibility that the best use of scale is to reduce our own fundraising pressure so we can think in years, not grant cycles.</w:t>
      </w:r>
    </w:p>
    <w:p>
      <w:pPr>
        <w:spacing w:after="140" w:line="276"/>
      </w:pPr>
      <w:r>
        <w:rPr>
          <w:rFonts w:ascii="Georgia" w:cs="Georgia" w:eastAsia="Georgia" w:hAnsi="Georgia"/>
          <w:b/>
          <w:bCs/>
          <w:color w:val="1E3D22"/>
          <w:sz w:val="21"/>
          <w:szCs w:val="21"/>
        </w:rPr>
        <w:t xml:space="preserve">Pre-commitment: </w:t>
      </w:r>
      <w:r>
        <w:rPr>
          <w:rFonts w:ascii="Georgia" w:cs="Georgia" w:eastAsia="Georgia" w:hAnsi="Georgia"/>
          <w:color w:val="23281F"/>
          <w:sz w:val="21"/>
          <w:szCs w:val="21"/>
        </w:rPr>
        <w:t xml:space="preserve">Every scale decision passes one test — does this expand impact for hungry kids and families, or expand the organization for its own sake? Only the first is scale.</w:t>
      </w:r>
    </w:p>
    <w:p>
      <w:pPr>
        <w:pStyle w:val="Heading2"/>
        <w:spacing w:after="100" w:before="280"/>
      </w:pPr>
      <w:r>
        <w:rPr>
          <w:rFonts w:ascii="Georgia" w:cs="Georgia" w:eastAsia="Georgia" w:hAnsi="Georgia"/>
          <w:b/>
          <w:bCs/>
          <w:color w:val="2E5A34"/>
          <w:sz w:val="26"/>
          <w:szCs w:val="26"/>
        </w:rPr>
        <w:t xml:space="preserve">If the call comes</w:t>
      </w:r>
    </w:p>
    <w:p>
      <w:pPr>
        <w:spacing w:after="140" w:line="276"/>
        <w:jc w:val="left"/>
      </w:pPr>
      <w:r>
        <w:rPr>
          <w:rFonts w:ascii="Georgia" w:cs="Georgia" w:eastAsia="Georgia" w:hAnsi="Georgia"/>
          <w:b w:val="false"/>
          <w:bCs w:val="false"/>
          <w:i w:val="false"/>
          <w:iCs w:val="false"/>
          <w:color w:val="23281F"/>
          <w:sz w:val="21"/>
          <w:szCs w:val="21"/>
        </w:rPr>
        <w:t xml:space="preserve">We do not celebrate, then panic. We do this, in order:</w:t>
      </w:r>
    </w:p>
    <w:p>
      <w:pPr>
        <w:pStyle w:val="ListParagraph"/>
        <w:numPr>
          <w:ilvl w:val="0"/>
          <w:numId w:val="1"/>
        </w:numPr>
        <w:spacing w:after="90" w:line="264"/>
      </w:pPr>
      <w:r>
        <w:rPr>
          <w:rFonts w:ascii="Georgia" w:cs="Georgia" w:eastAsia="Georgia" w:hAnsi="Georgia"/>
          <w:b/>
          <w:bCs/>
          <w:color w:val="1E3D22"/>
          <w:sz w:val="21"/>
          <w:szCs w:val="21"/>
        </w:rPr>
        <w:t xml:space="preserve">First, </w:t>
      </w:r>
      <w:r>
        <w:rPr>
          <w:rFonts w:ascii="Georgia" w:cs="Georgia" w:eastAsia="Georgia" w:hAnsi="Georgia"/>
          <w:color w:val="23281F"/>
          <w:sz w:val="21"/>
          <w:szCs w:val="21"/>
        </w:rPr>
        <w:t xml:space="preserve">we pause — a real week, not a reaction — before committing a single dollar.</w:t>
      </w:r>
    </w:p>
    <w:p>
      <w:pPr>
        <w:pStyle w:val="ListParagraph"/>
        <w:numPr>
          <w:ilvl w:val="0"/>
          <w:numId w:val="1"/>
        </w:numPr>
        <w:spacing w:after="90" w:line="264"/>
      </w:pPr>
      <w:r>
        <w:rPr>
          <w:rFonts w:ascii="Georgia" w:cs="Georgia" w:eastAsia="Georgia" w:hAnsi="Georgia"/>
          <w:b/>
          <w:bCs/>
          <w:color w:val="1E3D22"/>
          <w:sz w:val="21"/>
          <w:szCs w:val="21"/>
        </w:rPr>
        <w:t xml:space="preserve">Second, </w:t>
      </w:r>
      <w:r>
        <w:rPr>
          <w:rFonts w:ascii="Georgia" w:cs="Georgia" w:eastAsia="Georgia" w:hAnsi="Georgia"/>
          <w:color w:val="23281F"/>
          <w:sz w:val="21"/>
          <w:szCs w:val="21"/>
        </w:rPr>
        <w:t xml:space="preserve">we write the multi-year cash picture and set the reserve floor.</w:t>
      </w:r>
    </w:p>
    <w:p>
      <w:pPr>
        <w:pStyle w:val="ListParagraph"/>
        <w:numPr>
          <w:ilvl w:val="0"/>
          <w:numId w:val="1"/>
        </w:numPr>
        <w:spacing w:after="90" w:line="264"/>
      </w:pPr>
      <w:r>
        <w:rPr>
          <w:rFonts w:ascii="Georgia" w:cs="Georgia" w:eastAsia="Georgia" w:hAnsi="Georgia"/>
          <w:b/>
          <w:bCs/>
          <w:color w:val="1E3D22"/>
          <w:sz w:val="21"/>
          <w:szCs w:val="21"/>
        </w:rPr>
        <w:t xml:space="preserve">Third, </w:t>
      </w:r>
      <w:r>
        <w:rPr>
          <w:rFonts w:ascii="Georgia" w:cs="Georgia" w:eastAsia="Georgia" w:hAnsi="Georgia"/>
          <w:color w:val="23281F"/>
          <w:sz w:val="21"/>
          <w:szCs w:val="21"/>
        </w:rPr>
        <w:t xml:space="preserve">we fund compliance, controls, and the humans doing the work before anything glamorous.</w:t>
      </w:r>
    </w:p>
    <w:p>
      <w:pPr>
        <w:pStyle w:val="ListParagraph"/>
        <w:numPr>
          <w:ilvl w:val="0"/>
          <w:numId w:val="1"/>
        </w:numPr>
        <w:spacing w:after="90" w:line="264"/>
      </w:pPr>
      <w:r>
        <w:rPr>
          <w:rFonts w:ascii="Georgia" w:cs="Georgia" w:eastAsia="Georgia" w:hAnsi="Georgia"/>
          <w:b/>
          <w:bCs/>
          <w:color w:val="1E3D22"/>
          <w:sz w:val="21"/>
          <w:szCs w:val="21"/>
        </w:rPr>
        <w:t xml:space="preserve">Fourth, </w:t>
      </w:r>
      <w:r>
        <w:rPr>
          <w:rFonts w:ascii="Georgia" w:cs="Georgia" w:eastAsia="Georgia" w:hAnsi="Georgia"/>
          <w:color w:val="23281F"/>
          <w:sz w:val="21"/>
          <w:szCs w:val="21"/>
        </w:rPr>
        <w:t xml:space="preserve">we communicate — to staff and existing donors before the public.</w:t>
      </w:r>
    </w:p>
    <w:p>
      <w:pPr>
        <w:pStyle w:val="ListParagraph"/>
        <w:numPr>
          <w:ilvl w:val="0"/>
          <w:numId w:val="1"/>
        </w:numPr>
        <w:spacing w:after="90" w:line="264"/>
      </w:pPr>
      <w:r>
        <w:rPr>
          <w:rFonts w:ascii="Georgia" w:cs="Georgia" w:eastAsia="Georgia" w:hAnsi="Georgia"/>
          <w:b/>
          <w:bCs/>
          <w:color w:val="1E3D22"/>
          <w:sz w:val="21"/>
          <w:szCs w:val="21"/>
        </w:rPr>
        <w:t xml:space="preserve">Fifth, </w:t>
      </w:r>
      <w:r>
        <w:rPr>
          <w:rFonts w:ascii="Georgia" w:cs="Georgia" w:eastAsia="Georgia" w:hAnsi="Georgia"/>
          <w:color w:val="23281F"/>
          <w:sz w:val="21"/>
          <w:szCs w:val="21"/>
        </w:rPr>
        <w:t xml:space="preserve">we choose a small number of things to do exceptionally well, protecting the mission, the discipline, and the traceability that got us here.</w:t>
      </w:r>
    </w:p>
    <w:p>
      <w:pPr>
        <w:spacing w:after="140" w:line="276"/>
        <w:jc w:val="left"/>
      </w:pPr>
      <w:r>
        <w:rPr>
          <w:rFonts w:ascii="Georgia" w:cs="Georgia" w:eastAsia="Georgia" w:hAnsi="Georgia"/>
          <w:b w:val="false"/>
          <w:bCs w:val="false"/>
          <w:i/>
          <w:iCs/>
          <w:color w:val="2E5A34"/>
          <w:sz w:val="21"/>
          <w:szCs w:val="21"/>
        </w:rPr>
        <w:t xml:space="preserve">A game-changing grant changes what we can do. It never changes why we do it, or how carefully.</w:t>
      </w:r>
    </w:p>
    <w:p>
      <w:pPr>
        <w:pBdr>
          <w:bottom w:val="single" w:color="D8D8CE" w:sz="4" w:space="1"/>
        </w:pBdr>
        <w:spacing w:after="200" w:before="40"/>
      </w:pPr>
      <w:r>
        <w:rPr>
          <w:sz w:val="2"/>
          <w:szCs w:val="2"/>
        </w:rPr>
        <w:t xml:space="preserve"/>
      </w:r>
    </w:p>
    <w:p>
      <w:pPr>
        <w:spacing w:before="80"/>
      </w:pPr>
      <w:r>
        <w:rPr>
          <w:rFonts w:ascii="Georgia" w:cs="Georgia" w:eastAsia="Georgia" w:hAnsi="Georgia"/>
          <w:i/>
          <w:iCs/>
          <w:color w:val="6A6F66"/>
          <w:sz w:val="16"/>
          <w:szCs w:val="16"/>
        </w:rPr>
        <w:t xml:space="preserve">Framework adapted from Panorama Global, “Navigating Game-Changing Grants: A Playbook for Nonprofit Leaders” (ngcg.panoramaglobal.org). Written in Seed &amp; Spoon's voice and context; principles are our own restatement, not the original text.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8CE" w:sz="4" w:space="6"/>
      </w:pBdr>
    </w:pPr>
    <w:r>
      <w:rPr>
        <w:rFonts w:ascii="Georgia" w:cs="Georgia" w:eastAsia="Georgia" w:hAnsi="Georgia"/>
        <w:color w:val="6A6F66"/>
        <w:sz w:val="15"/>
        <w:szCs w:val="15"/>
      </w:rPr>
      <w:t xml:space="preserve">Seed &amp; Spoon — Windfall Ethos  ·     </w:t>
    </w:r>
    <w:r>
      <w:rPr>
        <w:rFonts w:ascii="Georgia" w:cs="Georgia" w:eastAsia="Georgia" w:hAnsi="Georgia"/>
        <w:color w:val="6A6F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328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2026-07-25T21:38:13.465Z</dcterms:created>
  <dcterms:modified xsi:type="dcterms:W3CDTF">2026-07-25T21:38:13.492Z</dcterms:modified>
</cp:coreProperties>
</file>

<file path=docProps/custom.xml><?xml version="1.0" encoding="utf-8"?>
<Properties xmlns="http://schemas.openxmlformats.org/officeDocument/2006/custom-properties" xmlns:vt="http://schemas.openxmlformats.org/officeDocument/2006/docPropsVTypes"/>
</file>