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IAN Beta User Flow and Implementation Framework</w:t>
      </w:r>
    </w:p>
    <w:p>
      <w:pPr>
        <w:pStyle w:val="Subtitle"/>
      </w:pPr>
      <w:r>
        <w:t>JSL Premier Intelligence and Access Network</w:t>
      </w:r>
    </w:p>
    <w:p>
      <w:r>
        <w:t>Version 1.0  |  October 1, 2026  |  Internal planning and implementation</w:t>
      </w:r>
    </w:p>
    <w:p>
      <w:r>
        <w:t>Prepared for Jona S. Lemmonds and the CTO and Developer Team</w:t>
      </w:r>
    </w:p>
    <w:p>
      <w:pPr>
        <w:pStyle w:val="Heading2"/>
      </w:pPr>
      <w:r>
        <w:t>Purpose and recommended direction</w:t>
      </w:r>
    </w:p>
    <w:p>
      <w:r>
        <w:t>Launch IAN as the public-facing beta entry point for the CapIV Core and Access pillars, operated by JSL Premier. Turn publications, referrals, conversations, and networking into structured prospect profiles, evidence-backed relationship qualification, and a managed pipeline for future participation.</w:t>
      </w:r>
    </w:p>
    <w:p>
      <w:r>
        <w:t>Start with a profile-and-relationship beta. Introduce formal opportunity submission later through a controlled, invitation-only release. Creating a profile, qualifying a relationship, and authorizing an activity are separate decisions.</w:t>
      </w:r>
    </w:p>
    <w:p>
      <w:pPr>
        <w:pStyle w:val="Heading2"/>
      </w:pPr>
      <w:r>
        <w:t>How to use this framework</w:t>
      </w:r>
    </w:p>
    <w:p>
      <w:r>
        <w:t>Sections 1 through 8 define the product and operating model. Sections 9 through 11 organize implementation, testing, ownership, and launch decisions. Section 12 provides terminology and reference guidance. Each TO DO item includes an owner and completion condition; all items remain open until supported by implementation evidence.</w:t>
      </w:r>
    </w:p>
    <w:tbl>
      <w:tblPr>
        <w:tblW w:type="auto" w:w="0"/>
        <w:jc w:val="center"/>
        <w:tblLayout w:type="fixed"/>
        <w:tblLook w:firstColumn="1" w:firstRow="1" w:lastColumn="0" w:lastRow="0" w:noHBand="0" w:noVBand="1" w:val="04A0"/>
      </w:tblPr>
      <w:tblGrid>
        <w:gridCol w:w="936"/>
        <w:gridCol w:w="8280"/>
        <w:gridCol w:w="1008"/>
      </w:tblGrid>
      <w:tr>
        <w:trPr>
          <w:cantSplit/>
          <w:tblHeader/>
        </w:trPr>
        <w:tc>
          <w:tcPr>
            <w:tcW w:type="dxa" w:w="936"/>
            <w:vAlign w:val="center"/>
            <w:shd w:fill="33333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color w:val="FFFFFF"/>
                <w:sz w:val="20"/>
              </w:rPr>
              <w:t>Section</w:t>
            </w:r>
          </w:p>
        </w:tc>
        <w:tc>
          <w:tcPr>
            <w:tcW w:type="dxa" w:w="8280"/>
            <w:vAlign w:val="center"/>
            <w:shd w:fill="33333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color w:val="FFFFFF"/>
                <w:sz w:val="20"/>
              </w:rPr>
              <w:t>Subject</w:t>
            </w:r>
          </w:p>
        </w:tc>
        <w:tc>
          <w:tcPr>
            <w:tcW w:type="dxa" w:w="1008"/>
            <w:vAlign w:val="center"/>
            <w:shd w:fill="33333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color w:val="FFFFFF"/>
                <w:sz w:val="20"/>
              </w:rPr>
              <w:t>Page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Beta scope and pillar responsibilities</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2</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2</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Prospective participant user flow</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3</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3</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Profile information and record structure</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4</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4</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IQ evidence and internal review workflow</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5</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Statuses and decision authority</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6</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6</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Access controls and IP boundaries</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7</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7</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Future opportunity onboarding</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8</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8</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Relationship operations and measurement</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9</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Ordered implementation plan</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10</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10</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Acceptance testing and launch gate</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11</w:t>
            </w:r>
          </w:p>
        </w:tc>
        <w:tc>
          <w:tcPr>
            <w:tcW w:type="dxa" w:w="8280"/>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Owner checklist and first operating cycle</w:t>
            </w:r>
          </w:p>
        </w:tc>
        <w:tc>
          <w:tcPr>
            <w:tcW w:type="dxa" w:w="1008"/>
            <w:vAlign w:val="center"/>
            <w:shd w:fill="FFFFFF"/>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12</w:t>
            </w:r>
          </w:p>
        </w:tc>
      </w:tr>
      <w:tr>
        <w:trPr>
          <w:cantSplit/>
        </w:trPr>
        <w:tc>
          <w:tcPr>
            <w:tcW w:type="dxa" w:w="936"/>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12</w:t>
            </w:r>
          </w:p>
        </w:tc>
        <w:tc>
          <w:tcPr>
            <w:tcW w:type="dxa" w:w="8280"/>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Terminology and sources</w:t>
            </w:r>
          </w:p>
        </w:tc>
        <w:tc>
          <w:tcPr>
            <w:tcW w:type="dxa" w:w="1008"/>
            <w:vAlign w:val="center"/>
            <w:shd w:fill="F3F3F3"/>
            <w:tcBorders>
              <w:top w:val="single" w:sz="4" w:color="D9D9D9"/>
              <w:left w:val="single" w:sz="4" w:color="D9D9D9"/>
              <w:bottom w:val="single" w:sz="4" w:color="D9D9D9"/>
              <w:right w:val="single" w:sz="4" w:color="D9D9D9"/>
            </w:tcBorders>
            <w:tcMar>
              <w:top w:w="30" w:type="dxa"/>
              <w:left w:w="85" w:type="dxa"/>
              <w:bottom w:w="30" w:type="dxa"/>
              <w:right w:w="85" w:type="dxa"/>
            </w:tcMar>
          </w:tcPr>
          <w:p>
            <w:pPr>
              <w:spacing w:after="0" w:before="0" w:line="240" w:lineRule="auto"/>
            </w:pPr>
            <w:r>
              <w:rPr>
                <w:b w:val="0"/>
                <w:color w:val="000000"/>
                <w:sz w:val="20"/>
              </w:rPr>
              <w:t>13</w:t>
            </w:r>
          </w:p>
        </w:tc>
      </w:tr>
    </w:tbl>
    <w:p/>
    <w:p>
      <w:r>
        <w:t>Status and limits: This document organizes the framework proposed in the preceding discussion and adds practical implementation detail. It is not a code audit, legal clearance, or validation against unretrieved proprietary specifications. It does not reproduce protected scoring weights, thresholds, or proprietary rule libraries.</w:t>
      </w:r>
    </w:p>
    <w:p>
      <w:r>
        <w:br w:type="page"/>
      </w:r>
    </w:p>
    <w:p>
      <w:pPr>
        <w:pStyle w:val="Heading1"/>
      </w:pPr>
      <w:r>
        <w:t>1 Beta scope and pillar responsibilities</w:t>
      </w:r>
    </w:p>
    <w:p>
      <w:r>
        <w:t>Use JSL Premier Intelligence and Access Network Beta externally. IAN is the interim public name for this entry experience; CapIV and its pillar names remain internal until the official launch. Keep durable identifiers so the eventual name change does not require rebuilding the relationship database.</w:t>
      </w:r>
    </w:p>
    <w:tbl>
      <w:tblPr>
        <w:tblW w:type="auto" w:w="0"/>
        <w:jc w:val="center"/>
        <w:tblLayout w:type="fixed"/>
        <w:tblLook w:firstColumn="1" w:firstRow="1" w:lastColumn="0" w:lastRow="0" w:noHBand="0" w:noVBand="1" w:val="04A0"/>
      </w:tblPr>
      <w:tblGrid>
        <w:gridCol w:w="1728"/>
        <w:gridCol w:w="4248"/>
        <w:gridCol w:w="4248"/>
      </w:tblGrid>
      <w:tr>
        <w:trPr>
          <w:cantSplit/>
          <w:tblHeader/>
        </w:trPr>
        <w:tc>
          <w:tcPr>
            <w:tcW w:type="dxa" w:w="172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Component</w:t>
            </w:r>
          </w:p>
        </w:tc>
        <w:tc>
          <w:tcPr>
            <w:tcW w:type="dxa" w:w="424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Available responsibility</w:t>
            </w:r>
          </w:p>
        </w:tc>
        <w:tc>
          <w:tcPr>
            <w:tcW w:type="dxa" w:w="424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Boundary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IAN and Core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People, organizations, interests, evidence references, and relationship history.</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Private records; no public member directory.</w:t>
            </w:r>
          </w:p>
        </w:tc>
      </w:tr>
      <w:tr>
        <w:trPr>
          <w:cantSplit/>
        </w:trPr>
        <w:tc>
          <w:tcPr>
            <w:tcW w:type="dxa" w:w="17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IAN and Access</w:t>
            </w:r>
          </w:p>
        </w:tc>
        <w:tc>
          <w:tcPr>
            <w:tcW w:type="dxa" w:w="42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Signup, onboarding, status, invitations, and capability grants.</w:t>
            </w:r>
          </w:p>
        </w:tc>
        <w:tc>
          <w:tcPr>
            <w:tcW w:type="dxa" w:w="42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Profile creation grants no restricted access.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CapIV IQ</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Structure submissions, suggest labels, identify gaps, and recommend routes.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No final eligibility decision or access grant.</w:t>
            </w:r>
          </w:p>
        </w:tc>
      </w:tr>
      <w:tr>
        <w:trPr>
          <w:cantSplit/>
        </w:trPr>
        <w:tc>
          <w:tcPr>
            <w:tcW w:type="dxa" w:w="17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JSL Premier reviewer</w:t>
            </w:r>
          </w:p>
        </w:tc>
        <w:tc>
          <w:tcPr>
            <w:tcW w:type="dxa" w:w="42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Confirm relationship fit, clarify information, and approve next steps.</w:t>
            </w:r>
          </w:p>
        </w:tc>
        <w:tc>
          <w:tcPr>
            <w:tcW w:type="dxa" w:w="42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Named decision owner and recorded rationale.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Future CapIV functions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Deal intake, diligence, agreements, underwriting, vetting, and matching.</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 until specifically released and authorized.</w:t>
            </w:r>
          </w:p>
        </w:tc>
      </w:tr>
    </w:tbl>
    <w:p/>
    <w:p>
      <w:pPr>
        <w:pStyle w:val="Heading2"/>
      </w:pPr>
      <w:r>
        <w:t>What the first beta must deliver</w:t>
      </w:r>
    </w:p>
    <w:p>
      <w:pPr>
        <w:pStyle w:val="ListBullet"/>
      </w:pPr>
      <w:r>
        <w:t>A prospect can create and maintain a profile and understand their participation status.</w:t>
      </w:r>
    </w:p>
    <w:p>
      <w:pPr>
        <w:pStyle w:val="ListBullet"/>
      </w:pPr>
      <w:r>
        <w:t>JSL Premier can review evidence, manage clarification, and assign the next relationship action.</w:t>
      </w:r>
    </w:p>
    <w:p>
      <w:pPr>
        <w:pStyle w:val="ListBullet"/>
      </w:pPr>
      <w:r>
        <w:t>The team can capture interest in future deals and partnerships without receiving formal submissions through locked functions.</w:t>
      </w:r>
    </w:p>
    <w:p>
      <w:pPr>
        <w:pStyle w:val="ListBullet"/>
      </w:pPr>
      <w:r>
        <w:t>The CTO can enforce restrictions on every access path while maintaining a useful onboarding experience.</w:t>
      </w:r>
    </w:p>
    <w:p>
      <w:pPr>
        <w:pStyle w:val="Heading2"/>
      </w:pPr>
      <w:r>
        <w:t>What beta participation means</w:t>
      </w:r>
    </w:p>
    <w:p>
      <w:r>
        <w:t>Admission means participation in the defined IAN beta experience. It does not promise capital, introductions, investment access, deal acceptance, or future approval. Use specific status language rather than a broad verified badge.</w:t>
      </w:r>
    </w:p>
    <w:p>
      <w:r>
        <w:rPr>
          <w:b/>
        </w:rPr>
        <w:t>TO DO 01  |  Founder</w:t>
      </w:r>
    </w:p>
    <w:p>
      <w:r>
        <w:t>Confirm the external name, public scope, and distinction between subscriber, applicant, and admitted participant. Completion: Approved scope and terminology are recorded for the website, onboarding, and support.</w:t>
      </w:r>
    </w:p>
    <w:p>
      <w:r>
        <w:rPr>
          <w:b/>
        </w:rPr>
        <w:t>TO DO 02  |  CTO</w:t>
      </w:r>
    </w:p>
    <w:p>
      <w:r>
        <w:t>Map IAN to existing Core and Access records using stable identifiers. Completion: A documented record map supports later CapIV branding without duplicate databases.</w:t>
      </w:r>
    </w:p>
    <w:p>
      <w:r>
        <w:br w:type="page"/>
      </w:r>
    </w:p>
    <w:p>
      <w:pPr>
        <w:pStyle w:val="Heading1"/>
      </w:pPr>
      <w:r>
        <w:t>2 Prospective participant user flow</w:t>
      </w:r>
    </w:p>
    <w:tbl>
      <w:tblPr>
        <w:tblW w:type="auto" w:w="0"/>
        <w:jc w:val="center"/>
        <w:tblLayout w:type="fixed"/>
        <w:tblLook w:firstColumn="1" w:firstRow="1" w:lastColumn="0" w:lastRow="0" w:noHBand="0" w:noVBand="1" w:val="04A0"/>
      </w:tblPr>
      <w:tblGrid>
        <w:gridCol w:w="1224"/>
        <w:gridCol w:w="4320"/>
        <w:gridCol w:w="4680"/>
      </w:tblGrid>
      <w:tr>
        <w:trPr>
          <w:cantSplit/>
          <w:tblHeader/>
        </w:trPr>
        <w:tc>
          <w:tcPr>
            <w:tcW w:type="dxa" w:w="122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Step</w:t>
            </w:r>
          </w:p>
        </w:tc>
        <w:tc>
          <w:tcPr>
            <w:tcW w:type="dxa" w:w="432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User action or experience</w:t>
            </w:r>
          </w:p>
        </w:tc>
        <w:tc>
          <w:tcPr>
            <w:tcW w:type="dxa" w:w="468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System response</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 Discover</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Arrives through MTFF, Inside The Deal, LinkedIn, referrals, or a conversation.</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Capture source and referral context; do not treat a referral as endorsement.</w:t>
            </w:r>
          </w:p>
        </w:tc>
      </w:tr>
      <w:tr>
        <w:trPr>
          <w:cantSplit/>
        </w:trPr>
        <w:tc>
          <w:tcPr>
            <w:tcW w:type="dxa" w:w="12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 Register</w:t>
            </w:r>
          </w:p>
        </w:tc>
        <w:tc>
          <w:tcPr>
            <w:tcW w:type="dxa" w:w="43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Enters name and email and accepts participation terms and privacy notice.</w:t>
            </w:r>
          </w:p>
        </w:tc>
        <w:tc>
          <w:tcPr>
            <w:tcW w:type="dxa" w:w="46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Create account and verify control of the email address.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 Establish profile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Adds organization, role, interests, location, and reason for joining.</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Save draft; allow resume and edits before submission.</w:t>
            </w:r>
          </w:p>
        </w:tc>
      </w:tr>
      <w:tr>
        <w:trPr>
          <w:cantSplit/>
        </w:trPr>
        <w:tc>
          <w:tcPr>
            <w:tcW w:type="dxa" w:w="12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4 Submit</w:t>
            </w:r>
          </w:p>
        </w:tc>
        <w:tc>
          <w:tcPr>
            <w:tcW w:type="dxa" w:w="43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Reviews the information and submits for review.</w:t>
            </w:r>
          </w:p>
        </w:tc>
        <w:tc>
          <w:tcPr>
            <w:tcW w:type="dxa" w:w="46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Save a profile version and create one assigned review task.</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5 Clarify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Responds to focused questions and supplies requested support.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Append evidence; reassess affected claims and routing.</w:t>
            </w:r>
          </w:p>
        </w:tc>
      </w:tr>
      <w:tr>
        <w:trPr>
          <w:cantSplit/>
        </w:trPr>
        <w:tc>
          <w:tcPr>
            <w:tcW w:type="dxa" w:w="12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6 Participate</w:t>
            </w:r>
          </w:p>
        </w:tc>
        <w:tc>
          <w:tcPr>
            <w:tcW w:type="dxa" w:w="43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Sees a clear status and appropriate next action.</w:t>
            </w:r>
          </w:p>
        </w:tc>
        <w:tc>
          <w:tcPr>
            <w:tcW w:type="dxa" w:w="46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 only current approved beta capabilities.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7 Advance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Receives an invitation for a specific future activity.</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Check release, personal authorization, and prerequisites.</w:t>
            </w:r>
          </w:p>
        </w:tc>
      </w:tr>
    </w:tbl>
    <w:p/>
    <w:p>
      <w:pPr>
        <w:pStyle w:val="Heading2"/>
      </w:pPr>
      <w:r>
        <w:t>Required participant screens</w:t>
      </w:r>
    </w:p>
    <w:p>
      <w:r>
        <w:t>Provide a landing page, registration and email verification, profile draft, submission confirmation, participation dashboard, clarification response, and account preferences. The dashboard should show profile completion, review status, pending requests, and the available next action.</w:t>
      </w:r>
    </w:p>
    <w:p>
      <w:pPr>
        <w:pStyle w:val="Heading2"/>
      </w:pPr>
      <w:r>
        <w:t>Experience rules</w:t>
      </w:r>
    </w:p>
    <w:p>
      <w:pPr>
        <w:pStyle w:val="ListBullet"/>
      </w:pPr>
      <w:r>
        <w:t>Target an initial profile that takes approximately five minutes. Allow multiple participation roles and an exploring option.</w:t>
      </w:r>
    </w:p>
    <w:p>
      <w:pPr>
        <w:pStyle w:val="ListBullet"/>
      </w:pPr>
      <w:r>
        <w:t>Show actual available functions. A future-interest action should capture intent only and explain that submission remains closed.</w:t>
      </w:r>
    </w:p>
    <w:p>
      <w:pPr>
        <w:pStyle w:val="ListBullet"/>
      </w:pPr>
      <w:r>
        <w:t>Keep publication signup separate and optional. Newsletter membership must not confer IAN admission.</w:t>
      </w:r>
    </w:p>
    <w:p>
      <w:pPr>
        <w:pStyle w:val="ListBullet"/>
      </w:pPr>
      <w:r>
        <w:t>Provide a correction and support route. Do not imply a response deadline unless the team can meet it.</w:t>
      </w:r>
    </w:p>
    <w:p>
      <w:r>
        <w:t>Email verification proves control of an inbox only. It does not verify identity, representative authority, investor status, or financial capacity.</w:t>
      </w:r>
    </w:p>
    <w:p>
      <w:r>
        <w:rPr>
          <w:b/>
        </w:rPr>
        <w:t>TO DO 03  |  CTO and Developer</w:t>
      </w:r>
    </w:p>
    <w:p>
      <w:r>
        <w:t>Build the user journey and status messages with draft saving and duplicate-safe submission. Completion: A pilot user can complete, resume, submit, and correct a profile without staff database intervention.</w:t>
      </w:r>
    </w:p>
    <w:p>
      <w:r>
        <w:br w:type="page"/>
      </w:r>
    </w:p>
    <w:p>
      <w:pPr>
        <w:pStyle w:val="Heading1"/>
      </w:pPr>
      <w:r>
        <w:t>3 Profile information and record structure</w:t>
      </w:r>
    </w:p>
    <w:p>
      <w:pPr>
        <w:pStyle w:val="Heading2"/>
      </w:pPr>
      <w:r>
        <w:t>Minimum information at onboarding</w:t>
      </w:r>
    </w:p>
    <w:tbl>
      <w:tblPr>
        <w:tblW w:type="auto" w:w="0"/>
        <w:jc w:val="center"/>
        <w:tblLayout w:type="fixed"/>
        <w:tblLook w:firstColumn="1" w:firstRow="1" w:lastColumn="0" w:lastRow="0" w:noHBand="0" w:noVBand="1" w:val="04A0"/>
      </w:tblPr>
      <w:tblGrid>
        <w:gridCol w:w="1584"/>
        <w:gridCol w:w="4608"/>
        <w:gridCol w:w="4032"/>
      </w:tblGrid>
      <w:tr>
        <w:trPr>
          <w:cantSplit/>
          <w:tblHeader/>
        </w:trPr>
        <w:tc>
          <w:tcPr>
            <w:tcW w:type="dxa" w:w="158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Information</w:t>
            </w:r>
          </w:p>
        </w:tc>
        <w:tc>
          <w:tcPr>
            <w:tcW w:type="dxa" w:w="460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Capture now</w:t>
            </w:r>
          </w:p>
        </w:tc>
        <w:tc>
          <w:tcPr>
            <w:tcW w:type="dxa" w:w="4032"/>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Treatment</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Identity and role</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Name, organization, title, country and state.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Self-reported until separately corroborated.</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Participation</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Investor or capital representative; founder or operator; sponsor; advisor; strategic partner; exploring.</w:t>
            </w:r>
          </w:p>
        </w:tc>
        <w:tc>
          <w:tcPr>
            <w:tcW w:type="dxa" w:w="403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Allow multiple roles; role labels are not eligibility findings.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Interests</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Sectors, markets, and geographic focus.</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Use structured choices with limited optional free text.</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Intent</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What the person seeks and what they can contribute.</w:t>
            </w:r>
          </w:p>
        </w:tc>
        <w:tc>
          <w:tcPr>
            <w:tcW w:type="dxa" w:w="403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Use for relationship routing and follow-up.</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Affiliation</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Acts personally or represents an organization; website or professional link if available.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Record claimed authority separately from confirmed authority.</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Permissions</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Terms version, privacy notice version, and separate optional publication preference.</w:t>
            </w:r>
          </w:p>
        </w:tc>
        <w:tc>
          <w:tcPr>
            <w:tcW w:type="dxa" w:w="403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Store timestamp and later changes.</w:t>
            </w:r>
          </w:p>
        </w:tc>
      </w:tr>
    </w:tbl>
    <w:p/>
    <w:p>
      <w:pPr>
        <w:pStyle w:val="Heading2"/>
      </w:pPr>
      <w:r>
        <w:t>Progressive information collection</w:t>
      </w:r>
    </w:p>
    <w:p>
      <w:r>
        <w:t>Request detailed mandates, supporting authority documents, and sensitive information only when a specific next step requires them. Joining the network should not require passports, bank statements, or detailed financial records. If supporting files are enabled, restrict type and size, scan files, use private storage, and authorize each retrieval.</w:t>
      </w:r>
    </w:p>
    <w:p>
      <w:pPr>
        <w:pStyle w:val="Heading2"/>
      </w:pPr>
      <w:r>
        <w:t>Core record structure</w:t>
      </w:r>
    </w:p>
    <w:p>
      <w:r>
        <w:t>Maintain separate records for accounts, people, organizations, person-to-organization relationships, profile versions, evidence, assessments, decisions, capability grants, consent or notice history, review tasks, and audit events. A future opportunity receives its own record. Each assessment should reference the exact profile and evidence versions reviewed.</w:t>
      </w:r>
    </w:p>
    <w:p>
      <w:r>
        <w:t>Keep newsletter preferences in the publication system if useful, but keep access and qualification authority in the application. Limit any synchronization to necessary fields and track its success or failure.</w:t>
      </w:r>
    </w:p>
    <w:p>
      <w:r>
        <w:rPr>
          <w:b/>
        </w:rPr>
        <w:t>TO DO 04  |  CTO</w:t>
      </w:r>
    </w:p>
    <w:p>
      <w:r>
        <w:t>Define the data dictionary, organization links, duplicate resolution, and profile versioning. Completion: Each field has a purpose, owner, validation rule, and access scope.</w:t>
      </w:r>
    </w:p>
    <w:p>
      <w:r>
        <w:rPr>
          <w:b/>
        </w:rPr>
        <w:t>TO DO 05  |  Founder and CTO</w:t>
      </w:r>
    </w:p>
    <w:p>
      <w:r>
        <w:t>Set collection, retention, correction, withdrawal, and deletion procedures before collecting production data. Completion: Published notices and actual operational handling are aligned; applicable retention exceptions are documented.</w:t>
      </w:r>
    </w:p>
    <w:p>
      <w:r>
        <w:br w:type="page"/>
      </w:r>
    </w:p>
    <w:p>
      <w:pPr>
        <w:pStyle w:val="Heading1"/>
      </w:pPr>
      <w:r>
        <w:t>4 IQ evidence and internal review workflow</w:t>
      </w:r>
    </w:p>
    <w:p>
      <w:r>
        <w:t>Preserve the distinction between evidence assurance and assessment within the existing architecture. No additional pillar is required. New information returns to the evidence step before the affected assessment is updated.</w:t>
      </w:r>
    </w:p>
    <w:p>
      <w:pPr>
        <w:pStyle w:val="Heading2"/>
      </w:pPr>
      <w:r>
        <w:t>Ordered workflow</w:t>
      </w:r>
    </w:p>
    <w:p>
      <w:pPr>
        <w:pStyle w:val="ListBullet"/>
      </w:pPr>
      <w:r>
        <w:t>Receive the submitted profile and preserve its version. Validate required fields and detect possible duplicates.</w:t>
      </w:r>
    </w:p>
    <w:p>
      <w:pPr>
        <w:pStyle w:val="ListBullet"/>
      </w:pPr>
      <w:r>
        <w:t>Organize claims and available evidence. Record gaps, conflicts, dates, and sources.</w:t>
      </w:r>
    </w:p>
    <w:p>
      <w:pPr>
        <w:pStyle w:val="ListBullet"/>
      </w:pPr>
      <w:r>
        <w:t>Generate an IQ review packet with proposed labels, relationship fit, readiness, and recommended routing.</w:t>
      </w:r>
    </w:p>
    <w:p>
      <w:pPr>
        <w:pStyle w:val="ListBullet"/>
      </w:pPr>
      <w:r>
        <w:t>Assign a JSL Premier reviewer. The reviewer requests clarification, admits, waitlists, or declines participation with a recorded reason.</w:t>
      </w:r>
    </w:p>
    <w:p>
      <w:pPr>
        <w:pStyle w:val="ListBullet"/>
      </w:pPr>
      <w:r>
        <w:t>Record the decision and communicate the appropriate participant-facing status. Evaluate capability grants separately.</w:t>
      </w:r>
    </w:p>
    <w:p>
      <w:pPr>
        <w:pStyle w:val="ListBullet"/>
      </w:pPr>
      <w:r>
        <w:t>If information changes, append evidence and reassess affected decisions rather than overwriting history.</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IQ packet element</w:t>
            </w:r>
          </w:p>
        </w:tc>
        <w:tc>
          <w:tcPr>
            <w:tcW w:type="dxa" w:w="792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Required content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Profile summary</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Separate submitted facts from inferred descriptions.</w:t>
            </w:r>
          </w:p>
        </w:tc>
      </w:tr>
      <w:tr>
        <w:trPr>
          <w:cantSplit/>
        </w:trPr>
        <w:tc>
          <w:tcPr>
            <w:tcW w:type="dxa" w:w="23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Suggested labels</w:t>
            </w:r>
          </w:p>
        </w:tc>
        <w:tc>
          <w:tcPr>
            <w:tcW w:type="dxa" w:w="79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Role, sector, geography, intent, and relationship stage.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Evidence references</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Source, date, claim supported, and relevant profile version.</w:t>
            </w:r>
          </w:p>
        </w:tc>
      </w:tr>
      <w:tr>
        <w:trPr>
          <w:cantSplit/>
        </w:trPr>
        <w:tc>
          <w:tcPr>
            <w:tcW w:type="dxa" w:w="23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Gaps and conflicts</w:t>
            </w:r>
          </w:p>
        </w:tc>
        <w:tc>
          <w:tcPr>
            <w:tcW w:type="dxa" w:w="79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Missing support, inconsistent details, and outdated information.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Proposed route</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Relationship conversation, clarification, future submission interest, or specialist review.</w:t>
            </w:r>
          </w:p>
        </w:tc>
      </w:tr>
      <w:tr>
        <w:trPr>
          <w:cantSplit/>
        </w:trPr>
        <w:tc>
          <w:tcPr>
            <w:tcW w:type="dxa" w:w="23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Next action</w:t>
            </w:r>
          </w:p>
        </w:tc>
        <w:tc>
          <w:tcPr>
            <w:tcW w:type="dxa" w:w="79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Plain-language rationale and responsible reviewer; no automatic grant.</w:t>
            </w:r>
          </w:p>
        </w:tc>
      </w:tr>
    </w:tbl>
    <w:p/>
    <w:p>
      <w:pPr>
        <w:pStyle w:val="Heading2"/>
      </w:pPr>
      <w:r>
        <w:t>Evidence and AI boundaries</w:t>
      </w:r>
    </w:p>
    <w:p>
      <w:r>
        <w:t>Use evidence states such as self-reported, supporting material received, corroborated, conflicting, and outdated. An uploaded document is not proof that its contents are true. AI confidence is not verification. Preserve a source reference and reviewer where applicable for each material claim.</w:t>
      </w:r>
    </w:p>
    <w:p>
      <w:r>
        <w:t>Assess completeness, evidence sufficiency, relationship fit, and readiness for the next conversation. Do not publish an investment-quality score. Treat profile text and attachments as untrusted input. IQ may propose structured outputs, but cannot change permissions, send discretionary communications, or execute transactions. [3]</w:t>
      </w:r>
    </w:p>
    <w:p>
      <w:r>
        <w:rPr>
          <w:b/>
        </w:rPr>
        <w:t>TO DO 06  |  CTO and Founder reviewer</w:t>
      </w:r>
    </w:p>
    <w:p>
      <w:r>
        <w:t>Define the review packet and routing categories, with a human fallback for AI errors. Completion: Every material finding can be traced to evidence or is explicitly marked as inference or unknown.</w:t>
      </w:r>
    </w:p>
    <w:p>
      <w:r>
        <w:br w:type="page"/>
      </w:r>
    </w:p>
    <w:p>
      <w:pPr>
        <w:pStyle w:val="Heading1"/>
      </w:pPr>
      <w:r>
        <w:t>5 Statuses and decision authority</w:t>
      </w:r>
    </w:p>
    <w:p>
      <w:r>
        <w:t>Use independent status fields. A single approved flag cannot safely represent account validity, profile review, membership, and function-level access.</w:t>
      </w:r>
    </w:p>
    <w:tbl>
      <w:tblPr>
        <w:tblW w:type="auto" w:w="0"/>
        <w:jc w:val="center"/>
        <w:tblLayout w:type="fixed"/>
        <w:tblLook w:firstColumn="1" w:firstRow="1" w:lastColumn="0" w:lastRow="0" w:noHBand="0" w:noVBand="1" w:val="04A0"/>
      </w:tblPr>
      <w:tblGrid>
        <w:gridCol w:w="1656"/>
        <w:gridCol w:w="3888"/>
        <w:gridCol w:w="4680"/>
      </w:tblGrid>
      <w:tr>
        <w:trPr>
          <w:cantSplit/>
          <w:tblHeader/>
        </w:trPr>
        <w:tc>
          <w:tcPr>
            <w:tcW w:type="dxa" w:w="1656"/>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Record</w:t>
            </w:r>
          </w:p>
        </w:tc>
        <w:tc>
          <w:tcPr>
            <w:tcW w:type="dxa" w:w="388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Permitted example states</w:t>
            </w:r>
          </w:p>
        </w:tc>
        <w:tc>
          <w:tcPr>
            <w:tcW w:type="dxa" w:w="468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Meaning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Account</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Unverified, active, suspended, closed.</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Whether the account can authenticate and operate.</w:t>
            </w:r>
          </w:p>
        </w:tc>
      </w:tr>
      <w:tr>
        <w:trPr>
          <w:cantSplit/>
        </w:trPr>
        <w:tc>
          <w:tcPr>
            <w:tcW w:type="dxa" w:w="165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Profile review</w:t>
            </w:r>
          </w:p>
        </w:tc>
        <w:tc>
          <w:tcPr>
            <w:tcW w:type="dxa" w:w="38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Draft, submitted, clarification needed, reviewed.</w:t>
            </w:r>
          </w:p>
        </w:tc>
        <w:tc>
          <w:tcPr>
            <w:tcW w:type="dxa" w:w="46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Where the profile sits in the evidence and review process.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IAN participation</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Pending, admitted, waitlisted, declined, withdrawn.</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The relationship participation decision.</w:t>
            </w:r>
          </w:p>
        </w:tc>
      </w:tr>
      <w:tr>
        <w:trPr>
          <w:cantSplit/>
        </w:trPr>
        <w:tc>
          <w:tcPr>
            <w:tcW w:type="dxa" w:w="165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Capability grant</w:t>
            </w:r>
          </w:p>
        </w:tc>
        <w:tc>
          <w:tcPr>
            <w:tcW w:type="dxa" w:w="38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Not granted, granted, expired, revoked.</w:t>
            </w:r>
          </w:p>
        </w:tc>
        <w:tc>
          <w:tcPr>
            <w:tcW w:type="dxa" w:w="46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Permission for a defined activity and scope.</w:t>
            </w:r>
          </w:p>
        </w:tc>
      </w:tr>
    </w:tbl>
    <w:p/>
    <w:p>
      <w:pPr>
        <w:pStyle w:val="Heading2"/>
      </w:pPr>
      <w:r>
        <w:t>Transition rules</w:t>
      </w:r>
    </w:p>
    <w:p>
      <w:pPr>
        <w:pStyle w:val="ListBullet"/>
      </w:pPr>
      <w:r>
        <w:t>Submission moves a draft into review and creates a review task once, even if the submit request repeats.</w:t>
      </w:r>
    </w:p>
    <w:p>
      <w:pPr>
        <w:pStyle w:val="ListBullet"/>
      </w:pPr>
      <w:r>
        <w:t>A clarification request preserves participation status and identifies specific unresolved questions. A response returns the affected record to review.</w:t>
      </w:r>
    </w:p>
    <w:p>
      <w:pPr>
        <w:pStyle w:val="ListBullet"/>
      </w:pPr>
      <w:r>
        <w:t>Admission changes participation status only. It must not automatically enable deal intake or other restricted functions.</w:t>
      </w:r>
    </w:p>
    <w:p>
      <w:pPr>
        <w:pStyle w:val="ListBullet"/>
      </w:pPr>
      <w:r>
        <w:t>A material change in affiliation, authority, or mandate triggers reassessment of affected grants. Record whether access is retained or suspended pending review.</w:t>
      </w:r>
    </w:p>
    <w:p>
      <w:pPr>
        <w:pStyle w:val="ListBullet"/>
      </w:pPr>
      <w:r>
        <w:t>Suspension or revocation must take effect on server requests and applicable active sessions; define handling of existing files and pending jobs.</w:t>
      </w:r>
    </w:p>
    <w:p>
      <w:pPr>
        <w:pStyle w:val="Heading2"/>
      </w:pPr>
      <w:r>
        <w:t>Decision authority</w:t>
      </w:r>
    </w:p>
    <w:p>
      <w:r>
        <w:t>Participants edit their own permitted profile fields and supply information. IQ suggests labels and routes. A designated JSL Premier reviewer decides participation and clarification. An authorized administrator implements approved grants. The Founder owns product scope and release policy; the CTO owns technical enforcement. These roles may be held by the same person initially, but the actions must remain distinguishable in the audit history.</w:t>
      </w:r>
    </w:p>
    <w:p>
      <w:r>
        <w:t>Each decision records actor, timestamp, rationale, evidence references, and policy version. Each grant records capability, record scope, approver, start date, expiration if applicable, and revocation history. Retain internal detail privately and communicate a useful, appropriate explanation to the participant.</w:t>
      </w:r>
    </w:p>
    <w:p>
      <w:r>
        <w:rPr>
          <w:b/>
        </w:rPr>
        <w:t>TO DO 07  |  Founder and CTO</w:t>
      </w:r>
    </w:p>
    <w:p>
      <w:r>
        <w:t>Approve the state transition map, authorized decision roles, and material-change policy. Completion: Out-of-order transitions are rejected and every decision or grant is attributable.</w:t>
      </w:r>
    </w:p>
    <w:p>
      <w:r>
        <w:br w:type="page"/>
      </w:r>
    </w:p>
    <w:p>
      <w:pPr>
        <w:pStyle w:val="Heading1"/>
      </w:pPr>
      <w:r>
        <w:t>6 Access controls and IP boundaries</w:t>
      </w:r>
    </w:p>
    <w:p>
      <w:r>
        <w:t>The interface lock is only a visible indicator. Enforce authorization on the server for every request, with access denied unless all required conditions pass. OWASP recommends default denial and per-request permission checks, including validation of workflow state. [1][2]</w:t>
      </w:r>
    </w:p>
    <w:p>
      <w:pPr>
        <w:pStyle w:val="Heading2"/>
      </w:pPr>
      <w:r>
        <w:t>Two separate controls</w:t>
      </w:r>
    </w:p>
    <w:p>
      <w:r>
        <w:t>Release control determines whether a function exists in the current beta. Participant authorization determines whether this person can perform this action on this record. Both must pass, together with active account status and any activity-specific prerequisites. The AI model is not the authorization authority.</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Capability</w:t>
            </w:r>
          </w:p>
        </w:tc>
        <w:tc>
          <w:tcPr>
            <w:tcW w:type="dxa" w:w="532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Initial beta setting</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Create or update own profile</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Enabled for active accounts within permitted fields.</w:t>
            </w:r>
          </w:p>
        </w:tc>
      </w:tr>
      <w:tr>
        <w:trPr>
          <w:cantSplit/>
        </w:trPr>
        <w:tc>
          <w:tcPr>
            <w:tcW w:type="dxa" w:w="489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Respond to clarification and view own status</w:t>
            </w:r>
          </w:p>
        </w:tc>
        <w:tc>
          <w:tcPr>
            <w:tcW w:type="dxa" w:w="53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Enabled within the participant's review scope.</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Express future deal or partnership interest</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Enabled as interest capture only.</w:t>
            </w:r>
          </w:p>
        </w:tc>
      </w:tr>
      <w:tr>
        <w:trPr>
          <w:cantSplit/>
        </w:trPr>
        <w:tc>
          <w:tcPr>
            <w:tcW w:type="dxa" w:w="489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Browse people or opportunities</w:t>
            </w:r>
          </w:p>
        </w:tc>
        <w:tc>
          <w:tcPr>
            <w:tcW w:type="dxa" w:w="53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Submit formal deals or investment materials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 until controlled release.</w:t>
            </w:r>
          </w:p>
        </w:tc>
      </w:tr>
      <w:tr>
        <w:trPr>
          <w:cantSplit/>
        </w:trPr>
        <w:tc>
          <w:tcPr>
            <w:tcW w:type="dxa" w:w="489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Diligence rooms and underwriting</w:t>
            </w:r>
          </w:p>
        </w:tc>
        <w:tc>
          <w:tcPr>
            <w:tcW w:type="dxa" w:w="53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Automated investor and deal matches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w:t>
            </w:r>
          </w:p>
        </w:tc>
      </w:tr>
      <w:tr>
        <w:trPr>
          <w:cantSplit/>
        </w:trPr>
        <w:tc>
          <w:tcPr>
            <w:tcW w:type="dxa" w:w="489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Transaction agreements and capital commitments</w:t>
            </w:r>
          </w:p>
        </w:tc>
        <w:tc>
          <w:tcPr>
            <w:tcW w:type="dxa" w:w="53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w:t>
            </w:r>
          </w:p>
        </w:tc>
      </w:tr>
    </w:tbl>
    <w:p/>
    <w:p>
      <w:pPr>
        <w:pStyle w:val="Heading2"/>
      </w:pPr>
      <w:r>
        <w:t>Enforcement and protected information</w:t>
      </w:r>
    </w:p>
    <w:p>
      <w:pPr>
        <w:pStyle w:val="ListBullet"/>
      </w:pPr>
      <w:r>
        <w:t>Apply restrictions to APIs, file downloads, exports, background jobs, and AI tool calls. Recheck scope when an asynchronous job executes.</w:t>
      </w:r>
    </w:p>
    <w:p>
      <w:pPr>
        <w:pStyle w:val="ListBullet"/>
      </w:pPr>
      <w:r>
        <w:t>Keep evidence private and enforce record ownership and organization permissions. Do not expose other participants through search or predictable identifiers.</w:t>
      </w:r>
    </w:p>
    <w:p>
      <w:pPr>
        <w:pStyle w:val="ListBullet"/>
      </w:pPr>
      <w:r>
        <w:t>Use synthetic data for development by default. Limit production administrator access, require strong authentication, and log privileged actions.</w:t>
      </w:r>
    </w:p>
    <w:p>
      <w:pPr>
        <w:pStyle w:val="ListBullet"/>
      </w:pPr>
      <w:r>
        <w:t>Keep proprietary weights, thresholds, rule libraries, and detailed routing criteria out of browser code and public responses. Limit production configuration access to authorized roles.</w:t>
      </w:r>
    </w:p>
    <w:p>
      <w:pPr>
        <w:pStyle w:val="ListBullet"/>
      </w:pPr>
      <w:r>
        <w:t>Use approved AI data handling and minimum necessary inputs. Define provider retention and training settings before processing production profiles.</w:t>
      </w:r>
    </w:p>
    <w:p>
      <w:r>
        <w:rPr>
          <w:b/>
        </w:rPr>
        <w:t>TO DO 08  |  CTO</w:t>
      </w:r>
    </w:p>
    <w:p>
      <w:r>
        <w:t>Implement central authorization, feature controls, private file handling, and revocation. Completion: Direct requests cannot bypass a locked function, record boundary, or revoked grant.</w:t>
      </w:r>
    </w:p>
    <w:p>
      <w:r>
        <w:br w:type="page"/>
      </w:r>
    </w:p>
    <w:p>
      <w:pPr>
        <w:pStyle w:val="Heading1"/>
      </w:pPr>
      <w:r>
        <w:t>7 Future opportunity onboarding</w:t>
      </w:r>
    </w:p>
    <w:p>
      <w:r>
        <w:t>When formal submissions open, create a new opportunity record linked to the person and organization. Relationship admission and opportunity assessment must remain separate. One qualified participant may submit an opportunity that is incomplete or unsuitable for further review.</w:t>
      </w:r>
    </w:p>
    <w:p>
      <w:pPr>
        <w:pStyle w:val="Heading2"/>
      </w:pPr>
      <w:r>
        <w:t>Controlled sequence after release</w:t>
      </w:r>
    </w:p>
    <w:tbl>
      <w:tblPr>
        <w:tblW w:type="auto" w:w="0"/>
        <w:jc w:val="center"/>
        <w:tblLayout w:type="fixed"/>
        <w:tblLook w:firstColumn="1" w:firstRow="1" w:lastColumn="0" w:lastRow="0" w:noHBand="0" w:noVBand="1" w:val="04A0"/>
      </w:tblPr>
      <w:tblGrid>
        <w:gridCol w:w="864"/>
        <w:gridCol w:w="3240"/>
        <w:gridCol w:w="6120"/>
      </w:tblGrid>
      <w:tr>
        <w:trPr>
          <w:cantSplit/>
          <w:tblHeader/>
        </w:trPr>
        <w:tc>
          <w:tcPr>
            <w:tcW w:type="dxa" w:w="86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Order</w:t>
            </w:r>
          </w:p>
        </w:tc>
        <w:tc>
          <w:tcPr>
            <w:tcW w:type="dxa" w:w="324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Gate or action</w:t>
            </w:r>
          </w:p>
        </w:tc>
        <w:tc>
          <w:tcPr>
            <w:tcW w:type="dxa" w:w="612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Required result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Submission permission and authority</w:t>
            </w:r>
          </w:p>
        </w:tc>
        <w:tc>
          <w:tcPr>
            <w:tcW w:type="dxa" w:w="61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Confirm the released capability, participant grant, and authority to provide the opportunity.</w:t>
            </w:r>
          </w:p>
        </w:tc>
      </w:tr>
      <w:tr>
        <w:trPr>
          <w:cantSplit/>
        </w:trPr>
        <w:tc>
          <w:tcPr>
            <w:tcW w:type="dxa" w:w="8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Terms and engagement scope</w:t>
            </w:r>
          </w:p>
        </w:tc>
        <w:tc>
          <w:tcPr>
            <w:tcW w:type="dxa" w:w="61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Apply relevant confidentiality, submission, or engagement requirements before sensitive exchange.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Opportunity evidence intake</w:t>
            </w:r>
          </w:p>
        </w:tc>
        <w:tc>
          <w:tcPr>
            <w:tcW w:type="dxa" w:w="61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Collect materials into a separate, versioned opportunity dossier.</w:t>
            </w:r>
          </w:p>
        </w:tc>
      </w:tr>
      <w:tr>
        <w:trPr>
          <w:cantSplit/>
        </w:trPr>
        <w:tc>
          <w:tcPr>
            <w:tcW w:type="dxa" w:w="8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4</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Diligence and specialist review</w:t>
            </w:r>
          </w:p>
        </w:tc>
        <w:tc>
          <w:tcPr>
            <w:tcW w:type="dxa" w:w="61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Conduct applicable vetting, underwriting, and legal or compliance review.</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5</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Resolve gaps and decide</w:t>
            </w:r>
          </w:p>
        </w:tc>
        <w:tc>
          <w:tcPr>
            <w:tcW w:type="dxa" w:w="61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Record follow-up, hold, decline, or advancement with supporting evidence.</w:t>
            </w:r>
          </w:p>
        </w:tc>
      </w:tr>
      <w:tr>
        <w:trPr>
          <w:cantSplit/>
        </w:trPr>
        <w:tc>
          <w:tcPr>
            <w:tcW w:type="dxa" w:w="8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6</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Authorized matching or introductions</w:t>
            </w:r>
          </w:p>
        </w:tc>
        <w:tc>
          <w:tcPr>
            <w:tcW w:type="dxa" w:w="61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Proceed only within the approved operating framework and sharing permissions.</w:t>
            </w:r>
          </w:p>
        </w:tc>
      </w:tr>
    </w:tbl>
    <w:p/>
    <w:p>
      <w:pPr>
        <w:pStyle w:val="Heading2"/>
      </w:pPr>
      <w:r>
        <w:t>Agreement placement</w:t>
      </w:r>
    </w:p>
    <w:p>
      <w:r>
        <w:t>Beta participation terms belong at onboarding. Confidentiality and advisory engagement agreements may apply before sensitive information exchange or paid work. Transaction documents belong to the relevant later transaction process. Do not collapse these into one agreement checkpoint or collect signatures for inactive functions.</w:t>
      </w:r>
    </w:p>
    <w:p>
      <w:pPr>
        <w:pStyle w:val="Heading2"/>
      </w:pPr>
      <w:r>
        <w:t>Regulatory and representation boundary</w:t>
      </w:r>
    </w:p>
    <w:p>
      <w:r>
        <w:t>IAN admission must not be represented as investment approval, accreditation verification, completed KYC or AML, or an offering-specific substantive relationship. Those require separate determinations. The alias and beta label do not determine regulatory treatment; actual conduct does.</w:t>
      </w:r>
    </w:p>
    <w:p>
      <w:r>
        <w:t>The SEC identifies finding investors, participating in securities transactions, and transaction-related compensation as factors relevant to broker-dealer registration analysis. Before enabling those activities, counsel should review the proposed conduct, compensation, and jurisdictions. This framework is not a legal determination. [4]</w:t>
      </w:r>
    </w:p>
    <w:p>
      <w:r>
        <w:rPr>
          <w:b/>
        </w:rPr>
        <w:t>TO DO 09  |  Founder and appropriate counsel</w:t>
      </w:r>
    </w:p>
    <w:p>
      <w:r>
        <w:t>Define the operating scope and agreement requirements for each proposed future capability. Completion: Required legal and operational reviews are completed before that capability is released.</w:t>
      </w:r>
    </w:p>
    <w:p>
      <w:r>
        <w:br w:type="page"/>
      </w:r>
    </w:p>
    <w:p>
      <w:pPr>
        <w:pStyle w:val="Heading1"/>
      </w:pPr>
      <w:r>
        <w:t>8 Relationship operations and measurement</w:t>
      </w:r>
    </w:p>
    <w:p>
      <w:pPr>
        <w:pStyle w:val="Heading2"/>
      </w:pPr>
      <w:r>
        <w:t>Run the relationship queue</w:t>
      </w:r>
    </w:p>
    <w:p>
      <w:r>
        <w:t>Every submitted profile needs a named reviewer, a current state, and a next action. Capture conversation notes separately from verified evidence. An introduction or referral may be useful context but does not establish credibility or authority on its own.</w:t>
      </w:r>
    </w:p>
    <w:p>
      <w:pPr>
        <w:pStyle w:val="ListBullet"/>
      </w:pPr>
      <w:r>
        <w:t>Assign a primary reviewer and backup for incoming profiles. Set a realistic internal review target based on capacity.</w:t>
      </w:r>
    </w:p>
    <w:p>
      <w:pPr>
        <w:pStyle w:val="ListBullet"/>
      </w:pPr>
      <w:r>
        <w:t>Use focused clarification requests that identify the specific gap and acceptable supporting information.</w:t>
      </w:r>
    </w:p>
    <w:p>
      <w:pPr>
        <w:pStyle w:val="ListBullet"/>
      </w:pPr>
      <w:r>
        <w:t>Record conversation outcomes and agreed next steps. Avoid implying that a relationship conversation guarantees a deal or introduction.</w:t>
      </w:r>
    </w:p>
    <w:p>
      <w:pPr>
        <w:pStyle w:val="ListBullet"/>
      </w:pPr>
      <w:r>
        <w:t>Use standard, approved status notifications. Review discretionary outreach and permission-sensitive sharing before sending.</w:t>
      </w:r>
    </w:p>
    <w:p>
      <w:pPr>
        <w:pStyle w:val="ListBullet"/>
      </w:pPr>
      <w:r>
        <w:t>Close or revisit stale requests under a defined policy. Respect withdrawal and communication preferences.</w:t>
      </w:r>
    </w:p>
    <w:p>
      <w:pPr>
        <w:pStyle w:val="Heading2"/>
      </w:pPr>
      <w:r>
        <w:t>Track outcomes beyond signup volume</w:t>
      </w:r>
    </w:p>
    <w:tbl>
      <w:tblPr>
        <w:tblW w:type="auto" w:w="0"/>
        <w:jc w:val="center"/>
        <w:tblLayout w:type="fixed"/>
        <w:tblLook w:firstColumn="1" w:firstRow="1" w:lastColumn="0" w:lastRow="0" w:noHBand="0" w:noVBand="1" w:val="04A0"/>
      </w:tblPr>
      <w:tblGrid>
        <w:gridCol w:w="2520"/>
        <w:gridCol w:w="7704"/>
      </w:tblGrid>
      <w:tr>
        <w:trPr>
          <w:cantSplit/>
          <w:tblHeader/>
        </w:trPr>
        <w:tc>
          <w:tcPr>
            <w:tcW w:type="dxa" w:w="252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Measure</w:t>
            </w:r>
          </w:p>
        </w:tc>
        <w:tc>
          <w:tcPr>
            <w:tcW w:type="dxa" w:w="770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Definition or purpose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Profile completion</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Submitted profiles divided by started profiles for a defined cohort.</w:t>
            </w:r>
          </w:p>
        </w:tc>
      </w:tr>
      <w:tr>
        <w:trPr>
          <w:cantSplit/>
        </w:trPr>
        <w:tc>
          <w:tcPr>
            <w:tcW w:type="dxa" w:w="25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Review turnaround</w:t>
            </w:r>
          </w:p>
        </w:tc>
        <w:tc>
          <w:tcPr>
            <w:tcW w:type="dxa" w:w="77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Elapsed time from submission to first reviewer action and final participation decision.</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Evidence gaps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Open gaps by type, age, and owner; identify repeated onboarding friction.</w:t>
            </w:r>
          </w:p>
        </w:tc>
      </w:tr>
      <w:tr>
        <w:trPr>
          <w:cantSplit/>
        </w:trPr>
        <w:tc>
          <w:tcPr>
            <w:tcW w:type="dxa" w:w="25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Qualified conversations</w:t>
            </w:r>
          </w:p>
        </w:tc>
        <w:tc>
          <w:tcPr>
            <w:tcW w:type="dxa" w:w="77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Conversations meeting Founder-defined relationship criteria, with an outcome recorded.</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Invitation acceptance</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Accepted invitations divided by delivered invitations for each released activity.</w:t>
            </w:r>
          </w:p>
        </w:tc>
      </w:tr>
      <w:tr>
        <w:trPr>
          <w:cantSplit/>
        </w:trPr>
        <w:tc>
          <w:tcPr>
            <w:tcW w:type="dxa" w:w="252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Access and AI quality</w:t>
            </w:r>
          </w:p>
        </w:tc>
        <w:tc>
          <w:tcPr>
            <w:tcW w:type="dxa" w:w="770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Authorization incidents, unsupported IQ claims, review overrides, and processing failures.</w:t>
            </w:r>
          </w:p>
        </w:tc>
      </w:tr>
    </w:tbl>
    <w:p/>
    <w:p>
      <w:r>
        <w:t>Use metrics to improve onboarding and review, not to claim investment performance or valuation proof. Keep finished pilot evidence separate from planned capabilities and unresolved defects.</w:t>
      </w:r>
    </w:p>
    <w:p>
      <w:r>
        <w:rPr>
          <w:b/>
        </w:rPr>
        <w:t>TO DO 10  |  Founder and operations owner</w:t>
      </w:r>
    </w:p>
    <w:p>
      <w:r>
        <w:t>Define reviewer coverage, response targets, notification templates, and metric definitions. Completion: The queue can operate without unassigned profiles or ambiguous next actions.</w:t>
      </w:r>
    </w:p>
    <w:p>
      <w:r>
        <w:rPr>
          <w:b/>
        </w:rPr>
        <w:t>TO DO 11  |  CTO</w:t>
      </w:r>
    </w:p>
    <w:p>
      <w:r>
        <w:t>Instrument cohort events and review timestamps without logging unnecessary sensitive content. Completion: Dashboard totals reconcile to the underlying records and distinguish completed from pending activity.</w:t>
      </w:r>
    </w:p>
    <w:p>
      <w:r>
        <w:br w:type="page"/>
      </w:r>
    </w:p>
    <w:p>
      <w:pPr>
        <w:pStyle w:val="Heading1"/>
      </w:pPr>
      <w:r>
        <w:t>9 Ordered implementation plan</w:t>
      </w:r>
    </w:p>
    <w:p>
      <w:r>
        <w:t>Build in dependency order. Do not let IQ integration delay the basic profile and review process: a manual review path must work throughout. All milestones below are proposed work, not completed development claims.</w:t>
      </w:r>
    </w:p>
    <w:tbl>
      <w:tblPr>
        <w:tblW w:type="auto" w:w="0"/>
        <w:jc w:val="center"/>
        <w:tblLayout w:type="fixed"/>
        <w:tblLook w:firstColumn="1" w:firstRow="1" w:lastColumn="0" w:lastRow="0" w:noHBand="0" w:noVBand="1" w:val="04A0"/>
      </w:tblPr>
      <w:tblGrid>
        <w:gridCol w:w="1800"/>
        <w:gridCol w:w="2160"/>
        <w:gridCol w:w="6264"/>
      </w:tblGrid>
      <w:tr>
        <w:trPr>
          <w:cantSplit/>
          <w:tblHeader/>
        </w:trPr>
        <w:tc>
          <w:tcPr>
            <w:tcW w:type="dxa" w:w="180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Stage</w:t>
            </w:r>
          </w:p>
        </w:tc>
        <w:tc>
          <w:tcPr>
            <w:tcW w:type="dxa" w:w="2160"/>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Owner</w:t>
            </w:r>
          </w:p>
        </w:tc>
        <w:tc>
          <w:tcPr>
            <w:tcW w:type="dxa" w:w="626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Deliverable and completion condition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 Scope and decisions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Founder with CTO</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Approve beta scope, vocabulary, roles, review policy, and disabled capabilities. Dependencies: none.</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 Foundation</w:t>
            </w:r>
          </w:p>
        </w:tc>
        <w:tc>
          <w:tcPr>
            <w:tcW w:type="dxa" w:w="21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CTO and Developer</w:t>
            </w:r>
          </w:p>
        </w:tc>
        <w:tc>
          <w:tcPr>
            <w:tcW w:type="dxa" w:w="62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Implement accounts, organization links, record ownership, consent history, audit events, and authorization. Complete when isolation and default denial work.</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 Onboarding</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Developer</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Build signup, email verification, draft/save/submit, status screen, and preferences. Complete when one submission creates one review task.</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4 Review operations</w:t>
            </w:r>
          </w:p>
        </w:tc>
        <w:tc>
          <w:tcPr>
            <w:tcW w:type="dxa" w:w="21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Founder reviewer and Developer</w:t>
            </w:r>
          </w:p>
        </w:tc>
        <w:tc>
          <w:tcPr>
            <w:tcW w:type="dxa" w:w="62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Build queue, evidence references, clarification loop, and decision history. Complete when a reviewer can handle a case end to end.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5 IQ assistance</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CTO and Founder reviewer</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Add source-linked summaries, labels, gaps, and routing recommendations. Complete when unsupported outputs are flagged and failure returns to manual review.</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6 Participation and metrics</w:t>
            </w:r>
          </w:p>
        </w:tc>
        <w:tc>
          <w:tcPr>
            <w:tcW w:type="dxa" w:w="21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Developer and operations owner</w:t>
            </w:r>
          </w:p>
        </w:tc>
        <w:tc>
          <w:tcPr>
            <w:tcW w:type="dxa" w:w="626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Add approved notifications, future-interest capture, and funnel measures. Complete when status and next action remain consistent across screens and records.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7 Pilot and release</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Founder and CTO</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Run the acceptance cases, resolve launch blockers, and approve a bounded cohort. Complete when evidence is recorded and rollback is available.</w:t>
            </w:r>
          </w:p>
        </w:tc>
      </w:tr>
    </w:tbl>
    <w:p/>
    <w:p>
      <w:pPr>
        <w:pStyle w:val="Heading2"/>
      </w:pPr>
      <w:r>
        <w:t>Working package for the CTO</w:t>
      </w:r>
    </w:p>
    <w:p>
      <w:pPr>
        <w:pStyle w:val="ListBullet"/>
      </w:pPr>
      <w:r>
        <w:t>Approved data dictionary and state transition map.</w:t>
      </w:r>
    </w:p>
    <w:p>
      <w:pPr>
        <w:pStyle w:val="ListBullet"/>
      </w:pPr>
      <w:r>
        <w:t>Screen inventory and participant-facing status definitions.</w:t>
      </w:r>
    </w:p>
    <w:p>
      <w:pPr>
        <w:pStyle w:val="ListBullet"/>
      </w:pPr>
      <w:r>
        <w:t>Capability matrix and authorization rules.</w:t>
      </w:r>
    </w:p>
    <w:p>
      <w:pPr>
        <w:pStyle w:val="ListBullet"/>
      </w:pPr>
      <w:r>
        <w:t>IQ input and output contract with source references and failure handling.</w:t>
      </w:r>
    </w:p>
    <w:p>
      <w:pPr>
        <w:pStyle w:val="ListBullet"/>
      </w:pPr>
      <w:r>
        <w:t>Acceptance cases, release evidence, and operational handoff.</w:t>
      </w:r>
    </w:p>
    <w:p>
      <w:r>
        <w:rPr>
          <w:b/>
        </w:rPr>
        <w:t>TO DO 12  |  CTO</w:t>
      </w:r>
    </w:p>
    <w:p>
      <w:r>
        <w:t>Convert the ordered stages into implementation tickets with owners, dependencies, and evidence links. Completion: The backlog distinguishes first-release requirements from future functions; estimated dates are added by the team.</w:t>
      </w:r>
    </w:p>
    <w:p>
      <w:r>
        <w:br w:type="page"/>
      </w:r>
    </w:p>
    <w:p>
      <w:pPr>
        <w:pStyle w:val="Heading1"/>
      </w:pPr>
      <w:r>
        <w:t>10 Acceptance testing and launch gate</w:t>
      </w:r>
    </w:p>
    <w:p>
      <w:r>
        <w:t>Record expected behavior, observed result, evidence, tester, and disposition for each case. A test is not passed until the implemented system demonstrates the expected result.</w:t>
      </w:r>
    </w:p>
    <w:tbl>
      <w:tblPr>
        <w:tblW w:type="auto" w:w="0"/>
        <w:jc w:val="center"/>
        <w:tblLayout w:type="fixed"/>
        <w:tblLook w:firstColumn="1" w:firstRow="1" w:lastColumn="0" w:lastRow="0" w:noHBand="0" w:noVBand="1" w:val="04A0"/>
      </w:tblPr>
      <w:tblGrid>
        <w:gridCol w:w="792"/>
        <w:gridCol w:w="4608"/>
        <w:gridCol w:w="4824"/>
      </w:tblGrid>
      <w:tr>
        <w:trPr>
          <w:cantSplit/>
          <w:tblHeader/>
        </w:trPr>
        <w:tc>
          <w:tcPr>
            <w:tcW w:type="dxa" w:w="792"/>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Test</w:t>
            </w:r>
          </w:p>
        </w:tc>
        <w:tc>
          <w:tcPr>
            <w:tcW w:type="dxa" w:w="460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Scenario</w:t>
            </w:r>
          </w:p>
        </w:tc>
        <w:tc>
          <w:tcPr>
            <w:tcW w:type="dxa" w:w="4824"/>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Expected result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Complete, resume, edit, and submit a profile.</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Data persists correctly; exactly one current review task is created.</w:t>
            </w:r>
          </w:p>
        </w:tc>
      </w:tr>
      <w:tr>
        <w:trPr>
          <w:cantSplit/>
        </w:trPr>
        <w:tc>
          <w:tcPr>
            <w:tcW w:type="dxa" w:w="79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Q02</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Repeat or retry a submission or notification event.</w:t>
            </w:r>
          </w:p>
        </w:tc>
        <w:tc>
          <w:tcPr>
            <w:tcW w:type="dxa" w:w="48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No duplicate account, task, or unintended message.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Q03</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Call a locked function directly through its API.</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Request is denied even when the interface is bypassed.</w:t>
            </w:r>
          </w:p>
        </w:tc>
      </w:tr>
      <w:tr>
        <w:trPr>
          <w:cantSplit/>
        </w:trPr>
        <w:tc>
          <w:tcPr>
            <w:tcW w:type="dxa" w:w="79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Q04</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Request another participant's record, export, or file.</w:t>
            </w:r>
          </w:p>
        </w:tc>
        <w:tc>
          <w:tcPr>
            <w:tcW w:type="dxa" w:w="48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No content or unauthorized metadata is disclosed.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Q05</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Revoke access while sessions and jobs are active.</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Subsequent actions and affected jobs obey revocation.</w:t>
            </w:r>
          </w:p>
        </w:tc>
      </w:tr>
      <w:tr>
        <w:trPr>
          <w:cantSplit/>
        </w:trPr>
        <w:tc>
          <w:tcPr>
            <w:tcW w:type="dxa" w:w="79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Q06</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Insert instructions in a profile or attachment asking IQ to unlock access.</w:t>
            </w:r>
          </w:p>
        </w:tc>
        <w:tc>
          <w:tcPr>
            <w:tcW w:type="dxa" w:w="48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Content remains untrusted data; permissions do not change.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Q07</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Provide conflicting or unsupported claims.</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Packet identifies uncertainty and evidence gaps; it does not invent verification.</w:t>
            </w:r>
          </w:p>
        </w:tc>
      </w:tr>
      <w:tr>
        <w:trPr>
          <w:cantSplit/>
        </w:trPr>
        <w:tc>
          <w:tcPr>
            <w:tcW w:type="dxa" w:w="79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Q08</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Interrupt AI processing or return malformed output.</w:t>
            </w:r>
          </w:p>
        </w:tc>
        <w:tc>
          <w:tcPr>
            <w:tcW w:type="dxa" w:w="48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Case stays available for manual review; no automatic approval occurs.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Q09</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Supply new material information after review.</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History is retained and affected decisions or grants are reassessed.</w:t>
            </w:r>
          </w:p>
        </w:tc>
      </w:tr>
      <w:tr>
        <w:trPr>
          <w:cantSplit/>
        </w:trPr>
        <w:tc>
          <w:tcPr>
            <w:tcW w:type="dxa" w:w="79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Q10</w:t>
            </w:r>
          </w:p>
        </w:tc>
        <w:tc>
          <w:tcPr>
            <w:tcW w:type="dxa" w:w="460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Withdraw, correct data, or change publication preferences.</w:t>
            </w:r>
          </w:p>
        </w:tc>
        <w:tc>
          <w:tcPr>
            <w:tcW w:type="dxa" w:w="482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Defined handling works; marketing choice does not alter unrelated access.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Q11</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Exercise backup, restore, and release disable controls.</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Team can recover records and disable a faulty capability safely.</w:t>
            </w:r>
          </w:p>
        </w:tc>
      </w:tr>
    </w:tbl>
    <w:p/>
    <w:p>
      <w:pPr>
        <w:pStyle w:val="Heading2"/>
      </w:pPr>
      <w:r>
        <w:t>Launch gate</w:t>
      </w:r>
    </w:p>
    <w:p>
      <w:r>
        <w:t>Do not release with unresolved unauthorized access, cross-profile exposure, automatic approval from AI, or lost review records. Document other defects and their impact. Founder approval covers scope and operations; CTO approval covers technical readiness. Confirm the appropriate privacy and legal review for the actual beta activities.</w:t>
      </w:r>
    </w:p>
    <w:p>
      <w:r>
        <w:rPr>
          <w:b/>
        </w:rPr>
        <w:t>TO DO 13  |  CTO and Founder</w:t>
      </w:r>
    </w:p>
    <w:p>
      <w:r>
        <w:t>Run Q01 through Q11 on the intended release and record outcomes. Completion: Launch blockers are resolved and both release owners record their decision.</w:t>
      </w:r>
    </w:p>
    <w:p>
      <w:r>
        <w:br w:type="page"/>
      </w:r>
    </w:p>
    <w:p>
      <w:pPr>
        <w:pStyle w:val="Heading1"/>
      </w:pPr>
      <w:r>
        <w:t>11 Owner checklist and first operating cycle</w:t>
      </w:r>
    </w:p>
    <w:p>
      <w:pPr>
        <w:pStyle w:val="Heading2"/>
      </w:pPr>
      <w:r>
        <w:t>Founder to do</w:t>
      </w:r>
    </w:p>
    <w:p>
      <w:pPr>
        <w:pStyle w:val="ListBullet"/>
      </w:pPr>
      <w:r>
        <w:t>Approve scope and external terminology using TO DO 01.</w:t>
      </w:r>
    </w:p>
    <w:p>
      <w:pPr>
        <w:pStyle w:val="ListBullet"/>
      </w:pPr>
      <w:r>
        <w:t>Confirm minimum information and data handling with the CTO using TO DO 05.</w:t>
      </w:r>
    </w:p>
    <w:p>
      <w:pPr>
        <w:pStyle w:val="ListBullet"/>
      </w:pPr>
      <w:r>
        <w:t>Approve review categories, decision authority, and material-change treatment using TO DO 06 and 07.</w:t>
      </w:r>
    </w:p>
    <w:p>
      <w:pPr>
        <w:pStyle w:val="ListBullet"/>
      </w:pPr>
      <w:r>
        <w:t>Define future-activity legal and agreement gates using TO DO 09.</w:t>
      </w:r>
    </w:p>
    <w:p>
      <w:pPr>
        <w:pStyle w:val="ListBullet"/>
      </w:pPr>
      <w:r>
        <w:t>Assign reviewer coverage and operating targets using TO DO 10.</w:t>
      </w:r>
    </w:p>
    <w:p>
      <w:pPr>
        <w:pStyle w:val="ListBullet"/>
      </w:pPr>
      <w:r>
        <w:t>Approve the bounded pilot after TO DO 13 is complete.</w:t>
      </w:r>
    </w:p>
    <w:p>
      <w:pPr>
        <w:pStyle w:val="Heading2"/>
      </w:pPr>
      <w:r>
        <w:t>CTO and Developer to do</w:t>
      </w:r>
    </w:p>
    <w:p>
      <w:pPr>
        <w:pStyle w:val="ListBullet"/>
      </w:pPr>
      <w:r>
        <w:t>Map persistent records and implement onboarding using TO DO 02 through 04.</w:t>
      </w:r>
    </w:p>
    <w:p>
      <w:pPr>
        <w:pStyle w:val="ListBullet"/>
      </w:pPr>
      <w:r>
        <w:t>Build the evidence packet, states, and manual fallback using TO DO 06 and 07.</w:t>
      </w:r>
    </w:p>
    <w:p>
      <w:pPr>
        <w:pStyle w:val="ListBullet"/>
      </w:pPr>
      <w:r>
        <w:t>Implement and verify server authorization and protected-data handling using TO DO 08.</w:t>
      </w:r>
    </w:p>
    <w:p>
      <w:pPr>
        <w:pStyle w:val="ListBullet"/>
      </w:pPr>
      <w:r>
        <w:t>Add reliable metrics and ordered tickets using TO DO 11 and 12.</w:t>
      </w:r>
    </w:p>
    <w:p>
      <w:pPr>
        <w:pStyle w:val="ListBullet"/>
      </w:pPr>
      <w:r>
        <w:t>Execute the release acceptance cases and preserve evidence using TO DO 13.</w:t>
      </w:r>
    </w:p>
    <w:p>
      <w:pPr>
        <w:pStyle w:val="Heading2"/>
      </w:pPr>
      <w:r>
        <w:t>Recommended first operating cycle</w:t>
      </w:r>
    </w:p>
    <w:p>
      <w:r>
        <w:t>Begin with a small invited cohort sized to the reviewer's capacity. Include people representing more than one role, an incomplete profile, an organization representative, and a profile requiring clarification. Use consented pilot inputs and synthetic cases for unsafe or adversarial scenarios.</w:t>
      </w:r>
    </w:p>
    <w:p>
      <w:r>
        <w:t>During the cycle, record completion friction, questions users ask, reviewer time, recurring evidence gaps, and IQ corrections. Fix concrete obstacles before expanding the cohort. Do not unlock future functions merely to increase engagement.</w:t>
      </w:r>
    </w:p>
    <w:p>
      <w:pPr>
        <w:pStyle w:val="Heading2"/>
      </w:pPr>
      <w:r>
        <w:t>Pilot completion review</w:t>
      </w:r>
    </w:p>
    <w:p>
      <w:r>
        <w:t>Compare results with the approved scope and acceptance criteria. Decide whether to continue the same cohort, expand profile onboarding, or prepare the separate submission pilot. Record the decision, remaining risks, owner, and next review date.</w:t>
      </w:r>
    </w:p>
    <w:p>
      <w:r>
        <w:rPr>
          <w:b/>
        </w:rPr>
        <w:t>TO DO 14  |  Founder and CTO</w:t>
      </w:r>
    </w:p>
    <w:p>
      <w:r>
        <w:t>Select the initial cohort, assign its review capacity, and hold a documented pilot completion review. Completion: The next release decision is grounded in observed usage, QA results, and operational capacity.</w:t>
      </w:r>
    </w:p>
    <w:p>
      <w:pPr>
        <w:pStyle w:val="Heading2"/>
      </w:pPr>
      <w:r>
        <w:t>Decision fields to complete before kickoff</w:t>
      </w:r>
    </w:p>
    <w:p>
      <w:r>
        <w:t>Product owner: Jona S. Lemmonds. Technical owner: to be assigned. Primary reviewer and backup: to be assigned. Pilot cohort size: to be set from capacity. Internal response target: to be agreed. Release date: to be scheduled after acceptance testing. Next review date: to be scheduled.</w:t>
      </w:r>
    </w:p>
    <w:p>
      <w:r>
        <w:br w:type="page"/>
      </w:r>
    </w:p>
    <w:p>
      <w:pPr>
        <w:pStyle w:val="Heading1"/>
      </w:pPr>
      <w:r>
        <w:t>12 Terminology and sources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Term</w:t>
            </w:r>
          </w:p>
        </w:tc>
        <w:tc>
          <w:tcPr>
            <w:tcW w:type="dxa" w:w="7776"/>
            <w:vAlign w:val="center"/>
            <w:shd w:fill="33333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Meaning in this framework</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IAN</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Intelligence and Access Network; the interim public beta experience operated by JSL Premier.</w:t>
            </w:r>
          </w:p>
        </w:tc>
      </w:tr>
      <w:tr>
        <w:trPr>
          <w:cantSplit/>
        </w:trPr>
        <w:tc>
          <w:tcPr>
            <w:tcW w:type="dxa" w:w="24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Core</w:t>
            </w:r>
          </w:p>
        </w:tc>
        <w:tc>
          <w:tcPr>
            <w:tcW w:type="dxa" w:w="77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Internal pillar maintaining structured relationship and organization records.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Access</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Internal pillar managing onboarding, participation, invitations, and permissions.</w:t>
            </w:r>
          </w:p>
        </w:tc>
      </w:tr>
      <w:tr>
        <w:trPr>
          <w:cantSplit/>
        </w:trPr>
        <w:tc>
          <w:tcPr>
            <w:tcW w:type="dxa" w:w="24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IQ</w:t>
            </w:r>
          </w:p>
        </w:tc>
        <w:tc>
          <w:tcPr>
            <w:tcW w:type="dxa" w:w="77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Internal intelligence assistance that structures inputs and proposes evidence-based routing.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Evidence assurance</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Organization of received claims, sources, gaps, conflicts, and verification status.</w:t>
            </w:r>
          </w:p>
        </w:tc>
      </w:tr>
      <w:tr>
        <w:trPr>
          <w:cantSplit/>
        </w:trPr>
        <w:tc>
          <w:tcPr>
            <w:tcW w:type="dxa" w:w="24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Capability grant</w:t>
            </w:r>
          </w:p>
        </w:tc>
        <w:tc>
          <w:tcPr>
            <w:tcW w:type="dxa" w:w="77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Explicit permission for a defined activity on an authorized scope of records.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Release control</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Application-level control that determines whether a function is available at all.</w:t>
            </w:r>
          </w:p>
        </w:tc>
      </w:tr>
      <w:tr>
        <w:trPr>
          <w:cantSplit/>
        </w:trPr>
        <w:tc>
          <w:tcPr>
            <w:tcW w:type="dxa" w:w="24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Relationship qualification</w:t>
            </w:r>
          </w:p>
        </w:tc>
        <w:tc>
          <w:tcPr>
            <w:tcW w:type="dxa" w:w="77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Assessment of fit and readiness for an appropriate relationship step; not investment approval.</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Opportunity dossier</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Separate, versioned record of an opportunity and its supporting evidence.</w:t>
            </w:r>
          </w:p>
        </w:tc>
      </w:tr>
      <w:tr>
        <w:trPr>
          <w:cantSplit/>
        </w:trPr>
        <w:tc>
          <w:tcPr>
            <w:tcW w:type="dxa" w:w="244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Manual fallback</w:t>
            </w:r>
          </w:p>
        </w:tc>
        <w:tc>
          <w:tcPr>
            <w:tcW w:type="dxa" w:w="77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Reviewer workflow that remains usable when AI processing fails or is insufficient.</w:t>
            </w:r>
          </w:p>
        </w:tc>
      </w:tr>
    </w:tbl>
    <w:p/>
    <w:p>
      <w:pPr>
        <w:pStyle w:val="Heading2"/>
      </w:pPr>
      <w:r>
        <w:t>Reference guidance</w:t>
      </w:r>
    </w:p>
    <w:p>
      <w:r>
        <w:t>The sources below informed the preceding discussion. They support general security, AI risk, and regulatory boundaries; they do not validate a specific implementation or establish that JSL Premier is legally authorized for a particular activity.</w:t>
      </w:r>
    </w:p>
    <w:p>
      <w:r>
        <w:rPr>
          <w:b/>
        </w:rPr>
        <w:t>[1] OWASP Authorization Cheat Sheet</w:t>
      </w:r>
    </w:p>
    <w:p>
      <w:r>
        <w:t>Default denial, least privilege, and authorization on every request.</w:t>
      </w:r>
    </w:p>
    <w:p>
      <w:pPr>
        <w:spacing w:after="120"/>
      </w:pPr>
      <w:r>
        <w:rPr>
          <w:sz w:val="16"/>
        </w:rPr>
        <w:t>https://cheatsheetseries.owasp.org/cheatsheets/Authorization_Cheat_Sheet.html</w:t>
      </w:r>
    </w:p>
    <w:p>
      <w:r>
        <w:rPr>
          <w:b/>
        </w:rPr>
        <w:t>[2] OWASP REST Security Cheat Sheet</w:t>
      </w:r>
    </w:p>
    <w:p>
      <w:r>
        <w:t>Server-side workflow-state validation and rejection of invalid transitions.</w:t>
      </w:r>
    </w:p>
    <w:p>
      <w:pPr>
        <w:spacing w:after="120"/>
      </w:pPr>
      <w:r>
        <w:rPr>
          <w:sz w:val="16"/>
        </w:rPr>
        <w:t>https://cheatsheetseries.owasp.org/cheatsheets/REST_Security_Cheat_Sheet.html</w:t>
      </w:r>
    </w:p>
    <w:p>
      <w:r>
        <w:rPr>
          <w:b/>
        </w:rPr>
        <w:t>[3] NIST AI 600 1 Generative Artificial Intelligence Profile</w:t>
      </w:r>
    </w:p>
    <w:p>
      <w:r>
        <w:t>Generative AI risk management, including confabulation and human oversight.</w:t>
      </w:r>
    </w:p>
    <w:p>
      <w:pPr>
        <w:spacing w:after="120"/>
      </w:pPr>
      <w:r>
        <w:rPr>
          <w:sz w:val="16"/>
        </w:rPr>
        <w:t>https://nvlpubs.nist.gov/nistpubs/ai/NIST.AI.600-1.pdf</w:t>
      </w:r>
    </w:p>
    <w:p>
      <w:r>
        <w:rPr>
          <w:b/>
        </w:rPr>
        <w:t>[4] SEC Guide to Broker Dealer Registration</w:t>
      </w:r>
    </w:p>
    <w:p>
      <w:r>
        <w:t>Factors relevant to activities that may require broker-dealer registration.</w:t>
      </w:r>
    </w:p>
    <w:p>
      <w:pPr>
        <w:spacing w:after="120"/>
      </w:pPr>
      <w:r>
        <w:rPr>
          <w:sz w:val="16"/>
        </w:rPr>
        <w:t>https://www.sec.gov/about/divisions-offices/division-trading-markets/division-trading-markets-compliance-guides/guide-broker-dealer-registration</w:t>
      </w:r>
    </w:p>
    <w:p>
      <w:r>
        <w:t>Source basis: User requirements and the immediately preceding IAN framework discussion, organized on October 1, 2026. No proprietary source document or production code was audited for this deliverable.</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Use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JSL PREMIER  |  IAN BETA IMPLEMENTATION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1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IAN Beta User Flow and Implementation Framework</dc:title>
  <dc:subject>JSL Premier beta onboarding and controlled access implementation</dc:subject>
  <dc:creator>JSL Premier</dc:creator>
  <cp:keywords/>
  <dc:description>generated by python-docx</dc:description>
  <cp:lastModifiedBy/>
  <cp:revision>1</cp:revision>
  <dcterms:created xsi:type="dcterms:W3CDTF">2013-12-23T23:15:00Z</dcterms:created>
  <dcterms:modified xsi:type="dcterms:W3CDTF">2013-12-23T23:15:00Z</dcterms:modified>
  <cp:category/>
</cp:coreProperties>
</file>