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 SUPÉRIEURE DU QUÉBEC</w:t>
        <w:br w:type="textWrapping"/>
        <w:t xml:space="preserve">District de Beauharnois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: (seront assignés par le greffe)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CEDRIC LEBOEUF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650 Avenue Samson</w:t>
        <w:br w:type="textWrapping"/>
        <w:t xml:space="preserve">Rivière-Beaudette (Québec)</w:t>
        <w:br w:type="textWrapping"/>
        <w:t xml:space="preserve">J0P 1R0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Demandeur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-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SERVICES DE SANTÉ DCC (QUÉBEC) INC.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7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DENTALCORP HOLDINGS LTD.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(Collectivement, les « Défendeur »« Dentalcorp»)</w:t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181 Bay Street, Suite 2600</w:t>
        <w:br w:type="textWrapping"/>
        <w:t xml:space="preserve">Toronto (Ontario)</w:t>
        <w:br w:type="textWrapping"/>
        <w:t xml:space="preserve">M5J 2T3</w:t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Défenderesse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tjtggtzlu8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REQUÊTE EN ORDONNANCE DE SAUVEGARDE ET INJONCTION INTERLOCUTOIRE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(art. 509 à 511 et 646 C.p.c.)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npyt7tewy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Objet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 Demandeur requiert</w:t>
      </w:r>
      <w:r w:rsidDel="00000000" w:rsidR="00000000" w:rsidRPr="00000000">
        <w:rPr>
          <w:sz w:val="24"/>
          <w:szCs w:val="24"/>
          <w:rtl w:val="0"/>
        </w:rPr>
        <w:t xml:space="preserve"> qu’il plaise à la Cour ordonner aux Défenderesses :</w:t>
        <w:br w:type="textWrapping"/>
        <w:t xml:space="preserve"> a) </w:t>
      </w:r>
      <w:r w:rsidDel="00000000" w:rsidR="00000000" w:rsidRPr="00000000">
        <w:rPr>
          <w:b w:val="1"/>
          <w:sz w:val="24"/>
          <w:szCs w:val="24"/>
          <w:rtl w:val="0"/>
        </w:rPr>
        <w:t xml:space="preserve">de communiquer</w:t>
      </w:r>
      <w:r w:rsidDel="00000000" w:rsidR="00000000" w:rsidRPr="00000000">
        <w:rPr>
          <w:sz w:val="24"/>
          <w:szCs w:val="24"/>
          <w:rtl w:val="0"/>
        </w:rPr>
        <w:t xml:space="preserve"> au Demandeur, dans les </w:t>
      </w:r>
      <w:r w:rsidDel="00000000" w:rsidR="00000000" w:rsidRPr="00000000">
        <w:rPr>
          <w:b w:val="1"/>
          <w:sz w:val="24"/>
          <w:szCs w:val="24"/>
          <w:rtl w:val="0"/>
        </w:rPr>
        <w:t xml:space="preserve">cinq (5) jours</w:t>
      </w:r>
      <w:r w:rsidDel="00000000" w:rsidR="00000000" w:rsidRPr="00000000">
        <w:rPr>
          <w:sz w:val="24"/>
          <w:szCs w:val="24"/>
          <w:rtl w:val="0"/>
        </w:rPr>
        <w:t xml:space="preserve"> du jugement à intervenir, la liste complète – ou, subsidiairement, un tableau agrégé anonymisé – identifiant le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nombre de partenaires</w:t>
      </w:r>
      <w:r w:rsidDel="00000000" w:rsidR="00000000" w:rsidRPr="00000000">
        <w:rPr>
          <w:sz w:val="24"/>
          <w:szCs w:val="24"/>
          <w:rtl w:val="0"/>
        </w:rPr>
        <w:t xml:space="preserve"> de Dentalcorp qui, à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date du 18 mai 2022</w:t>
      </w:r>
      <w:r w:rsidDel="00000000" w:rsidR="00000000" w:rsidRPr="00000000">
        <w:rPr>
          <w:sz w:val="24"/>
          <w:szCs w:val="24"/>
          <w:rtl w:val="0"/>
        </w:rPr>
        <w:t xml:space="preserve">, 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étaient en situation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« shortfall »</w:t>
      </w:r>
      <w:r w:rsidDel="00000000" w:rsidR="00000000" w:rsidRPr="00000000">
        <w:rPr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faisaient l’objet d’un </w:t>
      </w:r>
      <w:r w:rsidDel="00000000" w:rsidR="00000000" w:rsidRPr="00000000">
        <w:rPr>
          <w:b w:val="1"/>
          <w:sz w:val="24"/>
          <w:szCs w:val="24"/>
          <w:rtl w:val="0"/>
        </w:rPr>
        <w:t xml:space="preserve">litige</w:t>
      </w:r>
      <w:r w:rsidDel="00000000" w:rsidR="00000000" w:rsidRPr="00000000">
        <w:rPr>
          <w:sz w:val="24"/>
          <w:szCs w:val="24"/>
          <w:rtl w:val="0"/>
        </w:rPr>
        <w:t xml:space="preserve"> ou d’une procédure contentieuse avec Dentalcorp;</w:t>
        <w:br w:type="textWrapping"/>
        <w:t xml:space="preserve"> b) </w:t>
      </w:r>
      <w:r w:rsidDel="00000000" w:rsidR="00000000" w:rsidRPr="00000000">
        <w:rPr>
          <w:b w:val="1"/>
          <w:sz w:val="24"/>
          <w:szCs w:val="24"/>
          <w:rtl w:val="0"/>
        </w:rPr>
        <w:t xml:space="preserve">de s’abstenir</w:t>
      </w:r>
      <w:r w:rsidDel="00000000" w:rsidR="00000000" w:rsidRPr="00000000">
        <w:rPr>
          <w:sz w:val="24"/>
          <w:szCs w:val="24"/>
          <w:rtl w:val="0"/>
        </w:rPr>
        <w:t xml:space="preserve"> de détruire, altérer ou dissimuler quelque document relatif à cette information;</w:t>
        <w:br w:type="textWrapping"/>
        <w:t xml:space="preserve"> c) </w:t>
      </w:r>
      <w:r w:rsidDel="00000000" w:rsidR="00000000" w:rsidRPr="00000000">
        <w:rPr>
          <w:b w:val="1"/>
          <w:sz w:val="24"/>
          <w:szCs w:val="24"/>
          <w:rtl w:val="0"/>
        </w:rPr>
        <w:t xml:space="preserve">de suspendre</w:t>
      </w:r>
      <w:r w:rsidDel="00000000" w:rsidR="00000000" w:rsidRPr="00000000">
        <w:rPr>
          <w:sz w:val="24"/>
          <w:szCs w:val="24"/>
          <w:rtl w:val="0"/>
        </w:rPr>
        <w:t xml:space="preserve"> toute démarche visant la mise sous scellés de cette preuve devant l’arbitre jusqu’à communication complète;</w:t>
        <w:br w:type="textWrapping"/>
        <w:t xml:space="preserve"> d) </w:t>
      </w:r>
      <w:r w:rsidDel="00000000" w:rsidR="00000000" w:rsidRPr="00000000">
        <w:rPr>
          <w:b w:val="1"/>
          <w:sz w:val="24"/>
          <w:szCs w:val="24"/>
          <w:rtl w:val="0"/>
        </w:rPr>
        <w:t xml:space="preserve">de verser la preuve</w:t>
      </w:r>
      <w:r w:rsidDel="00000000" w:rsidR="00000000" w:rsidRPr="00000000">
        <w:rPr>
          <w:sz w:val="24"/>
          <w:szCs w:val="24"/>
          <w:rtl w:val="0"/>
        </w:rPr>
        <w:t xml:space="preserve"> ainsi communiquée au dossier arbitral dans le respect d’un engagement de confidentialité.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Subsidiairement</w:t>
      </w:r>
      <w:r w:rsidDel="00000000" w:rsidR="00000000" w:rsidRPr="00000000">
        <w:rPr>
          <w:sz w:val="24"/>
          <w:szCs w:val="24"/>
          <w:rtl w:val="0"/>
        </w:rPr>
        <w:t xml:space="preserve">, ordonner toute autre modalité jugée appropriée (huis clos, caviardage ciblé) permettant la divulgation contrôlée de l’information, sans préjudice indu aux intérêts commerciaux des Défenderesses.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z3dlqndxs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Compétence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Sous réserve de la compétence de l’arbitre pour décider au fond, </w:t>
      </w:r>
      <w:r w:rsidDel="00000000" w:rsidR="00000000" w:rsidRPr="00000000">
        <w:rPr>
          <w:b w:val="1"/>
          <w:sz w:val="24"/>
          <w:szCs w:val="24"/>
          <w:rtl w:val="0"/>
        </w:rPr>
        <w:t xml:space="preserve">l’article 649 C.p.c.</w:t>
      </w:r>
      <w:r w:rsidDel="00000000" w:rsidR="00000000" w:rsidRPr="00000000">
        <w:rPr>
          <w:sz w:val="24"/>
          <w:szCs w:val="24"/>
          <w:rtl w:val="0"/>
        </w:rPr>
        <w:t xml:space="preserve"> reconnaît expressément la compétence de la Cour supérieure pour émettre des </w:t>
      </w:r>
      <w:r w:rsidDel="00000000" w:rsidR="00000000" w:rsidRPr="00000000">
        <w:rPr>
          <w:b w:val="1"/>
          <w:sz w:val="24"/>
          <w:szCs w:val="24"/>
          <w:rtl w:val="0"/>
        </w:rPr>
        <w:t xml:space="preserve">mesures provisionnelles ou conservatoires</w:t>
      </w:r>
      <w:r w:rsidDel="00000000" w:rsidR="00000000" w:rsidRPr="00000000">
        <w:rPr>
          <w:sz w:val="24"/>
          <w:szCs w:val="24"/>
          <w:rtl w:val="0"/>
        </w:rPr>
        <w:t xml:space="preserve"> en soutien à un arbitrage.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ys798f7sah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Contexte factuel essentiel (arts 85, 158 C.p.c.)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18 mai 2022, les parties ont conclu une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Convention de services</w:t>
      </w:r>
      <w:r w:rsidDel="00000000" w:rsidR="00000000" w:rsidRPr="00000000">
        <w:rPr>
          <w:sz w:val="24"/>
          <w:szCs w:val="24"/>
          <w:rtl w:val="0"/>
        </w:rPr>
        <w:t xml:space="preserve"> contenant une clause compromissoire et une clause de confidentialité.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 les négociations, les Défenderesses ont affirmé qu’</w:t>
      </w:r>
      <w:r w:rsidDel="00000000" w:rsidR="00000000" w:rsidRPr="00000000">
        <w:rPr>
          <w:b w:val="1"/>
          <w:sz w:val="24"/>
          <w:szCs w:val="24"/>
          <w:rtl w:val="0"/>
        </w:rPr>
        <w:t xml:space="preserve">aucun partenaire n’était déficitaire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Demandeur allègue désormais que cette affirmation était </w:t>
      </w:r>
      <w:r w:rsidDel="00000000" w:rsidR="00000000" w:rsidRPr="00000000">
        <w:rPr>
          <w:b w:val="1"/>
          <w:sz w:val="24"/>
          <w:szCs w:val="24"/>
          <w:rtl w:val="0"/>
        </w:rPr>
        <w:t xml:space="preserve">fausse</w:t>
      </w:r>
      <w:r w:rsidDel="00000000" w:rsidR="00000000" w:rsidRPr="00000000">
        <w:rPr>
          <w:sz w:val="24"/>
          <w:szCs w:val="24"/>
          <w:rtl w:val="0"/>
        </w:rPr>
        <w:t xml:space="preserve">, constitutive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dol</w:t>
      </w:r>
      <w:r w:rsidDel="00000000" w:rsidR="00000000" w:rsidRPr="00000000">
        <w:rPr>
          <w:sz w:val="24"/>
          <w:szCs w:val="24"/>
          <w:rtl w:val="0"/>
        </w:rPr>
        <w:t xml:space="preserve"> (art. 1401 C.c.Q.).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L’arbitrage est en cours devant Me Marie-Claude Martel; les Défenderesses ont déposé une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requête de mise sous scellés</w:t>
      </w:r>
      <w:r w:rsidDel="00000000" w:rsidR="00000000" w:rsidRPr="00000000">
        <w:rPr>
          <w:sz w:val="24"/>
          <w:szCs w:val="24"/>
          <w:rtl w:val="0"/>
        </w:rPr>
        <w:t xml:space="preserve"> visant exactement l’information ci-dessus.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Sans cette preuve, le Demandeur est </w:t>
      </w:r>
      <w:r w:rsidDel="00000000" w:rsidR="00000000" w:rsidRPr="00000000">
        <w:rPr>
          <w:b w:val="1"/>
          <w:sz w:val="24"/>
          <w:szCs w:val="24"/>
          <w:rtl w:val="0"/>
        </w:rPr>
        <w:t xml:space="preserve">incapable</w:t>
      </w:r>
      <w:r w:rsidDel="00000000" w:rsidR="00000000" w:rsidRPr="00000000">
        <w:rPr>
          <w:sz w:val="24"/>
          <w:szCs w:val="24"/>
          <w:rtl w:val="0"/>
        </w:rPr>
        <w:t xml:space="preserve"> de démontrer la dissimulation alléguée : l’équité procédurale est compromise.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35ng1u0wt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Critères de l’injonction (art. 509 C.p.c.;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RJR-MacDonald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4.1. Apparence de droit sérieux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9. La jurisprudence (</w:t>
      </w:r>
      <w:r w:rsidDel="00000000" w:rsidR="00000000" w:rsidRPr="00000000">
        <w:rPr>
          <w:i w:val="1"/>
          <w:sz w:val="24"/>
          <w:szCs w:val="24"/>
          <w:rtl w:val="0"/>
        </w:rPr>
        <w:t xml:space="preserve">Tate &amp; Lyle North American Sugars c. Somavrac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SNC-Lavalin c. ArcelorMittal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SOS Marine</w:t>
      </w:r>
      <w:r w:rsidDel="00000000" w:rsidR="00000000" w:rsidRPr="00000000">
        <w:rPr>
          <w:sz w:val="24"/>
          <w:szCs w:val="24"/>
          <w:rtl w:val="0"/>
        </w:rPr>
        <w:t xml:space="preserve">) confirme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la confidentialité contractuelle ne constitue pas un privilège</w:t>
      </w:r>
      <w:r w:rsidDel="00000000" w:rsidR="00000000" w:rsidRPr="00000000">
        <w:rPr>
          <w:sz w:val="24"/>
          <w:szCs w:val="24"/>
          <w:rtl w:val="0"/>
        </w:rPr>
        <w:t xml:space="preserve"> opposable à la communication d’une preuve pertinente.</w:t>
        <w:br w:type="textWrapping"/>
        <w:t xml:space="preserve"> 10. Les articles 15, 19 et 158 C.p.c. imposent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coopération</w:t>
      </w:r>
      <w:r w:rsidDel="00000000" w:rsidR="00000000" w:rsidRPr="00000000">
        <w:rPr>
          <w:sz w:val="24"/>
          <w:szCs w:val="24"/>
          <w:rtl w:val="0"/>
        </w:rPr>
        <w:t xml:space="preserve"> et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communication de la preuve pertinente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4.2. Préjudice irréparable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11. S’il est privé de la preuve, le Demandeur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perdra irréversiblement</w:t>
      </w:r>
      <w:r w:rsidDel="00000000" w:rsidR="00000000" w:rsidRPr="00000000">
        <w:rPr>
          <w:sz w:val="24"/>
          <w:szCs w:val="24"/>
          <w:rtl w:val="0"/>
        </w:rPr>
        <w:t xml:space="preserve"> la possibilité de prouver le dol; toute sentence défavorable serait toutefois difficile à faire annuler malgré les délais et coûts.</w:t>
        <w:br w:type="textWrapping"/>
        <w:t xml:space="preserve"> 12. Ce préjudice n’est pas compensable par une simple indemnité monétaire.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4.3. Prépondérance des inconvénients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13. La divulgation contrôlée </w:t>
      </w:r>
      <w:r w:rsidDel="00000000" w:rsidR="00000000" w:rsidRPr="00000000">
        <w:rPr>
          <w:b w:val="1"/>
          <w:sz w:val="24"/>
          <w:szCs w:val="24"/>
          <w:rtl w:val="0"/>
        </w:rPr>
        <w:t xml:space="preserve">élimine tout risque commercial</w:t>
      </w:r>
      <w:r w:rsidDel="00000000" w:rsidR="00000000" w:rsidRPr="00000000">
        <w:rPr>
          <w:sz w:val="24"/>
          <w:szCs w:val="24"/>
          <w:rtl w:val="0"/>
        </w:rPr>
        <w:t xml:space="preserve"> sérieux pour les Défenderesses.</w:t>
        <w:br w:type="textWrapping"/>
        <w:t xml:space="preserve"> 14. À l’inverse, l’occultation totale </w:t>
      </w:r>
      <w:r w:rsidDel="00000000" w:rsidR="00000000" w:rsidRPr="00000000">
        <w:rPr>
          <w:b w:val="1"/>
          <w:sz w:val="24"/>
          <w:szCs w:val="24"/>
          <w:rtl w:val="0"/>
        </w:rPr>
        <w:t xml:space="preserve">anéantit</w:t>
      </w:r>
      <w:r w:rsidDel="00000000" w:rsidR="00000000" w:rsidRPr="00000000">
        <w:rPr>
          <w:sz w:val="24"/>
          <w:szCs w:val="24"/>
          <w:rtl w:val="0"/>
        </w:rPr>
        <w:t xml:space="preserve"> les droits de défense du Demandeur et menace la validité de la sentence (art. 646 al. 1 (4°) C.p.c.).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lkqfb30sb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Conclusions recherchées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 CES MOTIFS, PLAISE AU TRIBUNAL 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ACCUEILLIR la présente requête;</w:t>
        <w:br w:type="textWrapping"/>
        <w:t xml:space="preserve"> B. ORDONNER aux Défenderesses, en vertu des articles 509 et 649 C.p.c., de transmettre au Demandeur, dans les </w:t>
      </w:r>
      <w:r w:rsidDel="00000000" w:rsidR="00000000" w:rsidRPr="00000000">
        <w:rPr>
          <w:b w:val="1"/>
          <w:sz w:val="24"/>
          <w:szCs w:val="24"/>
          <w:rtl w:val="0"/>
        </w:rPr>
        <w:t xml:space="preserve">5 jours</w:t>
      </w:r>
      <w:r w:rsidDel="00000000" w:rsidR="00000000" w:rsidRPr="00000000">
        <w:rPr>
          <w:sz w:val="24"/>
          <w:szCs w:val="24"/>
          <w:rtl w:val="0"/>
        </w:rPr>
        <w:t xml:space="preserve"> du jugement, les renseignements détaillés ou agrégés énoncés au paragraphe 1 a);</w:t>
        <w:br w:type="textWrapping"/>
        <w:t xml:space="preserve"> C. INTERDIRE aux Défenderesses de détruire, modifier ou dissimuler tout document relatif à ces renseignements;</w:t>
        <w:br w:type="textWrapping"/>
        <w:t xml:space="preserve"> D. SUSPENDRE la demande de mise sous scellés actuellement pendante devant l’arbitre jusqu’à exécution complète du présent jugement;</w:t>
        <w:br w:type="textWrapping"/>
        <w:t xml:space="preserve"> E. ORDONNER que la preuve ainsi transmise demeure sous régime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confidentialité</w:t>
      </w:r>
      <w:r w:rsidDel="00000000" w:rsidR="00000000" w:rsidRPr="00000000">
        <w:rPr>
          <w:sz w:val="24"/>
          <w:szCs w:val="24"/>
          <w:rtl w:val="0"/>
        </w:rPr>
        <w:t xml:space="preserve">, sauf ordonnance contraire de l’arbitre;</w:t>
        <w:br w:type="textWrapping"/>
        <w:t xml:space="preserve"> F. LE TOUT avec dépens, dont les honoraires d’expert et frais d’huissier.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3i8n6kz30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Pièces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P-1</w:t>
      </w:r>
      <w:r w:rsidDel="00000000" w:rsidR="00000000" w:rsidRPr="00000000">
        <w:rPr>
          <w:sz w:val="24"/>
          <w:szCs w:val="24"/>
          <w:rtl w:val="0"/>
        </w:rPr>
        <w:t xml:space="preserve"> : Convention de services (18 mai 2022)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P-2</w:t>
      </w:r>
      <w:r w:rsidDel="00000000" w:rsidR="00000000" w:rsidRPr="00000000">
        <w:rPr>
          <w:sz w:val="24"/>
          <w:szCs w:val="24"/>
          <w:rtl w:val="0"/>
        </w:rPr>
        <w:t xml:space="preserve"> : Correspondance précontractuelle faisant état de l’absence de shortfall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P-3</w:t>
      </w:r>
      <w:r w:rsidDel="00000000" w:rsidR="00000000" w:rsidRPr="00000000">
        <w:rPr>
          <w:sz w:val="24"/>
          <w:szCs w:val="24"/>
          <w:rtl w:val="0"/>
        </w:rPr>
        <w:t xml:space="preserve"> : Requête de mise sous scellés déposée devant l’arbitre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P-4</w:t>
      </w:r>
      <w:r w:rsidDel="00000000" w:rsidR="00000000" w:rsidRPr="00000000">
        <w:rPr>
          <w:sz w:val="24"/>
          <w:szCs w:val="24"/>
          <w:rtl w:val="0"/>
        </w:rPr>
        <w:t xml:space="preserve"> : Affidavit de Cédric Leboeuf détaillant la nécessité de la preuve et l’urgence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P-5</w:t>
      </w:r>
      <w:r w:rsidDel="00000000" w:rsidR="00000000" w:rsidRPr="00000000">
        <w:rPr>
          <w:sz w:val="24"/>
          <w:szCs w:val="24"/>
          <w:rtl w:val="0"/>
        </w:rPr>
        <w:t xml:space="preserve">: Ordonnance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P-6</w:t>
      </w:r>
      <w:r w:rsidDel="00000000" w:rsidR="00000000" w:rsidRPr="00000000">
        <w:rPr>
          <w:sz w:val="24"/>
          <w:szCs w:val="24"/>
          <w:rtl w:val="0"/>
        </w:rPr>
        <w:t xml:space="preserve">: Decision gestion arbitrage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P-7</w:t>
      </w:r>
      <w:r w:rsidDel="00000000" w:rsidR="00000000" w:rsidRPr="00000000">
        <w:rPr>
          <w:sz w:val="24"/>
          <w:szCs w:val="24"/>
          <w:rtl w:val="0"/>
        </w:rPr>
        <w:t xml:space="preserve"> Avis de Presentation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Fait et signé à Deerfield beach, ce  4  Avril 2025.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CEDRIC LEBOEUF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650 Avenue Samson</w:t>
        <w:br w:type="textWrapping"/>
        <w:t xml:space="preserve">Rivière-Beaudette (Québec)</w:t>
        <w:br w:type="textWrapping"/>
        <w:t xml:space="preserve">J0P 1R0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1067212" cy="2598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212" cy="259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