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ARBITRAGE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Devant Me Marie-Claude Martel, arbitre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righ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Parties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CÉDRIC LEBOEUF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VIVIAN RAHAUSEN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FIDUCIE FAMILIALE CÉDRIC LEBOEUF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FIDUCIE FAMILIALE VIVIAN RAHAUSEN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(Collectivement, les « Défendeurs »)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SERVICES DE SANTÉ DCC (QUÉBEC) INC.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DENTALCORP HOLDINGS LTD.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(Collectivement, les « Demandeurs »« Dentalcorp»)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REQUÊTE DE MISE À JOUR DU MONTANT RÉCLAMÉ 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Datée du 21 AVRIL 2025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Objet de la demande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Après avoir déjà contesté les montants réclamés pour 2022 et 2023, je sollicite désormais la mise à jour et le réexamen de la réclamation de Dentalcorp afin d’y intégrer également l’exercice 2024, puisqu’un nouveau montant vient de m’être réclamé.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Pièce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Ce réexamen se justifie au regard (i) des incohérences financières substantielles constatées pour 2024 et (ii) du refus persistant de Dentalcorp de transmettre les renseignements requis, malgré mes demandes répétées.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Pièce P6</w:t>
      </w:r>
      <w:r w:rsidDel="00000000" w:rsidR="00000000" w:rsidRPr="00000000">
        <w:rPr>
          <w:sz w:val="24"/>
          <w:szCs w:val="24"/>
          <w:rtl w:val="0"/>
        </w:rPr>
        <w:t xml:space="preserve">. Ce mutisme—qui s’ajoute à de précédentes carences—constitue, à mon sens, un nouvel abus de droit et une violation de leurs obligations, révélant une volonté délibérée de se soustraire à toute collaboration constructive et transparente.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cgt8ckaub8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I. FAITS ET CONTEXTE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A.Objectifs contractuels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180" w:firstLine="0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Cible annuelle pour Viva : 4 100 253 $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Pièce P1</w:t>
      </w:r>
    </w:p>
    <w:p w:rsidR="00000000" w:rsidDel="00000000" w:rsidP="00000000" w:rsidRDefault="00000000" w:rsidRPr="00000000" w14:paraId="00000018">
      <w:pPr>
        <w:spacing w:after="240" w:before="240" w:lineRule="auto"/>
        <w:ind w:left="180" w:firstLine="0"/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Cible annuelle pour le Dr Bélanger :  503 059 $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Pièce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1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 Total : 4 603 312 $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B.Calcul de rémunération variable selon dentalcorp (lettre du 27 mars 2025, Pièce P3)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  <w:t xml:space="preserve"> EBITDA déclaré :</w:t>
      </w:r>
      <w:r w:rsidDel="00000000" w:rsidR="00000000" w:rsidRPr="00000000">
        <w:rPr>
          <w:b w:val="1"/>
          <w:rtl w:val="0"/>
        </w:rPr>
        <w:t xml:space="preserve"> 4 449 249 $ SANS DR BELANGER</w:t>
      </w:r>
      <w:r w:rsidDel="00000000" w:rsidR="00000000" w:rsidRPr="00000000">
        <w:rPr>
          <w:rtl w:val="0"/>
        </w:rPr>
        <w:br w:type="textWrapping"/>
        <w:t xml:space="preserve"> 2 Seuil prorata : 4 111 487 $</w:t>
        <w:br w:type="textWrapping"/>
        <w:t xml:space="preserve"> 3 Position déficitaire : (7 189 $)</w:t>
        <w:br w:type="textWrapping"/>
        <w:t xml:space="preserve"> 4 Rémunération variable finale : (72 359 $)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C.États financiers internes selon dentalcorp (Tableau Online, Pièce P4)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1 EBITDA réel : </w:t>
      </w:r>
      <w:r w:rsidDel="00000000" w:rsidR="00000000" w:rsidRPr="00000000">
        <w:rPr>
          <w:b w:val="1"/>
          <w:rtl w:val="0"/>
        </w:rPr>
        <w:t xml:space="preserve">5 151 495 $</w:t>
      </w:r>
      <w:r w:rsidDel="00000000" w:rsidR="00000000" w:rsidRPr="00000000">
        <w:rPr>
          <w:rtl w:val="0"/>
        </w:rPr>
        <w:br w:type="textWrapping"/>
        <w:t xml:space="preserve"> 2 Budget ajusté : 4 885 419 $</w:t>
        <w:br w:type="textWrapping"/>
        <w:t xml:space="preserve"> 3 Écart positif : + 266 076 $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D.Confirmation externe selon dentalcorp (Pièce P5)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1 Mme Mariane Bouchard, gestionnaire régionale, atteste pour 2024 :</w:t>
        <w:br w:type="textWrapping"/>
        <w:t xml:space="preserve"> 2 + 6,0 % de revenus (+ 1,2 M $)</w:t>
        <w:br w:type="textWrapping"/>
        <w:t xml:space="preserve"> 3 + 26,5 % d’EBITDA (+ 907 K $)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c2uuk7n7g2d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II. INCOHÉRENCES ET MANQUEMENT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7gbipjreowi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A. Chiffres contradictoires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Dentalcorp prétend un shortfall de (72 359 $), alors que nos rapports internes démontrent une surperformance de + 266 076 $, soit une marge bénéficiaire d’environ 10,23 % sur une hausse de CA de 2,6 M $. Cette divergence est matériellement impossible et incohérente.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Leur propre EBITDA ajusté global pour 2024 atteint 18,5 %, incluant l’ensemble des depenses pour leur centre de service; on doit logiquement constater un ratio de 22 % et plus au niveau des cliniques dentaires. Donc même les rapports internes semblent faux.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Voici un passage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Pièce P3 </w:t>
      </w:r>
      <w:r w:rsidDel="00000000" w:rsidR="00000000" w:rsidRPr="00000000">
        <w:rPr>
          <w:sz w:val="24"/>
          <w:szCs w:val="24"/>
          <w:rtl w:val="0"/>
        </w:rPr>
        <w:t xml:space="preserve">qui ne fait aucun sens: </w:t>
      </w:r>
      <w:r w:rsidDel="00000000" w:rsidR="00000000" w:rsidRPr="00000000">
        <w:rPr>
          <w:i w:val="1"/>
          <w:rtl w:val="0"/>
        </w:rPr>
        <w:t xml:space="preserve">En bref, votre flux de trésorerie annuel du 1 Janvier 2024 au 31 Décembre 2024 était de $4,449,249. Votre seuil de flux de trésorerie initial calculé au prorata était de $4,111,487 et votre seuil de flux de trésorerie variable calculé au prorata était de $3,700,338 pour la même période. Selon les modalités de votre Entente de Services Professionnels, le calcul ci-dessus conduit à un montant de rémunération variable à payer de $(7,189) pour cette période.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t0ehznky16b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B. Violation de l’obligation d’information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Malgré mes demandes formelles du 27 mars, 3-8-9-18 avril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(Pièce P7)</w:t>
      </w:r>
      <w:r w:rsidDel="00000000" w:rsidR="00000000" w:rsidRPr="00000000">
        <w:rPr>
          <w:rtl w:val="0"/>
        </w:rPr>
        <w:t xml:space="preserve">, Dentalcorp n’a ni confirmé réception ni justifié ses calculs.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Cette rétention d’informations contrevient à notre Entente de Services, qui impose la transparence et la communication des éléments constitutifs du shortfall.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ec6wuampw6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III. CONCLUSIONS ET DEMANDES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Mise à jour des calculs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Ordonner à Dentalcorp de réviser et de communiquer, sous cinq jours, le détail complet de ses calculs de shortfall pour 2024 et le total.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Constat de mauvaise foi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Reconnaître le manquement de Dentalcorp à son devoir d’information et en tenir compte dans l’évaluation des frais d’arbitrage et honoraires.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Réduction du montant réclamé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Adapter la réclamation de 662 431 $ au montant réellement dû, après prise en compte de la performance 2024.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reste naturellement à la disposition de la Cour pour toute précision complémentaire.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Veuillez agréer, Madame l’Arbitre, l’assurance de ma très haute considération.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Cédric Leboeuf</w:t>
        <w:br w:type="textWrapping"/>
      </w:r>
      <w:r w:rsidDel="00000000" w:rsidR="00000000" w:rsidRPr="00000000">
        <w:rPr>
          <w:rtl w:val="0"/>
        </w:rPr>
        <w:t xml:space="preserve"> Défendeur – Groupe Viva et entités liées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