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MÉTHODOLOGIE PRÉVISIONNELS REVENUS 36 MOIS</w:t>
      </w:r>
    </w:p>
    <w:p>
      <w:r>
        <w:t>Date : 19 octobre 2025</w:t>
      </w:r>
    </w:p>
    <w:p>
      <w:r>
        <w:t>Clinique : Clinique Vétérinaire VETA Saint-Zotique</w:t>
      </w:r>
    </w:p>
    <w:p>
      <w:r>
        <w:t>Objectif : Documenter la méthodologie complète pour projeter les revenus sur 36 mois</w:t>
      </w:r>
    </w:p>
    <w:p>
      <w:r>
        <w:t>Statut : ✅ MÉTHODOLOGIE VALIDÉE</w:t>
      </w:r>
    </w:p>
    <w:p>
      <w:pPr>
        <w:pStyle w:val="Heading1"/>
      </w:pPr>
      <w:r>
        <w:t>Résumé exécutif</w:t>
      </w:r>
    </w:p>
    <w:p>
      <w:r>
        <w:t>Cette méthodologie permet de projeter les revenus de la Clinique sur 36 mois en intégrant :</w:t>
        <w:br/>
      </w:r>
      <w:r>
        <w:rPr>
          <w:b/>
        </w:rPr>
        <w:br/>
        <w:t>- Revenus base (2 vétérinaires actuels)</w:t>
      </w:r>
      <w:r>
        <w:rPr>
          <w:b/>
        </w:rPr>
        <w:br/>
        <w:t>- Saisonnalité (12 coefficients mensuels)</w:t>
      </w:r>
      <w:r>
        <w:rPr>
          <w:b/>
        </w:rPr>
        <w:br/>
        <w:t>- Croissance annuelle (3 scénarios : 3%, 5%, 10%)</w:t>
      </w:r>
      <w:r>
        <w:rPr>
          <w:b/>
        </w:rPr>
        <w:br/>
        <w:t>- Revenus Tamara (à partir M3)</w:t>
      </w:r>
      <w:r>
        <w:rPr>
          <w:b/>
        </w:rPr>
        <w:br/>
        <w:t>- Revenus Vet4 (à partir du M20)</w:t>
      </w:r>
      <w:r>
        <w:rPr>
          <w:b/>
        </w:rPr>
        <w:br/>
        <w:br/>
        <w:t xml:space="preserve">Formule générale : </w:t>
      </w:r>
      <w:r>
        <w:t>Revenus Total Mois N = Revenus Base × Coeff Saisonnalité × (1 + Croissance)^Année + Revenus Tamara (si M ≥ 3) + Revenus Vet4 (si M ≥ 20)</w:t>
      </w:r>
    </w:p>
    <w:p>
      <w:pPr>
        <w:pStyle w:val="Heading2"/>
      </w:pPr>
      <w:r>
        <w:t>1. Revenus de base</w:t>
      </w:r>
    </w:p>
    <w:p>
      <w:r>
        <w:t>Mois de référence : Août 2025 (159 495 $)</w:t>
      </w:r>
    </w:p>
    <w:p>
      <w:r>
        <w:t>Coefficient saisonnalité août : 1,15</w:t>
      </w:r>
    </w:p>
    <w:p>
      <w:r>
        <w:t>Calcul mois normal : 159 495 $ ÷ 1,15 = 138 691 $</w:t>
      </w:r>
    </w:p>
    <w:p>
      <w:r>
        <w:t>Calcul revenus annuels : 138 691 $ × 11,65 = 1 616 452 $</w:t>
      </w:r>
    </w:p>
    <w:p>
      <w:pPr>
        <w:jc w:val="center"/>
      </w:pPr>
      <w:r>
        <w:br/>
      </w:r>
    </w:p>
    <w:p>
      <w:pPr>
        <w:pStyle w:val="Heading2"/>
      </w:pPr>
      <w:r>
        <w:t>2. Coefficients de saisonnalité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53"/>
        <w:gridCol w:w="3653"/>
        <w:gridCol w:w="3653"/>
      </w:tblGrid>
      <w:tr>
        <w:tc>
          <w:tcPr>
            <w:tcW w:type="dxa" w:w="3653"/>
          </w:tcPr>
          <w:p>
            <w:r>
              <w:rPr>
                <w:b/>
                <w:color w:val="FFFFFF"/>
              </w:rPr>
              <w:t>Mois</w:t>
            </w:r>
          </w:p>
        </w:tc>
        <w:tc>
          <w:tcPr>
            <w:tcW w:type="dxa" w:w="3653"/>
          </w:tcPr>
          <w:p>
            <w:r>
              <w:rPr>
                <w:b/>
                <w:color w:val="FFFFFF"/>
              </w:rPr>
              <w:t>Coefficient</w:t>
            </w:r>
          </w:p>
        </w:tc>
        <w:tc>
          <w:tcPr>
            <w:tcW w:type="dxa" w:w="3653"/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3653"/>
          </w:tcPr>
          <w:p>
            <w:r>
              <w:t>Janvier</w:t>
            </w:r>
          </w:p>
        </w:tc>
        <w:tc>
          <w:tcPr>
            <w:tcW w:type="dxa" w:w="3653"/>
          </w:tcPr>
          <w:p>
            <w:r>
              <w:t>0.80</w:t>
            </w:r>
          </w:p>
        </w:tc>
        <w:tc>
          <w:tcPr>
            <w:tcW w:type="dxa" w:w="3653"/>
          </w:tcPr>
          <w:p>
            <w:r>
              <w:t>Hiver moyen, fêtes</w:t>
            </w:r>
          </w:p>
        </w:tc>
      </w:tr>
      <w:tr>
        <w:tc>
          <w:tcPr>
            <w:tcW w:type="dxa" w:w="3653"/>
          </w:tcPr>
          <w:p>
            <w:r>
              <w:t>Février</w:t>
            </w:r>
          </w:p>
        </w:tc>
        <w:tc>
          <w:tcPr>
            <w:tcW w:type="dxa" w:w="3653"/>
          </w:tcPr>
          <w:p>
            <w:r>
              <w:t>0.75</w:t>
            </w:r>
          </w:p>
        </w:tc>
        <w:tc>
          <w:tcPr>
            <w:tcW w:type="dxa" w:w="3653"/>
          </w:tcPr>
          <w:p>
            <w:r>
              <w:t>Période creuse</w:t>
            </w:r>
          </w:p>
        </w:tc>
      </w:tr>
      <w:tr>
        <w:tc>
          <w:tcPr>
            <w:tcW w:type="dxa" w:w="3653"/>
          </w:tcPr>
          <w:p>
            <w:r>
              <w:t>Mars</w:t>
            </w:r>
          </w:p>
        </w:tc>
        <w:tc>
          <w:tcPr>
            <w:tcW w:type="dxa" w:w="3653"/>
          </w:tcPr>
          <w:p>
            <w:r>
              <w:t>0.90</w:t>
            </w:r>
          </w:p>
        </w:tc>
        <w:tc>
          <w:tcPr>
            <w:tcW w:type="dxa" w:w="3653"/>
          </w:tcPr>
          <w:p>
            <w:r>
              <w:t>Sortie hiver</w:t>
            </w:r>
          </w:p>
        </w:tc>
      </w:tr>
      <w:tr>
        <w:tc>
          <w:tcPr>
            <w:tcW w:type="dxa" w:w="3653"/>
          </w:tcPr>
          <w:p>
            <w:r>
              <w:t>Avril</w:t>
            </w:r>
          </w:p>
        </w:tc>
        <w:tc>
          <w:tcPr>
            <w:tcW w:type="dxa" w:w="3653"/>
          </w:tcPr>
          <w:p>
            <w:r>
              <w:t>1.00</w:t>
            </w:r>
          </w:p>
        </w:tc>
        <w:tc>
          <w:tcPr>
            <w:tcW w:type="dxa" w:w="3653"/>
          </w:tcPr>
          <w:p>
            <w:r>
              <w:t>Mois « normal »</w:t>
            </w:r>
          </w:p>
        </w:tc>
      </w:tr>
      <w:tr>
        <w:tc>
          <w:tcPr>
            <w:tcW w:type="dxa" w:w="3653"/>
          </w:tcPr>
          <w:p>
            <w:r>
              <w:t>Mai</w:t>
            </w:r>
          </w:p>
        </w:tc>
        <w:tc>
          <w:tcPr>
            <w:tcW w:type="dxa" w:w="3653"/>
          </w:tcPr>
          <w:p>
            <w:r>
              <w:t>1.05</w:t>
            </w:r>
          </w:p>
        </w:tc>
        <w:tc>
          <w:tcPr>
            <w:tcW w:type="dxa" w:w="3653"/>
          </w:tcPr>
          <w:p>
            <w:r>
              <w:t>Début été</w:t>
            </w:r>
          </w:p>
        </w:tc>
      </w:tr>
      <w:tr>
        <w:tc>
          <w:tcPr>
            <w:tcW w:type="dxa" w:w="3653"/>
          </w:tcPr>
          <w:p>
            <w:r>
              <w:t>Juin</w:t>
            </w:r>
          </w:p>
        </w:tc>
        <w:tc>
          <w:tcPr>
            <w:tcW w:type="dxa" w:w="3653"/>
          </w:tcPr>
          <w:p>
            <w:r>
              <w:t>1.15</w:t>
            </w:r>
          </w:p>
        </w:tc>
        <w:tc>
          <w:tcPr>
            <w:tcW w:type="dxa" w:w="3653"/>
          </w:tcPr>
          <w:p>
            <w:r>
              <w:t>Période haute, été plein</w:t>
            </w:r>
          </w:p>
        </w:tc>
      </w:tr>
      <w:tr>
        <w:tc>
          <w:tcPr>
            <w:tcW w:type="dxa" w:w="3653"/>
          </w:tcPr>
          <w:p>
            <w:r>
              <w:t>Juillet</w:t>
            </w:r>
          </w:p>
        </w:tc>
        <w:tc>
          <w:tcPr>
            <w:tcW w:type="dxa" w:w="3653"/>
          </w:tcPr>
          <w:p>
            <w:r>
              <w:t>1.15</w:t>
            </w:r>
          </w:p>
        </w:tc>
        <w:tc>
          <w:tcPr>
            <w:tcW w:type="dxa" w:w="3653"/>
          </w:tcPr>
          <w:p>
            <w:r>
              <w:t>Période haute, été plein</w:t>
            </w:r>
          </w:p>
        </w:tc>
      </w:tr>
      <w:tr>
        <w:tc>
          <w:tcPr>
            <w:tcW w:type="dxa" w:w="3653"/>
          </w:tcPr>
          <w:p>
            <w:r>
              <w:t>Août</w:t>
            </w:r>
          </w:p>
        </w:tc>
        <w:tc>
          <w:tcPr>
            <w:tcW w:type="dxa" w:w="3653"/>
          </w:tcPr>
          <w:p>
            <w:r>
              <w:t>1.15</w:t>
            </w:r>
          </w:p>
        </w:tc>
        <w:tc>
          <w:tcPr>
            <w:tcW w:type="dxa" w:w="3653"/>
          </w:tcPr>
          <w:p>
            <w:r>
              <w:t>Été plein (référence)</w:t>
            </w:r>
          </w:p>
        </w:tc>
      </w:tr>
      <w:tr>
        <w:tc>
          <w:tcPr>
            <w:tcW w:type="dxa" w:w="3653"/>
          </w:tcPr>
          <w:p>
            <w:r>
              <w:t>Septembre</w:t>
            </w:r>
          </w:p>
        </w:tc>
        <w:tc>
          <w:tcPr>
            <w:tcW w:type="dxa" w:w="3653"/>
          </w:tcPr>
          <w:p>
            <w:r>
              <w:t>1.05</w:t>
            </w:r>
          </w:p>
        </w:tc>
        <w:tc>
          <w:tcPr>
            <w:tcW w:type="dxa" w:w="3653"/>
          </w:tcPr>
          <w:p>
            <w:r>
              <w:t>Fin été</w:t>
            </w:r>
          </w:p>
        </w:tc>
      </w:tr>
      <w:tr>
        <w:tc>
          <w:tcPr>
            <w:tcW w:type="dxa" w:w="3653"/>
          </w:tcPr>
          <w:p>
            <w:r>
              <w:t>Octobre</w:t>
            </w:r>
          </w:p>
        </w:tc>
        <w:tc>
          <w:tcPr>
            <w:tcW w:type="dxa" w:w="3653"/>
          </w:tcPr>
          <w:p>
            <w:r>
              <w:t>1.00</w:t>
            </w:r>
          </w:p>
        </w:tc>
        <w:tc>
          <w:tcPr>
            <w:tcW w:type="dxa" w:w="3653"/>
          </w:tcPr>
          <w:p>
            <w:r>
              <w:t>Mois normal</w:t>
            </w:r>
          </w:p>
        </w:tc>
      </w:tr>
      <w:tr>
        <w:tc>
          <w:tcPr>
            <w:tcW w:type="dxa" w:w="3653"/>
          </w:tcPr>
          <w:p>
            <w:r>
              <w:t>Novembre</w:t>
            </w:r>
          </w:p>
        </w:tc>
        <w:tc>
          <w:tcPr>
            <w:tcW w:type="dxa" w:w="3653"/>
          </w:tcPr>
          <w:p>
            <w:r>
              <w:t>0.85</w:t>
            </w:r>
          </w:p>
        </w:tc>
        <w:tc>
          <w:tcPr>
            <w:tcW w:type="dxa" w:w="3653"/>
          </w:tcPr>
          <w:p>
            <w:r>
              <w:t>Transition hiver</w:t>
            </w:r>
          </w:p>
        </w:tc>
      </w:tr>
      <w:tr>
        <w:tc>
          <w:tcPr>
            <w:tcW w:type="dxa" w:w="3653"/>
          </w:tcPr>
          <w:p>
            <w:r>
              <w:t>Décembre</w:t>
            </w:r>
          </w:p>
        </w:tc>
        <w:tc>
          <w:tcPr>
            <w:tcW w:type="dxa" w:w="3653"/>
          </w:tcPr>
          <w:p>
            <w:r>
              <w:t>0.80</w:t>
            </w:r>
          </w:p>
        </w:tc>
        <w:tc>
          <w:tcPr>
            <w:tcW w:type="dxa" w:w="3653"/>
          </w:tcPr>
          <w:p>
            <w:r>
              <w:t>Fêtes, hiver moyen</w:t>
            </w:r>
          </w:p>
        </w:tc>
      </w:tr>
    </w:tbl>
    <w:p>
      <w:pPr>
        <w:jc w:val="center"/>
      </w:pPr>
      <w:r>
        <w:br/>
      </w:r>
    </w:p>
    <w:p>
      <w:pPr>
        <w:pStyle w:val="Heading2"/>
      </w:pPr>
      <w:r>
        <w:t>3. Scénarios de croissance annuelle</w:t>
      </w:r>
    </w:p>
    <w:p>
      <w:r>
        <w:t>- Conservateur (3%) : Croissance modérée (inflation + organique)</w:t>
      </w:r>
    </w:p>
    <w:p>
      <w:r>
        <w:t>- Réaliste (5%) : Croissance soutenue, optimisation, marketing</w:t>
      </w:r>
    </w:p>
    <w:p>
      <w:r>
        <w:t>- Optimiste (10%) : Croissance forte, nouveaux services, marketing agressif</w:t>
      </w:r>
    </w:p>
    <w:p>
      <w:pPr>
        <w:jc w:val="center"/>
      </w:pPr>
      <w:r>
        <w:br/>
      </w:r>
    </w:p>
    <w:p>
      <w:pPr>
        <w:pStyle w:val="Heading2"/>
      </w:pPr>
      <w:r>
        <w:t>4. Revenus Tamara</w:t>
      </w:r>
    </w:p>
    <w:p>
      <w:r>
        <w:t>Date embauche : Nov 2025 (mois 3)</w:t>
      </w:r>
    </w:p>
    <w:p>
      <w:r>
        <w:t>Heures/mois : 104h</w:t>
      </w:r>
    </w:p>
    <w:p>
      <w:r>
        <w:t>Tarif horaire : 551,73$/h</w:t>
      </w:r>
    </w:p>
    <w:p>
      <w:r>
        <w:t>Productivité réaliste : 85%</w:t>
      </w:r>
    </w:p>
    <w:p>
      <w:r>
        <w:t>Revenus Tamara : 104h × 551,73$ × 0,85 = 48 732 $/mois (à partir du M3)</w:t>
      </w:r>
    </w:p>
    <w:p>
      <w:pPr>
        <w:jc w:val="center"/>
      </w:pPr>
      <w:r>
        <w:br/>
      </w:r>
    </w:p>
    <w:p>
      <w:pPr>
        <w:pStyle w:val="Heading2"/>
      </w:pPr>
      <w:r>
        <w:t>5. Revenus Vet4</w:t>
      </w:r>
    </w:p>
    <w:p>
      <w:r>
        <w:t>Date embauche : Avril 2027 (mois 20)</w:t>
      </w:r>
    </w:p>
    <w:p>
      <w:r>
        <w:t>Heures/mois : 152h</w:t>
      </w:r>
    </w:p>
    <w:p>
      <w:r>
        <w:t>Tarif horaire : 551,73$/h</w:t>
      </w:r>
    </w:p>
    <w:p>
      <w:r>
        <w:t>Productivité réaliste : 85%</w:t>
      </w:r>
    </w:p>
    <w:p>
      <w:r>
        <w:t>Revenus Vet4 : 152h × 551,73$ × 0,85 = 71 284 $/mois (à partir du M20)</w:t>
      </w:r>
    </w:p>
    <w:p>
      <w:pPr>
        <w:jc w:val="center"/>
      </w:pPr>
      <w:r>
        <w:br/>
      </w:r>
    </w:p>
    <w:p>
      <w:pPr>
        <w:pStyle w:val="Heading2"/>
      </w:pPr>
      <w:r>
        <w:t>6. Formule complète Excel</w:t>
      </w:r>
    </w:p>
    <w:p>
      <w:r>
        <w:t>Revenus_Total_Mois_N = Revenus_Base_Mois_N + Revenus_Tamara_Mois_N + Revenus_Vet4_Mois_N</w:t>
      </w:r>
    </w:p>
    <w:p>
      <w:r>
        <w:t>Détails :</w:t>
      </w:r>
    </w:p>
    <w:p>
      <w:r>
        <w:t>Revenus_Base_Mois_N = 138 691 × Coefficient_Saisonnalité × (1 + Croissance)^Année</w:t>
      </w:r>
    </w:p>
    <w:p>
      <w:r>
        <w:t>Revenus_Tamara_Mois_N = Si Mois ≥ 3 , 104 × 551,73 × Productivité</w:t>
      </w:r>
    </w:p>
    <w:p>
      <w:r>
        <w:t>Revenus_Vet4_Mois_N = Si Mois ≥ 20 , 152 × 551,73 × Productivité</w:t>
      </w:r>
    </w:p>
    <w:p>
      <w:pPr>
        <w:jc w:val="center"/>
      </w:pPr>
      <w:r>
        <w:br/>
      </w:r>
    </w:p>
    <w:p>
      <w:pPr>
        <w:pStyle w:val="Heading2"/>
      </w:pPr>
      <w:r>
        <w:t>7. Validation croisée</w:t>
      </w:r>
    </w:p>
    <w:p>
      <w:r>
        <w:t>Cohérence des calculs avec les autres documents de référence (taux, coefficients, croissance, revenus additionnels : Tamara et Vet4)</w:t>
      </w:r>
    </w:p>
    <w:p>
      <w:pPr>
        <w:jc w:val="center"/>
      </w:pPr>
      <w:r>
        <w:br/>
      </w:r>
    </w:p>
    <w:p>
      <w:pPr>
        <w:pStyle w:val="Heading2"/>
      </w:pPr>
      <w:r>
        <w:t>8. Notes importantes</w:t>
      </w:r>
    </w:p>
    <w:p>
      <w:r>
        <w:t>- Les coefficients de saisonnalité sont optimistes, mais justifiés par la normalisation attendue à partir de 2026.</w:t>
      </w:r>
    </w:p>
    <w:p>
      <w:r>
        <w:t>- La croissance appliquée est annuelle.</w:t>
      </w:r>
    </w:p>
    <w:p>
      <w:r>
        <w:t>- Le tarif horaire moyen est issu des données d’août 2025.</w:t>
      </w:r>
    </w:p>
    <w:p>
      <w:pPr>
        <w:jc w:val="center"/>
      </w:pPr>
      <w:r>
        <w:br/>
      </w:r>
    </w:p>
    <w:p>
      <w:pPr>
        <w:pStyle w:val="Heading2"/>
      </w:pPr>
      <w:r>
        <w:t>9. Synthèse pour présentation bancaire</w:t>
      </w:r>
    </w:p>
    <w:p>
      <w:r>
        <w:t>Mois de référence : Août 2025 (159 495 $)</w:t>
      </w:r>
    </w:p>
    <w:p>
      <w:r>
        <w:t>Saisonnalité : 12 coefficients</w:t>
      </w:r>
    </w:p>
    <w:p>
      <w:r>
        <w:t>Croissance : 3 %, 5 %, 10 %</w:t>
      </w:r>
    </w:p>
    <w:p>
      <w:r>
        <w:t>Tamara : + 48 732 $/mois (dès M3)</w:t>
      </w:r>
    </w:p>
    <w:p>
      <w:r>
        <w:t>Vet4 : + 71 235 $/mois (dès M20)</w:t>
      </w:r>
    </w:p>
    <w:p>
      <w:r>
        <w:t>Projections totales scénario réaliste :</w:t>
      </w:r>
    </w:p>
    <w:p>
      <w:r>
        <w:t>An 1 : 2 103 772 $</w:t>
      </w:r>
    </w:p>
    <w:p>
      <w:r>
        <w:t>An 2 : 2 638 234 $</w:t>
      </w:r>
    </w:p>
    <w:p>
      <w:r>
        <w:t>An 3 : 3 221 742 $</w:t>
      </w:r>
    </w:p>
    <w:p>
      <w:r>
        <w:t>Total 36 mois : 7 963 748 $</w:t>
      </w:r>
    </w:p>
    <w:p>
      <w:pPr>
        <w:jc w:val="center"/>
      </w:pPr>
      <w:r>
        <w:br/>
      </w:r>
    </w:p>
    <w:p>
      <w:r>
        <w:t>Document validé par : Jean-Samuel Leboeuf (CEO, Clinique Vétérinaire VETA Inc.)</w:t>
      </w:r>
    </w:p>
    <w:p>
      <w:r>
        <w:t>Statut : Méthodologie validée</w:t>
      </w:r>
    </w:p>
    <w:sectPr w:rsidR="00FC693F" w:rsidRPr="0006063C" w:rsidSect="00034616">
      <w:pgSz w:w="12240" w:h="15840"/>
      <w:pgMar w:top="640" w:right="640" w:bottom="64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