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6v3abgco3m7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TITRE ET OBJET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wmcfzhczuk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1.1. Titre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« LETTRE D’INTENTION »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o9hdy48krr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1.2. Objet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« ACQUISITION DE CLINIQUE VÉTÉRINAIRE DE VALLEYFIELD INC. »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r8ttbmgj2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PRÉAMBULE – IDENTIFICATION DES PARTIES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r5jn4pevg6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2.1. Présentation de l’Acheteur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Nous, Jean Samuel Leboeuf (directement ou par l’intermédiaire d’une société affiliée désignée ultérieurement, ci-après « l’Acheteur » ou « nous »).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iewnto8h7j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2.2. Présentation de la Pratique et des Vendeurs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La pratique vétérinaire du Dr. Claude-André Grenier (« Dr. Grenier »), opérant sous le nom Clinique Vétérinaire de Valleyfield Inc., située au 450, chemin Larocque, Salaberry-de-Valleyfield, Québec, J6T 4C5 (la « Pratique »).</w:t>
        <w:br w:type="textWrapping"/>
        <w:t xml:space="preserve">   (ii) La Pratique est indirectement opérée par Dr. Grenier via la société Clinique Vétérinaire de Valleyfield Inc. (la « Société »), et, avec Dr. Grenier, constitue les « Vendeurs ».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p339hbkg0zs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2.3. Objet du Document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La présente Lettre d’Intention établit les modalités relatives à l’acquisition potentielle de la Pratique par l’Acheteur (la « Transaction envisagée »).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c12g6qmxvwt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3. ENTENTES DÉFINITIVES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fbon3pcvc1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L’Acheteur propose de conclure une entente définitive et contraignante avec les Vendeurs pour l’acquisition de la Pratique (la « Convention d’acquisition »).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u1e20ca0zip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Les ententes connexes nécessaires pour mener à terme la Transaction envisagée comprennent notamment :</w:t>
        <w:br w:type="textWrapping"/>
        <w:t xml:space="preserve">     (a) Une convention de services avec Dr. Grenier conformément à l’article 7.2 (la « Convention de services »);</w:t>
        <w:br w:type="textWrapping"/>
        <w:t xml:space="preserve">     (b) Toute documentation complémentaire nécessaire à la clôture (collectivement, les « Ententes définitives »).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4cnzm4sftq8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4. CONDITIONS PRÉALABLES À LA TRANSACTION ENVISAGÉE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4s9jx6pylx5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L’acceptation et signature de la présente Lettre d’Intention par les Vendeurs au plus tard le 4 avril 2025.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cvhm3vrxy5x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La réalisation de la vérification diligente concernant la Pratique, à l’entière satisfaction de l’Acheteur.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gxw6na3w7h3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L’obtention d’un financement bancaire ferme représentant 70 % du Prix d’achat, basé exclusivement sur des actifs tangibles (excluant tout goodwill), avant le 30 juin 2025.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3vnpmn5r2o1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La conclusion des Ententes définitives ainsi que de tous les autres documents raisonnablement exigés par les parties.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chrn6lsir0x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5. PRIX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5j8zfow1upg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Le prix d’achat total proposé pour la Pratique est de 1 000 000 $ CAD (le « Prix d’achat »).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1aky8o23vn8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Le Prix d’achat est basé sur les états financiers fournis par les Vendeurs et est détaillé à l’Annexe « A » des présentes.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vp9v1az9wio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6. MODALITÉS DE PAIEMENT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bopp16x4761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70 % du Prix d’achat seront financés par une institution bancaire sur la base d’actifs tangibles uniquement (excluant le goodwill).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6hi8g7tvdu7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30 % du Prix d’achat seront versés sous forme de balance de vente aux Vendeurs, amortie sur trois ans à un taux d’intérêt annuel de 5 %, payable mensuellement.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s73nf114ywc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7. TRANSFERT DES ACTIFS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t5n8ud20wvp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Tous les actifs nécessaires à l’exploitation courante de la Pratique deviendront la propriété de la Société, exempts de toute dette ou charge, sauf celles expressément divulguées et acceptées par l’Acheteur.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ohnm2hrqkop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Toutes les actions de la Société seront transférées libres de toute dette ou charge.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ik2xdxdbhqw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7.3.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La Société ne devra avoir aucune dette non divulguée, hormis celles présentées lors de la vérification diligente.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40ujxrbopmg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7.4.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Le fonds de roulement net sera ajusté de manière équitable à la Clôture conformément aux Ententes définitives.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ugtnjcy4nyj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8. LIEUX LOUÉS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dj8po66k9ys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L’immeuble commercial situé au 450, chemin Larocque sera acquis simultanément avec la Pratique.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qwa4qchubsz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8.2.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Aucun bail tiers ne subsistera sur l’immeuble acquis.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ul8il8migw7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9. CONVENTIONS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g1s6lpv0pye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9.1. Convention d’acquisition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m766w3ncl9w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9.1.1.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La Convention d’acquisition contiendra les conditions standards relatives à ce type d’opération, incluant notamment :</w:t>
        <w:br w:type="textWrapping"/>
        <w:t xml:space="preserve">     (a) Les engagements d’indemnisation;</w:t>
        <w:br w:type="textWrapping"/>
        <w:t xml:space="preserve">     (b) Une retenue appropriée pour fonds de roulement;</w:t>
        <w:br w:type="textWrapping"/>
        <w:t xml:space="preserve">     (c) Des engagements restrictifs (non-concurrence et non-sollicitation) pour une durée de cinq (5) ans suivant la Clôture.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mtvn8ff67vd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9.2. Convention de services de Dr. Grenier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b1mw3gjkyln" w:id="33"/>
      <w:bookmarkEnd w:id="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9.2.1.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La Convention de services comprendra les modalités suivantes :</w:t>
        <w:br w:type="textWrapping"/>
        <w:t xml:space="preserve">     (a) Terme : trois (3) ans suivant la Clôture;</w:t>
        <w:br w:type="textWrapping"/>
        <w:t xml:space="preserve">     (b) Rémunération : 80 $/heure, conformément à l’Annexe « A »;</w:t>
        <w:br w:type="textWrapping"/>
        <w:t xml:space="preserve">     (c) Exécution des Services :</w:t>
        <w:br w:type="textWrapping"/>
        <w:t xml:space="preserve">       (1) Les Services du Partenaire seront exécutés dans les Locaux ou hors des Locaux, selon la nature des Services fournis, et déterminés raisonnablement par le Partenaire;</w:t>
        <w:br w:type="textWrapping"/>
        <w:t xml:space="preserve">       (2) Un horaire sera établi par le Partenaire de manière raisonnable, afin de lui permettre d’accomplir ses Services et de remplir pleinement ses obligations aux termes de la présente Convention;</w:t>
        <w:br w:type="textWrapping"/>
        <w:t xml:space="preserve">       (3) Cet horaire ne pourra être inférieur à celui substantiellement suivi, dans les faits, au cours des douze (12) mois précédant la Date Effective;</w:t>
        <w:br w:type="textWrapping"/>
        <w:t xml:space="preserve">       (4) Les parties reconnaissent que les relevés de paie du Partenaire ne reflètent pas fidèlement l’horaire réel suivi durant les douze (12) mois précédant la Date Effective;</w:t>
        <w:br w:type="textWrapping"/>
        <w:t xml:space="preserve">     (d) Implication de l’Acheteur :</w:t>
        <w:br w:type="textWrapping"/>
        <w:t xml:space="preserve">       (1) L’implication en temps de l’Acheteur dans la Pratique sera similaire à celle de M. Lavoie, afin d’assurer à Dr. Grenier une autonomie maximale et garantir la stabilité opérationnelle.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z2yzjjjj33m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10. STRUCTURE DE LA TRANSACTION ENVISAGÉE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p6979j3rzuv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10.1.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Les parties collaboreront afin d’optimiser fiscalement la structure de la transaction finale.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gvmhsk6u0pv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11. EARN-OUT ET FREE CASH FLOW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j9u9h3wyj9g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11.1.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Pendant trois (3) ans suivant la Clôture, 50 % de toute augmentation annuelle du Free Cash Flow sera versé aux Vendeurs.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4r2ljl1amk0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11.2.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En cas d’intégration d’autres vétérinaires partenaires, l’augmentation du Free Cash Flow sera répartie proportionnellement entre les partenaires, en fonction de leurs participations respectives.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c95giifbuab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12. COÛTS DES CONSEILLERS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snwkou3qr6q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12.1.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Chaque partie assumera ses propres frais de conseillers (avocats, comptables, etc.).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ego0gb70smm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13. CLÔTURE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irib0o0k9v8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13.1.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Les parties s’engagent à travailler de manière diligente pour conclure les Ententes définitives.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6wtdmg2k3h4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13.2.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La Transaction envisagée devra être complétée au plus tard le 30 juin 2025 (la « Clôture »).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x6kia11sr4d" w:id="44"/>
      <w:bookmarkEnd w:id="44"/>
      <w:r w:rsidDel="00000000" w:rsidR="00000000" w:rsidRPr="00000000">
        <w:rPr>
          <w:b w:val="1"/>
          <w:sz w:val="34"/>
          <w:szCs w:val="34"/>
          <w:rtl w:val="0"/>
        </w:rPr>
        <w:t xml:space="preserve">14. INFORMATION CONFIDENTIELLE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zlyb0cfgjq6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14.1.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Aucune des parties ne divulguera d’informations confidentielles relatives à la Transaction envisagée, sauf :</w:t>
        <w:br w:type="textWrapping"/>
        <w:t xml:space="preserve">     (a) Avec le consentement écrit préalable de l’autre partie;</w:t>
        <w:br w:type="textWrapping"/>
        <w:t xml:space="preserve">     (b) Si requis par la loi;</w:t>
        <w:br w:type="textWrapping"/>
        <w:t xml:space="preserve">     (c) Pour informer les conseillers professionnels.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u10u0666hs8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15. EXCLUSIVITÉ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5h5tcpajusl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15.1.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Les Vendeurs conviennent d’une période d’exclusivité allant de la signature de la présente Lettre jusqu’au 30 juin 2025, durant laquelle :</w:t>
        <w:br w:type="textWrapping"/>
        <w:t xml:space="preserve">     (a) Ils ne pourront ni solliciter, ni négocier, ni considérer toute autre proposition alternative concernant la Pratique, directement ou par l’intermédiaire de tiers;</w:t>
        <w:br w:type="textWrapping"/>
        <w:t xml:space="preserve">     (b) Ils s’engagent à ne pas effectuer de communication publique ou promotionnelle susceptible d’indiquer leur disponibilité à engager des négociations avec d’autres parties;</w:t>
        <w:br w:type="textWrapping"/>
        <w:t xml:space="preserve">     (c) Tout manquement à ces obligations entraînera la résiliation immédiate de la présente Lettre et l’application de pénalités telles que définies dans les Ententes définitives.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0suoxt0jly8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15.2.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Différences par rapport à la clause d’exclusivité de Dental Corp :</w:t>
        <w:br w:type="textWrapping"/>
        <w:t xml:space="preserve">     (a) Champ d’application élargi : Ici, l’exclusivité interdit non seulement toute négociation concurrente, mais également toute communication externe susceptible d’indiquer une ouverture à d’autres offres, contrairement à Dental Corp qui se limitait à l’interdiction de négocier avec des tiers;</w:t>
        <w:br w:type="textWrapping"/>
        <w:t xml:space="preserve">     (b) Portée temporelle : La période est strictement fixée jusqu’au 30 juin 2025, alors que celle de Dental Corp était souvent conditionnée ou plus courte;</w:t>
        <w:br w:type="textWrapping"/>
        <w:t xml:space="preserve">     (c) Sanctions renforcées : En cas de violation, la résiliation immédiate et l’application de pénalités sont prévues, contrairement à Dental Corp où les sanctions étaient moins immédiates et moins contraignantes.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yl8untertit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16. CESSION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ik2wc6glk9x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16.1.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Aucune partie ne pourra céder ses droits ou obligations en vertu de la présente Lettre sans le consentement écrit préalable de l’autre partie, excepté le droit de l’Acheteur de céder à une entité affiliée.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q57d8keys7q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17. TERMINAISON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p13zq4sjnql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17.1.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La présente Lettre prendra fin dès l’expiration de la période d’exclusivité ou par résiliation par accord écrit mutuel des parties.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3pmke3yjipc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17.2.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Les articles 9 à 18 (les obligations juridiquement contraignantes) resteront exécutoires même après la terminaison.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1uwda9jqof0" w:id="54"/>
      <w:bookmarkEnd w:id="54"/>
      <w:r w:rsidDel="00000000" w:rsidR="00000000" w:rsidRPr="00000000">
        <w:rPr>
          <w:b w:val="1"/>
          <w:sz w:val="34"/>
          <w:szCs w:val="34"/>
          <w:rtl w:val="0"/>
        </w:rPr>
        <w:t xml:space="preserve">18. LOIS APPLICABLES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pdailjpjobl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18.1.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La présente Lettre sera régie exclusivement par les lois du Québec ainsi que par les lois fédérales applicables.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m5z6f8qdiqc" w:id="56"/>
      <w:bookmarkEnd w:id="56"/>
      <w:r w:rsidDel="00000000" w:rsidR="00000000" w:rsidRPr="00000000">
        <w:rPr>
          <w:b w:val="1"/>
          <w:sz w:val="34"/>
          <w:szCs w:val="34"/>
          <w:rtl w:val="0"/>
        </w:rPr>
        <w:t xml:space="preserve">19. ENGAGEMENTS CONTRAIGNANTS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67k491grgfk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19.1.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Les articles 1 à 8 représentent l’intention mutuelle non contraignante des parties.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d3n79enuhms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19.2.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Seuls les articles 9 à 18 constituent des obligations juridiquement contraignantes.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5ayfcwfud3m" w:id="59"/>
      <w:bookmarkEnd w:id="59"/>
      <w:r w:rsidDel="00000000" w:rsidR="00000000" w:rsidRPr="00000000">
        <w:rPr>
          <w:b w:val="1"/>
          <w:sz w:val="34"/>
          <w:szCs w:val="34"/>
          <w:rtl w:val="0"/>
        </w:rPr>
        <w:t xml:space="preserve">20. EXEMPLAIRES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0ebqvrq12k2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20.1.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La présente Lettre peut être signée en plusieurs exemplaires distincts, chacun étant considéré comme un original, mais formant ensemble un seul et même document.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s5qznpw8xzr" w:id="61"/>
      <w:bookmarkEnd w:id="61"/>
      <w:r w:rsidDel="00000000" w:rsidR="00000000" w:rsidRPr="00000000">
        <w:rPr>
          <w:b w:val="1"/>
          <w:sz w:val="34"/>
          <w:szCs w:val="34"/>
          <w:rtl w:val="0"/>
        </w:rPr>
        <w:t xml:space="preserve">21. SIGNATURES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j3phuelg4s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21.1.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[Les signatures suivent]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oa7he22noi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21.2. LETTRE D’INTENTION CONCLUE en date du ___ jour du mois de _________ 2025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m8g5un9uybe" w:id="64"/>
      <w:bookmarkEnd w:id="6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21.2.1. Pour l’Acheteur 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(a) Jean Samuel Leboeuf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(b) Jean Samuel Leboeuf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(c) Acheteur</w:t>
        <w:br w:type="textWrapping"/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2qhrwnzoo8" w:id="65"/>
      <w:bookmarkEnd w:id="6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21.2.2. Pour les Vendeurs :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(a) SIGNÉE ET ACCEPTÉE par Dr. Claude-André Grenier, en son nom et au nom de la Société :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(b) Dr. Claude-André Grenier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(c) Président, Clinique Vétérinaire de Valleyfield Inc.</w:t>
        <w:br w:type="textWrapping"/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s19y0cpl4vb" w:id="66"/>
      <w:bookmarkEnd w:id="6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21.2.3.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  (i) (Voir ANNEXE « A » – Justification Financière et Scénario 90 $/h)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rgh7pw9hlje" w:id="67"/>
      <w:bookmarkEnd w:id="67"/>
      <w:r w:rsidDel="00000000" w:rsidR="00000000" w:rsidRPr="00000000">
        <w:rPr>
          <w:b w:val="1"/>
          <w:sz w:val="34"/>
          <w:szCs w:val="34"/>
          <w:rtl w:val="0"/>
        </w:rPr>
        <w:t xml:space="preserve">ANNEXE A – JUSTIFICATION FINANCIÈRE ET SCÉNARIO 90 $/h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rg1tzad7jjc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A.1. Prix d’Achat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mouu1kes6ao" w:id="69"/>
      <w:bookmarkEnd w:id="6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A.1.1.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(i) Le prix d’achat global est de 1 000 000 $ CAD.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(ii) Ce montant permet à la Clinique de rester rentable en couvrant le service de la dette, le loyer (108 000 $ CAD) et la masse salariale (incluant Dr. Grenier à 80 $/h), sans éliminer la marge de sécurité.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(iii) Il garantit également la possibilité de verser l’earn-out (50 % de l’augmentation du BAIIA) si la Clinique performe mieux qu’avant la vente.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m8s9bto462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A.2. Salaire de Dr. Grenier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dzrjwn4jny4" w:id="71"/>
      <w:bookmarkEnd w:id="7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A.2.1.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(i) Le salaire de base est fixé à 80 $/h.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(ii) Contexte régional : Le salaire moyen d’un vétérinaire se situe entre environ 60 et 75 $/h.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(iii) Ce taux positionne Dr. Grenier au-dessus de la médiane, reflétant son expertise et sa notoriété, sans imposer une charge insoutenable à la Clinique.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(iv) La logique du partage des profits (earn-out) implique que si la Clinique grandit, Dr. Grenier touchera 50 % du surplus, l’incitant ainsi à contribuer à la performance de la Clinique.</w:t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2udm36tx86g" w:id="72"/>
      <w:bookmarkEnd w:id="7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A.3. Scénario 90 $/h – Effet sur le Buffer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nus75jrq28e" w:id="73"/>
      <w:bookmarkEnd w:id="7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A.3.1.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(i) À 90 $/h, soit environ 10 $/h de plus, multiplié par 40 h/sem et 52 sem, cela représente environ 20 800 $ bruts, auxquels s’ajoutent environ 17 % de charges, soit environ 24 336 $/an.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(ii) Cette somme efface quasiment toute la marge résiduelle après le service de la dette, exposant la Clinique à un risque de déficit en cas de baisse du chiffre d’affaires ou d’augmentation des coûts.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(iii) Sur le plan psychologique, aligner Dr. Grenier sur les profits via l’earn-out est préférable à une augmentation immédiate du taux horaire qui pourrait compromettre la rentabilité.</w:t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f0nzrvxm5mm" w:id="74"/>
      <w:bookmarkEnd w:id="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A.4. Conclusion de l’Annexe A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vd3qn6jlauh" w:id="75"/>
      <w:bookmarkEnd w:id="7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A.4.1.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(i) Le salaire de 80 $/h, combiné à un prix d’achat global de 1 000 000 $ CAD et à un earn-out à 50 % de l’augmentation du BAIIA, concilie :</w:t>
        <w:br w:type="textWrapping"/>
        <w:t xml:space="preserve">   (a) La stabilité financière en évitant une vulnérabilité due à un surcoût direct dès le départ;</w:t>
        <w:br w:type="textWrapping"/>
        <w:t xml:space="preserve">   (b) La reconnaissance du savoir-faire de Dr. Grenier, lui assurant un haut revenu de base et un partage potentiel des profits en cas de croissance;</w:t>
        <w:br w:type="textWrapping"/>
        <w:t xml:space="preserve">   (c) Des bénéfices mutuels pour les deux parties, sans exposer la Clinique à un scénario de « no buffer ».</w:t>
        <w:br w:type="textWrapping"/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ocl3ms3jthc" w:id="76"/>
      <w:bookmarkEnd w:id="7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A.4.2.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(i) (Fin de l’Annexe A.)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ll34f8meky2" w:id="77"/>
      <w:bookmarkEnd w:id="77"/>
      <w:r w:rsidDel="00000000" w:rsidR="00000000" w:rsidRPr="00000000">
        <w:rPr>
          <w:b w:val="1"/>
          <w:sz w:val="34"/>
          <w:szCs w:val="34"/>
          <w:rtl w:val="0"/>
        </w:rPr>
        <w:t xml:space="preserve">ANNEXE B – DOCUMENT D’ACHAT DU BÂTIMENT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u8822dpmykm" w:id="78"/>
      <w:bookmarkEnd w:id="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B.1. Objet de l’Annexe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sl2efls90ms" w:id="79"/>
      <w:bookmarkEnd w:id="7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B.1.1.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(i) La présente Annexe B constitue le document contractuel pour l’acquisition de l’immeuble commercial associé à la Transaction envisagée (le « Bâtiment »).</w:t>
        <w:br w:type="textWrapping"/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eoo9l6ii93l" w:id="80"/>
      <w:bookmarkEnd w:id="8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B.2. Description du Bâtiment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5qfja627b40" w:id="81"/>
      <w:bookmarkEnd w:id="8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B.2.1.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(i) Le Bâtiment est destiné à héberger la Pratique.</w:t>
        <w:br w:type="textWrapping"/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pogavfdk46f" w:id="82"/>
      <w:bookmarkEnd w:id="8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B.2.2.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(i) L’adresse complète du Bâtiment est : 450, chemin Larocque, Salaberry-de-Valleyfield, Québec, J6T 4C5.</w:t>
        <w:br w:type="textWrapping"/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rbp9cqgqob5" w:id="83"/>
      <w:bookmarkEnd w:id="8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B.2.3.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(i) Le Bâtiment sera vendu libre de tout bail tiers et de tout occupant, sauf dispositions contraires expressément convenues par les parties.</w:t>
        <w:br w:type="textWrapping"/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5yrk3dyx2do" w:id="84"/>
      <w:bookmarkEnd w:id="8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B.3. Modalités de l’Achat du Bâtiment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17az7yl08ky" w:id="85"/>
      <w:bookmarkEnd w:id="8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B.3.1. Prix d’Achat du Bâtiment</w:t>
      </w:r>
    </w:p>
    <w:p w:rsidR="00000000" w:rsidDel="00000000" w:rsidP="00000000" w:rsidRDefault="00000000" w:rsidRPr="00000000" w14:paraId="000000AC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rdnsq9afp0p3" w:id="86"/>
      <w:bookmarkEnd w:id="8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B.3.1.1.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(i) Le prix d’achat du Bâtiment est fixé à 670 000 $ CAD, tel qu’indiqué dans le présent document et sous réserve de confirmation dans le contrat définitif d’achat.</w:t>
        <w:br w:type="textWrapping"/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l8qkuuw9kfc" w:id="87"/>
      <w:bookmarkEnd w:id="8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B.3.2. Modalités de Paiement</w:t>
      </w:r>
    </w:p>
    <w:p w:rsidR="00000000" w:rsidDel="00000000" w:rsidP="00000000" w:rsidRDefault="00000000" w:rsidRPr="00000000" w14:paraId="000000AF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dohqokqbie29" w:id="88"/>
      <w:bookmarkEnd w:id="8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B.3.2.1.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(i) Le paiement du prix d’achat du Bâtiment pourra s’effectuer en une ou plusieurs tranches, selon les modalités à négocier dans le contrat définitif.</w:t>
        <w:br w:type="textWrapping"/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q56fja4f1gj" w:id="89"/>
      <w:bookmarkEnd w:id="8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B.3.3. Conditions Suspensives</w:t>
      </w:r>
    </w:p>
    <w:p w:rsidR="00000000" w:rsidDel="00000000" w:rsidP="00000000" w:rsidRDefault="00000000" w:rsidRPr="00000000" w14:paraId="000000B2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wvqjser7o1ch" w:id="90"/>
      <w:bookmarkEnd w:id="9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B.3.3.1.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(i) L’achat du Bâtiment est subordonné à l’obtention des autorisations nécessaires et à la réalisation d’une vérification diligente relative à l’état et à la situation juridique du Bâtiment.</w:t>
        <w:br w:type="textWrapping"/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deghswq7au" w:id="91"/>
      <w:bookmarkEnd w:id="9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B.3.4. Date de Clôture pour le Bâtiment</w:t>
      </w:r>
    </w:p>
    <w:p w:rsidR="00000000" w:rsidDel="00000000" w:rsidP="00000000" w:rsidRDefault="00000000" w:rsidRPr="00000000" w14:paraId="000000B5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utdma4rrppk1" w:id="92"/>
      <w:bookmarkEnd w:id="9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B.3.4.1.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(i) La clôture de l’achat du Bâtiment doit être réalisée simultanément avec la Clôture de la Transaction envisagée ou selon un calendrier convenu par les parties.</w:t>
        <w:br w:type="textWrapping"/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3bdv5vvwc7c" w:id="93"/>
      <w:bookmarkEnd w:id="9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B.4. Engagements et Garanties Relatifs au Bâtiment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e2tz5xmgkqn" w:id="94"/>
      <w:bookmarkEnd w:id="9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B.4.1.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(i) Le Vendeur garantit que le Bâtiment est libre de toute charge, hypothèque ou servitude non divulguée.</w:t>
        <w:br w:type="textWrapping"/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gxp9c3l4hzx" w:id="95"/>
      <w:bookmarkEnd w:id="9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B.4.2.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(i) Le Vendeur s’engage à remettre à l’Acheteur tous les documents relatifs à la propriété du Bâtiment, incluant le titre de propriété, les permis et tout autre document nécessaire au transfert de propriété.</w:t>
        <w:br w:type="textWrapping"/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lvutrac7o2d" w:id="96"/>
      <w:bookmarkEnd w:id="9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B.4.3.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(i) Les garanties et engagements relatifs au Bâtiment seront repris intégralement dans le contrat définitif d’achat.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sxda3y90mvt" w:id="97"/>
      <w:bookmarkEnd w:id="9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B.5. Dispositions Diverses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370ykft7mql" w:id="98"/>
      <w:bookmarkEnd w:id="9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B.5.1.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(i) En cas de litige relatif à l’achat du Bâtiment, les parties s’engagent à résoudre le différend conformément aux lois applicables.</w:t>
        <w:br w:type="textWrapping"/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b55aejnkesf" w:id="99"/>
      <w:bookmarkEnd w:id="9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B.5.2.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(i) La présente Annexe B fait partie intégrante de la présente Lettre d’Intention et des Ententes définitives.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