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E0A3E" w14:textId="77777777" w:rsidR="001C1D2A" w:rsidRDefault="001C1D2A" w:rsidP="001C1D2A">
      <w:pPr>
        <w:tabs>
          <w:tab w:val="num" w:pos="720"/>
        </w:tabs>
        <w:ind w:left="720" w:hanging="360"/>
      </w:pPr>
    </w:p>
    <w:p w14:paraId="20EDE234" w14:textId="54D26B19" w:rsidR="001C1D2A" w:rsidRDefault="001C1D2A" w:rsidP="001C1D2A">
      <w:pPr>
        <w:ind w:left="720"/>
      </w:pPr>
      <w:r>
        <w:t xml:space="preserve">Statistiques </w:t>
      </w:r>
    </w:p>
    <w:p w14:paraId="3171C293" w14:textId="77777777" w:rsidR="001C1D2A" w:rsidRDefault="001C1D2A" w:rsidP="001C1D2A">
      <w:pPr>
        <w:ind w:left="720"/>
      </w:pPr>
    </w:p>
    <w:p w14:paraId="302371AA" w14:textId="77777777" w:rsidR="001C1D2A" w:rsidRPr="001C1D2A" w:rsidRDefault="001C1D2A" w:rsidP="001C1D2A">
      <w:pPr>
        <w:ind w:left="720"/>
      </w:pPr>
    </w:p>
    <w:p w14:paraId="5D4F08BA" w14:textId="73B2798C" w:rsidR="001C1D2A" w:rsidRPr="001C1D2A" w:rsidRDefault="001C1D2A" w:rsidP="001C1D2A">
      <w:pPr>
        <w:numPr>
          <w:ilvl w:val="0"/>
          <w:numId w:val="1"/>
        </w:numPr>
      </w:pPr>
      <w:r w:rsidRPr="001C1D2A">
        <w:rPr>
          <w:b/>
          <w:bCs/>
        </w:rPr>
        <w:t>Crise de l'emploi au Québec</w:t>
      </w:r>
      <w:r w:rsidRPr="001C1D2A">
        <w:t xml:space="preserve"> : La situation de l'emploi au Québec continue de se détériorer. Des sources gouvernementales estiment qu'il y aura 1,6 million de postes à pourvoir au Québec d'ici 2030. Nous sommes en face d'un problème qui s'aggrave, avec une intensification estimée à 468 %. Pour chaque personne qui quitte le marché du travail, seulement 0,8 personne le rejoint.</w:t>
      </w:r>
    </w:p>
    <w:p w14:paraId="3C0EBB56" w14:textId="77777777" w:rsidR="001C1D2A" w:rsidRPr="001C1D2A" w:rsidRDefault="001C1D2A" w:rsidP="001C1D2A">
      <w:pPr>
        <w:numPr>
          <w:ilvl w:val="0"/>
          <w:numId w:val="1"/>
        </w:numPr>
      </w:pPr>
      <w:r w:rsidRPr="001C1D2A">
        <w:rPr>
          <w:b/>
          <w:bCs/>
        </w:rPr>
        <w:t>Défi de la rétention d'employés</w:t>
      </w:r>
      <w:r w:rsidRPr="001C1D2A">
        <w:t xml:space="preserve"> : L'un des plus grands défis est de retenir les employés ayant entre 3 et 5 ans d'ancienneté. Comment peut-on les maintenir en poste, les motiver et les aider à progresser vers de nouveaux postes ou à acquérir de nouvelles compétences ?</w:t>
      </w:r>
    </w:p>
    <w:p w14:paraId="1C359E12" w14:textId="77777777" w:rsidR="001C1D2A" w:rsidRPr="001C1D2A" w:rsidRDefault="001C1D2A" w:rsidP="001C1D2A">
      <w:pPr>
        <w:numPr>
          <w:ilvl w:val="0"/>
          <w:numId w:val="1"/>
        </w:numPr>
      </w:pPr>
      <w:r w:rsidRPr="001C1D2A">
        <w:rPr>
          <w:b/>
          <w:bCs/>
        </w:rPr>
        <w:t>Amélioration de l'expérience employé</w:t>
      </w:r>
      <w:r w:rsidRPr="001C1D2A">
        <w:t xml:space="preserve"> : Il est essentiel d'améliorer l'expérience des employés au travail. En fait, 50 % des conférences et congrès RH sont liés à l'expérience employé.</w:t>
      </w:r>
    </w:p>
    <w:p w14:paraId="4FFDEB7C" w14:textId="77777777" w:rsidR="001C1D2A" w:rsidRPr="001C1D2A" w:rsidRDefault="001C1D2A" w:rsidP="001C1D2A">
      <w:pPr>
        <w:numPr>
          <w:ilvl w:val="0"/>
          <w:numId w:val="1"/>
        </w:numPr>
      </w:pPr>
      <w:r w:rsidRPr="001C1D2A">
        <w:rPr>
          <w:b/>
          <w:bCs/>
        </w:rPr>
        <w:t>Reconnaissance au travail</w:t>
      </w:r>
      <w:r w:rsidRPr="001C1D2A">
        <w:t xml:space="preserve"> : La reconnaissance est fondamentale pour les employés. Les milléniaux en particulier ont besoin d'entendre qu'ils font du bon travail, même quand ils ne font que leurs tâches habituelles !</w:t>
      </w:r>
    </w:p>
    <w:p w14:paraId="5B3FD0CF" w14:textId="77777777" w:rsidR="001C1D2A" w:rsidRPr="001C1D2A" w:rsidRDefault="001C1D2A" w:rsidP="001C1D2A">
      <w:pPr>
        <w:numPr>
          <w:ilvl w:val="0"/>
          <w:numId w:val="1"/>
        </w:numPr>
      </w:pPr>
      <w:r w:rsidRPr="001C1D2A">
        <w:rPr>
          <w:b/>
          <w:bCs/>
        </w:rPr>
        <w:t>Taux de roulement élevé</w:t>
      </w:r>
      <w:r w:rsidRPr="001C1D2A">
        <w:t xml:space="preserve"> : Le taux de roulement est en hausse constante, avec une moyenne de 15 % selon l'industrie et la nature des postes. Pour une entreprise de 100 travailleurs, cela signifie la gestion de 15 départs, 15 recrutements et l'accueil de 15 nouveaux employés. Le coût associé au départ d'un employé est environ 25 % de son salaire annuel, en comptant le temps pour le remplacer, la perte de connaissances et le temps pour former le nouvel employé. Pour un salaire moyen de 50 000 $, cela représente environ 12 500 $. Le départ de 15 employés coûte donc environ 187 500 $ !</w:t>
      </w:r>
    </w:p>
    <w:p w14:paraId="3A3A6A18" w14:textId="77777777" w:rsidR="001C1D2A" w:rsidRPr="001C1D2A" w:rsidRDefault="001C1D2A" w:rsidP="001C1D2A">
      <w:pPr>
        <w:numPr>
          <w:ilvl w:val="0"/>
          <w:numId w:val="1"/>
        </w:numPr>
      </w:pPr>
      <w:r w:rsidRPr="001C1D2A">
        <w:rPr>
          <w:b/>
          <w:bCs/>
        </w:rPr>
        <w:t>Obligations de formation</w:t>
      </w:r>
      <w:r w:rsidRPr="001C1D2A">
        <w:t xml:space="preserve"> : Toute entreprise avec une masse salariale de 2 000 000 $ doit investir 1 % de celle-ci en formation. Sinon, l'argent non dépensé doit être versé au fonds national de formation. RH Support a une équipe de formateurs agréés qui développent des formations personnalisées pour votre entreprise et son contexte particulier</w:t>
      </w:r>
    </w:p>
    <w:p w14:paraId="5BA29D5D" w14:textId="77777777" w:rsidR="001C1D2A" w:rsidRDefault="001C1D2A"/>
    <w:sectPr w:rsidR="001C1D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B707B"/>
    <w:multiLevelType w:val="multilevel"/>
    <w:tmpl w:val="C722D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77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2A"/>
    <w:rsid w:val="001C1D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3FB16E4"/>
  <w15:chartTrackingRefBased/>
  <w15:docId w15:val="{BB61DE90-71FF-214A-A7B9-B92DA624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895861">
      <w:bodyDiv w:val="1"/>
      <w:marLeft w:val="0"/>
      <w:marRight w:val="0"/>
      <w:marTop w:val="0"/>
      <w:marBottom w:val="0"/>
      <w:divBdr>
        <w:top w:val="none" w:sz="0" w:space="0" w:color="auto"/>
        <w:left w:val="none" w:sz="0" w:space="0" w:color="auto"/>
        <w:bottom w:val="none" w:sz="0" w:space="0" w:color="auto"/>
        <w:right w:val="none" w:sz="0" w:space="0" w:color="auto"/>
      </w:divBdr>
    </w:div>
    <w:div w:id="17340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1700</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Laforce-Steben</dc:creator>
  <cp:keywords/>
  <dc:description/>
  <cp:lastModifiedBy>Jade Laforce-Steben</cp:lastModifiedBy>
  <cp:revision>1</cp:revision>
  <dcterms:created xsi:type="dcterms:W3CDTF">2023-06-07T22:14:00Z</dcterms:created>
  <dcterms:modified xsi:type="dcterms:W3CDTF">2023-06-07T22:15:00Z</dcterms:modified>
</cp:coreProperties>
</file>