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sz w:val="24"/>
          <w:szCs w:val="24"/>
        </w:rPr>
      </w:pPr>
      <w:bookmarkStart w:colFirst="0" w:colLast="0" w:name="_rhz4dk31h5aw" w:id="0"/>
      <w:bookmarkEnd w:id="0"/>
      <w:r w:rsidDel="00000000" w:rsidR="00000000" w:rsidRPr="00000000">
        <w:rPr>
          <w:b w:val="1"/>
          <w:sz w:val="24"/>
          <w:szCs w:val="24"/>
          <w:rtl w:val="0"/>
        </w:rPr>
        <w:t xml:space="preserve">AVIS DE PRÉSENTATION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À : Dentalcorp Health Services ULC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181 Bay Street, Suite 2600, Toronto (Ontario) M5J 2T3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PRENEZ AVIS QUE</w:t>
      </w:r>
      <w:r w:rsidDel="00000000" w:rsidR="00000000" w:rsidRPr="00000000">
        <w:rPr>
          <w:sz w:val="24"/>
          <w:szCs w:val="24"/>
          <w:rtl w:val="0"/>
        </w:rPr>
        <w:t xml:space="preserve"> la présente Demande d’injonction interlocutoire sera présentée pour décision devant la Cour supérieure du Québec, au Palais de justice de Salaberry-de-Valleyfield, situé au 88, rue Alexandre, le </w:t>
      </w:r>
      <w:r w:rsidDel="00000000" w:rsidR="00000000" w:rsidRPr="00000000">
        <w:rPr>
          <w:i w:val="1"/>
          <w:sz w:val="24"/>
          <w:szCs w:val="24"/>
          <w:u w:val="single"/>
          <w:rtl w:val="0"/>
        </w:rPr>
        <w:t xml:space="preserve">à déterminer</w:t>
      </w:r>
      <w:r w:rsidDel="00000000" w:rsidR="00000000" w:rsidRPr="00000000">
        <w:rPr>
          <w:sz w:val="24"/>
          <w:szCs w:val="24"/>
          <w:rtl w:val="0"/>
        </w:rPr>
        <w:t xml:space="preserve"> à </w:t>
      </w:r>
      <w:r w:rsidDel="00000000" w:rsidR="00000000" w:rsidRPr="00000000">
        <w:rPr>
          <w:i w:val="1"/>
          <w:sz w:val="24"/>
          <w:szCs w:val="24"/>
          <w:u w:val="single"/>
          <w:rtl w:val="0"/>
        </w:rPr>
        <w:t xml:space="preserve">à déterminer</w:t>
      </w:r>
      <w:r w:rsidDel="00000000" w:rsidR="00000000" w:rsidRPr="00000000">
        <w:rPr>
          <w:sz w:val="24"/>
          <w:szCs w:val="24"/>
          <w:rtl w:val="0"/>
        </w:rPr>
        <w:t xml:space="preserve">, ou aussitôt après que la Cour pourra l’entendre.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Le 4 Avril 2025</w:t>
      </w:r>
    </w:p>
    <w:p w:rsidR="00000000" w:rsidDel="00000000" w:rsidP="00000000" w:rsidRDefault="00000000" w:rsidRPr="00000000" w14:paraId="00000005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40" w:before="24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Cedric Leboeuf 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Tél. : 450-567-0514</w:t>
        <w:br w:type="textWrapping"/>
        <w:t xml:space="preserve">Courriel : </w:t>
      </w:r>
      <w:hyperlink r:id="rId6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info@cedricleboeuf.com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/>
        <w:drawing>
          <wp:inline distB="114300" distT="114300" distL="114300" distR="114300">
            <wp:extent cx="2303054" cy="564691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03054" cy="56469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mailto:info@cedricleboeuf.com" TargetMode="External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