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des pièces (mise à jour au 26 août 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 de pièce</w:t>
            </w:r>
          </w:p>
        </w:tc>
        <w:tc>
          <w:tcPr>
            <w:tcW w:type="dxa" w:w="2880"/>
          </w:tcPr>
          <w:p>
            <w:r>
              <w:t>Fichier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D-001</w:t>
            </w:r>
          </w:p>
        </w:tc>
        <w:tc>
          <w:tcPr>
            <w:tcW w:type="dxa" w:w="2880"/>
          </w:tcPr>
          <w:p>
            <w:r>
              <w:t>D-001.pdf</w:t>
            </w:r>
          </w:p>
        </w:tc>
        <w:tc>
          <w:tcPr>
            <w:tcW w:type="dxa" w:w="2880"/>
          </w:tcPr>
          <w:p>
            <w:r>
              <w:t>Preuve déterminante : « Avis 2022 » daté du 19 juillet 2023, acheminé à la mauvaise adresse. → Hors de tout doute, il n’existe aucun avis transmis en mars/avril 2023.</w:t>
            </w:r>
          </w:p>
        </w:tc>
      </w:tr>
      <w:tr>
        <w:tc>
          <w:tcPr>
            <w:tcW w:type="dxa" w:w="2880"/>
          </w:tcPr>
          <w:p>
            <w:r>
              <w:t>D-002</w:t>
            </w:r>
          </w:p>
        </w:tc>
        <w:tc>
          <w:tcPr>
            <w:tcW w:type="dxa" w:w="2880"/>
          </w:tcPr>
          <w:p>
            <w:r>
              <w:t>D-002.pdf</w:t>
            </w:r>
          </w:p>
        </w:tc>
        <w:tc>
          <w:tcPr>
            <w:tcW w:type="dxa" w:w="2880"/>
          </w:tcPr>
          <w:p>
            <w:r>
              <w:t>Demande introductive d’arbitrage viciée : absence d’avis en mars/avril 2023, avis mal adressé au mauvais destinataire, omission volontaire de la page 1 (date réelle occultée), intérêts rétroactifs illégaux, solidarité inexistante et Direct Claim inopérant sur un montant contesté.</w:t>
            </w:r>
          </w:p>
        </w:tc>
      </w:tr>
      <w:tr>
        <w:tc>
          <w:tcPr>
            <w:tcW w:type="dxa" w:w="2880"/>
          </w:tcPr>
          <w:p>
            <w:r>
              <w:t>D-003</w:t>
            </w:r>
          </w:p>
        </w:tc>
        <w:tc>
          <w:tcPr>
            <w:tcW w:type="dxa" w:w="2880"/>
          </w:tcPr>
          <w:p>
            <w:r>
              <w:t>D-003.jpg</w:t>
            </w:r>
          </w:p>
        </w:tc>
        <w:tc>
          <w:tcPr>
            <w:tcW w:type="dxa" w:w="2880"/>
          </w:tcPr>
          <w:p>
            <w:r>
              <w:t>Preuve visuelle : capture démontrant que Dentalcorp a faussement allégué l’existence d’un avis en avril 2023 pour faire courir illégalement des intérêts rétroactifs. → Établit le mensonge et l’artifice procédural.</w:t>
            </w:r>
          </w:p>
        </w:tc>
      </w:tr>
      <w:tr>
        <w:tc>
          <w:tcPr>
            <w:tcW w:type="dxa" w:w="2880"/>
          </w:tcPr>
          <w:p>
            <w:r>
              <w:t>D-004</w:t>
            </w:r>
          </w:p>
        </w:tc>
        <w:tc>
          <w:tcPr>
            <w:tcW w:type="dxa" w:w="2880"/>
          </w:tcPr>
          <w:p>
            <w:r>
              <w:t>D-004.eml</w:t>
            </w:r>
          </w:p>
        </w:tc>
        <w:tc>
          <w:tcPr>
            <w:tcW w:type="dxa" w:w="2880"/>
          </w:tcPr>
          <w:p>
            <w:r>
              <w:t>Courriel du 21 décembre 2023 : reconnaissance explicite de l’absence d’un avis en avril 2023 et demande de considérer la lettre du 12 décembre 2023 comme l’« avis officiel ». → Aveu déterminant des Demanderesses.</w:t>
            </w:r>
          </w:p>
        </w:tc>
      </w:tr>
      <w:tr>
        <w:tc>
          <w:tcPr>
            <w:tcW w:type="dxa" w:w="2880"/>
          </w:tcPr>
          <w:p>
            <w:r>
              <w:t>D-005</w:t>
            </w:r>
          </w:p>
        </w:tc>
        <w:tc>
          <w:tcPr>
            <w:tcW w:type="dxa" w:w="2880"/>
          </w:tcPr>
          <w:p>
            <w:r>
              <w:t>D-005.eml</w:t>
            </w:r>
          </w:p>
        </w:tc>
        <w:tc>
          <w:tcPr>
            <w:tcW w:type="dxa" w:w="2880"/>
          </w:tcPr>
          <w:p>
            <w:r>
              <w:t>Avis transmis par Allan : erreur de destinataire (adressé à Vivian Rahausen, non-partenaire). → Avis invalide et non opposable, confirmant le vice de notification.</w:t>
            </w:r>
          </w:p>
        </w:tc>
      </w:tr>
      <w:tr>
        <w:tc>
          <w:tcPr>
            <w:tcW w:type="dxa" w:w="2880"/>
          </w:tcPr>
          <w:p>
            <w:r>
              <w:t>D-006</w:t>
            </w:r>
          </w:p>
        </w:tc>
        <w:tc>
          <w:tcPr>
            <w:tcW w:type="dxa" w:w="2880"/>
          </w:tcPr>
          <w:p>
            <w:r>
              <w:t>D-006.pdf</w:t>
            </w:r>
          </w:p>
        </w:tc>
        <w:tc>
          <w:tcPr>
            <w:tcW w:type="dxa" w:w="2880"/>
          </w:tcPr>
          <w:p>
            <w:r>
              <w:t>Extrait contractuel (clause 5.1 CAA) : modalités de transmission des avis et obligation d’utiliser les adresses officielles inscrites à la convention. → Confirme l’invalidité des notifications irrégulières.</w:t>
            </w:r>
          </w:p>
        </w:tc>
      </w:tr>
      <w:tr>
        <w:tc>
          <w:tcPr>
            <w:tcW w:type="dxa" w:w="2880"/>
          </w:tcPr>
          <w:p>
            <w:r>
              <w:t>D-007</w:t>
            </w:r>
          </w:p>
        </w:tc>
        <w:tc>
          <w:tcPr>
            <w:tcW w:type="dxa" w:w="2880"/>
          </w:tcPr>
          <w:p>
            <w:r>
              <w:t>D-007.pdf</w:t>
            </w:r>
          </w:p>
        </w:tc>
        <w:tc>
          <w:tcPr>
            <w:tcW w:type="dxa" w:w="2880"/>
          </w:tcPr>
          <w:p>
            <w:r>
              <w:t>Annexe C (Service Agreement) : délai impératif de 120 jours pour l’Avis de rajustement et 15 jours pour fournir les renseignements après contestation. → Condition préalable contractuelle non respectée.</w:t>
            </w:r>
          </w:p>
        </w:tc>
      </w:tr>
      <w:tr>
        <w:tc>
          <w:tcPr>
            <w:tcW w:type="dxa" w:w="2880"/>
          </w:tcPr>
          <w:p>
            <w:r>
              <w:t>D-008</w:t>
            </w:r>
          </w:p>
        </w:tc>
        <w:tc>
          <w:tcPr>
            <w:tcW w:type="dxa" w:w="2880"/>
          </w:tcPr>
          <w:p>
            <w:r>
              <w:t>D-008.pdf</w:t>
            </w:r>
          </w:p>
        </w:tc>
        <w:tc>
          <w:tcPr>
            <w:tcW w:type="dxa" w:w="2880"/>
          </w:tcPr>
          <w:p>
            <w:r>
              <w:t>Avis 2022 versé à la DIA : page 1 omise (elle indique la date réelle 19.07.2023). → Manipulation documentaire et présentation trompeuse.</w:t>
            </w:r>
          </w:p>
        </w:tc>
      </w:tr>
      <w:tr>
        <w:tc>
          <w:tcPr>
            <w:tcW w:type="dxa" w:w="2880"/>
          </w:tcPr>
          <w:p>
            <w:r>
              <w:t>D-009</w:t>
            </w:r>
          </w:p>
        </w:tc>
        <w:tc>
          <w:tcPr>
            <w:tcW w:type="dxa" w:w="2880"/>
          </w:tcPr>
          <w:p>
            <w:r>
              <w:t>D-009.pdf</w:t>
            </w:r>
          </w:p>
        </w:tc>
        <w:tc>
          <w:tcPr>
            <w:tcW w:type="dxa" w:w="2880"/>
          </w:tcPr>
          <w:p>
            <w:r>
              <w:t>Preuve comparative : pour l’« Avis 2023 », Dentalcorp a inclus la page 1 (date claire), alors qu’elle a été retirée pour 2022. → Confirme la dissimulation de la date 2022.</w:t>
            </w:r>
          </w:p>
        </w:tc>
      </w:tr>
      <w:tr>
        <w:tc>
          <w:tcPr>
            <w:tcW w:type="dxa" w:w="2880"/>
          </w:tcPr>
          <w:p>
            <w:r>
              <w:t>D-010</w:t>
            </w:r>
          </w:p>
        </w:tc>
        <w:tc>
          <w:tcPr>
            <w:tcW w:type="dxa" w:w="2880"/>
          </w:tcPr>
          <w:p>
            <w:r>
              <w:t>D-010.pdf</w:t>
            </w:r>
          </w:p>
        </w:tc>
        <w:tc>
          <w:tcPr>
            <w:tcW w:type="dxa" w:w="2880"/>
          </w:tcPr>
          <w:p>
            <w:r>
              <w:t>Admission de Dentalcorp : l’Avis 2022 a été envoyé le 19.07.2023 à une mauvaise adresse; « avis officiel » fixé au 12.12.2023. → Ruine toute prétention d’un avis en avril 2023.</w:t>
            </w:r>
          </w:p>
        </w:tc>
      </w:tr>
      <w:tr>
        <w:tc>
          <w:tcPr>
            <w:tcW w:type="dxa" w:w="2880"/>
          </w:tcPr>
          <w:p>
            <w:r>
              <w:t>D-011</w:t>
            </w:r>
          </w:p>
        </w:tc>
        <w:tc>
          <w:tcPr>
            <w:tcW w:type="dxa" w:w="2880"/>
          </w:tcPr>
          <w:p>
            <w:r>
              <w:t>D-011.png</w:t>
            </w:r>
          </w:p>
        </w:tc>
        <w:tc>
          <w:tcPr>
            <w:tcW w:type="dxa" w:w="2880"/>
          </w:tcPr>
          <w:p>
            <w:r>
              <w:t>Convention — adresse officielle de Cédric (cedric2177@gmail.com). → Les notifications électroniques doivent être adressées à cette adresse (cl. Avis), rendant nulles celles envoyées au « dc email » ou à Vivian (non-partenaire).</w:t>
            </w:r>
          </w:p>
        </w:tc>
      </w:tr>
      <w:tr>
        <w:tc>
          <w:tcPr>
            <w:tcW w:type="dxa" w:w="2880"/>
          </w:tcPr>
          <w:p>
            <w:r>
              <w:t>D-012</w:t>
            </w:r>
          </w:p>
        </w:tc>
        <w:tc>
          <w:tcPr>
            <w:tcW w:type="dxa" w:w="2880"/>
          </w:tcPr>
          <w:p>
            <w:r>
              <w:t>D-012.pdf</w:t>
            </w:r>
          </w:p>
        </w:tc>
        <w:tc>
          <w:tcPr>
            <w:tcW w:type="dxa" w:w="2880"/>
          </w:tcPr>
          <w:p>
            <w:r>
              <w:t>Avis de rajustement du 19 juillet 2023 — Preuve annotée mettant en lumière les multiples erreurs (montants, destinataires, solidarité, calculs). → Confirme l’invalidité de l’avis et son caractère contestable.</w:t>
            </w:r>
          </w:p>
        </w:tc>
      </w:tr>
      <w:tr>
        <w:tc>
          <w:tcPr>
            <w:tcW w:type="dxa" w:w="2880"/>
          </w:tcPr>
          <w:p>
            <w:r>
              <w:t>D-013</w:t>
            </w:r>
          </w:p>
        </w:tc>
        <w:tc>
          <w:tcPr>
            <w:tcW w:type="dxa" w:w="2880"/>
          </w:tcPr>
          <w:p>
            <w:r>
              <w:t>D-013.png</w:t>
            </w:r>
          </w:p>
        </w:tc>
        <w:tc>
          <w:tcPr>
            <w:tcW w:type="dxa" w:w="2880"/>
          </w:tcPr>
          <w:p>
            <w:r>
              <w:t>Pièces comparatives : démonstration visuelle de l’« Avis 2022 » tronqué (page 1 supprimée) opposé à l’« Avis 2023 » complet tel qu’annexé à la DIA. → Évidence de manipulation sélective par Dentalcorp.</w:t>
            </w:r>
          </w:p>
        </w:tc>
      </w:tr>
      <w:tr>
        <w:tc>
          <w:tcPr>
            <w:tcW w:type="dxa" w:w="2880"/>
          </w:tcPr>
          <w:p>
            <w:r>
              <w:t>P-014</w:t>
            </w:r>
          </w:p>
        </w:tc>
        <w:tc>
          <w:tcPr>
            <w:tcW w:type="dxa" w:w="2880"/>
          </w:tcPr>
          <w:p>
            <w:r>
              <w:t>P-014.pdf</w:t>
            </w:r>
          </w:p>
        </w:tc>
        <w:tc>
          <w:tcPr>
            <w:tcW w:type="dxa" w:w="2880"/>
          </w:tcPr>
          <w:p>
            <w:r>
              <w:t>Avis de contestation de rajustement (23 mai 2024) contestant 662 431 $ et détaillant les manquements contractuels.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