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u w:val="single"/>
        </w:rPr>
      </w:pPr>
      <w:r w:rsidDel="00000000" w:rsidR="00000000" w:rsidRPr="00000000">
        <w:rPr>
          <w:rtl w:val="0"/>
        </w:rPr>
      </w:r>
    </w:p>
    <w:p w:rsidR="00000000" w:rsidDel="00000000" w:rsidP="00000000" w:rsidRDefault="00000000" w:rsidRPr="00000000" w14:paraId="00000002">
      <w:pPr>
        <w:pStyle w:val="Heading1"/>
        <w:keepNext w:val="0"/>
        <w:keepLines w:val="0"/>
        <w:spacing w:after="240" w:before="240" w:lineRule="auto"/>
        <w:rPr>
          <w:b w:val="1"/>
          <w:i w:val="1"/>
          <w:sz w:val="16"/>
          <w:szCs w:val="16"/>
          <w:u w:val="single"/>
        </w:rPr>
      </w:pPr>
      <w:bookmarkStart w:colFirst="0" w:colLast="0" w:name="_d69x7bnu8rwa" w:id="0"/>
      <w:bookmarkEnd w:id="0"/>
      <w:r w:rsidDel="00000000" w:rsidR="00000000" w:rsidRPr="00000000">
        <w:rPr>
          <w:b w:val="1"/>
          <w:i w:val="1"/>
          <w:sz w:val="16"/>
          <w:szCs w:val="16"/>
          <w:u w:val="single"/>
          <w:rtl w:val="0"/>
        </w:rPr>
        <w:t xml:space="preserve">AVIS DE CONFIDENTIALITÉ</w:t>
      </w:r>
    </w:p>
    <w:p w:rsidR="00000000" w:rsidDel="00000000" w:rsidP="00000000" w:rsidRDefault="00000000" w:rsidRPr="00000000" w14:paraId="00000003">
      <w:pPr>
        <w:pStyle w:val="Heading1"/>
        <w:keepNext w:val="0"/>
        <w:keepLines w:val="0"/>
        <w:spacing w:after="240" w:before="240" w:lineRule="auto"/>
        <w:rPr>
          <w:b w:val="1"/>
          <w:i w:val="1"/>
          <w:sz w:val="16"/>
          <w:szCs w:val="16"/>
          <w:u w:val="single"/>
        </w:rPr>
      </w:pPr>
      <w:bookmarkStart w:colFirst="0" w:colLast="0" w:name="_d69x7bnu8rwa" w:id="0"/>
      <w:bookmarkEnd w:id="0"/>
      <w:r w:rsidDel="00000000" w:rsidR="00000000" w:rsidRPr="00000000">
        <w:rPr>
          <w:b w:val="1"/>
          <w:i w:val="1"/>
          <w:sz w:val="16"/>
          <w:szCs w:val="16"/>
          <w:u w:val="single"/>
          <w:rtl w:val="0"/>
        </w:rPr>
        <w:t xml:space="preserve">Le présent document est strictement confidentiel, destiné exclusivement à Pierre-Luc Caron, Éric Châtelain, Patrick St-Onge ainsi qu'à leurs conseillers autorisés, et ce, sur autorisation expresse de l'arbitre. Son contenu est communiqué sous toutes réserves, sans préjudice, et ne peut en aucun cas être divulgué, transmis, reproduit ou utilisé en justice ou dans toute autre procédure contre Cédric Leboeuf, ses filiales, sociétés affiliées, partenaires, représentants ou conseillers, sous peine de constituer une violation manifeste de la confidentialité.</w:t>
      </w:r>
    </w:p>
    <w:p w:rsidR="00000000" w:rsidDel="00000000" w:rsidP="00000000" w:rsidRDefault="00000000" w:rsidRPr="00000000" w14:paraId="00000004">
      <w:pPr>
        <w:pStyle w:val="Heading1"/>
        <w:keepNext w:val="0"/>
        <w:keepLines w:val="0"/>
        <w:spacing w:after="240" w:before="240" w:lineRule="auto"/>
        <w:rPr>
          <w:b w:val="1"/>
          <w:i w:val="1"/>
          <w:sz w:val="16"/>
          <w:szCs w:val="16"/>
          <w:u w:val="single"/>
        </w:rPr>
      </w:pPr>
      <w:bookmarkStart w:colFirst="0" w:colLast="0" w:name="_d69x7bnu8rwa" w:id="0"/>
      <w:bookmarkEnd w:id="0"/>
      <w:r w:rsidDel="00000000" w:rsidR="00000000" w:rsidRPr="00000000">
        <w:rPr>
          <w:b w:val="1"/>
          <w:i w:val="1"/>
          <w:sz w:val="16"/>
          <w:szCs w:val="16"/>
          <w:u w:val="single"/>
          <w:rtl w:val="0"/>
        </w:rPr>
        <w:t xml:space="preserve">Toute utilisation, diffusion ou reproduction non expressément autorisée constitue une infraction à la présente clause de confidentialité et engage la responsabilité civile et pénale des contrevenants.</w:t>
      </w:r>
    </w:p>
    <w:p w:rsidR="00000000" w:rsidDel="00000000" w:rsidP="00000000" w:rsidRDefault="00000000" w:rsidRPr="00000000" w14:paraId="00000005">
      <w:pPr>
        <w:pStyle w:val="Heading1"/>
        <w:keepNext w:val="0"/>
        <w:keepLines w:val="0"/>
        <w:spacing w:after="240" w:before="240" w:lineRule="auto"/>
        <w:rPr>
          <w:b w:val="1"/>
          <w:i w:val="1"/>
          <w:sz w:val="16"/>
          <w:szCs w:val="16"/>
          <w:u w:val="single"/>
        </w:rPr>
      </w:pPr>
      <w:bookmarkStart w:colFirst="0" w:colLast="0" w:name="_fd65qanalgpd" w:id="1"/>
      <w:bookmarkEnd w:id="1"/>
      <w:r w:rsidDel="00000000" w:rsidR="00000000" w:rsidRPr="00000000">
        <w:rPr>
          <w:b w:val="1"/>
          <w:i w:val="1"/>
          <w:sz w:val="16"/>
          <w:szCs w:val="16"/>
          <w:u w:val="single"/>
          <w:rtl w:val="0"/>
        </w:rPr>
        <w:t xml:space="preserve">En recevant et consultant ce document, vous reconnaissez explicitement avoir pris connaissance des termes du présent avis de confidentialité et vous engagez formellement à les respecter intégralement.</w:t>
      </w:r>
    </w:p>
    <w:p w:rsidR="00000000" w:rsidDel="00000000" w:rsidP="00000000" w:rsidRDefault="00000000" w:rsidRPr="00000000" w14:paraId="00000006">
      <w:pPr>
        <w:rPr/>
      </w:pPr>
      <w:r w:rsidDel="00000000" w:rsidR="00000000" w:rsidRPr="00000000">
        <w:rPr>
          <w:rtl w:val="0"/>
        </w:rPr>
        <w:t xml:space="preserve">Cedric Leboeuf</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sz w:val="46"/>
          <w:szCs w:val="46"/>
        </w:rPr>
      </w:pPr>
      <w:bookmarkStart w:colFirst="0" w:colLast="0" w:name="_d69x7bnu8rwa" w:id="0"/>
      <w:bookmarkEnd w:id="0"/>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sz w:val="36"/>
          <w:szCs w:val="36"/>
        </w:rPr>
      </w:pPr>
      <w:bookmarkStart w:colFirst="0" w:colLast="0" w:name="_dtjq6fe03tf4" w:id="2"/>
      <w:bookmarkEnd w:id="2"/>
      <w:r w:rsidDel="00000000" w:rsidR="00000000" w:rsidRPr="00000000">
        <w:rPr>
          <w:b w:val="1"/>
          <w:sz w:val="36"/>
          <w:szCs w:val="36"/>
          <w:rtl w:val="0"/>
        </w:rPr>
        <w:t xml:space="preserve">PLAN STRUCTURÉ DE SUJET POUR CONTESTER LA CLAUSE D’ARBITRAGE À L’AIDE DE TÉMOINS</w:t>
      </w:r>
    </w:p>
    <w:p w:rsidR="00000000" w:rsidDel="00000000" w:rsidP="00000000" w:rsidRDefault="00000000" w:rsidRPr="00000000" w14:paraId="0000000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xlurbkcjvn3j" w:id="3"/>
      <w:bookmarkEnd w:id="3"/>
      <w:r w:rsidDel="00000000" w:rsidR="00000000" w:rsidRPr="00000000">
        <w:rPr>
          <w:b w:val="1"/>
          <w:sz w:val="34"/>
          <w:szCs w:val="34"/>
          <w:rtl w:val="0"/>
        </w:rPr>
        <w:t xml:space="preserve">A. Contexte initial et position de Cédric</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bxi8yggix0d7" w:id="4"/>
      <w:bookmarkEnd w:id="4"/>
      <w:r w:rsidDel="00000000" w:rsidR="00000000" w:rsidRPr="00000000">
        <w:rPr>
          <w:b w:val="1"/>
          <w:color w:val="000000"/>
          <w:sz w:val="26"/>
          <w:szCs w:val="26"/>
          <w:rtl w:val="0"/>
        </w:rPr>
        <w:t xml:space="preserve">Statut professionnel et situation particulière</w:t>
      </w:r>
    </w:p>
    <w:p w:rsidR="00000000" w:rsidDel="00000000" w:rsidP="00000000" w:rsidRDefault="00000000" w:rsidRPr="00000000" w14:paraId="0000000C">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(a) Cédric était salarié dans cinq (5) cliniques (sur un total de dix) en mai 2022.</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(b) Passage forcé au statut de travailleur autonome pour satisfaire l’exigence d’être « partenaire » dans la transaction Dentalcorp.</w:t>
        <w:br w:type="textWrapping"/>
      </w:r>
    </w:p>
    <w:p w:rsidR="00000000" w:rsidDel="00000000" w:rsidP="00000000" w:rsidRDefault="00000000" w:rsidRPr="00000000" w14:paraId="0000000E">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(c) Vivian (mère retraitée) ne pouvant assumer ce rôle, Cédric se trouve contraint de prendre ce statut non souhaité.</w:t>
        <w:br w:type="textWrapping"/>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fldrsb5ygvx2" w:id="5"/>
      <w:bookmarkEnd w:id="5"/>
      <w:r w:rsidDel="00000000" w:rsidR="00000000" w:rsidRPr="00000000">
        <w:rPr>
          <w:b w:val="1"/>
          <w:color w:val="000000"/>
          <w:sz w:val="26"/>
          <w:szCs w:val="26"/>
          <w:rtl w:val="0"/>
        </w:rPr>
        <w:t xml:space="preserve">Transition forcée par la vente – un partenariat imposé</w:t>
      </w:r>
    </w:p>
    <w:p w:rsidR="00000000" w:rsidDel="00000000" w:rsidP="00000000" w:rsidRDefault="00000000" w:rsidRPr="00000000" w14:paraId="00000010">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(a) Cédric a accepté sous pression</w:t>
      </w:r>
    </w:p>
    <w:p w:rsidR="00000000" w:rsidDel="00000000" w:rsidP="00000000" w:rsidRDefault="00000000" w:rsidRPr="00000000" w14:paraId="0000001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(b) Les représentants de Dentalcorp ont assuré que leurs partenaires voyaient aussitôt une performance supérieure (compensation variable, soutien, etc.), faussant ainsi son jugement.</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 La convention, notamment la clause d’arbitrage, a été présentée en toute fin de processus, alors que Cédric avait déjà investi financièrement et n’avait plus de marge de manœuvre.</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 </w:t>
      </w:r>
      <w:r w:rsidDel="00000000" w:rsidR="00000000" w:rsidRPr="00000000">
        <w:rPr>
          <w:b w:val="1"/>
          <w:sz w:val="20"/>
          <w:szCs w:val="20"/>
          <w:rtl w:val="0"/>
        </w:rPr>
        <w:t xml:space="preserve">Citation</w:t>
      </w:r>
      <w:r w:rsidDel="00000000" w:rsidR="00000000" w:rsidRPr="00000000">
        <w:rPr>
          <w:sz w:val="20"/>
          <w:szCs w:val="20"/>
          <w:rtl w:val="0"/>
        </w:rPr>
        <w:t xml:space="preserve"> : « Annulons-nous la date de signature? » (Richard Gervais), évoquant le risque d’un retrait total de Dentalcorp si Cédric refusait.</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(e) Cédric a déjà dépensé plus de 500 000 $ en frais d’avocats, mettant en péril les finances de Viva en cas de refus.</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(f) Promesse d’un développement de Viva (nouvelles cliniques, acquisitions de bâtiments), présentée comme un levier de performance soutenu par Dentalcorp.</w:t>
        <w:br w:type="textWrapping"/>
      </w:r>
    </w:p>
    <w:p w:rsidR="00000000" w:rsidDel="00000000" w:rsidP="00000000" w:rsidRDefault="00000000" w:rsidRPr="00000000" w14:paraId="00000016">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(g) Les promesses trompeuses de performance et le déséquilibre créé (forte crédibilité de Dentalcorp et besoin de finaliser rapidement) ont vicié le consentement de Cédric (erreur, dol, pression).</w:t>
        <w:br w:type="textWrapping"/>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mwpa7suuwkzw" w:id="6"/>
      <w:bookmarkEnd w:id="6"/>
      <w:r w:rsidDel="00000000" w:rsidR="00000000" w:rsidRPr="00000000">
        <w:rPr>
          <w:b w:val="1"/>
          <w:color w:val="000000"/>
          <w:sz w:val="26"/>
          <w:szCs w:val="26"/>
          <w:rtl w:val="0"/>
        </w:rPr>
        <w:t xml:space="preserve">Absence de droits réels de contrôle dans l’entreprise</w:t>
      </w:r>
    </w:p>
    <w:p w:rsidR="00000000" w:rsidDel="00000000" w:rsidP="00000000" w:rsidRDefault="00000000" w:rsidRPr="00000000" w14:paraId="00000018">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(a) Cédric ne dispose d’aucune action votante, ne peut contester la vente.</w:t>
        <w:br w:type="textWrapping"/>
      </w:r>
    </w:p>
    <w:p w:rsidR="00000000" w:rsidDel="00000000" w:rsidP="00000000" w:rsidRDefault="00000000" w:rsidRPr="00000000" w14:paraId="00000019">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(b) Il n’est pas membre du conseil d’administration, ni le principal bénéficiaire de la transaction.</w:t>
        <w:br w:type="textWrapping"/>
      </w:r>
    </w:p>
    <w:p w:rsidR="00000000" w:rsidDel="00000000" w:rsidP="00000000" w:rsidRDefault="00000000" w:rsidRPr="00000000" w14:paraId="0000001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nuey8mgosdtl" w:id="7"/>
      <w:bookmarkEnd w:id="7"/>
      <w:r w:rsidDel="00000000" w:rsidR="00000000" w:rsidRPr="00000000">
        <w:rPr>
          <w:b w:val="1"/>
          <w:sz w:val="34"/>
          <w:szCs w:val="34"/>
          <w:rtl w:val="0"/>
        </w:rPr>
        <w:t xml:space="preserve">B. Clause d’arbitrage contestée</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dhkjh3gxuvpi" w:id="8"/>
      <w:bookmarkEnd w:id="8"/>
      <w:r w:rsidDel="00000000" w:rsidR="00000000" w:rsidRPr="00000000">
        <w:rPr>
          <w:b w:val="1"/>
          <w:color w:val="000000"/>
          <w:sz w:val="26"/>
          <w:szCs w:val="26"/>
          <w:rtl w:val="0"/>
        </w:rPr>
        <w:t xml:space="preserve">Passage contractuel à annuler</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 La sentence arbitrale rendue par l’unique arbitre choisi de concert par les Parties est sans appel, même à l’égard de toute question de droit. (…) L’arbitrage a lieu à huis clos, la confidentialité étant totale sur tous les aspects (documents, échanges, sentence arbitrale, etc.). »</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uz36qpddk5nk" w:id="9"/>
      <w:bookmarkEnd w:id="9"/>
      <w:r w:rsidDel="00000000" w:rsidR="00000000" w:rsidRPr="00000000">
        <w:rPr>
          <w:b w:val="1"/>
          <w:color w:val="000000"/>
          <w:sz w:val="26"/>
          <w:szCs w:val="26"/>
          <w:rtl w:val="0"/>
        </w:rPr>
        <w:t xml:space="preserve">1. Principe d’autonomie de la clause d’arbitrage</w:t>
      </w:r>
    </w:p>
    <w:p w:rsidR="00000000" w:rsidDel="00000000" w:rsidP="00000000" w:rsidRDefault="00000000" w:rsidRPr="00000000" w14:paraId="0000001F">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Art. 2642 du Code civil du Québec : la clause d’arbitrage est réputée « autonome » par rapport au contrat principal.</w:t>
        <w:br w:type="textWrapping"/>
      </w:r>
    </w:p>
    <w:p w:rsidR="00000000" w:rsidDel="00000000" w:rsidP="00000000" w:rsidRDefault="00000000" w:rsidRPr="00000000" w14:paraId="00000020">
      <w:pPr>
        <w:numPr>
          <w:ilvl w:val="0"/>
          <w:numId w:val="12"/>
        </w:numPr>
        <w:spacing w:after="240" w:before="0" w:beforeAutospacing="0" w:lineRule="auto"/>
        <w:ind w:left="720" w:hanging="360"/>
        <w:rPr>
          <w:sz w:val="20"/>
          <w:szCs w:val="20"/>
        </w:rPr>
      </w:pPr>
      <w:r w:rsidDel="00000000" w:rsidR="00000000" w:rsidRPr="00000000">
        <w:rPr>
          <w:b w:val="1"/>
          <w:sz w:val="20"/>
          <w:szCs w:val="20"/>
          <w:rtl w:val="0"/>
        </w:rPr>
        <w:t xml:space="preserve">Conséquence</w:t>
      </w:r>
      <w:r w:rsidDel="00000000" w:rsidR="00000000" w:rsidRPr="00000000">
        <w:rPr>
          <w:sz w:val="20"/>
          <w:szCs w:val="20"/>
          <w:rtl w:val="0"/>
        </w:rPr>
        <w:t xml:space="preserve"> : pour invalider la clause, il faut démontrer un vice affectant spécifiquement ladite clause (dol, erreur, contrainte, abus, etc.), et non seulement le contrat global.</w:t>
        <w:br w:type="textWrapping"/>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cojxrh551s31" w:id="10"/>
      <w:bookmarkEnd w:id="10"/>
      <w:r w:rsidDel="00000000" w:rsidR="00000000" w:rsidRPr="00000000">
        <w:rPr>
          <w:b w:val="1"/>
          <w:color w:val="000000"/>
          <w:sz w:val="26"/>
          <w:szCs w:val="26"/>
          <w:rtl w:val="0"/>
        </w:rPr>
        <w:t xml:space="preserve">2. Jurisprudence pertinente</w:t>
      </w:r>
    </w:p>
    <w:p w:rsidR="00000000" w:rsidDel="00000000" w:rsidP="00000000" w:rsidRDefault="00000000" w:rsidRPr="00000000" w14:paraId="00000022">
      <w:pPr>
        <w:numPr>
          <w:ilvl w:val="0"/>
          <w:numId w:val="3"/>
        </w:numPr>
        <w:spacing w:after="0" w:afterAutospacing="0" w:before="240" w:lineRule="auto"/>
        <w:ind w:left="720" w:hanging="360"/>
        <w:rPr>
          <w:sz w:val="20"/>
          <w:szCs w:val="20"/>
        </w:rPr>
      </w:pPr>
      <w:r w:rsidDel="00000000" w:rsidR="00000000" w:rsidRPr="00000000">
        <w:rPr>
          <w:b w:val="1"/>
          <w:sz w:val="20"/>
          <w:szCs w:val="20"/>
          <w:rtl w:val="0"/>
        </w:rPr>
        <w:t xml:space="preserve">Uber Technologies Inc. c. Heller (2020 CSC 16)</w:t>
      </w:r>
      <w:r w:rsidDel="00000000" w:rsidR="00000000" w:rsidRPr="00000000">
        <w:rPr>
          <w:sz w:val="20"/>
          <w:szCs w:val="20"/>
          <w:rtl w:val="0"/>
        </w:rPr>
        <w:t xml:space="preserve"> : la Cour suprême a invalidé une clause d’arbitrage jugée inéquitable, reconnaissant qu’une clause peut être annulée même si le contrat principal demeure.</w:t>
        <w:br w:type="textWrapping"/>
      </w:r>
    </w:p>
    <w:p w:rsidR="00000000" w:rsidDel="00000000" w:rsidP="00000000" w:rsidRDefault="00000000" w:rsidRPr="00000000" w14:paraId="00000023">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On doit prouver que l’acceptation de la clause n’a pas été libre ni éclairée, ou qu’elle est excessivement déséquilibrée.</w:t>
        <w:br w:type="textWrapping"/>
      </w:r>
    </w:p>
    <w:p w:rsidR="00000000" w:rsidDel="00000000" w:rsidP="00000000" w:rsidRDefault="00000000" w:rsidRPr="00000000" w14:paraId="0000002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ne56gzu0r14e" w:id="11"/>
      <w:bookmarkEnd w:id="11"/>
      <w:r w:rsidDel="00000000" w:rsidR="00000000" w:rsidRPr="00000000">
        <w:rPr>
          <w:b w:val="1"/>
          <w:sz w:val="34"/>
          <w:szCs w:val="34"/>
          <w:rtl w:val="0"/>
        </w:rPr>
        <w:t xml:space="preserve">C. Fondements juridiques justifiant la nullité (ou inopposabilité) de la clause d’arbitrage</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noc8ovsq3xeg" w:id="12"/>
      <w:bookmarkEnd w:id="12"/>
      <w:r w:rsidDel="00000000" w:rsidR="00000000" w:rsidRPr="00000000">
        <w:rPr>
          <w:b w:val="1"/>
          <w:color w:val="000000"/>
          <w:sz w:val="26"/>
          <w:szCs w:val="26"/>
          <w:rtl w:val="0"/>
        </w:rPr>
        <w:t xml:space="preserve">Vice du consentement</w:t>
      </w:r>
    </w:p>
    <w:p w:rsidR="00000000" w:rsidDel="00000000" w:rsidP="00000000" w:rsidRDefault="00000000" w:rsidRPr="00000000" w14:paraId="00000027">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Erreur</w:t>
      </w:r>
      <w:r w:rsidDel="00000000" w:rsidR="00000000" w:rsidRPr="00000000">
        <w:rPr>
          <w:sz w:val="20"/>
          <w:szCs w:val="20"/>
          <w:rtl w:val="0"/>
        </w:rPr>
        <w:t xml:space="preserve"> : Cédric n’a pas été pleinement informé de la portée sans appel de l’arbitrage ni de la privation d’accès aux tribunaux civils.</w:t>
        <w:br w:type="textWrapping"/>
      </w:r>
    </w:p>
    <w:p w:rsidR="00000000" w:rsidDel="00000000" w:rsidP="00000000" w:rsidRDefault="00000000" w:rsidRPr="00000000" w14:paraId="00000028">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(b) </w:t>
      </w:r>
      <w:r w:rsidDel="00000000" w:rsidR="00000000" w:rsidRPr="00000000">
        <w:rPr>
          <w:b w:val="1"/>
          <w:sz w:val="20"/>
          <w:szCs w:val="20"/>
          <w:rtl w:val="0"/>
        </w:rPr>
        <w:t xml:space="preserve">Dol</w:t>
      </w:r>
      <w:r w:rsidDel="00000000" w:rsidR="00000000" w:rsidRPr="00000000">
        <w:rPr>
          <w:sz w:val="20"/>
          <w:szCs w:val="20"/>
          <w:rtl w:val="0"/>
        </w:rPr>
        <w:t xml:space="preserve"> : Dentalcorp aurait dissimulé ou minimisé des faits essentiels (shortfalls, difficultés réelles d’autres partenaires, risques financiers).</w:t>
        <w:br w:type="textWrapping"/>
      </w:r>
    </w:p>
    <w:p w:rsidR="00000000" w:rsidDel="00000000" w:rsidP="00000000" w:rsidRDefault="00000000" w:rsidRPr="00000000" w14:paraId="00000029">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(c) </w:t>
      </w:r>
      <w:r w:rsidDel="00000000" w:rsidR="00000000" w:rsidRPr="00000000">
        <w:rPr>
          <w:b w:val="1"/>
          <w:sz w:val="20"/>
          <w:szCs w:val="20"/>
          <w:rtl w:val="0"/>
        </w:rPr>
        <w:t xml:space="preserve">Crainte ou pression</w:t>
      </w:r>
      <w:r w:rsidDel="00000000" w:rsidR="00000000" w:rsidRPr="00000000">
        <w:rPr>
          <w:sz w:val="20"/>
          <w:szCs w:val="20"/>
          <w:rtl w:val="0"/>
        </w:rPr>
        <w:t xml:space="preserve"> : signature sous la menace d’un désistement, alors que Cédric avait déjà beaucoup investi (frais d’avocats, clause tardive, etc.).</w:t>
        <w:br w:type="textWrapping"/>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r3lo8wp6lhy2" w:id="13"/>
      <w:bookmarkEnd w:id="13"/>
      <w:r w:rsidDel="00000000" w:rsidR="00000000" w:rsidRPr="00000000">
        <w:rPr>
          <w:b w:val="1"/>
          <w:color w:val="000000"/>
          <w:sz w:val="26"/>
          <w:szCs w:val="26"/>
          <w:rtl w:val="0"/>
        </w:rPr>
        <w:t xml:space="preserve">Lésion ou déséquilibre exorbitant</w:t>
      </w:r>
    </w:p>
    <w:p w:rsidR="00000000" w:rsidDel="00000000" w:rsidP="00000000" w:rsidRDefault="00000000" w:rsidRPr="00000000" w14:paraId="0000002B">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Asymétrie d’information</w:t>
      </w:r>
      <w:r w:rsidDel="00000000" w:rsidR="00000000" w:rsidRPr="00000000">
        <w:rPr>
          <w:sz w:val="20"/>
          <w:szCs w:val="20"/>
          <w:rtl w:val="0"/>
        </w:rPr>
        <w:t xml:space="preserve"> : Dentalcorp disposait d’une grande expertise juridique, alors que Cédric n’avait pas les moyens d’évaluer l’impact réel de l’arbitrage.</w:t>
        <w:br w:type="textWrapping"/>
      </w:r>
    </w:p>
    <w:p w:rsidR="00000000" w:rsidDel="00000000" w:rsidP="00000000" w:rsidRDefault="00000000" w:rsidRPr="00000000" w14:paraId="0000002C">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(b) </w:t>
      </w:r>
      <w:r w:rsidDel="00000000" w:rsidR="00000000" w:rsidRPr="00000000">
        <w:rPr>
          <w:b w:val="1"/>
          <w:sz w:val="20"/>
          <w:szCs w:val="20"/>
          <w:rtl w:val="0"/>
        </w:rPr>
        <w:t xml:space="preserve">Disproportion des obligations</w:t>
      </w:r>
      <w:r w:rsidDel="00000000" w:rsidR="00000000" w:rsidRPr="00000000">
        <w:rPr>
          <w:sz w:val="20"/>
          <w:szCs w:val="20"/>
          <w:rtl w:val="0"/>
        </w:rPr>
        <w:t xml:space="preserve"> : Cédric renonce à un droit fondamental (accès aux tribunaux) sans contrepartie équivalente.</w:t>
        <w:br w:type="textWrapping"/>
      </w:r>
    </w:p>
    <w:p w:rsidR="00000000" w:rsidDel="00000000" w:rsidP="00000000" w:rsidRDefault="00000000" w:rsidRPr="00000000" w14:paraId="0000002D">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(c) </w:t>
      </w:r>
      <w:r w:rsidDel="00000000" w:rsidR="00000000" w:rsidRPr="00000000">
        <w:rPr>
          <w:b w:val="1"/>
          <w:sz w:val="20"/>
          <w:szCs w:val="20"/>
          <w:rtl w:val="0"/>
        </w:rPr>
        <w:t xml:space="preserve">Clause imposée</w:t>
      </w:r>
      <w:r w:rsidDel="00000000" w:rsidR="00000000" w:rsidRPr="00000000">
        <w:rPr>
          <w:sz w:val="20"/>
          <w:szCs w:val="20"/>
          <w:rtl w:val="0"/>
        </w:rPr>
        <w:t xml:space="preserve"> en fin de processus, où Cédric ne pouvait plus négocier librement.</w:t>
        <w:br w:type="textWrapping"/>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cfblomxj2owf" w:id="14"/>
      <w:bookmarkEnd w:id="14"/>
      <w:r w:rsidDel="00000000" w:rsidR="00000000" w:rsidRPr="00000000">
        <w:rPr>
          <w:b w:val="1"/>
          <w:color w:val="000000"/>
          <w:sz w:val="26"/>
          <w:szCs w:val="26"/>
          <w:rtl w:val="0"/>
        </w:rPr>
        <w:t xml:space="preserve">Mauvaise foi contractuelle</w:t>
      </w:r>
    </w:p>
    <w:p w:rsidR="00000000" w:rsidDel="00000000" w:rsidP="00000000" w:rsidRDefault="00000000" w:rsidRPr="00000000" w14:paraId="0000002F">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Discussions tardives</w:t>
      </w:r>
      <w:r w:rsidDel="00000000" w:rsidR="00000000" w:rsidRPr="00000000">
        <w:rPr>
          <w:sz w:val="20"/>
          <w:szCs w:val="20"/>
          <w:rtl w:val="0"/>
        </w:rPr>
        <w:t xml:space="preserve"> portant sur la clause d’arbitrage, malgré son importance capitale.</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(b) </w:t>
      </w:r>
      <w:r w:rsidDel="00000000" w:rsidR="00000000" w:rsidRPr="00000000">
        <w:rPr>
          <w:b w:val="1"/>
          <w:sz w:val="20"/>
          <w:szCs w:val="20"/>
          <w:rtl w:val="0"/>
        </w:rPr>
        <w:t xml:space="preserve">Fausse impression</w:t>
      </w:r>
      <w:r w:rsidDel="00000000" w:rsidR="00000000" w:rsidRPr="00000000">
        <w:rPr>
          <w:sz w:val="20"/>
          <w:szCs w:val="20"/>
          <w:rtl w:val="0"/>
        </w:rPr>
        <w:t xml:space="preserve"> de “standard” sans conséquences négatives, alors qu’il s’agit d’une clause sans appel, extrêmement favorable à Dentalcorp.</w:t>
        <w:br w:type="textWrapping"/>
      </w:r>
    </w:p>
    <w:p w:rsidR="00000000" w:rsidDel="00000000" w:rsidP="00000000" w:rsidRDefault="00000000" w:rsidRPr="00000000" w14:paraId="00000031">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(c) </w:t>
      </w:r>
      <w:r w:rsidDel="00000000" w:rsidR="00000000" w:rsidRPr="00000000">
        <w:rPr>
          <w:b w:val="1"/>
          <w:sz w:val="20"/>
          <w:szCs w:val="20"/>
          <w:rtl w:val="0"/>
        </w:rPr>
        <w:t xml:space="preserve">Objectif</w:t>
      </w:r>
      <w:r w:rsidDel="00000000" w:rsidR="00000000" w:rsidRPr="00000000">
        <w:rPr>
          <w:sz w:val="20"/>
          <w:szCs w:val="20"/>
          <w:rtl w:val="0"/>
        </w:rPr>
        <w:t xml:space="preserve"> de Dentalcorp : restreindre la publicité des litiges, maîtriser les différends à huis clos, limiter la capacité de Cédric à obtenir des preuves.</w:t>
        <w:br w:type="textWrapping"/>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reu1nkzdkgyr" w:id="15"/>
      <w:bookmarkEnd w:id="15"/>
      <w:r w:rsidDel="00000000" w:rsidR="00000000" w:rsidRPr="00000000">
        <w:rPr>
          <w:b w:val="1"/>
          <w:color w:val="000000"/>
          <w:sz w:val="26"/>
          <w:szCs w:val="26"/>
          <w:rtl w:val="0"/>
        </w:rPr>
        <w:t xml:space="preserve">Contrainte économique</w:t>
      </w:r>
    </w:p>
    <w:p w:rsidR="00000000" w:rsidDel="00000000" w:rsidP="00000000" w:rsidRDefault="00000000" w:rsidRPr="00000000" w14:paraId="00000033">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(a) Cédric devait accepter sous peine de perdre le contrat, sa rémunération, voire d’affronter de lourdes conséquences financières.</w:t>
        <w:br w:type="textWrapping"/>
      </w:r>
    </w:p>
    <w:p w:rsidR="00000000" w:rsidDel="00000000" w:rsidP="00000000" w:rsidRDefault="00000000" w:rsidRPr="00000000" w14:paraId="00000034">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(b) Dentalcorp a profité de la position de faiblesse de Cédric (investissement, absence d’alternatives, offres concurrentes déjà incertaines).</w:t>
        <w:br w:type="textWrapping"/>
      </w:r>
    </w:p>
    <w:p w:rsidR="00000000" w:rsidDel="00000000" w:rsidP="00000000" w:rsidRDefault="00000000" w:rsidRPr="00000000" w14:paraId="0000003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c3gs77bs2qkx" w:id="16"/>
      <w:bookmarkEnd w:id="16"/>
      <w:r w:rsidDel="00000000" w:rsidR="00000000" w:rsidRPr="00000000">
        <w:rPr>
          <w:b w:val="1"/>
          <w:sz w:val="34"/>
          <w:szCs w:val="34"/>
          <w:rtl w:val="0"/>
        </w:rPr>
        <w:t xml:space="preserve">D. Éléments de preuve et de contexte appuyant la contestation</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htvgyuwwperz" w:id="17"/>
      <w:bookmarkEnd w:id="17"/>
      <w:r w:rsidDel="00000000" w:rsidR="00000000" w:rsidRPr="00000000">
        <w:rPr>
          <w:b w:val="1"/>
          <w:color w:val="000000"/>
          <w:sz w:val="26"/>
          <w:szCs w:val="26"/>
          <w:rtl w:val="0"/>
        </w:rPr>
        <w:t xml:space="preserve">Promesses financières exagérées</w:t>
      </w:r>
    </w:p>
    <w:p w:rsidR="00000000" w:rsidDel="00000000" w:rsidP="00000000" w:rsidRDefault="00000000" w:rsidRPr="00000000" w14:paraId="00000038">
      <w:pPr>
        <w:numPr>
          <w:ilvl w:val="0"/>
          <w:numId w:val="1"/>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Affirmation que « quasi tous les partenaires** réussissent et surpassent leurs objectifs » → potentiellement trompeuse.</w:t>
        <w:br w:type="textWrapping"/>
      </w:r>
    </w:p>
    <w:p w:rsidR="00000000" w:rsidDel="00000000" w:rsidP="00000000" w:rsidRDefault="00000000" w:rsidRPr="00000000" w14:paraId="00000039">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Mentions de “shortfall” occultées ou niées.</w:t>
        <w:br w:type="textWrapping"/>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dgx5wn8s72db" w:id="18"/>
      <w:bookmarkEnd w:id="18"/>
      <w:r w:rsidDel="00000000" w:rsidR="00000000" w:rsidRPr="00000000">
        <w:rPr>
          <w:b w:val="1"/>
          <w:color w:val="000000"/>
          <w:sz w:val="26"/>
          <w:szCs w:val="26"/>
          <w:rtl w:val="0"/>
        </w:rPr>
        <w:t xml:space="preserve">Courriels rassurants, mais sans suivi réel</w:t>
      </w:r>
    </w:p>
    <w:p w:rsidR="00000000" w:rsidDel="00000000" w:rsidP="00000000" w:rsidRDefault="00000000" w:rsidRPr="00000000" w14:paraId="0000003B">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Exemple : Courriel de Marc Gouron (« Ne soyez pas inquiet… tout ira smooth ») créant une confiance excessive chez Cédric.</w:t>
        <w:br w:type="textWrapping"/>
      </w:r>
    </w:p>
    <w:p w:rsidR="00000000" w:rsidDel="00000000" w:rsidP="00000000" w:rsidRDefault="00000000" w:rsidRPr="00000000" w14:paraId="0000003C">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Les faits démontrent par la suite des problèmes de soutien RH, de gestion, de formations non effectuées, etc.</w:t>
        <w:br w:type="textWrapping"/>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24qdcqqa1gvy" w:id="19"/>
      <w:bookmarkEnd w:id="19"/>
      <w:r w:rsidDel="00000000" w:rsidR="00000000" w:rsidRPr="00000000">
        <w:rPr>
          <w:b w:val="1"/>
          <w:color w:val="000000"/>
          <w:sz w:val="26"/>
          <w:szCs w:val="26"/>
          <w:rtl w:val="0"/>
        </w:rPr>
        <w:t xml:space="preserve">Témoignages de pressions temporelles</w:t>
      </w:r>
    </w:p>
    <w:p w:rsidR="00000000" w:rsidDel="00000000" w:rsidP="00000000" w:rsidRDefault="00000000" w:rsidRPr="00000000" w14:paraId="0000003E">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Ultimatums : signature obligatoire en l’état, aucune négociation possible de la clause d’arbitrage.</w:t>
        <w:br w:type="textWrapping"/>
      </w:r>
    </w:p>
    <w:p w:rsidR="00000000" w:rsidDel="00000000" w:rsidP="00000000" w:rsidRDefault="00000000" w:rsidRPr="00000000" w14:paraId="0000003F">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Crainte de perdre l’occasion de vente, d’abandonner une seconde offre concurrente (123Dentist).</w:t>
        <w:br w:type="textWrapping"/>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3dx0bkgw090u" w:id="20"/>
      <w:bookmarkEnd w:id="20"/>
      <w:r w:rsidDel="00000000" w:rsidR="00000000" w:rsidRPr="00000000">
        <w:rPr>
          <w:b w:val="1"/>
          <w:color w:val="000000"/>
          <w:sz w:val="26"/>
          <w:szCs w:val="26"/>
          <w:rtl w:val="0"/>
        </w:rPr>
        <w:t xml:space="preserve">Asymétrie d’information / Clauses confidentielles</w:t>
      </w:r>
    </w:p>
    <w:p w:rsidR="00000000" w:rsidDel="00000000" w:rsidP="00000000" w:rsidRDefault="00000000" w:rsidRPr="00000000" w14:paraId="00000041">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Dentalcorp concentre toutes les données (performance, shortfalls, litiges).</w:t>
        <w:br w:type="textWrapping"/>
      </w:r>
    </w:p>
    <w:p w:rsidR="00000000" w:rsidDel="00000000" w:rsidP="00000000" w:rsidRDefault="00000000" w:rsidRPr="00000000" w14:paraId="00000042">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Confidentialité de l’arbitrage empêche toute publicité ou appel, limitant la découverte de preuves.</w:t>
        <w:br w:type="textWrapping"/>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bva2eeitibxu" w:id="21"/>
      <w:bookmarkEnd w:id="21"/>
      <w:r w:rsidDel="00000000" w:rsidR="00000000" w:rsidRPr="00000000">
        <w:rPr>
          <w:b w:val="1"/>
          <w:color w:val="000000"/>
          <w:sz w:val="26"/>
          <w:szCs w:val="26"/>
          <w:rtl w:val="0"/>
        </w:rPr>
        <w:t xml:space="preserve">Exemples de litiges similaires</w:t>
      </w:r>
    </w:p>
    <w:p w:rsidR="00000000" w:rsidDel="00000000" w:rsidP="00000000" w:rsidRDefault="00000000" w:rsidRPr="00000000" w14:paraId="00000044">
      <w:pPr>
        <w:numPr>
          <w:ilvl w:val="0"/>
          <w:numId w:val="17"/>
        </w:numPr>
        <w:spacing w:after="240" w:before="240" w:lineRule="auto"/>
        <w:ind w:left="720" w:hanging="360"/>
        <w:rPr>
          <w:sz w:val="20"/>
          <w:szCs w:val="20"/>
        </w:rPr>
      </w:pPr>
      <w:r w:rsidDel="00000000" w:rsidR="00000000" w:rsidRPr="00000000">
        <w:rPr>
          <w:sz w:val="20"/>
          <w:szCs w:val="20"/>
          <w:rtl w:val="0"/>
        </w:rPr>
        <w:t xml:space="preserve">D’autres partenaires (Dentarius, socque etc.) confrontés aux mêmes difficultés (shortfall, soutien insuffisant), suggérant une pratique récurrente de Dentalcorp.</w:t>
        <w:br w:type="textWrapping"/>
      </w:r>
    </w:p>
    <w:p w:rsidR="00000000" w:rsidDel="00000000" w:rsidP="00000000" w:rsidRDefault="00000000" w:rsidRPr="00000000" w14:paraId="0000004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4onkk9ogx8ma" w:id="22"/>
      <w:bookmarkEnd w:id="22"/>
      <w:r w:rsidDel="00000000" w:rsidR="00000000" w:rsidRPr="00000000">
        <w:rPr>
          <w:b w:val="1"/>
          <w:sz w:val="34"/>
          <w:szCs w:val="34"/>
          <w:rtl w:val="0"/>
        </w:rPr>
        <w:t xml:space="preserve">E. Extraits clés soulignant l’impact sur la clause d’arbitrage</w:t>
      </w:r>
    </w:p>
    <w:p w:rsidR="00000000" w:rsidDel="00000000" w:rsidP="00000000" w:rsidRDefault="00000000" w:rsidRPr="00000000" w14:paraId="00000047">
      <w:pPr>
        <w:numPr>
          <w:ilvl w:val="0"/>
          <w:numId w:val="6"/>
        </w:numPr>
        <w:spacing w:after="0" w:afterAutospacing="0" w:before="240" w:lineRule="auto"/>
        <w:ind w:left="720" w:hanging="360"/>
        <w:rPr>
          <w:sz w:val="20"/>
          <w:szCs w:val="20"/>
        </w:rPr>
      </w:pPr>
      <w:r w:rsidDel="00000000" w:rsidR="00000000" w:rsidRPr="00000000">
        <w:rPr>
          <w:b w:val="1"/>
          <w:sz w:val="20"/>
          <w:szCs w:val="20"/>
          <w:rtl w:val="0"/>
        </w:rPr>
        <w:t xml:space="preserve">Argument central</w:t>
      </w:r>
      <w:r w:rsidDel="00000000" w:rsidR="00000000" w:rsidRPr="00000000">
        <w:rPr>
          <w:sz w:val="20"/>
          <w:szCs w:val="20"/>
          <w:rtl w:val="0"/>
        </w:rPr>
        <w:t xml:space="preserve"> :</w:t>
        <w:br w:type="textWrapping"/>
        <w:t xml:space="preserve"> L’acceptation de la clause n’a pas été libre, éclairée ni volontaire. Elle a été imposée dans un contexte de mensonges (dol) et de contrainte économique.</w:t>
        <w:br w:type="textWrapping"/>
      </w:r>
    </w:p>
    <w:p w:rsidR="00000000" w:rsidDel="00000000" w:rsidP="00000000" w:rsidRDefault="00000000" w:rsidRPr="00000000" w14:paraId="00000048">
      <w:pPr>
        <w:numPr>
          <w:ilvl w:val="0"/>
          <w:numId w:val="6"/>
        </w:numPr>
        <w:spacing w:after="0" w:afterAutospacing="0" w:before="0" w:beforeAutospacing="0" w:lineRule="auto"/>
        <w:ind w:left="720" w:hanging="360"/>
        <w:rPr>
          <w:sz w:val="20"/>
          <w:szCs w:val="20"/>
        </w:rPr>
      </w:pPr>
      <w:r w:rsidDel="00000000" w:rsidR="00000000" w:rsidRPr="00000000">
        <w:rPr>
          <w:b w:val="1"/>
          <w:sz w:val="20"/>
          <w:szCs w:val="20"/>
          <w:rtl w:val="0"/>
        </w:rPr>
        <w:t xml:space="preserve">Arbitrage “sans appel”</w:t>
      </w:r>
      <w:r w:rsidDel="00000000" w:rsidR="00000000" w:rsidRPr="00000000">
        <w:rPr>
          <w:sz w:val="20"/>
          <w:szCs w:val="20"/>
          <w:rtl w:val="0"/>
        </w:rPr>
        <w:t xml:space="preserve"> :</w:t>
        <w:br w:type="textWrapping"/>
        <w:t xml:space="preserve"> Forte présomption d’abus lorsqu’une partie en situation de force exige une procédure confidentielle et sans voie d’appel.</w:t>
        <w:br w:type="textWrapping"/>
      </w:r>
    </w:p>
    <w:p w:rsidR="00000000" w:rsidDel="00000000" w:rsidP="00000000" w:rsidRDefault="00000000" w:rsidRPr="00000000" w14:paraId="00000049">
      <w:pPr>
        <w:numPr>
          <w:ilvl w:val="0"/>
          <w:numId w:val="6"/>
        </w:numPr>
        <w:spacing w:after="240" w:before="0" w:beforeAutospacing="0" w:lineRule="auto"/>
        <w:ind w:left="720" w:hanging="360"/>
        <w:rPr>
          <w:sz w:val="20"/>
          <w:szCs w:val="20"/>
        </w:rPr>
      </w:pPr>
      <w:r w:rsidDel="00000000" w:rsidR="00000000" w:rsidRPr="00000000">
        <w:rPr>
          <w:b w:val="1"/>
          <w:sz w:val="20"/>
          <w:szCs w:val="20"/>
          <w:rtl w:val="0"/>
        </w:rPr>
        <w:t xml:space="preserve">Position juridique</w:t>
      </w:r>
      <w:r w:rsidDel="00000000" w:rsidR="00000000" w:rsidRPr="00000000">
        <w:rPr>
          <w:sz w:val="20"/>
          <w:szCs w:val="20"/>
          <w:rtl w:val="0"/>
        </w:rPr>
        <w:t xml:space="preserve"> :</w:t>
        <w:br w:type="textWrapping"/>
        <w:t xml:space="preserve"> Selon l’autonomie de la clause d’arbitrage (art. 2642 C.c.Q.), l’annulation ou l’inopposabilité peut être prononcée si l’on prouve un vice propre à cette clause.</w:t>
        <w:br w:type="textWrapping"/>
        <w:t xml:space="preserve"> L’ensemble des faits (promesses trompeuses, pression, dissimulation) cible directement l’adhésion à la clause d’arbitrage.</w:t>
        <w:br w:type="textWrapping"/>
      </w:r>
    </w:p>
    <w:p w:rsidR="00000000" w:rsidDel="00000000" w:rsidP="00000000" w:rsidRDefault="00000000" w:rsidRPr="00000000" w14:paraId="0000004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sz w:val="34"/>
          <w:szCs w:val="34"/>
        </w:rPr>
      </w:pPr>
      <w:bookmarkStart w:colFirst="0" w:colLast="0" w:name="_nqae2boiijhc" w:id="23"/>
      <w:bookmarkEnd w:id="23"/>
      <w:r w:rsidDel="00000000" w:rsidR="00000000" w:rsidRPr="00000000">
        <w:rPr>
          <w:b w:val="1"/>
          <w:sz w:val="34"/>
          <w:szCs w:val="34"/>
          <w:rtl w:val="0"/>
        </w:rPr>
        <w:t xml:space="preserve">F. Conclusion et demande</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g9nnezlny7um" w:id="24"/>
      <w:bookmarkEnd w:id="24"/>
      <w:r w:rsidDel="00000000" w:rsidR="00000000" w:rsidRPr="00000000">
        <w:rPr>
          <w:b w:val="1"/>
          <w:color w:val="000000"/>
          <w:sz w:val="26"/>
          <w:szCs w:val="26"/>
          <w:rtl w:val="0"/>
        </w:rPr>
        <w:t xml:space="preserve">Conclusion juridique</w:t>
      </w:r>
    </w:p>
    <w:p w:rsidR="00000000" w:rsidDel="00000000" w:rsidP="00000000" w:rsidRDefault="00000000" w:rsidRPr="00000000" w14:paraId="0000004D">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Les manœuvres et pressions exercées par Dentalcorp sur Cédric révèlent un défaut de consentement (dol, erreur, pression), rendant la clause d’arbitrage nulle ou inopposable.</w:t>
        <w:br w:type="textWrapping"/>
      </w:r>
    </w:p>
    <w:p w:rsidR="00000000" w:rsidDel="00000000" w:rsidP="00000000" w:rsidRDefault="00000000" w:rsidRPr="00000000" w14:paraId="0000004E">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Le déséquilibre structurel, la rétention d’informations et la présentation tardive de la clause confirment l’absence de liberté contractuelle.</w:t>
        <w:br w:type="textWrapping"/>
      </w:r>
    </w:p>
    <w:p w:rsidR="00000000" w:rsidDel="00000000" w:rsidP="00000000" w:rsidRDefault="00000000" w:rsidRPr="00000000" w14:paraId="0000004F">
      <w:pPr>
        <w:spacing w:after="240" w:before="240" w:lineRule="auto"/>
        <w:ind w:left="720" w:firstLine="0"/>
        <w:rPr>
          <w:sz w:val="20"/>
          <w:szCs w:val="20"/>
        </w:rPr>
      </w:pPr>
      <w:r w:rsidDel="00000000" w:rsidR="00000000" w:rsidRPr="00000000">
        <w:rPr>
          <w:sz w:val="20"/>
          <w:szCs w:val="20"/>
          <w:rtl w:val="0"/>
        </w:rPr>
        <w:br w:type="textWrapping"/>
        <w:br w:type="textWrapping"/>
      </w:r>
    </w:p>
    <w:p w:rsidR="00000000" w:rsidDel="00000000" w:rsidP="00000000" w:rsidRDefault="00000000" w:rsidRPr="00000000" w14:paraId="0000005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sz w:val="34"/>
          <w:szCs w:val="34"/>
        </w:rPr>
      </w:pPr>
      <w:bookmarkStart w:colFirst="0" w:colLast="0" w:name="_c24m2o6719h3" w:id="25"/>
      <w:bookmarkEnd w:id="25"/>
      <w:r w:rsidDel="00000000" w:rsidR="00000000" w:rsidRPr="00000000">
        <w:rPr>
          <w:b w:val="1"/>
          <w:sz w:val="34"/>
          <w:szCs w:val="34"/>
          <w:rtl w:val="0"/>
        </w:rPr>
        <w:t xml:space="preserve">G. Synthèse finale</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Le consentement de Cédric à la clause d’arbitrage est vicié par :</w:t>
      </w:r>
    </w:p>
    <w:p w:rsidR="00000000" w:rsidDel="00000000" w:rsidP="00000000" w:rsidRDefault="00000000" w:rsidRPr="00000000" w14:paraId="00000053">
      <w:pPr>
        <w:numPr>
          <w:ilvl w:val="0"/>
          <w:numId w:val="11"/>
        </w:numPr>
        <w:spacing w:after="0" w:afterAutospacing="0" w:before="240" w:lineRule="auto"/>
        <w:ind w:left="720" w:hanging="360"/>
        <w:rPr>
          <w:sz w:val="20"/>
          <w:szCs w:val="20"/>
        </w:rPr>
      </w:pPr>
      <w:r w:rsidDel="00000000" w:rsidR="00000000" w:rsidRPr="00000000">
        <w:rPr>
          <w:b w:val="1"/>
          <w:sz w:val="20"/>
          <w:szCs w:val="20"/>
          <w:rtl w:val="0"/>
        </w:rPr>
        <w:t xml:space="preserve">Dol</w:t>
      </w:r>
      <w:r w:rsidDel="00000000" w:rsidR="00000000" w:rsidRPr="00000000">
        <w:rPr>
          <w:sz w:val="20"/>
          <w:szCs w:val="20"/>
          <w:rtl w:val="0"/>
        </w:rPr>
        <w:t xml:space="preserve"> : Mensonges, omission de faits cruciaux (shortfalls, difficultés, etc.).</w:t>
        <w:br w:type="textWrapping"/>
      </w:r>
    </w:p>
    <w:p w:rsidR="00000000" w:rsidDel="00000000" w:rsidP="00000000" w:rsidRDefault="00000000" w:rsidRPr="00000000" w14:paraId="00000054">
      <w:pPr>
        <w:numPr>
          <w:ilvl w:val="0"/>
          <w:numId w:val="11"/>
        </w:numPr>
        <w:spacing w:after="0" w:afterAutospacing="0" w:before="0" w:beforeAutospacing="0" w:lineRule="auto"/>
        <w:ind w:left="720" w:hanging="360"/>
        <w:rPr>
          <w:sz w:val="20"/>
          <w:szCs w:val="20"/>
        </w:rPr>
      </w:pPr>
      <w:r w:rsidDel="00000000" w:rsidR="00000000" w:rsidRPr="00000000">
        <w:rPr>
          <w:b w:val="1"/>
          <w:sz w:val="20"/>
          <w:szCs w:val="20"/>
          <w:rtl w:val="0"/>
        </w:rPr>
        <w:t xml:space="preserve">Erreur</w:t>
      </w:r>
      <w:r w:rsidDel="00000000" w:rsidR="00000000" w:rsidRPr="00000000">
        <w:rPr>
          <w:sz w:val="20"/>
          <w:szCs w:val="20"/>
          <w:rtl w:val="0"/>
        </w:rPr>
        <w:t xml:space="preserve"> : Croyance erronée que l’arbitrage resterait optionnel et comporterait des garanties équivalentes au recours judiciaire.</w:t>
        <w:br w:type="textWrapping"/>
      </w:r>
    </w:p>
    <w:p w:rsidR="00000000" w:rsidDel="00000000" w:rsidP="00000000" w:rsidRDefault="00000000" w:rsidRPr="00000000" w14:paraId="00000055">
      <w:pPr>
        <w:numPr>
          <w:ilvl w:val="0"/>
          <w:numId w:val="11"/>
        </w:numPr>
        <w:spacing w:after="0" w:afterAutospacing="0" w:before="0" w:beforeAutospacing="0" w:lineRule="auto"/>
        <w:ind w:left="720" w:hanging="360"/>
        <w:rPr>
          <w:sz w:val="20"/>
          <w:szCs w:val="20"/>
        </w:rPr>
      </w:pPr>
      <w:r w:rsidDel="00000000" w:rsidR="00000000" w:rsidRPr="00000000">
        <w:rPr>
          <w:b w:val="1"/>
          <w:sz w:val="20"/>
          <w:szCs w:val="20"/>
          <w:rtl w:val="0"/>
        </w:rPr>
        <w:t xml:space="preserve">Pression et contrainte économique</w:t>
      </w:r>
      <w:r w:rsidDel="00000000" w:rsidR="00000000" w:rsidRPr="00000000">
        <w:rPr>
          <w:sz w:val="20"/>
          <w:szCs w:val="20"/>
          <w:rtl w:val="0"/>
        </w:rPr>
        <w:t xml:space="preserve"> : Impossibilité de refuser sans subir un préjudice financier majeur.</w:t>
        <w:br w:type="textWrapping"/>
      </w:r>
    </w:p>
    <w:p w:rsidR="00000000" w:rsidDel="00000000" w:rsidP="00000000" w:rsidRDefault="00000000" w:rsidRPr="00000000" w14:paraId="00000056">
      <w:pPr>
        <w:numPr>
          <w:ilvl w:val="0"/>
          <w:numId w:val="11"/>
        </w:numPr>
        <w:spacing w:after="240" w:before="0" w:beforeAutospacing="0" w:lineRule="auto"/>
        <w:ind w:left="720" w:hanging="360"/>
        <w:rPr>
          <w:sz w:val="20"/>
          <w:szCs w:val="20"/>
        </w:rPr>
      </w:pPr>
      <w:r w:rsidDel="00000000" w:rsidR="00000000" w:rsidRPr="00000000">
        <w:rPr>
          <w:b w:val="1"/>
          <w:sz w:val="20"/>
          <w:szCs w:val="20"/>
          <w:rtl w:val="0"/>
        </w:rPr>
        <w:t xml:space="preserve">Déséquilibre contractuel</w:t>
      </w:r>
      <w:r w:rsidDel="00000000" w:rsidR="00000000" w:rsidRPr="00000000">
        <w:rPr>
          <w:sz w:val="20"/>
          <w:szCs w:val="20"/>
          <w:rtl w:val="0"/>
        </w:rPr>
        <w:t xml:space="preserve"> : Clause unilatéralement favorable à Dentalcorp, absence de contrepartie.</w:t>
        <w:br w:type="textWrapping"/>
      </w:r>
    </w:p>
    <w:p w:rsidR="00000000" w:rsidDel="00000000" w:rsidP="00000000" w:rsidRDefault="00000000" w:rsidRPr="00000000" w14:paraId="00000057">
      <w:pPr>
        <w:spacing w:after="240" w:before="240" w:lineRule="auto"/>
        <w:rPr>
          <w:sz w:val="20"/>
          <w:szCs w:val="20"/>
        </w:rPr>
      </w:pPr>
      <w:r w:rsidDel="00000000" w:rsidR="00000000" w:rsidRPr="00000000">
        <w:rPr>
          <w:b w:val="1"/>
          <w:sz w:val="20"/>
          <w:szCs w:val="20"/>
          <w:rtl w:val="0"/>
        </w:rPr>
        <w:t xml:space="preserve">En conséquence</w:t>
      </w:r>
      <w:r w:rsidDel="00000000" w:rsidR="00000000" w:rsidRPr="00000000">
        <w:rPr>
          <w:sz w:val="20"/>
          <w:szCs w:val="20"/>
          <w:rtl w:val="0"/>
        </w:rPr>
        <w:t xml:space="preserve">, la clause d’arbitrage devrait être déclarée nulle, inopposable ou, à défaut, révisée pour respecter l’équité contractuelle et les droits fondamentaux de Cédric.</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