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Révisions proposées au contrat avec Gestion Veta pour Amanda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 actuelle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Contexte des préoccupations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Explication de la clause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Proposition de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Objectif de Gestion Veta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8.1.3 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Restriction sur la pratique exclusive de la médecine vétérinaire pour la Société.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souhaite travailler avec la SPCA, des refuges, et aider des collègues.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doit actuellement pratiquer exclusivement pour la Société, ce qui limite ses autres activités professionnelles.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Ajouter : « Amanda peut conclure des contrats avec la SPCA, des refuges, et exceptionnellement aider des collègues dans des cliniques privées pour un maximum de 5 journées par année.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S'assurer de la fidélité exclusive d'Amanda, tout en permettant certaines exceptions raisonnables.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Droit d’entraînement permettant à Gestion Veta d'exiger qu'Amanda vende ses actions en cas d'offre d'achat.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craint une vente précoce ou forcée qui la désavantagerait professionnellement.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Cette clause permet à Gestion Veta de forcer Amanda à vendre ses parts, sans égard au timing ou à la valeur pour Amanda.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Ajouter une clause précisant que le droit d’entraînement ne peut être exercé qu’après une période minimale (ex.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10 ans), ou inclure une condition stipulant que la vente ne peut être imposée que si l’offre excède une valeur minimale préalablement établie.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Garantir la flexibilité de vendre lors d'opportunités économiques favorables.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Modalités de paiement à la succession d’Amanda en cas de décès.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craint une faillite de l'entité après son décès, empêchant le paiement dû à sa succession.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Les paiements à la succession ne sont pas sécurisés contre la faillite éventuelle de l'entité.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Ajouter une clause stipulant que la somme due à la succession doit être garantie par une assurance-vie ou un mécanisme financier sécurisé indépendant.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Assurer une protection équitable sans risquer la liquidité ou la continuité opérationnelle de l'entreprise.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Clause de non-concurrence et de non-sollicitation jugée trop large par Amanda.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craint que la portée étendue de la clause limite ses possibilités de gagner sa vie si l'association prend fin.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clause limite fortement les activités futures possibles pour Amanda dans le secteur vétérinaire.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Ajouter une précision limitant la portée territoriale ou préciser les activités autorisées après la fin de la relation avec la Société.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Protéger contre la concurrence déloyale tout en permettant une réorientation professionnelle raisonnable.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5.4 &amp; 5.4.a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Restriction aux pouvoirs et aux droits de vote en cas de fin d'emploi d'Amanda.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demande une vérification et une clarification de ces clauses.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Ces clauses donnent à Gestion Veta un pouvoir considérable de destitution et de retrait des droits de vote d'Amanda.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Ajouter une clause stipulant qu'Amanda pourra retrouver ses droits de vote lorsque le service de la dette, le loyer, ainsi que le prélèvement de 9,9 % du chiffre d’affaires brut dû à Gestion Veta seront assurés.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Maintenir la capacité décisionnelle tout en établissant une gouvernance claire.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5.5.3 &amp; 5.5.6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Gestion Veta reçoit 10 % du chiffre d’affaires brut et 75 % des dividendes restants, Amanda recevant 25 % des dividendes restants.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indique que l'entente initiale prévoyait 9,9 % des redevances et qu'elle recevrait l’intégralité du cash-flow restant.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répartition actuelle ne respecte pas l'entente initiale.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Modifier la clause pour refléter que Gestion Veta prélève uniquement 9,9 % de redevances sur le chiffre d’affaires brut, et qu'ensuite, 100 % des profits disponibles seront attribués à Amanda.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Assurer que la rémunération de Gestion Veta est claire et conforme à l’entente initiale.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valeur des actions d'Amanda est limitée jusqu'en avril 2030, puis calculée selon un multiple basé sur le flux de trésorerie disponible et la dette.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Amanda souhaite que ses actions aient immédiatement une valeur juste en cas de vente précoce.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valeur des actions d'Amanda est fortement réduite pendant une période initiale.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Retirer la référence à la période 2030.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Ajouter qu'en cas de vente anticipée, Amanda recevra la pleine valeur de ses actions, calculée sur la même base que Gestion Veta, selon la formule : Flux de trésorerie disponible (25 %) × 4 – 25 % de la dette à court et long terme.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Maintenir un alignement clair et équitable sur la valeur des actions, surtout lors d'une vente anticipée.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Ce formatage utilise un tableau plus clair et organisé, ce qui rend les informations plus faciles à comprendre et à consulter.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J'ai également ajusté la formulation pour une meilleure clarté.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