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eorgia" w:cs="Georgia" w:eastAsia="Georgia" w:hAnsi="Georgia"/>
          <w:b w:val="1"/>
          <w:sz w:val="21"/>
          <w:szCs w:val="21"/>
        </w:rPr>
      </w:pPr>
      <w:bookmarkStart w:colFirst="0" w:colLast="0" w:name="_j5nuey6q8yc4" w:id="0"/>
      <w:bookmarkEnd w:id="0"/>
      <w:r w:rsidDel="00000000" w:rsidR="00000000" w:rsidRPr="00000000">
        <w:rPr>
          <w:rFonts w:ascii="Georgia" w:cs="Georgia" w:eastAsia="Georgia" w:hAnsi="Georgia"/>
          <w:b w:val="1"/>
          <w:sz w:val="21"/>
          <w:szCs w:val="21"/>
          <w:rtl w:val="0"/>
        </w:rPr>
        <w:t xml:space="preserve">REQUÊTE EN CONTESTATION DE LA COMPÉTENCE DE L’ARBITRE</w:t>
      </w:r>
    </w:p>
    <w:p w:rsidR="00000000" w:rsidDel="00000000" w:rsidP="00000000" w:rsidRDefault="00000000" w:rsidRPr="00000000" w14:paraId="00000002">
      <w:pPr>
        <w:spacing w:after="240" w:before="240" w:lineRule="auto"/>
        <w:rPr>
          <w:rFonts w:ascii="Georgia" w:cs="Georgia" w:eastAsia="Georgia" w:hAnsi="Georgia"/>
          <w:i w:val="1"/>
          <w:sz w:val="21"/>
          <w:szCs w:val="21"/>
        </w:rPr>
      </w:pPr>
      <w:r w:rsidDel="00000000" w:rsidR="00000000" w:rsidRPr="00000000">
        <w:rPr>
          <w:rFonts w:ascii="Georgia" w:cs="Georgia" w:eastAsia="Georgia" w:hAnsi="Georgia"/>
          <w:b w:val="1"/>
          <w:sz w:val="21"/>
          <w:szCs w:val="21"/>
          <w:rtl w:val="0"/>
        </w:rPr>
        <w:t xml:space="preserve">ET ANNULATION DE LA CLAUSE D’ARBITRAGE POUR DOL ET STRATÉGIE FRAUDULEUSE</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Devant le Tribunal compétent</w:t>
      </w:r>
    </w:p>
    <w:p w:rsidR="00000000" w:rsidDel="00000000" w:rsidP="00000000" w:rsidRDefault="00000000" w:rsidRPr="00000000" w14:paraId="0000000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Georgia" w:cs="Georgia" w:eastAsia="Georgia" w:hAnsi="Georgia"/>
          <w:b w:val="1"/>
          <w:sz w:val="21"/>
          <w:szCs w:val="21"/>
        </w:rPr>
      </w:pPr>
      <w:bookmarkStart w:colFirst="0" w:colLast="0" w:name="_iovosi2s6rfb" w:id="1"/>
      <w:bookmarkEnd w:id="1"/>
      <w:r w:rsidDel="00000000" w:rsidR="00000000" w:rsidRPr="00000000">
        <w:rPr>
          <w:rFonts w:ascii="Georgia" w:cs="Georgia" w:eastAsia="Georgia" w:hAnsi="Georgia"/>
          <w:b w:val="1"/>
          <w:sz w:val="21"/>
          <w:szCs w:val="21"/>
          <w:rtl w:val="0"/>
        </w:rPr>
        <w:t xml:space="preserve">I. IDENTIFICATION DES PARTIES</w:t>
      </w:r>
    </w:p>
    <w:p w:rsidR="00000000" w:rsidDel="00000000" w:rsidP="00000000" w:rsidRDefault="00000000" w:rsidRPr="00000000" w14:paraId="00000005">
      <w:pPr>
        <w:numPr>
          <w:ilvl w:val="0"/>
          <w:numId w:val="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Demandeur</w:t>
        <w:br w:type="textWrapping"/>
      </w:r>
    </w:p>
    <w:p w:rsidR="00000000" w:rsidDel="00000000" w:rsidP="00000000" w:rsidRDefault="00000000" w:rsidRPr="00000000" w14:paraId="00000006">
      <w:pPr>
        <w:numPr>
          <w:ilvl w:val="1"/>
          <w:numId w:val="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Nom</w:t>
      </w:r>
      <w:r w:rsidDel="00000000" w:rsidR="00000000" w:rsidRPr="00000000">
        <w:rPr>
          <w:rFonts w:ascii="Georgia" w:cs="Georgia" w:eastAsia="Georgia" w:hAnsi="Georgia"/>
          <w:sz w:val="21"/>
          <w:szCs w:val="21"/>
          <w:rtl w:val="0"/>
        </w:rPr>
        <w:t xml:space="preserve"> : Cedric Leboeuf (représentant l’entièreté du groupe Viva)</w:t>
      </w:r>
    </w:p>
    <w:p w:rsidR="00000000" w:rsidDel="00000000" w:rsidP="00000000" w:rsidRDefault="00000000" w:rsidRPr="00000000" w14:paraId="00000007">
      <w:pPr>
        <w:numPr>
          <w:ilvl w:val="1"/>
          <w:numId w:val="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Adresse</w:t>
      </w:r>
      <w:r w:rsidDel="00000000" w:rsidR="00000000" w:rsidRPr="00000000">
        <w:rPr>
          <w:rFonts w:ascii="Georgia" w:cs="Georgia" w:eastAsia="Georgia" w:hAnsi="Georgia"/>
          <w:sz w:val="21"/>
          <w:szCs w:val="21"/>
          <w:rtl w:val="0"/>
        </w:rPr>
        <w:t xml:space="preserve"> : 650 Avenue Samson, Rivière-Beaudette (Québec) J0P 1R0</w:t>
      </w:r>
    </w:p>
    <w:p w:rsidR="00000000" w:rsidDel="00000000" w:rsidP="00000000" w:rsidRDefault="00000000" w:rsidRPr="00000000" w14:paraId="00000008">
      <w:pPr>
        <w:numPr>
          <w:ilvl w:val="1"/>
          <w:numId w:val="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Courriel</w:t>
      </w:r>
      <w:r w:rsidDel="00000000" w:rsidR="00000000" w:rsidRPr="00000000">
        <w:rPr>
          <w:rFonts w:ascii="Georgia" w:cs="Georgia" w:eastAsia="Georgia" w:hAnsi="Georgia"/>
          <w:sz w:val="21"/>
          <w:szCs w:val="21"/>
          <w:rtl w:val="0"/>
        </w:rPr>
        <w:t xml:space="preserve"> : info@cedricleboeuf.com</w:t>
      </w:r>
    </w:p>
    <w:p w:rsidR="00000000" w:rsidDel="00000000" w:rsidP="00000000" w:rsidRDefault="00000000" w:rsidRPr="00000000" w14:paraId="00000009">
      <w:pPr>
        <w:numPr>
          <w:ilvl w:val="1"/>
          <w:numId w:val="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Téléphone</w:t>
      </w:r>
      <w:r w:rsidDel="00000000" w:rsidR="00000000" w:rsidRPr="00000000">
        <w:rPr>
          <w:rFonts w:ascii="Georgia" w:cs="Georgia" w:eastAsia="Georgia" w:hAnsi="Georgia"/>
          <w:sz w:val="21"/>
          <w:szCs w:val="21"/>
          <w:rtl w:val="0"/>
        </w:rPr>
        <w:t xml:space="preserve"> : 450-567-0514</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Défendeur</w:t>
        <w:br w:type="textWrapping"/>
      </w:r>
    </w:p>
    <w:p w:rsidR="00000000" w:rsidDel="00000000" w:rsidP="00000000" w:rsidRDefault="00000000" w:rsidRPr="00000000" w14:paraId="0000000B">
      <w:pPr>
        <w:numPr>
          <w:ilvl w:val="1"/>
          <w:numId w:val="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Nom</w:t>
      </w:r>
      <w:r w:rsidDel="00000000" w:rsidR="00000000" w:rsidRPr="00000000">
        <w:rPr>
          <w:rFonts w:ascii="Georgia" w:cs="Georgia" w:eastAsia="Georgia" w:hAnsi="Georgia"/>
          <w:sz w:val="21"/>
          <w:szCs w:val="21"/>
          <w:rtl w:val="0"/>
        </w:rPr>
        <w:t xml:space="preserve"> : Dentalcorp Health Services ULC</w:t>
      </w:r>
    </w:p>
    <w:p w:rsidR="00000000" w:rsidDel="00000000" w:rsidP="00000000" w:rsidRDefault="00000000" w:rsidRPr="00000000" w14:paraId="0000000C">
      <w:pPr>
        <w:numPr>
          <w:ilvl w:val="1"/>
          <w:numId w:val="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Adresse</w:t>
      </w:r>
      <w:r w:rsidDel="00000000" w:rsidR="00000000" w:rsidRPr="00000000">
        <w:rPr>
          <w:rFonts w:ascii="Georgia" w:cs="Georgia" w:eastAsia="Georgia" w:hAnsi="Georgia"/>
          <w:sz w:val="21"/>
          <w:szCs w:val="21"/>
          <w:rtl w:val="0"/>
        </w:rPr>
        <w:t xml:space="preserve"> : 181 Bay Street (Suite 2600), Toronto (Ontario) M5J 2T3</w:t>
      </w:r>
    </w:p>
    <w:p w:rsidR="00000000" w:rsidDel="00000000" w:rsidP="00000000" w:rsidRDefault="00000000" w:rsidRPr="00000000" w14:paraId="0000000D">
      <w:pPr>
        <w:numPr>
          <w:ilvl w:val="1"/>
          <w:numId w:val="3"/>
        </w:numPr>
        <w:spacing w:after="24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Téléphone</w:t>
      </w:r>
      <w:r w:rsidDel="00000000" w:rsidR="00000000" w:rsidRPr="00000000">
        <w:rPr>
          <w:rFonts w:ascii="Georgia" w:cs="Georgia" w:eastAsia="Georgia" w:hAnsi="Georgia"/>
          <w:sz w:val="21"/>
          <w:szCs w:val="21"/>
          <w:rtl w:val="0"/>
        </w:rPr>
        <w:t xml:space="preserve"> : 416-558-8338 / Cell. : 416-566-0018</w:t>
      </w:r>
    </w:p>
    <w:p w:rsidR="00000000" w:rsidDel="00000000" w:rsidP="00000000" w:rsidRDefault="00000000" w:rsidRPr="00000000" w14:paraId="0000000E">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Date de la présente requête</w:t>
      </w:r>
      <w:r w:rsidDel="00000000" w:rsidR="00000000" w:rsidRPr="00000000">
        <w:rPr>
          <w:rFonts w:ascii="Georgia" w:cs="Georgia" w:eastAsia="Georgia" w:hAnsi="Georgia"/>
          <w:sz w:val="21"/>
          <w:szCs w:val="21"/>
          <w:rtl w:val="0"/>
        </w:rPr>
        <w:t xml:space="preserve"> : 24 février 2025</w:t>
      </w:r>
    </w:p>
    <w:p w:rsidR="00000000" w:rsidDel="00000000" w:rsidP="00000000" w:rsidRDefault="00000000" w:rsidRPr="00000000" w14:paraId="0000000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Georgia" w:cs="Georgia" w:eastAsia="Georgia" w:hAnsi="Georgia"/>
          <w:b w:val="1"/>
          <w:sz w:val="21"/>
          <w:szCs w:val="21"/>
        </w:rPr>
      </w:pPr>
      <w:bookmarkStart w:colFirst="0" w:colLast="0" w:name="_l5bdi2eyxm36" w:id="2"/>
      <w:bookmarkEnd w:id="2"/>
      <w:r w:rsidDel="00000000" w:rsidR="00000000" w:rsidRPr="00000000">
        <w:rPr>
          <w:rFonts w:ascii="Georgia" w:cs="Georgia" w:eastAsia="Georgia" w:hAnsi="Georgia"/>
          <w:b w:val="1"/>
          <w:sz w:val="21"/>
          <w:szCs w:val="21"/>
          <w:rtl w:val="0"/>
        </w:rPr>
        <w:t xml:space="preserve">II. OBJET DE LA REQUÊTE</w:t>
      </w:r>
    </w:p>
    <w:p w:rsidR="00000000" w:rsidDel="00000000" w:rsidP="00000000" w:rsidRDefault="00000000" w:rsidRPr="00000000" w14:paraId="0000001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demandeur, </w:t>
      </w:r>
      <w:r w:rsidDel="00000000" w:rsidR="00000000" w:rsidRPr="00000000">
        <w:rPr>
          <w:rFonts w:ascii="Georgia" w:cs="Georgia" w:eastAsia="Georgia" w:hAnsi="Georgia"/>
          <w:b w:val="1"/>
          <w:sz w:val="21"/>
          <w:szCs w:val="21"/>
          <w:rtl w:val="0"/>
        </w:rPr>
        <w:t xml:space="preserve">Cedric Leboeuf</w:t>
      </w:r>
      <w:r w:rsidDel="00000000" w:rsidR="00000000" w:rsidRPr="00000000">
        <w:rPr>
          <w:rFonts w:ascii="Georgia" w:cs="Georgia" w:eastAsia="Georgia" w:hAnsi="Georgia"/>
          <w:sz w:val="21"/>
          <w:szCs w:val="21"/>
          <w:rtl w:val="0"/>
        </w:rPr>
        <w:t xml:space="preserve">, agissant au nom du groupe Viva, sollicite respectueusement du Tribunal :</w:t>
      </w:r>
    </w:p>
    <w:p w:rsidR="00000000" w:rsidDel="00000000" w:rsidP="00000000" w:rsidRDefault="00000000" w:rsidRPr="00000000" w14:paraId="00000012">
      <w:pPr>
        <w:numPr>
          <w:ilvl w:val="0"/>
          <w:numId w:val="12"/>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La contestation de la compétence de l’arbitre</w:t>
      </w:r>
      <w:r w:rsidDel="00000000" w:rsidR="00000000" w:rsidRPr="00000000">
        <w:rPr>
          <w:rFonts w:ascii="Georgia" w:cs="Georgia" w:eastAsia="Georgia" w:hAnsi="Georgia"/>
          <w:sz w:val="21"/>
          <w:szCs w:val="21"/>
          <w:rtl w:val="0"/>
        </w:rPr>
        <w:t xml:space="preserve"> désigné dans la convention de service conclue avec Dentalcorp Health Services ULC.</w:t>
      </w:r>
    </w:p>
    <w:p w:rsidR="00000000" w:rsidDel="00000000" w:rsidP="00000000" w:rsidRDefault="00000000" w:rsidRPr="00000000" w14:paraId="00000013">
      <w:pPr>
        <w:numPr>
          <w:ilvl w:val="0"/>
          <w:numId w:val="12"/>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L’annulation de la clause d’arbitrage</w:t>
      </w:r>
      <w:r w:rsidDel="00000000" w:rsidR="00000000" w:rsidRPr="00000000">
        <w:rPr>
          <w:rFonts w:ascii="Georgia" w:cs="Georgia" w:eastAsia="Georgia" w:hAnsi="Georgia"/>
          <w:sz w:val="21"/>
          <w:szCs w:val="21"/>
          <w:rtl w:val="0"/>
        </w:rPr>
        <w:t xml:space="preserve"> pour </w:t>
      </w:r>
      <w:r w:rsidDel="00000000" w:rsidR="00000000" w:rsidRPr="00000000">
        <w:rPr>
          <w:rFonts w:ascii="Georgia" w:cs="Georgia" w:eastAsia="Georgia" w:hAnsi="Georgia"/>
          <w:b w:val="1"/>
          <w:sz w:val="21"/>
          <w:szCs w:val="21"/>
          <w:rtl w:val="0"/>
        </w:rPr>
        <w:t xml:space="preserve">dol</w:t>
      </w:r>
      <w:r w:rsidDel="00000000" w:rsidR="00000000" w:rsidRPr="00000000">
        <w:rPr>
          <w:rFonts w:ascii="Georgia" w:cs="Georgia" w:eastAsia="Georgia" w:hAnsi="Georgia"/>
          <w:sz w:val="21"/>
          <w:szCs w:val="21"/>
          <w:rtl w:val="0"/>
        </w:rPr>
        <w:t xml:space="preserve"> et </w:t>
      </w:r>
      <w:r w:rsidDel="00000000" w:rsidR="00000000" w:rsidRPr="00000000">
        <w:rPr>
          <w:rFonts w:ascii="Georgia" w:cs="Georgia" w:eastAsia="Georgia" w:hAnsi="Georgia"/>
          <w:b w:val="1"/>
          <w:sz w:val="21"/>
          <w:szCs w:val="21"/>
          <w:rtl w:val="0"/>
        </w:rPr>
        <w:t xml:space="preserve">stratégie frauduleuse</w:t>
      </w:r>
      <w:r w:rsidDel="00000000" w:rsidR="00000000" w:rsidRPr="00000000">
        <w:rPr>
          <w:rFonts w:ascii="Georgia" w:cs="Georgia" w:eastAsia="Georgia" w:hAnsi="Georgia"/>
          <w:sz w:val="21"/>
          <w:szCs w:val="21"/>
          <w:rtl w:val="0"/>
        </w:rPr>
        <w:t xml:space="preserve">, cette clause servant de mécanisme à Dentalcorp pour dissimuler ses pratiques abusives et empêcher l’accès à une justice complète et équitable.</w:t>
      </w:r>
    </w:p>
    <w:p w:rsidR="00000000" w:rsidDel="00000000" w:rsidP="00000000" w:rsidRDefault="00000000" w:rsidRPr="00000000" w14:paraId="00000014">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Contexte</w:t>
      </w:r>
      <w:r w:rsidDel="00000000" w:rsidR="00000000" w:rsidRPr="00000000">
        <w:rPr>
          <w:rFonts w:ascii="Georgia" w:cs="Georgia" w:eastAsia="Georgia" w:hAnsi="Georgia"/>
          <w:sz w:val="21"/>
          <w:szCs w:val="21"/>
          <w:rtl w:val="0"/>
        </w:rPr>
        <w:t xml:space="preserve"> : L’arbitrage, dans la présente situation, n’est pas un simple moyen de règlement de différend, mais un outil délibérément utilisé par Dentalcorp pour limiter la transparence, restreindre l’accès aux recours légaux et perpétuer un schéma systématique d’exploitation des partenaires.</w:t>
      </w:r>
    </w:p>
    <w:p w:rsidR="00000000" w:rsidDel="00000000" w:rsidP="00000000" w:rsidRDefault="00000000" w:rsidRPr="00000000" w14:paraId="0000001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Georgia" w:cs="Georgia" w:eastAsia="Georgia" w:hAnsi="Georgia"/>
          <w:b w:val="1"/>
          <w:sz w:val="21"/>
          <w:szCs w:val="21"/>
        </w:rPr>
      </w:pPr>
      <w:bookmarkStart w:colFirst="0" w:colLast="0" w:name="_wzxfelacjzx7" w:id="3"/>
      <w:bookmarkEnd w:id="3"/>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Georgia" w:cs="Georgia" w:eastAsia="Georgia" w:hAnsi="Georgia"/>
          <w:b w:val="1"/>
          <w:sz w:val="21"/>
          <w:szCs w:val="21"/>
        </w:rPr>
      </w:pPr>
      <w:bookmarkStart w:colFirst="0" w:colLast="0" w:name="_scyk174zgzd7" w:id="4"/>
      <w:bookmarkEnd w:id="4"/>
      <w:r w:rsidDel="00000000" w:rsidR="00000000" w:rsidRPr="00000000">
        <w:rPr>
          <w:rFonts w:ascii="Georgia" w:cs="Georgia" w:eastAsia="Georgia" w:hAnsi="Georgia"/>
          <w:b w:val="1"/>
          <w:sz w:val="21"/>
          <w:szCs w:val="21"/>
          <w:rtl w:val="0"/>
        </w:rPr>
        <w:t xml:space="preserve">III. FONDEMENTS JURIDIQUES ET ARGUMENTAIRE</w:t>
      </w:r>
    </w:p>
    <w:p w:rsidR="00000000" w:rsidDel="00000000" w:rsidP="00000000" w:rsidRDefault="00000000" w:rsidRPr="00000000" w14:paraId="00000018">
      <w:pPr>
        <w:pStyle w:val="Heading3"/>
        <w:keepNext w:val="0"/>
        <w:keepLines w:val="0"/>
        <w:spacing w:before="280" w:lineRule="auto"/>
        <w:rPr>
          <w:rFonts w:ascii="Georgia" w:cs="Georgia" w:eastAsia="Georgia" w:hAnsi="Georgia"/>
          <w:b w:val="1"/>
          <w:color w:val="000000"/>
          <w:sz w:val="21"/>
          <w:szCs w:val="21"/>
        </w:rPr>
      </w:pPr>
      <w:bookmarkStart w:colFirst="0" w:colLast="0" w:name="_r2mus2v16esc" w:id="5"/>
      <w:bookmarkEnd w:id="5"/>
      <w:r w:rsidDel="00000000" w:rsidR="00000000" w:rsidRPr="00000000">
        <w:rPr>
          <w:rFonts w:ascii="Georgia" w:cs="Georgia" w:eastAsia="Georgia" w:hAnsi="Georgia"/>
          <w:b w:val="1"/>
          <w:color w:val="000000"/>
          <w:sz w:val="21"/>
          <w:szCs w:val="21"/>
          <w:rtl w:val="0"/>
        </w:rPr>
        <w:t xml:space="preserve">1. La clause d’arbitrage comme outil d’une fraude contractuelle</w:t>
      </w:r>
    </w:p>
    <w:p w:rsidR="00000000" w:rsidDel="00000000" w:rsidP="00000000" w:rsidRDefault="00000000" w:rsidRPr="00000000" w14:paraId="00000019">
      <w:pPr>
        <w:pStyle w:val="Heading4"/>
        <w:keepNext w:val="0"/>
        <w:keepLines w:val="0"/>
        <w:spacing w:after="40" w:before="240" w:lineRule="auto"/>
        <w:rPr>
          <w:rFonts w:ascii="Georgia" w:cs="Georgia" w:eastAsia="Georgia" w:hAnsi="Georgia"/>
          <w:b w:val="1"/>
          <w:color w:val="000000"/>
          <w:sz w:val="21"/>
          <w:szCs w:val="21"/>
        </w:rPr>
      </w:pPr>
      <w:bookmarkStart w:colFirst="0" w:colLast="0" w:name="_c9mibej29u25" w:id="6"/>
      <w:bookmarkEnd w:id="6"/>
      <w:r w:rsidDel="00000000" w:rsidR="00000000" w:rsidRPr="00000000">
        <w:rPr>
          <w:rFonts w:ascii="Georgia" w:cs="Georgia" w:eastAsia="Georgia" w:hAnsi="Georgia"/>
          <w:b w:val="1"/>
          <w:color w:val="000000"/>
          <w:sz w:val="21"/>
          <w:szCs w:val="21"/>
          <w:rtl w:val="0"/>
        </w:rPr>
        <w:t xml:space="preserve">1.1 Dol et manœuvres frauduleuses de Dentalcorp</w:t>
      </w:r>
    </w:p>
    <w:p w:rsidR="00000000" w:rsidDel="00000000" w:rsidP="00000000" w:rsidRDefault="00000000" w:rsidRPr="00000000" w14:paraId="0000001A">
      <w:pPr>
        <w:numPr>
          <w:ilvl w:val="0"/>
          <w:numId w:val="13"/>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Base légale</w:t>
      </w:r>
      <w:r w:rsidDel="00000000" w:rsidR="00000000" w:rsidRPr="00000000">
        <w:rPr>
          <w:rFonts w:ascii="Georgia" w:cs="Georgia" w:eastAsia="Georgia" w:hAnsi="Georgia"/>
          <w:sz w:val="21"/>
          <w:szCs w:val="21"/>
          <w:rtl w:val="0"/>
        </w:rPr>
        <w:t xml:space="preserve"> :</w:t>
        <w:br w:type="textWrapping"/>
        <w:t xml:space="preserve"> L’article 1401 du Code civil du Québec (C.c.Q.) prévoit qu’un contrat vicié par le dol est frappé de nullité absolue. Toute clause qu’il contient, y compris une clause d’arbitrage, doit donc être déclarée nulle et inopérante.</w:t>
        <w:br w:type="textWrapping"/>
      </w:r>
    </w:p>
    <w:p w:rsidR="00000000" w:rsidDel="00000000" w:rsidP="00000000" w:rsidRDefault="00000000" w:rsidRPr="00000000" w14:paraId="0000001B">
      <w:pPr>
        <w:numPr>
          <w:ilvl w:val="0"/>
          <w:numId w:val="1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Fausses représentations et omissions</w:t>
      </w:r>
      <w:r w:rsidDel="00000000" w:rsidR="00000000" w:rsidRPr="00000000">
        <w:rPr>
          <w:rFonts w:ascii="Georgia" w:cs="Georgia" w:eastAsia="Georgia" w:hAnsi="Georgia"/>
          <w:sz w:val="21"/>
          <w:szCs w:val="21"/>
          <w:rtl w:val="0"/>
        </w:rPr>
        <w:t xml:space="preserve"> :</w:t>
        <w:br w:type="textWrapping"/>
        <w:t xml:space="preserve"> Dentalcorp aurait fait de fausses promesses sur le soutien administratif et financier, tout en omettant volontairement de divulguer des informations cruciales, créant ainsi un consentement vicié.</w:t>
        <w:br w:type="textWrapping"/>
      </w:r>
    </w:p>
    <w:p w:rsidR="00000000" w:rsidDel="00000000" w:rsidP="00000000" w:rsidRDefault="00000000" w:rsidRPr="00000000" w14:paraId="0000001C">
      <w:pPr>
        <w:numPr>
          <w:ilvl w:val="0"/>
          <w:numId w:val="1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Baisse artificielle des revenus</w:t>
      </w:r>
      <w:r w:rsidDel="00000000" w:rsidR="00000000" w:rsidRPr="00000000">
        <w:rPr>
          <w:rFonts w:ascii="Georgia" w:cs="Georgia" w:eastAsia="Georgia" w:hAnsi="Georgia"/>
          <w:sz w:val="21"/>
          <w:szCs w:val="21"/>
          <w:rtl w:val="0"/>
        </w:rPr>
        <w:t xml:space="preserve"> :</w:t>
        <w:br w:type="textWrapping"/>
        <w:t xml:space="preserve"> Les partenaires se sont retrouvés dans une position financière précaire en raison du défaut de moyens et ressources promis par Dentalcorp.</w:t>
        <w:br w:type="textWrapping"/>
      </w:r>
    </w:p>
    <w:p w:rsidR="00000000" w:rsidDel="00000000" w:rsidP="00000000" w:rsidRDefault="00000000" w:rsidRPr="00000000" w14:paraId="0000001D">
      <w:pPr>
        <w:numPr>
          <w:ilvl w:val="0"/>
          <w:numId w:val="13"/>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Modèle contractuel défaillant</w:t>
      </w:r>
      <w:r w:rsidDel="00000000" w:rsidR="00000000" w:rsidRPr="00000000">
        <w:rPr>
          <w:rFonts w:ascii="Georgia" w:cs="Georgia" w:eastAsia="Georgia" w:hAnsi="Georgia"/>
          <w:sz w:val="21"/>
          <w:szCs w:val="21"/>
          <w:rtl w:val="0"/>
        </w:rPr>
        <w:t xml:space="preserve"> :</w:t>
        <w:br w:type="textWrapping"/>
        <w:t xml:space="preserve"> Dentalcorp savait que son modèle d’intégration présentait des failles, mais a néanmoins transféré le risque à ses partenaires, se prévalant ensuite de l’arbitrage pour étouffer les contestations.</w:t>
        <w:br w:type="textWrapping"/>
      </w:r>
    </w:p>
    <w:p w:rsidR="00000000" w:rsidDel="00000000" w:rsidP="00000000" w:rsidRDefault="00000000" w:rsidRPr="00000000" w14:paraId="0000001E">
      <w:pPr>
        <w:pStyle w:val="Heading4"/>
        <w:keepNext w:val="0"/>
        <w:keepLines w:val="0"/>
        <w:spacing w:after="40" w:before="240" w:lineRule="auto"/>
        <w:rPr>
          <w:rFonts w:ascii="Georgia" w:cs="Georgia" w:eastAsia="Georgia" w:hAnsi="Georgia"/>
          <w:b w:val="1"/>
          <w:color w:val="000000"/>
          <w:sz w:val="21"/>
          <w:szCs w:val="21"/>
        </w:rPr>
      </w:pPr>
      <w:bookmarkStart w:colFirst="0" w:colLast="0" w:name="_n9lb8bn9qqzs" w:id="7"/>
      <w:bookmarkEnd w:id="7"/>
      <w:r w:rsidDel="00000000" w:rsidR="00000000" w:rsidRPr="00000000">
        <w:rPr>
          <w:rFonts w:ascii="Georgia" w:cs="Georgia" w:eastAsia="Georgia" w:hAnsi="Georgia"/>
          <w:b w:val="1"/>
          <w:color w:val="000000"/>
          <w:sz w:val="21"/>
          <w:szCs w:val="21"/>
          <w:rtl w:val="0"/>
        </w:rPr>
        <w:t xml:space="preserve">1.2 Schéma d’exploitation contractuel assimilable à un système de type Ponzi</w:t>
      </w:r>
    </w:p>
    <w:p w:rsidR="00000000" w:rsidDel="00000000" w:rsidP="00000000" w:rsidRDefault="00000000" w:rsidRPr="00000000" w14:paraId="0000001F">
      <w:pPr>
        <w:numPr>
          <w:ilvl w:val="0"/>
          <w:numId w:val="10"/>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Clause abusive</w:t>
      </w:r>
      <w:r w:rsidDel="00000000" w:rsidR="00000000" w:rsidRPr="00000000">
        <w:rPr>
          <w:rFonts w:ascii="Georgia" w:cs="Georgia" w:eastAsia="Georgia" w:hAnsi="Georgia"/>
          <w:sz w:val="21"/>
          <w:szCs w:val="21"/>
          <w:rtl w:val="0"/>
        </w:rPr>
        <w:t xml:space="preserve"> :</w:t>
        <w:br w:type="textWrapping"/>
        <w:t xml:space="preserve"> Les partenaires assument la responsabilité d’une baisse d’EBITDA tout en se voyant refuser l’accès aux moyens nécessaires pour maintenir la rentabilité.</w:t>
        <w:br w:type="textWrapping"/>
      </w:r>
    </w:p>
    <w:p w:rsidR="00000000" w:rsidDel="00000000" w:rsidP="00000000" w:rsidRDefault="00000000" w:rsidRPr="00000000" w14:paraId="00000020">
      <w:pPr>
        <w:numPr>
          <w:ilvl w:val="0"/>
          <w:numId w:val="10"/>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Obstacles administratifs</w:t>
      </w:r>
      <w:r w:rsidDel="00000000" w:rsidR="00000000" w:rsidRPr="00000000">
        <w:rPr>
          <w:rFonts w:ascii="Georgia" w:cs="Georgia" w:eastAsia="Georgia" w:hAnsi="Georgia"/>
          <w:sz w:val="21"/>
          <w:szCs w:val="21"/>
          <w:rtl w:val="0"/>
        </w:rPr>
        <w:t xml:space="preserve"> :</w:t>
        <w:br w:type="textWrapping"/>
        <w:t xml:space="preserve"> Dentalcorp impose des délais et formalités pour empêcher toute réaction rapide aux problèmes d’intégration et cantonner les partenaires dans l’ignorance.Ils présentent des résultats financiers inexacts, privant ainsi le partenaire de la possibilité de prendre des décisions éclairées.</w:t>
        <w:br w:type="textWrapping"/>
      </w:r>
    </w:p>
    <w:p w:rsidR="00000000" w:rsidDel="00000000" w:rsidP="00000000" w:rsidRDefault="00000000" w:rsidRPr="00000000" w14:paraId="00000021">
      <w:pPr>
        <w:numPr>
          <w:ilvl w:val="0"/>
          <w:numId w:val="10"/>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Blocage de la communication</w:t>
      </w:r>
      <w:r w:rsidDel="00000000" w:rsidR="00000000" w:rsidRPr="00000000">
        <w:rPr>
          <w:rFonts w:ascii="Georgia" w:cs="Georgia" w:eastAsia="Georgia" w:hAnsi="Georgia"/>
          <w:sz w:val="21"/>
          <w:szCs w:val="21"/>
          <w:rtl w:val="0"/>
        </w:rPr>
        <w:t xml:space="preserve"> :</w:t>
        <w:br w:type="textWrapping"/>
        <w:t xml:space="preserve"> Les partenaires ne peuvent partager les informations sur les abus contractuels, ce qui favorise la répétition du même schéma avec de nouveaux associés.</w:t>
        <w:br w:type="textWrapping"/>
      </w:r>
    </w:p>
    <w:p w:rsidR="00000000" w:rsidDel="00000000" w:rsidP="00000000" w:rsidRDefault="00000000" w:rsidRPr="00000000" w14:paraId="00000022">
      <w:pPr>
        <w:pStyle w:val="Heading4"/>
        <w:keepNext w:val="0"/>
        <w:keepLines w:val="0"/>
        <w:spacing w:after="40" w:before="240" w:lineRule="auto"/>
        <w:rPr>
          <w:rFonts w:ascii="Georgia" w:cs="Georgia" w:eastAsia="Georgia" w:hAnsi="Georgia"/>
          <w:b w:val="1"/>
          <w:color w:val="000000"/>
          <w:sz w:val="21"/>
          <w:szCs w:val="21"/>
        </w:rPr>
      </w:pPr>
      <w:bookmarkStart w:colFirst="0" w:colLast="0" w:name="_p490kq1dlpxp" w:id="8"/>
      <w:bookmarkEnd w:id="8"/>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rFonts w:ascii="Georgia" w:cs="Georgia" w:eastAsia="Georgia" w:hAnsi="Georgia"/>
          <w:b w:val="1"/>
          <w:color w:val="000000"/>
          <w:sz w:val="21"/>
          <w:szCs w:val="21"/>
        </w:rPr>
      </w:pPr>
      <w:bookmarkStart w:colFirst="0" w:colLast="0" w:name="_ka0oeooht597" w:id="9"/>
      <w:bookmarkEnd w:id="9"/>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rFonts w:ascii="Georgia" w:cs="Georgia" w:eastAsia="Georgia" w:hAnsi="Georgia"/>
          <w:b w:val="1"/>
          <w:color w:val="000000"/>
          <w:sz w:val="21"/>
          <w:szCs w:val="21"/>
        </w:rPr>
      </w:pPr>
      <w:bookmarkStart w:colFirst="0" w:colLast="0" w:name="_24u74j3bw6r3" w:id="10"/>
      <w:bookmarkEnd w:id="10"/>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rFonts w:ascii="Georgia" w:cs="Georgia" w:eastAsia="Georgia" w:hAnsi="Georgia"/>
          <w:b w:val="1"/>
          <w:color w:val="000000"/>
          <w:sz w:val="21"/>
          <w:szCs w:val="21"/>
        </w:rPr>
      </w:pPr>
      <w:bookmarkStart w:colFirst="0" w:colLast="0" w:name="_ovn16kgb3r6" w:id="11"/>
      <w:bookmarkEnd w:id="11"/>
      <w:r w:rsidDel="00000000" w:rsidR="00000000" w:rsidRPr="00000000">
        <w:rPr>
          <w:rFonts w:ascii="Georgia" w:cs="Georgia" w:eastAsia="Georgia" w:hAnsi="Georgia"/>
          <w:b w:val="1"/>
          <w:color w:val="000000"/>
          <w:sz w:val="21"/>
          <w:szCs w:val="21"/>
          <w:rtl w:val="0"/>
        </w:rPr>
        <w:t xml:space="preserve">1.3 Utilisation stratégique de l’arbitrage pour masquer les pratiques abusives</w:t>
      </w:r>
    </w:p>
    <w:p w:rsidR="00000000" w:rsidDel="00000000" w:rsidP="00000000" w:rsidRDefault="00000000" w:rsidRPr="00000000" w14:paraId="00000026">
      <w:pPr>
        <w:spacing w:after="80" w:before="30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Nullité de la clause d’arbitrage</w:t>
      </w:r>
    </w:p>
    <w:p w:rsidR="00000000" w:rsidDel="00000000" w:rsidP="00000000" w:rsidRDefault="00000000" w:rsidRPr="00000000" w14:paraId="00000027">
      <w:pPr>
        <w:spacing w:after="80" w:before="8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clause d’arbitrage est contaminée par le dol. La jurisprudence québécoise (notamment l’article 2639 C.c.Q.) précise que lorsqu’un contrat est affecté par le dol, l’ensemble de ses dispositions, incluant la clause compromissoire, perdent leur validité, puisqu’elles sont issues du même consentement vicié. Dentalcorp a sciemment dissimulé ses véritables intentions en imposant une clause d'arbitrage dans notre contrat, sans jamais fournir les informations claires, précises et complètes requises par son devoir précontractuel d’information, conformément aux articles 1375 et 1434 du Code civil du Québec. Cette omission intentionnelle avait pour objectif précis de minimiser l’impact réputationnel de leurs pratiques déficientes et d’éviter une exposition publique devant les tribunaux civils, tout en permettant à Dentalcorp de continuer à tromper d'autres partenaires potentiels.</w:t>
      </w:r>
    </w:p>
    <w:p w:rsidR="00000000" w:rsidDel="00000000" w:rsidP="00000000" w:rsidRDefault="00000000" w:rsidRPr="00000000" w14:paraId="0000002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ailleurs, Dentalcorp était parfaitement consciente de ses multiples déficiences internes en matière d’intégration opérationnelle, financière et administrative, et savait pertinemment que ces lacunes entraîneraient inévitablement un litige lors de notre intégration. À titre de preuve manifeste, Dentalcorp est actuellement impliquée dans d'autres litiges fondés exactement sur les mêmes motifs que ceux que je soulève, démontrant ainsi une problématique récurrente et systémique dont ils avaient pleinement connaissance au moment de notre entente.</w:t>
      </w:r>
    </w:p>
    <w:p w:rsidR="00000000" w:rsidDel="00000000" w:rsidP="00000000" w:rsidRDefault="00000000" w:rsidRPr="00000000" w14:paraId="00000029">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imposant délibérément cette clause d’arbitrage sans m'informer adéquatement de sa portée exacte, des implications procédurales et de ses conséquences juridiques concrètes, Dentalcorp a directement privé mon consentement du caractère libre et éclairé nécessaire à sa validité juridique. De plus, en ne divulguant pas leurs véritables intentions stratégiques quant à l'utilisation de cette clause, Dentalcorp a sciemment cherché à :</w:t>
      </w:r>
    </w:p>
    <w:p w:rsidR="00000000" w:rsidDel="00000000" w:rsidP="00000000" w:rsidRDefault="00000000" w:rsidRPr="00000000" w14:paraId="0000002A">
      <w:pPr>
        <w:numPr>
          <w:ilvl w:val="0"/>
          <w:numId w:val="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Réduire la visibilité publique et médiatique de leurs multiples manquements contractuels ;</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Maintenir artificiellement une réputation intacte malgré leurs pratiques trompeuses récurrentes ;</w:t>
      </w:r>
    </w:p>
    <w:p w:rsidR="00000000" w:rsidDel="00000000" w:rsidP="00000000" w:rsidRDefault="00000000" w:rsidRPr="00000000" w14:paraId="0000002C">
      <w:pPr>
        <w:numPr>
          <w:ilvl w:val="0"/>
          <w:numId w:val="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Continuer à induire en erreur d’autres partenaires potentiels en utilisant l’arbitrage comme mécanisme de dissimulation.</w:t>
      </w:r>
    </w:p>
    <w:p w:rsidR="00000000" w:rsidDel="00000000" w:rsidP="00000000" w:rsidRDefault="00000000" w:rsidRPr="00000000" w14:paraId="0000002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omission volontaire et stratégique d’informations essentielles constitue donc une preuve irréfutable de dol par réticence, conjuguée à une mauvaise foi manifeste. Mon acceptation du contrat et de sa clause d'arbitrage a été directement viciée par ce défaut intentionnel de transparence, invalidant juridiquement mon consentement.</w:t>
      </w:r>
    </w:p>
    <w:p w:rsidR="00000000" w:rsidDel="00000000" w:rsidP="00000000" w:rsidRDefault="00000000" w:rsidRPr="00000000" w14:paraId="0000002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conséquence, et conformément aux principes jurisprudentiels établis par les tribunaux québécois, notamment en matière d'obligation d’information précontractuelle et d’annulation des clauses abusives, je sollicite la nullité immédiate de la clause d’arbitrage ainsi que l’annulation du contrat dans son intégralité pour dol et vice du consentement, en m’appuyant sur les éléments suivants :</w:t>
      </w:r>
    </w:p>
    <w:p w:rsidR="00000000" w:rsidDel="00000000" w:rsidP="00000000" w:rsidRDefault="00000000" w:rsidRPr="00000000" w14:paraId="0000002F">
      <w:pPr>
        <w:numPr>
          <w:ilvl w:val="0"/>
          <w:numId w:val="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connaissance préalable par Dentalcorp de ses propres déficiences structurelles et de l'inévitabilité des litiges associés à ses intégrations ;</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L’omission volontaire et stratégique d’informer adéquatement sur les modalités précises et les conséquences de la clause d’arbitrage ;</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violation manifeste et intentionnelle du devoir d’information précontractuelle, affectant directement la liberté et la validité de mon consentement ;</w:t>
      </w:r>
    </w:p>
    <w:p w:rsidR="00000000" w:rsidDel="00000000" w:rsidP="00000000" w:rsidRDefault="00000000" w:rsidRPr="00000000" w14:paraId="00000032">
      <w:pPr>
        <w:numPr>
          <w:ilvl w:val="0"/>
          <w:numId w:val="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L’existence documentée d’autres litiges similaires, attestant une problématique systémique connue de Dentalcorp.</w:t>
      </w:r>
    </w:p>
    <w:p w:rsidR="00000000" w:rsidDel="00000000" w:rsidP="00000000" w:rsidRDefault="00000000" w:rsidRPr="00000000" w14:paraId="0000003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 Jurisprudence:</w:t>
      </w:r>
    </w:p>
    <w:p w:rsidR="00000000" w:rsidDel="00000000" w:rsidP="00000000" w:rsidRDefault="00000000" w:rsidRPr="00000000" w14:paraId="0000003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Application de la jurisprudence « Uber Technologies Inc. c. Heller, 2020 CSC 16 » au litige opposant Cedric Leboeuf (Groupe Viva) à Dentalcorp</w:t>
      </w:r>
    </w:p>
    <w:p w:rsidR="00000000" w:rsidDel="00000000" w:rsidP="00000000" w:rsidRDefault="00000000" w:rsidRPr="00000000" w14:paraId="00000035">
      <w:pPr>
        <w:spacing w:after="240" w:before="240" w:lineRule="auto"/>
        <w:rPr>
          <w:rFonts w:ascii="Georgia" w:cs="Georgia" w:eastAsia="Georgia" w:hAnsi="Georgia"/>
          <w:i w:val="1"/>
          <w:sz w:val="21"/>
          <w:szCs w:val="21"/>
        </w:rPr>
      </w:pPr>
      <w:r w:rsidDel="00000000" w:rsidR="00000000" w:rsidRPr="00000000">
        <w:rPr>
          <w:rFonts w:ascii="Georgia" w:cs="Georgia" w:eastAsia="Georgia" w:hAnsi="Georgia"/>
          <w:sz w:val="21"/>
          <w:szCs w:val="21"/>
          <w:rtl w:val="0"/>
        </w:rPr>
        <w:t xml:space="preserve">Conformément à l'arrêt de principe rendu par la Cour suprême du Canada dans l'affaire</w:t>
      </w:r>
      <w:r w:rsidDel="00000000" w:rsidR="00000000" w:rsidRPr="00000000">
        <w:rPr>
          <w:rFonts w:ascii="Georgia" w:cs="Georgia" w:eastAsia="Georgia" w:hAnsi="Georgia"/>
          <w:i w:val="1"/>
          <w:sz w:val="21"/>
          <w:szCs w:val="21"/>
          <w:rtl w:val="0"/>
        </w:rPr>
        <w:t xml:space="preserve"> « Uber Technologies Inc. c. Heller, 2020 CSC 16 », </w:t>
      </w:r>
      <w:r w:rsidDel="00000000" w:rsidR="00000000" w:rsidRPr="00000000">
        <w:rPr>
          <w:rFonts w:ascii="Georgia" w:cs="Georgia" w:eastAsia="Georgia" w:hAnsi="Georgia"/>
          <w:sz w:val="21"/>
          <w:szCs w:val="21"/>
          <w:rtl w:val="0"/>
        </w:rPr>
        <w:t xml:space="preserve">il est pertinent d'examiner la validité de la clause d'arbitrage obligatoire prévue à la convention de services conclue entre les parties en l'espèce</w:t>
      </w:r>
      <w:r w:rsidDel="00000000" w:rsidR="00000000" w:rsidRPr="00000000">
        <w:rPr>
          <w:rFonts w:ascii="Georgia" w:cs="Georgia" w:eastAsia="Georgia" w:hAnsi="Georgia"/>
          <w:i w:val="1"/>
          <w:sz w:val="21"/>
          <w:szCs w:val="21"/>
          <w:rtl w:val="0"/>
        </w:rPr>
        <w:t xml:space="preserve">.</w:t>
      </w:r>
    </w:p>
    <w:p w:rsidR="00000000" w:rsidDel="00000000" w:rsidP="00000000" w:rsidRDefault="00000000" w:rsidRPr="00000000" w14:paraId="0000003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1. Critères juridiques applicables (Arrêt Uber c. Heller)</w:t>
      </w:r>
    </w:p>
    <w:p w:rsidR="00000000" w:rsidDel="00000000" w:rsidP="00000000" w:rsidRDefault="00000000" w:rsidRPr="00000000" w14:paraId="0000003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Selon la jurisprudence établie par la Cour suprême, une clause d'arbitrage obligatoire intégrée dans un contrat d'adhésion est susceptible d'être déclarée invalide si elle satisfait cumulativement les deux critères de l'inconscionabilité suivants :</w:t>
      </w:r>
    </w:p>
    <w:p w:rsidR="00000000" w:rsidDel="00000000" w:rsidP="00000000" w:rsidRDefault="00000000" w:rsidRPr="00000000" w14:paraId="00000038">
      <w:pPr>
        <w:numPr>
          <w:ilvl w:val="0"/>
          <w:numId w:val="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w:t>
      </w:r>
      <w:r w:rsidDel="00000000" w:rsidR="00000000" w:rsidRPr="00000000">
        <w:rPr>
          <w:rFonts w:ascii="Georgia" w:cs="Georgia" w:eastAsia="Georgia" w:hAnsi="Georgia"/>
          <w:sz w:val="21"/>
          <w:szCs w:val="21"/>
          <w:rtl w:val="0"/>
        </w:rPr>
        <w:t xml:space="preserve"> Existence d'un déséquilibre significatif entre les parties au moment de la conclusion du contrat.</w:t>
      </w:r>
    </w:p>
    <w:p w:rsidR="00000000" w:rsidDel="00000000" w:rsidP="00000000" w:rsidRDefault="00000000" w:rsidRPr="00000000" w14:paraId="00000039">
      <w:pPr>
        <w:numPr>
          <w:ilvl w:val="0"/>
          <w:numId w:val="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b)</w:t>
      </w:r>
      <w:r w:rsidDel="00000000" w:rsidR="00000000" w:rsidRPr="00000000">
        <w:rPr>
          <w:rFonts w:ascii="Georgia" w:cs="Georgia" w:eastAsia="Georgia" w:hAnsi="Georgia"/>
          <w:sz w:val="21"/>
          <w:szCs w:val="21"/>
          <w:rtl w:val="0"/>
        </w:rPr>
        <w:t xml:space="preserve"> Présence d'une clause qui entraîne un préjudice inéquitable pour la partie la plus faible, notamment en raison de coûts excessifs ou d'obstacles substantiels à l'accès à la justice.</w:t>
      </w:r>
    </w:p>
    <w:p w:rsidR="00000000" w:rsidDel="00000000" w:rsidP="00000000" w:rsidRDefault="00000000" w:rsidRPr="00000000" w14:paraId="0000003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2. Application au dossier Leboeuf c. Dentalcorp</w:t>
      </w:r>
    </w:p>
    <w:p w:rsidR="00000000" w:rsidDel="00000000" w:rsidP="00000000" w:rsidRDefault="00000000" w:rsidRPr="00000000" w14:paraId="0000003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 Déséquilibre significatif du pouvoir de négociation :</w:t>
      </w:r>
    </w:p>
    <w:p w:rsidR="00000000" w:rsidDel="00000000" w:rsidP="00000000" w:rsidRDefault="00000000" w:rsidRPr="00000000" w14:paraId="0000003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 cas présent, il existe un déséquilibre évident entre les parties. Dentalcorp est une société de taille considérable dotée de moyens financiers et juridiques supérieurs à ceux de M. Leboeuf et du Groupe Viva. La clause d'arbitrage a été imposée unilatéralement par Dentalcorp, sans possibilité réelle de négociation. De surcroît, la situation personnelle particulière de M. Leboeuf au moment de la signature de la convention – notamment un état de vulnérabilité psychologique documenté – accentue ce déséquilibre et réduit considérablement sa capacité de négocier équitablement les termes contractuels.</w:t>
      </w:r>
    </w:p>
    <w:p w:rsidR="00000000" w:rsidDel="00000000" w:rsidP="00000000" w:rsidRDefault="00000000" w:rsidRPr="00000000" w14:paraId="0000003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 Clause entraînant un préjudice inéquitable :</w:t>
      </w:r>
    </w:p>
    <w:p w:rsidR="00000000" w:rsidDel="00000000" w:rsidP="00000000" w:rsidRDefault="00000000" w:rsidRPr="00000000" w14:paraId="0000003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clause d'arbitrage, telle qu'imposée par Dentalcorp, présente des conditions procédurales et financières disproportionnées qui constituent de sérieux obstacles à l'accès réel et effectif à la justice. En particulier :</w:t>
      </w:r>
    </w:p>
    <w:p w:rsidR="00000000" w:rsidDel="00000000" w:rsidP="00000000" w:rsidRDefault="00000000" w:rsidRPr="00000000" w14:paraId="0000003F">
      <w:pPr>
        <w:numPr>
          <w:ilvl w:val="0"/>
          <w:numId w:val="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Dentalcorp a refusé à plusieurs reprises de fournir à M. Leboeuf les documents et informations nécessaires à la préparation adéquate de son dossier en arbitrage, créant ainsi un obstacle important à l'équité procédurale.</w:t>
      </w:r>
    </w:p>
    <w:p w:rsidR="00000000" w:rsidDel="00000000" w:rsidP="00000000" w:rsidRDefault="00000000" w:rsidRPr="00000000" w14:paraId="00000040">
      <w:pPr>
        <w:numPr>
          <w:ilvl w:val="0"/>
          <w:numId w:val="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coûts significatifs liés à l'arbitrage, incluant les frais juridiques et d'expertises complexes, représentent un fardeau excessif et inéquitable pour M. Leboeuf, comparable à la situation analysée par la Cour suprême dans l'affaire Uber c. Heller.</w:t>
      </w:r>
    </w:p>
    <w:p w:rsidR="00000000" w:rsidDel="00000000" w:rsidP="00000000" w:rsidRDefault="00000000" w:rsidRPr="00000000" w14:paraId="0000004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3. Conclusion et demandes au tribunal et à l'arbitre :</w:t>
      </w:r>
    </w:p>
    <w:p w:rsidR="00000000" w:rsidDel="00000000" w:rsidP="00000000" w:rsidRDefault="00000000" w:rsidRPr="00000000" w14:paraId="0000004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Compte tenu des faits et éléments de preuve présentés, il est respectueusement demandé à l'arbitre et au tribunal de reconnaître l'application directe de la jurisprudence « Uber Technologies Inc. c. Heller » au cas présent et, par conséquent :</w:t>
      </w:r>
    </w:p>
    <w:p w:rsidR="00000000" w:rsidDel="00000000" w:rsidP="00000000" w:rsidRDefault="00000000" w:rsidRPr="00000000" w14:paraId="00000043">
      <w:pPr>
        <w:numPr>
          <w:ilvl w:val="0"/>
          <w:numId w:val="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déclarer invalide et non opposable à M. Leboeuf la clause d'arbitrage prévue à la convention de services conclue avec Dentalcorp, au motif qu'elle est abusive et constitue un obstacle à l'accès réel et effectif à la justice.</w:t>
      </w:r>
    </w:p>
    <w:p w:rsidR="00000000" w:rsidDel="00000000" w:rsidP="00000000" w:rsidRDefault="00000000" w:rsidRPr="00000000" w14:paraId="00000044">
      <w:pPr>
        <w:numPr>
          <w:ilvl w:val="0"/>
          <w:numId w:val="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renvoyer le litige à la compétence directe du tribunal judiciaire compétent afin que celui-ci entende le fond du litige relatif aux manquements contractuels, à la mauvaise foi et au dol allégués à l'encontre de Dentalcorp.</w:t>
      </w:r>
    </w:p>
    <w:p w:rsidR="00000000" w:rsidDel="00000000" w:rsidP="00000000" w:rsidRDefault="00000000" w:rsidRPr="00000000" w14:paraId="0000004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Cette demande est formulée afin d'assurer le respect des principes fondamentaux de justice contractuelle et procédurale tels que consacrés par la Cour suprême du Canada.</w:t>
      </w:r>
    </w:p>
    <w:p w:rsidR="00000000" w:rsidDel="00000000" w:rsidP="00000000" w:rsidRDefault="00000000" w:rsidRPr="00000000" w14:paraId="00000046">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47">
      <w:pPr>
        <w:spacing w:after="240" w:before="240" w:lineRule="auto"/>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Ces éléments établissent clairement l’existence du dol par réticence et du vice de consentement, justifiant pleinement la nullité demandée.</w:t>
      </w:r>
    </w:p>
    <w:p w:rsidR="00000000" w:rsidDel="00000000" w:rsidP="00000000" w:rsidRDefault="00000000" w:rsidRPr="00000000" w14:paraId="00000048">
      <w:pPr>
        <w:spacing w:after="80" w:before="80" w:lineRule="auto"/>
        <w:rPr>
          <w:rFonts w:ascii="Georgia" w:cs="Georgia" w:eastAsia="Georgia" w:hAnsi="Georgia"/>
          <w:color w:val="333333"/>
          <w:sz w:val="21"/>
          <w:szCs w:val="21"/>
        </w:rPr>
      </w:pPr>
      <w:r w:rsidDel="00000000" w:rsidR="00000000" w:rsidRPr="00000000">
        <w:rPr>
          <w:rtl w:val="0"/>
        </w:rPr>
      </w:r>
    </w:p>
    <w:p w:rsidR="00000000" w:rsidDel="00000000" w:rsidP="00000000" w:rsidRDefault="00000000" w:rsidRPr="00000000" w14:paraId="00000049">
      <w:pPr>
        <w:spacing w:after="320" w:before="320" w:lineRule="auto"/>
        <w:ind w:left="720" w:firstLine="0"/>
        <w:rPr>
          <w:rFonts w:ascii="Georgia" w:cs="Georgia" w:eastAsia="Georgia" w:hAnsi="Georgia"/>
          <w:color w:val="333333"/>
          <w:sz w:val="21"/>
          <w:szCs w:val="21"/>
        </w:rPr>
      </w:pPr>
      <w:r w:rsidDel="00000000" w:rsidR="00000000" w:rsidRPr="00000000">
        <w:rPr>
          <w:rFonts w:ascii="Georgia" w:cs="Georgia" w:eastAsia="Georgia" w:hAnsi="Georgia"/>
          <w:color w:val="333333"/>
          <w:sz w:val="21"/>
          <w:szCs w:val="21"/>
          <w:rtl w:val="0"/>
        </w:rPr>
        <w:t xml:space="preserve">La preuve juridique et factuelle réunie établit de façon incontestable que la convention de service avec Dentalcorp, ainsi que la clause d’arbitrage y afférente, doivent être déclarées nulles pour cause de dol. Ces preuves attestent que Dentalcorp a sciemment trompé notre structure, justifiant la nullité relative du contrat fondée sur le dol selon le droit en vigueur.</w:t>
      </w:r>
    </w:p>
    <w:p w:rsidR="00000000" w:rsidDel="00000000" w:rsidP="00000000" w:rsidRDefault="00000000" w:rsidRPr="00000000" w14:paraId="0000004A">
      <w:pPr>
        <w:rPr>
          <w:sz w:val="21"/>
          <w:szCs w:val="21"/>
        </w:rPr>
      </w:pPr>
      <w:r w:rsidDel="00000000" w:rsidR="00000000" w:rsidRPr="00000000">
        <w:rPr>
          <w:rtl w:val="0"/>
        </w:rPr>
      </w:r>
    </w:p>
    <w:p w:rsidR="00000000" w:rsidDel="00000000" w:rsidP="00000000" w:rsidRDefault="00000000" w:rsidRPr="00000000" w14:paraId="0000004B">
      <w:pPr>
        <w:numPr>
          <w:ilvl w:val="0"/>
          <w:numId w:val="2"/>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Secret et opacité</w:t>
      </w:r>
      <w:r w:rsidDel="00000000" w:rsidR="00000000" w:rsidRPr="00000000">
        <w:rPr>
          <w:rFonts w:ascii="Georgia" w:cs="Georgia" w:eastAsia="Georgia" w:hAnsi="Georgia"/>
          <w:sz w:val="21"/>
          <w:szCs w:val="21"/>
          <w:rtl w:val="0"/>
        </w:rPr>
        <w:t xml:space="preserve"> :</w:t>
        <w:br w:type="textWrapping"/>
        <w:t xml:space="preserve"> L’arbitrage permet de limiter la divulgation publique de pratiques frauduleuses et de restreindre l’accessibilité du dossier.</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Limitation des recours légaux</w:t>
      </w:r>
      <w:r w:rsidDel="00000000" w:rsidR="00000000" w:rsidRPr="00000000">
        <w:rPr>
          <w:rFonts w:ascii="Georgia" w:cs="Georgia" w:eastAsia="Georgia" w:hAnsi="Georgia"/>
          <w:sz w:val="21"/>
          <w:szCs w:val="21"/>
          <w:rtl w:val="0"/>
        </w:rPr>
        <w:t xml:space="preserve"> :</w:t>
        <w:br w:type="textWrapping"/>
        <w:t xml:space="preserve"> Le cadre arbitral empêche souvent l’octroi de dommages-intérêts punitifs et limite les enquêtes approfondies, ce qui profite à Dentalcorp.</w:t>
        <w:br w:type="textWrapping"/>
      </w:r>
    </w:p>
    <w:p w:rsidR="00000000" w:rsidDel="00000000" w:rsidP="00000000" w:rsidRDefault="00000000" w:rsidRPr="00000000" w14:paraId="0000004D">
      <w:pPr>
        <w:numPr>
          <w:ilvl w:val="0"/>
          <w:numId w:val="2"/>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Menaces et abus de position dominante</w:t>
      </w:r>
      <w:r w:rsidDel="00000000" w:rsidR="00000000" w:rsidRPr="00000000">
        <w:rPr>
          <w:rFonts w:ascii="Georgia" w:cs="Georgia" w:eastAsia="Georgia" w:hAnsi="Georgia"/>
          <w:sz w:val="21"/>
          <w:szCs w:val="21"/>
          <w:rtl w:val="0"/>
        </w:rPr>
        <w:t xml:space="preserve"> :</w:t>
        <w:br w:type="textWrapping"/>
        <w:t xml:space="preserve"> Le président de Dentalcorp a explicitement menacé le demandeur en évoquant la supériorité financière de Dentalcorp, confirmant ainsi l’usage intentionnel de l’arbitrage pour dissuader ou retarder tout recours judiciaire.</w:t>
        <w:br w:type="textWrapping"/>
      </w:r>
    </w:p>
    <w:p w:rsidR="00000000" w:rsidDel="00000000" w:rsidP="00000000" w:rsidRDefault="00000000" w:rsidRPr="00000000" w14:paraId="0000004E">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Conclusion partielle</w:t>
      </w:r>
      <w:r w:rsidDel="00000000" w:rsidR="00000000" w:rsidRPr="00000000">
        <w:rPr>
          <w:rFonts w:ascii="Georgia" w:cs="Georgia" w:eastAsia="Georgia" w:hAnsi="Georgia"/>
          <w:sz w:val="21"/>
          <w:szCs w:val="21"/>
          <w:rtl w:val="0"/>
        </w:rPr>
        <w:t xml:space="preserve"> : Dès lors que la convention est viciée par le dol, la clause d’arbitrage qui en fait partie doit être déclarée nulle et inopérante.</w:t>
      </w:r>
    </w:p>
    <w:p w:rsidR="00000000" w:rsidDel="00000000" w:rsidP="00000000" w:rsidRDefault="00000000" w:rsidRPr="00000000" w14:paraId="0000004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Georgia" w:cs="Georgia" w:eastAsia="Georgia" w:hAnsi="Georgia"/>
          <w:b w:val="1"/>
          <w:sz w:val="21"/>
          <w:szCs w:val="21"/>
        </w:rPr>
      </w:pPr>
      <w:bookmarkStart w:colFirst="0" w:colLast="0" w:name="_j2smevofvzcq" w:id="12"/>
      <w:bookmarkEnd w:id="12"/>
      <w:r w:rsidDel="00000000" w:rsidR="00000000" w:rsidRPr="00000000">
        <w:rPr>
          <w:rFonts w:ascii="Georgia" w:cs="Georgia" w:eastAsia="Georgia" w:hAnsi="Georgia"/>
          <w:b w:val="1"/>
          <w:sz w:val="21"/>
          <w:szCs w:val="21"/>
          <w:rtl w:val="0"/>
        </w:rPr>
        <w:t xml:space="preserve">IV. DEMANDE DE RECONNAISSANCE DE L’INCOMPÉTENCE DE L’ARBITRE</w:t>
      </w:r>
    </w:p>
    <w:p w:rsidR="00000000" w:rsidDel="00000000" w:rsidP="00000000" w:rsidRDefault="00000000" w:rsidRPr="00000000" w14:paraId="0000005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demandeur prie le Tribunal :</w:t>
      </w:r>
    </w:p>
    <w:p w:rsidR="00000000" w:rsidDel="00000000" w:rsidP="00000000" w:rsidRDefault="00000000" w:rsidRPr="00000000" w14:paraId="00000052">
      <w:pPr>
        <w:numPr>
          <w:ilvl w:val="0"/>
          <w:numId w:val="4"/>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De </w:t>
      </w:r>
      <w:r w:rsidDel="00000000" w:rsidR="00000000" w:rsidRPr="00000000">
        <w:rPr>
          <w:rFonts w:ascii="Georgia" w:cs="Georgia" w:eastAsia="Georgia" w:hAnsi="Georgia"/>
          <w:b w:val="1"/>
          <w:sz w:val="21"/>
          <w:szCs w:val="21"/>
          <w:rtl w:val="0"/>
        </w:rPr>
        <w:t xml:space="preserve">déclarer l’arbitre désigné incompétent</w:t>
      </w:r>
      <w:r w:rsidDel="00000000" w:rsidR="00000000" w:rsidRPr="00000000">
        <w:rPr>
          <w:rFonts w:ascii="Georgia" w:cs="Georgia" w:eastAsia="Georgia" w:hAnsi="Georgia"/>
          <w:sz w:val="21"/>
          <w:szCs w:val="21"/>
          <w:rtl w:val="0"/>
        </w:rPr>
        <w:t xml:space="preserve">, compte tenu de la nullité de la clause d’arbitrage intégrée à un contrat frauduleux.</w:t>
      </w:r>
    </w:p>
    <w:p w:rsidR="00000000" w:rsidDel="00000000" w:rsidP="00000000" w:rsidRDefault="00000000" w:rsidRPr="00000000" w14:paraId="00000053">
      <w:pPr>
        <w:numPr>
          <w:ilvl w:val="0"/>
          <w:numId w:val="4"/>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De </w:t>
      </w:r>
      <w:r w:rsidDel="00000000" w:rsidR="00000000" w:rsidRPr="00000000">
        <w:rPr>
          <w:rFonts w:ascii="Georgia" w:cs="Georgia" w:eastAsia="Georgia" w:hAnsi="Georgia"/>
          <w:b w:val="1"/>
          <w:sz w:val="21"/>
          <w:szCs w:val="21"/>
          <w:rtl w:val="0"/>
        </w:rPr>
        <w:t xml:space="preserve">constater que la nullité du contrat</w:t>
      </w:r>
      <w:r w:rsidDel="00000000" w:rsidR="00000000" w:rsidRPr="00000000">
        <w:rPr>
          <w:rFonts w:ascii="Georgia" w:cs="Georgia" w:eastAsia="Georgia" w:hAnsi="Georgia"/>
          <w:sz w:val="21"/>
          <w:szCs w:val="21"/>
          <w:rtl w:val="0"/>
        </w:rPr>
        <w:t xml:space="preserve"> pour dol entraîne la nullité de </w:t>
      </w:r>
      <w:r w:rsidDel="00000000" w:rsidR="00000000" w:rsidRPr="00000000">
        <w:rPr>
          <w:rFonts w:ascii="Georgia" w:cs="Georgia" w:eastAsia="Georgia" w:hAnsi="Georgia"/>
          <w:b w:val="1"/>
          <w:sz w:val="21"/>
          <w:szCs w:val="21"/>
          <w:rtl w:val="0"/>
        </w:rPr>
        <w:t xml:space="preserve">toutes les clauses</w:t>
      </w:r>
      <w:r w:rsidDel="00000000" w:rsidR="00000000" w:rsidRPr="00000000">
        <w:rPr>
          <w:rFonts w:ascii="Georgia" w:cs="Georgia" w:eastAsia="Georgia" w:hAnsi="Georgia"/>
          <w:sz w:val="21"/>
          <w:szCs w:val="21"/>
          <w:rtl w:val="0"/>
        </w:rPr>
        <w:t xml:space="preserve"> qu’il contient, dont la clause compromissoire.</w:t>
      </w:r>
    </w:p>
    <w:p w:rsidR="00000000" w:rsidDel="00000000" w:rsidP="00000000" w:rsidRDefault="00000000" w:rsidRPr="00000000" w14:paraId="00000054">
      <w:pPr>
        <w:numPr>
          <w:ilvl w:val="0"/>
          <w:numId w:val="4"/>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D’</w:t>
      </w:r>
      <w:r w:rsidDel="00000000" w:rsidR="00000000" w:rsidRPr="00000000">
        <w:rPr>
          <w:rFonts w:ascii="Georgia" w:cs="Georgia" w:eastAsia="Georgia" w:hAnsi="Georgia"/>
          <w:b w:val="1"/>
          <w:sz w:val="21"/>
          <w:szCs w:val="21"/>
          <w:rtl w:val="0"/>
        </w:rPr>
        <w:t xml:space="preserve">affirmer la compétence exclusive</w:t>
      </w:r>
      <w:r w:rsidDel="00000000" w:rsidR="00000000" w:rsidRPr="00000000">
        <w:rPr>
          <w:rFonts w:ascii="Georgia" w:cs="Georgia" w:eastAsia="Georgia" w:hAnsi="Georgia"/>
          <w:sz w:val="21"/>
          <w:szCs w:val="21"/>
          <w:rtl w:val="0"/>
        </w:rPr>
        <w:t xml:space="preserve"> des tribunaux civils pour statuer sur cette affaire, l’arbitrage ne permettant pas un examen complet et public des manquements de Dentalcorp.</w:t>
      </w:r>
    </w:p>
    <w:p w:rsidR="00000000" w:rsidDel="00000000" w:rsidP="00000000" w:rsidRDefault="00000000" w:rsidRPr="00000000" w14:paraId="00000055">
      <w:pPr>
        <w:pStyle w:val="Heading2"/>
        <w:keepNext w:val="0"/>
        <w:keepLines w:val="0"/>
        <w:spacing w:after="80" w:lineRule="auto"/>
        <w:rPr>
          <w:rFonts w:ascii="Georgia" w:cs="Georgia" w:eastAsia="Georgia" w:hAnsi="Georgia"/>
          <w:b w:val="1"/>
          <w:sz w:val="21"/>
          <w:szCs w:val="21"/>
        </w:rPr>
      </w:pPr>
      <w:bookmarkStart w:colFirst="0" w:colLast="0" w:name="_7npbw8phithe" w:id="13"/>
      <w:bookmarkEnd w:id="13"/>
      <w:r w:rsidDel="00000000" w:rsidR="00000000" w:rsidRPr="00000000">
        <w:rPr>
          <w:rFonts w:ascii="Georgia" w:cs="Georgia" w:eastAsia="Georgia" w:hAnsi="Georgia"/>
          <w:b w:val="1"/>
          <w:sz w:val="21"/>
          <w:szCs w:val="21"/>
          <w:rtl w:val="0"/>
        </w:rPr>
        <w:t xml:space="preserve">V. CONCLUSIONS RECHERCHÉES</w:t>
      </w:r>
    </w:p>
    <w:p w:rsidR="00000000" w:rsidDel="00000000" w:rsidP="00000000" w:rsidRDefault="00000000" w:rsidRPr="00000000" w14:paraId="0000005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conséquence, le demandeur, Cedric Leboeuf, agissant au nom du groupe Viva, sollicite du Tribunal :</w:t>
      </w:r>
    </w:p>
    <w:p w:rsidR="00000000" w:rsidDel="00000000" w:rsidP="00000000" w:rsidRDefault="00000000" w:rsidRPr="00000000" w14:paraId="00000057">
      <w:pPr>
        <w:numPr>
          <w:ilvl w:val="0"/>
          <w:numId w:val="11"/>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La déclaration de nullité</w:t>
      </w:r>
      <w:r w:rsidDel="00000000" w:rsidR="00000000" w:rsidRPr="00000000">
        <w:rPr>
          <w:rFonts w:ascii="Georgia" w:cs="Georgia" w:eastAsia="Georgia" w:hAnsi="Georgia"/>
          <w:sz w:val="21"/>
          <w:szCs w:val="21"/>
          <w:rtl w:val="0"/>
        </w:rPr>
        <w:t xml:space="preserve"> et d’inopposabilité de la clause d’arbitrage, en raison du dol caractérisé.</w:t>
      </w:r>
    </w:p>
    <w:p w:rsidR="00000000" w:rsidDel="00000000" w:rsidP="00000000" w:rsidRDefault="00000000" w:rsidRPr="00000000" w14:paraId="00000058">
      <w:pPr>
        <w:numPr>
          <w:ilvl w:val="0"/>
          <w:numId w:val="1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La déclaration d’incompétence</w:t>
      </w:r>
      <w:r w:rsidDel="00000000" w:rsidR="00000000" w:rsidRPr="00000000">
        <w:rPr>
          <w:rFonts w:ascii="Georgia" w:cs="Georgia" w:eastAsia="Georgia" w:hAnsi="Georgia"/>
          <w:sz w:val="21"/>
          <w:szCs w:val="21"/>
          <w:rtl w:val="0"/>
        </w:rPr>
        <w:t xml:space="preserve"> de l’arbitre désigné.</w:t>
      </w:r>
    </w:p>
    <w:p w:rsidR="00000000" w:rsidDel="00000000" w:rsidP="00000000" w:rsidRDefault="00000000" w:rsidRPr="00000000" w14:paraId="00000059">
      <w:pPr>
        <w:numPr>
          <w:ilvl w:val="0"/>
          <w:numId w:val="1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La reconnaissance de la seule compétence</w:t>
      </w:r>
      <w:r w:rsidDel="00000000" w:rsidR="00000000" w:rsidRPr="00000000">
        <w:rPr>
          <w:rFonts w:ascii="Georgia" w:cs="Georgia" w:eastAsia="Georgia" w:hAnsi="Georgia"/>
          <w:sz w:val="21"/>
          <w:szCs w:val="21"/>
          <w:rtl w:val="0"/>
        </w:rPr>
        <w:t xml:space="preserve"> du Tribunal civil pour juger ce différend.</w:t>
      </w:r>
    </w:p>
    <w:p w:rsidR="00000000" w:rsidDel="00000000" w:rsidP="00000000" w:rsidRDefault="00000000" w:rsidRPr="00000000" w14:paraId="0000005A">
      <w:pPr>
        <w:numPr>
          <w:ilvl w:val="0"/>
          <w:numId w:val="11"/>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L’interdiction</w:t>
      </w:r>
      <w:r w:rsidDel="00000000" w:rsidR="00000000" w:rsidRPr="00000000">
        <w:rPr>
          <w:rFonts w:ascii="Georgia" w:cs="Georgia" w:eastAsia="Georgia" w:hAnsi="Georgia"/>
          <w:sz w:val="21"/>
          <w:szCs w:val="21"/>
          <w:rtl w:val="0"/>
        </w:rPr>
        <w:t xml:space="preserve"> faite à Dentalcorp d’imposer ou de poursuivre une procédure arbitrale relative à ce litige.</w:t>
      </w:r>
    </w:p>
    <w:p w:rsidR="00000000" w:rsidDel="00000000" w:rsidP="00000000" w:rsidRDefault="00000000" w:rsidRPr="00000000" w14:paraId="0000005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rFonts w:ascii="Georgia" w:cs="Georgia" w:eastAsia="Georgia" w:hAnsi="Georgia"/>
          <w:b w:val="1"/>
          <w:sz w:val="21"/>
          <w:szCs w:val="21"/>
        </w:rPr>
      </w:pPr>
      <w:bookmarkStart w:colFirst="0" w:colLast="0" w:name="_mttuolpanf7z" w:id="14"/>
      <w:bookmarkEnd w:id="14"/>
      <w:r w:rsidDel="00000000" w:rsidR="00000000" w:rsidRPr="00000000">
        <w:rPr>
          <w:rFonts w:ascii="Georgia" w:cs="Georgia" w:eastAsia="Georgia" w:hAnsi="Georgia"/>
          <w:b w:val="1"/>
          <w:sz w:val="21"/>
          <w:szCs w:val="21"/>
          <w:rtl w:val="0"/>
        </w:rPr>
        <w:t xml:space="preserve">VI. RÉSERVE DE DROITS</w:t>
      </w:r>
    </w:p>
    <w:p w:rsidR="00000000" w:rsidDel="00000000" w:rsidP="00000000" w:rsidRDefault="00000000" w:rsidRPr="00000000" w14:paraId="0000005D">
      <w:pPr>
        <w:rPr>
          <w:rFonts w:ascii="Georgia" w:cs="Georgia" w:eastAsia="Georgia" w:hAnsi="Georgia"/>
          <w:sz w:val="21"/>
          <w:szCs w:val="21"/>
        </w:rPr>
      </w:pPr>
      <w:r w:rsidDel="00000000" w:rsidR="00000000" w:rsidRPr="00000000">
        <w:rPr>
          <w:rFonts w:ascii="Georgia" w:cs="Georgia" w:eastAsia="Georgia" w:hAnsi="Georgia"/>
          <w:i w:val="1"/>
          <w:sz w:val="21"/>
          <w:szCs w:val="21"/>
          <w:rtl w:val="0"/>
        </w:rPr>
        <w:t xml:space="preserve"> Le présent document ne constitue en aucun cas une renonciation, expresse ou implicite, à l’exercice de tout droit, recours ou action dont dispose l’auteur. Tous les droits, recours et actions, présents ou futurs, sont expressément réservés, incluant sans toutefois s’y limiter, ceux explicitement énoncés dans le présent document.</w:t>
      </w:r>
      <w:r w:rsidDel="00000000" w:rsidR="00000000" w:rsidRPr="00000000">
        <w:rPr>
          <w:rtl w:val="0"/>
        </w:rPr>
      </w:r>
    </w:p>
    <w:p w:rsidR="00000000" w:rsidDel="00000000" w:rsidP="00000000" w:rsidRDefault="00000000" w:rsidRPr="00000000" w14:paraId="0000005E">
      <w:pPr>
        <w:numPr>
          <w:ilvl w:val="0"/>
          <w:numId w:val="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droit d'intenter une action judiciaire contre Dentalcorp pour fraude contractuelle et d'obtenir réparation sous forme de dommages-intérêts.</w:t>
      </w:r>
    </w:p>
    <w:p w:rsidR="00000000" w:rsidDel="00000000" w:rsidP="00000000" w:rsidRDefault="00000000" w:rsidRPr="00000000" w14:paraId="0000005F">
      <w:pPr>
        <w:numPr>
          <w:ilvl w:val="0"/>
          <w:numId w:val="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droit de produire ultérieurement toutes pièces justificatives complémentaires utiles à sa cause (notamment courriels, rapports financiers, témoignages).</w:t>
      </w:r>
    </w:p>
    <w:p w:rsidR="00000000" w:rsidDel="00000000" w:rsidP="00000000" w:rsidRDefault="00000000" w:rsidRPr="00000000" w14:paraId="00000060">
      <w:pPr>
        <w:numPr>
          <w:ilvl w:val="0"/>
          <w:numId w:val="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droit de déposer une requête en nullité de la convention de service pour dol.</w:t>
      </w:r>
    </w:p>
    <w:p w:rsidR="00000000" w:rsidDel="00000000" w:rsidP="00000000" w:rsidRDefault="00000000" w:rsidRPr="00000000" w14:paraId="00000061">
      <w:pPr>
        <w:spacing w:after="240" w:before="240" w:lineRule="auto"/>
        <w:ind w:left="720" w:firstLine="0"/>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6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Georgia" w:cs="Georgia" w:eastAsia="Georgia" w:hAnsi="Georgia"/>
          <w:b w:val="1"/>
          <w:sz w:val="21"/>
          <w:szCs w:val="21"/>
        </w:rPr>
      </w:pPr>
      <w:bookmarkStart w:colFirst="0" w:colLast="0" w:name="_mvqphomsmg54" w:id="15"/>
      <w:bookmarkEnd w:id="15"/>
      <w:r w:rsidDel="00000000" w:rsidR="00000000" w:rsidRPr="00000000">
        <w:rPr>
          <w:rFonts w:ascii="Georgia" w:cs="Georgia" w:eastAsia="Georgia" w:hAnsi="Georgia"/>
          <w:b w:val="1"/>
          <w:sz w:val="21"/>
          <w:szCs w:val="21"/>
          <w:rtl w:val="0"/>
        </w:rPr>
        <w:t xml:space="preserve">VII. DATE </w:t>
      </w:r>
    </w:p>
    <w:p w:rsidR="00000000" w:rsidDel="00000000" w:rsidP="00000000" w:rsidRDefault="00000000" w:rsidRPr="00000000" w14:paraId="00000064">
      <w:pPr>
        <w:pStyle w:val="Heading2"/>
        <w:keepNext w:val="0"/>
        <w:keepLines w:val="0"/>
        <w:spacing w:after="80" w:lineRule="auto"/>
        <w:rPr>
          <w:rFonts w:ascii="Georgia" w:cs="Georgia" w:eastAsia="Georgia" w:hAnsi="Georgia"/>
          <w:sz w:val="21"/>
          <w:szCs w:val="21"/>
        </w:rPr>
      </w:pPr>
      <w:bookmarkStart w:colFirst="0" w:colLast="0" w:name="_sdiqduloiegt" w:id="16"/>
      <w:bookmarkEnd w:id="16"/>
      <w:r w:rsidDel="00000000" w:rsidR="00000000" w:rsidRPr="00000000">
        <w:rPr>
          <w:rFonts w:ascii="Georgia" w:cs="Georgia" w:eastAsia="Georgia" w:hAnsi="Georgia"/>
          <w:sz w:val="21"/>
          <w:szCs w:val="21"/>
          <w:rtl w:val="0"/>
        </w:rPr>
        <w:t xml:space="preserve">Fait à Rivière-Beaudette, </w:t>
      </w:r>
      <w:r w:rsidDel="00000000" w:rsidR="00000000" w:rsidRPr="00000000">
        <w:rPr>
          <w:rFonts w:ascii="Georgia" w:cs="Georgia" w:eastAsia="Georgia" w:hAnsi="Georgia"/>
          <w:b w:val="1"/>
          <w:sz w:val="21"/>
          <w:szCs w:val="21"/>
          <w:rtl w:val="0"/>
        </w:rPr>
        <w:t xml:space="preserve">le 24 février 2025</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65">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06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Leboeuf</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Représentant l’entièreté du groupe Viva</w:t>
        <w:br w:type="textWrapping"/>
      </w:r>
      <w:r w:rsidDel="00000000" w:rsidR="00000000" w:rsidRPr="00000000">
        <w:rPr>
          <w:rFonts w:ascii="Georgia" w:cs="Georgia" w:eastAsia="Georgia" w:hAnsi="Georgia"/>
          <w:sz w:val="21"/>
          <w:szCs w:val="21"/>
          <w:rtl w:val="0"/>
        </w:rPr>
        <w:t xml:space="preserve"> 650 Avenue Samson, Rivière-Beaudette (Québec) J0P 1R0</w:t>
        <w:br w:type="textWrapping"/>
        <w:t xml:space="preserve"> Courriel : info@cedricleboeuf.com | Tél. : 450-567-0514</w:t>
      </w:r>
    </w:p>
    <w:p w:rsidR="00000000" w:rsidDel="00000000" w:rsidP="00000000" w:rsidRDefault="00000000" w:rsidRPr="00000000" w14:paraId="00000068">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69">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6A">
      <w:pPr>
        <w:rPr>
          <w:rFonts w:ascii="Georgia" w:cs="Georgia" w:eastAsia="Georgia" w:hAnsi="Georgia"/>
          <w:i w:val="1"/>
          <w:sz w:val="21"/>
          <w:szCs w:val="21"/>
        </w:rPr>
      </w:pPr>
      <w:r w:rsidDel="00000000" w:rsidR="00000000" w:rsidRPr="00000000">
        <w:rPr>
          <w:rtl w:val="0"/>
        </w:rPr>
      </w:r>
    </w:p>
    <w:p w:rsidR="00000000" w:rsidDel="00000000" w:rsidP="00000000" w:rsidRDefault="00000000" w:rsidRPr="00000000" w14:paraId="0000006B">
      <w:pPr>
        <w:spacing w:after="240" w:before="240" w:lineRule="auto"/>
        <w:rPr>
          <w:rFonts w:ascii="Georgia" w:cs="Georgia" w:eastAsia="Georgia" w:hAnsi="Georgia"/>
          <w:b w:val="1"/>
          <w:sz w:val="21"/>
          <w:szCs w:val="21"/>
        </w:rPr>
      </w:pPr>
      <w:r w:rsidDel="00000000" w:rsidR="00000000" w:rsidRPr="00000000">
        <w:rPr>
          <w:rtl w:val="0"/>
        </w:rPr>
      </w:r>
    </w:p>
    <w:p w:rsidR="00000000" w:rsidDel="00000000" w:rsidP="00000000" w:rsidRDefault="00000000" w:rsidRPr="00000000" w14:paraId="0000006C">
      <w:pPr>
        <w:rPr>
          <w:rFonts w:ascii="Georgia" w:cs="Georgia" w:eastAsia="Georgia" w:hAnsi="Georgia"/>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