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6c78491a85200b351288809cebe886533993d9"/>
    <w:p>
      <w:pPr>
        <w:pStyle w:val="Heading1"/>
      </w:pPr>
      <w:r>
        <w:t xml:space="preserve">20260326 </w:t>
      </w:r>
      <w:r>
        <w:rPr>
          <w:rFonts w:hint="eastAsia"/>
        </w:rPr>
        <w:t xml:space="preserve">会议纪要对照</w:t>
      </w:r>
      <w:r>
        <w:t xml:space="preserve"> SRS </w:t>
      </w:r>
      <w:r>
        <w:rPr>
          <w:rFonts w:hint="eastAsia"/>
        </w:rPr>
        <w:t xml:space="preserve">补充文案（全面描述版）</w:t>
      </w:r>
    </w:p>
    <w:bookmarkStart w:id="17" w:name="Xe14d228a7a264ec911c29b73b01ce78c79543c6"/>
    <w:p>
      <w:pPr>
        <w:pStyle w:val="Heading2"/>
      </w:pPr>
      <w:r>
        <w:t xml:space="preserve">1. PECMS </w:t>
      </w:r>
      <w:r>
        <w:rPr>
          <w:rFonts w:hint="eastAsia"/>
        </w:rPr>
        <w:t xml:space="preserve">系统</w:t>
      </w:r>
    </w:p>
    <w:bookmarkStart w:id="9" w:name="Xcaea2c5d5b35427114f289df2993fe1df29449f"/>
    <w:p>
      <w:pPr>
        <w:pStyle w:val="Heading3"/>
      </w:pPr>
      <w:r>
        <w:t xml:space="preserve">1.1 </w:t>
      </w:r>
      <w:r>
        <w:rPr>
          <w:rFonts w:hint="eastAsia"/>
        </w:rPr>
        <w:t xml:space="preserve">供应商角色与技术服务人员分配</w:t>
      </w:r>
    </w:p>
    <w:p>
      <w:pPr>
        <w:pStyle w:val="FirstParagraph"/>
      </w:pPr>
      <w:r>
        <w:rPr>
          <w:rFonts w:hint="eastAsia"/>
          <w:b/>
          <w:bCs/>
        </w:rPr>
        <w:t xml:space="preserve">归属模块</w:t>
      </w:r>
      <w:r>
        <w:br/>
      </w:r>
      <w:r>
        <w:rPr>
          <w:rFonts w:hint="eastAsia"/>
        </w:rPr>
        <w:t xml:space="preserve">PECMS-组织与人员管理</w:t>
      </w:r>
    </w:p>
    <w:p>
      <w:pPr>
        <w:pStyle w:val="BodyText"/>
      </w:pPr>
      <w:r>
        <w:rPr>
          <w:rFonts w:hint="eastAsia"/>
          <w:b/>
          <w:bCs/>
        </w:rPr>
        <w:t xml:space="preserve">建议写入</w:t>
      </w:r>
      <w:r>
        <w:rPr>
          <w:b/>
          <w:bCs/>
        </w:rPr>
        <w:t xml:space="preserve"> SRS </w:t>
      </w:r>
      <w:r>
        <w:rPr>
          <w:rFonts w:hint="eastAsia"/>
          <w:b/>
          <w:bCs/>
        </w:rPr>
        <w:t xml:space="preserve">文案</w:t>
      </w:r>
      <w:r>
        <w:br/>
      </w:r>
      <w:r>
        <w:t xml:space="preserve">PECMS </w:t>
      </w:r>
      <w:r>
        <w:rPr>
          <w:rFonts w:hint="eastAsia"/>
        </w:rPr>
        <w:t xml:space="preserve">需建立完整的“供应商组织—技术服务人员”管理体系，新增供应商角色及其权限边界，并支持管理员按供应商组织维护人员主数据（含入场状态、所属项目范围、有效期、身份标识）。系统应支持人员分配、归属调整、停用/启用、跨供应商迁移等全生命周期管理，且所有动作均需形成可审计轨迹（操作人、操作时间、变更前后值、变更原因）。</w:t>
      </w:r>
      <w:r>
        <w:br/>
      </w:r>
      <w:r>
        <w:rPr>
          <w:rFonts w:hint="eastAsia"/>
        </w:rPr>
        <w:t xml:space="preserve">对</w:t>
      </w:r>
      <w:r>
        <w:t xml:space="preserve"> O&amp;M </w:t>
      </w:r>
      <w:r>
        <w:rPr>
          <w:rFonts w:hint="eastAsia"/>
        </w:rPr>
        <w:t xml:space="preserve">而言，PECMS</w:t>
      </w:r>
      <w:r>
        <w:t xml:space="preserve"> </w:t>
      </w:r>
      <w:r>
        <w:rPr>
          <w:rFonts w:hint="eastAsia"/>
        </w:rPr>
        <w:t xml:space="preserve">是技术服务人员组织关系的主来源系统，O&amp;M</w:t>
      </w:r>
      <w:r>
        <w:t xml:space="preserve"> </w:t>
      </w:r>
      <w:r>
        <w:rPr>
          <w:rFonts w:hint="eastAsia"/>
        </w:rPr>
        <w:t xml:space="preserve">侧不应手工维护同类关系。PECMS</w:t>
      </w:r>
      <w:r>
        <w:t xml:space="preserve"> </w:t>
      </w:r>
      <w:r>
        <w:rPr>
          <w:rFonts w:hint="eastAsia"/>
        </w:rPr>
        <w:t xml:space="preserve">需通过标准接口对外提供可查询、可追溯、可按版本读取的数据能力，用于支撑后续派单、考勤、成本、产值和利润分析，保证跨系统口径一致。</w:t>
      </w:r>
    </w:p>
    <w:bookmarkEnd w:id="9"/>
    <w:bookmarkStart w:id="10" w:name="Xf88429bbbdf63382ca581adb78b9b2a55dbb6db"/>
    <w:p>
      <w:pPr>
        <w:pStyle w:val="Heading3"/>
      </w:pPr>
      <w:r>
        <w:t xml:space="preserve">1.2 </w:t>
      </w:r>
      <w:r>
        <w:rPr>
          <w:rFonts w:hint="eastAsia"/>
        </w:rPr>
        <w:t xml:space="preserve">派单过程留痕（含辅助人员）</w:t>
      </w:r>
    </w:p>
    <w:p>
      <w:pPr>
        <w:pStyle w:val="FirstParagraph"/>
      </w:pPr>
      <w:r>
        <w:rPr>
          <w:rFonts w:hint="eastAsia"/>
          <w:b/>
          <w:bCs/>
        </w:rPr>
        <w:t xml:space="preserve">归属模块</w:t>
      </w:r>
      <w:r>
        <w:br/>
      </w:r>
      <w:r>
        <w:rPr>
          <w:rFonts w:hint="eastAsia"/>
        </w:rPr>
        <w:t xml:space="preserve">PECMS-派单与过程记录</w:t>
      </w:r>
    </w:p>
    <w:p>
      <w:pPr>
        <w:pStyle w:val="BodyText"/>
      </w:pPr>
      <w:r>
        <w:rPr>
          <w:rFonts w:hint="eastAsia"/>
          <w:b/>
          <w:bCs/>
        </w:rPr>
        <w:t xml:space="preserve">建议写入</w:t>
      </w:r>
      <w:r>
        <w:rPr>
          <w:b/>
          <w:bCs/>
        </w:rPr>
        <w:t xml:space="preserve"> SRS </w:t>
      </w:r>
      <w:r>
        <w:rPr>
          <w:rFonts w:hint="eastAsia"/>
          <w:b/>
          <w:bCs/>
        </w:rPr>
        <w:t xml:space="preserve">文案</w:t>
      </w:r>
      <w:r>
        <w:br/>
      </w:r>
      <w:r>
        <w:t xml:space="preserve">PECMS </w:t>
      </w:r>
      <w:r>
        <w:rPr>
          <w:rFonts w:hint="eastAsia"/>
        </w:rPr>
        <w:t xml:space="preserve">派单模块需对派单参与过程进行全量留痕，留痕对象同时覆盖主责人员与辅助人员，且辅助人员的参与时间段必须作为独立业务事实保存，不得仅以最终状态覆盖历史。系统应记录参与起止时间、角色类型、调整前后关系、调整原因、调整人、调整时间，并支持一次派单中多次参与关系变更的历史串联展示。</w:t>
      </w:r>
      <w:r>
        <w:br/>
      </w:r>
      <w:r>
        <w:rPr>
          <w:rFonts w:hint="eastAsia"/>
        </w:rPr>
        <w:t xml:space="preserve">当人员后续发生岗位变更、组织迁移或离岗时，历史派单关系不得被重算或重写。查询侧需支持按派单、按人员、按时间区间反查，确保任何历史统计都能回到“当时谁参与、何时参与、以何角色参与”的原始事实，满足审计与责任追溯。</w:t>
      </w:r>
    </w:p>
    <w:bookmarkEnd w:id="10"/>
    <w:bookmarkStart w:id="11" w:name="X45210f21f4c9a6d2e64c3dc2884de48f77d6c3a"/>
    <w:p>
      <w:pPr>
        <w:pStyle w:val="Heading3"/>
      </w:pPr>
      <w:r>
        <w:t xml:space="preserve">1.3 </w:t>
      </w:r>
      <w:r>
        <w:rPr>
          <w:rFonts w:hint="eastAsia"/>
        </w:rPr>
        <w:t xml:space="preserve">技术服务考勤线上闭环</w:t>
      </w:r>
    </w:p>
    <w:p>
      <w:pPr>
        <w:pStyle w:val="FirstParagraph"/>
      </w:pPr>
      <w:r>
        <w:rPr>
          <w:rFonts w:hint="eastAsia"/>
          <w:b/>
          <w:bCs/>
        </w:rPr>
        <w:t xml:space="preserve">归属模块</w:t>
      </w:r>
      <w:r>
        <w:br/>
      </w:r>
      <w:r>
        <w:rPr>
          <w:rFonts w:hint="eastAsia"/>
        </w:rPr>
        <w:t xml:space="preserve">PECMS-技术服务考勤管理</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技术服务考勤管理需在</w:t>
      </w:r>
      <w:r>
        <w:t xml:space="preserve"> PECMS </w:t>
      </w:r>
      <w:r>
        <w:rPr>
          <w:rFonts w:hint="eastAsia"/>
        </w:rPr>
        <w:t xml:space="preserve">内完成线上闭环，流程为“供应商填报/导入</w:t>
      </w:r>
      <w:r>
        <w:t xml:space="preserve"> -&gt; </w:t>
      </w:r>
      <w:r>
        <w:rPr>
          <w:rFonts w:hint="eastAsia"/>
        </w:rPr>
        <w:t xml:space="preserve">项目经理审核</w:t>
      </w:r>
      <w:r>
        <w:t xml:space="preserve"> -&gt; </w:t>
      </w:r>
      <w:r>
        <w:rPr>
          <w:rFonts w:hint="eastAsia"/>
        </w:rPr>
        <w:t xml:space="preserve">区域经理确认</w:t>
      </w:r>
      <w:r>
        <w:t xml:space="preserve"> -&gt; </w:t>
      </w:r>
      <w:r>
        <w:rPr>
          <w:rFonts w:hint="eastAsia"/>
        </w:rPr>
        <w:t xml:space="preserve">归档生效”。供应商填报时支持批量导入和在线编辑，提交前系统需执行完整校验，包括必填项、时间区间合法性、与派单有效期匹配、与合同/派单关联有效性。</w:t>
      </w:r>
      <w:r>
        <w:br/>
      </w:r>
      <w:r>
        <w:rPr>
          <w:rFonts w:hint="eastAsia"/>
        </w:rPr>
        <w:t xml:space="preserve">审批阶段需支持退回、重提、批量处理、意见留痕，并保留每一审批节点的处理人、处理时间、处理结论和说明。归档后，考勤数据需以“人员-派单-合同-月份”为稳定关联键沉淀，供</w:t>
      </w:r>
      <w:r>
        <w:t xml:space="preserve"> O&amp;M </w:t>
      </w:r>
      <w:r>
        <w:rPr>
          <w:rFonts w:hint="eastAsia"/>
        </w:rPr>
        <w:t xml:space="preserve">进行产值计算与统计，且</w:t>
      </w:r>
      <w:r>
        <w:t xml:space="preserve"> O&amp;M </w:t>
      </w:r>
      <w:r>
        <w:rPr>
          <w:rFonts w:hint="eastAsia"/>
        </w:rPr>
        <w:t xml:space="preserve">仅可读取已确认归档的数据。</w:t>
      </w:r>
    </w:p>
    <w:bookmarkEnd w:id="11"/>
    <w:bookmarkStart w:id="12" w:name="Xf69093e9212af35e877a15093918f0cb1408352"/>
    <w:p>
      <w:pPr>
        <w:pStyle w:val="Heading3"/>
      </w:pPr>
      <w:r>
        <w:t xml:space="preserve">1.4 </w:t>
      </w:r>
      <w:r>
        <w:rPr>
          <w:rFonts w:hint="eastAsia"/>
        </w:rPr>
        <w:t xml:space="preserve">审批后修改机制</w:t>
      </w:r>
    </w:p>
    <w:p>
      <w:pPr>
        <w:pStyle w:val="FirstParagraph"/>
      </w:pPr>
      <w:r>
        <w:rPr>
          <w:rFonts w:hint="eastAsia"/>
          <w:b/>
          <w:bCs/>
        </w:rPr>
        <w:t xml:space="preserve">归属模块</w:t>
      </w:r>
      <w:r>
        <w:br/>
      </w:r>
      <w:r>
        <w:rPr>
          <w:rFonts w:hint="eastAsia"/>
        </w:rPr>
        <w:t xml:space="preserve">PECMS-技术服务考勤管理</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对于已审批通过的考勤记录，系统应支持“审批后修改”，但修改方式必须采用“变更申请</w:t>
      </w:r>
      <w:r>
        <w:t xml:space="preserve"> + </w:t>
      </w:r>
      <w:r>
        <w:rPr>
          <w:rFonts w:hint="eastAsia"/>
        </w:rPr>
        <w:t xml:space="preserve">再审批”机制，不允许直接覆盖生效数据。发起变更时需强制填写变更原因，并标注变更范围（人员、时间段、派单、关联合同/派单、成本影响）。</w:t>
      </w:r>
      <w:r>
        <w:br/>
      </w:r>
      <w:r>
        <w:rPr>
          <w:rFonts w:hint="eastAsia"/>
        </w:rPr>
        <w:t xml:space="preserve">系统需保留原版本与新版本并建立版本链，支持版本对比查看（字段差异、旧值、新值、变更人、变更时间、审批状态、生效时间）。所有变更必须可追溯、可回放，并在</w:t>
      </w:r>
      <w:r>
        <w:t xml:space="preserve"> O&amp;M </w:t>
      </w:r>
      <w:r>
        <w:rPr>
          <w:rFonts w:hint="eastAsia"/>
        </w:rPr>
        <w:t xml:space="preserve">拉取时明确读取当前生效版本，避免统计口径漂移。</w:t>
      </w:r>
    </w:p>
    <w:bookmarkEnd w:id="12"/>
    <w:bookmarkStart w:id="13" w:name="X9c2039ff486e72dfbaf2a9dcc8302a273b27149"/>
    <w:p>
      <w:pPr>
        <w:pStyle w:val="Heading3"/>
      </w:pPr>
      <w:r>
        <w:t xml:space="preserve">1.5 </w:t>
      </w:r>
      <w:r>
        <w:rPr>
          <w:rFonts w:hint="eastAsia"/>
        </w:rPr>
        <w:t xml:space="preserve">技术服务成本按人员+月份管理</w:t>
      </w:r>
    </w:p>
    <w:p>
      <w:pPr>
        <w:pStyle w:val="FirstParagraph"/>
      </w:pPr>
      <w:r>
        <w:rPr>
          <w:rFonts w:hint="eastAsia"/>
          <w:b/>
          <w:bCs/>
        </w:rPr>
        <w:t xml:space="preserve">归属模块</w:t>
      </w:r>
      <w:r>
        <w:br/>
      </w:r>
      <w:r>
        <w:rPr>
          <w:rFonts w:hint="eastAsia"/>
        </w:rPr>
        <w:t xml:space="preserve">PECMS-技术服务成本管理</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技术服务成本按“人员</w:t>
      </w:r>
      <w:r>
        <w:t xml:space="preserve"> + </w:t>
      </w:r>
      <w:r>
        <w:rPr>
          <w:rFonts w:hint="eastAsia"/>
        </w:rPr>
        <w:t xml:space="preserve">月份”维度管理，供应商负责填报（支持模板导入、批量校验、在线修订），区域经理进行最终确认。填报记录需包含人员标识、供应商标识、期间、成本金额、币种、关联合同/派单、说明信息及凭证附件（如有）。</w:t>
      </w:r>
      <w:r>
        <w:br/>
      </w:r>
      <w:r>
        <w:rPr>
          <w:rFonts w:hint="eastAsia"/>
        </w:rPr>
        <w:t xml:space="preserve">确认归档后的数据作为</w:t>
      </w:r>
      <w:r>
        <w:t xml:space="preserve"> O&amp;M </w:t>
      </w:r>
      <w:r>
        <w:rPr>
          <w:rFonts w:hint="eastAsia"/>
        </w:rPr>
        <w:t xml:space="preserve">成本核算的标准来源，O&amp;M</w:t>
      </w:r>
      <w:r>
        <w:t xml:space="preserve"> </w:t>
      </w:r>
      <w:r>
        <w:rPr>
          <w:rFonts w:hint="eastAsia"/>
        </w:rPr>
        <w:t xml:space="preserve">侧仅可读取，不得反向改写。若后续成本更正，需在</w:t>
      </w:r>
      <w:r>
        <w:t xml:space="preserve"> PECMS </w:t>
      </w:r>
      <w:r>
        <w:rPr>
          <w:rFonts w:hint="eastAsia"/>
        </w:rPr>
        <w:t xml:space="preserve">发起变更流程并保留历史版本，以保证利润核算、月报、审计口径在任意时间点可回溯一致。</w:t>
      </w:r>
    </w:p>
    <w:bookmarkEnd w:id="13"/>
    <w:bookmarkStart w:id="14" w:name="X56b12b9e749b665c0d3eefd92ecd44419f9e4bf"/>
    <w:p>
      <w:pPr>
        <w:pStyle w:val="Heading3"/>
      </w:pPr>
      <w:r>
        <w:t xml:space="preserve">1.6 </w:t>
      </w:r>
      <w:r>
        <w:rPr>
          <w:rFonts w:hint="eastAsia"/>
        </w:rPr>
        <w:t xml:space="preserve">合同字段与</w:t>
      </w:r>
      <w:r>
        <w:t xml:space="preserve"> O&amp;M </w:t>
      </w:r>
      <w:r>
        <w:rPr>
          <w:rFonts w:hint="eastAsia"/>
        </w:rPr>
        <w:t xml:space="preserve">数据来源关系</w:t>
      </w:r>
    </w:p>
    <w:p>
      <w:pPr>
        <w:pStyle w:val="FirstParagraph"/>
      </w:pPr>
      <w:r>
        <w:rPr>
          <w:rFonts w:hint="eastAsia"/>
          <w:b/>
          <w:bCs/>
        </w:rPr>
        <w:t xml:space="preserve">归属模块</w:t>
      </w:r>
      <w:r>
        <w:br/>
      </w:r>
      <w:r>
        <w:rPr>
          <w:rFonts w:hint="eastAsia"/>
        </w:rPr>
        <w:t xml:space="preserve">PECMS-合同管理</w:t>
      </w:r>
    </w:p>
    <w:p>
      <w:pPr>
        <w:pStyle w:val="BodyText"/>
      </w:pPr>
      <w:r>
        <w:rPr>
          <w:rFonts w:hint="eastAsia"/>
          <w:b/>
          <w:bCs/>
        </w:rPr>
        <w:t xml:space="preserve">建议写入</w:t>
      </w:r>
      <w:r>
        <w:rPr>
          <w:b/>
          <w:bCs/>
        </w:rPr>
        <w:t xml:space="preserve"> SRS </w:t>
      </w:r>
      <w:r>
        <w:rPr>
          <w:rFonts w:hint="eastAsia"/>
          <w:b/>
          <w:bCs/>
        </w:rPr>
        <w:t xml:space="preserve">文案</w:t>
      </w:r>
      <w:r>
        <w:br/>
      </w:r>
      <w:r>
        <w:t xml:space="preserve">PECMS </w:t>
      </w:r>
      <w:r>
        <w:rPr>
          <w:rFonts w:hint="eastAsia"/>
        </w:rPr>
        <w:t xml:space="preserve">合同管理需补齐并维护</w:t>
      </w:r>
      <w:r>
        <w:t xml:space="preserve"> O&amp;M </w:t>
      </w:r>
      <w:r>
        <w:rPr>
          <w:rFonts w:hint="eastAsia"/>
        </w:rPr>
        <w:t xml:space="preserve">计算所依赖的关键字段，包括但不限于合同编号、合同类型、合同单价、有效期间、归属组织及状态信息。对会影响</w:t>
      </w:r>
      <w:r>
        <w:t xml:space="preserve"> O&amp;M </w:t>
      </w:r>
      <w:r>
        <w:rPr>
          <w:rFonts w:hint="eastAsia"/>
        </w:rPr>
        <w:t xml:space="preserve">指标计算的字段变更，PECMS</w:t>
      </w:r>
      <w:r>
        <w:t xml:space="preserve"> </w:t>
      </w:r>
      <w:r>
        <w:rPr>
          <w:rFonts w:hint="eastAsia"/>
        </w:rPr>
        <w:t xml:space="preserve">需记录版本及生效时间，并提供版本化查询能力。</w:t>
      </w:r>
      <w:r>
        <w:br/>
      </w:r>
      <w:r>
        <w:t xml:space="preserve">O&amp;M </w:t>
      </w:r>
      <w:r>
        <w:rPr>
          <w:rFonts w:hint="eastAsia"/>
        </w:rPr>
        <w:t xml:space="preserve">侧读取合同数据时，需记录来源系统、来源版本、拉取时间和关联任务标识；若上游字段发生变更，应触发重算或差异提示机制，确保“同一时间点、同一版本”下各报表计算结果一致。</w:t>
      </w:r>
    </w:p>
    <w:bookmarkEnd w:id="14"/>
    <w:bookmarkStart w:id="15" w:name="X89a8689198e8918f2434ce79b1e4da2e3fc448c"/>
    <w:p>
      <w:pPr>
        <w:pStyle w:val="Heading3"/>
      </w:pPr>
      <w:r>
        <w:t xml:space="preserve">1.7 </w:t>
      </w:r>
      <w:r>
        <w:rPr>
          <w:rFonts w:hint="eastAsia"/>
        </w:rPr>
        <w:t xml:space="preserve">历史合同数据拆分治理</w:t>
      </w:r>
    </w:p>
    <w:p>
      <w:pPr>
        <w:pStyle w:val="FirstParagraph"/>
      </w:pPr>
      <w:r>
        <w:rPr>
          <w:rFonts w:hint="eastAsia"/>
          <w:b/>
          <w:bCs/>
        </w:rPr>
        <w:t xml:space="preserve">归属模块</w:t>
      </w:r>
      <w:r>
        <w:br/>
      </w:r>
      <w:r>
        <w:rPr>
          <w:rFonts w:hint="eastAsia"/>
        </w:rPr>
        <w:t xml:space="preserve">PECMS-历史数据治理</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历史合同数据需先治理后入库。治理方案应明确拆分对象、拆分维度（合同、期间、责任主体、业务类型等）、口径定义、字段映射规则、冲突处理原则及复核责任分工。对于无法自动拆分的数据，需进入人工复核池，并保留处理结论。</w:t>
      </w:r>
      <w:r>
        <w:br/>
      </w:r>
      <w:r>
        <w:rPr>
          <w:rFonts w:hint="eastAsia"/>
        </w:rPr>
        <w:t xml:space="preserve">治理结果必须保存“原始记录</w:t>
      </w:r>
      <w:r>
        <w:t xml:space="preserve"> -&gt; </w:t>
      </w:r>
      <w:r>
        <w:rPr>
          <w:rFonts w:hint="eastAsia"/>
        </w:rPr>
        <w:t xml:space="preserve">拆分结果”的映射链路及处理日志，保证</w:t>
      </w:r>
      <w:r>
        <w:t xml:space="preserve"> O&amp;M </w:t>
      </w:r>
      <w:r>
        <w:rPr>
          <w:rFonts w:hint="eastAsia"/>
        </w:rPr>
        <w:t xml:space="preserve">在做历史统计、对账和审计时，可精确追溯每个结果项的来源、拆分依据与处理过程。</w:t>
      </w:r>
    </w:p>
    <w:bookmarkEnd w:id="15"/>
    <w:bookmarkStart w:id="16" w:name="Xdca0575bd57f32d147bed42a46444d01339796f"/>
    <w:p>
      <w:pPr>
        <w:pStyle w:val="Heading3"/>
      </w:pPr>
      <w:r>
        <w:t xml:space="preserve">1.8 </w:t>
      </w:r>
      <w:r>
        <w:rPr>
          <w:rFonts w:hint="eastAsia"/>
        </w:rPr>
        <w:t xml:space="preserve">外勤与本部出勤推送至</w:t>
      </w:r>
      <w:r>
        <w:t xml:space="preserve"> PECMS</w:t>
      </w:r>
    </w:p>
    <w:p>
      <w:pPr>
        <w:pStyle w:val="FirstParagraph"/>
      </w:pPr>
      <w:r>
        <w:rPr>
          <w:rFonts w:hint="eastAsia"/>
          <w:b/>
          <w:bCs/>
        </w:rPr>
        <w:t xml:space="preserve">归属模块</w:t>
      </w:r>
      <w:r>
        <w:br/>
      </w:r>
      <w:r>
        <w:rPr>
          <w:rFonts w:hint="eastAsia"/>
        </w:rPr>
        <w:t xml:space="preserve">PECMS-跨系统出勤数据接入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外勤与本部出勤数据需通过统一接口接入</w:t>
      </w:r>
      <w:r>
        <w:t xml:space="preserve"> </w:t>
      </w:r>
      <w:r>
        <w:rPr>
          <w:rFonts w:hint="eastAsia"/>
        </w:rPr>
        <w:t xml:space="preserve">PECMS，接口规范应明确数据字段、主键规则、时间口径、状态定义、推送频率、重传机制和幂等要求。对于推送失败、重复推送、字段缺失、时间冲突等异常，系统需提供自动拦截和补偿处理能力。</w:t>
      </w:r>
      <w:r>
        <w:br/>
      </w:r>
      <w:r>
        <w:t xml:space="preserve">PECMS </w:t>
      </w:r>
      <w:r>
        <w:rPr>
          <w:rFonts w:hint="eastAsia"/>
        </w:rPr>
        <w:t xml:space="preserve">接收后应与派单及考勤数据做一致性校验，不一致数据进入异常池并分配处理责任人，形成“发现问题</w:t>
      </w:r>
      <w:r>
        <w:t xml:space="preserve"> -&gt; </w:t>
      </w:r>
      <w:r>
        <w:rPr>
          <w:rFonts w:hint="eastAsia"/>
        </w:rPr>
        <w:t xml:space="preserve">修正数据</w:t>
      </w:r>
      <w:r>
        <w:t xml:space="preserve"> -&gt; </w:t>
      </w:r>
      <w:r>
        <w:rPr>
          <w:rFonts w:hint="eastAsia"/>
        </w:rPr>
        <w:t xml:space="preserve">重新校验</w:t>
      </w:r>
      <w:r>
        <w:t xml:space="preserve"> -&gt; </w:t>
      </w:r>
      <w:r>
        <w:rPr>
          <w:rFonts w:hint="eastAsia"/>
        </w:rPr>
        <w:t xml:space="preserve">闭环归档”的完整链路。</w:t>
      </w:r>
    </w:p>
    <w:p>
      <w:r>
        <w:pict>
          <v:rect style="width:0;height:1.5pt" o:hralign="center" o:hrstd="t" o:hr="t"/>
        </w:pict>
      </w:r>
    </w:p>
    <w:bookmarkEnd w:id="16"/>
    <w:bookmarkEnd w:id="17"/>
    <w:bookmarkStart w:id="34" w:name="X36fbcfa872bc58252cfda979ebdb8c572857c91"/>
    <w:p>
      <w:pPr>
        <w:pStyle w:val="Heading2"/>
      </w:pPr>
      <w:r>
        <w:t xml:space="preserve">2. O&amp;M </w:t>
      </w:r>
      <w:r>
        <w:rPr>
          <w:rFonts w:hint="eastAsia"/>
        </w:rPr>
        <w:t xml:space="preserve">系统</w:t>
      </w:r>
    </w:p>
    <w:bookmarkStart w:id="18" w:name="X42acd2795587aa44d9e0a5a139182c264e0fd88"/>
    <w:p>
      <w:pPr>
        <w:pStyle w:val="Heading3"/>
      </w:pPr>
      <w:r>
        <w:t xml:space="preserve">2.1 </w:t>
      </w:r>
      <w:r>
        <w:rPr>
          <w:rFonts w:hint="eastAsia"/>
        </w:rPr>
        <w:t xml:space="preserve">科研经营月报占位列（材料费/制造费）</w:t>
      </w:r>
    </w:p>
    <w:p>
      <w:pPr>
        <w:pStyle w:val="FirstParagraph"/>
      </w:pPr>
      <w:r>
        <w:rPr>
          <w:rFonts w:hint="eastAsia"/>
          <w:b/>
          <w:bCs/>
        </w:rPr>
        <w:t xml:space="preserve">归属模块</w:t>
      </w:r>
      <w:r>
        <w:br/>
      </w:r>
      <w:r>
        <w:rPr>
          <w:rFonts w:hint="eastAsia"/>
        </w:rPr>
        <w:t xml:space="preserve">O&amp;M-科研经营月报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科研经营月报中“材料费”“制造费”字段作为业务保留占位列存在，系统不提供自动计算公式，不从其他系统自动回填。该两项由财务在月报填报环节在线录入并留痕，录入后进入</w:t>
      </w:r>
      <w:r>
        <w:t xml:space="preserve"> O&amp;M </w:t>
      </w:r>
      <w:r>
        <w:rPr>
          <w:rFonts w:hint="eastAsia"/>
        </w:rPr>
        <w:t xml:space="preserve">存储并参与展示与统计。</w:t>
      </w:r>
      <w:r>
        <w:br/>
      </w:r>
      <w:r>
        <w:rPr>
          <w:rFonts w:hint="eastAsia"/>
        </w:rPr>
        <w:t xml:space="preserve">未录入时字段应为空值展示，系统不得以</w:t>
      </w:r>
      <w:r>
        <w:t xml:space="preserve"> 0 </w:t>
      </w:r>
      <w:r>
        <w:rPr>
          <w:rFonts w:hint="eastAsia"/>
        </w:rPr>
        <w:t xml:space="preserve">自动替代，以避免误导口径。导出报表需保留该字段及口径说明，明确其为“人工填报字段”。</w:t>
      </w:r>
    </w:p>
    <w:bookmarkEnd w:id="18"/>
    <w:bookmarkStart w:id="19" w:name="X29f27790949a155c0bf89d1f706a3b11b207c18"/>
    <w:p>
      <w:pPr>
        <w:pStyle w:val="Heading3"/>
      </w:pPr>
      <w:r>
        <w:t xml:space="preserve">2.2 </w:t>
      </w:r>
      <w:r>
        <w:rPr>
          <w:rFonts w:hint="eastAsia"/>
        </w:rPr>
        <w:t xml:space="preserve">人工费构成口径</w:t>
      </w:r>
    </w:p>
    <w:p>
      <w:pPr>
        <w:pStyle w:val="FirstParagraph"/>
      </w:pPr>
      <w:r>
        <w:rPr>
          <w:rFonts w:hint="eastAsia"/>
          <w:b/>
          <w:bCs/>
        </w:rPr>
        <w:t xml:space="preserve">归属模块</w:t>
      </w:r>
      <w:r>
        <w:br/>
      </w:r>
      <w:r>
        <w:rPr>
          <w:rFonts w:hint="eastAsia"/>
        </w:rPr>
        <w:t xml:space="preserve">O&amp;M-科研经营月报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人工费口径统一定义为“正式员工成本</w:t>
      </w:r>
      <w:r>
        <w:t xml:space="preserve"> + </w:t>
      </w:r>
      <w:r>
        <w:rPr>
          <w:rFonts w:hint="eastAsia"/>
        </w:rPr>
        <w:t xml:space="preserve">劳务派遣成本</w:t>
      </w:r>
      <w:r>
        <w:t xml:space="preserve"> + </w:t>
      </w:r>
      <w:r>
        <w:rPr>
          <w:rFonts w:hint="eastAsia"/>
        </w:rPr>
        <w:t xml:space="preserve">技术服务成本”。其中前两项沿用既有来源口径，技术服务成本来源于</w:t>
      </w:r>
      <w:r>
        <w:t xml:space="preserve"> PECMS </w:t>
      </w:r>
      <w:r>
        <w:rPr>
          <w:rFonts w:hint="eastAsia"/>
        </w:rPr>
        <w:t xml:space="preserve">已确认归档的人员成本数据。</w:t>
      </w:r>
      <w:r>
        <w:br/>
      </w:r>
      <w:r>
        <w:t xml:space="preserve">O&amp;M </w:t>
      </w:r>
      <w:r>
        <w:rPr>
          <w:rFonts w:hint="eastAsia"/>
        </w:rPr>
        <w:t xml:space="preserve">对技术服务成本仅做读取与按周期聚合，不允许手工改写来源值；如需修正，须回到</w:t>
      </w:r>
      <w:r>
        <w:t xml:space="preserve"> PECMS </w:t>
      </w:r>
      <w:r>
        <w:rPr>
          <w:rFonts w:hint="eastAsia"/>
        </w:rPr>
        <w:t xml:space="preserve">完成上游修订并重新同步，确保全链路口径一致。</w:t>
      </w:r>
    </w:p>
    <w:bookmarkEnd w:id="19"/>
    <w:bookmarkStart w:id="20" w:name="X36145a61c390b361b079064c5fd6d673ed5372a"/>
    <w:p>
      <w:pPr>
        <w:pStyle w:val="Heading3"/>
      </w:pPr>
      <w:r>
        <w:t xml:space="preserve">2.3 </w:t>
      </w:r>
      <w:r>
        <w:rPr>
          <w:rFonts w:hint="eastAsia"/>
        </w:rPr>
        <w:t xml:space="preserve">成本小计公式</w:t>
      </w:r>
    </w:p>
    <w:p>
      <w:pPr>
        <w:pStyle w:val="FirstParagraph"/>
      </w:pPr>
      <w:r>
        <w:rPr>
          <w:rFonts w:hint="eastAsia"/>
          <w:b/>
          <w:bCs/>
        </w:rPr>
        <w:t xml:space="preserve">归属模块</w:t>
      </w:r>
      <w:r>
        <w:br/>
      </w:r>
      <w:r>
        <w:rPr>
          <w:rFonts w:hint="eastAsia"/>
        </w:rPr>
        <w:t xml:space="preserve">O&amp;M-科研经营月报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科研经营月报“成本小计”采用固定计算口径：</w:t>
      </w:r>
      <w:r>
        <w:rPr>
          <w:rStyle w:val="VerbatimChar"/>
          <w:rFonts w:hint="eastAsia"/>
        </w:rPr>
        <w:t xml:space="preserve">成本小计</w:t>
      </w:r>
      <w:r>
        <w:rPr>
          <w:rStyle w:val="VerbatimChar"/>
        </w:rPr>
        <w:t xml:space="preserve"> = </w:t>
      </w:r>
      <w:r>
        <w:rPr>
          <w:rStyle w:val="VerbatimChar"/>
          <w:rFonts w:hint="eastAsia"/>
        </w:rPr>
        <w:t xml:space="preserve">人工程成本</w:t>
      </w:r>
      <w:r>
        <w:rPr>
          <w:rStyle w:val="VerbatimChar"/>
        </w:rPr>
        <w:t xml:space="preserve"> + </w:t>
      </w:r>
      <w:r>
        <w:rPr>
          <w:rStyle w:val="VerbatimChar"/>
          <w:rFonts w:hint="eastAsia"/>
        </w:rPr>
        <w:t xml:space="preserve">差旅费用</w:t>
      </w:r>
      <w:r>
        <w:rPr>
          <w:rStyle w:val="VerbatimChar"/>
        </w:rPr>
        <w:t xml:space="preserve"> + </w:t>
      </w:r>
      <w:r>
        <w:rPr>
          <w:rStyle w:val="VerbatimChar"/>
          <w:rFonts w:hint="eastAsia"/>
        </w:rPr>
        <w:t xml:space="preserve">固定成本</w:t>
      </w:r>
      <w:r>
        <w:rPr>
          <w:rFonts w:hint="eastAsia"/>
        </w:rPr>
        <w:t xml:space="preserve">。系统应在页面字段说明、导出文件脚注、接口文档中统一披露该公式，避免跨部门理解差异。</w:t>
      </w:r>
      <w:r>
        <w:br/>
      </w:r>
      <w:r>
        <w:rPr>
          <w:rFonts w:hint="eastAsia"/>
        </w:rPr>
        <w:t xml:space="preserve">当任一分项缺失时，系统应按既定空值策略处理并给出提示，不允许隐式替换导致结果偏差。</w:t>
      </w:r>
    </w:p>
    <w:bookmarkEnd w:id="20"/>
    <w:bookmarkStart w:id="21" w:name="X90a2eb584ba89853b4f9e36080a865f237cf847"/>
    <w:p>
      <w:pPr>
        <w:pStyle w:val="Heading3"/>
      </w:pPr>
      <w:r>
        <w:t xml:space="preserve">2.4 </w:t>
      </w:r>
      <w:r>
        <w:rPr>
          <w:rFonts w:hint="eastAsia"/>
        </w:rPr>
        <w:t xml:space="preserve">毛利金额与毛利率公式</w:t>
      </w:r>
    </w:p>
    <w:p>
      <w:pPr>
        <w:pStyle w:val="FirstParagraph"/>
      </w:pPr>
      <w:r>
        <w:rPr>
          <w:rFonts w:hint="eastAsia"/>
          <w:b/>
          <w:bCs/>
        </w:rPr>
        <w:t xml:space="preserve">归属模块</w:t>
      </w:r>
      <w:r>
        <w:br/>
      </w:r>
      <w:r>
        <w:rPr>
          <w:rFonts w:hint="eastAsia"/>
        </w:rPr>
        <w:t xml:space="preserve">O&amp;M-科研经营月报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毛利金额与毛利率的计算口径固定如下：</w:t>
      </w:r>
      <w:r>
        <w:rPr>
          <w:rStyle w:val="VerbatimChar"/>
          <w:rFonts w:hint="eastAsia"/>
        </w:rPr>
        <w:t xml:space="preserve">毛利金额</w:t>
      </w:r>
      <w:r>
        <w:rPr>
          <w:rStyle w:val="VerbatimChar"/>
        </w:rPr>
        <w:t xml:space="preserve"> = </w:t>
      </w:r>
      <w:r>
        <w:rPr>
          <w:rStyle w:val="VerbatimChar"/>
          <w:rFonts w:hint="eastAsia"/>
        </w:rPr>
        <w:t xml:space="preserve">合同额</w:t>
      </w:r>
      <w:r>
        <w:rPr>
          <w:rStyle w:val="VerbatimChar"/>
        </w:rPr>
        <w:t xml:space="preserve"> - </w:t>
      </w:r>
      <w:r>
        <w:rPr>
          <w:rStyle w:val="VerbatimChar"/>
          <w:rFonts w:hint="eastAsia"/>
        </w:rPr>
        <w:t xml:space="preserve">成本小计</w:t>
      </w:r>
      <w:r>
        <w:rPr>
          <w:rFonts w:hint="eastAsia"/>
        </w:rPr>
        <w:t xml:space="preserve">，</w:t>
      </w:r>
      <w:r>
        <w:rPr>
          <w:rStyle w:val="VerbatimChar"/>
          <w:rFonts w:hint="eastAsia"/>
        </w:rPr>
        <w:t xml:space="preserve">毛利率</w:t>
      </w:r>
      <w:r>
        <w:rPr>
          <w:rStyle w:val="VerbatimChar"/>
        </w:rPr>
        <w:t xml:space="preserve"> = </w:t>
      </w:r>
      <w:r>
        <w:rPr>
          <w:rStyle w:val="VerbatimChar"/>
          <w:rFonts w:hint="eastAsia"/>
        </w:rPr>
        <w:t xml:space="preserve">(合同额</w:t>
      </w:r>
      <w:r>
        <w:rPr>
          <w:rStyle w:val="VerbatimChar"/>
        </w:rPr>
        <w:t xml:space="preserve"> - </w:t>
      </w:r>
      <w:r>
        <w:rPr>
          <w:rStyle w:val="VerbatimChar"/>
          <w:rFonts w:hint="eastAsia"/>
        </w:rPr>
        <w:t xml:space="preserve">成本小计)</w:t>
      </w:r>
      <w:r>
        <w:rPr>
          <w:rStyle w:val="VerbatimChar"/>
        </w:rPr>
        <w:t xml:space="preserve"> / </w:t>
      </w:r>
      <w:r>
        <w:rPr>
          <w:rStyle w:val="VerbatimChar"/>
          <w:rFonts w:hint="eastAsia"/>
        </w:rPr>
        <w:t xml:space="preserve">合同额</w:t>
      </w:r>
      <w:r>
        <w:rPr>
          <w:rFonts w:hint="eastAsia"/>
        </w:rPr>
        <w:t xml:space="preserve">。系统应统一使用上述公式参与页面展示、导出及接口输出，不得在不同场景采用不同口径。</w:t>
      </w:r>
      <w:r>
        <w:br/>
      </w:r>
      <w:r>
        <w:rPr>
          <w:rFonts w:hint="eastAsia"/>
        </w:rPr>
        <w:t xml:space="preserve">当合同额为</w:t>
      </w:r>
      <w:r>
        <w:t xml:space="preserve"> 0 </w:t>
      </w:r>
      <w:r>
        <w:rPr>
          <w:rFonts w:hint="eastAsia"/>
        </w:rPr>
        <w:t xml:space="preserve">或空值时，毛利率不参与计算并显示“不可计算”；同时在日志中记录异常口径提示，便于后续数据治理。</w:t>
      </w:r>
    </w:p>
    <w:bookmarkEnd w:id="21"/>
    <w:bookmarkStart w:id="22" w:name="X21da7a2d913a57847548037e6a8b7f0626eda82"/>
    <w:p>
      <w:pPr>
        <w:pStyle w:val="Heading3"/>
      </w:pPr>
      <w:r>
        <w:t xml:space="preserve">2.5 </w:t>
      </w:r>
      <w:r>
        <w:rPr>
          <w:rFonts w:hint="eastAsia"/>
        </w:rPr>
        <w:t xml:space="preserve">付款约定编辑与历史</w:t>
      </w:r>
    </w:p>
    <w:p>
      <w:pPr>
        <w:pStyle w:val="FirstParagraph"/>
      </w:pPr>
      <w:r>
        <w:rPr>
          <w:rFonts w:hint="eastAsia"/>
          <w:b/>
          <w:bCs/>
        </w:rPr>
        <w:t xml:space="preserve">归属模块</w:t>
      </w:r>
      <w:r>
        <w:br/>
      </w:r>
      <w:r>
        <w:rPr>
          <w:rFonts w:hint="eastAsia"/>
        </w:rPr>
        <w:t xml:space="preserve">O&amp;M-科研经营月报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付款约定字段需支持单条编辑、批量编辑和历史追溯。任意修改均应记录变更前后值、变更原因、变更人、变更时间、提交方式（单条/批量）及审批状态。</w:t>
      </w:r>
      <w:r>
        <w:br/>
      </w:r>
      <w:r>
        <w:rPr>
          <w:rFonts w:hint="eastAsia"/>
        </w:rPr>
        <w:t xml:space="preserve">系统需提供按合同查看变更轨迹能力，支持按时间倒序展示和差异对比，保证财务、项目经理与管理层可在同一页面快速确认付款约定的变更背景与最新状态。</w:t>
      </w:r>
    </w:p>
    <w:bookmarkEnd w:id="22"/>
    <w:bookmarkStart w:id="23" w:name="Xc9f11d1a6df2a484d8d96855e31712d8a9d63cd"/>
    <w:p>
      <w:pPr>
        <w:pStyle w:val="Heading3"/>
      </w:pPr>
      <w:r>
        <w:t xml:space="preserve">2.6 </w:t>
      </w:r>
      <w:r>
        <w:rPr>
          <w:rFonts w:hint="eastAsia"/>
        </w:rPr>
        <w:t xml:space="preserve">开票/回款台账唯一编号与金额字段</w:t>
      </w:r>
    </w:p>
    <w:p>
      <w:pPr>
        <w:pStyle w:val="FirstParagraph"/>
      </w:pPr>
      <w:r>
        <w:rPr>
          <w:rFonts w:hint="eastAsia"/>
          <w:b/>
          <w:bCs/>
        </w:rPr>
        <w:t xml:space="preserve">归属模块</w:t>
      </w:r>
      <w:r>
        <w:br/>
      </w:r>
      <w:r>
        <w:rPr>
          <w:rFonts w:hint="eastAsia"/>
        </w:rPr>
        <w:t xml:space="preserve">O&amp;M-开票回款管控台账</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开票/回款管控台账需新增“唯一编号”字段，编号由系统自动生成，具备全局唯一、不可编辑、可检索特性。每条预计开票或预计回款记录均需带编号贯穿生命周期。</w:t>
      </w:r>
      <w:r>
        <w:br/>
      </w:r>
      <w:r>
        <w:rPr>
          <w:rFonts w:hint="eastAsia"/>
        </w:rPr>
        <w:t xml:space="preserve">填报场景中应强制包含金额字段，并在后续修改、审批、导出、审计中持续携带该编号。所有行为留痕均按编号关联，确保“每次改动可追、每条记录可查、每笔业务可还原”。</w:t>
      </w:r>
    </w:p>
    <w:bookmarkEnd w:id="23"/>
    <w:bookmarkStart w:id="24" w:name="X40c40bea56c6449d4e6debe4195fe2d0c28e158"/>
    <w:p>
      <w:pPr>
        <w:pStyle w:val="Heading3"/>
      </w:pPr>
      <w:r>
        <w:t xml:space="preserve">2.7 </w:t>
      </w:r>
      <w:r>
        <w:rPr>
          <w:rFonts w:hint="eastAsia"/>
        </w:rPr>
        <w:t xml:space="preserve">修改说明必填规则</w:t>
      </w:r>
    </w:p>
    <w:p>
      <w:pPr>
        <w:pStyle w:val="FirstParagraph"/>
      </w:pPr>
      <w:r>
        <w:rPr>
          <w:rFonts w:hint="eastAsia"/>
          <w:b/>
          <w:bCs/>
        </w:rPr>
        <w:t xml:space="preserve">归属模块</w:t>
      </w:r>
      <w:r>
        <w:br/>
      </w:r>
      <w:r>
        <w:rPr>
          <w:rFonts w:hint="eastAsia"/>
        </w:rPr>
        <w:t xml:space="preserve">O&amp;M-开票回款管控台账</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当用户修改预计开票或预计回款记录时，系统必须强制填写“修改原因/修改说明”，未填写不得提交。该字段需在审批流程中完整展示，并进入审计日志与导出记录。</w:t>
      </w:r>
      <w:r>
        <w:br/>
      </w:r>
      <w:r>
        <w:rPr>
          <w:rFonts w:hint="eastAsia"/>
        </w:rPr>
        <w:t xml:space="preserve">对于批量修改场景，应支持统一说明与单条补充说明两种模式，确保审批人可准确判断每条记录的变更合理性。</w:t>
      </w:r>
    </w:p>
    <w:bookmarkEnd w:id="24"/>
    <w:bookmarkStart w:id="25" w:name="X840ba84f55eb70328fb9c7a99426294c70ff436"/>
    <w:p>
      <w:pPr>
        <w:pStyle w:val="Heading3"/>
      </w:pPr>
      <w:r>
        <w:t xml:space="preserve">2.8 </w:t>
      </w:r>
      <w:r>
        <w:rPr>
          <w:rFonts w:hint="eastAsia"/>
        </w:rPr>
        <w:t xml:space="preserve">未上平台项目补录能力</w:t>
      </w:r>
    </w:p>
    <w:p>
      <w:pPr>
        <w:pStyle w:val="FirstParagraph"/>
      </w:pPr>
      <w:r>
        <w:rPr>
          <w:rFonts w:hint="eastAsia"/>
          <w:b/>
          <w:bCs/>
        </w:rPr>
        <w:t xml:space="preserve">归属模块</w:t>
      </w:r>
      <w:r>
        <w:br/>
      </w:r>
      <w:r>
        <w:rPr>
          <w:rFonts w:hint="eastAsia"/>
        </w:rPr>
        <w:t xml:space="preserve">O&amp;M-非平台项目补录</w:t>
      </w:r>
    </w:p>
    <w:p>
      <w:pPr>
        <w:pStyle w:val="BodyText"/>
      </w:pPr>
      <w:r>
        <w:rPr>
          <w:rFonts w:hint="eastAsia"/>
          <w:b/>
          <w:bCs/>
        </w:rPr>
        <w:t xml:space="preserve">建议写入</w:t>
      </w:r>
      <w:r>
        <w:rPr>
          <w:b/>
          <w:bCs/>
        </w:rPr>
        <w:t xml:space="preserve"> SRS </w:t>
      </w:r>
      <w:r>
        <w:rPr>
          <w:rFonts w:hint="eastAsia"/>
          <w:b/>
          <w:bCs/>
        </w:rPr>
        <w:t xml:space="preserve">文案</w:t>
      </w:r>
      <w:r>
        <w:br/>
      </w:r>
      <w:r>
        <w:t xml:space="preserve">O&amp;M </w:t>
      </w:r>
      <w:r>
        <w:rPr>
          <w:rFonts w:hint="eastAsia"/>
        </w:rPr>
        <w:t xml:space="preserve">需提供未上平台项目的产值与成本补录能力，支持“模板导入</w:t>
      </w:r>
      <w:r>
        <w:t xml:space="preserve"> + </w:t>
      </w:r>
      <w:r>
        <w:rPr>
          <w:rFonts w:hint="eastAsia"/>
        </w:rPr>
        <w:t xml:space="preserve">在线录入”双通道，满足线下项目线上归集需求。补录记录需显式标识“非平台来源”，并保留填报人、填报时间、数据依据及附件信息。</w:t>
      </w:r>
      <w:r>
        <w:br/>
      </w:r>
      <w:r>
        <w:rPr>
          <w:rFonts w:hint="eastAsia"/>
        </w:rPr>
        <w:t xml:space="preserve">补录数据进入统计后，应支持按合同、期间、项目经理等维度拆解展示；对无过程轨迹数据，页面需明确展示数据完整性状态与可追溯范围，避免与平台内全流程数据混淆。</w:t>
      </w:r>
    </w:p>
    <w:bookmarkEnd w:id="25"/>
    <w:bookmarkStart w:id="26" w:name="X33501eb27a16680d0d2b7db93e9574c8e34e937"/>
    <w:p>
      <w:pPr>
        <w:pStyle w:val="Heading3"/>
      </w:pPr>
      <w:r>
        <w:t xml:space="preserve">2.9 </w:t>
      </w:r>
      <w:r>
        <w:rPr>
          <w:rFonts w:hint="eastAsia"/>
        </w:rPr>
        <w:t xml:space="preserve">差旅导入模板字段（员工编号、WBS）</w:t>
      </w:r>
    </w:p>
    <w:p>
      <w:pPr>
        <w:pStyle w:val="FirstParagraph"/>
      </w:pPr>
      <w:r>
        <w:rPr>
          <w:rFonts w:hint="eastAsia"/>
          <w:b/>
          <w:bCs/>
        </w:rPr>
        <w:t xml:space="preserve">归属模块</w:t>
      </w:r>
      <w:r>
        <w:br/>
      </w:r>
      <w:r>
        <w:rPr>
          <w:rFonts w:hint="eastAsia"/>
        </w:rPr>
        <w:t xml:space="preserve">O&amp;M-差旅报销导入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差旅报销导入模板需将“员工编号”“WBS”设为必填字段：员工编号用于定位员工主数据，WBS</w:t>
      </w:r>
      <w:r>
        <w:t xml:space="preserve"> </w:t>
      </w:r>
      <w:r>
        <w:rPr>
          <w:rFonts w:hint="eastAsia"/>
        </w:rPr>
        <w:t xml:space="preserve">用于映射合同编号并完成合同维度归集。模板说明应明确字段定义、取值规则、示例格式和常见错误。</w:t>
      </w:r>
      <w:r>
        <w:br/>
      </w:r>
      <w:r>
        <w:rPr>
          <w:rFonts w:hint="eastAsia"/>
        </w:rPr>
        <w:t xml:space="preserve">导入校验需覆盖格式合法性、主数据存在性、合同映射有效性、时间期间一致性及重复导入识别。校验失败时系统应生成可下载错误清单，逐条说明失败原因与修复建议。</w:t>
      </w:r>
    </w:p>
    <w:bookmarkEnd w:id="26"/>
    <w:bookmarkStart w:id="27" w:name="X18cda290e1061fec2fe78e6eab5b3f26f0bf157"/>
    <w:p>
      <w:pPr>
        <w:pStyle w:val="Heading3"/>
      </w:pPr>
      <w:r>
        <w:t xml:space="preserve">2.10 </w:t>
      </w:r>
      <w:r>
        <w:rPr>
          <w:rFonts w:hint="eastAsia"/>
        </w:rPr>
        <w:t xml:space="preserve">回款自动冲抵规则（FIFO）</w:t>
      </w:r>
    </w:p>
    <w:p>
      <w:pPr>
        <w:pStyle w:val="FirstParagraph"/>
      </w:pPr>
      <w:r>
        <w:rPr>
          <w:rFonts w:hint="eastAsia"/>
          <w:b/>
          <w:bCs/>
        </w:rPr>
        <w:t xml:space="preserve">归属模块</w:t>
      </w:r>
      <w:r>
        <w:br/>
      </w:r>
      <w:r>
        <w:rPr>
          <w:rFonts w:hint="eastAsia"/>
        </w:rPr>
        <w:t xml:space="preserve">O&amp;M-回款管理与核销</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回款核销采用统一</w:t>
      </w:r>
      <w:r>
        <w:t xml:space="preserve"> </w:t>
      </w:r>
      <w:r>
        <w:rPr>
          <w:rFonts w:hint="eastAsia"/>
        </w:rPr>
        <w:t xml:space="preserve">FIFO（先开先抵）规则，适用于“新增回款”和“导入回款”两类场景。系统需先筛选同合同下未冲抵开票记录，再按开票日期升序执行冲抵；同日记录按开票单号升序处理。</w:t>
      </w:r>
      <w:r>
        <w:br/>
      </w:r>
      <w:r>
        <w:rPr>
          <w:rFonts w:hint="eastAsia"/>
        </w:rPr>
        <w:t xml:space="preserve">当回款金额小于待冲抵总额时，支持部分冲抵并保留剩余应冲抵金额；当回款金额大于待冲抵总额时，超额部分按异常规则处理并提示。每次冲抵必须生成可追溯核销明细，至少包含冲抵顺序、冲抵金额、冲抵前后余额、执行时间、执行主体与关联单据。</w:t>
      </w:r>
    </w:p>
    <w:bookmarkEnd w:id="27"/>
    <w:bookmarkStart w:id="28" w:name="X6774887671ac4d6e44034b426da63a51eadbf4e"/>
    <w:p>
      <w:pPr>
        <w:pStyle w:val="Heading3"/>
      </w:pPr>
      <w:r>
        <w:t xml:space="preserve">2.11 </w:t>
      </w:r>
      <w:r>
        <w:rPr>
          <w:rFonts w:hint="eastAsia"/>
        </w:rPr>
        <w:t xml:space="preserve">大盘透视分层展示</w:t>
      </w:r>
    </w:p>
    <w:p>
      <w:pPr>
        <w:pStyle w:val="FirstParagraph"/>
      </w:pPr>
      <w:r>
        <w:rPr>
          <w:rFonts w:hint="eastAsia"/>
          <w:b/>
          <w:bCs/>
        </w:rPr>
        <w:t xml:space="preserve">归属模块</w:t>
      </w:r>
      <w:r>
        <w:br/>
      </w:r>
      <w:r>
        <w:rPr>
          <w:rFonts w:hint="eastAsia"/>
        </w:rPr>
        <w:t xml:space="preserve">O&amp;M-大盘透视</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大盘透视需按“项目经理总览</w:t>
      </w:r>
      <w:r>
        <w:t xml:space="preserve"> -&gt; </w:t>
      </w:r>
      <w:r>
        <w:rPr>
          <w:rFonts w:hint="eastAsia"/>
        </w:rPr>
        <w:t xml:space="preserve">合同明细”两层结构展示：第一层展示各项目经理管理范围内的总体负责额度与核心经营指标；第二层在点击后下钻至合同维度，展示开票、回款、产值、成本、毛利等明细信息。</w:t>
      </w:r>
      <w:r>
        <w:br/>
      </w:r>
      <w:r>
        <w:rPr>
          <w:rFonts w:hint="eastAsia"/>
        </w:rPr>
        <w:t xml:space="preserve">两层视图的口径应明确区分并分别计算，避免同屏混算造成误读；同时应支持跨层追溯，确保管理层从总览异常可快速定位到具体合同与业务记录。</w:t>
      </w:r>
    </w:p>
    <w:bookmarkEnd w:id="28"/>
    <w:bookmarkStart w:id="29" w:name="X4e5840e4edb5ab0a8f5a0b95fe9b5584a7e2b42"/>
    <w:p>
      <w:pPr>
        <w:pStyle w:val="Heading3"/>
      </w:pPr>
      <w:r>
        <w:t xml:space="preserve">2.12 </w:t>
      </w:r>
      <w:r>
        <w:rPr>
          <w:rFonts w:hint="eastAsia"/>
        </w:rPr>
        <w:t xml:space="preserve">提醒接收对象配置</w:t>
      </w:r>
    </w:p>
    <w:p>
      <w:pPr>
        <w:pStyle w:val="FirstParagraph"/>
      </w:pPr>
      <w:r>
        <w:rPr>
          <w:rFonts w:hint="eastAsia"/>
          <w:b/>
          <w:bCs/>
        </w:rPr>
        <w:t xml:space="preserve">归属模块</w:t>
      </w:r>
      <w:r>
        <w:br/>
      </w:r>
      <w:r>
        <w:rPr>
          <w:rFonts w:hint="eastAsia"/>
        </w:rPr>
        <w:t xml:space="preserve">O&amp;M-提醒设置</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提醒接收对象来源于</w:t>
      </w:r>
      <w:r>
        <w:t xml:space="preserve"> O&amp;M </w:t>
      </w:r>
      <w:r>
        <w:rPr>
          <w:rFonts w:hint="eastAsia"/>
        </w:rPr>
        <w:t xml:space="preserve">现有角色体系，配置人可在角色范围内选择具体接收人，实现按业务场景灵活分发。系统应支持配置版本管理，记录配置人、生效时间、失效时间、变更原因，并提供历史版本回滚能力。</w:t>
      </w:r>
      <w:r>
        <w:br/>
      </w:r>
      <w:r>
        <w:rPr>
          <w:rFonts w:hint="eastAsia"/>
        </w:rPr>
        <w:t xml:space="preserve">对于关键预警场景，可配置最小必达角色集合，避免因误配置导致无人接收。</w:t>
      </w:r>
    </w:p>
    <w:bookmarkEnd w:id="29"/>
    <w:bookmarkStart w:id="30" w:name="X20836fdc25f6a5038b133f366bb6da8800fe4ca"/>
    <w:p>
      <w:pPr>
        <w:pStyle w:val="Heading3"/>
      </w:pPr>
      <w:r>
        <w:t xml:space="preserve">2.13 </w:t>
      </w:r>
      <w:r>
        <w:rPr>
          <w:rFonts w:hint="eastAsia"/>
        </w:rPr>
        <w:t xml:space="preserve">投递渠道规则（无短信）</w:t>
      </w:r>
    </w:p>
    <w:p>
      <w:pPr>
        <w:pStyle w:val="FirstParagraph"/>
      </w:pPr>
      <w:r>
        <w:rPr>
          <w:rFonts w:hint="eastAsia"/>
          <w:b/>
          <w:bCs/>
        </w:rPr>
        <w:t xml:space="preserve">归属模块</w:t>
      </w:r>
      <w:r>
        <w:br/>
      </w:r>
      <w:r>
        <w:rPr>
          <w:rFonts w:hint="eastAsia"/>
        </w:rPr>
        <w:t xml:space="preserve">O&amp;M-消息通知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消息投递渠道明确为“站内消息</w:t>
      </w:r>
      <w:r>
        <w:t xml:space="preserve"> + </w:t>
      </w:r>
      <w:r>
        <w:rPr>
          <w:rFonts w:hint="eastAsia"/>
        </w:rPr>
        <w:t xml:space="preserve">工作邮箱”，不纳入短信渠道。站内消息为强制开启且不可关闭，确保系统内告警必达；工作邮箱可按模板或业务场景配置启停。</w:t>
      </w:r>
      <w:r>
        <w:br/>
      </w:r>
      <w:r>
        <w:rPr>
          <w:rFonts w:hint="eastAsia"/>
        </w:rPr>
        <w:t xml:space="preserve">系统需记录每次投递的渠道状态与结果回执，便于后续核查消息是否送达。</w:t>
      </w:r>
    </w:p>
    <w:bookmarkEnd w:id="30"/>
    <w:bookmarkStart w:id="31" w:name="X8390d14c4608a3ff497e197abf395ea06a9f3db"/>
    <w:p>
      <w:pPr>
        <w:pStyle w:val="Heading3"/>
      </w:pPr>
      <w:r>
        <w:t xml:space="preserve">2.14 </w:t>
      </w:r>
      <w:r>
        <w:rPr>
          <w:rFonts w:hint="eastAsia"/>
        </w:rPr>
        <w:t xml:space="preserve">联系方式来源规则</w:t>
      </w:r>
    </w:p>
    <w:p>
      <w:pPr>
        <w:pStyle w:val="FirstParagraph"/>
      </w:pPr>
      <w:r>
        <w:rPr>
          <w:rFonts w:hint="eastAsia"/>
          <w:b/>
          <w:bCs/>
        </w:rPr>
        <w:t xml:space="preserve">归属模块</w:t>
      </w:r>
      <w:r>
        <w:br/>
      </w:r>
      <w:r>
        <w:rPr>
          <w:rFonts w:hint="eastAsia"/>
        </w:rPr>
        <w:t xml:space="preserve">O&amp;M-消息通知</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通知所使用的邮箱与手机号均来源于员工主数据，系统发送时应优先读取最新有效联系方式。若联系方式缺失、格式非法或状态失效，系统应进行发送拦截并生成异常告警。</w:t>
      </w:r>
      <w:r>
        <w:br/>
      </w:r>
      <w:r>
        <w:rPr>
          <w:rFonts w:hint="eastAsia"/>
        </w:rPr>
        <w:t xml:space="preserve">该异常需支持责任归属与修复跟踪，保证消息链路问题可定位、可修复、可闭环。</w:t>
      </w:r>
    </w:p>
    <w:bookmarkEnd w:id="31"/>
    <w:bookmarkStart w:id="32" w:name="X54088ecbfd3bd59934d2bee2c825927df9fa425"/>
    <w:p>
      <w:pPr>
        <w:pStyle w:val="Heading3"/>
      </w:pPr>
      <w:r>
        <w:t xml:space="preserve">2.15 </w:t>
      </w:r>
      <w:r>
        <w:rPr>
          <w:rFonts w:hint="eastAsia"/>
        </w:rPr>
        <w:t xml:space="preserve">利润预警消息明细粒度</w:t>
      </w:r>
    </w:p>
    <w:p>
      <w:pPr>
        <w:pStyle w:val="FirstParagraph"/>
      </w:pPr>
      <w:r>
        <w:rPr>
          <w:rFonts w:hint="eastAsia"/>
          <w:b/>
          <w:bCs/>
        </w:rPr>
        <w:t xml:space="preserve">归属模块</w:t>
      </w:r>
      <w:r>
        <w:br/>
      </w:r>
      <w:r>
        <w:rPr>
          <w:rFonts w:hint="eastAsia"/>
        </w:rPr>
        <w:t xml:space="preserve">O&amp;M-利润预警</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利润预警消息除合同级预警值外，需附带派单级风险明细，至少包含派单标识、责任人、产值、成本、偏差值、风险等级与风险说明。接收人在消息中即可查看关键明细，减少二次跳转成本。</w:t>
      </w:r>
      <w:r>
        <w:br/>
      </w:r>
      <w:r>
        <w:rPr>
          <w:rFonts w:hint="eastAsia"/>
        </w:rPr>
        <w:t xml:space="preserve">系统应支持按派单维度展开查看和排序，便于快速定位高风险项并推动责任人处理。</w:t>
      </w:r>
    </w:p>
    <w:bookmarkEnd w:id="32"/>
    <w:bookmarkStart w:id="33" w:name="Xa81070a8748fd23f819b02e59d00d7fe53c0760"/>
    <w:p>
      <w:pPr>
        <w:pStyle w:val="Heading3"/>
      </w:pPr>
      <w:r>
        <w:t xml:space="preserve">2.16 </w:t>
      </w:r>
      <w:r>
        <w:rPr>
          <w:rFonts w:hint="eastAsia"/>
        </w:rPr>
        <w:t xml:space="preserve">全局导出弹框规则</w:t>
      </w:r>
    </w:p>
    <w:p>
      <w:pPr>
        <w:pStyle w:val="FirstParagraph"/>
      </w:pPr>
      <w:r>
        <w:rPr>
          <w:rFonts w:hint="eastAsia"/>
          <w:b/>
          <w:bCs/>
        </w:rPr>
        <w:t xml:space="preserve">归属模块</w:t>
      </w:r>
      <w:r>
        <w:br/>
      </w:r>
      <w:r>
        <w:rPr>
          <w:rFonts w:hint="eastAsia"/>
        </w:rPr>
        <w:t xml:space="preserve">O&amp;M-全局导出</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全局导出弹框应完整展示当前页面可导出字段，默认全选，支持按需勾选、全选、一键清空，并实时显示“可导出行数/已选字段数/是否含敏感字段”等信息。</w:t>
      </w:r>
      <w:r>
        <w:br/>
      </w:r>
      <w:r>
        <w:rPr>
          <w:rFonts w:hint="eastAsia"/>
        </w:rPr>
        <w:t xml:space="preserve">导出文件必须遵循页面当前展示口径（筛选条件、排序条件、字段集合），并记录导出任务日志（导出人、导出时间、导出范围、导出字段、任务结果），满足审计要求。</w:t>
      </w:r>
    </w:p>
    <w:p>
      <w:r>
        <w:pict>
          <v:rect style="width:0;height:1.5pt" o:hralign="center" o:hrstd="t" o:hr="t"/>
        </w:pict>
      </w:r>
    </w:p>
    <w:bookmarkEnd w:id="33"/>
    <w:bookmarkEnd w:id="34"/>
    <w:bookmarkStart w:id="36" w:name="X86f02321697613968111425f23744554a5143d6"/>
    <w:p>
      <w:pPr>
        <w:pStyle w:val="Heading2"/>
      </w:pPr>
      <w:r>
        <w:t xml:space="preserve">3. </w:t>
      </w:r>
      <w:r>
        <w:rPr>
          <w:rFonts w:hint="eastAsia"/>
        </w:rPr>
        <w:t xml:space="preserve">门户系统</w:t>
      </w:r>
    </w:p>
    <w:bookmarkStart w:id="35" w:name="Xadb3ef67243b6969d3e5a86ffd6346697bc20a2"/>
    <w:p>
      <w:pPr>
        <w:pStyle w:val="Heading3"/>
      </w:pPr>
      <w:r>
        <w:t xml:space="preserve">3.1 </w:t>
      </w:r>
      <w:r>
        <w:rPr>
          <w:rFonts w:hint="eastAsia"/>
        </w:rPr>
        <w:t xml:space="preserve">全平台消息统一分发</w:t>
      </w:r>
    </w:p>
    <w:p>
      <w:pPr>
        <w:pStyle w:val="FirstParagraph"/>
      </w:pPr>
      <w:r>
        <w:rPr>
          <w:rFonts w:hint="eastAsia"/>
          <w:b/>
          <w:bCs/>
        </w:rPr>
        <w:t xml:space="preserve">归属模块</w:t>
      </w:r>
      <w:r>
        <w:br/>
      </w:r>
      <w:r>
        <w:rPr>
          <w:rFonts w:hint="eastAsia"/>
        </w:rPr>
        <w:t xml:space="preserve">门户-消息汇聚与分发</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全平台消息能力采用“业务系统接入</w:t>
      </w:r>
      <w:r>
        <w:t xml:space="preserve"> -&gt; </w:t>
      </w:r>
      <w:r>
        <w:rPr>
          <w:rFonts w:hint="eastAsia"/>
        </w:rPr>
        <w:t xml:space="preserve">门户汇聚</w:t>
      </w:r>
      <w:r>
        <w:t xml:space="preserve"> -&gt; </w:t>
      </w:r>
      <w:r>
        <w:rPr>
          <w:rFonts w:hint="eastAsia"/>
        </w:rPr>
        <w:t xml:space="preserve">门户统一分发至</w:t>
      </w:r>
      <w:r>
        <w:t xml:space="preserve"> </w:t>
      </w:r>
      <w:r>
        <w:rPr>
          <w:rFonts w:hint="eastAsia"/>
        </w:rPr>
        <w:t xml:space="preserve">APP”的总体架构。O&amp;M、PECMS</w:t>
      </w:r>
      <w:r>
        <w:t xml:space="preserve"> </w:t>
      </w:r>
      <w:r>
        <w:rPr>
          <w:rFonts w:hint="eastAsia"/>
        </w:rPr>
        <w:t xml:space="preserve">等系统统一按标准消息协议上送门户，门户负责标准化、路由分发、状态跟踪与失败重试。</w:t>
      </w:r>
      <w:r>
        <w:br/>
      </w:r>
      <w:r>
        <w:rPr>
          <w:rFonts w:hint="eastAsia"/>
        </w:rPr>
        <w:t xml:space="preserve">门户需提供统一消息模型、渠道策略、优先级规则、回执机制和补偿机制，确保跨系统消息在触达口径、展示样式、追踪能力上保持一致。</w:t>
      </w:r>
    </w:p>
    <w:p>
      <w:r>
        <w:pict>
          <v:rect style="width:0;height:1.5pt" o:hralign="center" o:hrstd="t" o:hr="t"/>
        </w:pict>
      </w:r>
    </w:p>
    <w:bookmarkEnd w:id="35"/>
    <w:bookmarkEnd w:id="36"/>
    <w:bookmarkStart w:id="38" w:name="X82bd8f22908a4b03442843f414529c3c941d10a"/>
    <w:p>
      <w:pPr>
        <w:pStyle w:val="Heading2"/>
      </w:pPr>
      <w:r>
        <w:t xml:space="preserve">4. </w:t>
      </w:r>
      <w:r>
        <w:rPr>
          <w:rFonts w:hint="eastAsia"/>
        </w:rPr>
        <w:t xml:space="preserve">OA/泛微系统</w:t>
      </w:r>
    </w:p>
    <w:bookmarkStart w:id="37" w:name="Xc8e68913067a43b1aa23344798135bf4561dfcf"/>
    <w:p>
      <w:pPr>
        <w:pStyle w:val="Heading3"/>
      </w:pPr>
      <w:r>
        <w:t xml:space="preserve">4.1 </w:t>
      </w:r>
      <w:r>
        <w:rPr>
          <w:rFonts w:hint="eastAsia"/>
        </w:rPr>
        <w:t xml:space="preserve">对接前置条件与实施边界</w:t>
      </w:r>
    </w:p>
    <w:p>
      <w:pPr>
        <w:pStyle w:val="FirstParagraph"/>
      </w:pPr>
      <w:r>
        <w:rPr>
          <w:rFonts w:hint="eastAsia"/>
          <w:b/>
          <w:bCs/>
        </w:rPr>
        <w:t xml:space="preserve">归属模块</w:t>
      </w:r>
      <w:r>
        <w:br/>
      </w:r>
      <w:r>
        <w:rPr>
          <w:rFonts w:hint="eastAsia"/>
        </w:rPr>
        <w:t xml:space="preserve">OA/泛微-集成前置管理</w:t>
      </w:r>
    </w:p>
    <w:p>
      <w:pPr>
        <w:pStyle w:val="BodyText"/>
      </w:pPr>
      <w:r>
        <w:rPr>
          <w:rFonts w:hint="eastAsia"/>
          <w:b/>
          <w:bCs/>
        </w:rPr>
        <w:t xml:space="preserve">建议写入</w:t>
      </w:r>
      <w:r>
        <w:rPr>
          <w:b/>
          <w:bCs/>
        </w:rPr>
        <w:t xml:space="preserve"> SRS </w:t>
      </w:r>
      <w:r>
        <w:rPr>
          <w:rFonts w:hint="eastAsia"/>
          <w:b/>
          <w:bCs/>
        </w:rPr>
        <w:t xml:space="preserve">文案</w:t>
      </w:r>
      <w:r>
        <w:br/>
      </w:r>
      <w:r>
        <w:rPr>
          <w:rFonts w:hint="eastAsia"/>
        </w:rPr>
        <w:t xml:space="preserve">涉及</w:t>
      </w:r>
      <w:r>
        <w:t xml:space="preserve"> </w:t>
      </w:r>
      <w:r>
        <w:rPr>
          <w:rFonts w:hint="eastAsia"/>
        </w:rPr>
        <w:t xml:space="preserve">OA/泛微能力接入的需求（消息、出勤等）需设置实施前置条件：在开发联调前，由软件公司与泛微侧完成能力确认与边界澄清，明确可用接口、字段支持、调用频率、认证方式、回执机制、异常策略及职责分工。</w:t>
      </w:r>
      <w:r>
        <w:br/>
      </w:r>
      <w:r>
        <w:rPr>
          <w:rFonts w:hint="eastAsia"/>
        </w:rPr>
        <w:t xml:space="preserve">未完成前置确认的能力项不得进入联调与上线阶段。确认结果应形成书面接口基线，作为后续开发、测试、验收和运维的共同依据。</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2026-03-30T08:56:57Z</dcterms:created>
  <dcterms:modified xsi:type="dcterms:W3CDTF">2026-03-30T08:56:57Z</dcterms:modified>
</cp:coreProperties>
</file>

<file path=docProps/custom.xml><?xml version="1.0" encoding="utf-8"?>
<Properties xmlns="http://schemas.openxmlformats.org/officeDocument/2006/custom-properties" xmlns:vt="http://schemas.openxmlformats.org/officeDocument/2006/docPropsVTypes"/>
</file>