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3D213">
      <w:pPr>
        <w:jc w:val="center"/>
        <w:rPr>
          <w:rFonts w:hint="eastAsia"/>
          <w:b/>
          <w:bCs/>
          <w:sz w:val="40"/>
          <w:szCs w:val="48"/>
        </w:rPr>
      </w:pPr>
      <w:r>
        <w:t>2026年度信息部考核目标申报表</w:t>
      </w:r>
    </w:p>
    <w:p w14:paraId="40ABB569">
      <w:pPr>
        <w:jc w:val="center"/>
        <w:rPr>
          <w:rFonts w:hint="eastAsia"/>
          <w:b/>
          <w:bCs/>
          <w:sz w:val="40"/>
          <w:szCs w:val="48"/>
        </w:rPr>
      </w:pPr>
      <w:r>
        <w:t>填报部门：信息部</w:t>
      </w:r>
    </w:p>
    <w:p w14:paraId="47D1865D">
      <w:pPr>
        <w:jc w:val="both"/>
        <w:rPr>
          <w:rFonts w:hint="eastAsia" w:eastAsia="宋体"/>
          <w:sz w:val="22"/>
          <w:szCs w:val="28"/>
          <w:lang w:eastAsia="zh-CN"/>
        </w:rPr>
      </w:pPr>
      <w:bookmarkStart w:id="0" w:name="_GoBack"/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请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各部门负责人结合本部门核心职责，参照此模板填写2026年度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核心职责、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关键业绩指标、重点改进目标及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val="en-US" w:eastAsia="zh-CN"/>
        </w:rPr>
        <w:t>常规量化指标，并提供</w:t>
      </w:r>
      <w:r>
        <w:rPr>
          <w:rFonts w:ascii="宋体" w:hAnsi="宋体" w:eastAsia="宋体" w:cs="宋体"/>
          <w:b w:val="0"/>
          <w:i w:val="0"/>
          <w:spacing w:val="0"/>
          <w:sz w:val="28"/>
          <w:szCs w:val="28"/>
        </w:rPr>
        <w:t>目标分解方案</w:t>
      </w:r>
      <w:r>
        <w:rPr>
          <w:rFonts w:hint="eastAsia" w:ascii="宋体" w:hAnsi="宋体" w:eastAsia="宋体" w:cs="宋体"/>
          <w:b w:val="0"/>
          <w:i w:val="0"/>
          <w:spacing w:val="0"/>
          <w:sz w:val="28"/>
          <w:szCs w:val="28"/>
          <w:lang w:eastAsia="zh-CN"/>
        </w:rPr>
        <w:t>。</w:t>
      </w:r>
    </w:p>
    <w:bookmarkEnd w:id="0"/>
    <w:p w14:paraId="3E2BF8BA">
      <w:pPr>
        <w:numPr>
          <w:ilvl w:val="0"/>
          <w:numId w:val="1"/>
        </w:numPr>
        <w:jc w:val="both"/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</w:pPr>
      <w:r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  <w:t>核心职责：</w:t>
      </w:r>
    </w:p>
    <w:p w14:paraId="0348DC60">
      <w:pPr>
        <w:numPr>
          <w:ilvl w:val="0"/>
          <w:numId w:val="0"/>
        </w:numPr>
        <w:jc w:val="both"/>
        <w:rPr>
          <w:rFonts w:ascii="宋体" w:hAnsi="宋体" w:eastAsia="宋体" w:cs="宋体"/>
          <w:b/>
          <w:bCs w:val="0"/>
          <w:i w:val="0"/>
          <w:spacing w:val="0"/>
          <w:sz w:val="28"/>
          <w:szCs w:val="28"/>
        </w:rPr>
      </w:pPr>
      <w:r>
        <w:t>1. 统筹公司信息化规划和年度重点项目建设，负责信息系统选型、建设、优化与推广。</w:t>
      </w:r>
      <w:r>
        <w:br w:type="textWrapping"/>
      </w:r>
      <w:r>
        <w:t>2. 负责 PECMS、OA 等核心系统的日常运维、巡检、故障响应、用户支持和持续改进。</w:t>
      </w:r>
      <w:r>
        <w:br w:type="textWrapping"/>
      </w:r>
      <w:r>
        <w:t>3. 负责业务需求调研、合同条款复核、供应商协调、项目实施、交付验收及付款流程衔接。</w:t>
      </w:r>
      <w:r>
        <w:br w:type="textWrapping"/>
      </w:r>
      <w:r>
        <w:t>4. 负责数据备份恢复、权限管理、网络与信息安全防护，以及新模块上线培训和制度宣贯。</w:t>
      </w:r>
    </w:p>
    <w:p w14:paraId="28F9AF8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 w:val="0"/>
          <w:i w:val="0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szCs w:val="28"/>
        </w:rPr>
        <w:t>关键业绩指标（KPI）</w:t>
      </w:r>
    </w:p>
    <w:tbl>
      <w:tblPr>
        <w:tblStyle w:val="2"/>
        <w:tblW w:w="834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566"/>
        <w:gridCol w:w="1669"/>
        <w:gridCol w:w="2589"/>
        <w:gridCol w:w="1669"/>
      </w:tblGrid>
      <w:tr w14:paraId="1CCF1C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09E9A6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z w:val="24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2EFE7CB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KPI名称</w:t>
            </w:r>
          </w:p>
        </w:tc>
        <w:tc>
          <w:tcPr>
            <w:tcW w:w="0" w:type="auto"/>
            <w:vAlign w:val="center"/>
          </w:tcPr>
          <w:p w14:paraId="2319D97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指标定义</w:t>
            </w:r>
          </w:p>
        </w:tc>
        <w:tc>
          <w:tcPr>
            <w:tcW w:w="0" w:type="auto"/>
            <w:vAlign w:val="center"/>
          </w:tcPr>
          <w:p w14:paraId="10FC3BC2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2026年目标值</w:t>
            </w:r>
          </w:p>
        </w:tc>
        <w:tc>
          <w:tcPr>
            <w:tcW w:w="1669" w:type="dxa"/>
            <w:vAlign w:val="center"/>
          </w:tcPr>
          <w:p w14:paraId="36E559AF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pacing w:val="0"/>
                <w:sz w:val="24"/>
              </w:rPr>
              <w:t>设定依据</w:t>
            </w:r>
          </w:p>
        </w:tc>
      </w:tr>
      <w:tr w14:paraId="18CCBB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1A30EE">
            <w:r>
              <w:t>1</w:t>
            </w:r>
          </w:p>
        </w:tc>
        <w:tc>
          <w:tcPr>
            <w:tcW w:w="0" w:type="auto"/>
            <w:vAlign w:val="center"/>
          </w:tcPr>
          <w:p w14:paraId="60FF5828">
            <w:r>
              <w:t>关键系统稳定运行与响应达成率</w:t>
            </w:r>
          </w:p>
        </w:tc>
        <w:tc>
          <w:tcPr>
            <w:tcW w:w="0" w:type="auto"/>
            <w:vAlign w:val="center"/>
          </w:tcPr>
          <w:p w14:paraId="434352B9">
            <w:r>
              <w:t>围绕 PECMS、OA 等核心系统开展监控、巡检、故障处理和复盘，按工作时间 1 小时内、非工作时间 12 小时内响应。</w:t>
            </w:r>
          </w:p>
        </w:tc>
        <w:tc>
          <w:tcPr>
            <w:tcW w:w="0" w:type="auto"/>
            <w:vAlign w:val="center"/>
          </w:tcPr>
          <w:p w14:paraId="1078B92B">
            <w:r>
              <w:t>核心系统全年可用率≥99.5%；故障响应达标率100%；一般故障24小时内闭环率≥95%；相关扣分0次。</w:t>
            </w:r>
          </w:p>
        </w:tc>
        <w:tc>
          <w:tcPr>
            <w:tcW w:w="1669" w:type="dxa"/>
            <w:vAlign w:val="center"/>
          </w:tcPr>
          <w:p w14:paraId="51DFD947">
            <w:r>
              <w:t>对应“信息系统故障未及时响应”扣分项，保障经营审批和业务处理连续性。</w:t>
            </w:r>
          </w:p>
        </w:tc>
      </w:tr>
      <w:tr w14:paraId="422F47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DD35B8">
            <w:r>
              <w:t>2</w:t>
            </w:r>
          </w:p>
        </w:tc>
        <w:tc>
          <w:tcPr>
            <w:tcW w:w="0" w:type="auto"/>
            <w:vAlign w:val="center"/>
          </w:tcPr>
          <w:p w14:paraId="230AEEA9">
            <w:r>
              <w:t>信息化项目交付与需求一致性达成率</w:t>
            </w:r>
          </w:p>
        </w:tc>
        <w:tc>
          <w:tcPr>
            <w:tcW w:w="0" w:type="auto"/>
            <w:vAlign w:val="center"/>
          </w:tcPr>
          <w:p w14:paraId="2B96EA5D">
            <w:r>
              <w:t>对需求确认、合同条款、开发实施、交付验收、付款申请实行全过程管理，确保需求、合同、交付物一致，项目按计划推进。</w:t>
            </w:r>
          </w:p>
        </w:tc>
        <w:tc>
          <w:tcPr>
            <w:tcW w:w="0" w:type="auto"/>
            <w:vAlign w:val="center"/>
          </w:tcPr>
          <w:p w14:paraId="5DF0910C">
            <w:r>
              <w:t>需求评审及书面确认覆盖率100%；关键里程碑按期完成率≥95%；交付验收一次通过率≥90%；因合同歧义、交付偏差、延期或付款流程不规范导致严重后果0起。</w:t>
            </w:r>
          </w:p>
        </w:tc>
        <w:tc>
          <w:tcPr>
            <w:tcW w:w="1669" w:type="dxa"/>
            <w:vAlign w:val="center"/>
          </w:tcPr>
          <w:p w14:paraId="70F8F381">
            <w:r>
              <w:t>对应合同冲突、未按期开发、交付不一致、付款申请不规范等扣分项。</w:t>
            </w:r>
          </w:p>
        </w:tc>
      </w:tr>
      <w:tr w14:paraId="37456C6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0" w:type="dxa"/>
            <w:vAlign w:val="center"/>
          </w:tcPr>
          <w:p w14:paraId="1CBBE28E">
            <w:r>
              <w:t>3</w:t>
            </w:r>
          </w:p>
        </w:tc>
        <w:tc>
          <w:tcPr>
            <w:tcW w:w="1566" w:type="dxa"/>
            <w:vAlign w:val="center"/>
          </w:tcPr>
          <w:p w14:paraId="4F300369">
            <w:r>
              <w:t>数据与网络安全保障达成率</w:t>
            </w:r>
          </w:p>
        </w:tc>
        <w:tc>
          <w:tcPr>
            <w:tcW w:w="1669" w:type="dxa"/>
            <w:vAlign w:val="center"/>
          </w:tcPr>
          <w:p w14:paraId="761706FC">
            <w:r>
              <w:t>建立数据备份、权限管理、漏洞修复、日志审计和安全事件处置机制，防范数据丢失、攻击入侵和重大安全事故。</w:t>
            </w:r>
          </w:p>
        </w:tc>
        <w:tc>
          <w:tcPr>
            <w:tcW w:w="2589" w:type="dxa"/>
            <w:vAlign w:val="center"/>
          </w:tcPr>
          <w:p w14:paraId="480DFDF8">
            <w:r>
              <w:t>核心数据备份成功率100%；高危漏洞整改及时率100%；重大数据丢失事件0起；网络安全事故0起。</w:t>
            </w:r>
          </w:p>
        </w:tc>
        <w:tc>
          <w:tcPr>
            <w:tcW w:w="1669" w:type="dxa"/>
            <w:vAlign w:val="center"/>
          </w:tcPr>
          <w:p w14:paraId="00BECBEE">
            <w:r>
              <w:t>对应“数据大面积丢失”“网络信息安全事故”扣分项，属于信息部底线指标。</w:t>
            </w:r>
          </w:p>
        </w:tc>
      </w:tr>
    </w:tbl>
    <w:p w14:paraId="12F0161A">
      <w:pPr>
        <w:pageBreakBefore w:val="0"/>
        <w:wordWrap/>
        <w:spacing w:before="160" w:after="0"/>
        <w:ind w:left="0" w:right="0"/>
        <w:jc w:val="left"/>
        <w:textAlignment w:val="auto"/>
        <w:rPr>
          <w:b/>
          <w:bCs w:val="0"/>
          <w:sz w:val="28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  <w:t>三、</w:t>
      </w:r>
      <w:r>
        <w:rPr>
          <w:rFonts w:ascii="宋体" w:hAnsi="宋体" w:eastAsia="宋体" w:cs="宋体"/>
          <w:b/>
          <w:bCs w:val="0"/>
          <w:i w:val="0"/>
          <w:spacing w:val="0"/>
          <w:sz w:val="28"/>
        </w:rPr>
        <w:t>重点改进目标</w:t>
      </w:r>
    </w:p>
    <w:tbl>
      <w:tblPr>
        <w:tblStyle w:val="2"/>
        <w:tblW w:w="85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243"/>
        <w:gridCol w:w="3146"/>
        <w:gridCol w:w="2547"/>
        <w:gridCol w:w="910"/>
      </w:tblGrid>
      <w:tr w14:paraId="618B87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vAlign w:val="center"/>
          </w:tcPr>
          <w:p w14:paraId="039FCD9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序号</w:t>
            </w:r>
          </w:p>
        </w:tc>
        <w:tc>
          <w:tcPr>
            <w:tcW w:w="1243" w:type="dxa"/>
            <w:vAlign w:val="center"/>
          </w:tcPr>
          <w:p w14:paraId="4787F5DB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短板事项</w:t>
            </w:r>
          </w:p>
        </w:tc>
        <w:tc>
          <w:tcPr>
            <w:tcW w:w="3146" w:type="dxa"/>
            <w:vAlign w:val="center"/>
          </w:tcPr>
          <w:p w14:paraId="5DFA30F4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提升目标</w:t>
            </w:r>
          </w:p>
        </w:tc>
        <w:tc>
          <w:tcPr>
            <w:tcW w:w="2547" w:type="dxa"/>
            <w:vAlign w:val="center"/>
          </w:tcPr>
          <w:p w14:paraId="3B3CBCA8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主要举措</w:t>
            </w:r>
          </w:p>
        </w:tc>
        <w:tc>
          <w:tcPr>
            <w:tcW w:w="910" w:type="dxa"/>
            <w:vAlign w:val="center"/>
          </w:tcPr>
          <w:p w14:paraId="0553FDBC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责任人</w:t>
            </w:r>
          </w:p>
        </w:tc>
      </w:tr>
      <w:tr w14:paraId="786E878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41ACC114">
            <w:r>
              <w:t>1</w:t>
            </w:r>
          </w:p>
        </w:tc>
        <w:tc>
          <w:tcPr>
            <w:tcW w:w="1243" w:type="dxa"/>
            <w:vAlign w:val="center"/>
          </w:tcPr>
          <w:p w14:paraId="10D13D3D">
            <w:r>
              <w:t>需求、合同、交付、验收之间衔接不够标准化，容易产生理解偏差和变更争议。</w:t>
            </w:r>
          </w:p>
        </w:tc>
        <w:tc>
          <w:tcPr>
            <w:tcW w:w="3146" w:type="dxa"/>
            <w:vAlign w:val="center"/>
          </w:tcPr>
          <w:p w14:paraId="5945FFAA">
            <w:r>
              <w:t>建立“需求-合同-开发-验收-付款”闭环管理机制，关键节点书面留痕率100%，降低返工和履约风险。</w:t>
            </w:r>
          </w:p>
        </w:tc>
        <w:tc>
          <w:tcPr>
            <w:tcW w:w="2547" w:type="dxa"/>
            <w:vAlign w:val="center"/>
          </w:tcPr>
          <w:p w14:paraId="541B0B1B">
            <w:r>
              <w:t>统一需求模板和评审清单；项目启动前完成需求/合同一致性复核；重大变更实行书面确认；建立周跟踪、月复盘台账。</w:t>
            </w:r>
          </w:p>
        </w:tc>
        <w:tc>
          <w:tcPr>
            <w:tcW w:w="910" w:type="dxa"/>
            <w:vAlign w:val="center"/>
          </w:tcPr>
          <w:p w14:paraId="3E5429F3">
            <w:r>
              <w:t>信息部负责人、项目经理</w:t>
            </w:r>
          </w:p>
        </w:tc>
      </w:tr>
      <w:tr w14:paraId="08575F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1F28155F">
            <w:r>
              <w:t>2</w:t>
            </w:r>
          </w:p>
        </w:tc>
        <w:tc>
          <w:tcPr>
            <w:tcW w:w="1243" w:type="dxa"/>
            <w:vAlign w:val="center"/>
          </w:tcPr>
          <w:p w14:paraId="0EADAC55">
            <w:r>
              <w:t>运维预警、故障分级响应和新模块上线培训机制仍需加强。</w:t>
            </w:r>
          </w:p>
        </w:tc>
        <w:tc>
          <w:tcPr>
            <w:tcW w:w="3146" w:type="dxa"/>
            <w:vAlign w:val="center"/>
          </w:tcPr>
          <w:p w14:paraId="37066F6A">
            <w:r>
              <w:t>形成标准化运维值守与培训机制，新模块试运行后2周内培训完成率100%，故障处置前移到预警阶段。</w:t>
            </w:r>
          </w:p>
        </w:tc>
        <w:tc>
          <w:tcPr>
            <w:tcW w:w="2547" w:type="dxa"/>
            <w:vAlign w:val="center"/>
          </w:tcPr>
          <w:p w14:paraId="4E86F645">
            <w:r>
              <w:t>完善监控告警和应急预案；建立值班升级机制；统一培训课件、签到和答疑记录；每季度开展一次应急演练或专题复盘。</w:t>
            </w:r>
          </w:p>
        </w:tc>
        <w:tc>
          <w:tcPr>
            <w:tcW w:w="910" w:type="dxa"/>
            <w:vAlign w:val="center"/>
          </w:tcPr>
          <w:p w14:paraId="77978B39">
            <w:r>
              <w:t>运维主管、系统管理员</w:t>
            </w:r>
          </w:p>
        </w:tc>
      </w:tr>
    </w:tbl>
    <w:p w14:paraId="5208760B">
      <w:pPr>
        <w:pageBreakBefore w:val="0"/>
        <w:numPr>
          <w:ilvl w:val="0"/>
          <w:numId w:val="0"/>
        </w:numPr>
        <w:wordWrap/>
        <w:spacing w:before="160"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spacing w:val="0"/>
          <w:kern w:val="2"/>
          <w:sz w:val="28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 w:val="0"/>
          <w:i w:val="0"/>
          <w:spacing w:val="0"/>
          <w:sz w:val="28"/>
          <w:lang w:val="en-US" w:eastAsia="zh-CN"/>
        </w:rPr>
        <w:t>常规量化指标</w:t>
      </w:r>
    </w:p>
    <w:tbl>
      <w:tblPr>
        <w:tblStyle w:val="2"/>
        <w:tblW w:w="851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0"/>
        <w:gridCol w:w="1243"/>
        <w:gridCol w:w="3146"/>
        <w:gridCol w:w="2547"/>
        <w:gridCol w:w="910"/>
      </w:tblGrid>
      <w:tr w14:paraId="228C4C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70" w:type="dxa"/>
            <w:vAlign w:val="center"/>
          </w:tcPr>
          <w:p w14:paraId="79482F45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序号</w:t>
            </w:r>
          </w:p>
        </w:tc>
        <w:tc>
          <w:tcPr>
            <w:tcW w:w="1243" w:type="dxa"/>
            <w:vAlign w:val="center"/>
          </w:tcPr>
          <w:p w14:paraId="32C658D1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事项</w:t>
            </w:r>
          </w:p>
        </w:tc>
        <w:tc>
          <w:tcPr>
            <w:tcW w:w="3146" w:type="dxa"/>
            <w:vAlign w:val="center"/>
          </w:tcPr>
          <w:p w14:paraId="25649BB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2026年目标值</w:t>
            </w:r>
          </w:p>
        </w:tc>
        <w:tc>
          <w:tcPr>
            <w:tcW w:w="2547" w:type="dxa"/>
            <w:vAlign w:val="center"/>
          </w:tcPr>
          <w:p w14:paraId="058CF88A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24"/>
                <w:lang w:val="en-US" w:eastAsia="zh-CN"/>
              </w:rPr>
              <w:t>上年历史数据</w:t>
            </w:r>
          </w:p>
        </w:tc>
        <w:tc>
          <w:tcPr>
            <w:tcW w:w="910" w:type="dxa"/>
            <w:vAlign w:val="center"/>
          </w:tcPr>
          <w:p w14:paraId="5926F2E7">
            <w:pPr>
              <w:pageBreakBefore w:val="0"/>
              <w:wordWrap/>
              <w:snapToGrid w:val="0"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 w:val="0"/>
                <w:bCs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spacing w:val="0"/>
                <w:sz w:val="24"/>
              </w:rPr>
              <w:t>责任人</w:t>
            </w:r>
          </w:p>
        </w:tc>
      </w:tr>
      <w:tr w14:paraId="474DBC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3024B01B">
            <w:r>
              <w:t>1</w:t>
            </w:r>
          </w:p>
        </w:tc>
        <w:tc>
          <w:tcPr>
            <w:tcW w:w="1243" w:type="dxa"/>
            <w:vAlign w:val="center"/>
          </w:tcPr>
          <w:p w14:paraId="0E1D86CD">
            <w:r>
              <w:t>关键系统月度巡检与备份执行率</w:t>
            </w:r>
          </w:p>
        </w:tc>
        <w:tc>
          <w:tcPr>
            <w:tcW w:w="3146" w:type="dxa"/>
            <w:vAlign w:val="center"/>
          </w:tcPr>
          <w:p w14:paraId="36EF79D7">
            <w:r>
              <w:t>100%（每月完成巡检、备份核验及台账更新）</w:t>
            </w:r>
          </w:p>
        </w:tc>
        <w:tc>
          <w:tcPr>
            <w:tcW w:w="2547" w:type="dxa"/>
            <w:vAlign w:val="center"/>
          </w:tcPr>
          <w:p w14:paraId="25B006A7">
            <w:r>
              <w:t>2025年已开展，但未统一纳入台账考核</w:t>
            </w:r>
          </w:p>
        </w:tc>
        <w:tc>
          <w:tcPr>
            <w:tcW w:w="910" w:type="dxa"/>
            <w:vAlign w:val="center"/>
          </w:tcPr>
          <w:p w14:paraId="7BFF600A">
            <w:r>
              <w:t>运维主管</w:t>
            </w:r>
          </w:p>
        </w:tc>
      </w:tr>
      <w:tr w14:paraId="29A670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70" w:type="dxa"/>
            <w:vAlign w:val="center"/>
          </w:tcPr>
          <w:p w14:paraId="4FC4D5DC">
            <w:r>
              <w:t>2</w:t>
            </w:r>
          </w:p>
        </w:tc>
        <w:tc>
          <w:tcPr>
            <w:tcW w:w="1243" w:type="dxa"/>
            <w:vAlign w:val="center"/>
          </w:tcPr>
          <w:p w14:paraId="1889EE70">
            <w:r>
              <w:t>新上线模块两周内培训完成率</w:t>
            </w:r>
          </w:p>
        </w:tc>
        <w:tc>
          <w:tcPr>
            <w:tcW w:w="3146" w:type="dxa"/>
            <w:vAlign w:val="center"/>
          </w:tcPr>
          <w:p w14:paraId="2292C586">
            <w:r>
              <w:t>100%（试运行后2周内完成培训并留存签到/纪要）</w:t>
            </w:r>
          </w:p>
        </w:tc>
        <w:tc>
          <w:tcPr>
            <w:tcW w:w="2547" w:type="dxa"/>
            <w:vAlign w:val="center"/>
          </w:tcPr>
          <w:p w14:paraId="7FB3EDEF">
            <w:r>
              <w:t>2025年培训有开展，但完成时限和记录留痕不够统一</w:t>
            </w:r>
          </w:p>
        </w:tc>
        <w:tc>
          <w:tcPr>
            <w:tcW w:w="910" w:type="dxa"/>
            <w:vAlign w:val="center"/>
          </w:tcPr>
          <w:p w14:paraId="2F121F1C">
            <w:r>
              <w:t>项目负责人、系统管理员</w:t>
            </w:r>
          </w:p>
        </w:tc>
      </w:tr>
    </w:tbl>
    <w:p w14:paraId="61FC7CDA">
      <w:pPr>
        <w:pageBreakBefore w:val="0"/>
        <w:numPr>
          <w:ilvl w:val="0"/>
          <w:numId w:val="2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目标分解方案</w:t>
      </w:r>
    </w:p>
    <w:p w14:paraId="76253713">
      <w:r>
        <w:t>1. 部门负责人：对 3 项部门 KPI 承担总责，年度权重 100%。</w:t>
      </w:r>
      <w:r>
        <w:br w:type="textWrapping"/>
      </w:r>
      <w:r>
        <w:t>2. 项目管理/开发岗位：重点承接“信息化项目交付与需求一致性达成率”，建议权重 35%-40%。</w:t>
      </w:r>
      <w:r>
        <w:br w:type="textWrapping"/>
      </w:r>
      <w:r>
        <w:t>3. 运维与安全岗位：重点承接“关键系统稳定运行与响应达成率”“数据与网络安全保障达成率”以及巡检备份指标，建议权重 40%-45%。</w:t>
      </w:r>
      <w:r>
        <w:br w:type="textWrapping"/>
      </w:r>
      <w:r>
        <w:t>4. 系统管理员及业务支持岗位：重点承接培训完成率、资料留痕和用户支持指标，建议权重 20%-25%。</w:t>
      </w:r>
    </w:p>
    <w:p w14:paraId="5FCB4BB2">
      <w:r>
        <w:t>个人指标示例：项目经理重点考核需求评审覆盖率、里程碑按期率、验收一次通过率；运维人员重点考核响应时效、故障闭环率、备份成功率、漏洞整改及时率；系统管理员重点考核培训及时率、文档更新率和问题处理及时率。</w:t>
      </w:r>
    </w:p>
    <w:p w14:paraId="585387A0">
      <w:pPr>
        <w:pageBreakBefore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Tips</w:t>
      </w:r>
    </w:p>
    <w:p w14:paraId="20F2C756">
      <w:pPr>
        <w:jc w:val="both"/>
        <w:rPr>
          <w:rFonts w:hint="eastAsia"/>
        </w:rPr>
      </w:pPr>
      <w:r>
        <w:rPr>
          <w:rFonts w:hint="eastAsia"/>
        </w:rPr>
        <w:t>目标分解与员工绩效关联说明</w:t>
      </w:r>
    </w:p>
    <w:p w14:paraId="3BBE1633">
      <w:pPr>
        <w:jc w:val="both"/>
        <w:rPr>
          <w:rFonts w:hint="eastAsia"/>
        </w:rPr>
      </w:pPr>
      <w:r>
        <w:rPr>
          <w:rFonts w:hint="eastAsia"/>
        </w:rPr>
        <w:t>分解原则</w:t>
      </w:r>
    </w:p>
    <w:p w14:paraId="1DBD6F8E">
      <w:pPr>
        <w:jc w:val="both"/>
        <w:rPr>
          <w:rFonts w:hint="eastAsia"/>
        </w:rPr>
      </w:pPr>
      <w:r>
        <w:rPr>
          <w:rFonts w:hint="eastAsia"/>
        </w:rPr>
        <w:t>1.层级分解：部门KPI→</w:t>
      </w:r>
      <w:r>
        <w:rPr>
          <w:rFonts w:hint="eastAsia"/>
          <w:lang w:val="en-US" w:eastAsia="zh-CN"/>
        </w:rPr>
        <w:t>条线</w:t>
      </w:r>
      <w:r>
        <w:rPr>
          <w:rFonts w:hint="eastAsia"/>
        </w:rPr>
        <w:t>KPI→个人KPI，形成目标责任链条</w:t>
      </w:r>
    </w:p>
    <w:p w14:paraId="2C0920F7">
      <w:pPr>
        <w:jc w:val="both"/>
        <w:rPr>
          <w:rFonts w:hint="eastAsia"/>
        </w:rPr>
      </w:pPr>
      <w:r>
        <w:rPr>
          <w:rFonts w:hint="eastAsia"/>
        </w:rPr>
        <w:t>2.权重分配：根据岗位职责相关性，合理分配KPI权重</w:t>
      </w:r>
    </w:p>
    <w:p w14:paraId="24370CA2">
      <w:pPr>
        <w:jc w:val="both"/>
        <w:rPr>
          <w:rFonts w:hint="eastAsia"/>
        </w:rPr>
      </w:pPr>
      <w:r>
        <w:rPr>
          <w:rFonts w:hint="eastAsia"/>
        </w:rPr>
        <w:t>3.责任到人：每个KPI指标明确主要责任人和配合责任人</w:t>
      </w:r>
    </w:p>
    <w:p w14:paraId="611A342F">
      <w:pPr>
        <w:jc w:val="both"/>
        <w:rPr>
          <w:rFonts w:hint="eastAsia"/>
        </w:rPr>
      </w:pPr>
      <w:r>
        <w:rPr>
          <w:rFonts w:hint="eastAsia"/>
        </w:rPr>
        <w:t>具体实施</w:t>
      </w:r>
    </w:p>
    <w:p w14:paraId="004A47AE">
      <w:pPr>
        <w:jc w:val="both"/>
        <w:rPr>
          <w:rFonts w:hint="eastAsia"/>
        </w:rPr>
      </w:pPr>
      <w:r>
        <w:rPr>
          <w:rFonts w:hint="eastAsia"/>
        </w:rPr>
        <w:t>•部门负责人承担部门整体目标责任，权重100%</w:t>
      </w:r>
    </w:p>
    <w:p w14:paraId="1391BA90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>条线</w:t>
      </w:r>
      <w:r>
        <w:rPr>
          <w:rFonts w:hint="eastAsia"/>
        </w:rPr>
        <w:t>负责人承担相关KPI指标，权重60-80%</w:t>
      </w:r>
    </w:p>
    <w:p w14:paraId="7B8211DE">
      <w:pPr>
        <w:jc w:val="both"/>
        <w:rPr>
          <w:rFonts w:hint="eastAsia"/>
        </w:rPr>
      </w:pPr>
      <w:r>
        <w:rPr>
          <w:rFonts w:hint="eastAsia"/>
        </w:rPr>
        <w:t>•一般员工承担具体执行指标，权重30-50%</w:t>
      </w:r>
    </w:p>
    <w:p w14:paraId="5C8DD5FB">
      <w:pPr>
        <w:jc w:val="both"/>
        <w:rPr>
          <w:rFonts w:hint="eastAsia"/>
        </w:rPr>
      </w:pPr>
      <w:r>
        <w:rPr>
          <w:rFonts w:hint="eastAsia"/>
        </w:rPr>
        <w:t>•跨部门协作指标，按贡献度分配权重</w:t>
      </w: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293C1"/>
    <w:multiLevelType w:val="singleLevel"/>
    <w:tmpl w:val="A05293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7BC80B"/>
    <w:multiLevelType w:val="singleLevel"/>
    <w:tmpl w:val="437BC80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44588"/>
    <w:rsid w:val="02A16C6D"/>
    <w:rsid w:val="13C94031"/>
    <w:rsid w:val="15EE4223"/>
    <w:rsid w:val="27E25932"/>
    <w:rsid w:val="2D380865"/>
    <w:rsid w:val="3D380C0A"/>
    <w:rsid w:val="3D420749"/>
    <w:rsid w:val="42C45840"/>
    <w:rsid w:val="4DD44588"/>
    <w:rsid w:val="4EDD6607"/>
    <w:rsid w:val="55033B7D"/>
    <w:rsid w:val="56E32A4A"/>
    <w:rsid w:val="56F7402B"/>
    <w:rsid w:val="64DD4813"/>
    <w:rsid w:val="68AE5A18"/>
    <w:rsid w:val="706C6A24"/>
    <w:rsid w:val="7938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1606</Words>
  <Characters>1742</Characters>
  <Lines>0</Lines>
  <Paragraphs>0</Paragraphs>
  <TotalTime>7</TotalTime>
  <ScaleCrop>false</ScaleCrop>
  <LinksUpToDate>false</LinksUpToDate>
  <CharactersWithSpaces>1766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2026-04-17T09:02:00Z</dcterms:created>
  <dc:creator>南漪</dc:creator>
  <cp:lastModifiedBy>不要说话</cp:lastModifiedBy>
  <cp:lastPrinted>2026-04-17T09:17:00Z</cp:lastPrinted>
  <dcterms:modified xsi:type="dcterms:W3CDTF">2026-04-24T00:48:34Z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A655C7BC97834459955ED294593182EE_13</vt:lpwstr>
  </property>
  <property fmtid="{D5CDD505-2E9C-101B-9397-08002B2CF9AE}" pid="4" name="KSOTemplateDocerSaveRecord">
    <vt:lpwstr>eyJoZGlkIjoiMjlmM2ExZTYwMDJiNjkxMjgwZmEyM2Y5Nzk3NDc5OGMiLCJ1c2VySWQiOiIyNDI2MzU0MTMifQ==</vt:lpwstr>
  </property>
</Properties>
</file>