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2"/>
        </w:rPr>
        <w:t>2026年度南京三方一体化数字信息平台优化提升项目供应商评审评分标准</w:t>
      </w:r>
    </w:p>
    <w:p>
      <w:pPr>
        <w:spacing w:after="60"/>
        <w:ind w:firstLine="420"/>
      </w:pPr>
      <w:r>
        <w:rPr>
          <w:rFonts w:ascii="宋体" w:hAnsi="宋体" w:eastAsia="宋体"/>
          <w:sz w:val="21"/>
        </w:rPr>
        <w:t>为便于供应商准确理解2026年度南京三方一体化数字信息平台优化提升项目的评审要求，现将本项目资质评分标准、定制开发评分标准、驻场运维评分标准、统一报价评分标准及综合评分计算方式说明如下。</w:t>
      </w:r>
    </w:p>
    <w:p>
      <w:pPr>
        <w:spacing w:after="60"/>
        <w:ind w:firstLine="420"/>
      </w:pPr>
      <w:r>
        <w:rPr>
          <w:rFonts w:ascii="宋体" w:hAnsi="宋体" w:eastAsia="宋体"/>
          <w:sz w:val="21"/>
        </w:rPr>
        <w:t>本项目评审范围包括PECMS（对内+对外PC）模块优化改造、经营管理分析模块开发、APP端功能优化改造、安全管理模块优化改造。供应商应按采购文件要求提交资质证明材料、技术方案、驻场服务保障方案、商务响应文件及整包统一有效报价，作为本项目评审依据。</w:t>
      </w:r>
    </w:p>
    <w:p>
      <w:pPr>
        <w:spacing w:before="120" w:after="80"/>
      </w:pPr>
      <w:r>
        <w:rPr>
          <w:rFonts w:ascii="黑体" w:hAnsi="黑体" w:eastAsia="黑体"/>
          <w:b/>
          <w:sz w:val="26"/>
        </w:rPr>
        <w:t>一、资质评分标准</w:t>
      </w:r>
    </w:p>
    <w:p>
      <w:pPr>
        <w:spacing w:after="60"/>
        <w:ind w:firstLine="420"/>
      </w:pPr>
      <w:r>
        <w:rPr>
          <w:rFonts w:ascii="宋体" w:hAnsi="宋体" w:eastAsia="宋体"/>
          <w:sz w:val="21"/>
        </w:rPr>
        <w:t>本部分适用于对供应商企业基础能力、财务实力、同类项目业绩、企业信誉及基础资质等内容进行综合评分，满分100分。</w:t>
      </w:r>
    </w:p>
    <w:tbl>
      <w:tblPr>
        <w:tblStyle w:val="TableGrid"/>
        <w:tblW w:type="auto" w:w="0"/>
        <w:jc w:val="center"/>
        <w:tblLayout w:type="fixed"/>
        <w:tblLook w:firstColumn="1" w:firstRow="1" w:lastColumn="0" w:lastRow="0" w:noHBand="0" w:noVBand="1" w:val="04A0"/>
      </w:tblPr>
      <w:tblGrid>
        <w:gridCol w:w="2805"/>
        <w:gridCol w:w="2805"/>
        <w:gridCol w:w="2805"/>
        <w:gridCol w:w="2805"/>
        <w:gridCol w:w="2805"/>
      </w:tblGrid>
      <w:tr>
        <w:tc>
          <w:tcPr>
            <w:tcW w:type="dxa" w:w="1814"/>
            <w:vAlign w:val="center"/>
            <w:shd w:fill="D9EAF7"/>
          </w:tcPr>
          <w:p>
            <w:pPr>
              <w:jc w:val="center"/>
            </w:pPr>
            <w:r/>
            <w:r>
              <w:rPr>
                <w:rFonts w:ascii="黑体" w:hAnsi="黑体" w:eastAsia="黑体"/>
                <w:b/>
                <w:sz w:val="21"/>
              </w:rPr>
              <w:t>评审大项</w:t>
            </w:r>
          </w:p>
        </w:tc>
        <w:tc>
          <w:tcPr>
            <w:tcW w:type="dxa" w:w="2835"/>
            <w:vAlign w:val="center"/>
            <w:shd w:fill="D9EAF7"/>
          </w:tcPr>
          <w:p>
            <w:pPr>
              <w:jc w:val="center"/>
            </w:pPr>
            <w:r/>
            <w:r>
              <w:rPr>
                <w:rFonts w:ascii="黑体" w:hAnsi="黑体" w:eastAsia="黑体"/>
                <w:b/>
                <w:sz w:val="21"/>
              </w:rPr>
              <w:t>评审子项</w:t>
            </w:r>
          </w:p>
        </w:tc>
        <w:tc>
          <w:tcPr>
            <w:tcW w:type="dxa" w:w="850"/>
            <w:vAlign w:val="center"/>
            <w:shd w:fill="D9EAF7"/>
          </w:tcPr>
          <w:p>
            <w:pPr>
              <w:jc w:val="center"/>
            </w:pPr>
            <w:r/>
            <w:r>
              <w:rPr>
                <w:rFonts w:ascii="黑体" w:hAnsi="黑体" w:eastAsia="黑体"/>
                <w:b/>
                <w:sz w:val="21"/>
              </w:rPr>
              <w:t>分值</w:t>
            </w:r>
          </w:p>
        </w:tc>
        <w:tc>
          <w:tcPr>
            <w:tcW w:type="dxa" w:w="5783"/>
            <w:vAlign w:val="center"/>
            <w:shd w:fill="D9EAF7"/>
          </w:tcPr>
          <w:p>
            <w:pPr>
              <w:jc w:val="center"/>
            </w:pPr>
            <w:r/>
            <w:r>
              <w:rPr>
                <w:rFonts w:ascii="黑体" w:hAnsi="黑体" w:eastAsia="黑体"/>
                <w:b/>
                <w:sz w:val="21"/>
              </w:rPr>
              <w:t>评分标准</w:t>
            </w:r>
          </w:p>
        </w:tc>
        <w:tc>
          <w:tcPr>
            <w:tcW w:type="dxa" w:w="3969"/>
            <w:vAlign w:val="center"/>
            <w:shd w:fill="D9EAF7"/>
          </w:tcPr>
          <w:p>
            <w:pPr>
              <w:jc w:val="center"/>
            </w:pPr>
            <w:r/>
            <w:r>
              <w:rPr>
                <w:rFonts w:ascii="黑体" w:hAnsi="黑体" w:eastAsia="黑体"/>
                <w:b/>
                <w:sz w:val="21"/>
              </w:rPr>
              <w:t>评分依据/证明材料</w:t>
            </w:r>
          </w:p>
        </w:tc>
      </w:tr>
      <w:tr>
        <w:tc>
          <w:tcPr>
            <w:tcW w:type="dxa" w:w="1814"/>
            <w:vAlign w:val="center"/>
          </w:tcPr>
          <w:p>
            <w:pPr>
              <w:jc w:val="left"/>
            </w:pPr>
            <w:r/>
            <w:r>
              <w:rPr>
                <w:rFonts w:ascii="宋体" w:hAnsi="宋体" w:eastAsia="宋体"/>
                <w:b w:val="0"/>
                <w:sz w:val="21"/>
              </w:rPr>
              <w:t>企业规模与综合实力</w:t>
            </w:r>
          </w:p>
        </w:tc>
        <w:tc>
          <w:tcPr>
            <w:tcW w:type="dxa" w:w="2835"/>
            <w:vAlign w:val="center"/>
          </w:tcPr>
          <w:p>
            <w:pPr>
              <w:jc w:val="left"/>
            </w:pPr>
            <w:r/>
            <w:r>
              <w:rPr>
                <w:rFonts w:ascii="宋体" w:hAnsi="宋体" w:eastAsia="宋体"/>
                <w:b w:val="0"/>
                <w:sz w:val="21"/>
              </w:rPr>
              <w:t>企业规模与综合实力</w:t>
            </w:r>
          </w:p>
        </w:tc>
        <w:tc>
          <w:tcPr>
            <w:tcW w:type="dxa" w:w="850"/>
            <w:vAlign w:val="center"/>
          </w:tcPr>
          <w:p>
            <w:pPr>
              <w:jc w:val="center"/>
            </w:pPr>
            <w:r/>
            <w:r>
              <w:rPr>
                <w:rFonts w:ascii="宋体" w:hAnsi="宋体" w:eastAsia="宋体"/>
                <w:b w:val="0"/>
                <w:sz w:val="21"/>
              </w:rPr>
              <w:t>20</w:t>
            </w:r>
          </w:p>
        </w:tc>
        <w:tc>
          <w:tcPr>
            <w:tcW w:type="dxa" w:w="5783"/>
            <w:vAlign w:val="center"/>
          </w:tcPr>
          <w:p>
            <w:pPr>
              <w:jc w:val="left"/>
            </w:pPr>
            <w:r/>
            <w:r>
              <w:rPr>
                <w:rFonts w:ascii="宋体" w:hAnsi="宋体" w:eastAsia="宋体"/>
                <w:b w:val="0"/>
                <w:sz w:val="21"/>
              </w:rPr>
              <w:t>根据近三年平均人均资产额、人均利润水平、纳税规模及企业整体实力综合评定。指标表现优秀、企业规模及综合实力较强，得20分；表现较好，得15-19分；表现一般，得8-14分；较弱或未提供有效证明材料，得0-7分。</w:t>
            </w:r>
          </w:p>
        </w:tc>
        <w:tc>
          <w:tcPr>
            <w:tcW w:type="dxa" w:w="3969"/>
            <w:vAlign w:val="center"/>
          </w:tcPr>
          <w:p>
            <w:pPr>
              <w:jc w:val="left"/>
            </w:pPr>
            <w:r/>
            <w:r>
              <w:rPr>
                <w:rFonts w:ascii="宋体" w:hAnsi="宋体" w:eastAsia="宋体"/>
                <w:b w:val="0"/>
                <w:sz w:val="21"/>
              </w:rPr>
              <w:t>近三年审计报告、纳税证明、企业基本情况说明等。</w:t>
            </w:r>
          </w:p>
        </w:tc>
      </w:tr>
      <w:tr>
        <w:tc>
          <w:tcPr>
            <w:tcW w:type="dxa" w:w="1814"/>
            <w:vAlign w:val="center"/>
          </w:tcPr>
          <w:p>
            <w:pPr>
              <w:jc w:val="left"/>
            </w:pPr>
            <w:r/>
            <w:r>
              <w:rPr>
                <w:rFonts w:ascii="宋体" w:hAnsi="宋体" w:eastAsia="宋体"/>
                <w:b w:val="0"/>
                <w:sz w:val="21"/>
              </w:rPr>
              <w:t>财务状况</w:t>
            </w:r>
          </w:p>
        </w:tc>
        <w:tc>
          <w:tcPr>
            <w:tcW w:type="dxa" w:w="2835"/>
            <w:vAlign w:val="center"/>
          </w:tcPr>
          <w:p>
            <w:pPr>
              <w:jc w:val="left"/>
            </w:pPr>
            <w:r/>
            <w:r>
              <w:rPr>
                <w:rFonts w:ascii="宋体" w:hAnsi="宋体" w:eastAsia="宋体"/>
                <w:b w:val="0"/>
                <w:sz w:val="21"/>
              </w:rPr>
              <w:t>财务状况</w:t>
            </w:r>
          </w:p>
        </w:tc>
        <w:tc>
          <w:tcPr>
            <w:tcW w:type="dxa" w:w="850"/>
            <w:vAlign w:val="center"/>
          </w:tcPr>
          <w:p>
            <w:pPr>
              <w:jc w:val="center"/>
            </w:pPr>
            <w:r/>
            <w:r>
              <w:rPr>
                <w:rFonts w:ascii="宋体" w:hAnsi="宋体" w:eastAsia="宋体"/>
                <w:b w:val="0"/>
                <w:sz w:val="21"/>
              </w:rPr>
              <w:t>20</w:t>
            </w:r>
          </w:p>
        </w:tc>
        <w:tc>
          <w:tcPr>
            <w:tcW w:type="dxa" w:w="5783"/>
            <w:vAlign w:val="center"/>
          </w:tcPr>
          <w:p>
            <w:pPr>
              <w:jc w:val="left"/>
            </w:pPr>
            <w:r/>
            <w:r>
              <w:rPr>
                <w:rFonts w:ascii="宋体" w:hAnsi="宋体" w:eastAsia="宋体"/>
                <w:b w:val="0"/>
                <w:sz w:val="21"/>
              </w:rPr>
              <w:t>根据近三年平均净利率、主营业务收入、盈利稳定性和财务健康程度综合评定。财务状况良好、持续盈利能力强、资金实力稳定，得20分；财务状况较好，得15-19分；财务状况一般，得8-14分；较弱、出现连续亏损或未提供有效证明材料，得0-7分。</w:t>
            </w:r>
          </w:p>
        </w:tc>
        <w:tc>
          <w:tcPr>
            <w:tcW w:type="dxa" w:w="3969"/>
            <w:vAlign w:val="center"/>
          </w:tcPr>
          <w:p>
            <w:pPr>
              <w:jc w:val="left"/>
            </w:pPr>
            <w:r/>
            <w:r>
              <w:rPr>
                <w:rFonts w:ascii="宋体" w:hAnsi="宋体" w:eastAsia="宋体"/>
                <w:b w:val="0"/>
                <w:sz w:val="21"/>
              </w:rPr>
              <w:t>近三年审计报告、财务报表及相关财务情况说明等。</w:t>
            </w:r>
          </w:p>
        </w:tc>
      </w:tr>
      <w:tr>
        <w:tc>
          <w:tcPr>
            <w:tcW w:type="dxa" w:w="1814"/>
            <w:vAlign w:val="center"/>
          </w:tcPr>
          <w:p>
            <w:pPr>
              <w:jc w:val="left"/>
            </w:pPr>
            <w:r/>
            <w:r>
              <w:rPr>
                <w:rFonts w:ascii="宋体" w:hAnsi="宋体" w:eastAsia="宋体"/>
                <w:b w:val="0"/>
                <w:sz w:val="21"/>
              </w:rPr>
              <w:t>同类项目业绩</w:t>
            </w:r>
          </w:p>
        </w:tc>
        <w:tc>
          <w:tcPr>
            <w:tcW w:type="dxa" w:w="2835"/>
            <w:vAlign w:val="center"/>
          </w:tcPr>
          <w:p>
            <w:pPr>
              <w:jc w:val="left"/>
            </w:pPr>
            <w:r/>
            <w:r>
              <w:rPr>
                <w:rFonts w:ascii="宋体" w:hAnsi="宋体" w:eastAsia="宋体"/>
                <w:b w:val="0"/>
                <w:sz w:val="21"/>
              </w:rPr>
              <w:t>同类项目业绩</w:t>
            </w:r>
          </w:p>
        </w:tc>
        <w:tc>
          <w:tcPr>
            <w:tcW w:type="dxa" w:w="850"/>
            <w:vAlign w:val="center"/>
          </w:tcPr>
          <w:p>
            <w:pPr>
              <w:jc w:val="center"/>
            </w:pPr>
            <w:r/>
            <w:r>
              <w:rPr>
                <w:rFonts w:ascii="宋体" w:hAnsi="宋体" w:eastAsia="宋体"/>
                <w:b w:val="0"/>
                <w:sz w:val="21"/>
              </w:rPr>
              <w:t>25</w:t>
            </w:r>
          </w:p>
        </w:tc>
        <w:tc>
          <w:tcPr>
            <w:tcW w:type="dxa" w:w="5783"/>
            <w:vAlign w:val="center"/>
          </w:tcPr>
          <w:p>
            <w:pPr>
              <w:jc w:val="left"/>
            </w:pPr>
            <w:r/>
            <w:r>
              <w:rPr>
                <w:rFonts w:ascii="宋体" w:hAnsi="宋体" w:eastAsia="宋体"/>
                <w:b w:val="0"/>
                <w:sz w:val="21"/>
              </w:rPr>
              <w:t>以投标截止时间前三年内的同类项目合同为准，结合合同数量、合同金额、项目类型匹配度及验收情况综合评定。业绩数量充足、至少提供1份30万元及以上同类项目合同，且验收证明完整、相关性高，得20分；业绩较好，得15-19分；业绩一般，得8-14分；业绩较少、相关性较弱、金额不足或证明材料不完整，得0-7分。</w:t>
            </w:r>
          </w:p>
        </w:tc>
        <w:tc>
          <w:tcPr>
            <w:tcW w:type="dxa" w:w="3969"/>
            <w:vAlign w:val="center"/>
          </w:tcPr>
          <w:p>
            <w:pPr>
              <w:jc w:val="left"/>
            </w:pPr>
            <w:r/>
            <w:r>
              <w:rPr>
                <w:rFonts w:ascii="宋体" w:hAnsi="宋体" w:eastAsia="宋体"/>
                <w:b w:val="0"/>
                <w:sz w:val="21"/>
              </w:rPr>
              <w:t>同类项目合同关键页、验收证明、用户评价材料、项目成果说明、发票或回款证明等。</w:t>
            </w:r>
          </w:p>
        </w:tc>
      </w:tr>
      <w:tr>
        <w:tc>
          <w:tcPr>
            <w:tcW w:type="dxa" w:w="1814"/>
            <w:vAlign w:val="center"/>
          </w:tcPr>
          <w:p>
            <w:pPr>
              <w:jc w:val="left"/>
            </w:pPr>
            <w:r/>
            <w:r>
              <w:rPr>
                <w:rFonts w:ascii="宋体" w:hAnsi="宋体" w:eastAsia="宋体"/>
                <w:b w:val="0"/>
                <w:sz w:val="21"/>
              </w:rPr>
              <w:t>企业信誉与合规情况</w:t>
            </w:r>
          </w:p>
        </w:tc>
        <w:tc>
          <w:tcPr>
            <w:tcW w:type="dxa" w:w="2835"/>
            <w:vAlign w:val="center"/>
          </w:tcPr>
          <w:p>
            <w:pPr>
              <w:jc w:val="left"/>
            </w:pPr>
            <w:r/>
            <w:r>
              <w:rPr>
                <w:rFonts w:ascii="宋体" w:hAnsi="宋体" w:eastAsia="宋体"/>
                <w:b w:val="0"/>
                <w:sz w:val="21"/>
              </w:rPr>
              <w:t>企业信誉与合规情况</w:t>
            </w:r>
          </w:p>
        </w:tc>
        <w:tc>
          <w:tcPr>
            <w:tcW w:type="dxa" w:w="850"/>
            <w:vAlign w:val="center"/>
          </w:tcPr>
          <w:p>
            <w:pPr>
              <w:jc w:val="center"/>
            </w:pPr>
            <w:r/>
            <w:r>
              <w:rPr>
                <w:rFonts w:ascii="宋体" w:hAnsi="宋体" w:eastAsia="宋体"/>
                <w:b w:val="0"/>
                <w:sz w:val="21"/>
              </w:rPr>
              <w:t>25</w:t>
            </w:r>
          </w:p>
        </w:tc>
        <w:tc>
          <w:tcPr>
            <w:tcW w:type="dxa" w:w="5783"/>
            <w:vAlign w:val="center"/>
          </w:tcPr>
          <w:p>
            <w:pPr>
              <w:jc w:val="left"/>
            </w:pPr>
            <w:r/>
            <w:r>
              <w:rPr>
                <w:rFonts w:ascii="宋体" w:hAnsi="宋体" w:eastAsia="宋体"/>
                <w:b w:val="0"/>
                <w:sz w:val="21"/>
              </w:rPr>
              <w:t>近三年无重大违法失信、无重大质量安全事故、无严重违约情形，信用记录良好，响应材料真实、完整、可核验，得20分；存在轻微瑕疵但不影响实质履约能力，得15-19分；信用或合规支撑一般，得8-14分；存在严重失信、重大违法违规、严重违约或材料失实情形，得0-7分。</w:t>
            </w:r>
          </w:p>
        </w:tc>
        <w:tc>
          <w:tcPr>
            <w:tcW w:type="dxa" w:w="3969"/>
            <w:vAlign w:val="center"/>
          </w:tcPr>
          <w:p>
            <w:pPr>
              <w:jc w:val="left"/>
            </w:pPr>
            <w:r/>
            <w:r>
              <w:rPr>
                <w:rFonts w:ascii="宋体" w:hAnsi="宋体" w:eastAsia="宋体"/>
                <w:b w:val="0"/>
                <w:sz w:val="21"/>
              </w:rPr>
              <w:t>信用承诺函、信用查询结果、无重大违法记录声明、无重大质量安全事故声明、材料真实性承诺等。</w:t>
            </w:r>
          </w:p>
        </w:tc>
      </w:tr>
      <w:tr>
        <w:tc>
          <w:tcPr>
            <w:tcW w:type="dxa" w:w="1814"/>
            <w:vAlign w:val="center"/>
          </w:tcPr>
          <w:p>
            <w:pPr>
              <w:jc w:val="left"/>
            </w:pPr>
            <w:r/>
            <w:r>
              <w:rPr>
                <w:rFonts w:ascii="宋体" w:hAnsi="宋体" w:eastAsia="宋体"/>
                <w:b w:val="0"/>
                <w:sz w:val="21"/>
              </w:rPr>
              <w:t>基础资质、安全保密与专门条件响应</w:t>
            </w:r>
          </w:p>
        </w:tc>
        <w:tc>
          <w:tcPr>
            <w:tcW w:type="dxa" w:w="2835"/>
            <w:vAlign w:val="center"/>
          </w:tcPr>
          <w:p>
            <w:pPr>
              <w:jc w:val="left"/>
            </w:pPr>
            <w:r/>
            <w:r>
              <w:rPr>
                <w:rFonts w:ascii="宋体" w:hAnsi="宋体" w:eastAsia="宋体"/>
                <w:b w:val="0"/>
                <w:sz w:val="21"/>
              </w:rPr>
              <w:t>基础资质、安全保密与专门条件响应</w:t>
            </w:r>
          </w:p>
        </w:tc>
        <w:tc>
          <w:tcPr>
            <w:tcW w:type="dxa" w:w="850"/>
            <w:vAlign w:val="center"/>
          </w:tcPr>
          <w:p>
            <w:pPr>
              <w:jc w:val="center"/>
            </w:pPr>
            <w:r/>
            <w:r>
              <w:rPr>
                <w:rFonts w:ascii="宋体" w:hAnsi="宋体" w:eastAsia="宋体"/>
                <w:b w:val="0"/>
                <w:sz w:val="21"/>
              </w:rPr>
              <w:t>10</w:t>
            </w:r>
          </w:p>
        </w:tc>
        <w:tc>
          <w:tcPr>
            <w:tcW w:type="dxa" w:w="5783"/>
            <w:vAlign w:val="center"/>
          </w:tcPr>
          <w:p>
            <w:pPr>
              <w:jc w:val="left"/>
            </w:pPr>
            <w:r/>
            <w:r>
              <w:rPr>
                <w:rFonts w:ascii="宋体" w:hAnsi="宋体" w:eastAsia="宋体"/>
                <w:b w:val="0"/>
                <w:sz w:val="21"/>
              </w:rPr>
              <w:t>具备有效主体资格，能够开具合法合规发票，满足项目要求的安全、保密及现场管理要求，并对采购文件规定的专门资质、授权及商务条款作出完整响应，得20分；响应较完整，得15-19分；响应一般或部分材料欠缺，得8-14分；缺少关键资质、授权、安全保密承诺或专门条件响应明显不足，得0-7分。</w:t>
            </w:r>
          </w:p>
        </w:tc>
        <w:tc>
          <w:tcPr>
            <w:tcW w:type="dxa" w:w="3969"/>
            <w:vAlign w:val="center"/>
          </w:tcPr>
          <w:p>
            <w:pPr>
              <w:jc w:val="left"/>
            </w:pPr>
            <w:r/>
            <w:r>
              <w:rPr>
                <w:rFonts w:ascii="宋体" w:hAnsi="宋体" w:eastAsia="宋体"/>
                <w:b w:val="0"/>
                <w:sz w:val="21"/>
              </w:rPr>
              <w:t>营业执照、开票能力证明、保密承诺、安全管理制度、专项资质、授权文件、商务响应文件等。</w:t>
            </w:r>
          </w:p>
        </w:tc>
      </w:tr>
    </w:tbl>
    <w:p>
      <w:pPr>
        <w:spacing w:before="120" w:after="80"/>
      </w:pPr>
      <w:r>
        <w:rPr>
          <w:rFonts w:ascii="黑体" w:hAnsi="黑体" w:eastAsia="黑体"/>
          <w:b/>
          <w:sz w:val="26"/>
        </w:rPr>
        <w:t>二、定制开发评分标准</w:t>
      </w:r>
    </w:p>
    <w:p>
      <w:pPr>
        <w:spacing w:after="60"/>
        <w:ind w:firstLine="420"/>
      </w:pPr>
      <w:r>
        <w:rPr>
          <w:rFonts w:ascii="宋体" w:hAnsi="宋体" w:eastAsia="宋体"/>
          <w:sz w:val="21"/>
        </w:rPr>
        <w:t>本部分适用于以需求调研、系统设计、开发测试、上线交付为主的软件建设内容评分，满分100分。</w:t>
      </w:r>
    </w:p>
    <w:tbl>
      <w:tblPr>
        <w:tblStyle w:val="TableGrid"/>
        <w:tblW w:type="auto" w:w="0"/>
        <w:jc w:val="center"/>
        <w:tblLayout w:type="fixed"/>
        <w:tblLook w:firstColumn="1" w:firstRow="1" w:lastColumn="0" w:lastRow="0" w:noHBand="0" w:noVBand="1" w:val="04A0"/>
      </w:tblPr>
      <w:tblGrid>
        <w:gridCol w:w="2805"/>
        <w:gridCol w:w="2805"/>
        <w:gridCol w:w="2805"/>
        <w:gridCol w:w="2805"/>
        <w:gridCol w:w="2805"/>
      </w:tblGrid>
      <w:tr>
        <w:tc>
          <w:tcPr>
            <w:tcW w:type="dxa" w:w="1587"/>
            <w:vAlign w:val="center"/>
            <w:shd w:fill="D9EAF7"/>
          </w:tcPr>
          <w:p>
            <w:pPr>
              <w:jc w:val="center"/>
            </w:pPr>
            <w:r/>
            <w:r>
              <w:rPr>
                <w:rFonts w:ascii="黑体" w:hAnsi="黑体" w:eastAsia="黑体"/>
                <w:b/>
                <w:sz w:val="21"/>
              </w:rPr>
              <w:t>评审大项</w:t>
            </w:r>
          </w:p>
        </w:tc>
        <w:tc>
          <w:tcPr>
            <w:tcW w:type="dxa" w:w="2551"/>
            <w:vAlign w:val="center"/>
            <w:shd w:fill="D9EAF7"/>
          </w:tcPr>
          <w:p>
            <w:pPr>
              <w:jc w:val="center"/>
            </w:pPr>
            <w:r/>
            <w:r>
              <w:rPr>
                <w:rFonts w:ascii="黑体" w:hAnsi="黑体" w:eastAsia="黑体"/>
                <w:b/>
                <w:sz w:val="21"/>
              </w:rPr>
              <w:t>评审子项</w:t>
            </w:r>
          </w:p>
        </w:tc>
        <w:tc>
          <w:tcPr>
            <w:tcW w:type="dxa" w:w="850"/>
            <w:vAlign w:val="center"/>
            <w:shd w:fill="D9EAF7"/>
          </w:tcPr>
          <w:p>
            <w:pPr>
              <w:jc w:val="center"/>
            </w:pPr>
            <w:r/>
            <w:r>
              <w:rPr>
                <w:rFonts w:ascii="黑体" w:hAnsi="黑体" w:eastAsia="黑体"/>
                <w:b/>
                <w:sz w:val="21"/>
              </w:rPr>
              <w:t>分值</w:t>
            </w:r>
          </w:p>
        </w:tc>
        <w:tc>
          <w:tcPr>
            <w:tcW w:type="dxa" w:w="5103"/>
            <w:vAlign w:val="center"/>
            <w:shd w:fill="D9EAF7"/>
          </w:tcPr>
          <w:p>
            <w:pPr>
              <w:jc w:val="center"/>
            </w:pPr>
            <w:r/>
            <w:r>
              <w:rPr>
                <w:rFonts w:ascii="黑体" w:hAnsi="黑体" w:eastAsia="黑体"/>
                <w:b/>
                <w:sz w:val="21"/>
              </w:rPr>
              <w:t>评分标准</w:t>
            </w:r>
          </w:p>
        </w:tc>
        <w:tc>
          <w:tcPr>
            <w:tcW w:type="dxa" w:w="4706"/>
            <w:vAlign w:val="center"/>
            <w:shd w:fill="D9EAF7"/>
          </w:tcPr>
          <w:p>
            <w:pPr>
              <w:jc w:val="center"/>
            </w:pPr>
            <w:r/>
            <w:r>
              <w:rPr>
                <w:rFonts w:ascii="黑体" w:hAnsi="黑体" w:eastAsia="黑体"/>
                <w:b/>
                <w:sz w:val="21"/>
              </w:rPr>
              <w:t>评分依据/证明材料</w:t>
            </w:r>
          </w:p>
        </w:tc>
      </w:tr>
      <w:tr>
        <w:tc>
          <w:tcPr>
            <w:tcW w:type="dxa" w:w="1587"/>
            <w:vAlign w:val="center"/>
          </w:tcPr>
          <w:p>
            <w:pPr>
              <w:jc w:val="left"/>
            </w:pPr>
            <w:r/>
            <w:r>
              <w:rPr>
                <w:rFonts w:ascii="宋体" w:hAnsi="宋体" w:eastAsia="宋体"/>
                <w:b w:val="0"/>
                <w:sz w:val="21"/>
              </w:rPr>
              <w:t>项目理解与需求分析</w:t>
            </w:r>
          </w:p>
        </w:tc>
        <w:tc>
          <w:tcPr>
            <w:tcW w:type="dxa" w:w="2551"/>
            <w:vAlign w:val="center"/>
          </w:tcPr>
          <w:p>
            <w:pPr>
              <w:jc w:val="left"/>
            </w:pPr>
            <w:r/>
            <w:r>
              <w:rPr>
                <w:rFonts w:ascii="宋体" w:hAnsi="宋体" w:eastAsia="宋体"/>
                <w:b w:val="0"/>
                <w:sz w:val="21"/>
              </w:rPr>
              <w:t>需求理解与场景匹配度</w:t>
            </w:r>
          </w:p>
        </w:tc>
        <w:tc>
          <w:tcPr>
            <w:tcW w:type="dxa" w:w="850"/>
            <w:vAlign w:val="center"/>
          </w:tcPr>
          <w:p>
            <w:pPr>
              <w:jc w:val="center"/>
            </w:pPr>
            <w:r/>
            <w:r>
              <w:rPr>
                <w:rFonts w:ascii="宋体" w:hAnsi="宋体" w:eastAsia="宋体"/>
                <w:b w:val="0"/>
                <w:sz w:val="21"/>
              </w:rPr>
              <w:t>15</w:t>
            </w:r>
          </w:p>
        </w:tc>
        <w:tc>
          <w:tcPr>
            <w:tcW w:type="dxa" w:w="5103"/>
            <w:vAlign w:val="center"/>
          </w:tcPr>
          <w:p>
            <w:pPr>
              <w:jc w:val="left"/>
            </w:pPr>
            <w:r/>
            <w:r>
              <w:rPr>
                <w:rFonts w:ascii="宋体" w:hAnsi="宋体" w:eastAsia="宋体"/>
                <w:b w:val="0"/>
                <w:sz w:val="21"/>
              </w:rPr>
              <w:t>对项目背景、建设目标、核心需求、业务场景和目标拆解理解准确，问题识别到位且针对性强，得 15 分；理解较准确、场景匹配较好但分析深度一般，得 8-14 分；理解偏差明显、针对性不足或内容空泛，得 0-7 分。</w:t>
            </w:r>
          </w:p>
        </w:tc>
        <w:tc>
          <w:tcPr>
            <w:tcW w:type="dxa" w:w="4706"/>
            <w:vAlign w:val="center"/>
          </w:tcPr>
          <w:p>
            <w:pPr>
              <w:jc w:val="left"/>
            </w:pPr>
            <w:r/>
            <w:r>
              <w:rPr>
                <w:rFonts w:ascii="宋体" w:hAnsi="宋体" w:eastAsia="宋体"/>
                <w:b w:val="0"/>
                <w:sz w:val="21"/>
              </w:rPr>
              <w:t>需求响应、现状分析、问题清单、项目目标说明、业务场景分析、用户画像、流程梳理成果。</w:t>
            </w:r>
          </w:p>
        </w:tc>
      </w:tr>
      <w:tr>
        <w:tc>
          <w:tcPr>
            <w:tcW w:type="dxa" w:w="1587"/>
            <w:vAlign w:val="center"/>
          </w:tcPr>
          <w:p>
            <w:pPr>
              <w:jc w:val="left"/>
            </w:pPr>
            <w:r/>
            <w:r>
              <w:rPr>
                <w:rFonts w:ascii="宋体" w:hAnsi="宋体" w:eastAsia="宋体"/>
                <w:b w:val="0"/>
                <w:sz w:val="21"/>
              </w:rPr>
            </w:r>
          </w:p>
        </w:tc>
        <w:tc>
          <w:tcPr>
            <w:tcW w:type="dxa" w:w="2551"/>
            <w:vAlign w:val="center"/>
          </w:tcPr>
          <w:p>
            <w:pPr>
              <w:jc w:val="left"/>
            </w:pPr>
            <w:r/>
            <w:r>
              <w:rPr>
                <w:rFonts w:ascii="宋体" w:hAnsi="宋体" w:eastAsia="宋体"/>
                <w:b w:val="0"/>
                <w:sz w:val="21"/>
              </w:rPr>
              <w:t>范围边界与关键难点识别</w:t>
            </w:r>
          </w:p>
        </w:tc>
        <w:tc>
          <w:tcPr>
            <w:tcW w:type="dxa" w:w="850"/>
            <w:vAlign w:val="center"/>
          </w:tcPr>
          <w:p>
            <w:pPr>
              <w:jc w:val="center"/>
            </w:pPr>
            <w:r/>
            <w:r>
              <w:rPr>
                <w:rFonts w:ascii="宋体" w:hAnsi="宋体" w:eastAsia="宋体"/>
                <w:b w:val="0"/>
                <w:sz w:val="21"/>
              </w:rPr>
              <w:t>6</w:t>
            </w:r>
          </w:p>
        </w:tc>
        <w:tc>
          <w:tcPr>
            <w:tcW w:type="dxa" w:w="5103"/>
            <w:vAlign w:val="center"/>
          </w:tcPr>
          <w:p>
            <w:pPr>
              <w:jc w:val="left"/>
            </w:pPr>
            <w:r/>
            <w:r>
              <w:rPr>
                <w:rFonts w:ascii="宋体" w:hAnsi="宋体" w:eastAsia="宋体"/>
                <w:b w:val="0"/>
                <w:sz w:val="21"/>
              </w:rPr>
              <w:t>对项目边界、接口边界和关键难点识别完整，得 6 分；识别基本到位，得 3-5 分；识别不足，得 0-2 分。</w:t>
            </w:r>
          </w:p>
        </w:tc>
        <w:tc>
          <w:tcPr>
            <w:tcW w:type="dxa" w:w="4706"/>
            <w:vAlign w:val="center"/>
          </w:tcPr>
          <w:p>
            <w:pPr>
              <w:jc w:val="left"/>
            </w:pPr>
            <w:r/>
            <w:r>
              <w:rPr>
                <w:rFonts w:ascii="宋体" w:hAnsi="宋体" w:eastAsia="宋体"/>
                <w:b w:val="0"/>
                <w:sz w:val="21"/>
              </w:rPr>
              <w:t>边界清单、关键风险点、约束条件说明。</w:t>
            </w:r>
          </w:p>
        </w:tc>
      </w:tr>
      <w:tr>
        <w:tc>
          <w:tcPr>
            <w:tcW w:type="dxa" w:w="1587"/>
            <w:vAlign w:val="center"/>
          </w:tcPr>
          <w:p>
            <w:pPr>
              <w:jc w:val="left"/>
            </w:pPr>
            <w:r/>
            <w:r>
              <w:rPr>
                <w:rFonts w:ascii="宋体" w:hAnsi="宋体" w:eastAsia="宋体"/>
                <w:b w:val="0"/>
                <w:sz w:val="21"/>
              </w:rPr>
              <w:t>技术方案与架构设计</w:t>
            </w:r>
          </w:p>
        </w:tc>
        <w:tc>
          <w:tcPr>
            <w:tcW w:type="dxa" w:w="2551"/>
            <w:vAlign w:val="center"/>
          </w:tcPr>
          <w:p>
            <w:pPr>
              <w:jc w:val="left"/>
            </w:pPr>
            <w:r/>
            <w:r>
              <w:rPr>
                <w:rFonts w:ascii="宋体" w:hAnsi="宋体" w:eastAsia="宋体"/>
                <w:b w:val="0"/>
                <w:sz w:val="21"/>
              </w:rPr>
              <w:t>总体架构与功能方案合理性</w:t>
            </w:r>
          </w:p>
        </w:tc>
        <w:tc>
          <w:tcPr>
            <w:tcW w:type="dxa" w:w="850"/>
            <w:vAlign w:val="center"/>
          </w:tcPr>
          <w:p>
            <w:pPr>
              <w:jc w:val="center"/>
            </w:pPr>
            <w:r/>
            <w:r>
              <w:rPr>
                <w:rFonts w:ascii="宋体" w:hAnsi="宋体" w:eastAsia="宋体"/>
                <w:b w:val="0"/>
                <w:sz w:val="21"/>
              </w:rPr>
              <w:t>19</w:t>
            </w:r>
          </w:p>
        </w:tc>
        <w:tc>
          <w:tcPr>
            <w:tcW w:type="dxa" w:w="5103"/>
            <w:vAlign w:val="center"/>
          </w:tcPr>
          <w:p>
            <w:pPr>
              <w:jc w:val="left"/>
            </w:pPr>
            <w:r/>
            <w:r>
              <w:rPr>
                <w:rFonts w:ascii="宋体" w:hAnsi="宋体" w:eastAsia="宋体"/>
                <w:b w:val="0"/>
                <w:sz w:val="21"/>
              </w:rPr>
              <w:t>总体架构完整、技术路线成熟可行，功能设计覆盖主要需求并体现关键场景，与项目目标高度匹配，得 19 分；方案较完整、合理性较好，得 10-18 分；架构或功能方案缺项明显、合理性较弱，得 0-9 分。</w:t>
            </w:r>
          </w:p>
        </w:tc>
        <w:tc>
          <w:tcPr>
            <w:tcW w:type="dxa" w:w="4706"/>
            <w:vAlign w:val="center"/>
          </w:tcPr>
          <w:p>
            <w:pPr>
              <w:jc w:val="left"/>
            </w:pPr>
            <w:r/>
            <w:r>
              <w:rPr>
                <w:rFonts w:ascii="宋体" w:hAnsi="宋体" w:eastAsia="宋体"/>
                <w:b w:val="0"/>
                <w:sz w:val="21"/>
              </w:rPr>
              <w:t>总体架构图、技术选型说明、部署方案、功能清单、原型图、模块设计说明。</w:t>
            </w:r>
          </w:p>
        </w:tc>
      </w:tr>
      <w:tr>
        <w:tc>
          <w:tcPr>
            <w:tcW w:type="dxa" w:w="1587"/>
            <w:vAlign w:val="center"/>
          </w:tcPr>
          <w:p>
            <w:pPr>
              <w:jc w:val="left"/>
            </w:pPr>
            <w:r/>
            <w:r>
              <w:rPr>
                <w:rFonts w:ascii="宋体" w:hAnsi="宋体" w:eastAsia="宋体"/>
                <w:b w:val="0"/>
                <w:sz w:val="21"/>
              </w:rPr>
            </w:r>
          </w:p>
        </w:tc>
        <w:tc>
          <w:tcPr>
            <w:tcW w:type="dxa" w:w="2551"/>
            <w:vAlign w:val="center"/>
          </w:tcPr>
          <w:p>
            <w:pPr>
              <w:jc w:val="left"/>
            </w:pPr>
            <w:r/>
            <w:r>
              <w:rPr>
                <w:rFonts w:ascii="宋体" w:hAnsi="宋体" w:eastAsia="宋体"/>
                <w:b w:val="0"/>
                <w:sz w:val="21"/>
              </w:rPr>
              <w:t>接口、数据与安全设计</w:t>
            </w:r>
          </w:p>
        </w:tc>
        <w:tc>
          <w:tcPr>
            <w:tcW w:type="dxa" w:w="850"/>
            <w:vAlign w:val="center"/>
          </w:tcPr>
          <w:p>
            <w:pPr>
              <w:jc w:val="center"/>
            </w:pPr>
            <w:r/>
            <w:r>
              <w:rPr>
                <w:rFonts w:ascii="宋体" w:hAnsi="宋体" w:eastAsia="宋体"/>
                <w:b w:val="0"/>
                <w:sz w:val="21"/>
              </w:rPr>
              <w:t>8</w:t>
            </w:r>
          </w:p>
        </w:tc>
        <w:tc>
          <w:tcPr>
            <w:tcW w:type="dxa" w:w="5103"/>
            <w:vAlign w:val="center"/>
          </w:tcPr>
          <w:p>
            <w:pPr>
              <w:jc w:val="left"/>
            </w:pPr>
            <w:r/>
            <w:r>
              <w:rPr>
                <w:rFonts w:ascii="宋体" w:hAnsi="宋体" w:eastAsia="宋体"/>
                <w:b w:val="0"/>
                <w:sz w:val="21"/>
              </w:rPr>
              <w:t>接口衔接、数据流向、安全控制设计清楚，得 8 分；基本具备，得 4-7 分；说明不足，得 0-3 分。</w:t>
            </w:r>
          </w:p>
        </w:tc>
        <w:tc>
          <w:tcPr>
            <w:tcW w:type="dxa" w:w="4706"/>
            <w:vAlign w:val="center"/>
          </w:tcPr>
          <w:p>
            <w:pPr>
              <w:jc w:val="left"/>
            </w:pPr>
            <w:r/>
            <w:r>
              <w:rPr>
                <w:rFonts w:ascii="宋体" w:hAnsi="宋体" w:eastAsia="宋体"/>
                <w:b w:val="0"/>
                <w:sz w:val="21"/>
              </w:rPr>
              <w:t>接口清单、数据模型、安全方案。</w:t>
            </w:r>
          </w:p>
        </w:tc>
      </w:tr>
      <w:tr>
        <w:tc>
          <w:tcPr>
            <w:tcW w:type="dxa" w:w="1587"/>
            <w:vAlign w:val="center"/>
          </w:tcPr>
          <w:p>
            <w:pPr>
              <w:jc w:val="left"/>
            </w:pPr>
            <w:r/>
            <w:r>
              <w:rPr>
                <w:rFonts w:ascii="宋体" w:hAnsi="宋体" w:eastAsia="宋体"/>
                <w:b w:val="0"/>
                <w:sz w:val="21"/>
              </w:rPr>
            </w:r>
          </w:p>
        </w:tc>
        <w:tc>
          <w:tcPr>
            <w:tcW w:type="dxa" w:w="2551"/>
            <w:vAlign w:val="center"/>
          </w:tcPr>
          <w:p>
            <w:pPr>
              <w:jc w:val="left"/>
            </w:pPr>
            <w:r/>
            <w:r>
              <w:rPr>
                <w:rFonts w:ascii="宋体" w:hAnsi="宋体" w:eastAsia="宋体"/>
                <w:b w:val="0"/>
                <w:sz w:val="21"/>
              </w:rPr>
              <w:t>可扩展性与可实施性</w:t>
            </w:r>
          </w:p>
        </w:tc>
        <w:tc>
          <w:tcPr>
            <w:tcW w:type="dxa" w:w="850"/>
            <w:vAlign w:val="center"/>
          </w:tcPr>
          <w:p>
            <w:pPr>
              <w:jc w:val="center"/>
            </w:pPr>
            <w:r/>
            <w:r>
              <w:rPr>
                <w:rFonts w:ascii="宋体" w:hAnsi="宋体" w:eastAsia="宋体"/>
                <w:b w:val="0"/>
                <w:sz w:val="21"/>
              </w:rPr>
              <w:t>7</w:t>
            </w:r>
          </w:p>
        </w:tc>
        <w:tc>
          <w:tcPr>
            <w:tcW w:type="dxa" w:w="5103"/>
            <w:vAlign w:val="center"/>
          </w:tcPr>
          <w:p>
            <w:pPr>
              <w:jc w:val="left"/>
            </w:pPr>
            <w:r/>
            <w:r>
              <w:rPr>
                <w:rFonts w:ascii="宋体" w:hAnsi="宋体" w:eastAsia="宋体"/>
                <w:b w:val="0"/>
                <w:sz w:val="21"/>
              </w:rPr>
              <w:t>方案具备扩展性、兼容性和可实施路径，得 7 分；一般，得 4-6 分；可实施性弱，得 0-3 分。</w:t>
            </w:r>
          </w:p>
        </w:tc>
        <w:tc>
          <w:tcPr>
            <w:tcW w:type="dxa" w:w="4706"/>
            <w:vAlign w:val="center"/>
          </w:tcPr>
          <w:p>
            <w:pPr>
              <w:jc w:val="left"/>
            </w:pPr>
            <w:r/>
            <w:r>
              <w:rPr>
                <w:rFonts w:ascii="宋体" w:hAnsi="宋体" w:eastAsia="宋体"/>
                <w:b w:val="0"/>
                <w:sz w:val="21"/>
              </w:rPr>
              <w:t>实施路径、环境适配说明、扩展设计。</w:t>
            </w:r>
          </w:p>
        </w:tc>
      </w:tr>
      <w:tr>
        <w:tc>
          <w:tcPr>
            <w:tcW w:type="dxa" w:w="1587"/>
            <w:vAlign w:val="center"/>
          </w:tcPr>
          <w:p>
            <w:pPr>
              <w:jc w:val="left"/>
            </w:pPr>
            <w:r/>
            <w:r>
              <w:rPr>
                <w:rFonts w:ascii="宋体" w:hAnsi="宋体" w:eastAsia="宋体"/>
                <w:b w:val="0"/>
                <w:sz w:val="21"/>
              </w:rPr>
              <w:t>实施计划与项目管理</w:t>
            </w:r>
          </w:p>
        </w:tc>
        <w:tc>
          <w:tcPr>
            <w:tcW w:type="dxa" w:w="2551"/>
            <w:vAlign w:val="center"/>
          </w:tcPr>
          <w:p>
            <w:pPr>
              <w:jc w:val="left"/>
            </w:pPr>
            <w:r/>
            <w:r>
              <w:rPr>
                <w:rFonts w:ascii="宋体" w:hAnsi="宋体" w:eastAsia="宋体"/>
                <w:b w:val="0"/>
                <w:sz w:val="21"/>
              </w:rPr>
              <w:t>实施计划、风险与质量控制</w:t>
            </w:r>
          </w:p>
        </w:tc>
        <w:tc>
          <w:tcPr>
            <w:tcW w:type="dxa" w:w="850"/>
            <w:vAlign w:val="center"/>
          </w:tcPr>
          <w:p>
            <w:pPr>
              <w:jc w:val="center"/>
            </w:pPr>
            <w:r/>
            <w:r>
              <w:rPr>
                <w:rFonts w:ascii="宋体" w:hAnsi="宋体" w:eastAsia="宋体"/>
                <w:b w:val="0"/>
                <w:sz w:val="21"/>
              </w:rPr>
              <w:t>15</w:t>
            </w:r>
          </w:p>
        </w:tc>
        <w:tc>
          <w:tcPr>
            <w:tcW w:type="dxa" w:w="5103"/>
            <w:vAlign w:val="center"/>
          </w:tcPr>
          <w:p>
            <w:pPr>
              <w:jc w:val="left"/>
            </w:pPr>
            <w:r/>
            <w:r>
              <w:rPr>
                <w:rFonts w:ascii="宋体" w:hAnsi="宋体" w:eastAsia="宋体"/>
                <w:b w:val="0"/>
                <w:sz w:val="21"/>
              </w:rPr>
              <w:t>阶段划分、里程碑、关键交付节点清晰可执行，且具备完整的风险识别、预警、应对和质量控制机制，得 15 分；计划较清晰、风险和质量控制机制基本可行，得 8-14 分；安排粗略或控制机制缺失，得 0-7 分。</w:t>
            </w:r>
          </w:p>
        </w:tc>
        <w:tc>
          <w:tcPr>
            <w:tcW w:type="dxa" w:w="4706"/>
            <w:vAlign w:val="center"/>
          </w:tcPr>
          <w:p>
            <w:pPr>
              <w:jc w:val="left"/>
            </w:pPr>
            <w:r/>
            <w:r>
              <w:rPr>
                <w:rFonts w:ascii="宋体" w:hAnsi="宋体" w:eastAsia="宋体"/>
                <w:b w:val="0"/>
                <w:sz w:val="21"/>
              </w:rPr>
              <w:t>WBS、里程碑计划、甘特图、风险台账、测试策略、质量控制流程。</w:t>
            </w:r>
          </w:p>
        </w:tc>
      </w:tr>
      <w:tr>
        <w:tc>
          <w:tcPr>
            <w:tcW w:type="dxa" w:w="1587"/>
            <w:vAlign w:val="center"/>
          </w:tcPr>
          <w:p>
            <w:pPr>
              <w:jc w:val="left"/>
            </w:pPr>
            <w:r/>
            <w:r>
              <w:rPr>
                <w:rFonts w:ascii="宋体" w:hAnsi="宋体" w:eastAsia="宋体"/>
                <w:b w:val="0"/>
                <w:sz w:val="21"/>
              </w:rPr>
            </w:r>
          </w:p>
        </w:tc>
        <w:tc>
          <w:tcPr>
            <w:tcW w:type="dxa" w:w="2551"/>
            <w:vAlign w:val="center"/>
          </w:tcPr>
          <w:p>
            <w:pPr>
              <w:jc w:val="left"/>
            </w:pPr>
            <w:r/>
            <w:r>
              <w:rPr>
                <w:rFonts w:ascii="宋体" w:hAnsi="宋体" w:eastAsia="宋体"/>
                <w:b w:val="0"/>
                <w:sz w:val="21"/>
              </w:rPr>
              <w:t>交付物定义与验收安排</w:t>
            </w:r>
          </w:p>
        </w:tc>
        <w:tc>
          <w:tcPr>
            <w:tcW w:type="dxa" w:w="850"/>
            <w:vAlign w:val="center"/>
          </w:tcPr>
          <w:p>
            <w:pPr>
              <w:jc w:val="center"/>
            </w:pPr>
            <w:r/>
            <w:r>
              <w:rPr>
                <w:rFonts w:ascii="宋体" w:hAnsi="宋体" w:eastAsia="宋体"/>
                <w:b w:val="0"/>
                <w:sz w:val="21"/>
              </w:rPr>
              <w:t>6</w:t>
            </w:r>
          </w:p>
        </w:tc>
        <w:tc>
          <w:tcPr>
            <w:tcW w:type="dxa" w:w="5103"/>
            <w:vAlign w:val="center"/>
          </w:tcPr>
          <w:p>
            <w:pPr>
              <w:jc w:val="left"/>
            </w:pPr>
            <w:r/>
            <w:r>
              <w:rPr>
                <w:rFonts w:ascii="宋体" w:hAnsi="宋体" w:eastAsia="宋体"/>
                <w:b w:val="0"/>
                <w:sz w:val="21"/>
              </w:rPr>
              <w:t>交付物清单、输出形式、验收方式明确，得 6 分；基本明确，得 3-5 分；不明确，得 0-2 分。</w:t>
            </w:r>
          </w:p>
        </w:tc>
        <w:tc>
          <w:tcPr>
            <w:tcW w:type="dxa" w:w="4706"/>
            <w:vAlign w:val="center"/>
          </w:tcPr>
          <w:p>
            <w:pPr>
              <w:jc w:val="left"/>
            </w:pPr>
            <w:r/>
            <w:r>
              <w:rPr>
                <w:rFonts w:ascii="宋体" w:hAnsi="宋体" w:eastAsia="宋体"/>
                <w:b w:val="0"/>
                <w:sz w:val="21"/>
              </w:rPr>
              <w:t>交付物清单、验收计划、文档目录。</w:t>
            </w:r>
          </w:p>
        </w:tc>
      </w:tr>
      <w:tr>
        <w:tc>
          <w:tcPr>
            <w:tcW w:type="dxa" w:w="1587"/>
            <w:vAlign w:val="center"/>
          </w:tcPr>
          <w:p>
            <w:pPr>
              <w:jc w:val="left"/>
            </w:pPr>
            <w:r/>
            <w:r>
              <w:rPr>
                <w:rFonts w:ascii="宋体" w:hAnsi="宋体" w:eastAsia="宋体"/>
                <w:b w:val="0"/>
                <w:sz w:val="21"/>
              </w:rPr>
              <w:t>团队配置与履约能力</w:t>
            </w:r>
          </w:p>
        </w:tc>
        <w:tc>
          <w:tcPr>
            <w:tcW w:type="dxa" w:w="2551"/>
            <w:vAlign w:val="center"/>
          </w:tcPr>
          <w:p>
            <w:pPr>
              <w:jc w:val="left"/>
            </w:pPr>
            <w:r/>
            <w:r>
              <w:rPr>
                <w:rFonts w:ascii="宋体" w:hAnsi="宋体" w:eastAsia="宋体"/>
                <w:b w:val="0"/>
                <w:sz w:val="21"/>
              </w:rPr>
              <w:t>项目团队配置与履约能力</w:t>
            </w:r>
          </w:p>
        </w:tc>
        <w:tc>
          <w:tcPr>
            <w:tcW w:type="dxa" w:w="850"/>
            <w:vAlign w:val="center"/>
          </w:tcPr>
          <w:p>
            <w:pPr>
              <w:jc w:val="center"/>
            </w:pPr>
            <w:r/>
            <w:r>
              <w:rPr>
                <w:rFonts w:ascii="宋体" w:hAnsi="宋体" w:eastAsia="宋体"/>
                <w:b w:val="0"/>
                <w:sz w:val="21"/>
              </w:rPr>
              <w:t>14</w:t>
            </w:r>
          </w:p>
        </w:tc>
        <w:tc>
          <w:tcPr>
            <w:tcW w:type="dxa" w:w="5103"/>
            <w:vAlign w:val="center"/>
          </w:tcPr>
          <w:p>
            <w:pPr>
              <w:jc w:val="left"/>
            </w:pPr>
            <w:r/>
            <w:r>
              <w:rPr>
                <w:rFonts w:ascii="宋体" w:hAnsi="宋体" w:eastAsia="宋体"/>
                <w:b w:val="0"/>
                <w:sz w:val="21"/>
              </w:rPr>
              <w:t>项目经理及核心成员经验丰富、履历与项目高度匹配，产品、设计、开发、测试、实施等关键岗位配置齐全且职责清晰，得 14 分；基本匹配且岗位较齐备，得 8-13 分；匹配度较低或岗位明显缺失，得 0-7 分。</w:t>
            </w:r>
          </w:p>
        </w:tc>
        <w:tc>
          <w:tcPr>
            <w:tcW w:type="dxa" w:w="4706"/>
            <w:vAlign w:val="center"/>
          </w:tcPr>
          <w:p>
            <w:pPr>
              <w:jc w:val="left"/>
            </w:pPr>
            <w:r/>
            <w:r>
              <w:rPr>
                <w:rFonts w:ascii="宋体" w:hAnsi="宋体" w:eastAsia="宋体"/>
                <w:b w:val="0"/>
                <w:sz w:val="21"/>
              </w:rPr>
              <w:t>人员简历、项目经历、证书、社保证明、组织架构图、岗位分工、人员清单。</w:t>
            </w:r>
          </w:p>
        </w:tc>
      </w:tr>
      <w:tr>
        <w:tc>
          <w:tcPr>
            <w:tcW w:type="dxa" w:w="1587"/>
            <w:vAlign w:val="center"/>
          </w:tcPr>
          <w:p>
            <w:pPr>
              <w:jc w:val="left"/>
            </w:pPr>
            <w:r/>
            <w:r>
              <w:rPr>
                <w:rFonts w:ascii="宋体" w:hAnsi="宋体" w:eastAsia="宋体"/>
                <w:b w:val="0"/>
                <w:sz w:val="21"/>
              </w:rPr>
              <w:t>软件交付经验与技术能力</w:t>
            </w:r>
          </w:p>
        </w:tc>
        <w:tc>
          <w:tcPr>
            <w:tcW w:type="dxa" w:w="2551"/>
            <w:vAlign w:val="center"/>
          </w:tcPr>
          <w:p>
            <w:pPr>
              <w:jc w:val="left"/>
            </w:pPr>
            <w:r/>
            <w:r>
              <w:rPr>
                <w:rFonts w:ascii="宋体" w:hAnsi="宋体" w:eastAsia="宋体"/>
                <w:b w:val="0"/>
                <w:sz w:val="21"/>
              </w:rPr>
              <w:t>同类软件交付经验与技术能力</w:t>
            </w:r>
          </w:p>
        </w:tc>
        <w:tc>
          <w:tcPr>
            <w:tcW w:type="dxa" w:w="850"/>
            <w:vAlign w:val="center"/>
          </w:tcPr>
          <w:p>
            <w:pPr>
              <w:jc w:val="center"/>
            </w:pPr>
            <w:r/>
            <w:r>
              <w:rPr>
                <w:rFonts w:ascii="宋体" w:hAnsi="宋体" w:eastAsia="宋体"/>
                <w:b w:val="0"/>
                <w:sz w:val="21"/>
              </w:rPr>
              <w:t>10</w:t>
            </w:r>
          </w:p>
        </w:tc>
        <w:tc>
          <w:tcPr>
            <w:tcW w:type="dxa" w:w="5103"/>
            <w:vAlign w:val="center"/>
          </w:tcPr>
          <w:p>
            <w:pPr>
              <w:jc w:val="left"/>
            </w:pPr>
            <w:r/>
            <w:r>
              <w:rPr>
                <w:rFonts w:ascii="宋体" w:hAnsi="宋体" w:eastAsia="宋体"/>
                <w:b w:val="0"/>
                <w:sz w:val="21"/>
              </w:rPr>
              <w:t>同类案例数量充足、与本项目行业和复杂度高度相关，且具备与项目匹配的体系认证或专业资质、研发能力证明，得 10 分；案例或资质匹配度一般，得 5-9 分；案例较弱或无有效资质，得 0-4 分。</w:t>
            </w:r>
          </w:p>
        </w:tc>
        <w:tc>
          <w:tcPr>
            <w:tcW w:type="dxa" w:w="4706"/>
            <w:vAlign w:val="center"/>
          </w:tcPr>
          <w:p>
            <w:pPr>
              <w:jc w:val="left"/>
            </w:pPr>
            <w:r/>
            <w:r>
              <w:rPr>
                <w:rFonts w:ascii="宋体" w:hAnsi="宋体" w:eastAsia="宋体"/>
                <w:b w:val="0"/>
                <w:sz w:val="21"/>
              </w:rPr>
              <w:t>软件开发或系统建设项目合同关键页、验收证明、成果材料、研发类资质、软著、专利、技术能力证明。</w:t>
            </w:r>
          </w:p>
        </w:tc>
      </w:tr>
    </w:tbl>
    <w:p>
      <w:pPr>
        <w:spacing w:before="120" w:after="80"/>
      </w:pPr>
      <w:r>
        <w:rPr>
          <w:rFonts w:ascii="黑体" w:hAnsi="黑体" w:eastAsia="黑体"/>
          <w:b/>
          <w:sz w:val="26"/>
        </w:rPr>
        <w:t>三、驻场运维评分标准</w:t>
      </w:r>
    </w:p>
    <w:p>
      <w:pPr>
        <w:spacing w:after="60"/>
        <w:ind w:firstLine="420"/>
      </w:pPr>
      <w:r>
        <w:rPr>
          <w:rFonts w:ascii="宋体" w:hAnsi="宋体" w:eastAsia="宋体"/>
          <w:sz w:val="21"/>
        </w:rPr>
        <w:t>本部分适用于以驻场支持、响应保障、持续服务和服务治理为主的运维服务内容评分，满分100分。</w:t>
      </w:r>
    </w:p>
    <w:tbl>
      <w:tblPr>
        <w:tblStyle w:val="TableGrid"/>
        <w:tblW w:type="auto" w:w="0"/>
        <w:jc w:val="center"/>
        <w:tblLayout w:type="fixed"/>
        <w:tblLook w:firstColumn="1" w:firstRow="1" w:lastColumn="0" w:lastRow="0" w:noHBand="0" w:noVBand="1" w:val="04A0"/>
      </w:tblPr>
      <w:tblGrid>
        <w:gridCol w:w="2805"/>
        <w:gridCol w:w="2805"/>
        <w:gridCol w:w="2805"/>
        <w:gridCol w:w="2805"/>
        <w:gridCol w:w="2805"/>
      </w:tblGrid>
      <w:tr>
        <w:tc>
          <w:tcPr>
            <w:tcW w:type="dxa" w:w="1587"/>
            <w:vAlign w:val="center"/>
            <w:shd w:fill="D9EAF7"/>
          </w:tcPr>
          <w:p>
            <w:pPr>
              <w:jc w:val="center"/>
            </w:pPr>
            <w:r/>
            <w:r>
              <w:rPr>
                <w:rFonts w:ascii="黑体" w:hAnsi="黑体" w:eastAsia="黑体"/>
                <w:b/>
                <w:sz w:val="21"/>
              </w:rPr>
              <w:t>评审大项</w:t>
            </w:r>
          </w:p>
        </w:tc>
        <w:tc>
          <w:tcPr>
            <w:tcW w:type="dxa" w:w="2721"/>
            <w:vAlign w:val="center"/>
            <w:shd w:fill="D9EAF7"/>
          </w:tcPr>
          <w:p>
            <w:pPr>
              <w:jc w:val="center"/>
            </w:pPr>
            <w:r/>
            <w:r>
              <w:rPr>
                <w:rFonts w:ascii="黑体" w:hAnsi="黑体" w:eastAsia="黑体"/>
                <w:b/>
                <w:sz w:val="21"/>
              </w:rPr>
              <w:t>评审子项</w:t>
            </w:r>
          </w:p>
        </w:tc>
        <w:tc>
          <w:tcPr>
            <w:tcW w:type="dxa" w:w="850"/>
            <w:vAlign w:val="center"/>
            <w:shd w:fill="D9EAF7"/>
          </w:tcPr>
          <w:p>
            <w:pPr>
              <w:jc w:val="center"/>
            </w:pPr>
            <w:r/>
            <w:r>
              <w:rPr>
                <w:rFonts w:ascii="黑体" w:hAnsi="黑体" w:eastAsia="黑体"/>
                <w:b/>
                <w:sz w:val="21"/>
              </w:rPr>
              <w:t>分值</w:t>
            </w:r>
          </w:p>
        </w:tc>
        <w:tc>
          <w:tcPr>
            <w:tcW w:type="dxa" w:w="5103"/>
            <w:vAlign w:val="center"/>
            <w:shd w:fill="D9EAF7"/>
          </w:tcPr>
          <w:p>
            <w:pPr>
              <w:jc w:val="center"/>
            </w:pPr>
            <w:r/>
            <w:r>
              <w:rPr>
                <w:rFonts w:ascii="黑体" w:hAnsi="黑体" w:eastAsia="黑体"/>
                <w:b/>
                <w:sz w:val="21"/>
              </w:rPr>
              <w:t>评分标准</w:t>
            </w:r>
          </w:p>
        </w:tc>
        <w:tc>
          <w:tcPr>
            <w:tcW w:type="dxa" w:w="4536"/>
            <w:vAlign w:val="center"/>
            <w:shd w:fill="D9EAF7"/>
          </w:tcPr>
          <w:p>
            <w:pPr>
              <w:jc w:val="center"/>
            </w:pPr>
            <w:r/>
            <w:r>
              <w:rPr>
                <w:rFonts w:ascii="黑体" w:hAnsi="黑体" w:eastAsia="黑体"/>
                <w:b/>
                <w:sz w:val="21"/>
              </w:rPr>
              <w:t>评分依据/证明材料</w:t>
            </w:r>
          </w:p>
        </w:tc>
      </w:tr>
      <w:tr>
        <w:tc>
          <w:tcPr>
            <w:tcW w:type="dxa" w:w="1587"/>
            <w:vAlign w:val="center"/>
          </w:tcPr>
          <w:p>
            <w:pPr>
              <w:jc w:val="left"/>
            </w:pPr>
            <w:r/>
            <w:r>
              <w:rPr>
                <w:rFonts w:ascii="宋体" w:hAnsi="宋体" w:eastAsia="宋体"/>
                <w:b w:val="0"/>
                <w:sz w:val="21"/>
              </w:rPr>
              <w:t>服务理解与方案设计</w:t>
            </w:r>
          </w:p>
        </w:tc>
        <w:tc>
          <w:tcPr>
            <w:tcW w:type="dxa" w:w="2721"/>
            <w:vAlign w:val="center"/>
          </w:tcPr>
          <w:p>
            <w:pPr>
              <w:jc w:val="left"/>
            </w:pPr>
            <w:r/>
            <w:r>
              <w:rPr>
                <w:rFonts w:ascii="宋体" w:hAnsi="宋体" w:eastAsia="宋体"/>
                <w:b w:val="0"/>
                <w:sz w:val="21"/>
              </w:rPr>
              <w:t>服务范围与流程理解</w:t>
            </w:r>
          </w:p>
        </w:tc>
        <w:tc>
          <w:tcPr>
            <w:tcW w:type="dxa" w:w="850"/>
            <w:vAlign w:val="center"/>
          </w:tcPr>
          <w:p>
            <w:pPr>
              <w:jc w:val="center"/>
            </w:pPr>
            <w:r/>
            <w:r>
              <w:rPr>
                <w:rFonts w:ascii="宋体" w:hAnsi="宋体" w:eastAsia="宋体"/>
                <w:b w:val="0"/>
                <w:sz w:val="21"/>
              </w:rPr>
              <w:t>13</w:t>
            </w:r>
          </w:p>
        </w:tc>
        <w:tc>
          <w:tcPr>
            <w:tcW w:type="dxa" w:w="5103"/>
            <w:vAlign w:val="center"/>
          </w:tcPr>
          <w:p>
            <w:pPr>
              <w:jc w:val="left"/>
            </w:pPr>
            <w:r/>
            <w:r>
              <w:rPr>
                <w:rFonts w:ascii="宋体" w:hAnsi="宋体" w:eastAsia="宋体"/>
                <w:b w:val="0"/>
                <w:sz w:val="21"/>
              </w:rPr>
              <w:t>对服务范围、职责边界、支持边界理解准确，服务流程、工单流转、例会与报告机制完整，得 13 分；基本准确且机制较完整，得 7-12 分；理解偏差明显或机制不足，得 0-6 分。</w:t>
            </w:r>
          </w:p>
        </w:tc>
        <w:tc>
          <w:tcPr>
            <w:tcW w:type="dxa" w:w="4536"/>
            <w:vAlign w:val="center"/>
          </w:tcPr>
          <w:p>
            <w:pPr>
              <w:jc w:val="left"/>
            </w:pPr>
            <w:r/>
            <w:r>
              <w:rPr>
                <w:rFonts w:ascii="宋体" w:hAnsi="宋体" w:eastAsia="宋体"/>
                <w:b w:val="0"/>
                <w:sz w:val="21"/>
              </w:rPr>
              <w:t>服务方案、范围说明、职责分工、服务流程图、报告模板、例会机制。</w:t>
            </w:r>
          </w:p>
        </w:tc>
      </w:tr>
      <w:tr>
        <w:tc>
          <w:tcPr>
            <w:tcW w:type="dxa" w:w="1587"/>
            <w:vAlign w:val="center"/>
          </w:tcPr>
          <w:p>
            <w:pPr>
              <w:jc w:val="left"/>
            </w:pPr>
            <w:r/>
            <w:r>
              <w:rPr>
                <w:rFonts w:ascii="宋体" w:hAnsi="宋体" w:eastAsia="宋体"/>
                <w:b w:val="0"/>
                <w:sz w:val="21"/>
              </w:rPr>
            </w:r>
          </w:p>
        </w:tc>
        <w:tc>
          <w:tcPr>
            <w:tcW w:type="dxa" w:w="2721"/>
            <w:vAlign w:val="center"/>
          </w:tcPr>
          <w:p>
            <w:pPr>
              <w:jc w:val="left"/>
            </w:pPr>
            <w:r/>
            <w:r>
              <w:rPr>
                <w:rFonts w:ascii="宋体" w:hAnsi="宋体" w:eastAsia="宋体"/>
                <w:b w:val="0"/>
                <w:sz w:val="21"/>
              </w:rPr>
              <w:t>服务方案可执行性</w:t>
            </w:r>
          </w:p>
        </w:tc>
        <w:tc>
          <w:tcPr>
            <w:tcW w:type="dxa" w:w="850"/>
            <w:vAlign w:val="center"/>
          </w:tcPr>
          <w:p>
            <w:pPr>
              <w:jc w:val="center"/>
            </w:pPr>
            <w:r/>
            <w:r>
              <w:rPr>
                <w:rFonts w:ascii="宋体" w:hAnsi="宋体" w:eastAsia="宋体"/>
                <w:b w:val="0"/>
                <w:sz w:val="21"/>
              </w:rPr>
              <w:t>6</w:t>
            </w:r>
          </w:p>
        </w:tc>
        <w:tc>
          <w:tcPr>
            <w:tcW w:type="dxa" w:w="5103"/>
            <w:vAlign w:val="center"/>
          </w:tcPr>
          <w:p>
            <w:pPr>
              <w:jc w:val="left"/>
            </w:pPr>
            <w:r/>
            <w:r>
              <w:rPr>
                <w:rFonts w:ascii="宋体" w:hAnsi="宋体" w:eastAsia="宋体"/>
                <w:b w:val="0"/>
                <w:sz w:val="21"/>
              </w:rPr>
              <w:t>方案执行路径清晰、适配采购场景，得 6 分；一般，得 3-5 分；可执行性弱，得 0-2 分。</w:t>
            </w:r>
          </w:p>
        </w:tc>
        <w:tc>
          <w:tcPr>
            <w:tcW w:type="dxa" w:w="4536"/>
            <w:vAlign w:val="center"/>
          </w:tcPr>
          <w:p>
            <w:pPr>
              <w:jc w:val="left"/>
            </w:pPr>
            <w:r/>
            <w:r>
              <w:rPr>
                <w:rFonts w:ascii="宋体" w:hAnsi="宋体" w:eastAsia="宋体"/>
                <w:b w:val="0"/>
                <w:sz w:val="21"/>
              </w:rPr>
              <w:t>实施路径、现场协同方案。</w:t>
            </w:r>
          </w:p>
        </w:tc>
      </w:tr>
      <w:tr>
        <w:tc>
          <w:tcPr>
            <w:tcW w:type="dxa" w:w="1587"/>
            <w:vAlign w:val="center"/>
          </w:tcPr>
          <w:p>
            <w:pPr>
              <w:jc w:val="left"/>
            </w:pPr>
            <w:r/>
            <w:r>
              <w:rPr>
                <w:rFonts w:ascii="宋体" w:hAnsi="宋体" w:eastAsia="宋体"/>
                <w:b w:val="0"/>
                <w:sz w:val="21"/>
              </w:rPr>
              <w:t>驻场与响应保障</w:t>
            </w:r>
          </w:p>
        </w:tc>
        <w:tc>
          <w:tcPr>
            <w:tcW w:type="dxa" w:w="2721"/>
            <w:vAlign w:val="center"/>
          </w:tcPr>
          <w:p>
            <w:pPr>
              <w:jc w:val="left"/>
            </w:pPr>
            <w:r/>
            <w:r>
              <w:rPr>
                <w:rFonts w:ascii="宋体" w:hAnsi="宋体" w:eastAsia="宋体"/>
                <w:b w:val="0"/>
                <w:sz w:val="21"/>
              </w:rPr>
              <w:t>驻场人员配置与稳定性保障</w:t>
            </w:r>
          </w:p>
        </w:tc>
        <w:tc>
          <w:tcPr>
            <w:tcW w:type="dxa" w:w="850"/>
            <w:vAlign w:val="center"/>
          </w:tcPr>
          <w:p>
            <w:pPr>
              <w:jc w:val="center"/>
            </w:pPr>
            <w:r/>
            <w:r>
              <w:rPr>
                <w:rFonts w:ascii="宋体" w:hAnsi="宋体" w:eastAsia="宋体"/>
                <w:b w:val="0"/>
                <w:sz w:val="21"/>
              </w:rPr>
              <w:t>20</w:t>
            </w:r>
          </w:p>
        </w:tc>
        <w:tc>
          <w:tcPr>
            <w:tcW w:type="dxa" w:w="5103"/>
            <w:vAlign w:val="center"/>
          </w:tcPr>
          <w:p>
            <w:pPr>
              <w:jc w:val="left"/>
            </w:pPr>
            <w:r/>
            <w:r>
              <w:rPr>
                <w:rFonts w:ascii="宋体" w:hAnsi="宋体" w:eastAsia="宋体"/>
                <w:b w:val="0"/>
                <w:sz w:val="21"/>
              </w:rPr>
              <w:t>驻场人员数量充分、岗位结构合理、关键岗位齐备，且稳定性保障和替补机制明确，得 20 分；基本满足且稳定性安排较清晰，得 11-19 分；人员投入明显不足或替补机制较弱，得 0-10 分。</w:t>
            </w:r>
          </w:p>
        </w:tc>
        <w:tc>
          <w:tcPr>
            <w:tcW w:type="dxa" w:w="4536"/>
            <w:vAlign w:val="center"/>
          </w:tcPr>
          <w:p>
            <w:pPr>
              <w:jc w:val="left"/>
            </w:pPr>
            <w:r/>
            <w:r>
              <w:rPr>
                <w:rFonts w:ascii="宋体" w:hAnsi="宋体" w:eastAsia="宋体"/>
                <w:b w:val="0"/>
                <w:sz w:val="21"/>
              </w:rPr>
              <w:t>驻场清单、岗位说明、资源投入计划、替补名单、稳定性承诺、人员管理机制。</w:t>
            </w:r>
          </w:p>
        </w:tc>
      </w:tr>
      <w:tr>
        <w:tc>
          <w:tcPr>
            <w:tcW w:type="dxa" w:w="1587"/>
            <w:vAlign w:val="center"/>
          </w:tcPr>
          <w:p>
            <w:pPr>
              <w:jc w:val="left"/>
            </w:pPr>
            <w:r/>
            <w:r>
              <w:rPr>
                <w:rFonts w:ascii="宋体" w:hAnsi="宋体" w:eastAsia="宋体"/>
                <w:b w:val="0"/>
                <w:sz w:val="21"/>
              </w:rPr>
            </w:r>
          </w:p>
        </w:tc>
        <w:tc>
          <w:tcPr>
            <w:tcW w:type="dxa" w:w="2721"/>
            <w:vAlign w:val="center"/>
          </w:tcPr>
          <w:p>
            <w:pPr>
              <w:jc w:val="left"/>
            </w:pPr>
            <w:r/>
            <w:r>
              <w:rPr>
                <w:rFonts w:ascii="宋体" w:hAnsi="宋体" w:eastAsia="宋体"/>
                <w:b w:val="0"/>
                <w:sz w:val="21"/>
              </w:rPr>
              <w:t>响应时效与应急处置能力</w:t>
            </w:r>
          </w:p>
        </w:tc>
        <w:tc>
          <w:tcPr>
            <w:tcW w:type="dxa" w:w="850"/>
            <w:vAlign w:val="center"/>
          </w:tcPr>
          <w:p>
            <w:pPr>
              <w:jc w:val="center"/>
            </w:pPr>
            <w:r/>
            <w:r>
              <w:rPr>
                <w:rFonts w:ascii="宋体" w:hAnsi="宋体" w:eastAsia="宋体"/>
                <w:b w:val="0"/>
                <w:sz w:val="21"/>
              </w:rPr>
              <w:t>20</w:t>
            </w:r>
          </w:p>
        </w:tc>
        <w:tc>
          <w:tcPr>
            <w:tcW w:type="dxa" w:w="5103"/>
            <w:vAlign w:val="center"/>
          </w:tcPr>
          <w:p>
            <w:pPr>
              <w:jc w:val="left"/>
            </w:pPr>
            <w:r/>
            <w:r>
              <w:rPr>
                <w:rFonts w:ascii="宋体" w:hAnsi="宋体" w:eastAsia="宋体"/>
                <w:b w:val="0"/>
                <w:sz w:val="21"/>
              </w:rPr>
              <w:t>响应时效、升级路径、闭环机制明确且优于基本要求，应急预案、重大故障处置和专项支撑能力强，得 20 分；基本满足要求，得 11-19 分；响应或应急处置能力较弱，得 0-10 分。</w:t>
            </w:r>
          </w:p>
        </w:tc>
        <w:tc>
          <w:tcPr>
            <w:tcW w:type="dxa" w:w="4536"/>
            <w:vAlign w:val="center"/>
          </w:tcPr>
          <w:p>
            <w:pPr>
              <w:jc w:val="left"/>
            </w:pPr>
            <w:r/>
            <w:r>
              <w:rPr>
                <w:rFonts w:ascii="宋体" w:hAnsi="宋体" w:eastAsia="宋体"/>
                <w:b w:val="0"/>
                <w:sz w:val="21"/>
              </w:rPr>
              <w:t>SLA、升级流程、值守安排、应急预案、值班机制、历史案例说明。</w:t>
            </w:r>
          </w:p>
        </w:tc>
      </w:tr>
      <w:tr>
        <w:tc>
          <w:tcPr>
            <w:tcW w:type="dxa" w:w="1587"/>
            <w:vAlign w:val="center"/>
          </w:tcPr>
          <w:p>
            <w:pPr>
              <w:jc w:val="left"/>
            </w:pPr>
            <w:r/>
            <w:r>
              <w:rPr>
                <w:rFonts w:ascii="宋体" w:hAnsi="宋体" w:eastAsia="宋体"/>
                <w:b w:val="0"/>
                <w:sz w:val="21"/>
              </w:rPr>
              <w:t>持续服务与知识交接</w:t>
            </w:r>
          </w:p>
        </w:tc>
        <w:tc>
          <w:tcPr>
            <w:tcW w:type="dxa" w:w="2721"/>
            <w:vAlign w:val="center"/>
          </w:tcPr>
          <w:p>
            <w:pPr>
              <w:jc w:val="left"/>
            </w:pPr>
            <w:r/>
            <w:r>
              <w:rPr>
                <w:rFonts w:ascii="宋体" w:hAnsi="宋体" w:eastAsia="宋体"/>
                <w:b w:val="0"/>
                <w:sz w:val="21"/>
              </w:rPr>
              <w:t>知识交接与持续优化机制</w:t>
            </w:r>
          </w:p>
        </w:tc>
        <w:tc>
          <w:tcPr>
            <w:tcW w:type="dxa" w:w="850"/>
            <w:vAlign w:val="center"/>
          </w:tcPr>
          <w:p>
            <w:pPr>
              <w:jc w:val="center"/>
            </w:pPr>
            <w:r/>
            <w:r>
              <w:rPr>
                <w:rFonts w:ascii="宋体" w:hAnsi="宋体" w:eastAsia="宋体"/>
                <w:b w:val="0"/>
                <w:sz w:val="21"/>
              </w:rPr>
              <w:t>14</w:t>
            </w:r>
          </w:p>
        </w:tc>
        <w:tc>
          <w:tcPr>
            <w:tcW w:type="dxa" w:w="5103"/>
            <w:vAlign w:val="center"/>
          </w:tcPr>
          <w:p>
            <w:pPr>
              <w:jc w:val="left"/>
            </w:pPr>
            <w:r/>
            <w:r>
              <w:rPr>
                <w:rFonts w:ascii="宋体" w:hAnsi="宋体" w:eastAsia="宋体"/>
                <w:b w:val="0"/>
                <w:sz w:val="21"/>
              </w:rPr>
              <w:t>知识沉淀、文档维护、培训交接安排完整，具备持续优化、例会复盘、改进闭环机制，得 14 分；较完整，得 8-13 分；安排或机制不足，得 0-7 分。</w:t>
            </w:r>
          </w:p>
        </w:tc>
        <w:tc>
          <w:tcPr>
            <w:tcW w:type="dxa" w:w="4536"/>
            <w:vAlign w:val="center"/>
          </w:tcPr>
          <w:p>
            <w:pPr>
              <w:jc w:val="left"/>
            </w:pPr>
            <w:r/>
            <w:r>
              <w:rPr>
                <w:rFonts w:ascii="宋体" w:hAnsi="宋体" w:eastAsia="宋体"/>
                <w:b w:val="0"/>
                <w:sz w:val="21"/>
              </w:rPr>
              <w:t>知识库目录、交接计划、培训方案、复盘模板、改进机制、周报或月报样例。</w:t>
            </w:r>
          </w:p>
        </w:tc>
      </w:tr>
      <w:tr>
        <w:tc>
          <w:tcPr>
            <w:tcW w:type="dxa" w:w="1587"/>
            <w:vAlign w:val="center"/>
          </w:tcPr>
          <w:p>
            <w:pPr>
              <w:jc w:val="left"/>
            </w:pPr>
            <w:r/>
            <w:r>
              <w:rPr>
                <w:rFonts w:ascii="宋体" w:hAnsi="宋体" w:eastAsia="宋体"/>
                <w:b w:val="0"/>
                <w:sz w:val="21"/>
              </w:rPr>
              <w:t>同类项目经验与服务治理能力</w:t>
            </w:r>
          </w:p>
        </w:tc>
        <w:tc>
          <w:tcPr>
            <w:tcW w:type="dxa" w:w="2721"/>
            <w:vAlign w:val="center"/>
          </w:tcPr>
          <w:p>
            <w:pPr>
              <w:jc w:val="left"/>
            </w:pPr>
            <w:r/>
            <w:r>
              <w:rPr>
                <w:rFonts w:ascii="宋体" w:hAnsi="宋体" w:eastAsia="宋体"/>
                <w:b w:val="0"/>
                <w:sz w:val="21"/>
              </w:rPr>
              <w:t>同类项目案例、资质与服务治理能力</w:t>
            </w:r>
          </w:p>
        </w:tc>
        <w:tc>
          <w:tcPr>
            <w:tcW w:type="dxa" w:w="850"/>
            <w:vAlign w:val="center"/>
          </w:tcPr>
          <w:p>
            <w:pPr>
              <w:jc w:val="center"/>
            </w:pPr>
            <w:r/>
            <w:r>
              <w:rPr>
                <w:rFonts w:ascii="宋体" w:hAnsi="宋体" w:eastAsia="宋体"/>
                <w:b w:val="0"/>
                <w:sz w:val="21"/>
              </w:rPr>
              <w:t>15</w:t>
            </w:r>
          </w:p>
        </w:tc>
        <w:tc>
          <w:tcPr>
            <w:tcW w:type="dxa" w:w="5103"/>
            <w:vAlign w:val="center"/>
          </w:tcPr>
          <w:p>
            <w:pPr>
              <w:jc w:val="left"/>
            </w:pPr>
            <w:r/>
            <w:r>
              <w:rPr>
                <w:rFonts w:ascii="宋体" w:hAnsi="宋体" w:eastAsia="宋体"/>
                <w:b w:val="0"/>
                <w:sz w:val="21"/>
              </w:rPr>
              <w:t>具备较丰富的同类项目实施经验，案例与本项目业务场景、服务方式和复杂程度匹配度高，同时具备与项目实施、驻场服务相关的资质认证、服务管理制度和SLA治理机制，得15分；项目经验或服务治理能力较好，得8-14分；同类项目经验较少、匹配度一般，或资质及治理机制支撑较弱，得0-7分。</w:t>
            </w:r>
          </w:p>
        </w:tc>
        <w:tc>
          <w:tcPr>
            <w:tcW w:type="dxa" w:w="4536"/>
            <w:vAlign w:val="center"/>
          </w:tcPr>
          <w:p>
            <w:pPr>
              <w:jc w:val="left"/>
            </w:pPr>
            <w:r/>
            <w:r>
              <w:rPr>
                <w:rFonts w:ascii="宋体" w:hAnsi="宋体" w:eastAsia="宋体"/>
                <w:b w:val="0"/>
                <w:sz w:val="21"/>
              </w:rPr>
              <w:t>同类项目合同关键页、验收证明、用户评价材料、项目成果说明、相关资质证书、服务管理制度文件、SLA治理机制说明等。</w:t>
            </w:r>
          </w:p>
        </w:tc>
      </w:tr>
      <w:tr>
        <w:tc>
          <w:tcPr>
            <w:tcW w:type="dxa" w:w="1587"/>
            <w:vAlign w:val="center"/>
          </w:tcPr>
          <w:p>
            <w:pPr>
              <w:jc w:val="left"/>
            </w:pPr>
            <w:r/>
            <w:r>
              <w:rPr>
                <w:rFonts w:ascii="宋体" w:hAnsi="宋体" w:eastAsia="宋体"/>
                <w:b w:val="0"/>
                <w:sz w:val="21"/>
              </w:rPr>
              <w:t>商务响应与文件质量</w:t>
            </w:r>
          </w:p>
        </w:tc>
        <w:tc>
          <w:tcPr>
            <w:tcW w:type="dxa" w:w="2721"/>
            <w:vAlign w:val="center"/>
          </w:tcPr>
          <w:p>
            <w:pPr>
              <w:jc w:val="left"/>
            </w:pPr>
            <w:r/>
            <w:r>
              <w:rPr>
                <w:rFonts w:ascii="宋体" w:hAnsi="宋体" w:eastAsia="宋体"/>
                <w:b w:val="0"/>
                <w:sz w:val="21"/>
              </w:rPr>
              <w:t>商务响应与文件完整性</w:t>
            </w:r>
          </w:p>
        </w:tc>
        <w:tc>
          <w:tcPr>
            <w:tcW w:type="dxa" w:w="850"/>
            <w:vAlign w:val="center"/>
          </w:tcPr>
          <w:p>
            <w:pPr>
              <w:jc w:val="center"/>
            </w:pPr>
            <w:r/>
            <w:r>
              <w:rPr>
                <w:rFonts w:ascii="宋体" w:hAnsi="宋体" w:eastAsia="宋体"/>
                <w:b w:val="0"/>
                <w:sz w:val="21"/>
              </w:rPr>
              <w:t>12</w:t>
            </w:r>
          </w:p>
        </w:tc>
        <w:tc>
          <w:tcPr>
            <w:tcW w:type="dxa" w:w="5103"/>
            <w:vAlign w:val="center"/>
          </w:tcPr>
          <w:p>
            <w:pPr>
              <w:jc w:val="left"/>
            </w:pPr>
            <w:r/>
            <w:r>
              <w:rPr>
                <w:rFonts w:ascii="宋体" w:hAnsi="宋体" w:eastAsia="宋体"/>
                <w:b w:val="0"/>
                <w:sz w:val="21"/>
              </w:rPr>
              <w:t>商务承诺明确、违约处理和资源补偿机制清晰，响应文件完整、结构清晰、排版规范、检索方便，得 12 分；整体较好，得 7-11 分；较弱，得 0-6 分。</w:t>
            </w:r>
          </w:p>
        </w:tc>
        <w:tc>
          <w:tcPr>
            <w:tcW w:type="dxa" w:w="4536"/>
            <w:vAlign w:val="center"/>
          </w:tcPr>
          <w:p>
            <w:pPr>
              <w:jc w:val="left"/>
            </w:pPr>
            <w:r/>
            <w:r>
              <w:rPr>
                <w:rFonts w:ascii="宋体" w:hAnsi="宋体" w:eastAsia="宋体"/>
                <w:b w:val="0"/>
                <w:sz w:val="21"/>
              </w:rPr>
              <w:t>商务承诺函、违约处理条款响应、响应文件目录、盖章签字、版本控制。</w:t>
            </w:r>
          </w:p>
        </w:tc>
      </w:tr>
    </w:tbl>
    <w:p>
      <w:pPr>
        <w:spacing w:before="120" w:after="80"/>
      </w:pPr>
      <w:r>
        <w:rPr>
          <w:rFonts w:ascii="黑体" w:hAnsi="黑体" w:eastAsia="黑体"/>
          <w:b/>
          <w:sz w:val="26"/>
        </w:rPr>
        <w:t>四、统一报价评分标准</w:t>
      </w:r>
    </w:p>
    <w:p>
      <w:pPr>
        <w:spacing w:after="60"/>
        <w:ind w:firstLine="420"/>
      </w:pPr>
      <w:r>
        <w:rPr>
          <w:rFonts w:ascii="宋体" w:hAnsi="宋体" w:eastAsia="宋体"/>
          <w:sz w:val="21"/>
        </w:rPr>
        <w:t>供应商应按本项目完整范围提交一份整包统一有效报价，不再区分定制开发和驻场运维分别报价。统一报价评分满分100分。</w:t>
      </w:r>
    </w:p>
    <w:tbl>
      <w:tblPr>
        <w:tblStyle w:val="TableGrid"/>
        <w:tblW w:type="auto" w:w="0"/>
        <w:jc w:val="center"/>
        <w:tblLayout w:type="fixed"/>
        <w:tblLook w:firstColumn="1" w:firstRow="1" w:lastColumn="0" w:lastRow="0" w:noHBand="0" w:noVBand="1" w:val="04A0"/>
      </w:tblPr>
      <w:tblGrid>
        <w:gridCol w:w="2805"/>
        <w:gridCol w:w="2805"/>
        <w:gridCol w:w="2805"/>
        <w:gridCol w:w="2805"/>
        <w:gridCol w:w="2805"/>
      </w:tblGrid>
      <w:tr>
        <w:tc>
          <w:tcPr>
            <w:tcW w:type="dxa" w:w="1701"/>
            <w:vAlign w:val="center"/>
            <w:shd w:fill="D9EAF7"/>
          </w:tcPr>
          <w:p>
            <w:pPr>
              <w:jc w:val="center"/>
            </w:pPr>
            <w:r/>
            <w:r>
              <w:rPr>
                <w:rFonts w:ascii="黑体" w:hAnsi="黑体" w:eastAsia="黑体"/>
                <w:b/>
                <w:sz w:val="21"/>
              </w:rPr>
              <w:t>评审大项</w:t>
            </w:r>
          </w:p>
        </w:tc>
        <w:tc>
          <w:tcPr>
            <w:tcW w:type="dxa" w:w="2551"/>
            <w:vAlign w:val="center"/>
            <w:shd w:fill="D9EAF7"/>
          </w:tcPr>
          <w:p>
            <w:pPr>
              <w:jc w:val="center"/>
            </w:pPr>
            <w:r/>
            <w:r>
              <w:rPr>
                <w:rFonts w:ascii="黑体" w:hAnsi="黑体" w:eastAsia="黑体"/>
                <w:b/>
                <w:sz w:val="21"/>
              </w:rPr>
              <w:t>评审子项</w:t>
            </w:r>
          </w:p>
        </w:tc>
        <w:tc>
          <w:tcPr>
            <w:tcW w:type="dxa" w:w="1020"/>
            <w:vAlign w:val="center"/>
            <w:shd w:fill="D9EAF7"/>
          </w:tcPr>
          <w:p>
            <w:pPr>
              <w:jc w:val="center"/>
            </w:pPr>
            <w:r/>
            <w:r>
              <w:rPr>
                <w:rFonts w:ascii="黑体" w:hAnsi="黑体" w:eastAsia="黑体"/>
                <w:b/>
                <w:sz w:val="21"/>
              </w:rPr>
              <w:t>分值</w:t>
            </w:r>
          </w:p>
        </w:tc>
        <w:tc>
          <w:tcPr>
            <w:tcW w:type="dxa" w:w="5670"/>
            <w:vAlign w:val="center"/>
            <w:shd w:fill="D9EAF7"/>
          </w:tcPr>
          <w:p>
            <w:pPr>
              <w:jc w:val="center"/>
            </w:pPr>
            <w:r/>
            <w:r>
              <w:rPr>
                <w:rFonts w:ascii="黑体" w:hAnsi="黑体" w:eastAsia="黑体"/>
                <w:b/>
                <w:sz w:val="21"/>
              </w:rPr>
              <w:t>评分标准</w:t>
            </w:r>
          </w:p>
        </w:tc>
        <w:tc>
          <w:tcPr>
            <w:tcW w:type="dxa" w:w="3855"/>
            <w:vAlign w:val="center"/>
            <w:shd w:fill="D9EAF7"/>
          </w:tcPr>
          <w:p>
            <w:pPr>
              <w:jc w:val="center"/>
            </w:pPr>
            <w:r/>
            <w:r>
              <w:rPr>
                <w:rFonts w:ascii="黑体" w:hAnsi="黑体" w:eastAsia="黑体"/>
                <w:b/>
                <w:sz w:val="21"/>
              </w:rPr>
              <w:t>评分依据/证明材料</w:t>
            </w:r>
          </w:p>
        </w:tc>
      </w:tr>
      <w:tr>
        <w:tc>
          <w:tcPr>
            <w:tcW w:type="dxa" w:w="1701"/>
            <w:vAlign w:val="center"/>
          </w:tcPr>
          <w:p>
            <w:pPr>
              <w:jc w:val="left"/>
            </w:pPr>
            <w:r/>
            <w:r>
              <w:rPr>
                <w:rFonts w:ascii="宋体" w:hAnsi="宋体" w:eastAsia="宋体"/>
                <w:b w:val="0"/>
                <w:sz w:val="21"/>
              </w:rPr>
              <w:t>价格评分</w:t>
            </w:r>
          </w:p>
        </w:tc>
        <w:tc>
          <w:tcPr>
            <w:tcW w:type="dxa" w:w="2551"/>
            <w:vAlign w:val="center"/>
          </w:tcPr>
          <w:p>
            <w:pPr>
              <w:jc w:val="left"/>
            </w:pPr>
            <w:r/>
            <w:r>
              <w:rPr>
                <w:rFonts w:ascii="宋体" w:hAnsi="宋体" w:eastAsia="宋体"/>
                <w:b w:val="0"/>
                <w:sz w:val="21"/>
              </w:rPr>
              <w:t>统一报价得分</w:t>
            </w:r>
          </w:p>
        </w:tc>
        <w:tc>
          <w:tcPr>
            <w:tcW w:type="dxa" w:w="1020"/>
            <w:vAlign w:val="center"/>
          </w:tcPr>
          <w:p>
            <w:pPr>
              <w:jc w:val="center"/>
            </w:pPr>
            <w:r/>
            <w:r>
              <w:rPr>
                <w:rFonts w:ascii="宋体" w:hAnsi="宋体" w:eastAsia="宋体"/>
                <w:b w:val="0"/>
                <w:sz w:val="21"/>
              </w:rPr>
              <w:t>100</w:t>
            </w:r>
          </w:p>
        </w:tc>
        <w:tc>
          <w:tcPr>
            <w:tcW w:type="dxa" w:w="5670"/>
            <w:vAlign w:val="center"/>
          </w:tcPr>
          <w:p>
            <w:pPr>
              <w:jc w:val="left"/>
            </w:pPr>
            <w:r/>
            <w:r>
              <w:rPr>
                <w:rFonts w:ascii="宋体" w:hAnsi="宋体" w:eastAsia="宋体"/>
                <w:b w:val="0"/>
                <w:sz w:val="21"/>
              </w:rPr>
              <w:t>价格部分采用最低有效报价比例法，最低有效报价得满分 100 分，其他供应商按“最低有效报价/本供应商有效报价×100”折算。</w:t>
            </w:r>
          </w:p>
        </w:tc>
        <w:tc>
          <w:tcPr>
            <w:tcW w:type="dxa" w:w="3855"/>
            <w:vAlign w:val="center"/>
          </w:tcPr>
          <w:p>
            <w:pPr>
              <w:jc w:val="left"/>
            </w:pPr>
            <w:r/>
            <w:r>
              <w:rPr>
                <w:rFonts w:ascii="宋体" w:hAnsi="宋体" w:eastAsia="宋体"/>
                <w:b w:val="0"/>
                <w:sz w:val="21"/>
              </w:rPr>
              <w:t>有效报价表、澄清函、报价一览表等。</w:t>
            </w:r>
          </w:p>
        </w:tc>
      </w:tr>
    </w:tbl>
    <w:p>
      <w:pPr>
        <w:spacing w:before="120" w:after="80"/>
      </w:pPr>
      <w:r>
        <w:rPr>
          <w:rFonts w:ascii="黑体" w:hAnsi="黑体" w:eastAsia="黑体"/>
          <w:b/>
          <w:sz w:val="26"/>
        </w:rPr>
        <w:t>五、综合评分权重及计算方式</w:t>
      </w:r>
    </w:p>
    <w:tbl>
      <w:tblPr>
        <w:tblStyle w:val="TableGrid"/>
        <w:tblW w:type="auto" w:w="0"/>
        <w:jc w:val="center"/>
        <w:tblLayout w:type="fixed"/>
        <w:tblLook w:firstColumn="1" w:firstRow="1" w:lastColumn="0" w:lastRow="0" w:noHBand="0" w:noVBand="1" w:val="04A0"/>
      </w:tblPr>
      <w:tblGrid>
        <w:gridCol w:w="7013"/>
        <w:gridCol w:w="7013"/>
      </w:tblGrid>
      <w:tr>
        <w:tc>
          <w:tcPr>
            <w:tcW w:type="dxa" w:w="4536"/>
            <w:vAlign w:val="center"/>
            <w:shd w:fill="D9EAF7"/>
          </w:tcPr>
          <w:p>
            <w:pPr>
              <w:jc w:val="center"/>
            </w:pPr>
            <w:r/>
            <w:r>
              <w:rPr>
                <w:rFonts w:ascii="黑体" w:hAnsi="黑体" w:eastAsia="黑体"/>
                <w:b/>
                <w:sz w:val="21"/>
              </w:rPr>
              <w:t>评分部分</w:t>
            </w:r>
          </w:p>
        </w:tc>
        <w:tc>
          <w:tcPr>
            <w:tcW w:type="dxa" w:w="2268"/>
            <w:vAlign w:val="center"/>
            <w:shd w:fill="D9EAF7"/>
          </w:tcPr>
          <w:p>
            <w:pPr>
              <w:jc w:val="center"/>
            </w:pPr>
            <w:r/>
            <w:r>
              <w:rPr>
                <w:rFonts w:ascii="黑体" w:hAnsi="黑体" w:eastAsia="黑体"/>
                <w:b/>
                <w:sz w:val="21"/>
              </w:rPr>
              <w:t>权重</w:t>
            </w:r>
          </w:p>
        </w:tc>
      </w:tr>
      <w:tr>
        <w:tc>
          <w:tcPr>
            <w:tcW w:type="dxa" w:w="4536"/>
            <w:vAlign w:val="center"/>
          </w:tcPr>
          <w:p>
            <w:pPr>
              <w:jc w:val="left"/>
            </w:pPr>
            <w:r/>
            <w:r>
              <w:rPr>
                <w:rFonts w:ascii="宋体" w:hAnsi="宋体" w:eastAsia="宋体"/>
                <w:b w:val="0"/>
                <w:sz w:val="21"/>
              </w:rPr>
              <w:t>资质评分权重（%）</w:t>
            </w:r>
          </w:p>
        </w:tc>
        <w:tc>
          <w:tcPr>
            <w:tcW w:type="dxa" w:w="2268"/>
            <w:vAlign w:val="center"/>
          </w:tcPr>
          <w:p>
            <w:pPr>
              <w:jc w:val="left"/>
            </w:pPr>
            <w:r/>
            <w:r>
              <w:rPr>
                <w:rFonts w:ascii="宋体" w:hAnsi="宋体" w:eastAsia="宋体"/>
                <w:b w:val="0"/>
                <w:sz w:val="21"/>
              </w:rPr>
              <w:t>10%</w:t>
            </w:r>
          </w:p>
        </w:tc>
      </w:tr>
      <w:tr>
        <w:tc>
          <w:tcPr>
            <w:tcW w:type="dxa" w:w="4536"/>
            <w:vAlign w:val="center"/>
          </w:tcPr>
          <w:p>
            <w:pPr>
              <w:jc w:val="left"/>
            </w:pPr>
            <w:r/>
            <w:r>
              <w:rPr>
                <w:rFonts w:ascii="宋体" w:hAnsi="宋体" w:eastAsia="宋体"/>
                <w:b w:val="0"/>
                <w:sz w:val="21"/>
              </w:rPr>
              <w:t>定制开发权重（%）</w:t>
            </w:r>
          </w:p>
        </w:tc>
        <w:tc>
          <w:tcPr>
            <w:tcW w:type="dxa" w:w="2268"/>
            <w:vAlign w:val="center"/>
          </w:tcPr>
          <w:p>
            <w:pPr>
              <w:jc w:val="left"/>
            </w:pPr>
            <w:r/>
            <w:r>
              <w:rPr>
                <w:rFonts w:ascii="宋体" w:hAnsi="宋体" w:eastAsia="宋体"/>
                <w:b w:val="0"/>
                <w:sz w:val="21"/>
              </w:rPr>
              <w:t>40%</w:t>
            </w:r>
          </w:p>
        </w:tc>
      </w:tr>
      <w:tr>
        <w:tc>
          <w:tcPr>
            <w:tcW w:type="dxa" w:w="4536"/>
            <w:vAlign w:val="center"/>
          </w:tcPr>
          <w:p>
            <w:pPr>
              <w:jc w:val="left"/>
            </w:pPr>
            <w:r/>
            <w:r>
              <w:rPr>
                <w:rFonts w:ascii="宋体" w:hAnsi="宋体" w:eastAsia="宋体"/>
                <w:b w:val="0"/>
                <w:sz w:val="21"/>
              </w:rPr>
              <w:t>驻场运维权重（%）</w:t>
            </w:r>
          </w:p>
        </w:tc>
        <w:tc>
          <w:tcPr>
            <w:tcW w:type="dxa" w:w="2268"/>
            <w:vAlign w:val="center"/>
          </w:tcPr>
          <w:p>
            <w:pPr>
              <w:jc w:val="left"/>
            </w:pPr>
            <w:r/>
            <w:r>
              <w:rPr>
                <w:rFonts w:ascii="宋体" w:hAnsi="宋体" w:eastAsia="宋体"/>
                <w:b w:val="0"/>
                <w:sz w:val="21"/>
              </w:rPr>
              <w:t>20%</w:t>
            </w:r>
          </w:p>
        </w:tc>
      </w:tr>
      <w:tr>
        <w:tc>
          <w:tcPr>
            <w:tcW w:type="dxa" w:w="4536"/>
            <w:vAlign w:val="center"/>
          </w:tcPr>
          <w:p>
            <w:pPr>
              <w:jc w:val="left"/>
            </w:pPr>
            <w:r/>
            <w:r>
              <w:rPr>
                <w:rFonts w:ascii="宋体" w:hAnsi="宋体" w:eastAsia="宋体"/>
                <w:b w:val="0"/>
                <w:sz w:val="21"/>
              </w:rPr>
              <w:t>统一报价权重（%）</w:t>
            </w:r>
          </w:p>
        </w:tc>
        <w:tc>
          <w:tcPr>
            <w:tcW w:type="dxa" w:w="2268"/>
            <w:vAlign w:val="center"/>
          </w:tcPr>
          <w:p>
            <w:pPr>
              <w:jc w:val="left"/>
            </w:pPr>
            <w:r/>
            <w:r>
              <w:rPr>
                <w:rFonts w:ascii="宋体" w:hAnsi="宋体" w:eastAsia="宋体"/>
                <w:b w:val="0"/>
                <w:sz w:val="21"/>
              </w:rPr>
              <w:t>30%</w:t>
            </w:r>
          </w:p>
        </w:tc>
      </w:tr>
    </w:tbl>
    <w:p>
      <w:pPr>
        <w:spacing w:after="60"/>
      </w:pPr>
      <w:r>
        <w:rPr>
          <w:rFonts w:ascii="宋体" w:hAnsi="宋体" w:eastAsia="宋体"/>
          <w:sz w:val="21"/>
        </w:rPr>
        <w:t>综合评审得分计算公式：</w:t>
      </w:r>
    </w:p>
    <w:p>
      <w:pPr>
        <w:spacing w:after="60"/>
      </w:pPr>
      <w:r>
        <w:rPr>
          <w:rFonts w:ascii="宋体" w:hAnsi="宋体" w:eastAsia="宋体"/>
          <w:sz w:val="21"/>
        </w:rPr>
        <w:t>综合评审得分 = 资质评分总分 × 10% + 定制开发总分 × 40% + 驻场运维总分 × 20% + 统一报价总分 × 30%。</w:t>
      </w:r>
    </w:p>
    <w:p>
      <w:pPr>
        <w:spacing w:after="60"/>
      </w:pPr>
      <w:r>
        <w:rPr>
          <w:rFonts w:ascii="宋体" w:hAnsi="宋体" w:eastAsia="宋体"/>
          <w:sz w:val="21"/>
        </w:rPr>
        <w:t>统一报价得分计算公式：统一报价得分 = 最低有效报价 ÷ 本供应商有效报价 × 100。</w:t>
      </w:r>
    </w:p>
    <w:p>
      <w:pPr>
        <w:spacing w:after="60"/>
        <w:ind w:firstLine="420"/>
      </w:pPr>
      <w:r>
        <w:rPr>
          <w:rFonts w:ascii="宋体" w:hAnsi="宋体" w:eastAsia="宋体"/>
          <w:sz w:val="21"/>
        </w:rPr>
        <w:t>本项目采用资质评分、定制开发评分、驻场运维评分、统一报价评分四部分加权汇总方式进行综合评审；综合得分按从高到低排序，分值相同的，名次并列。</w:t>
      </w:r>
    </w:p>
    <w:sectPr w:rsidR="00FC693F" w:rsidRPr="0006063C" w:rsidSect="00034616">
      <w:pgSz w:w="15840" w:h="12240"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