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7AED1">
      <w:pPr>
        <w:rPr>
          <w:rStyle w:val="13"/>
          <w:rFonts w:hAnsi="宋体"/>
          <w:lang w:val="zh-TW"/>
        </w:rPr>
      </w:pPr>
    </w:p>
    <w:p w14:paraId="056A7C71">
      <w:pPr>
        <w:jc w:val="center"/>
        <w:rPr>
          <w:rStyle w:val="13"/>
          <w:rFonts w:hint="eastAsia" w:hAnsi="宋体"/>
          <w:color w:val="000000"/>
          <w:sz w:val="52"/>
          <w:szCs w:val="52"/>
          <w:lang w:val="zh-TW" w:eastAsia="zh-TW"/>
        </w:rPr>
      </w:pPr>
      <w:r>
        <w:rPr>
          <w:rStyle w:val="13"/>
          <w:rFonts w:hint="eastAsia" w:hAnsi="宋体"/>
          <w:color w:val="000000"/>
          <w:sz w:val="52"/>
          <w:szCs w:val="52"/>
          <w:lang w:val="en-US" w:eastAsia="zh-CN"/>
        </w:rPr>
        <w:t>2026年度</w:t>
      </w:r>
      <w:r>
        <w:rPr>
          <w:rStyle w:val="13"/>
          <w:rFonts w:hint="default" w:hAnsi="宋体"/>
          <w:color w:val="000000"/>
          <w:sz w:val="52"/>
          <w:szCs w:val="52"/>
          <w:lang w:val="en-US" w:eastAsia="zh-CN"/>
        </w:rPr>
        <w:t>南京三方一体化数字信息平台优化提升项目</w:t>
      </w:r>
      <w:r>
        <w:rPr>
          <w:rStyle w:val="13"/>
          <w:rFonts w:hint="eastAsia" w:hAnsi="宋体"/>
          <w:color w:val="000000"/>
          <w:sz w:val="52"/>
          <w:szCs w:val="52"/>
          <w:lang w:val="en-US" w:eastAsia="zh-CN"/>
        </w:rPr>
        <w:t>开发</w:t>
      </w:r>
      <w:r>
        <w:rPr>
          <w:rStyle w:val="13"/>
          <w:rFonts w:hint="eastAsia" w:hAnsi="宋体"/>
          <w:color w:val="000000"/>
          <w:sz w:val="52"/>
          <w:szCs w:val="52"/>
          <w:lang w:val="zh-TW" w:eastAsia="zh-TW"/>
        </w:rPr>
        <w:t>采购方案</w:t>
      </w:r>
    </w:p>
    <w:p w14:paraId="3FB044D7">
      <w:pPr>
        <w:jc w:val="center"/>
        <w:rPr>
          <w:rStyle w:val="16"/>
          <w:rFonts w:hAnsi="宋体"/>
          <w:color w:val="000000"/>
          <w:lang w:val="zh-TW"/>
        </w:rPr>
      </w:pPr>
      <w:r>
        <w:rPr>
          <w:rStyle w:val="15"/>
          <w:rFonts w:hint="eastAsia" w:hAnsi="宋体"/>
          <w:color w:val="000000"/>
          <w:sz w:val="52"/>
          <w:szCs w:val="52"/>
          <w:lang w:val="zh-TW" w:eastAsia="zh-TW"/>
        </w:rPr>
        <w:t>（</w:t>
      </w:r>
      <w:r>
        <w:rPr>
          <w:rStyle w:val="15"/>
          <w:rFonts w:hint="eastAsia" w:hAnsi="宋体"/>
          <w:color w:val="000000"/>
          <w:sz w:val="52"/>
          <w:szCs w:val="52"/>
          <w:lang w:val="zh-TW"/>
        </w:rPr>
        <w:t>谈判采购</w:t>
      </w:r>
      <w:r>
        <w:rPr>
          <w:rStyle w:val="16"/>
          <w:rFonts w:hAnsi="宋体"/>
          <w:color w:val="000000"/>
          <w:sz w:val="52"/>
          <w:szCs w:val="52"/>
          <w:lang w:val="zh-TW" w:eastAsia="zh-TW"/>
        </w:rPr>
        <w:t>)</w:t>
      </w:r>
    </w:p>
    <w:p w14:paraId="0BAF7B14">
      <w:pPr>
        <w:jc w:val="right"/>
        <w:rPr>
          <w:rStyle w:val="16"/>
          <w:rFonts w:hint="default" w:hAnsi="宋体" w:eastAsia="宋体"/>
          <w:color w:val="000000"/>
          <w:lang w:val="en-US" w:eastAsia="zh-CN"/>
        </w:rPr>
      </w:pPr>
      <w:r>
        <w:rPr>
          <w:rStyle w:val="16"/>
          <w:rFonts w:hint="eastAsia" w:hAnsi="宋体"/>
          <w:color w:val="000000"/>
          <w:sz w:val="30"/>
          <w:szCs w:val="30"/>
          <w:lang w:val="zh-TW"/>
        </w:rPr>
        <w:t>编号：</w:t>
      </w:r>
      <w:r>
        <w:rPr>
          <w:rStyle w:val="16"/>
          <w:rFonts w:hint="eastAsia" w:hAnsi="宋体"/>
          <w:color w:val="000000"/>
          <w:sz w:val="30"/>
          <w:szCs w:val="30"/>
          <w:highlight w:val="none"/>
          <w:lang w:val="zh-TW"/>
        </w:rPr>
        <w:t>NJSF-CGFA-</w:t>
      </w:r>
      <w:r>
        <w:rPr>
          <w:rStyle w:val="16"/>
          <w:rFonts w:hint="eastAsia" w:hAnsi="宋体" w:eastAsia="宋体"/>
          <w:color w:val="000000"/>
          <w:sz w:val="30"/>
          <w:szCs w:val="30"/>
          <w:highlight w:val="none"/>
          <w:lang w:val="en-US" w:eastAsia="zh-CN"/>
        </w:rPr>
        <w:t>TP</w:t>
      </w:r>
      <w:r>
        <w:rPr>
          <w:rStyle w:val="16"/>
          <w:rFonts w:hint="eastAsia" w:hAnsi="宋体"/>
          <w:color w:val="000000"/>
          <w:sz w:val="30"/>
          <w:szCs w:val="30"/>
          <w:highlight w:val="none"/>
          <w:lang w:val="zh-TW"/>
        </w:rPr>
        <w:t>-202</w:t>
      </w:r>
      <w:r>
        <w:rPr>
          <w:rStyle w:val="16"/>
          <w:rFonts w:hint="eastAsia" w:hAnsi="宋体" w:eastAsia="宋体"/>
          <w:color w:val="000000"/>
          <w:sz w:val="30"/>
          <w:szCs w:val="30"/>
          <w:highlight w:val="none"/>
          <w:lang w:val="en-US" w:eastAsia="zh-CN"/>
        </w:rPr>
        <w:t>6</w:t>
      </w:r>
      <w:r>
        <w:rPr>
          <w:rStyle w:val="16"/>
          <w:rFonts w:hint="eastAsia" w:hAnsi="宋体"/>
          <w:color w:val="000000"/>
          <w:sz w:val="30"/>
          <w:szCs w:val="30"/>
          <w:highlight w:val="none"/>
          <w:lang w:val="zh-TW"/>
        </w:rPr>
        <w:t>-</w:t>
      </w:r>
      <w:r>
        <w:rPr>
          <w:rStyle w:val="16"/>
          <w:rFonts w:hint="eastAsia" w:hAnsi="宋体" w:eastAsia="宋体"/>
          <w:color w:val="000000"/>
          <w:sz w:val="30"/>
          <w:szCs w:val="30"/>
          <w:highlight w:val="none"/>
          <w:lang w:val="en-US" w:eastAsia="zh-CN"/>
        </w:rPr>
        <w:t>04-01</w:t>
      </w:r>
    </w:p>
    <w:p w14:paraId="66117226">
      <w:pPr>
        <w:rPr>
          <w:rStyle w:val="16"/>
          <w:rFonts w:hAnsi="宋体"/>
          <w:color w:val="000000"/>
          <w:lang w:val="zh-TW"/>
        </w:rPr>
      </w:pPr>
    </w:p>
    <w:p w14:paraId="6EFB2093">
      <w:pPr>
        <w:rPr>
          <w:rStyle w:val="16"/>
          <w:rFonts w:hAnsi="宋体"/>
          <w:color w:val="000000"/>
          <w:lang w:val="zh-TW"/>
        </w:rPr>
      </w:pPr>
    </w:p>
    <w:p w14:paraId="46550B5F">
      <w:pPr>
        <w:rPr>
          <w:rStyle w:val="16"/>
          <w:rFonts w:hint="eastAsia" w:hAnsi="宋体"/>
          <w:color w:val="000000"/>
          <w:lang w:val="zh-TW"/>
        </w:rPr>
      </w:pPr>
    </w:p>
    <w:tbl>
      <w:tblPr>
        <w:tblStyle w:val="8"/>
        <w:tblW w:w="4646" w:type="dxa"/>
        <w:jc w:val="center"/>
        <w:tblLayout w:type="fixed"/>
        <w:tblCellMar>
          <w:top w:w="0" w:type="dxa"/>
          <w:left w:w="108" w:type="dxa"/>
          <w:bottom w:w="0" w:type="dxa"/>
          <w:right w:w="108" w:type="dxa"/>
        </w:tblCellMar>
      </w:tblPr>
      <w:tblGrid>
        <w:gridCol w:w="1249"/>
        <w:gridCol w:w="3397"/>
      </w:tblGrid>
      <w:tr w14:paraId="0530CAA1">
        <w:tblPrEx>
          <w:tblCellMar>
            <w:top w:w="0" w:type="dxa"/>
            <w:left w:w="108" w:type="dxa"/>
            <w:bottom w:w="0" w:type="dxa"/>
            <w:right w:w="108" w:type="dxa"/>
          </w:tblCellMar>
        </w:tblPrEx>
        <w:trPr>
          <w:trHeight w:val="464" w:hRule="atLeast"/>
          <w:jc w:val="center"/>
        </w:trPr>
        <w:tc>
          <w:tcPr>
            <w:tcW w:w="1249" w:type="dxa"/>
            <w:vAlign w:val="center"/>
          </w:tcPr>
          <w:p w14:paraId="47A2271C">
            <w:pPr>
              <w:spacing w:line="360" w:lineRule="auto"/>
              <w:jc w:val="center"/>
              <w:rPr>
                <w:b/>
                <w:sz w:val="24"/>
              </w:rPr>
            </w:pPr>
            <w:r>
              <w:rPr>
                <w:b/>
                <w:sz w:val="24"/>
              </w:rPr>
              <w:t>编制：</w:t>
            </w:r>
          </w:p>
        </w:tc>
        <w:tc>
          <w:tcPr>
            <w:tcW w:w="3397" w:type="dxa"/>
            <w:tcBorders>
              <w:bottom w:val="single" w:color="auto" w:sz="4" w:space="0"/>
            </w:tcBorders>
            <w:vAlign w:val="center"/>
          </w:tcPr>
          <w:p w14:paraId="32C330B8">
            <w:pPr>
              <w:spacing w:line="360" w:lineRule="auto"/>
              <w:jc w:val="center"/>
              <w:rPr>
                <w:sz w:val="24"/>
              </w:rPr>
            </w:pPr>
          </w:p>
        </w:tc>
      </w:tr>
      <w:tr w14:paraId="19EFC227">
        <w:tblPrEx>
          <w:tblCellMar>
            <w:top w:w="0" w:type="dxa"/>
            <w:left w:w="108" w:type="dxa"/>
            <w:bottom w:w="0" w:type="dxa"/>
            <w:right w:w="108" w:type="dxa"/>
          </w:tblCellMar>
        </w:tblPrEx>
        <w:trPr>
          <w:trHeight w:val="610" w:hRule="atLeast"/>
          <w:jc w:val="center"/>
        </w:trPr>
        <w:tc>
          <w:tcPr>
            <w:tcW w:w="1249" w:type="dxa"/>
            <w:vAlign w:val="center"/>
          </w:tcPr>
          <w:p w14:paraId="3BDA366A">
            <w:pPr>
              <w:spacing w:line="360" w:lineRule="auto"/>
              <w:jc w:val="center"/>
              <w:rPr>
                <w:b/>
                <w:sz w:val="24"/>
              </w:rPr>
            </w:pPr>
            <w:r>
              <w:rPr>
                <w:rFonts w:hint="eastAsia"/>
                <w:b/>
                <w:sz w:val="24"/>
              </w:rPr>
              <w:t>校核：</w:t>
            </w:r>
          </w:p>
        </w:tc>
        <w:tc>
          <w:tcPr>
            <w:tcW w:w="3397" w:type="dxa"/>
            <w:tcBorders>
              <w:bottom w:val="single" w:color="auto" w:sz="4" w:space="0"/>
            </w:tcBorders>
            <w:vAlign w:val="center"/>
          </w:tcPr>
          <w:p w14:paraId="3D6655A0">
            <w:pPr>
              <w:spacing w:line="360" w:lineRule="auto"/>
              <w:rPr>
                <w:sz w:val="24"/>
              </w:rPr>
            </w:pPr>
          </w:p>
        </w:tc>
      </w:tr>
      <w:tr w14:paraId="1D48E01D">
        <w:tblPrEx>
          <w:tblCellMar>
            <w:top w:w="0" w:type="dxa"/>
            <w:left w:w="108" w:type="dxa"/>
            <w:bottom w:w="0" w:type="dxa"/>
            <w:right w:w="108" w:type="dxa"/>
          </w:tblCellMar>
        </w:tblPrEx>
        <w:trPr>
          <w:trHeight w:val="451" w:hRule="atLeast"/>
          <w:jc w:val="center"/>
        </w:trPr>
        <w:tc>
          <w:tcPr>
            <w:tcW w:w="1249" w:type="dxa"/>
            <w:vAlign w:val="center"/>
          </w:tcPr>
          <w:p w14:paraId="1DF822A5">
            <w:pPr>
              <w:spacing w:line="360" w:lineRule="auto"/>
              <w:jc w:val="center"/>
              <w:rPr>
                <w:b/>
                <w:sz w:val="24"/>
              </w:rPr>
            </w:pPr>
            <w:r>
              <w:rPr>
                <w:b/>
                <w:sz w:val="24"/>
              </w:rPr>
              <w:t>批准：</w:t>
            </w:r>
          </w:p>
        </w:tc>
        <w:tc>
          <w:tcPr>
            <w:tcW w:w="3397" w:type="dxa"/>
            <w:tcBorders>
              <w:top w:val="single" w:color="auto" w:sz="4" w:space="0"/>
              <w:bottom w:val="single" w:color="auto" w:sz="4" w:space="0"/>
            </w:tcBorders>
            <w:vAlign w:val="center"/>
          </w:tcPr>
          <w:p w14:paraId="5355CA90">
            <w:pPr>
              <w:spacing w:line="360" w:lineRule="auto"/>
              <w:rPr>
                <w:sz w:val="24"/>
              </w:rPr>
            </w:pPr>
          </w:p>
        </w:tc>
      </w:tr>
    </w:tbl>
    <w:p w14:paraId="0FCA7E4C">
      <w:pPr>
        <w:rPr>
          <w:rStyle w:val="16"/>
          <w:rFonts w:hAnsi="宋体"/>
          <w:color w:val="000000"/>
          <w:lang w:val="zh-TW"/>
        </w:rPr>
      </w:pPr>
    </w:p>
    <w:p w14:paraId="665BE134">
      <w:pPr>
        <w:rPr>
          <w:rStyle w:val="16"/>
          <w:rFonts w:hAnsi="宋体"/>
          <w:color w:val="000000"/>
          <w:lang w:val="zh-TW"/>
        </w:rPr>
      </w:pPr>
    </w:p>
    <w:p w14:paraId="6DDB7F8C">
      <w:pPr>
        <w:jc w:val="center"/>
        <w:rPr>
          <w:rStyle w:val="13"/>
          <w:rFonts w:hAnsi="宋体"/>
          <w:color w:val="000000"/>
          <w:sz w:val="28"/>
          <w:szCs w:val="28"/>
          <w:lang w:val="zh-TW"/>
        </w:rPr>
      </w:pPr>
      <w:r>
        <w:rPr>
          <w:rStyle w:val="17"/>
          <w:rFonts w:hint="eastAsia" w:hAnsi="宋体"/>
          <w:color w:val="000000"/>
          <w:sz w:val="28"/>
          <w:szCs w:val="28"/>
          <w:lang w:val="zh-TW" w:eastAsia="zh-TW"/>
        </w:rPr>
        <w:t>南京三方化工设备监理有限</w:t>
      </w:r>
      <w:r>
        <w:rPr>
          <w:rStyle w:val="13"/>
          <w:rFonts w:hint="eastAsia" w:hAnsi="宋体"/>
          <w:color w:val="000000"/>
          <w:sz w:val="28"/>
          <w:szCs w:val="28"/>
          <w:lang w:val="zh-TW" w:eastAsia="zh-TW"/>
        </w:rPr>
        <w:t>公司</w:t>
      </w:r>
    </w:p>
    <w:p w14:paraId="1F2ED59A">
      <w:pPr>
        <w:jc w:val="center"/>
        <w:rPr>
          <w:rStyle w:val="17"/>
          <w:rFonts w:hint="eastAsia" w:hAnsi="宋体"/>
          <w:color w:val="000000"/>
          <w:sz w:val="28"/>
          <w:szCs w:val="28"/>
          <w:lang w:val="zh-TW" w:eastAsia="zh-TW"/>
        </w:rPr>
      </w:pPr>
      <w:r>
        <w:rPr>
          <w:rStyle w:val="17"/>
          <w:rFonts w:hint="eastAsia" w:hAnsi="宋体" w:eastAsia="宋体"/>
          <w:color w:val="000000"/>
          <w:sz w:val="28"/>
          <w:szCs w:val="28"/>
          <w:lang w:val="zh-TW" w:eastAsia="zh-CN"/>
        </w:rPr>
        <w:t xml:space="preserve"> 2026</w:t>
      </w:r>
      <w:r>
        <w:rPr>
          <w:rStyle w:val="17"/>
          <w:rFonts w:hint="eastAsia" w:hAnsi="宋体"/>
          <w:color w:val="000000"/>
          <w:sz w:val="28"/>
          <w:szCs w:val="28"/>
          <w:lang w:val="zh-TW" w:eastAsia="zh-TW"/>
        </w:rPr>
        <w:t>年</w:t>
      </w:r>
      <w:r>
        <w:rPr>
          <w:rStyle w:val="17"/>
          <w:rFonts w:hint="eastAsia" w:hAnsi="宋体"/>
          <w:color w:val="000000"/>
          <w:sz w:val="28"/>
          <w:szCs w:val="28"/>
          <w:lang w:val="en-US" w:eastAsia="zh-CN"/>
        </w:rPr>
        <w:t>4</w:t>
      </w:r>
      <w:r>
        <w:rPr>
          <w:rStyle w:val="17"/>
          <w:rFonts w:hint="eastAsia" w:hAnsi="宋体"/>
          <w:color w:val="000000"/>
          <w:sz w:val="28"/>
          <w:szCs w:val="28"/>
          <w:lang w:val="zh-TW" w:eastAsia="zh-TW"/>
        </w:rPr>
        <w:t>月</w:t>
      </w:r>
      <w:r>
        <w:rPr>
          <w:rStyle w:val="17"/>
          <w:rFonts w:hint="eastAsia" w:hAnsi="宋体"/>
          <w:color w:val="000000"/>
          <w:sz w:val="28"/>
          <w:szCs w:val="28"/>
          <w:lang w:val="en-US" w:eastAsia="zh-CN"/>
        </w:rPr>
        <w:t>20</w:t>
      </w:r>
      <w:r>
        <w:rPr>
          <w:rStyle w:val="17"/>
          <w:rFonts w:hint="eastAsia" w:hAnsi="宋体"/>
          <w:color w:val="000000"/>
          <w:sz w:val="28"/>
          <w:szCs w:val="28"/>
          <w:lang w:val="zh-TW" w:eastAsia="zh-TW"/>
        </w:rPr>
        <w:t>日</w:t>
      </w:r>
    </w:p>
    <w:p w14:paraId="1A910722">
      <w:pPr>
        <w:rPr>
          <w:rFonts w:hint="eastAsia" w:ascii="宋体" w:hAnsi="宋体" w:eastAsia="宋体"/>
          <w:sz w:val="28"/>
          <w:szCs w:val="28"/>
          <w:highlight w:val="yellow"/>
        </w:rPr>
      </w:pPr>
      <w:r>
        <w:rPr>
          <w:rFonts w:hint="eastAsia" w:ascii="宋体" w:hAnsi="宋体" w:eastAsia="宋体"/>
          <w:sz w:val="28"/>
          <w:szCs w:val="28"/>
          <w:highlight w:val="yellow"/>
        </w:rPr>
        <w:br w:type="page"/>
      </w:r>
    </w:p>
    <w:p w14:paraId="2CF01765">
      <w:pPr>
        <w:pStyle w:val="30"/>
        <w:shd w:val="clear" w:color="auto" w:fill="auto"/>
        <w:spacing w:after="189" w:line="360" w:lineRule="auto"/>
        <w:ind w:left="20" w:hanging="20"/>
        <w:jc w:val="both"/>
        <w:outlineLvl w:val="0"/>
        <w:rPr>
          <w:rStyle w:val="29"/>
          <w:b/>
          <w:bCs/>
          <w:sz w:val="28"/>
          <w:szCs w:val="28"/>
        </w:rPr>
      </w:pPr>
      <w:r>
        <w:rPr>
          <w:rStyle w:val="29"/>
          <w:rFonts w:hint="eastAsia"/>
          <w:b/>
          <w:bCs/>
          <w:sz w:val="28"/>
          <w:szCs w:val="28"/>
        </w:rPr>
        <w:t>一、采购背景</w:t>
      </w:r>
    </w:p>
    <w:p w14:paraId="0BEBB6E4">
      <w:pPr>
        <w:pStyle w:val="30"/>
        <w:shd w:val="clear" w:color="auto" w:fill="auto"/>
        <w:spacing w:after="189" w:line="360" w:lineRule="auto"/>
        <w:ind w:left="20" w:firstLine="480" w:firstLineChars="200"/>
        <w:jc w:val="both"/>
        <w:rPr>
          <w:rStyle w:val="29"/>
          <w:rFonts w:hint="eastAsia" w:hAnsi="Times New Roman"/>
          <w:b w:val="0"/>
          <w:bCs w:val="0"/>
          <w:sz w:val="24"/>
          <w:szCs w:val="24"/>
        </w:rPr>
      </w:pPr>
      <w:r>
        <w:rPr>
          <w:rStyle w:val="29"/>
          <w:rFonts w:hint="eastAsia" w:hAnsi="Times New Roman"/>
          <w:b w:val="0"/>
          <w:bCs w:val="0"/>
          <w:sz w:val="24"/>
          <w:szCs w:val="24"/>
          <w:lang w:val="en-US" w:eastAsia="zh-CN"/>
        </w:rPr>
        <w:t xml:space="preserve"> 2026年度，我们以科技创新为引擎，以数字化转型助推公司高质量发展，持续深化南京三方一体化数字信息平台的建设与应用。一方面，持续优化现有PECMS模块执行速度，新增监造任务派单复制转交、执行状态跟踪等功能，有效提升业务流转效率，减少冗余操作，精准把控业务推进节点，保障监造过程各项工作高效落地；另一方面，同步升级安全管理模块，实现培训考试与统计分析的闭环管理，全面提升安全管控水平，同时新建综合管理模块，完成日常审批、人事考勤等功能的迁移整合，实现全员全覆盖应用，有效打通管理流程、提升协同效率。</w:t>
      </w:r>
    </w:p>
    <w:p w14:paraId="66D9008D">
      <w:pPr>
        <w:pStyle w:val="30"/>
        <w:shd w:val="clear" w:color="auto" w:fill="auto"/>
        <w:spacing w:after="189" w:line="360" w:lineRule="auto"/>
        <w:ind w:left="20" w:firstLine="480" w:firstLineChars="200"/>
        <w:jc w:val="both"/>
        <w:rPr>
          <w:rStyle w:val="29"/>
          <w:rFonts w:hint="eastAsia" w:hAnsi="Times New Roman"/>
          <w:b w:val="0"/>
          <w:bCs w:val="0"/>
          <w:sz w:val="24"/>
          <w:szCs w:val="24"/>
        </w:rPr>
      </w:pPr>
      <w:r>
        <w:rPr>
          <w:rStyle w:val="29"/>
          <w:rFonts w:hint="eastAsia" w:hAnsi="Times New Roman"/>
          <w:b w:val="0"/>
          <w:bCs w:val="0"/>
          <w:sz w:val="24"/>
          <w:szCs w:val="24"/>
          <w:lang w:val="en-US" w:eastAsia="zh-CN"/>
        </w:rPr>
        <w:t>在平台建设取得一定成效的同时，南京三方一体化数字信息平台仍有提升空间，部分功能的便捷性及完善度有待进一步优化：任务派遣单暂未明确区分驻厂与巡检场景，缺少便捷检索及快捷操作入口；外勤人员移动端功能仍需完善，消息通知存在延迟，且无法直接跳转至办理页面，一定程度上增加了业务操作复杂度、影响了办理效率。此外，项目状态的逻辑关联不够紧密，尚未建立自动归档机制，总监代表变更的审批流程仍需规范，人员位置与外勤打卡的实时透明化管控也需进一步推进。</w:t>
      </w:r>
    </w:p>
    <w:p w14:paraId="3B2ADC3E">
      <w:pPr>
        <w:pStyle w:val="30"/>
        <w:shd w:val="clear" w:color="auto" w:fill="auto"/>
        <w:spacing w:after="189" w:line="360" w:lineRule="auto"/>
        <w:ind w:left="20" w:firstLine="480" w:firstLineChars="200"/>
        <w:jc w:val="both"/>
        <w:rPr>
          <w:rFonts w:hint="eastAsia" w:ascii="宋体" w:hAnsi="宋体" w:eastAsia="宋体" w:cs="宋体"/>
          <w:b w:val="0"/>
          <w:bCs w:val="0"/>
          <w:color w:val="000000"/>
          <w:kern w:val="2"/>
          <w:sz w:val="24"/>
          <w:szCs w:val="24"/>
          <w:lang w:val="en-US" w:eastAsia="zh-CN" w:bidi="ar-SA"/>
          <w14:ligatures w14:val="standardContextual"/>
        </w:rPr>
      </w:pPr>
      <w:r>
        <w:rPr>
          <w:rStyle w:val="29"/>
          <w:rFonts w:hint="eastAsia" w:hAnsi="Times New Roman"/>
          <w:b w:val="0"/>
          <w:bCs w:val="0"/>
          <w:sz w:val="24"/>
          <w:szCs w:val="24"/>
          <w:lang w:val="en-US" w:eastAsia="zh-CN"/>
        </w:rPr>
        <w:t>尤为突出的是经营分析层面，平台尚未构建以合同台账为核心的统一数据底座，产值、成本、开票、回款等核心经营数据分散割裂，高度依赖人工线下录入汇总，不仅工作量繁重、易出现差错，更缺乏体系化的可视化分析支撑，无法自动生成多维度经营报表及利润分析报告，导致经营数据难以直观展示、精准研判，精细化经营管理覆盖不足，直接造成经营决策缺乏有效数据支撑，制约了整体经营管控效能与数字化管理水平的进一步提升。</w:t>
      </w:r>
    </w:p>
    <w:p w14:paraId="4D143AE2">
      <w:pPr>
        <w:pStyle w:val="30"/>
        <w:shd w:val="clear" w:color="auto" w:fill="auto"/>
        <w:spacing w:after="189" w:line="360" w:lineRule="auto"/>
        <w:ind w:left="20" w:hanging="20"/>
        <w:jc w:val="both"/>
        <w:outlineLvl w:val="0"/>
        <w:rPr>
          <w:rStyle w:val="29"/>
          <w:rFonts w:hint="eastAsia" w:ascii="宋体" w:hAnsi="Times New Roman" w:eastAsia="宋体" w:cs="宋体"/>
          <w:b/>
          <w:bCs/>
          <w:sz w:val="28"/>
          <w:szCs w:val="28"/>
        </w:rPr>
      </w:pPr>
      <w:r>
        <w:rPr>
          <w:rStyle w:val="29"/>
          <w:rFonts w:hint="eastAsia" w:ascii="宋体" w:hAnsi="Times New Roman" w:eastAsia="宋体" w:cs="宋体"/>
          <w:b/>
          <w:bCs/>
          <w:sz w:val="28"/>
          <w:szCs w:val="28"/>
        </w:rPr>
        <w:t>二、采购预算</w:t>
      </w:r>
    </w:p>
    <w:p w14:paraId="2EF3512A">
      <w:pPr>
        <w:pStyle w:val="30"/>
        <w:shd w:val="clear" w:color="auto" w:fill="auto"/>
        <w:spacing w:after="189" w:line="360" w:lineRule="auto"/>
        <w:ind w:left="20" w:firstLine="480" w:firstLineChars="200"/>
        <w:jc w:val="both"/>
        <w:rPr>
          <w:rStyle w:val="29"/>
          <w:b w:val="0"/>
          <w:bCs w:val="0"/>
          <w:sz w:val="24"/>
          <w:szCs w:val="24"/>
          <w:highlight w:val="yellow"/>
        </w:rPr>
      </w:pPr>
      <w:r>
        <w:rPr>
          <w:rStyle w:val="29"/>
          <w:rFonts w:hint="eastAsia"/>
          <w:b w:val="0"/>
          <w:bCs w:val="0"/>
          <w:sz w:val="24"/>
          <w:szCs w:val="24"/>
          <w:highlight w:val="yellow"/>
        </w:rPr>
        <w:t>本次采购列入</w:t>
      </w:r>
      <w:r>
        <w:rPr>
          <w:rStyle w:val="29"/>
          <w:b w:val="0"/>
          <w:bCs w:val="0"/>
          <w:sz w:val="24"/>
          <w:szCs w:val="24"/>
          <w:highlight w:val="yellow"/>
        </w:rPr>
        <w:t>202</w:t>
      </w:r>
      <w:r>
        <w:rPr>
          <w:rStyle w:val="29"/>
          <w:rFonts w:hint="eastAsia"/>
          <w:b w:val="0"/>
          <w:bCs w:val="0"/>
          <w:sz w:val="24"/>
          <w:szCs w:val="24"/>
          <w:highlight w:val="yellow"/>
          <w:lang w:val="en-US" w:eastAsia="zh-CN"/>
        </w:rPr>
        <w:t>6</w:t>
      </w:r>
      <w:r>
        <w:rPr>
          <w:rStyle w:val="29"/>
          <w:rFonts w:hint="eastAsia"/>
          <w:b w:val="0"/>
          <w:bCs w:val="0"/>
          <w:sz w:val="24"/>
          <w:szCs w:val="24"/>
          <w:highlight w:val="yellow"/>
        </w:rPr>
        <w:t>年度预算，预算金额为</w:t>
      </w:r>
      <w:r>
        <w:rPr>
          <w:rStyle w:val="29"/>
          <w:rFonts w:hint="eastAsia" w:hAnsi="Times New Roman"/>
          <w:b w:val="0"/>
          <w:bCs w:val="0"/>
          <w:sz w:val="24"/>
          <w:szCs w:val="24"/>
          <w:highlight w:val="yellow"/>
          <w:lang w:val="en-US" w:eastAsia="zh-CN"/>
        </w:rPr>
        <w:t>975200</w:t>
      </w:r>
      <w:r>
        <w:rPr>
          <w:rStyle w:val="29"/>
          <w:rFonts w:hint="eastAsia"/>
          <w:b w:val="0"/>
          <w:bCs w:val="0"/>
          <w:sz w:val="24"/>
          <w:szCs w:val="24"/>
          <w:highlight w:val="yellow"/>
        </w:rPr>
        <w:t>元</w:t>
      </w:r>
      <w:r>
        <w:rPr>
          <w:rStyle w:val="29"/>
          <w:rFonts w:hint="eastAsia" w:hAnsi="Times New Roman"/>
          <w:b w:val="0"/>
          <w:bCs w:val="0"/>
          <w:sz w:val="24"/>
          <w:szCs w:val="24"/>
          <w:highlight w:val="yellow"/>
          <w:lang w:val="en-US" w:eastAsia="zh-CN"/>
        </w:rPr>
        <w:t>（大写：人民币玖拾柒万伍仟贰佰元整）</w:t>
      </w:r>
      <w:r>
        <w:rPr>
          <w:rStyle w:val="29"/>
          <w:rFonts w:hint="eastAsia"/>
          <w:b w:val="0"/>
          <w:bCs w:val="0"/>
          <w:sz w:val="24"/>
          <w:szCs w:val="24"/>
          <w:highlight w:val="yellow"/>
        </w:rPr>
        <w:t>。</w:t>
      </w:r>
    </w:p>
    <w:p w14:paraId="3E6A094D">
      <w:pPr>
        <w:pStyle w:val="30"/>
        <w:shd w:val="clear" w:color="auto" w:fill="auto"/>
        <w:spacing w:after="189" w:line="360" w:lineRule="auto"/>
        <w:ind w:left="20" w:hanging="20"/>
        <w:jc w:val="both"/>
        <w:outlineLvl w:val="0"/>
        <w:rPr>
          <w:rStyle w:val="29"/>
          <w:rFonts w:hint="eastAsia" w:ascii="宋体" w:hAnsi="Times New Roman" w:eastAsia="宋体" w:cs="宋体"/>
          <w:b/>
          <w:bCs/>
          <w:sz w:val="28"/>
          <w:szCs w:val="28"/>
        </w:rPr>
      </w:pPr>
      <w:r>
        <w:rPr>
          <w:rStyle w:val="29"/>
          <w:rFonts w:hint="eastAsia" w:ascii="宋体" w:hAnsi="Times New Roman" w:eastAsia="宋体" w:cs="宋体"/>
          <w:b/>
          <w:bCs/>
          <w:sz w:val="28"/>
          <w:szCs w:val="28"/>
          <w:lang w:val="en-US" w:eastAsia="zh-CN"/>
        </w:rPr>
        <w:t>三、</w:t>
      </w:r>
      <w:r>
        <w:rPr>
          <w:rStyle w:val="29"/>
          <w:rFonts w:hint="eastAsia" w:ascii="宋体" w:hAnsi="Times New Roman" w:eastAsia="宋体" w:cs="宋体"/>
          <w:b/>
          <w:bCs/>
          <w:sz w:val="28"/>
          <w:szCs w:val="28"/>
        </w:rPr>
        <w:t>本次采购的需求说明</w:t>
      </w:r>
    </w:p>
    <w:p w14:paraId="27ABD441">
      <w:pPr>
        <w:pStyle w:val="30"/>
        <w:shd w:val="clear" w:color="auto" w:fill="auto"/>
        <w:spacing w:after="189" w:line="360" w:lineRule="auto"/>
        <w:ind w:left="0" w:leftChars="0" w:firstLine="0" w:firstLineChars="0"/>
        <w:jc w:val="both"/>
        <w:outlineLvl w:val="1"/>
        <w:rPr>
          <w:rStyle w:val="29"/>
          <w:rFonts w:hint="eastAsia" w:ascii="宋体" w:hAnsi="Times New Roman" w:eastAsia="宋体" w:cs="宋体"/>
          <w:b/>
          <w:bCs/>
          <w:sz w:val="28"/>
          <w:szCs w:val="28"/>
          <w:lang w:val="en-US" w:eastAsia="zh-CN"/>
        </w:rPr>
      </w:pPr>
      <w:r>
        <w:rPr>
          <w:rStyle w:val="29"/>
          <w:rFonts w:hint="eastAsia" w:ascii="宋体" w:hAnsi="Times New Roman" w:eastAsia="宋体" w:cs="宋体"/>
          <w:b/>
          <w:bCs/>
          <w:sz w:val="28"/>
          <w:szCs w:val="28"/>
          <w:lang w:val="en-US" w:eastAsia="zh-CN"/>
        </w:rPr>
        <w:t>3.1 PECMS模块开发需求</w:t>
      </w:r>
    </w:p>
    <w:p w14:paraId="5A7FCD38">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3.1.1核心业务模块需求</w:t>
      </w:r>
    </w:p>
    <w:p w14:paraId="61D90CEE">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eastAsia" w:ascii="宋体" w:hAnsi="Times New Roman" w:eastAsia="宋体" w:cs="宋体"/>
          <w:b w:val="0"/>
          <w:bCs w:val="0"/>
          <w:sz w:val="24"/>
          <w:szCs w:val="24"/>
          <w:lang w:val="en-US" w:eastAsia="zh-CN"/>
        </w:rPr>
        <w:t>（</w:t>
      </w:r>
      <w:r>
        <w:rPr>
          <w:rStyle w:val="29"/>
          <w:rFonts w:hint="default" w:ascii="宋体" w:hAnsi="Times New Roman" w:eastAsia="宋体" w:cs="宋体"/>
          <w:b w:val="0"/>
          <w:bCs w:val="0"/>
          <w:sz w:val="24"/>
          <w:szCs w:val="24"/>
          <w:lang w:val="en-US" w:eastAsia="zh-CN"/>
        </w:rPr>
        <w:t>1）派单管理优化</w:t>
      </w:r>
    </w:p>
    <w:p w14:paraId="6FD9DE6F">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监造任务安全交底：在派单审批通过后自动发送当前年度安全文件（含数据与站内通知），多角色（项目总监 / 监理人员等）的派单页面新增安全交底按钮，支持查看派单关联安全文件。</w:t>
      </w:r>
    </w:p>
    <w:p w14:paraId="7B5D0E83">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派单操作权限升级：总监代表派单页面新增编辑、驳回重提按钮；监理人员派单页面新增数据填报按钮及日志、周报、细则快捷入口。</w:t>
      </w:r>
    </w:p>
    <w:p w14:paraId="1546A1AA">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派单管理页面按驻厂、巡检场景进行页签区分展示，并支持制造厂名称模糊搜索，提升检索与录入效率。</w:t>
      </w:r>
    </w:p>
    <w:p w14:paraId="7B2ED041">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人员变更流程完善：新增总监代表变更与派单人员变更功能，需填写变更原因、选择新人员并上传附件，变更后权限与审批责任同步切换，支持查看全周期变更历史。</w:t>
      </w:r>
    </w:p>
    <w:p w14:paraId="0BDBACAE">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打卡位置校验：综合管理</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打卡时，需校验用户当前位置与派单地址是否在同一区内，满足条件方可完成打卡。</w:t>
      </w:r>
    </w:p>
    <w:p w14:paraId="5A508CDF">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（2）文件管理升级</w:t>
      </w:r>
    </w:p>
    <w:p w14:paraId="145A5BA6">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监理报告表单固化：新增监理报告关联表单管理模块，管理员可配置表单与设备类型的关联规则，支持表单排序、筛选及操作日志追溯，普通用户按配置规则加载表单。</w:t>
      </w:r>
    </w:p>
    <w:p w14:paraId="484F0756">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文件导出审批：监理人员发起文件（大纲 / 细则 / 报告）导出申请，需勾选文件版本并提交总监代表审批；审批通过后单文件最多导出 3 次，失效后需重新申请，全程记录导出日志。</w:t>
      </w:r>
    </w:p>
    <w:p w14:paraId="07E391BD">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文件格式与页眉优化：调整平台所有监理文件（如派遣单、日志、报告等）页眉样式，支持导出为 PDF 格式；新增 “技术协议核查表”，实现填报、升版、导出等全流程功能。</w:t>
      </w:r>
    </w:p>
    <w:p w14:paraId="1B392C82">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细则复制功能：监理人员在文档目录模块新增细则复制按钮，支持跨派单复制同类型设备审批通过的细则（仅复制空白表，不包含数据），系统记录复制痕迹。</w:t>
      </w:r>
    </w:p>
    <w:p w14:paraId="2E4EA536">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文件版本与考核管理：支持监理大纲、监理细则、监理报告等文件的考核、升版及历史版本留痕管理。签字版大纲管理：支持签字版大纲上传、查看、归档及版本留痕。预检验会议管理：支持预检验会议相关资料上传、会议纪要查看及过程留痕。预评价/后评价资料管理：支持预评价、后评价资料上传、查询、归档及历史追溯。</w:t>
      </w:r>
    </w:p>
    <w:p w14:paraId="03DDB892">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（3）业务流程管控</w:t>
      </w:r>
    </w:p>
    <w:p w14:paraId="72E03300">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文件审批合并：监理大纲、细则、报告模块按报表清单内容合并审批流程。</w:t>
      </w:r>
    </w:p>
    <w:p w14:paraId="1AB328E3">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业务节点关联：设备细则填报完成后方可创建监理报告；细则完成 + 放行申请通过 + 异常问题关闭后方可创建放行单；放行单开具后方可创建监理总结，系统通过控制要点勾选状态判定细则完成情况。</w:t>
      </w:r>
    </w:p>
    <w:p w14:paraId="3D9EE2DC">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派单考核管理：一级页面按派单维度展示考核信息（含项目编号、监理人员、考核等级等），支持查看历史考核记录；二级页面可新增考核、上传附件，实现考核全流程管理。</w:t>
      </w:r>
    </w:p>
    <w:p w14:paraId="73F4F0FE">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 xml:space="preserve">3.1.2 </w:t>
      </w:r>
      <w:r>
        <w:rPr>
          <w:rStyle w:val="29"/>
          <w:rFonts w:hint="default" w:ascii="宋体" w:hAnsi="Times New Roman" w:eastAsia="宋体" w:cs="宋体"/>
          <w:b/>
          <w:bCs/>
          <w:sz w:val="24"/>
          <w:szCs w:val="24"/>
          <w:lang w:val="en-US" w:eastAsia="zh-CN"/>
        </w:rPr>
        <w:t>权限与组织管理模块需求</w:t>
      </w:r>
    </w:p>
    <w:p w14:paraId="5E56A7BF">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（1）项目管理模块</w:t>
      </w:r>
    </w:p>
    <w:p w14:paraId="79077ECF">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新增项目管理员角色：可查看所有项目数据，页面新增驻厂/巡检监造按钮；支持发起项目转交流程，经原项目经理与接收项目经理依次审批后，项目及派单负责人同步变更，历史数据保留。</w:t>
      </w:r>
    </w:p>
    <w:p w14:paraId="10DAC549">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项目状态自动化判定：系统按派单状态自动判定项目状态（未开始/进行中/已完成），已完成状态支持手动撤销；项目下所有派单归档后，支持手动设置 “已归档” 状态。</w:t>
      </w:r>
    </w:p>
    <w:p w14:paraId="33D97BCC">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（2）用户与角色管理</w:t>
      </w:r>
    </w:p>
    <w:p w14:paraId="6EF776C1">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用户管理优化：用户信息新增 “上级 ERP 唯一标识” 字段，新增与修改时需强制维护该字段。</w:t>
      </w:r>
    </w:p>
    <w:p w14:paraId="3B1A62C6">
      <w:pPr>
        <w:pStyle w:val="30"/>
        <w:shd w:val="clear" w:color="auto" w:fill="FFFF00"/>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eastAsia" w:hAnsi="Times New Roman" w:cs="宋体"/>
          <w:b w:val="0"/>
          <w:bCs w:val="0"/>
          <w:sz w:val="24"/>
          <w:szCs w:val="24"/>
          <w:highlight w:val="yellow"/>
          <w:lang w:val="en-US" w:eastAsia="zh-CN"/>
        </w:rPr>
        <w:t>（3）</w:t>
      </w:r>
      <w:r>
        <w:rPr>
          <w:rStyle w:val="29"/>
          <w:rFonts w:hint="default" w:ascii="宋体" w:hAnsi="Times New Roman" w:eastAsia="宋体" w:cs="宋体"/>
          <w:b w:val="0"/>
          <w:bCs w:val="0"/>
          <w:sz w:val="24"/>
          <w:szCs w:val="24"/>
          <w:highlight w:val="yellow"/>
          <w:lang w:val="en-US" w:eastAsia="zh-CN"/>
        </w:rPr>
        <w:t>技术服务人员管理：</w:t>
      </w:r>
    </w:p>
    <w:p w14:paraId="0769A65E">
      <w:pPr>
        <w:pStyle w:val="30"/>
        <w:shd w:val="clear" w:color="auto" w:fill="auto"/>
        <w:spacing w:after="189" w:line="360" w:lineRule="auto"/>
        <w:ind w:left="20" w:firstLine="720" w:firstLineChars="300"/>
        <w:jc w:val="both"/>
        <w:rPr>
          <w:rStyle w:val="29"/>
          <w:rFonts w:hint="default" w:ascii="宋体" w:hAnsi="Times New Roman" w:eastAsia="宋体" w:cs="宋体"/>
          <w:b w:val="0"/>
          <w:bCs w:val="0"/>
          <w:sz w:val="24"/>
          <w:szCs w:val="24"/>
          <w:highlight w:val="yellow"/>
          <w:lang w:val="en-US" w:eastAsia="zh-CN"/>
        </w:rPr>
      </w:pPr>
      <w:r>
        <w:rPr>
          <w:rStyle w:val="29"/>
          <w:rFonts w:hint="eastAsia" w:hAnsi="Times New Roman" w:cs="宋体"/>
          <w:b w:val="0"/>
          <w:bCs w:val="0"/>
          <w:sz w:val="24"/>
          <w:szCs w:val="24"/>
          <w:highlight w:val="yellow"/>
          <w:lang w:val="en-US" w:eastAsia="zh-CN"/>
        </w:rPr>
        <w:t>1）</w:t>
      </w:r>
      <w:r>
        <w:rPr>
          <w:rStyle w:val="29"/>
          <w:rFonts w:hint="default" w:ascii="宋体" w:hAnsi="Times New Roman" w:eastAsia="宋体" w:cs="宋体"/>
          <w:b w:val="0"/>
          <w:bCs w:val="0"/>
          <w:sz w:val="24"/>
          <w:szCs w:val="24"/>
          <w:highlight w:val="yellow"/>
          <w:lang w:val="en-US" w:eastAsia="zh-CN"/>
        </w:rPr>
        <w:t>供应商角色管理：平台新增供应商角色，管理员可为供应商分配技术服务人员，人员数据来源于技术服务部门。</w:t>
      </w:r>
    </w:p>
    <w:p w14:paraId="42EC60A6">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人员关联规则：供应商与技术服务人员的分配关系作为后续考勤填报、成本填报、派单查看、模板导出的基础数据，人员分配调整需保留留痕。</w:t>
      </w:r>
    </w:p>
    <w:p w14:paraId="3B5AFA16">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查看权限控制：供应商仅可查看本账号已分配的技术服务人员数据；总监代表、技术服务管理者等角色可在各自权限范围内查看相关数据，平台同步提供对应查看菜单。</w:t>
      </w:r>
    </w:p>
    <w:p w14:paraId="2B571BED">
      <w:pPr>
        <w:pStyle w:val="30"/>
        <w:shd w:val="clear" w:color="auto" w:fill="auto"/>
        <w:spacing w:after="189" w:line="360" w:lineRule="auto"/>
        <w:ind w:left="20" w:firstLine="720" w:firstLineChars="300"/>
        <w:jc w:val="both"/>
        <w:rPr>
          <w:rStyle w:val="29"/>
          <w:rFonts w:hint="default" w:ascii="宋体" w:hAnsi="Times New Roman" w:eastAsia="宋体" w:cs="宋体"/>
          <w:b w:val="0"/>
          <w:bCs w:val="0"/>
          <w:sz w:val="24"/>
          <w:szCs w:val="24"/>
          <w:highlight w:val="yellow"/>
          <w:lang w:val="en-US" w:eastAsia="zh-CN"/>
        </w:rPr>
      </w:pPr>
      <w:r>
        <w:rPr>
          <w:rStyle w:val="29"/>
          <w:rFonts w:hint="eastAsia" w:hAnsi="Times New Roman" w:cs="宋体"/>
          <w:b w:val="0"/>
          <w:bCs w:val="0"/>
          <w:sz w:val="24"/>
          <w:szCs w:val="24"/>
          <w:highlight w:val="yellow"/>
          <w:lang w:val="en-US" w:eastAsia="zh-CN"/>
        </w:rPr>
        <w:t>2）</w:t>
      </w:r>
      <w:r>
        <w:rPr>
          <w:rStyle w:val="29"/>
          <w:rFonts w:hint="default" w:ascii="宋体" w:hAnsi="Times New Roman" w:eastAsia="宋体" w:cs="宋体"/>
          <w:b w:val="0"/>
          <w:bCs w:val="0"/>
          <w:sz w:val="24"/>
          <w:szCs w:val="24"/>
          <w:highlight w:val="yellow"/>
          <w:lang w:val="en-US" w:eastAsia="zh-CN"/>
        </w:rPr>
        <w:t>技术服务人员考勤管理</w:t>
      </w:r>
    </w:p>
    <w:p w14:paraId="381D7C24">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考勤明细查看：供应商登录后，可查看已分配技术服务人员及其参与派单明细，并支持导出人员与派单明细模板。</w:t>
      </w:r>
    </w:p>
    <w:p w14:paraId="26F85817">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考勤填报方式：供应商可在导出的 Excel 模板中完成考勤填报后导入平台，也可通过页面逐条填报指定技术服务人员在某一派单下的考勤数据。</w:t>
      </w:r>
    </w:p>
    <w:p w14:paraId="13DB0A15">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提交审批规则：平台提供批量提交审批功能，供应商可勾选多条考勤记录统一提交；提交后流程流转至总监代表、技术服务管理者审批。</w:t>
      </w:r>
    </w:p>
    <w:p w14:paraId="56140502">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冲突校验规则：提交考勤数据时，系统需校验填报时间与技术服务人员参与派单时间是否冲突。存在冲突时给出提示并阻止提交，不冲突时方可进入审批流程。</w:t>
      </w:r>
    </w:p>
    <w:p w14:paraId="1BF9917E">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数据维护规则：页面填报支持保存、提交两种状态；审批通过后的考勤数据允许技术服务管理者按权限进行修改，并保留操作记录。</w:t>
      </w:r>
    </w:p>
    <w:p w14:paraId="5802D504">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查看菜单扩展：增加查看菜单，支持供应商、总监代表、技术服务角色查看权限范围内的考勤数据及审批结果。</w:t>
      </w:r>
    </w:p>
    <w:p w14:paraId="2A7927ED">
      <w:pPr>
        <w:pStyle w:val="30"/>
        <w:shd w:val="clear" w:color="auto" w:fill="auto"/>
        <w:spacing w:after="189" w:line="360" w:lineRule="auto"/>
        <w:ind w:left="20" w:firstLine="720" w:firstLineChars="300"/>
        <w:jc w:val="both"/>
        <w:rPr>
          <w:rStyle w:val="29"/>
          <w:rFonts w:hint="default" w:ascii="宋体" w:hAnsi="Times New Roman" w:eastAsia="宋体" w:cs="宋体"/>
          <w:b w:val="0"/>
          <w:bCs w:val="0"/>
          <w:sz w:val="24"/>
          <w:szCs w:val="24"/>
          <w:highlight w:val="yellow"/>
          <w:lang w:val="en-US" w:eastAsia="zh-CN"/>
        </w:rPr>
      </w:pPr>
      <w:r>
        <w:rPr>
          <w:rStyle w:val="29"/>
          <w:rFonts w:hint="eastAsia" w:hAnsi="Times New Roman" w:cs="宋体"/>
          <w:b w:val="0"/>
          <w:bCs w:val="0"/>
          <w:sz w:val="24"/>
          <w:szCs w:val="24"/>
          <w:highlight w:val="yellow"/>
          <w:lang w:val="en-US" w:eastAsia="zh-CN"/>
        </w:rPr>
        <w:t>3）</w:t>
      </w:r>
      <w:r>
        <w:rPr>
          <w:rStyle w:val="29"/>
          <w:rFonts w:hint="default" w:ascii="宋体" w:hAnsi="Times New Roman" w:eastAsia="宋体" w:cs="宋体"/>
          <w:b w:val="0"/>
          <w:bCs w:val="0"/>
          <w:sz w:val="24"/>
          <w:szCs w:val="24"/>
          <w:highlight w:val="yellow"/>
          <w:lang w:val="en-US" w:eastAsia="zh-CN"/>
        </w:rPr>
        <w:t>技术服务人员成本管理</w:t>
      </w:r>
    </w:p>
    <w:p w14:paraId="179FBC82">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成本填报方式：技术服务人员每月成本由供应商按“每人每月成本”方式进行填报。平台提供人员清单导出功能，供应商可在导出的 Excel 模板中完成成本填报后导入平台。</w:t>
      </w:r>
    </w:p>
    <w:p w14:paraId="29265741">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审批流程控制：成本数据导入后，供应商可按批量方式提交至技术服务管理者审批；审批状态、审批意见、提交人、提交时间等信息需全程留痕。</w:t>
      </w:r>
    </w:p>
    <w:p w14:paraId="42FC92A8">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查看权限控制：供应商仅可查看和提交本账号权限范围内的技术服务人员成本数据；技术服务管理者可查看、审批并维护权限范围内的数据。</w:t>
      </w:r>
    </w:p>
    <w:p w14:paraId="0B4EB5DB">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数据修正规则：审批通过后的成本数据保留修正能力，由有权限角色按规则进行调整并保留历史记录，确保后续成本核算与经营分析数据一致。</w:t>
      </w:r>
    </w:p>
    <w:p w14:paraId="2EB324AD">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3.1.3</w:t>
      </w:r>
      <w:r>
        <w:rPr>
          <w:rStyle w:val="29"/>
          <w:rFonts w:hint="default" w:ascii="宋体" w:hAnsi="Times New Roman" w:eastAsia="宋体" w:cs="宋体"/>
          <w:b/>
          <w:bCs/>
          <w:sz w:val="24"/>
          <w:szCs w:val="24"/>
          <w:lang w:val="en-US" w:eastAsia="zh-CN"/>
        </w:rPr>
        <w:t>数据与消息模块需求</w:t>
      </w:r>
    </w:p>
    <w:p w14:paraId="5AC73BFB">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（1）全局消息功能</w:t>
      </w:r>
    </w:p>
    <w:p w14:paraId="521D2F74">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消息中心优化：右上角消息铃铛点击 “查看全部” 可打开消息列表，待办消息支持跳转至审批页面直接操作；消息数量实时更新，下拉列表仅展示未读消息，查询速度要求≤3 秒。</w:t>
      </w:r>
    </w:p>
    <w:p w14:paraId="1F729B19">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（2）数据分析模块</w:t>
      </w:r>
    </w:p>
    <w:p w14:paraId="13BEA340">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派单数据分析支持：在项目管理、任务派遣单等页面新增数据分析按钮，支持按项目经理、区域经理、项目编号、合同编号、制造厂、监造形式、派单状态、时间区间等维度查看业务数据，并支持图表展示与数据导出。</w:t>
      </w:r>
    </w:p>
    <w:p w14:paraId="040BE2D5">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3.1.</w:t>
      </w:r>
      <w:r>
        <w:rPr>
          <w:rStyle w:val="29"/>
          <w:rFonts w:hint="default" w:ascii="宋体" w:hAnsi="Times New Roman" w:eastAsia="宋体" w:cs="宋体"/>
          <w:b/>
          <w:bCs/>
          <w:sz w:val="24"/>
          <w:szCs w:val="24"/>
          <w:lang w:val="en-US" w:eastAsia="zh-CN"/>
        </w:rPr>
        <w:t>4 基础资源管理模块需求</w:t>
      </w:r>
    </w:p>
    <w:p w14:paraId="5E5AA0C3">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（1）材料库模块</w:t>
      </w:r>
    </w:p>
    <w:p w14:paraId="1A7C9AAE">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材料库数据管控：实现库→标准→检验项目→牌号的层级化管理，禁止重复创建；支持临时入库，未被引用的临时数据可删除，已引用数据仅允许修改；过期标准标记为 “作废”，禁止引用；新增创建人、创建时间字段，支持数据审阅与修正。</w:t>
      </w:r>
    </w:p>
    <w:p w14:paraId="766F80E1">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（2）知识资料库模块</w:t>
      </w:r>
    </w:p>
    <w:p w14:paraId="2AADA342">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资料库权限优化：隐藏标准下载按钮，资料库管理员新增左侧树增删改查权限；标准预览时自动添加水印（内容：“仅供内部查阅，不得扩散”）。</w:t>
      </w:r>
    </w:p>
    <w:p w14:paraId="23935DFA">
      <w:pPr>
        <w:pStyle w:val="30"/>
        <w:numPr>
          <w:ilvl w:val="0"/>
          <w:numId w:val="1"/>
        </w:numPr>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对外检验主管及业主资料库：</w:t>
      </w:r>
    </w:p>
    <w:p w14:paraId="73D1C81D">
      <w:pPr>
        <w:pStyle w:val="30"/>
        <w:numPr>
          <w:numId w:val="0"/>
        </w:numPr>
        <w:shd w:val="clear" w:color="auto" w:fill="auto"/>
        <w:spacing w:after="189" w:line="360" w:lineRule="auto"/>
        <w:ind w:firstLine="696" w:firstLineChars="290"/>
        <w:jc w:val="both"/>
        <w:rPr>
          <w:rStyle w:val="29"/>
          <w:rFonts w:hint="default" w:ascii="宋体" w:hAnsi="Times New Roman" w:eastAsia="宋体" w:cs="宋体"/>
          <w:b w:val="0"/>
          <w:bCs w:val="0"/>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新增对外检验主管信息及业主资料库管理功能，支持资料录入、维护、查询、权限控制及历史留痕。</w:t>
      </w:r>
    </w:p>
    <w:p w14:paraId="3178D9B0">
      <w:pPr>
        <w:pStyle w:val="30"/>
        <w:numPr>
          <w:ilvl w:val="0"/>
          <w:numId w:val="1"/>
        </w:numPr>
        <w:shd w:val="clear" w:color="auto" w:fill="auto"/>
        <w:spacing w:after="189" w:line="360" w:lineRule="auto"/>
        <w:ind w:left="20" w:leftChars="0" w:firstLine="480" w:firstLineChars="200"/>
        <w:jc w:val="both"/>
        <w:rPr>
          <w:rStyle w:val="29"/>
          <w:rFonts w:hint="default" w:ascii="宋体" w:hAnsi="Times New Roman" w:eastAsia="宋体" w:cs="宋体"/>
          <w:b/>
          <w:bCs/>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开放接口能力：</w:t>
      </w:r>
    </w:p>
    <w:p w14:paraId="25732BB1">
      <w:pPr>
        <w:pStyle w:val="30"/>
        <w:numPr>
          <w:numId w:val="0"/>
        </w:numPr>
        <w:shd w:val="clear" w:color="auto" w:fill="auto"/>
        <w:spacing w:after="189" w:line="360" w:lineRule="auto"/>
        <w:ind w:firstLine="696" w:firstLineChars="290"/>
        <w:jc w:val="both"/>
        <w:rPr>
          <w:rStyle w:val="29"/>
          <w:rFonts w:hint="default" w:ascii="宋体" w:hAnsi="Times New Roman" w:eastAsia="宋体" w:cs="宋体"/>
          <w:b/>
          <w:bCs/>
          <w:sz w:val="24"/>
          <w:szCs w:val="24"/>
          <w:highlight w:val="yellow"/>
          <w:lang w:val="en-US" w:eastAsia="zh-CN"/>
        </w:rPr>
      </w:pPr>
      <w:r>
        <w:rPr>
          <w:rStyle w:val="29"/>
          <w:rFonts w:hint="default" w:ascii="宋体" w:hAnsi="Times New Roman" w:eastAsia="宋体" w:cs="宋体"/>
          <w:b w:val="0"/>
          <w:bCs w:val="0"/>
          <w:sz w:val="24"/>
          <w:szCs w:val="24"/>
          <w:highlight w:val="yellow"/>
          <w:lang w:val="en-US" w:eastAsia="zh-CN"/>
        </w:rPr>
        <w:t>根据甲方最终确认的接口清单，完成开放接口方案设计、接口开发、联调测试及接口文档交付。</w:t>
      </w:r>
    </w:p>
    <w:p w14:paraId="1298306F">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3.1</w:t>
      </w:r>
      <w:r>
        <w:rPr>
          <w:rStyle w:val="29"/>
          <w:rFonts w:hint="default" w:ascii="宋体" w:hAnsi="Times New Roman" w:eastAsia="宋体" w:cs="宋体"/>
          <w:b/>
          <w:bCs/>
          <w:sz w:val="24"/>
          <w:szCs w:val="24"/>
          <w:lang w:val="en-US" w:eastAsia="zh-CN"/>
        </w:rPr>
        <w:t>.5 归档与追溯模块需求</w:t>
      </w:r>
    </w:p>
    <w:p w14:paraId="3C634040">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（1）项目归档模块</w:t>
      </w:r>
    </w:p>
    <w:p w14:paraId="2A7BC77A">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归档流程自动化提醒：监造结束的派单或终止的派单，7天后系统每天提醒监理人员发起归档申请；归档需经总监代表、总监、档案管理依次审批，审批后按派单维度存档；区域经理、档案管理可对归档派单打分，领导层可查看归档资料与打分情况。</w:t>
      </w:r>
    </w:p>
    <w:p w14:paraId="1F063F9D">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（2）派单变更历史模块</w:t>
      </w:r>
    </w:p>
    <w:p w14:paraId="3B14C081">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变更历史监听：系统实时监听派单变更信息（含合同号变更、人员变更、计划时间变更），记录变更前后数据，支持全周期追溯。</w:t>
      </w:r>
    </w:p>
    <w:p w14:paraId="6BC3893F">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3.1</w:t>
      </w:r>
      <w:r>
        <w:rPr>
          <w:rStyle w:val="29"/>
          <w:rFonts w:hint="default" w:ascii="宋体" w:hAnsi="Times New Roman" w:eastAsia="宋体" w:cs="宋体"/>
          <w:b/>
          <w:bCs/>
          <w:sz w:val="24"/>
          <w:szCs w:val="24"/>
          <w:lang w:val="en-US" w:eastAsia="zh-CN"/>
        </w:rPr>
        <w:t>.6 合同管理模块需求</w:t>
      </w:r>
    </w:p>
    <w:p w14:paraId="6EB7E4BF">
      <w:pPr>
        <w:pStyle w:val="30"/>
        <w:shd w:val="clear" w:color="auto" w:fill="auto"/>
        <w:spacing w:after="189" w:line="360" w:lineRule="auto"/>
        <w:ind w:left="2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合同字段扩展：合同管理功能新增 “驻厂监造金额”“巡检监造金额”“项目经理 ERP 标识” 字段，用于</w:t>
      </w:r>
      <w:r>
        <w:rPr>
          <w:rStyle w:val="29"/>
          <w:rFonts w:hint="eastAsia" w:ascii="宋体" w:hAnsi="Times New Roman" w:eastAsia="宋体" w:cs="宋体"/>
          <w:b w:val="0"/>
          <w:bCs w:val="0"/>
          <w:sz w:val="24"/>
          <w:szCs w:val="24"/>
          <w:lang w:val="en-US" w:eastAsia="zh-CN"/>
        </w:rPr>
        <w:t>经营模块</w:t>
      </w:r>
      <w:r>
        <w:rPr>
          <w:rStyle w:val="29"/>
          <w:rFonts w:hint="default" w:ascii="宋体" w:hAnsi="Times New Roman" w:eastAsia="宋体" w:cs="宋体"/>
          <w:b w:val="0"/>
          <w:bCs w:val="0"/>
          <w:sz w:val="24"/>
          <w:szCs w:val="24"/>
          <w:lang w:val="en-US" w:eastAsia="zh-CN"/>
        </w:rPr>
        <w:t>关联人员与计算产值；同时新增 “结算方式”“结算天数”“结算周期” 字段，支持</w:t>
      </w:r>
      <w:r>
        <w:rPr>
          <w:rStyle w:val="29"/>
          <w:rFonts w:hint="eastAsia" w:ascii="宋体" w:hAnsi="Times New Roman" w:eastAsia="宋体" w:cs="宋体"/>
          <w:b w:val="0"/>
          <w:bCs w:val="0"/>
          <w:sz w:val="24"/>
          <w:szCs w:val="24"/>
          <w:lang w:val="en-US" w:eastAsia="zh-CN"/>
        </w:rPr>
        <w:t>经营模块</w:t>
      </w:r>
      <w:r>
        <w:rPr>
          <w:rStyle w:val="29"/>
          <w:rFonts w:hint="default" w:ascii="宋体" w:hAnsi="Times New Roman" w:eastAsia="宋体" w:cs="宋体"/>
          <w:b w:val="0"/>
          <w:bCs w:val="0"/>
          <w:sz w:val="24"/>
          <w:szCs w:val="24"/>
          <w:lang w:val="en-US" w:eastAsia="zh-CN"/>
        </w:rPr>
        <w:t>进行结算提醒。</w:t>
      </w:r>
    </w:p>
    <w:p w14:paraId="4EF66FF1">
      <w:pPr>
        <w:pStyle w:val="30"/>
        <w:shd w:val="clear" w:color="auto" w:fill="auto"/>
        <w:spacing w:after="189" w:line="360" w:lineRule="auto"/>
        <w:ind w:left="0" w:leftChars="0" w:firstLine="0" w:firstLineChars="0"/>
        <w:jc w:val="both"/>
        <w:outlineLvl w:val="1"/>
        <w:rPr>
          <w:rStyle w:val="29"/>
          <w:rFonts w:hint="eastAsia" w:ascii="宋体" w:hAnsi="Times New Roman" w:eastAsia="宋体" w:cs="宋体"/>
          <w:b/>
          <w:bCs/>
          <w:sz w:val="28"/>
          <w:szCs w:val="28"/>
          <w:lang w:val="en-US" w:eastAsia="zh-CN"/>
        </w:rPr>
      </w:pPr>
      <w:r>
        <w:rPr>
          <w:rStyle w:val="29"/>
          <w:rFonts w:hint="eastAsia" w:ascii="宋体" w:hAnsi="Times New Roman" w:eastAsia="宋体" w:cs="宋体"/>
          <w:b/>
          <w:bCs/>
          <w:sz w:val="28"/>
          <w:szCs w:val="28"/>
          <w:lang w:val="en-US" w:eastAsia="zh-CN"/>
        </w:rPr>
        <w:t>3.2 安全模块开发需求</w:t>
      </w:r>
    </w:p>
    <w:p w14:paraId="58601D24">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w:t>
      </w:r>
      <w:r>
        <w:rPr>
          <w:rStyle w:val="29"/>
          <w:rFonts w:hint="default" w:ascii="宋体" w:hAnsi="Times New Roman" w:eastAsia="宋体" w:cs="宋体"/>
          <w:b/>
          <w:bCs/>
          <w:sz w:val="24"/>
          <w:szCs w:val="24"/>
          <w:lang w:val="en-US" w:eastAsia="zh-CN"/>
        </w:rPr>
        <w:t>2.1 地图人员实时监控模块</w:t>
      </w:r>
    </w:p>
    <w:p w14:paraId="52626015">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该模块包含 2 项核心需求，重点实现全员位置可视化与派单状态动态管理：</w:t>
      </w:r>
    </w:p>
    <w:p w14:paraId="15537FA2">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（1）实时地图与全员打卡总览</w:t>
      </w:r>
    </w:p>
    <w:p w14:paraId="76EAF70F">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业务目标：在现有监理人员打卡定位基础上，扩展为全员实时地图监控，整合人员位置、打卡性质、出差流程与统计面板，保留现有搜索功能。</w:t>
      </w:r>
    </w:p>
    <w:p w14:paraId="45AE2C7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功能范围：地图展示三类人员打卡信息：监理人员、外勤人员、本部人员，按打卡类型区分标点样式，出差状态作为附加标识展示。</w:t>
      </w:r>
    </w:p>
    <w:p w14:paraId="2DCDEFDA">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点击标点可查看位置明细，外勤人员展示打卡备注，出差 / 外勤人员展示关联流程表单内容。</w:t>
      </w:r>
    </w:p>
    <w:p w14:paraId="1BAC3348">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页面底部设联动统计面板与明细列表，默认展示全部人员，地图标点、统计数字、明细表口径需保持一致。</w:t>
      </w:r>
    </w:p>
    <w:p w14:paraId="7CF7D7E2">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权限规则：新增 “地图查看管理员” 权限；区域经理仅查看管辖人员信息，其他有权限角色默认查看全员信息。</w:t>
      </w:r>
    </w:p>
    <w:p w14:paraId="196C17BC">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统计与数据规则：统计项含应打卡、实际打卡、未打卡、请假、出差人数；技术服务人员不纳入展示；系统初始视图为 “全员、全口径、全量标点”。</w:t>
      </w:r>
    </w:p>
    <w:p w14:paraId="729ACAB6">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（2）地图人员派单动态过滤</w:t>
      </w:r>
    </w:p>
    <w:p w14:paraId="13FCD689">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默认显示策略：地图初始化时仅展示 “进行中”“未开始” 状态的派单标点，其他状态默认隐藏。</w:t>
      </w:r>
    </w:p>
    <w:p w14:paraId="4FC08E58">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筛选功能：新增 “执行状态” 筛选器，支持多选 / 单选控制标点显隐，实现动态视图切换。</w:t>
      </w:r>
    </w:p>
    <w:p w14:paraId="7CF49103">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数据同步要求：界面遮罩层（信息面板）的统计口径需与当前地图展示标点实时一致，确保 “所见即所得”。</w:t>
      </w:r>
    </w:p>
    <w:p w14:paraId="0A2296C2">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w:t>
      </w:r>
      <w:r>
        <w:rPr>
          <w:rStyle w:val="29"/>
          <w:rFonts w:hint="default" w:ascii="宋体" w:hAnsi="Times New Roman" w:eastAsia="宋体" w:cs="宋体"/>
          <w:b/>
          <w:bCs/>
          <w:sz w:val="24"/>
          <w:szCs w:val="24"/>
          <w:lang w:val="en-US" w:eastAsia="zh-CN"/>
        </w:rPr>
        <w:t>2.</w:t>
      </w:r>
      <w:r>
        <w:rPr>
          <w:rStyle w:val="29"/>
          <w:rFonts w:hint="eastAsia" w:ascii="宋体" w:hAnsi="Times New Roman" w:eastAsia="宋体" w:cs="宋体"/>
          <w:b/>
          <w:bCs/>
          <w:sz w:val="24"/>
          <w:szCs w:val="24"/>
          <w:lang w:val="en-US" w:eastAsia="zh-CN"/>
        </w:rPr>
        <w:t>2</w:t>
      </w:r>
      <w:r>
        <w:rPr>
          <w:rStyle w:val="29"/>
          <w:rFonts w:hint="default" w:ascii="宋体" w:hAnsi="Times New Roman" w:eastAsia="宋体" w:cs="宋体"/>
          <w:b/>
          <w:bCs/>
          <w:sz w:val="24"/>
          <w:szCs w:val="24"/>
          <w:lang w:val="en-US" w:eastAsia="zh-CN"/>
        </w:rPr>
        <w:t xml:space="preserve"> 跨</w:t>
      </w:r>
      <w:r>
        <w:rPr>
          <w:rStyle w:val="29"/>
          <w:rFonts w:hint="eastAsia" w:ascii="宋体" w:hAnsi="Times New Roman" w:eastAsia="宋体" w:cs="宋体"/>
          <w:b/>
          <w:bCs/>
          <w:sz w:val="24"/>
          <w:szCs w:val="24"/>
          <w:lang w:val="en-US" w:eastAsia="zh-CN"/>
        </w:rPr>
        <w:t>模块</w:t>
      </w:r>
      <w:r>
        <w:rPr>
          <w:rStyle w:val="29"/>
          <w:rFonts w:hint="default" w:ascii="宋体" w:hAnsi="Times New Roman" w:eastAsia="宋体" w:cs="宋体"/>
          <w:b/>
          <w:bCs/>
          <w:sz w:val="24"/>
          <w:szCs w:val="24"/>
          <w:lang w:val="en-US" w:eastAsia="zh-CN"/>
        </w:rPr>
        <w:t>数据同步模块</w:t>
      </w:r>
    </w:p>
    <w:p w14:paraId="7680FA53">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eastAsia" w:hAnsi="Times New Roman" w:cs="宋体"/>
          <w:b w:val="0"/>
          <w:bCs w:val="0"/>
          <w:sz w:val="24"/>
          <w:szCs w:val="24"/>
          <w:lang w:val="en-US" w:eastAsia="zh-CN"/>
        </w:rPr>
        <w:t>综合管理</w:t>
      </w:r>
      <w:r>
        <w:rPr>
          <w:rStyle w:val="29"/>
          <w:rFonts w:hint="default" w:ascii="宋体" w:hAnsi="Times New Roman" w:eastAsia="宋体" w:cs="宋体"/>
          <w:b w:val="0"/>
          <w:bCs w:val="0"/>
          <w:sz w:val="24"/>
          <w:szCs w:val="24"/>
          <w:lang w:val="en-US" w:eastAsia="zh-CN"/>
        </w:rPr>
        <w:t>考勤数据同步：通过接口与定时任务，将</w:t>
      </w:r>
      <w:r>
        <w:rPr>
          <w:rStyle w:val="29"/>
          <w:rFonts w:hint="eastAsia" w:hAnsi="Times New Roman" w:cs="宋体"/>
          <w:b w:val="0"/>
          <w:bCs w:val="0"/>
          <w:sz w:val="24"/>
          <w:szCs w:val="24"/>
          <w:lang w:val="en-US" w:eastAsia="zh-CN"/>
        </w:rPr>
        <w:t>综合管理模块</w:t>
      </w:r>
      <w:r>
        <w:rPr>
          <w:rStyle w:val="29"/>
          <w:rFonts w:hint="default" w:ascii="宋体" w:hAnsi="Times New Roman" w:eastAsia="宋体" w:cs="宋体"/>
          <w:b w:val="0"/>
          <w:bCs w:val="0"/>
          <w:sz w:val="24"/>
          <w:szCs w:val="24"/>
          <w:lang w:val="en-US" w:eastAsia="zh-CN"/>
        </w:rPr>
        <w:t>考勤数据同步至</w:t>
      </w:r>
      <w:r>
        <w:rPr>
          <w:rStyle w:val="29"/>
          <w:rFonts w:hint="eastAsia" w:hAnsi="Times New Roman" w:cs="宋体"/>
          <w:b w:val="0"/>
          <w:bCs w:val="0"/>
          <w:sz w:val="24"/>
          <w:szCs w:val="24"/>
          <w:lang w:val="en-US" w:eastAsia="zh-CN"/>
        </w:rPr>
        <w:t>PECMS模块</w:t>
      </w:r>
      <w:r>
        <w:rPr>
          <w:rStyle w:val="29"/>
          <w:rFonts w:hint="default" w:ascii="宋体" w:hAnsi="Times New Roman" w:eastAsia="宋体" w:cs="宋体"/>
          <w:b w:val="0"/>
          <w:bCs w:val="0"/>
          <w:sz w:val="24"/>
          <w:szCs w:val="24"/>
          <w:lang w:val="en-US" w:eastAsia="zh-CN"/>
        </w:rPr>
        <w:t>（不含</w:t>
      </w:r>
      <w:r>
        <w:rPr>
          <w:rStyle w:val="29"/>
          <w:rFonts w:hint="eastAsia" w:hAnsi="Times New Roman" w:cs="宋体"/>
          <w:b w:val="0"/>
          <w:bCs w:val="0"/>
          <w:sz w:val="24"/>
          <w:szCs w:val="24"/>
          <w:lang w:val="en-US" w:eastAsia="zh-CN"/>
        </w:rPr>
        <w:t>综合管理</w:t>
      </w:r>
      <w:r>
        <w:rPr>
          <w:rStyle w:val="29"/>
          <w:rFonts w:hint="default" w:ascii="宋体" w:hAnsi="Times New Roman" w:eastAsia="宋体" w:cs="宋体"/>
          <w:b w:val="0"/>
          <w:bCs w:val="0"/>
          <w:sz w:val="24"/>
          <w:szCs w:val="24"/>
          <w:lang w:val="en-US" w:eastAsia="zh-CN"/>
        </w:rPr>
        <w:t>二开工作量），实现两个</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考勤数据的自动对齐，无需人工录入。</w:t>
      </w:r>
    </w:p>
    <w:p w14:paraId="67F54F19">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w:t>
      </w:r>
      <w:r>
        <w:rPr>
          <w:rStyle w:val="29"/>
          <w:rFonts w:hint="default" w:ascii="宋体" w:hAnsi="Times New Roman" w:eastAsia="宋体" w:cs="宋体"/>
          <w:b/>
          <w:bCs/>
          <w:sz w:val="24"/>
          <w:szCs w:val="24"/>
          <w:lang w:val="en-US" w:eastAsia="zh-CN"/>
        </w:rPr>
        <w:t>2.3 人员动态台账管理模块</w:t>
      </w:r>
    </w:p>
    <w:p w14:paraId="6B9A5879">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执行部人员动态台账</w:t>
      </w:r>
      <w:r>
        <w:rPr>
          <w:rStyle w:val="29"/>
          <w:rFonts w:hint="eastAsia" w:ascii="宋体" w:hAnsi="Times New Roman" w:eastAsia="宋体" w:cs="宋体"/>
          <w:b w:val="0"/>
          <w:bCs w:val="0"/>
          <w:sz w:val="24"/>
          <w:szCs w:val="24"/>
          <w:lang w:val="en-US" w:eastAsia="zh-CN"/>
        </w:rPr>
        <w:t>：</w:t>
      </w:r>
      <w:r>
        <w:rPr>
          <w:rStyle w:val="29"/>
          <w:rFonts w:hint="default" w:ascii="宋体" w:hAnsi="Times New Roman" w:eastAsia="宋体" w:cs="宋体"/>
          <w:b w:val="0"/>
          <w:bCs w:val="0"/>
          <w:sz w:val="24"/>
          <w:szCs w:val="24"/>
          <w:lang w:val="en-US" w:eastAsia="zh-CN"/>
        </w:rPr>
        <w:t>以执行部线下在线文档为对标，在</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建设动态台账，替代线下表格。</w:t>
      </w:r>
    </w:p>
    <w:p w14:paraId="0EC6EB52">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数据归属规则：基础数据来源于 PECMS，同步至</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后进行业务操作。</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编辑结果不反写 PECMS 原始数据，若存在覆盖记录，以</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数据为准。</w:t>
      </w:r>
    </w:p>
    <w:p w14:paraId="73D61CFA">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功能要求：覆盖派单执行情况管理的核心场景，列表所有字段支持筛选。页面右侧图内标记信息可直接修改，支持编辑派单状态（执行状态）、实际开始时间、预计完工时间。</w:t>
      </w:r>
    </w:p>
    <w:p w14:paraId="4F672A28">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提供 “派单辅助人员变更” 查看入口，支持查看历史变更记录。权限控制：数据操作权限收口至</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，编辑行为仅作用于</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台账。</w:t>
      </w:r>
    </w:p>
    <w:p w14:paraId="0CC40916">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w:t>
      </w:r>
      <w:r>
        <w:rPr>
          <w:rStyle w:val="29"/>
          <w:rFonts w:hint="default" w:ascii="宋体" w:hAnsi="Times New Roman" w:eastAsia="宋体" w:cs="宋体"/>
          <w:b/>
          <w:bCs/>
          <w:sz w:val="24"/>
          <w:szCs w:val="24"/>
          <w:lang w:val="en-US" w:eastAsia="zh-CN"/>
        </w:rPr>
        <w:t>2.</w:t>
      </w:r>
      <w:r>
        <w:rPr>
          <w:rStyle w:val="29"/>
          <w:rFonts w:hint="eastAsia" w:ascii="宋体" w:hAnsi="Times New Roman" w:eastAsia="宋体" w:cs="宋体"/>
          <w:b/>
          <w:bCs/>
          <w:sz w:val="24"/>
          <w:szCs w:val="24"/>
          <w:lang w:val="en-US" w:eastAsia="zh-CN"/>
        </w:rPr>
        <w:t>4</w:t>
      </w:r>
      <w:r>
        <w:rPr>
          <w:rStyle w:val="29"/>
          <w:rFonts w:hint="default" w:ascii="宋体" w:hAnsi="Times New Roman" w:eastAsia="宋体" w:cs="宋体"/>
          <w:b/>
          <w:bCs/>
          <w:sz w:val="24"/>
          <w:szCs w:val="24"/>
          <w:lang w:val="en-US" w:eastAsia="zh-CN"/>
        </w:rPr>
        <w:t xml:space="preserve"> 培训考试管理优化模块</w:t>
      </w:r>
    </w:p>
    <w:p w14:paraId="3BC60B23">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该模块包含 3 项需求，聚焦于人员分类管理、权限控制与时效监控：</w:t>
      </w:r>
    </w:p>
    <w:p w14:paraId="08E4FC94">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（1）人员性质管理</w:t>
      </w:r>
    </w:p>
    <w:p w14:paraId="302E46E5">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功能范围：在培训人员列表、考试人员列表新增 “人员性质” 字段，所有列表字段支持搜索，搜索框按字段补全。</w:t>
      </w:r>
    </w:p>
    <w:p w14:paraId="3A7C22B6">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管理功能：新增 “人员性质管理” 模块，支持创建人员性质、批量分配人员性质，在用户管理中维护该字段。</w:t>
      </w:r>
    </w:p>
    <w:p w14:paraId="275DF0DF">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页面影响：覆盖培训 / 考试人员列表、用户管理列表 / 详情 / 新增 / 编辑页、人员性质专项管理页。</w:t>
      </w:r>
    </w:p>
    <w:p w14:paraId="786E435C">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业务规则：人员与性质为一对多关系（一个用户仅一个性质，一个性质可绑定多用户），维护交互参考现有 “角色 / 部门选择” 方式。</w:t>
      </w:r>
    </w:p>
    <w:p w14:paraId="6113E869">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（2）类型分类与权限分配</w:t>
      </w:r>
    </w:p>
    <w:p w14:paraId="182B97C9">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分类结构升级：将考试/培训类型从单级字典改为树形分类，满足现阶段二级分类需求，支持后续扩展至不限层级，独立为配置模块。</w:t>
      </w:r>
    </w:p>
    <w:p w14:paraId="20B90297">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权限规则：管理员查看全部类型与数据，角色管理员仅查看授权范围内数据，一个角色可管理多个一级类型。</w:t>
      </w:r>
    </w:p>
    <w:p w14:paraId="3235141F">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安环部管理账号默认展示对应分类内容（规则可配置），统计报表按管理账号分配权限，admin账号默认查看全部。</w:t>
      </w:r>
    </w:p>
    <w:p w14:paraId="6EF9626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页面要求：考试/培训管理页面按角色权限过滤数据，类型筛选控件改为树形下拉框。</w:t>
      </w:r>
    </w:p>
    <w:p w14:paraId="5D6AA66E">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选择某类型时，默认展示其及所有子级类型数据，兼容按层级筛选需求。</w:t>
      </w:r>
    </w:p>
    <w:p w14:paraId="3020508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（3）完成时效与催办规则</w:t>
      </w:r>
    </w:p>
    <w:p w14:paraId="0CFA3163">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时效监控：培训与考试任务增加完成倒计时（按 “天” 计算），直观展示剩余时间。</w:t>
      </w:r>
    </w:p>
    <w:p w14:paraId="1AD8959D">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催办机制：对未完成人员发送邮件提醒，邮件中需包含剩余天数。</w:t>
      </w:r>
    </w:p>
    <w:p w14:paraId="06EED422">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自动判定：倒计时结束未完成的，系统自动判定为 “不合格” 并记录留痕，便于后续追溯。</w:t>
      </w:r>
    </w:p>
    <w:p w14:paraId="07909FAC">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w:t>
      </w:r>
      <w:r>
        <w:rPr>
          <w:rStyle w:val="29"/>
          <w:rFonts w:hint="default" w:ascii="宋体" w:hAnsi="Times New Roman" w:eastAsia="宋体" w:cs="宋体"/>
          <w:b/>
          <w:bCs/>
          <w:sz w:val="24"/>
          <w:szCs w:val="24"/>
          <w:lang w:val="en-US" w:eastAsia="zh-CN"/>
        </w:rPr>
        <w:t>2.5 权限精细化控制模块</w:t>
      </w:r>
    </w:p>
    <w:p w14:paraId="08621A2A">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统计报表权限：按管理账号分配 “统计报表” 查看权限，admin 账号默认查看全部报表数据。</w:t>
      </w:r>
    </w:p>
    <w:p w14:paraId="1BE2CDE9">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培训材料功能完善：优化培训材料阅读页面 “缩小” 功能，确保缩小后可恢复至原始大小，提升阅读体验。</w:t>
      </w:r>
    </w:p>
    <w:p w14:paraId="31420B5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筛选功能补充：系统管理 -“用户管理” 新增部门、人员性质筛选；“通讯录” 新增人员性质筛选，便于快速定位目标人员。</w:t>
      </w:r>
    </w:p>
    <w:p w14:paraId="6F007E4E">
      <w:pPr>
        <w:pStyle w:val="30"/>
        <w:shd w:val="clear" w:color="auto" w:fill="auto"/>
        <w:spacing w:after="189" w:line="360" w:lineRule="auto"/>
        <w:ind w:left="0" w:leftChars="0" w:firstLine="0" w:firstLineChars="0"/>
        <w:jc w:val="both"/>
        <w:outlineLvl w:val="1"/>
        <w:rPr>
          <w:rStyle w:val="29"/>
          <w:rFonts w:hint="eastAsia" w:ascii="宋体" w:hAnsi="Times New Roman" w:eastAsia="宋体" w:cs="宋体"/>
          <w:b/>
          <w:bCs/>
          <w:sz w:val="28"/>
          <w:szCs w:val="28"/>
          <w:lang w:val="en-US" w:eastAsia="zh-CN"/>
        </w:rPr>
      </w:pPr>
      <w:r>
        <w:rPr>
          <w:rStyle w:val="29"/>
          <w:rFonts w:hint="eastAsia" w:ascii="宋体" w:hAnsi="Times New Roman" w:eastAsia="宋体" w:cs="宋体"/>
          <w:b/>
          <w:bCs/>
          <w:sz w:val="28"/>
          <w:szCs w:val="28"/>
          <w:lang w:val="en-US" w:eastAsia="zh-CN"/>
        </w:rPr>
        <w:t>3.3 APP开发需求</w:t>
      </w:r>
    </w:p>
    <w:p w14:paraId="4B62A680">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3.3.1</w:t>
      </w:r>
      <w:r>
        <w:rPr>
          <w:rStyle w:val="29"/>
          <w:rFonts w:hint="default" w:ascii="宋体" w:hAnsi="Times New Roman" w:eastAsia="宋体" w:cs="宋体"/>
          <w:b/>
          <w:bCs/>
          <w:sz w:val="24"/>
          <w:szCs w:val="24"/>
          <w:lang w:val="en-US" w:eastAsia="zh-CN"/>
        </w:rPr>
        <w:t xml:space="preserve"> 消息通知功能</w:t>
      </w:r>
    </w:p>
    <w:p w14:paraId="3B82A346">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该模块包含 4 条需求，重点解决 APP 消息触达不及时、分类不清晰、操作不连贯的问题：</w:t>
      </w:r>
    </w:p>
    <w:p w14:paraId="0564637B">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（1）消息实时提醒</w:t>
      </w:r>
    </w:p>
    <w:p w14:paraId="417A004F">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针对当前 APP 派单审批 / 驳回后发起者无提示的问题，新增消息弹出提醒功能。</w:t>
      </w:r>
    </w:p>
    <w:p w14:paraId="4BDC2D4B">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触发场景包括：待办通知（如需要用户处理的审批任务）、已发起派单的处理结果通知（如审批通过 / 驳回）。</w:t>
      </w:r>
    </w:p>
    <w:p w14:paraId="5CA99E1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目标是让项目经理及时获取人员安排结果，避免信息滞后。</w:t>
      </w:r>
    </w:p>
    <w:p w14:paraId="1F04E9A2">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（2）消息角标展示</w:t>
      </w:r>
    </w:p>
    <w:p w14:paraId="273A8B28">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APP 全局角标：显示各</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（PECMS、</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、综合管理</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等）的未读消息总数量。</w:t>
      </w:r>
    </w:p>
    <w:p w14:paraId="4597A615">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待办菜单角标：单独显示待办任务的数量，直观呈现需要优先处理的事项。</w:t>
      </w:r>
    </w:p>
    <w:p w14:paraId="6E878BE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（3）消息分类与角标自定义</w:t>
      </w:r>
    </w:p>
    <w:p w14:paraId="00EDA477">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支持对消息按</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或业务类型进行分类（如 PECMS 消息、</w:t>
      </w: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消息、综合管理</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消息）。</w:t>
      </w:r>
    </w:p>
    <w:p w14:paraId="473A2A6F">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APP 用户可自主选择需要展示的消息分类，角标数量会根据用户选择的分类进行实时合计计算，避免无关消息干扰。</w:t>
      </w:r>
    </w:p>
    <w:p w14:paraId="6346379E">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（4）锁屏消息交互优化</w:t>
      </w:r>
    </w:p>
    <w:p w14:paraId="4B904C79">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点击锁屏状态下的消息时，可直接查看消息完整内容，无需进入 APP 后二次查找。</w:t>
      </w:r>
    </w:p>
    <w:p w14:paraId="3E6D4EFE">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按消息类型提供针对性操作按钮，实现 “一键跳转”：</w:t>
      </w:r>
    </w:p>
    <w:p w14:paraId="1D2AA70D">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PECMS 流程待办通知：提供 “去办理” 按钮，跳转至对应审批页面；</w:t>
      </w:r>
    </w:p>
    <w:p w14:paraId="7C61CCDC">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PECMS 派单审批结果通知：提供 “去查看” 按钮，跳转至派单详情页面；</w:t>
      </w:r>
    </w:p>
    <w:p w14:paraId="0250085D">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培训通知：提供 “去学习” 按钮，跳转至培训列表；</w:t>
      </w:r>
    </w:p>
    <w:p w14:paraId="76E8FCC5">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eastAsia" w:hAnsi="Times New Roman" w:cs="宋体"/>
          <w:b w:val="0"/>
          <w:bCs w:val="0"/>
          <w:sz w:val="24"/>
          <w:szCs w:val="24"/>
          <w:lang w:val="en-US" w:eastAsia="zh-CN"/>
        </w:rPr>
        <w:t>安全管理模块</w:t>
      </w:r>
      <w:r>
        <w:rPr>
          <w:rStyle w:val="29"/>
          <w:rFonts w:hint="default" w:ascii="宋体" w:hAnsi="Times New Roman" w:eastAsia="宋体" w:cs="宋体"/>
          <w:b w:val="0"/>
          <w:bCs w:val="0"/>
          <w:sz w:val="24"/>
          <w:szCs w:val="24"/>
          <w:lang w:val="en-US" w:eastAsia="zh-CN"/>
        </w:rPr>
        <w:t>考试通知：提供 “去考试” 按钮，跳转至考试列表；</w:t>
      </w:r>
    </w:p>
    <w:p w14:paraId="2D30CA48">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综合管理</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消息：提供 “去查看” 按钮，跳转至综合管理</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主页面（不含</w:t>
      </w:r>
      <w:r>
        <w:rPr>
          <w:rStyle w:val="29"/>
          <w:rFonts w:hint="eastAsia" w:hAnsi="Times New Roman" w:cs="宋体"/>
          <w:b w:val="0"/>
          <w:bCs w:val="0"/>
          <w:sz w:val="24"/>
          <w:szCs w:val="24"/>
          <w:lang w:val="en-US" w:eastAsia="zh-CN"/>
        </w:rPr>
        <w:t>综合管理模块</w:t>
      </w:r>
      <w:r>
        <w:rPr>
          <w:rStyle w:val="29"/>
          <w:rFonts w:hint="default" w:ascii="宋体" w:hAnsi="Times New Roman" w:eastAsia="宋体" w:cs="宋体"/>
          <w:b w:val="0"/>
          <w:bCs w:val="0"/>
          <w:sz w:val="24"/>
          <w:szCs w:val="24"/>
          <w:lang w:val="en-US" w:eastAsia="zh-CN"/>
        </w:rPr>
        <w:t>二开工作量）；</w:t>
      </w:r>
    </w:p>
    <w:p w14:paraId="3211D479">
      <w:pPr>
        <w:pStyle w:val="30"/>
        <w:numPr>
          <w:ilvl w:val="0"/>
          <w:numId w:val="2"/>
        </w:numPr>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其余类型消息暂不提供操作按钮，仅展示内容。</w:t>
      </w:r>
    </w:p>
    <w:p w14:paraId="49244865">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r>
        <w:rPr>
          <w:rStyle w:val="29"/>
          <w:rFonts w:hint="eastAsia" w:ascii="宋体" w:hAnsi="Times New Roman" w:eastAsia="宋体" w:cs="宋体"/>
          <w:b/>
          <w:bCs/>
          <w:sz w:val="24"/>
          <w:szCs w:val="24"/>
          <w:lang w:val="en-US" w:eastAsia="zh-CN"/>
        </w:rPr>
        <w:t>3.3</w:t>
      </w:r>
      <w:r>
        <w:rPr>
          <w:rStyle w:val="29"/>
          <w:rFonts w:hint="default" w:ascii="宋体" w:hAnsi="Times New Roman" w:eastAsia="宋体" w:cs="宋体"/>
          <w:b/>
          <w:bCs/>
          <w:sz w:val="24"/>
          <w:szCs w:val="24"/>
          <w:lang w:val="en-US" w:eastAsia="zh-CN"/>
        </w:rPr>
        <w:t>.2 核心业务功能适配</w:t>
      </w:r>
    </w:p>
    <w:p w14:paraId="137C4958">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该模块包含 2 个功能模块、3 条需求，主要实现 PECMS 派单管理与待办处理的移动端适配：</w:t>
      </w:r>
    </w:p>
    <w:p w14:paraId="171B7A5B">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（1）任务派遣单功能优化</w:t>
      </w:r>
    </w:p>
    <w:p w14:paraId="58E5E285">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总监代表变更功能：由总监理工程师在 “我的派单列表” 页面选择目标派单，发起总监代表变更流程；</w:t>
      </w:r>
    </w:p>
    <w:p w14:paraId="3D92D136">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派单页面展示优化：原 “总监代表” 字段调整为 “原总监代表”，新增 “新总监代表” 选择框（需填写手机号）、“变更原因” 文本录入框（必填）、“生效时间” 选择框，支持上传 PDF/WORD/ 图片等格式附件；</w:t>
      </w:r>
    </w:p>
    <w:p w14:paraId="539E6584">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审批流程：需经原总监代表、新总监代表依次审批；</w:t>
      </w:r>
    </w:p>
    <w:p w14:paraId="3C745BF5">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权限与状态控制：提交后派单状态保持 “进行中”；生效时间前的派单审批由原总监代表处理，生效时间后的派单审批由新总监代表处理；区域经理、技术服务、执行部角色可查看变更记录；</w:t>
      </w:r>
    </w:p>
    <w:p w14:paraId="6485178B">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开发参照：参照现有任务派遣单 “派遣人员变更” 功能的逻辑实现。</w:t>
      </w:r>
    </w:p>
    <w:p w14:paraId="324FFF9D">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总监代表操作权限补充：</w:t>
      </w:r>
    </w:p>
    <w:p w14:paraId="2772D5F7">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在总监代表的 “我的派单” 页面，新增 “编辑”“驳回重新提交” 按钮；</w:t>
      </w:r>
    </w:p>
    <w:p w14:paraId="5F9EF65D">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支持总监代表对派单内容进行编辑修改后重新提交，无需退回至发起者修改，提升审批效率。</w:t>
      </w:r>
    </w:p>
    <w:p w14:paraId="5C42F636">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（2）待办 / 已办列表优化</w:t>
      </w:r>
    </w:p>
    <w:p w14:paraId="5CAB80D9">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针对 APP 端待办任务、已办任务列表，新增 “流程名称” 显示字段；</w:t>
      </w:r>
    </w:p>
    <w:p w14:paraId="72DF4F86">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流程名称按业务类型明确标注：巡检类流程显示 “巡检交底审批”，驻厂类流程显示 “任务交底审批”，帮助用户快速识别任务类型，减少误操作。</w:t>
      </w:r>
    </w:p>
    <w:p w14:paraId="4FDF8358">
      <w:pPr>
        <w:pStyle w:val="30"/>
        <w:numPr>
          <w:ilvl w:val="0"/>
          <w:numId w:val="0"/>
        </w:numPr>
        <w:shd w:val="clear" w:color="auto" w:fill="FFFF00"/>
        <w:spacing w:after="189" w:line="360" w:lineRule="auto"/>
        <w:ind w:leftChars="0"/>
        <w:jc w:val="both"/>
        <w:outlineLvl w:val="1"/>
        <w:rPr>
          <w:rStyle w:val="29"/>
          <w:rFonts w:hint="default"/>
          <w:b/>
          <w:bCs/>
          <w:sz w:val="28"/>
          <w:szCs w:val="28"/>
          <w:lang w:val="en-US" w:eastAsia="zh-CN"/>
        </w:rPr>
      </w:pPr>
      <w:r>
        <w:rPr>
          <w:rStyle w:val="29"/>
          <w:rFonts w:hint="eastAsia"/>
          <w:b/>
          <w:bCs/>
          <w:sz w:val="28"/>
          <w:szCs w:val="28"/>
          <w:lang w:val="en-US" w:eastAsia="zh-CN"/>
        </w:rPr>
        <w:t>3.4 经营分析需求</w:t>
      </w:r>
    </w:p>
    <w:p w14:paraId="1CFF3B0B">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0" w:name="X2e1c188b270d70e5329ae79907e5c6767450cbe"/>
      <w:bookmarkStart w:id="1" w:name="X62940d2fa5edc343b6a706104e329860956aa8c"/>
      <w:r>
        <w:rPr>
          <w:rStyle w:val="29"/>
          <w:rFonts w:hint="default" w:ascii="宋体" w:hAnsi="Times New Roman" w:eastAsia="宋体" w:cs="宋体"/>
          <w:b/>
          <w:bCs/>
          <w:sz w:val="24"/>
          <w:szCs w:val="24"/>
          <w:lang w:val="en-US" w:eastAsia="zh-CN"/>
        </w:rPr>
        <w:t>3.4.1 经营总览与合同台账模块需求</w:t>
      </w:r>
    </w:p>
    <w:p w14:paraId="1FAD8E56">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（1）经营总览大屏</w:t>
      </w:r>
    </w:p>
    <w:p w14:paraId="249DD761">
      <w:pPr>
        <w:pStyle w:val="30"/>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核心指标展示：汇总合同、产值、开票、回款、成本、利润等经营数据，展示累计合同总额、当年累计确认产值、累计已开票总额、累计实际收款总额、综合平均利润率等指标，并支持颜色提示。</w:t>
      </w:r>
    </w:p>
    <w:p w14:paraId="014A7EF0">
      <w:pPr>
        <w:pStyle w:val="30"/>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数据统计：按能统计到的维度展示产值、开票、实收数据，便于查看各合同的推进情况。</w:t>
      </w:r>
    </w:p>
    <w:p w14:paraId="2A5AABB6">
      <w:pPr>
        <w:pStyle w:val="30"/>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收支趋势展示：按近 12 个自然月展示累计成本支出和累计实际到账收款金额变化情况，当收款低于支出时给出预警提示。</w:t>
      </w:r>
    </w:p>
    <w:p w14:paraId="2FF8C9EF">
      <w:pPr>
        <w:pStyle w:val="30"/>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风险信息展示：展示薄利或亏损合同、应收逾期合同、执行超期派单及负责人等信息，并支持点击查看对应明细。</w:t>
      </w:r>
    </w:p>
    <w:p w14:paraId="52F32F1F">
      <w:pPr>
        <w:pStyle w:val="30"/>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人员闲置情况统计：按在职人员总数、当前执行派单人员数测算闲置人员数，并折算对应人工成本，供管理层查看。</w:t>
      </w:r>
    </w:p>
    <w:p w14:paraId="0AA81F65">
      <w:pPr>
        <w:pStyle w:val="30"/>
        <w:shd w:val="clear" w:color="auto" w:fill="auto"/>
        <w:spacing w:after="189" w:line="360" w:lineRule="auto"/>
        <w:ind w:left="0" w:leftChars="0" w:firstLine="480" w:firstLineChars="20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查看权限控制：大屏数据默认按经营口径统一汇总，不按角色拆分统计口径，通过菜单权限控制查看范围。</w:t>
      </w:r>
    </w:p>
    <w:p w14:paraId="60E58172">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（2）合同台账管理</w:t>
      </w:r>
    </w:p>
    <w:p w14:paraId="3BE4EDEF">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合同台账建设：同步 PECMS 合同管理数据，按合同编号（CI 编号）统一建立经营底账，展示合同编号、合同名称、设备名称、委托方、制造方、监造金额、预给号时间、项目经理、合同签订时间、合同原件返回情况时间、合同起始日期、合同终止日期、委托方联系人、合同类型、合同形式、ERP 录入情况、上级单位 ERP 唯一标识、合同特殊情况备注、供公司平台项目编号、供公司平台项目名称等信息。</w:t>
      </w:r>
    </w:p>
    <w:p w14:paraId="0F57CFF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合同类型规则：合同类型统一为开口合同、总价合同、框架协议合同三类。其中开口合同、总价合同参与产值、收入、成本计算；框架协议合同仅在合同台账展示，不进入项目收入、动态成本、利润等经营模块。</w:t>
      </w:r>
    </w:p>
    <w:p w14:paraId="757C6A88">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项目经理绑定规则：项目经理权限基于 PECMS 传入的“上级单位 ERP 唯一标识”与</w:t>
      </w:r>
      <w:r>
        <w:rPr>
          <w:rStyle w:val="29"/>
          <w:rFonts w:hint="eastAsia" w:hAnsi="Times New Roman" w:cs="宋体"/>
          <w:b w:val="0"/>
          <w:bCs w:val="0"/>
          <w:sz w:val="24"/>
          <w:szCs w:val="24"/>
          <w:lang w:val="en-US" w:eastAsia="zh-CN"/>
        </w:rPr>
        <w:t>经营管理分析模块</w:t>
      </w:r>
      <w:r>
        <w:rPr>
          <w:rStyle w:val="29"/>
          <w:rFonts w:hint="default" w:ascii="宋体" w:hAnsi="Times New Roman" w:eastAsia="宋体" w:cs="宋体"/>
          <w:b w:val="0"/>
          <w:bCs w:val="0"/>
          <w:sz w:val="24"/>
          <w:szCs w:val="24"/>
          <w:lang w:val="en-US" w:eastAsia="zh-CN"/>
        </w:rPr>
        <w:t>用户账号自动绑定。项目经理发生变更后，新项目经理自动继承合同查看与操作权限，原项目经理失去当前合同权限，但历史填报记录保留原填报人信息。</w:t>
      </w:r>
    </w:p>
    <w:p w14:paraId="3CDBB812">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状态管理：支持完成、终止、取消终止等状态管理。合同状态变更为“已完成”时，需校验实收金额与合同金额在系统配置的小数位误差阈值内一致；取消终止需填写终止原因、预估恢复时间并发起审批流程，流程发起后展示取消终止申请信息及审批状态。</w:t>
      </w:r>
    </w:p>
    <w:p w14:paraId="28114B8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合同明细查看：支持查看合同详情，除展示合同全部字段外，如存在取消终止申请，同步展示发起人、提出时间、审批状态等申请信息。</w:t>
      </w:r>
    </w:p>
    <w:p w14:paraId="40B0685F">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 xml:space="preserve">查询与导出规则：查询条件以 </w:t>
      </w:r>
      <w:r>
        <w:rPr>
          <w:rStyle w:val="29"/>
          <w:rFonts w:hint="eastAsia" w:hAnsi="Times New Roman" w:cs="宋体"/>
          <w:b w:val="0"/>
          <w:bCs w:val="0"/>
          <w:sz w:val="24"/>
          <w:szCs w:val="24"/>
          <w:lang w:val="en-US" w:eastAsia="zh-CN"/>
        </w:rPr>
        <w:t>经营管理分析模块</w:t>
      </w:r>
      <w:r>
        <w:rPr>
          <w:rStyle w:val="29"/>
          <w:rFonts w:hint="default" w:ascii="宋体" w:hAnsi="Times New Roman" w:eastAsia="宋体" w:cs="宋体"/>
          <w:b w:val="0"/>
          <w:bCs w:val="0"/>
          <w:sz w:val="24"/>
          <w:szCs w:val="24"/>
          <w:lang w:val="en-US" w:eastAsia="zh-CN"/>
        </w:rPr>
        <w:t>合同台账展示字段为准，支持全部字段作为检索条件，并提供高级查询构造器；支持按筛选结果导出 Excel，且支持自定义勾选导出列。</w:t>
      </w:r>
    </w:p>
    <w:p w14:paraId="180E3EF1">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结算提醒能力：支持开票提醒、结算提醒等经营提醒能力。总价合同在合同结束后提醒，开口合同按台账中的提醒周期及单位进行提醒。</w:t>
      </w:r>
    </w:p>
    <w:bookmarkEnd w:id="0"/>
    <w:p w14:paraId="6240A1A3">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2" w:name="X6a63e81cebfc2b54ed01d45be3d30041dd66132"/>
      <w:r>
        <w:rPr>
          <w:rStyle w:val="29"/>
          <w:rFonts w:hint="default" w:ascii="宋体" w:hAnsi="Times New Roman" w:eastAsia="宋体" w:cs="宋体"/>
          <w:b/>
          <w:bCs/>
          <w:sz w:val="24"/>
          <w:szCs w:val="24"/>
          <w:lang w:val="en-US" w:eastAsia="zh-CN"/>
        </w:rPr>
        <w:t>3.4.2 项目收入管理模块需求</w:t>
      </w:r>
    </w:p>
    <w:p w14:paraId="237D6405">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（1）项目收入管理</w:t>
      </w:r>
    </w:p>
    <w:p w14:paraId="1531858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收入台账展示：按合同编号展示合同名称、委托方、项目经理、合同类型、合同金额、出勤总产值、当月出勤产值、总产值、当月计划产值、已报产值、当月确认产值、当月确认产值最新填报时间、当月收入最新纠正时间、已报收入、纠正剩余额度、当月收入、开票状态、计划开票时间、未开票原因、最新开票时间、开票总金额、最新收款时间、收款总金额、备注等信息。</w:t>
      </w:r>
    </w:p>
    <w:p w14:paraId="7CFB4EA1">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合同参与规则：项目收入台账仅展示开口合同和总价合同数据，框架协议合同不进入本台账。</w:t>
      </w:r>
    </w:p>
    <w:p w14:paraId="3EDB6F2B">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产值计算规则：开口合同按工时或固定天数乘合同单价自动计算当月计划产值；总价合同当月计划产值默认为 0，由项目经理按月手工确认。已报产值为历史各月确认产值累计值，不含当月；总产值为已报产值与当月确认产值之和。</w:t>
      </w:r>
    </w:p>
    <w:p w14:paraId="060F8C36">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总价合同补齐规则：总价合同项目结束时，若历史累计产值低于合同金额，系统自动生成“系统补齐”记录，将总产值补齐至合同额。</w:t>
      </w:r>
    </w:p>
    <w:p w14:paraId="4927F5D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收入计算规则：已报收入以累计开票总金额为基础，若存在收入纠正，则已报收入=累计开票总金额+纠正剩余额度；当月收入为当月开票金额。纠正剩余额度可被后续新增开票按优先顺序抵扣，抵扣完成后恢复纯开票口径。</w:t>
      </w:r>
    </w:p>
    <w:p w14:paraId="565B2A27">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开票状态规则：开口合同固定显示配置文字标签；总价合同按实际开票金额与合同金额关系自动判定未开票、部分开票、全部开票状态。</w:t>
      </w:r>
    </w:p>
    <w:p w14:paraId="15AEE35C">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权限规则：当月确认产值填报、当月收入纠正、开票信息填报、回款信息填报等编辑权限仅限项目经理；总监代表在本模块仅保留查看权限。</w:t>
      </w:r>
    </w:p>
    <w:p w14:paraId="02F263EF">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（2）项目收入操作功能</w:t>
      </w:r>
    </w:p>
    <w:p w14:paraId="1447C2C7">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当月确认产值填报：支持按合同发起当月确认产值填报，弹窗展示合同编号、合同类型、合同金额、已报产值、时间区间、系统计算值等只读字段；支持填写当月确认产值及备注。开口合同当月确认产值低于计划产值阈值时，触发产值过低审批流并需填写原因、上传附件；总价合同直接手工填报。</w:t>
      </w:r>
    </w:p>
    <w:p w14:paraId="71F06552">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预计开票填报：支持填写计划开票时间、未开票原因、备注等信息，并生成历史记录，供后续查询与审批。</w:t>
      </w:r>
    </w:p>
    <w:p w14:paraId="5BDFAA3C">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预计回款填报：支持填写计划回款时间、计划回款金额、最新收款时间、收款总金额、备注等信息，供项目经理填报并供管理层查看。</w:t>
      </w:r>
    </w:p>
    <w:p w14:paraId="7291511C">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历史记录查看：支持查看当前合同的当月确认产值快照、纠正财务流水、开票记录、回款历史、开票/回款管控台账等历史数据，形成完整经营留痕。</w:t>
      </w:r>
    </w:p>
    <w:p w14:paraId="081809CF">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全局历史查阅：支持管理层在系统顶层统一查看全公司历史确认产值记录与收入纠正记录，并按合同编号、人员、时间段、类型、金额区间等维度筛选。</w:t>
      </w:r>
    </w:p>
    <w:p w14:paraId="2F3C6F1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补录能力：如历史月份未填报产值，系统需提供补录入口，对合同历史月份产值进行补录并保留留痕。</w:t>
      </w:r>
    </w:p>
    <w:p w14:paraId="4F5874F5">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合同状态联动：合同状态变更为“已完成”时，如已报收入未达合同金额，系统自动补齐已报收入并生成系统补齐历史记录。</w:t>
      </w:r>
    </w:p>
    <w:p w14:paraId="3E26E83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公式展示规则：涉及计算公式的页面均需提供公式说明面板，默认收起，支持展开查看。</w:t>
      </w:r>
    </w:p>
    <w:bookmarkEnd w:id="2"/>
    <w:p w14:paraId="58639EC4">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3" w:name="X79052c8e7cf213cfdea4001f746f8e9a7571462"/>
      <w:r>
        <w:rPr>
          <w:rStyle w:val="29"/>
          <w:rFonts w:hint="default" w:ascii="宋体" w:hAnsi="Times New Roman" w:eastAsia="宋体" w:cs="宋体"/>
          <w:b/>
          <w:bCs/>
          <w:sz w:val="24"/>
          <w:szCs w:val="24"/>
          <w:lang w:val="en-US" w:eastAsia="zh-CN"/>
        </w:rPr>
        <w:t>3.4.3 执行管理模块需求</w:t>
      </w:r>
    </w:p>
    <w:p w14:paraId="67B2F585">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（1）执行管理</w:t>
      </w:r>
    </w:p>
    <w:p w14:paraId="414C285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执行数据展示：按合同关联展示合同编号、项目经理、区域经理、项目编号、项目名称、项目总监、派单编号、总监代表、制造厂、派遣人员、辅助人员、监造方式、计划开始时间、计划结束时间、实际开始时间、实际结束时间、项目执行状态、工时、是否使用监造平台、不使用监造平台说明、是否中石化项目、设备材料名称、设备数量、大纲是否已编制审核、细则是否已编制审核、风险评估报告风险等级、技术协议等依据性文件现场监理人员是否已拿到、监理工程师替换交接申请是否有、ITP 是否已确认并发给委托方确认、预检会是否召开并有会议纪要、派单变更状态等信息。</w:t>
      </w:r>
    </w:p>
    <w:p w14:paraId="390A6012">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字段来源规则：合同编号、项目经理、区域经理等信息来源于 PECMS 合同管理；项目、派单、制造厂、人员、交底、文件、风险、预检会等信息来源于派单、交底、文件及相关业务模块，需在页面中统一展示。</w:t>
      </w:r>
    </w:p>
    <w:p w14:paraId="06A28BA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执行状态规则：按未开始、进行中、已完成、超期等状态展示，并支持颜色字典配置。计划结束时间超期时自动标红并展示超期天数。</w:t>
      </w:r>
    </w:p>
    <w:p w14:paraId="302E06D0">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非平台项目预警：对非 PECMS 项目，如大纲、细则、风险评估、技术协议、交接申请、ITP、预检会等关键技术文件字段缺失，对应字段需标红提醒，但不阻断操作。</w:t>
      </w:r>
    </w:p>
    <w:p w14:paraId="5088473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派单变更追踪：联动 PECMS 历史记录表，展示换人、改时间、合同号变更、派单重启等变更概要，并支持查看变更明细。</w:t>
      </w:r>
    </w:p>
    <w:p w14:paraId="748D48D2">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（2）编辑与详情查看</w:t>
      </w:r>
    </w:p>
    <w:p w14:paraId="1F6D3A07">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可编辑字段：支持编辑大纲是否已编制审核、细则是否已编制审核、风险评估报告风险等级、技术协议等依据性文件现场监理人员是否已拿到、监理工程师替换交接申请是否有、ITP 是否已确认并发给委托方确认、预检会是否召开并有会议纪要、备注等非 PECMS 同步字段。</w:t>
      </w:r>
    </w:p>
    <w:p w14:paraId="12EF6E2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合同详情查看：点击合同编号支持查看合同详情，在当前页面弹窗展示合同、项目、人员、风险、预检会等关键信息，不跳转</w:t>
      </w:r>
      <w:r>
        <w:rPr>
          <w:rStyle w:val="29"/>
          <w:rFonts w:hint="eastAsia" w:hAnsi="Times New Roman" w:cs="宋体"/>
          <w:b w:val="0"/>
          <w:bCs w:val="0"/>
          <w:sz w:val="24"/>
          <w:szCs w:val="24"/>
          <w:lang w:val="en-US" w:eastAsia="zh-CN"/>
        </w:rPr>
        <w:t>PECMS模块</w:t>
      </w:r>
      <w:r>
        <w:rPr>
          <w:rStyle w:val="29"/>
          <w:rFonts w:hint="default" w:ascii="宋体" w:hAnsi="Times New Roman" w:eastAsia="宋体" w:cs="宋体"/>
          <w:b w:val="0"/>
          <w:bCs w:val="0"/>
          <w:sz w:val="24"/>
          <w:szCs w:val="24"/>
          <w:lang w:val="en-US" w:eastAsia="zh-CN"/>
        </w:rPr>
        <w:t>。</w:t>
      </w:r>
    </w:p>
    <w:p w14:paraId="01BF7AA5">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列设置与排序：支持列设置、固定列、操作列固定、超期天数排序、列配置持久化等交互能力。</w:t>
      </w:r>
    </w:p>
    <w:p w14:paraId="1BA17CB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查询与权限规则：支持按当前角色、合同编号、项目经理、区域经理、项目编号、派单编号、监造方式、执行状态、项目总监、总监代表、制造厂、计划开始时间、计划结束时间、是否使用监造平台等多维条件筛选。执行管理按角色自动过滤可见数据，支持项目经理、管理员、领导层等不同权限口径。</w:t>
      </w:r>
    </w:p>
    <w:p w14:paraId="431574A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界面交互能力：支持分组展开收起、浮动滚动条、分页、导出、方案化视图展示等能力，提升大数据量场景下的查看与管理效率。</w:t>
      </w:r>
    </w:p>
    <w:p w14:paraId="1D9D406E">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线下数据补录：支持每月按合同编号录入或导入产值、成本结果数据，用于未上平台合同参与经营统计。</w:t>
      </w:r>
    </w:p>
    <w:bookmarkEnd w:id="3"/>
    <w:p w14:paraId="75EB11E4">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4" w:name="X82fcbc9b92efbae3ca68ff084c1af0d01c489eb"/>
      <w:r>
        <w:rPr>
          <w:rStyle w:val="29"/>
          <w:rFonts w:hint="default" w:ascii="宋体" w:hAnsi="Times New Roman" w:eastAsia="宋体" w:cs="宋体"/>
          <w:b/>
          <w:bCs/>
          <w:sz w:val="24"/>
          <w:szCs w:val="24"/>
          <w:lang w:val="en-US" w:eastAsia="zh-CN"/>
        </w:rPr>
        <w:t>3.4.4 工时记录与监理人员动态模块需求</w:t>
      </w:r>
    </w:p>
    <w:p w14:paraId="3CC57A41">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（1）工时记录管理</w:t>
      </w:r>
    </w:p>
    <w:p w14:paraId="63710EE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工时总览展示：按合同维度展示合同编号、合同名称、委托方、制造厂、监造金额、项目经理、合同签订时间、合同起始时间、合同终止日期、合同形式、工时等字段，形成合同级工时总览。</w:t>
      </w:r>
    </w:p>
    <w:p w14:paraId="740D4A96">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查询与导出规则：支持合同编号、合同名称、委托方、制造厂、项目经理、合同形式、监造金额范围、合同签订时间、合同起始日期、合同终止日期等条件查询，并支持导出当前列表数据。</w:t>
      </w:r>
    </w:p>
    <w:p w14:paraId="10FE2986">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二级派单列表：支持查看同一合同下全部派单信息，展示派单编号、监造形式、辅助人员、区域经理、制造厂、总监代表、计划开始时间、计划结束时间、发起时间、派单状态、监造结束时间、剩余时间、工时等字段，并支持摘要卡片、统计汇总、筛选、合计及多种导出方式。</w:t>
      </w:r>
    </w:p>
    <w:p w14:paraId="0770E1B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三级人员工时记录：支持查看具体辅助人员的打卡记录、工时明细、工时日历及异常情况，区分监理打卡、出勤打卡、外勤打卡、休息、请假、未打卡等类型，并支持返回派单列表及工时手动调整。</w:t>
      </w:r>
    </w:p>
    <w:p w14:paraId="42BA6261">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工时调整规则：在总工时不变前提下，支持对同一人员在多个派单下的工时分配进行调整，用于后续产值与成本精细核算。</w:t>
      </w:r>
    </w:p>
    <w:p w14:paraId="0C7C29DA">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（2）监理人员动态管理</w:t>
      </w:r>
    </w:p>
    <w:p w14:paraId="3D99065B">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人员动态台账：按人员维度展示姓名、性别、民族、政治面貌、文化程度、身份证、出生年月、年龄、入职日期、毕业院校、专业、职称、监理师证书等信息。</w:t>
      </w:r>
    </w:p>
    <w:p w14:paraId="20A2B275">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查询与导出规则：支持按角色、姓名、性别、民族、政治面貌、文化程度、职称、出生年月范围、年龄范围、入职日期范围、毕业院校、专业、监理师证书等条件筛选，并支持导出当前筛选结果。</w:t>
      </w:r>
    </w:p>
    <w:p w14:paraId="5B6C67F3">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派单汇总查看：支持按人员查看名下派单汇总，展示派单编号、监造形式、辅助人员、制造厂、总监代表、计划开始时间、计划结束时间、发起时间、派单状态、监造结束时间、剩余时间、工时等信息，并支持进一步查看工时明细。</w:t>
      </w:r>
    </w:p>
    <w:p w14:paraId="43815B17">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三级工时明细：支持在同一派单下切换辅助人员，查看该人员的日期、上班时间、下班时间、打卡类型、签到状态、工时、打卡详细信息及工时日历。</w:t>
      </w:r>
    </w:p>
    <w:bookmarkEnd w:id="4"/>
    <w:p w14:paraId="6E7733C5">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5" w:name="Xaab048cd40f691b80aace7e0fec998a5a1196de"/>
      <w:r>
        <w:rPr>
          <w:rStyle w:val="29"/>
          <w:rFonts w:hint="default" w:ascii="宋体" w:hAnsi="Times New Roman" w:eastAsia="宋体" w:cs="宋体"/>
          <w:b/>
          <w:bCs/>
          <w:sz w:val="24"/>
          <w:szCs w:val="24"/>
          <w:lang w:val="en-US" w:eastAsia="zh-CN"/>
        </w:rPr>
        <w:t>3.4.5 开票、回款与提醒管理模块需求</w:t>
      </w:r>
    </w:p>
    <w:p w14:paraId="47617A28">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（1）开票明细管理</w:t>
      </w:r>
    </w:p>
    <w:p w14:paraId="0DD3FB65">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开票数据维护：支持 Excel 导入及页面新增，导入数据必须包含合同编号。新增开票时填写开票组织、开票客户、开票日期、发票号、币种、总数量、总金额、预计回款时间、项目经理、合同编号、项目名称、凭证号、备注等信息。</w:t>
      </w:r>
    </w:p>
    <w:p w14:paraId="0B3681A0">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开票流程控制：新增提交后数据直接生效，无需审批；暂存数据支持修改、删除；已提交生效数据如需修改或删除，需发起审批流程；驳回数据支持重新提交。</w:t>
      </w:r>
    </w:p>
    <w:p w14:paraId="189D9C97">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开票展示与查询：展示开票组织、开票客户、开票日期、发票号、币种、总数量、总金额、预计回款时间、项目经理、合同编号、项目名称、凭证号、备注、流程状态、审批结果等字段，并支持全部展示字段作为查询条件。</w:t>
      </w:r>
    </w:p>
    <w:p w14:paraId="75CD6E8F">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数据来源规则：开票信息不与外部 ERP 系统做接口对接，采用外部系统导出后手工导入方式，导入模板由业务部门后续确认。</w:t>
      </w:r>
    </w:p>
    <w:p w14:paraId="6CB3C315">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（2）回款明细管理</w:t>
      </w:r>
    </w:p>
    <w:p w14:paraId="7DF4449C">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回款数据维护：新增回款时填写合同编号、对方单位、项目名称、项目经理、回款金额、回款时间、回款凭证、备注等信息，并支持保存、提交、修改、删除、重新提交等操作。</w:t>
      </w:r>
    </w:p>
    <w:p w14:paraId="31C29F48">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回款冲抵规则：新增回款时，系统按先进先出原则自动匹配并冲抵该合同下未冲抵的开票记录；当回款金额较大时，可按顺序冲抵多条开票记录，并保留冲抵明细。</w:t>
      </w:r>
    </w:p>
    <w:p w14:paraId="25A103C6">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回款联动展示：除回款基础信息外，还需同屏展示合同签约总金额、累计已报产值、已报收入、历史已开票总金额、待开票缺口、未收款余额、本次回款兑付率、总体回款完结度等经营指标。</w:t>
      </w:r>
    </w:p>
    <w:p w14:paraId="6BE912DE">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回款汇总分析：支持按项目经理维度、合同维度对回款数据进行汇总分析，并提供回款明细汇总弹窗或独立汇总页面，便于经营兑现情况统计。</w:t>
      </w:r>
    </w:p>
    <w:p w14:paraId="1121E815">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（3）开票与回款提醒设置</w:t>
      </w:r>
    </w:p>
    <w:p w14:paraId="5A16F25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提醒规则配置：支持按合同类型、委托方、合同编号、超期时间、提醒频率、来源、状态、预警推送群组、推送渠道等字段配置开票、回款提醒规则。</w:t>
      </w:r>
    </w:p>
    <w:p w14:paraId="7FC08F22">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提醒推送机制：支持站内消息、工作邮箱、手机短信等推送方式；提醒频率支持每天、每周、每月及自定义天数，取值来源于字典配置；消息模板支持后台维护、启停及变量引用。</w:t>
      </w:r>
    </w:p>
    <w:p w14:paraId="6BD4AF43">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静默与联动规则：当项目经理发起延期或异常纠偏审批时，对应提醒进入静默挂起状态，待流程结束后恢复判定；同时支持项目经理每月产值、预计开票、预计回款未按时填报的催办提醒，并与利润预警消息联动。</w:t>
      </w:r>
    </w:p>
    <w:bookmarkEnd w:id="5"/>
    <w:p w14:paraId="727283D0">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val="0"/>
          <w:bCs w:val="0"/>
          <w:sz w:val="24"/>
          <w:szCs w:val="24"/>
          <w:lang w:val="en-US" w:eastAsia="zh-CN"/>
        </w:rPr>
      </w:pPr>
      <w:bookmarkStart w:id="6" w:name="X9a89877d898d7d7a658380c56817d5db4f3ed70"/>
      <w:r>
        <w:rPr>
          <w:rStyle w:val="29"/>
          <w:rFonts w:hint="default" w:ascii="宋体" w:hAnsi="Times New Roman" w:eastAsia="宋体" w:cs="宋体"/>
          <w:b/>
          <w:bCs/>
          <w:sz w:val="24"/>
          <w:szCs w:val="24"/>
          <w:lang w:val="en-US" w:eastAsia="zh-CN"/>
        </w:rPr>
        <w:t>3</w:t>
      </w:r>
      <w:r>
        <w:rPr>
          <w:rStyle w:val="29"/>
          <w:rFonts w:hint="default" w:ascii="宋体" w:hAnsi="Times New Roman" w:eastAsia="宋体" w:cs="宋体"/>
          <w:b/>
          <w:bCs/>
          <w:sz w:val="24"/>
          <w:szCs w:val="24"/>
          <w:lang w:val="en-US" w:eastAsia="zh-CN"/>
        </w:rPr>
        <w:t>.4.6 动态成本与利润分析模块需求</w:t>
      </w:r>
    </w:p>
    <w:p w14:paraId="3046E924">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（1）动态成本核算管理</w:t>
      </w:r>
    </w:p>
    <w:p w14:paraId="49529EAE">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成本总览展示：按合同展示合同编号、合同名称、总工时、人员成本、差旅成本、固定支出成本、成本合计等字段，并提供成本公式说明面板、筛选、导出、固定成本填报及明细下钻功能。</w:t>
      </w:r>
    </w:p>
    <w:p w14:paraId="36ADD51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人员成本规则：正式员工、劳务派遣、技术服务人员均纳入合同成本核算。人员成本按工时与派单数量进行分摊计算；人员工资数据需密文存储，前端仅展示计算结果，不暴露工资单价。</w:t>
      </w:r>
    </w:p>
    <w:p w14:paraId="5B4EE7C3">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差旅与固定支出规则：差旅成本支持按天调整、按金额调整两种方式；固定支出成本由服务人员成本、资料费用、其他采购费用组成，支持新增、导出、分页及明细查看。</w:t>
      </w:r>
    </w:p>
    <w:p w14:paraId="747F0BF3">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人员成本明细：支持查看人员成本清单，展示姓名、工时、个人成本等信息，并支持导出。支持增加技术服务成本导入入口，将技术服务成本结果纳入合同成本核算。</w:t>
      </w:r>
    </w:p>
    <w:p w14:paraId="37FF207B">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差旅成本明细：支持查看差旅成本清单，展示姓名、出差单编号、出差天数、分摊天数、差旅成本等信息，并支持按天或按金额调整成本分摊。</w:t>
      </w:r>
    </w:p>
    <w:p w14:paraId="6606D1EE">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固定支出明细：支持查看固定支出清单，展示成本类型、服务人员成本、资料费用、其他采购费用、金额、产生日期、录入人员等信息；支持新增、暂存、提交及导出。</w:t>
      </w:r>
    </w:p>
    <w:p w14:paraId="1FE5D06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差旅报销管理：支持差旅报销数据导入、内联编辑、调整及合同关联计算；差旅成本金额调整权限区分财务与本人两类角色，本人仅可按天数调整。</w:t>
      </w:r>
    </w:p>
    <w:p w14:paraId="290C104E">
      <w:pPr>
        <w:pStyle w:val="30"/>
        <w:shd w:val="clear" w:color="auto" w:fill="auto"/>
        <w:spacing w:after="189" w:line="360" w:lineRule="auto"/>
        <w:ind w:left="0" w:leftChars="0" w:firstLine="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人员工资管理：支持工资数据导入、历史工资记录及工资脱敏展示，工资字段在系统中需密文存储，前端统一显示为“”。</w:t>
      </w:r>
    </w:p>
    <w:p w14:paraId="3A3F1747">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（2）利润管理</w:t>
      </w:r>
    </w:p>
    <w:p w14:paraId="1FEFFF6C">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利润台账展示：按合同展示合同编号、合同名称、项目经理、委托方、制造方、总产值、总成本、利润等字段，支持查询、导出及图表分析。</w:t>
      </w:r>
    </w:p>
    <w:p w14:paraId="13001CA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利润预警规则：利润率阈值由字典配置，支持绿色、橙色、红色三档预警；当合同利润率触碰预警线时，向负责人、项目经理、财务及管理层发送站内消息和邮件提醒，并支持持续提醒及用户屏蔽。</w:t>
      </w:r>
    </w:p>
    <w:p w14:paraId="479F6B7E">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利润分析能力：支持合同级趋势分析与全局多合同对比分析，图表类型至少包括折线图、柱状图，并与利润列表筛选条件联动。</w:t>
      </w:r>
    </w:p>
    <w:bookmarkEnd w:id="6"/>
    <w:p w14:paraId="38E73CEB">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7" w:name="Xe144fde5911ca8a3353602fbc63e683fbb06ebb"/>
      <w:r>
        <w:rPr>
          <w:rStyle w:val="29"/>
          <w:rFonts w:hint="default" w:ascii="宋体" w:hAnsi="Times New Roman" w:eastAsia="宋体" w:cs="宋体"/>
          <w:b/>
          <w:bCs/>
          <w:sz w:val="24"/>
          <w:szCs w:val="24"/>
          <w:lang w:val="en-US" w:eastAsia="zh-CN"/>
        </w:rPr>
        <w:t>3.4.7 报表、权限与月报模块需求</w:t>
      </w:r>
    </w:p>
    <w:p w14:paraId="746F6F60">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（1）经营数据量化</w:t>
      </w:r>
    </w:p>
    <w:p w14:paraId="150401A8">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监理人员报表：按辅助人员维度统计全周期或指定时间段内的产值、成本、利润等数据，支持按年或按时间段生成报表。</w:t>
      </w:r>
    </w:p>
    <w:p w14:paraId="515D8678">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合同报表：按合同维度统计产值、成本、利润、开票、回款等数据，支持按合同类型、时间段及筛选条件导出 Excel 或 Word 报表。</w:t>
      </w:r>
    </w:p>
    <w:p w14:paraId="0224B333">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报表自定义：支持自定义展示字段、时间范围和图表类型，图表类型至少包括折线图、柱状图。</w:t>
      </w:r>
    </w:p>
    <w:p w14:paraId="2AFCF98A">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（2）项目经理权限分配</w:t>
      </w:r>
    </w:p>
    <w:p w14:paraId="5FA0846D">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自动绑定规则：基于 PECMS 传入的上级单位 ERP 唯一标识，自动完成合同与项目经理账号绑定，无需逐条手工分配。</w:t>
      </w:r>
    </w:p>
    <w:p w14:paraId="034646D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人工授权能力：管理员可查看默认项目经理、授权项目经理及待绑定状态，并支持手工追加授权、撤销授权及应急“一键急停”隔离操作。</w:t>
      </w:r>
    </w:p>
    <w:p w14:paraId="7AF5EB6A">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（3）全局功能规范</w:t>
      </w:r>
    </w:p>
    <w:p w14:paraId="0C1B817B">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导出规则：全</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统一支持 Excel 导出，默认按当前筛选结果导出，并支持列勾选、条数控制、顺序控制。</w:t>
      </w:r>
    </w:p>
    <w:p w14:paraId="43133BF9">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列设置能力：表格统一提供列设置功能，用户可自定义显示列项，取消勾选后表格隐藏对应列。</w:t>
      </w:r>
    </w:p>
    <w:p w14:paraId="39A7F2A3">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（4）科研经营月报</w:t>
      </w:r>
    </w:p>
    <w:p w14:paraId="0EC74D37">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月报页面建设：参照现有经营月报口径建设科研经营月报页面，首次进入先选择时间区间，再加载月报数据。</w:t>
      </w:r>
    </w:p>
    <w:p w14:paraId="4E081156">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月报展示规则：按总价合同、开口合同两类数据分层展示，并展示合同编号、合同标的物、负责人、委托方、合同起止日期、合同额、材料费、人工费、制造费、成本小计、毛利金额、毛利率、付款约定、合同交货期、备注等字段。</w:t>
      </w:r>
    </w:p>
    <w:p w14:paraId="2B0EF4EA">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月报填报能力：支持对预付款、进度款、提货款、验收款、款到发货、质保金等字段进行单条或批量填报，并保留历史记录。</w:t>
      </w:r>
    </w:p>
    <w:p w14:paraId="0EC0D72F">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月报汇总指标：页面顶部展示本期合同额合计、年初至本月累计合同额、本期销售回款合计、年初至本月累计回款等汇总指标。</w:t>
      </w:r>
    </w:p>
    <w:bookmarkEnd w:id="7"/>
    <w:p w14:paraId="2C16BB40">
      <w:pPr>
        <w:pStyle w:val="30"/>
        <w:shd w:val="clear" w:color="auto" w:fill="auto"/>
        <w:spacing w:after="189" w:line="360" w:lineRule="auto"/>
        <w:ind w:left="0" w:leftChars="0" w:firstLine="0" w:firstLineChars="0"/>
        <w:jc w:val="both"/>
        <w:outlineLvl w:val="2"/>
        <w:rPr>
          <w:rStyle w:val="29"/>
          <w:rFonts w:hint="default" w:ascii="宋体" w:hAnsi="Times New Roman" w:eastAsia="宋体" w:cs="宋体"/>
          <w:b/>
          <w:bCs/>
          <w:sz w:val="24"/>
          <w:szCs w:val="24"/>
          <w:lang w:val="en-US" w:eastAsia="zh-CN"/>
        </w:rPr>
      </w:pPr>
      <w:bookmarkStart w:id="8" w:name="X75c50d35cf221461df5291280208e14600f3daf"/>
      <w:r>
        <w:rPr>
          <w:rStyle w:val="29"/>
          <w:rFonts w:hint="default" w:ascii="宋体" w:hAnsi="Times New Roman" w:eastAsia="宋体" w:cs="宋体"/>
          <w:b/>
          <w:bCs/>
          <w:sz w:val="24"/>
          <w:szCs w:val="24"/>
          <w:lang w:val="en-US" w:eastAsia="zh-CN"/>
        </w:rPr>
        <w:t>3.4.8 系统架构与数据同步模块需求</w:t>
      </w:r>
    </w:p>
    <w:p w14:paraId="24A3F151">
      <w:pPr>
        <w:pStyle w:val="30"/>
        <w:shd w:val="clear" w:color="auto" w:fill="auto"/>
        <w:spacing w:after="189" w:line="360" w:lineRule="auto"/>
        <w:ind w:left="0" w:leftChars="0" w:firstLine="0" w:firstLineChars="0"/>
        <w:jc w:val="both"/>
        <w:outlineLvl w:val="3"/>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w:t>
      </w:r>
      <w:r>
        <w:rPr>
          <w:rStyle w:val="29"/>
          <w:rFonts w:hint="eastAsia" w:hAnsi="Times New Roman" w:cs="宋体"/>
          <w:b w:val="0"/>
          <w:bCs w:val="0"/>
          <w:sz w:val="24"/>
          <w:szCs w:val="24"/>
          <w:lang w:val="en-US" w:eastAsia="zh-CN"/>
        </w:rPr>
        <w:t>1</w:t>
      </w:r>
      <w:r>
        <w:rPr>
          <w:rStyle w:val="29"/>
          <w:rFonts w:hint="default" w:ascii="宋体" w:hAnsi="Times New Roman" w:eastAsia="宋体" w:cs="宋体"/>
          <w:b w:val="0"/>
          <w:bCs w:val="0"/>
          <w:sz w:val="24"/>
          <w:szCs w:val="24"/>
          <w:lang w:val="en-US" w:eastAsia="zh-CN"/>
        </w:rPr>
        <w:t>）数据隔离与同步机制</w:t>
      </w:r>
    </w:p>
    <w:p w14:paraId="6B31EBE6">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 xml:space="preserve">基础数据同步：合同基础信息、项目组信息等基础台账支持全量加增量同步，或在 PECMS 新增合同时主动推送至 </w:t>
      </w:r>
      <w:r>
        <w:rPr>
          <w:rStyle w:val="29"/>
          <w:rFonts w:hint="eastAsia" w:hAnsi="Times New Roman" w:cs="宋体"/>
          <w:b w:val="0"/>
          <w:bCs w:val="0"/>
          <w:sz w:val="24"/>
          <w:szCs w:val="24"/>
          <w:lang w:val="en-US" w:eastAsia="zh-CN"/>
        </w:rPr>
        <w:t>经营管理分析</w:t>
      </w:r>
      <w:r>
        <w:rPr>
          <w:rStyle w:val="29"/>
          <w:rFonts w:hint="default" w:ascii="宋体" w:hAnsi="Times New Roman" w:eastAsia="宋体" w:cs="宋体"/>
          <w:b w:val="0"/>
          <w:bCs w:val="0"/>
          <w:sz w:val="24"/>
          <w:szCs w:val="24"/>
          <w:lang w:val="en-US" w:eastAsia="zh-CN"/>
        </w:rPr>
        <w:t>。</w:t>
      </w:r>
    </w:p>
    <w:p w14:paraId="6BA7698B">
      <w:pPr>
        <w:pStyle w:val="30"/>
        <w:shd w:val="clear" w:color="auto" w:fill="auto"/>
        <w:spacing w:after="189" w:line="360" w:lineRule="auto"/>
        <w:ind w:left="0" w:leftChars="0" w:firstLine="420" w:firstLineChars="0"/>
        <w:jc w:val="both"/>
        <w:rPr>
          <w:rStyle w:val="29"/>
          <w:rFonts w:hint="default" w:ascii="宋体" w:hAnsi="Times New Roman" w:eastAsia="宋体" w:cs="宋体"/>
          <w:b w:val="0"/>
          <w:bCs w:val="0"/>
          <w:sz w:val="24"/>
          <w:szCs w:val="24"/>
          <w:lang w:val="en-US" w:eastAsia="zh-CN"/>
        </w:rPr>
      </w:pPr>
      <w:r>
        <w:rPr>
          <w:rStyle w:val="29"/>
          <w:rFonts w:hint="default" w:ascii="宋体" w:hAnsi="Times New Roman" w:eastAsia="宋体" w:cs="宋体"/>
          <w:b w:val="0"/>
          <w:bCs w:val="0"/>
          <w:sz w:val="24"/>
          <w:szCs w:val="24"/>
          <w:lang w:val="en-US" w:eastAsia="zh-CN"/>
        </w:rPr>
        <w:t xml:space="preserve">动态数据同步：打卡记录、派单状态变更等动态执行数据通过消息或变更捕获机制写入 </w:t>
      </w:r>
      <w:r>
        <w:rPr>
          <w:rStyle w:val="29"/>
          <w:rFonts w:hint="eastAsia" w:hAnsi="Times New Roman" w:cs="宋体"/>
          <w:b w:val="0"/>
          <w:bCs w:val="0"/>
          <w:sz w:val="24"/>
          <w:szCs w:val="24"/>
          <w:lang w:val="en-US" w:eastAsia="zh-CN"/>
        </w:rPr>
        <w:t>经营管理分析</w:t>
      </w:r>
      <w:r>
        <w:rPr>
          <w:rStyle w:val="29"/>
          <w:rFonts w:hint="default" w:ascii="宋体" w:hAnsi="Times New Roman" w:eastAsia="宋体" w:cs="宋体"/>
          <w:b w:val="0"/>
          <w:bCs w:val="0"/>
          <w:sz w:val="24"/>
          <w:szCs w:val="24"/>
          <w:lang w:val="en-US" w:eastAsia="zh-CN"/>
        </w:rPr>
        <w:t>，减少对 PECMS 主业务性能影响。</w:t>
      </w:r>
    </w:p>
    <w:p w14:paraId="4B45B9DA">
      <w:pPr>
        <w:pStyle w:val="30"/>
        <w:shd w:val="clear" w:color="auto" w:fill="auto"/>
        <w:spacing w:after="189" w:line="360" w:lineRule="auto"/>
        <w:ind w:left="0" w:leftChars="0" w:firstLine="420" w:firstLineChars="0"/>
        <w:jc w:val="both"/>
        <w:rPr>
          <w:rStyle w:val="29"/>
          <w:rFonts w:hint="default"/>
          <w:b/>
          <w:bCs/>
          <w:sz w:val="28"/>
          <w:szCs w:val="28"/>
          <w:lang w:val="en-US" w:eastAsia="zh-CN"/>
        </w:rPr>
      </w:pPr>
      <w:r>
        <w:rPr>
          <w:rStyle w:val="29"/>
          <w:rFonts w:hint="default" w:ascii="宋体" w:hAnsi="Times New Roman" w:eastAsia="宋体" w:cs="宋体"/>
          <w:b w:val="0"/>
          <w:bCs w:val="0"/>
          <w:sz w:val="24"/>
          <w:szCs w:val="24"/>
          <w:lang w:val="en-US" w:eastAsia="zh-CN"/>
        </w:rPr>
        <w:t>数据只读规则：由 PECMS 和综合管理</w:t>
      </w:r>
      <w:r>
        <w:rPr>
          <w:rStyle w:val="29"/>
          <w:rFonts w:hint="eastAsia" w:hAnsi="Times New Roman" w:cs="宋体"/>
          <w:b w:val="0"/>
          <w:bCs w:val="0"/>
          <w:sz w:val="24"/>
          <w:szCs w:val="24"/>
          <w:lang w:val="en-US" w:eastAsia="zh-CN"/>
        </w:rPr>
        <w:t>模块</w:t>
      </w:r>
      <w:r>
        <w:rPr>
          <w:rStyle w:val="29"/>
          <w:rFonts w:hint="default" w:ascii="宋体" w:hAnsi="Times New Roman" w:eastAsia="宋体" w:cs="宋体"/>
          <w:b w:val="0"/>
          <w:bCs w:val="0"/>
          <w:sz w:val="24"/>
          <w:szCs w:val="24"/>
          <w:lang w:val="en-US" w:eastAsia="zh-CN"/>
        </w:rPr>
        <w:t xml:space="preserve">产生的原始执行数据在 </w:t>
      </w:r>
      <w:r>
        <w:rPr>
          <w:rStyle w:val="29"/>
          <w:rFonts w:hint="eastAsia" w:hAnsi="Times New Roman" w:cs="宋体"/>
          <w:b w:val="0"/>
          <w:bCs w:val="0"/>
          <w:sz w:val="24"/>
          <w:szCs w:val="24"/>
          <w:lang w:val="en-US" w:eastAsia="zh-CN"/>
        </w:rPr>
        <w:t>经营管理分析</w:t>
      </w:r>
      <w:r>
        <w:rPr>
          <w:rStyle w:val="29"/>
          <w:rFonts w:hint="default" w:ascii="宋体" w:hAnsi="Times New Roman" w:eastAsia="宋体" w:cs="宋体"/>
          <w:b w:val="0"/>
          <w:bCs w:val="0"/>
          <w:sz w:val="24"/>
          <w:szCs w:val="24"/>
          <w:lang w:val="en-US" w:eastAsia="zh-CN"/>
        </w:rPr>
        <w:t xml:space="preserve"> 中仅可读不可回写；</w:t>
      </w:r>
      <w:r>
        <w:rPr>
          <w:rStyle w:val="29"/>
          <w:rFonts w:hint="eastAsia" w:hAnsi="Times New Roman" w:cs="宋体"/>
          <w:b w:val="0"/>
          <w:bCs w:val="0"/>
          <w:sz w:val="24"/>
          <w:szCs w:val="24"/>
          <w:lang w:val="en-US" w:eastAsia="zh-CN"/>
        </w:rPr>
        <w:t>经营管理分析</w:t>
      </w:r>
      <w:r>
        <w:rPr>
          <w:rStyle w:val="29"/>
          <w:rFonts w:hint="default" w:ascii="宋体" w:hAnsi="Times New Roman" w:eastAsia="宋体" w:cs="宋体"/>
          <w:b w:val="0"/>
          <w:bCs w:val="0"/>
          <w:sz w:val="24"/>
          <w:szCs w:val="24"/>
          <w:lang w:val="en-US" w:eastAsia="zh-CN"/>
        </w:rPr>
        <w:t xml:space="preserve"> 侧产生的收入纠正、审批历史、差旅工资等经营数据亦不反向写回 PECMS。</w:t>
      </w:r>
    </w:p>
    <w:bookmarkEnd w:id="1"/>
    <w:bookmarkEnd w:id="8"/>
    <w:p w14:paraId="4C3A6893">
      <w:pPr>
        <w:pStyle w:val="30"/>
        <w:numPr>
          <w:ilvl w:val="0"/>
          <w:numId w:val="0"/>
        </w:numPr>
        <w:shd w:val="clear" w:color="auto" w:fill="auto"/>
        <w:spacing w:after="189" w:line="360" w:lineRule="auto"/>
        <w:ind w:leftChars="0"/>
        <w:jc w:val="both"/>
        <w:outlineLvl w:val="1"/>
        <w:rPr>
          <w:rStyle w:val="29"/>
          <w:rFonts w:hint="default" w:hAnsi="Times New Roman"/>
          <w:b/>
          <w:bCs/>
          <w:sz w:val="28"/>
          <w:szCs w:val="28"/>
          <w:lang w:val="en-US" w:eastAsia="zh-CN"/>
        </w:rPr>
      </w:pPr>
      <w:r>
        <w:rPr>
          <w:rStyle w:val="29"/>
          <w:rFonts w:hint="eastAsia" w:hAnsi="Times New Roman"/>
          <w:b/>
          <w:bCs/>
          <w:sz w:val="28"/>
          <w:szCs w:val="28"/>
          <w:lang w:val="en-US" w:eastAsia="zh-CN"/>
        </w:rPr>
        <w:t>3.5开发管理需求</w:t>
      </w:r>
    </w:p>
    <w:p w14:paraId="2435F07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为提高软件开发过程的质量和可靠性，减少缺陷，并确保项目按时按质完成，开发管理需求如下：</w:t>
      </w:r>
    </w:p>
    <w:p w14:paraId="07929D3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（1）要求供应商派遣IT人员驻场办公，参与需求沟通、原型确认、设计、开发、测试、上线及问题整改等工作。</w:t>
      </w:r>
    </w:p>
    <w:p w14:paraId="7030E70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（2）供应商提供的人员配置及合同签订后最快进场时间应满足项目开发进度要求。</w:t>
      </w:r>
    </w:p>
    <w:p w14:paraId="51A0A9C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（3）供应商应安排专人参加需求沟通，所有开发需求形成需求原型，并与需求提出方进行确认，直至双方认可。</w:t>
      </w:r>
    </w:p>
    <w:p w14:paraId="2D98E8B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（4）供应商应根据项目需要安排开发人员参加东软报表系统培训，并确保培训成果能够应用于本项目开发实施。</w:t>
      </w:r>
    </w:p>
    <w:p w14:paraId="7CF33D0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（5）供应商应签署技术保密文件，并严格履行保密义务。项目全程产出的相关文档、代码、技术成果及知识产权归属甲方所有。</w:t>
      </w:r>
    </w:p>
    <w:p w14:paraId="2259B17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（6）在系统上线运行时，供应商应提供《用户使用手册》，并提供3次以内的用户集中培训，不另行收费。</w:t>
      </w:r>
    </w:p>
    <w:p w14:paraId="6051A54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52" w:firstLineChars="200"/>
        <w:jc w:val="both"/>
        <w:textAlignment w:val="auto"/>
        <w:rPr>
          <w:rFonts w:hint="eastAsia" w:ascii="宋体" w:hAnsi="宋体" w:eastAsia="宋体" w:cs="宋体"/>
          <w:spacing w:val="-7"/>
          <w:kern w:val="2"/>
          <w:sz w:val="24"/>
          <w:szCs w:val="24"/>
          <w:highlight w:val="yellow"/>
          <w:lang w:val="en-US" w:eastAsia="zh-CN" w:bidi="ar-SA"/>
        </w:rPr>
      </w:pPr>
      <w:r>
        <w:rPr>
          <w:rFonts w:hint="eastAsia" w:ascii="宋体" w:hAnsi="宋体" w:eastAsia="宋体" w:cs="宋体"/>
          <w:spacing w:val="-7"/>
          <w:kern w:val="2"/>
          <w:sz w:val="24"/>
          <w:szCs w:val="24"/>
          <w:highlight w:val="yellow"/>
          <w:lang w:val="en-US" w:eastAsia="zh-CN" w:bidi="ar-SA"/>
        </w:rPr>
        <w:t>（7）项目交付验收时，供应商应提交项目《概要设计说明书》《详细设计说明书》《数据库设计说明书》等相关技术资料文档，并可专项组织双方技术人员进行资料交接说明，维保期内负责答疑支持。</w:t>
      </w:r>
    </w:p>
    <w:p w14:paraId="2EDFBF05">
      <w:pPr>
        <w:pStyle w:val="30"/>
        <w:shd w:val="clear" w:color="auto" w:fill="auto"/>
        <w:spacing w:after="189" w:line="360" w:lineRule="auto"/>
        <w:ind w:left="20" w:hanging="20"/>
        <w:jc w:val="both"/>
        <w:outlineLvl w:val="0"/>
        <w:rPr>
          <w:rStyle w:val="29"/>
          <w:b/>
          <w:bCs/>
          <w:sz w:val="28"/>
          <w:szCs w:val="28"/>
        </w:rPr>
      </w:pPr>
      <w:r>
        <w:rPr>
          <w:rStyle w:val="29"/>
          <w:b/>
          <w:bCs/>
          <w:sz w:val="28"/>
          <w:szCs w:val="28"/>
        </w:rPr>
        <w:t>四、</w:t>
      </w:r>
      <w:r>
        <w:rPr>
          <w:rStyle w:val="29"/>
          <w:rFonts w:hint="eastAsia"/>
          <w:b/>
          <w:bCs/>
          <w:sz w:val="28"/>
          <w:szCs w:val="28"/>
        </w:rPr>
        <w:t>采购方式</w:t>
      </w:r>
    </w:p>
    <w:p w14:paraId="58AFDE02">
      <w:pPr>
        <w:spacing w:line="360" w:lineRule="auto"/>
        <w:ind w:firstLine="480" w:firstLineChars="200"/>
        <w:rPr>
          <w:rStyle w:val="29"/>
          <w:b w:val="0"/>
          <w:bCs w:val="0"/>
          <w:sz w:val="24"/>
          <w:szCs w:val="24"/>
        </w:rPr>
      </w:pPr>
      <w:r>
        <w:rPr>
          <w:rStyle w:val="29"/>
          <w:rFonts w:hint="eastAsia"/>
          <w:b w:val="0"/>
          <w:bCs w:val="0"/>
          <w:sz w:val="24"/>
          <w:szCs w:val="24"/>
        </w:rPr>
        <w:t>依据公司《非招标管理采购办法》，结合</w:t>
      </w:r>
      <w:r>
        <w:rPr>
          <w:rStyle w:val="29"/>
          <w:rFonts w:hint="eastAsia" w:eastAsia="宋体"/>
          <w:b w:val="0"/>
          <w:bCs w:val="0"/>
          <w:sz w:val="24"/>
          <w:szCs w:val="24"/>
          <w:lang w:val="en-US" w:eastAsia="zh-CN"/>
        </w:rPr>
        <w:t>数字信息部</w:t>
      </w:r>
      <w:r>
        <w:rPr>
          <w:rStyle w:val="29"/>
          <w:rFonts w:hint="eastAsia"/>
          <w:b w:val="0"/>
          <w:bCs w:val="0"/>
          <w:sz w:val="24"/>
          <w:szCs w:val="24"/>
          <w:highlight w:val="yellow"/>
        </w:rPr>
        <w:t>202</w:t>
      </w:r>
      <w:r>
        <w:rPr>
          <w:rStyle w:val="29"/>
          <w:rFonts w:hint="eastAsia" w:eastAsia="宋体"/>
          <w:b w:val="0"/>
          <w:bCs w:val="0"/>
          <w:sz w:val="24"/>
          <w:szCs w:val="24"/>
          <w:highlight w:val="yellow"/>
          <w:lang w:val="en-US" w:eastAsia="zh-CN"/>
        </w:rPr>
        <w:t>4</w:t>
      </w:r>
      <w:r>
        <w:rPr>
          <w:rStyle w:val="29"/>
          <w:rFonts w:hint="eastAsia"/>
          <w:b w:val="0"/>
          <w:bCs w:val="0"/>
          <w:sz w:val="24"/>
          <w:szCs w:val="24"/>
          <w:highlight w:val="yellow"/>
        </w:rPr>
        <w:t>年</w:t>
      </w:r>
      <w:r>
        <w:rPr>
          <w:rStyle w:val="29"/>
          <w:rFonts w:hint="eastAsia" w:eastAsia="宋体"/>
          <w:b w:val="0"/>
          <w:bCs w:val="0"/>
          <w:sz w:val="24"/>
          <w:szCs w:val="24"/>
          <w:highlight w:val="yellow"/>
          <w:lang w:val="en-US" w:eastAsia="zh-CN"/>
        </w:rPr>
        <w:t>8</w:t>
      </w:r>
      <w:r>
        <w:rPr>
          <w:rStyle w:val="29"/>
          <w:rFonts w:hint="eastAsia"/>
          <w:b w:val="0"/>
          <w:bCs w:val="0"/>
          <w:sz w:val="24"/>
          <w:szCs w:val="24"/>
          <w:highlight w:val="yellow"/>
        </w:rPr>
        <w:t>月20日</w:t>
      </w:r>
      <w:r>
        <w:rPr>
          <w:rStyle w:val="29"/>
          <w:rFonts w:hint="eastAsia"/>
          <w:b w:val="0"/>
          <w:bCs w:val="0"/>
          <w:sz w:val="24"/>
          <w:szCs w:val="24"/>
        </w:rPr>
        <w:t>提交的编号</w:t>
      </w:r>
      <w:r>
        <w:rPr>
          <w:rStyle w:val="29"/>
          <w:rFonts w:hint="eastAsia"/>
          <w:b w:val="0"/>
          <w:bCs w:val="0"/>
          <w:sz w:val="24"/>
          <w:szCs w:val="24"/>
          <w:highlight w:val="yellow"/>
        </w:rPr>
        <w:t>CG-20</w:t>
      </w:r>
      <w:r>
        <w:rPr>
          <w:rStyle w:val="29"/>
          <w:b w:val="0"/>
          <w:bCs w:val="0"/>
          <w:sz w:val="24"/>
          <w:szCs w:val="24"/>
          <w:highlight w:val="yellow"/>
        </w:rPr>
        <w:t>2</w:t>
      </w:r>
      <w:r>
        <w:rPr>
          <w:rStyle w:val="29"/>
          <w:rFonts w:hint="eastAsia" w:eastAsia="宋体"/>
          <w:b w:val="0"/>
          <w:bCs w:val="0"/>
          <w:sz w:val="24"/>
          <w:szCs w:val="24"/>
          <w:highlight w:val="yellow"/>
          <w:lang w:val="en-US" w:eastAsia="zh-CN"/>
        </w:rPr>
        <w:t>4</w:t>
      </w:r>
      <w:r>
        <w:rPr>
          <w:rStyle w:val="29"/>
          <w:b w:val="0"/>
          <w:bCs w:val="0"/>
          <w:sz w:val="24"/>
          <w:szCs w:val="24"/>
          <w:highlight w:val="yellow"/>
        </w:rPr>
        <w:t>-0</w:t>
      </w:r>
      <w:r>
        <w:rPr>
          <w:rStyle w:val="29"/>
          <w:rFonts w:hint="eastAsia" w:eastAsia="宋体"/>
          <w:b w:val="0"/>
          <w:bCs w:val="0"/>
          <w:sz w:val="24"/>
          <w:szCs w:val="24"/>
          <w:highlight w:val="yellow"/>
          <w:lang w:val="en-US" w:eastAsia="zh-CN"/>
        </w:rPr>
        <w:t>7</w:t>
      </w:r>
      <w:r>
        <w:rPr>
          <w:rStyle w:val="29"/>
          <w:rFonts w:hint="eastAsia"/>
          <w:b w:val="0"/>
          <w:bCs w:val="0"/>
          <w:sz w:val="24"/>
          <w:szCs w:val="24"/>
          <w:highlight w:val="yellow"/>
        </w:rPr>
        <w:t>-</w:t>
      </w:r>
      <w:r>
        <w:rPr>
          <w:rStyle w:val="29"/>
          <w:rFonts w:hint="eastAsia" w:eastAsia="宋体"/>
          <w:b w:val="0"/>
          <w:bCs w:val="0"/>
          <w:sz w:val="24"/>
          <w:szCs w:val="24"/>
          <w:highlight w:val="yellow"/>
          <w:lang w:val="en-US" w:eastAsia="zh-CN"/>
        </w:rPr>
        <w:t>01</w:t>
      </w:r>
      <w:r>
        <w:rPr>
          <w:rStyle w:val="29"/>
          <w:b w:val="0"/>
          <w:bCs w:val="0"/>
          <w:sz w:val="24"/>
          <w:szCs w:val="24"/>
        </w:rPr>
        <w:t>的采购物资申请表</w:t>
      </w:r>
      <w:r>
        <w:rPr>
          <w:rStyle w:val="29"/>
          <w:rFonts w:hint="eastAsia"/>
          <w:b w:val="0"/>
          <w:bCs w:val="0"/>
          <w:sz w:val="24"/>
          <w:szCs w:val="24"/>
        </w:rPr>
        <w:t>，</w:t>
      </w:r>
      <w:r>
        <w:rPr>
          <w:rStyle w:val="29"/>
          <w:rFonts w:hint="eastAsia" w:eastAsia="宋体"/>
          <w:b w:val="0"/>
          <w:bCs w:val="0"/>
          <w:sz w:val="24"/>
          <w:szCs w:val="24"/>
          <w:lang w:val="en-US" w:eastAsia="zh-CN"/>
        </w:rPr>
        <w:t>按照2024年8月公司</w:t>
      </w:r>
      <w:r>
        <w:rPr>
          <w:rStyle w:val="29"/>
          <w:rFonts w:hint="eastAsia"/>
          <w:b w:val="0"/>
          <w:bCs w:val="0"/>
          <w:sz w:val="24"/>
          <w:szCs w:val="24"/>
        </w:rPr>
        <w:t>办公会纪要指示，采用谈判采购方式。</w:t>
      </w:r>
    </w:p>
    <w:p w14:paraId="6CA3662F">
      <w:pPr>
        <w:pStyle w:val="30"/>
        <w:shd w:val="clear" w:color="auto" w:fill="auto"/>
        <w:spacing w:after="189" w:line="360" w:lineRule="auto"/>
        <w:ind w:left="20" w:hanging="20"/>
        <w:jc w:val="both"/>
        <w:outlineLvl w:val="0"/>
        <w:rPr>
          <w:rStyle w:val="29"/>
          <w:b/>
          <w:bCs/>
          <w:sz w:val="28"/>
          <w:szCs w:val="28"/>
        </w:rPr>
      </w:pPr>
      <w:r>
        <w:rPr>
          <w:rStyle w:val="29"/>
          <w:rFonts w:hint="eastAsia"/>
          <w:b/>
          <w:bCs/>
          <w:sz w:val="28"/>
          <w:szCs w:val="28"/>
        </w:rPr>
        <w:t>五</w:t>
      </w:r>
      <w:r>
        <w:rPr>
          <w:rStyle w:val="29"/>
          <w:b/>
          <w:bCs/>
          <w:sz w:val="28"/>
          <w:szCs w:val="28"/>
        </w:rPr>
        <w:t>、</w:t>
      </w:r>
      <w:r>
        <w:rPr>
          <w:rStyle w:val="29"/>
          <w:rFonts w:hint="eastAsia"/>
          <w:b/>
          <w:bCs/>
          <w:sz w:val="28"/>
          <w:szCs w:val="28"/>
        </w:rPr>
        <w:t>采购谈判重点</w:t>
      </w:r>
    </w:p>
    <w:p w14:paraId="53941CA6">
      <w:pPr>
        <w:spacing w:line="360" w:lineRule="auto"/>
        <w:ind w:firstLine="480" w:firstLineChars="200"/>
        <w:jc w:val="both"/>
        <w:rPr>
          <w:rFonts w:hint="eastAsia" w:ascii="宋体" w:hAnsi="宋体" w:eastAsia="宋体"/>
          <w:color w:val="000000"/>
          <w:sz w:val="24"/>
          <w:lang w:eastAsia="zh-CN"/>
        </w:rPr>
      </w:pPr>
      <w:r>
        <w:rPr>
          <w:rFonts w:hint="eastAsia" w:ascii="宋体" w:hAnsi="宋体" w:eastAsia="宋体" w:cstheme="minorBidi"/>
          <w:color w:val="000000"/>
          <w:kern w:val="2"/>
          <w:sz w:val="24"/>
          <w:szCs w:val="24"/>
          <w:highlight w:val="none"/>
          <w:lang w:val="en-US" w:eastAsia="en-US" w:bidi="ar-SA"/>
          <w14:ligatures w14:val="standardContextual"/>
        </w:rPr>
        <w:t>PECMS（对内+对外PC）模块优化改造、经营管理分析模块开发、APP端功能优化改造、安全管理模块优化改造四部分内容</w:t>
      </w:r>
      <w:r>
        <w:rPr>
          <w:rFonts w:hint="eastAsia" w:ascii="宋体" w:hAnsi="宋体" w:eastAsia="宋体"/>
          <w:color w:val="000000"/>
          <w:sz w:val="24"/>
          <w:lang w:val="en-US" w:eastAsia="zh-CN"/>
        </w:rPr>
        <w:t>，</w:t>
      </w:r>
      <w:r>
        <w:rPr>
          <w:rFonts w:hint="eastAsia" w:ascii="宋体" w:hAnsi="宋体" w:eastAsia="宋体"/>
          <w:color w:val="000000"/>
          <w:sz w:val="24"/>
          <w:lang w:eastAsia="zh-CN"/>
        </w:rPr>
        <w:t>按谈判采购流程进行，拟选择三家以上，</w:t>
      </w:r>
      <w:r>
        <w:rPr>
          <w:rFonts w:hint="eastAsia" w:ascii="宋体" w:hAnsi="宋体" w:eastAsia="宋体"/>
          <w:color w:val="000000"/>
          <w:sz w:val="24"/>
          <w:lang w:val="en-US" w:eastAsia="zh-CN"/>
        </w:rPr>
        <w:t>要求按需求提供详细的报价，包括各模块的开发费用、技术方案。</w:t>
      </w:r>
    </w:p>
    <w:p w14:paraId="70DA7958">
      <w:pPr>
        <w:spacing w:line="560" w:lineRule="exact"/>
        <w:ind w:firstLine="480" w:firstLineChars="200"/>
        <w:rPr>
          <w:rFonts w:ascii="宋体" w:hAnsi="宋体" w:eastAsia="宋体"/>
          <w:color w:val="000000"/>
          <w:sz w:val="24"/>
          <w:highlight w:val="yellow"/>
        </w:rPr>
      </w:pPr>
      <w:r>
        <w:rPr>
          <w:rFonts w:hint="eastAsia" w:ascii="宋体" w:hAnsi="宋体" w:eastAsia="宋体"/>
          <w:color w:val="000000"/>
          <w:sz w:val="24"/>
          <w:highlight w:val="yellow"/>
        </w:rPr>
        <w:t>1、谈判小组应当由综合办、数字信息部以及相关专业专家3人及以上组成。谈判小组应对供应商分别进行谈判。谈判中，谈判的任何一方不得透露与谈判有关的其他供应商的一切技术资料、价格或其他信息。</w:t>
      </w:r>
    </w:p>
    <w:p w14:paraId="086E08B4">
      <w:pPr>
        <w:spacing w:line="560" w:lineRule="exact"/>
        <w:ind w:firstLine="480" w:firstLineChars="200"/>
        <w:rPr>
          <w:rFonts w:ascii="宋体" w:hAnsi="宋体" w:eastAsia="宋体"/>
          <w:color w:val="000000"/>
          <w:sz w:val="24"/>
        </w:rPr>
      </w:pPr>
      <w:r>
        <w:rPr>
          <w:rFonts w:hint="eastAsia" w:ascii="宋体" w:hAnsi="宋体" w:eastAsia="宋体"/>
          <w:color w:val="000000"/>
          <w:sz w:val="24"/>
        </w:rPr>
        <w:t>2、谈判小组根据供应商的报价及谈判情况，可以要求供应商进行一轮或多轮报价，但必须保证每个供应商得到均等的报价机会，不得单独同某一供应商就其最终报价进行谈判，谈判小组应当要求所有供应商在规定的时间内提出最后报价及有关澄清或承诺；</w:t>
      </w:r>
    </w:p>
    <w:p w14:paraId="15CAA055">
      <w:pPr>
        <w:spacing w:line="560" w:lineRule="exact"/>
        <w:ind w:firstLine="480" w:firstLineChars="200"/>
        <w:rPr>
          <w:rFonts w:hint="eastAsia" w:ascii="宋体" w:hAnsi="宋体" w:eastAsia="宋体"/>
          <w:color w:val="000000"/>
          <w:sz w:val="24"/>
          <w:highlight w:val="yellow"/>
          <w:lang w:val="en-US" w:eastAsia="zh-CN"/>
        </w:rPr>
      </w:pPr>
      <w:r>
        <w:rPr>
          <w:rFonts w:hint="eastAsia" w:ascii="宋体" w:hAnsi="宋体" w:eastAsia="宋体"/>
          <w:color w:val="000000"/>
          <w:sz w:val="24"/>
          <w:highlight w:val="yellow"/>
          <w:lang w:eastAsia="zh-CN"/>
        </w:rPr>
        <w:t>3、谈判小组根据供应商的</w:t>
      </w:r>
      <w:r>
        <w:rPr>
          <w:rFonts w:hint="eastAsia" w:ascii="宋体" w:hAnsi="宋体" w:eastAsia="宋体"/>
          <w:color w:val="000000"/>
          <w:sz w:val="24"/>
          <w:highlight w:val="yellow"/>
          <w:lang w:val="en-US" w:eastAsia="zh-CN"/>
        </w:rPr>
        <w:t>资质、</w:t>
      </w:r>
      <w:r>
        <w:rPr>
          <w:rFonts w:hint="eastAsia" w:ascii="宋体" w:hAnsi="宋体" w:eastAsia="宋体"/>
          <w:color w:val="000000"/>
          <w:sz w:val="24"/>
          <w:highlight w:val="yellow"/>
          <w:lang w:eastAsia="zh-CN"/>
        </w:rPr>
        <w:t>技术方案、驻场服务保障、履约能力、报价及商务响应情况，对供应商进行综合评审，并推荐候选成交供应商。按照资格</w:t>
      </w:r>
      <w:r>
        <w:rPr>
          <w:rFonts w:hint="eastAsia" w:ascii="宋体" w:hAnsi="宋体" w:eastAsia="宋体"/>
          <w:color w:val="000000"/>
          <w:sz w:val="24"/>
          <w:highlight w:val="yellow"/>
          <w:lang w:val="en-US" w:eastAsia="zh-CN"/>
        </w:rPr>
        <w:t>评分、</w:t>
      </w:r>
      <w:r>
        <w:rPr>
          <w:rFonts w:hint="eastAsia" w:ascii="宋体" w:hAnsi="宋体" w:eastAsia="宋体"/>
          <w:color w:val="000000"/>
          <w:sz w:val="24"/>
          <w:highlight w:val="yellow"/>
          <w:lang w:eastAsia="zh-CN"/>
        </w:rPr>
        <w:t>定制开发评分、驻场运维评分、统一报价评分进行综合评分，按综合得分由高到低顺序推荐候选成交供应商，具体评分办法及权重以评审评分表为准。办公室依据谈判小组推荐的成交结果，编制谈判纪要，履行内部审批后确定成交供应商。</w:t>
      </w:r>
    </w:p>
    <w:p w14:paraId="741BE4A4">
      <w:pPr>
        <w:pStyle w:val="30"/>
        <w:shd w:val="clear" w:color="auto" w:fill="auto"/>
        <w:spacing w:after="189" w:line="360" w:lineRule="auto"/>
        <w:ind w:left="20" w:hanging="20"/>
        <w:jc w:val="both"/>
        <w:outlineLvl w:val="0"/>
        <w:rPr>
          <w:rStyle w:val="29"/>
          <w:b/>
          <w:bCs/>
          <w:sz w:val="28"/>
          <w:szCs w:val="28"/>
        </w:rPr>
      </w:pPr>
      <w:r>
        <w:rPr>
          <w:rStyle w:val="29"/>
          <w:rFonts w:hint="eastAsia"/>
          <w:b/>
          <w:bCs/>
          <w:sz w:val="28"/>
          <w:szCs w:val="28"/>
          <w:lang w:val="en-US" w:eastAsia="zh-CN"/>
        </w:rPr>
        <w:t>六</w:t>
      </w:r>
      <w:r>
        <w:rPr>
          <w:rStyle w:val="29"/>
          <w:b/>
          <w:bCs/>
          <w:sz w:val="28"/>
          <w:szCs w:val="28"/>
        </w:rPr>
        <w:t>、</w:t>
      </w:r>
      <w:r>
        <w:rPr>
          <w:rStyle w:val="29"/>
          <w:rFonts w:hint="eastAsia"/>
          <w:b/>
          <w:bCs/>
          <w:sz w:val="28"/>
          <w:szCs w:val="28"/>
        </w:rPr>
        <w:t>采购组成员</w:t>
      </w:r>
    </w:p>
    <w:p w14:paraId="6D1F6DB3">
      <w:pPr>
        <w:spacing w:line="360" w:lineRule="auto"/>
        <w:ind w:firstLine="480" w:firstLineChars="200"/>
        <w:rPr>
          <w:rFonts w:ascii="宋体" w:hAnsi="宋体" w:eastAsia="宋体"/>
          <w:color w:val="000000"/>
          <w:sz w:val="24"/>
        </w:rPr>
      </w:pPr>
      <w:r>
        <w:rPr>
          <w:rFonts w:hint="eastAsia" w:ascii="宋体" w:hAnsi="宋体" w:eastAsia="宋体"/>
          <w:color w:val="000000"/>
          <w:sz w:val="24"/>
        </w:rPr>
        <w:t>组长：办公室主任许开明</w:t>
      </w:r>
    </w:p>
    <w:p w14:paraId="00962E87">
      <w:pPr>
        <w:spacing w:line="360" w:lineRule="auto"/>
        <w:ind w:firstLine="480" w:firstLineChars="200"/>
        <w:rPr>
          <w:rFonts w:ascii="宋体" w:hAnsi="宋体" w:eastAsia="宋体"/>
          <w:color w:val="000000"/>
          <w:sz w:val="24"/>
        </w:rPr>
      </w:pPr>
      <w:r>
        <w:rPr>
          <w:rFonts w:hint="eastAsia" w:ascii="宋体" w:hAnsi="宋体" w:eastAsia="宋体"/>
          <w:color w:val="000000"/>
          <w:sz w:val="24"/>
        </w:rPr>
        <w:t>副组长：刘真云</w:t>
      </w:r>
    </w:p>
    <w:p w14:paraId="69C04B42">
      <w:pPr>
        <w:spacing w:line="360" w:lineRule="auto"/>
        <w:ind w:firstLine="480" w:firstLineChars="200"/>
        <w:rPr>
          <w:rFonts w:hint="default" w:ascii="宋体" w:hAnsi="宋体" w:eastAsia="宋体"/>
          <w:color w:val="000000"/>
          <w:sz w:val="24"/>
          <w:lang w:val="en-US" w:eastAsia="zh-CN"/>
        </w:rPr>
      </w:pPr>
      <w:r>
        <w:rPr>
          <w:rFonts w:hint="eastAsia" w:ascii="宋体" w:hAnsi="宋体" w:eastAsia="宋体"/>
          <w:color w:val="000000"/>
          <w:sz w:val="24"/>
        </w:rPr>
        <w:t>工作组成员：</w:t>
      </w:r>
      <w:r>
        <w:rPr>
          <w:rFonts w:hint="eastAsia" w:ascii="宋体" w:hAnsi="宋体" w:eastAsia="宋体"/>
          <w:color w:val="000000"/>
          <w:sz w:val="24"/>
          <w:lang w:val="en-US" w:eastAsia="zh-CN"/>
        </w:rPr>
        <w:t>李文健、李帅杰</w:t>
      </w:r>
    </w:p>
    <w:p w14:paraId="70C2CD3B">
      <w:pPr>
        <w:pStyle w:val="30"/>
        <w:shd w:val="clear" w:color="auto" w:fill="auto"/>
        <w:spacing w:after="189" w:line="360" w:lineRule="auto"/>
        <w:ind w:left="20" w:hanging="20"/>
        <w:jc w:val="both"/>
        <w:outlineLvl w:val="0"/>
        <w:rPr>
          <w:rStyle w:val="29"/>
          <w:b/>
          <w:bCs/>
          <w:sz w:val="28"/>
          <w:szCs w:val="28"/>
        </w:rPr>
      </w:pPr>
      <w:r>
        <w:rPr>
          <w:rStyle w:val="29"/>
          <w:rFonts w:hint="eastAsia"/>
          <w:b/>
          <w:bCs/>
          <w:sz w:val="28"/>
          <w:szCs w:val="28"/>
          <w:lang w:val="en-US" w:eastAsia="zh-CN"/>
        </w:rPr>
        <w:t>七</w:t>
      </w:r>
      <w:r>
        <w:rPr>
          <w:rStyle w:val="29"/>
          <w:b/>
          <w:bCs/>
          <w:sz w:val="28"/>
          <w:szCs w:val="28"/>
        </w:rPr>
        <w:t>、</w:t>
      </w:r>
      <w:r>
        <w:rPr>
          <w:rStyle w:val="29"/>
          <w:rFonts w:hint="eastAsia"/>
          <w:b/>
          <w:bCs/>
          <w:sz w:val="28"/>
          <w:szCs w:val="28"/>
        </w:rPr>
        <w:t>主要商务内容</w:t>
      </w:r>
    </w:p>
    <w:p w14:paraId="0B54D3E6">
      <w:pPr>
        <w:pStyle w:val="3"/>
        <w:spacing w:before="38" w:line="360" w:lineRule="auto"/>
        <w:ind w:right="35"/>
        <w:jc w:val="both"/>
        <w:rPr>
          <w:rFonts w:hint="eastAsia" w:hAnsi="宋体" w:cs="宋体"/>
          <w:snapToGrid w:val="0"/>
          <w:color w:val="000000"/>
          <w:spacing w:val="6"/>
          <w:kern w:val="0"/>
          <w:sz w:val="24"/>
          <w:szCs w:val="24"/>
          <w:highlight w:val="none"/>
          <w:shd w:val="clear" w:color="auto" w:fill="auto"/>
          <w:lang w:val="en-US" w:eastAsia="zh-CN" w:bidi="ar-SA"/>
        </w:rPr>
      </w:pPr>
      <w:r>
        <w:rPr>
          <w:rFonts w:hint="eastAsia" w:hAnsi="宋体" w:cs="宋体"/>
          <w:snapToGrid w:val="0"/>
          <w:color w:val="000000"/>
          <w:spacing w:val="6"/>
          <w:kern w:val="0"/>
          <w:sz w:val="24"/>
          <w:szCs w:val="24"/>
          <w:highlight w:val="none"/>
          <w:shd w:val="clear" w:color="auto" w:fill="auto"/>
          <w:lang w:val="en-US" w:eastAsia="zh-CN" w:bidi="ar-SA"/>
        </w:rPr>
        <w:t>1.项目期限：</w:t>
      </w:r>
    </w:p>
    <w:p w14:paraId="06D487E8">
      <w:pPr>
        <w:pStyle w:val="3"/>
        <w:numPr>
          <w:ilvl w:val="0"/>
          <w:numId w:val="3"/>
        </w:numPr>
        <w:shd w:val="clear" w:color="auto" w:fill="FFFFFF"/>
        <w:spacing w:before="38" w:line="360" w:lineRule="auto"/>
        <w:ind w:left="425" w:leftChars="0" w:right="35" w:rightChars="0" w:hanging="425" w:firstLineChars="0"/>
        <w:jc w:val="both"/>
        <w:rPr>
          <w:rFonts w:hint="default" w:hAnsi="宋体" w:cs="宋体"/>
          <w:snapToGrid w:val="0"/>
          <w:color w:val="000000"/>
          <w:spacing w:val="6"/>
          <w:kern w:val="0"/>
          <w:sz w:val="24"/>
          <w:szCs w:val="24"/>
          <w:highlight w:val="yellow"/>
          <w:shd w:val="clear" w:color="auto" w:fill="auto"/>
          <w:lang w:val="en-US" w:eastAsia="zh-CN" w:bidi="ar-SA"/>
        </w:rPr>
      </w:pPr>
      <w:r>
        <w:rPr>
          <w:rFonts w:hint="eastAsia" w:hAnsi="宋体" w:cs="宋体"/>
          <w:snapToGrid w:val="0"/>
          <w:color w:val="000000"/>
          <w:spacing w:val="6"/>
          <w:kern w:val="0"/>
          <w:sz w:val="24"/>
          <w:szCs w:val="24"/>
          <w:highlight w:val="yellow"/>
          <w:shd w:val="clear" w:color="auto" w:fill="auto"/>
          <w:lang w:val="en-US" w:eastAsia="zh-CN" w:bidi="ar-SA"/>
        </w:rPr>
        <w:t>2026年10月31日完成PECMS(对内+对外)开发。</w:t>
      </w:r>
    </w:p>
    <w:p w14:paraId="11C47D72">
      <w:pPr>
        <w:pStyle w:val="3"/>
        <w:numPr>
          <w:ilvl w:val="0"/>
          <w:numId w:val="3"/>
        </w:numPr>
        <w:shd w:val="clear" w:color="auto" w:fill="FFFFFF"/>
        <w:spacing w:before="38" w:line="360" w:lineRule="auto"/>
        <w:ind w:left="425" w:leftChars="0" w:right="35" w:rightChars="0" w:hanging="425" w:firstLineChars="0"/>
        <w:jc w:val="both"/>
        <w:rPr>
          <w:rFonts w:hint="default" w:hAnsi="宋体" w:cs="宋体"/>
          <w:snapToGrid w:val="0"/>
          <w:color w:val="000000"/>
          <w:spacing w:val="6"/>
          <w:kern w:val="0"/>
          <w:sz w:val="24"/>
          <w:szCs w:val="24"/>
          <w:highlight w:val="yellow"/>
          <w:shd w:val="clear" w:color="auto" w:fill="auto"/>
          <w:lang w:val="en-US" w:eastAsia="zh-CN" w:bidi="ar-SA"/>
        </w:rPr>
      </w:pPr>
      <w:r>
        <w:rPr>
          <w:rFonts w:hint="eastAsia" w:hAnsi="宋体" w:cs="宋体"/>
          <w:snapToGrid w:val="0"/>
          <w:color w:val="000000"/>
          <w:spacing w:val="6"/>
          <w:kern w:val="0"/>
          <w:sz w:val="24"/>
          <w:szCs w:val="24"/>
          <w:highlight w:val="yellow"/>
          <w:shd w:val="clear" w:color="auto" w:fill="auto"/>
          <w:lang w:val="en-US" w:eastAsia="zh-CN" w:bidi="ar-SA"/>
        </w:rPr>
        <w:t>2026年12月1日完成经营管理分析开发工作。</w:t>
      </w:r>
    </w:p>
    <w:p w14:paraId="1F5CE9B0">
      <w:pPr>
        <w:pStyle w:val="3"/>
        <w:numPr>
          <w:ilvl w:val="0"/>
          <w:numId w:val="3"/>
        </w:numPr>
        <w:shd w:val="clear" w:color="auto" w:fill="FFFFFF"/>
        <w:spacing w:before="38" w:line="360" w:lineRule="auto"/>
        <w:ind w:left="425" w:leftChars="0" w:right="35" w:rightChars="0" w:hanging="425" w:firstLineChars="0"/>
        <w:jc w:val="both"/>
        <w:rPr>
          <w:rFonts w:hint="default" w:hAnsi="宋体" w:cs="宋体"/>
          <w:snapToGrid w:val="0"/>
          <w:color w:val="000000"/>
          <w:spacing w:val="6"/>
          <w:kern w:val="0"/>
          <w:sz w:val="24"/>
          <w:szCs w:val="24"/>
          <w:highlight w:val="yellow"/>
          <w:shd w:val="clear" w:color="auto" w:fill="auto"/>
          <w:lang w:val="en-US" w:eastAsia="zh-CN" w:bidi="ar-SA"/>
        </w:rPr>
      </w:pPr>
      <w:r>
        <w:rPr>
          <w:rFonts w:hint="eastAsia" w:hAnsi="宋体" w:cs="宋体"/>
          <w:snapToGrid w:val="0"/>
          <w:color w:val="000000"/>
          <w:spacing w:val="6"/>
          <w:kern w:val="0"/>
          <w:sz w:val="24"/>
          <w:szCs w:val="24"/>
          <w:highlight w:val="yellow"/>
          <w:shd w:val="clear" w:color="auto" w:fill="auto"/>
          <w:lang w:val="en-US" w:eastAsia="zh-CN" w:bidi="ar-SA"/>
        </w:rPr>
        <w:t>2026年10月1日完成安全管理模块优化。</w:t>
      </w:r>
    </w:p>
    <w:p w14:paraId="535CE29A">
      <w:pPr>
        <w:pStyle w:val="3"/>
        <w:numPr>
          <w:ilvl w:val="0"/>
          <w:numId w:val="3"/>
        </w:numPr>
        <w:shd w:val="clear" w:color="auto" w:fill="FFFFFF"/>
        <w:spacing w:before="38" w:line="360" w:lineRule="auto"/>
        <w:ind w:left="425" w:leftChars="0" w:right="35" w:rightChars="0" w:hanging="425" w:firstLineChars="0"/>
        <w:jc w:val="both"/>
        <w:rPr>
          <w:rFonts w:hint="default" w:hAnsi="宋体" w:cs="宋体"/>
          <w:snapToGrid w:val="0"/>
          <w:color w:val="000000"/>
          <w:spacing w:val="6"/>
          <w:kern w:val="0"/>
          <w:sz w:val="24"/>
          <w:szCs w:val="24"/>
          <w:highlight w:val="yellow"/>
          <w:shd w:val="clear" w:color="auto" w:fill="auto"/>
          <w:lang w:val="en-US" w:eastAsia="zh-CN" w:bidi="ar-SA"/>
        </w:rPr>
      </w:pPr>
      <w:r>
        <w:rPr>
          <w:rFonts w:hint="eastAsia" w:hAnsi="宋体" w:cs="宋体"/>
          <w:snapToGrid w:val="0"/>
          <w:color w:val="000000"/>
          <w:spacing w:val="6"/>
          <w:kern w:val="0"/>
          <w:sz w:val="24"/>
          <w:szCs w:val="24"/>
          <w:highlight w:val="yellow"/>
          <w:shd w:val="clear" w:color="auto" w:fill="auto"/>
          <w:lang w:val="en-US" w:eastAsia="zh-CN" w:bidi="ar-SA"/>
        </w:rPr>
        <w:t>2026年10月1日完成APP模块优化</w:t>
      </w:r>
      <w:r>
        <w:rPr>
          <w:rFonts w:hint="eastAsia" w:ascii="宋体" w:hAnsi="宋体" w:eastAsia="宋体" w:cs="宋体"/>
          <w:snapToGrid w:val="0"/>
          <w:color w:val="000000"/>
          <w:spacing w:val="6"/>
          <w:kern w:val="0"/>
          <w:sz w:val="24"/>
          <w:szCs w:val="24"/>
          <w:highlight w:val="yellow"/>
          <w:shd w:val="clear" w:color="auto" w:fill="auto"/>
          <w:lang w:val="en-US" w:eastAsia="zh-CN" w:bidi="ar-SA"/>
        </w:rPr>
        <w:t>改造</w:t>
      </w:r>
      <w:r>
        <w:rPr>
          <w:rFonts w:hint="eastAsia" w:hAnsi="宋体" w:cs="宋体"/>
          <w:snapToGrid w:val="0"/>
          <w:color w:val="000000"/>
          <w:spacing w:val="6"/>
          <w:kern w:val="0"/>
          <w:sz w:val="24"/>
          <w:szCs w:val="24"/>
          <w:highlight w:val="yellow"/>
          <w:shd w:val="clear" w:color="auto" w:fill="auto"/>
          <w:lang w:val="en-US" w:eastAsia="zh-CN" w:bidi="ar-SA"/>
        </w:rPr>
        <w:t>。</w:t>
      </w:r>
    </w:p>
    <w:p w14:paraId="7A9BE0F4">
      <w:pPr>
        <w:pStyle w:val="3"/>
        <w:numPr>
          <w:ilvl w:val="0"/>
          <w:numId w:val="3"/>
        </w:numPr>
        <w:shd w:val="clear" w:color="auto" w:fill="FFFFFF"/>
        <w:spacing w:before="38" w:line="360" w:lineRule="auto"/>
        <w:ind w:left="425" w:leftChars="0" w:right="35" w:rightChars="0" w:hanging="425" w:firstLineChars="0"/>
        <w:jc w:val="both"/>
        <w:rPr>
          <w:rFonts w:hint="default" w:hAnsi="宋体" w:cs="宋体"/>
          <w:snapToGrid w:val="0"/>
          <w:color w:val="000000"/>
          <w:spacing w:val="6"/>
          <w:kern w:val="0"/>
          <w:sz w:val="24"/>
          <w:szCs w:val="24"/>
          <w:highlight w:val="yellow"/>
          <w:shd w:val="clear" w:color="auto" w:fill="auto"/>
          <w:lang w:val="en-US" w:eastAsia="zh-CN" w:bidi="ar-SA"/>
        </w:rPr>
      </w:pPr>
      <w:r>
        <w:rPr>
          <w:rFonts w:hint="eastAsia" w:hAnsi="宋体" w:cs="宋体"/>
          <w:snapToGrid w:val="0"/>
          <w:color w:val="000000"/>
          <w:spacing w:val="6"/>
          <w:kern w:val="0"/>
          <w:sz w:val="24"/>
          <w:szCs w:val="24"/>
          <w:highlight w:val="yellow"/>
          <w:shd w:val="clear" w:color="auto" w:fill="auto"/>
          <w:lang w:val="en-US" w:eastAsia="zh-CN" w:bidi="ar-SA"/>
        </w:rPr>
        <w:t>运维支撑截止日期为项目正式验收之日起开始的连续12个自然月。</w:t>
      </w:r>
    </w:p>
    <w:p w14:paraId="1C282A65">
      <w:pPr>
        <w:pStyle w:val="3"/>
        <w:numPr>
          <w:ilvl w:val="0"/>
          <w:numId w:val="4"/>
        </w:numPr>
        <w:spacing w:before="38" w:line="360" w:lineRule="auto"/>
        <w:ind w:left="0" w:leftChars="0" w:right="35" w:firstLine="0" w:firstLineChars="0"/>
        <w:jc w:val="both"/>
        <w:rPr>
          <w:rFonts w:hint="eastAsia" w:hAnsi="宋体" w:cs="宋体"/>
          <w:snapToGrid w:val="0"/>
          <w:color w:val="000000"/>
          <w:spacing w:val="6"/>
          <w:kern w:val="0"/>
          <w:sz w:val="24"/>
          <w:szCs w:val="24"/>
          <w:highlight w:val="none"/>
          <w:shd w:val="clear" w:color="auto" w:fill="auto"/>
          <w:lang w:val="en-US" w:eastAsia="zh-CN" w:bidi="ar-SA"/>
        </w:rPr>
      </w:pPr>
      <w:r>
        <w:rPr>
          <w:rFonts w:hint="eastAsia" w:hAnsi="宋体" w:cs="宋体"/>
          <w:snapToGrid w:val="0"/>
          <w:color w:val="000000"/>
          <w:spacing w:val="6"/>
          <w:kern w:val="0"/>
          <w:sz w:val="24"/>
          <w:szCs w:val="24"/>
          <w:highlight w:val="none"/>
          <w:shd w:val="clear" w:color="auto" w:fill="auto"/>
          <w:lang w:val="en-US" w:eastAsia="zh-CN" w:bidi="ar-SA"/>
        </w:rPr>
        <w:t>付款方式：</w:t>
      </w:r>
    </w:p>
    <w:p w14:paraId="447D99AB">
      <w:pPr>
        <w:rPr>
          <w:rFonts w:hint="eastAsia" w:ascii="宋体" w:hAnsi="宋体" w:eastAsia="宋体" w:cs="宋体"/>
          <w:snapToGrid w:val="0"/>
          <w:color w:val="000000"/>
          <w:spacing w:val="6"/>
          <w:kern w:val="0"/>
          <w:sz w:val="24"/>
          <w:szCs w:val="24"/>
          <w:highlight w:val="none"/>
          <w:shd w:val="clear" w:color="auto" w:fill="auto"/>
          <w:lang w:val="en-US" w:eastAsia="en-US" w:bidi="ar-SA"/>
        </w:rPr>
      </w:pPr>
      <w:r>
        <w:rPr>
          <w:rFonts w:hint="eastAsia" w:ascii="宋体" w:hAnsi="宋体" w:eastAsia="宋体" w:cs="宋体"/>
          <w:snapToGrid w:val="0"/>
          <w:color w:val="000000"/>
          <w:spacing w:val="6"/>
          <w:kern w:val="0"/>
          <w:sz w:val="24"/>
          <w:szCs w:val="24"/>
          <w:highlight w:val="none"/>
          <w:shd w:val="clear" w:color="auto" w:fill="auto"/>
          <w:lang w:val="en-US" w:eastAsia="en-US" w:bidi="ar-SA"/>
        </w:rPr>
        <w:t>一、付款条款</w:t>
      </w:r>
    </w:p>
    <w:p w14:paraId="64D45D50">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（1）本项目包含 PECMS（对内+对外PC）模块优化改造、经营管理分析模块开发、APP端功能优化改造、安全管理模块优化改造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B8E88CD">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（2）本项目第一阶段按照项目实施进度、阶段性交付成果及验收文件进行付款。乙方完成 PECMS（对内+对外PC）模块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 APP 消息通知、未读消息角标、待办角标及多</w:t>
      </w:r>
      <w:r>
        <w:rPr>
          <w:rFonts w:hint="eastAsia" w:ascii="宋体" w:hAnsi="宋体" w:eastAsia="宋体" w:cstheme="minorBidi"/>
          <w:color w:val="000000"/>
          <w:kern w:val="2"/>
          <w:sz w:val="24"/>
          <w:szCs w:val="24"/>
          <w:highlight w:val="none"/>
          <w:lang w:val="en-US" w:eastAsia="zh-CN" w:bidi="ar-SA"/>
          <w14:ligatures w14:val="standardContextual"/>
        </w:rPr>
        <w:t>模块</w:t>
      </w:r>
      <w:r>
        <w:rPr>
          <w:rFonts w:hint="eastAsia" w:ascii="宋体" w:hAnsi="宋体" w:eastAsia="宋体" w:cstheme="minorBidi"/>
          <w:color w:val="000000"/>
          <w:kern w:val="2"/>
          <w:sz w:val="24"/>
          <w:szCs w:val="24"/>
          <w:highlight w:val="none"/>
          <w:lang w:val="en-US" w:eastAsia="en-US" w:bidi="ar-SA"/>
          <w14:ligatures w14:val="standardContextual"/>
        </w:rPr>
        <w:t>未读消息汇总提醒等基础提醒能力建设；完成 安全管理模块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中实时地图与全员打卡总览、地图派单动态过滤、出差标识展示、遮罩层统计联动、</w:t>
      </w:r>
      <w:r>
        <w:rPr>
          <w:rFonts w:hint="eastAsia" w:ascii="宋体" w:hAnsi="宋体" w:eastAsia="宋体" w:cstheme="minorBidi"/>
          <w:color w:val="000000"/>
          <w:kern w:val="2"/>
          <w:sz w:val="24"/>
          <w:szCs w:val="24"/>
          <w:highlight w:val="none"/>
          <w:lang w:val="en-US" w:eastAsia="zh-CN" w:bidi="ar-SA"/>
          <w14:ligatures w14:val="standardContextual"/>
        </w:rPr>
        <w:t>综合管理模块</w:t>
      </w:r>
      <w:r>
        <w:rPr>
          <w:rFonts w:hint="eastAsia" w:ascii="宋体" w:hAnsi="宋体" w:eastAsia="宋体" w:cstheme="minorBidi"/>
          <w:color w:val="000000"/>
          <w:kern w:val="2"/>
          <w:sz w:val="24"/>
          <w:szCs w:val="24"/>
          <w:highlight w:val="none"/>
          <w:lang w:val="en-US" w:eastAsia="en-US" w:bidi="ar-SA"/>
          <w14:ligatures w14:val="standardContextual"/>
        </w:rPr>
        <w:t>考勤数据同步及执行部人员动态台账等核心功能开发，并提交覆盖本阶段全部交付内容的阶段测试验收报告、阶段缺陷清单、整改闭环记录及甲方要求的其他验收资料后，经甲方确认，甲方支付本项目合同总价的 35%。</w:t>
      </w:r>
    </w:p>
    <w:p w14:paraId="1E83CD49">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（3）本项目第二阶段按照项目实施进度、阶段性交付成果及验收文件进行付款。乙方完成 PECMS（对内+对外PC）模块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中消息分类配置、锁屏消息内容查看及按消息类型跳转办理、查看、学习、考试等功能开发，并完成与 PECMS、安全管理</w:t>
      </w:r>
      <w:r>
        <w:rPr>
          <w:rFonts w:hint="eastAsia" w:ascii="宋体" w:hAnsi="宋体" w:eastAsia="宋体" w:cstheme="minorBidi"/>
          <w:color w:val="000000"/>
          <w:kern w:val="2"/>
          <w:sz w:val="24"/>
          <w:szCs w:val="24"/>
          <w:highlight w:val="none"/>
          <w:lang w:val="en-US" w:eastAsia="zh-CN" w:bidi="ar-SA"/>
          <w14:ligatures w14:val="standardContextual"/>
        </w:rPr>
        <w:t>模块</w:t>
      </w:r>
      <w:r>
        <w:rPr>
          <w:rFonts w:hint="eastAsia" w:ascii="宋体" w:hAnsi="宋体" w:eastAsia="宋体" w:cstheme="minorBidi"/>
          <w:color w:val="000000"/>
          <w:kern w:val="2"/>
          <w:sz w:val="24"/>
          <w:szCs w:val="24"/>
          <w:highlight w:val="none"/>
          <w:lang w:val="en-US" w:eastAsia="en-US" w:bidi="ar-SA"/>
          <w14:ligatures w14:val="standardContextual"/>
        </w:rPr>
        <w:t>、综合管理</w:t>
      </w:r>
      <w:r>
        <w:rPr>
          <w:rFonts w:hint="eastAsia" w:ascii="宋体" w:hAnsi="宋体" w:eastAsia="宋体" w:cstheme="minorBidi"/>
          <w:color w:val="000000"/>
          <w:kern w:val="2"/>
          <w:sz w:val="24"/>
          <w:szCs w:val="24"/>
          <w:highlight w:val="none"/>
          <w:lang w:val="en-US" w:eastAsia="zh-CN" w:bidi="ar-SA"/>
          <w14:ligatures w14:val="standardContextual"/>
        </w:rPr>
        <w:t>模块</w:t>
      </w:r>
      <w:r>
        <w:rPr>
          <w:rFonts w:hint="eastAsia" w:ascii="宋体" w:hAnsi="宋体" w:eastAsia="宋体" w:cstheme="minorBidi"/>
          <w:color w:val="000000"/>
          <w:kern w:val="2"/>
          <w:sz w:val="24"/>
          <w:szCs w:val="24"/>
          <w:highlight w:val="none"/>
          <w:lang w:val="en-US" w:eastAsia="en-US" w:bidi="ar-SA"/>
          <w14:ligatures w14:val="standardContextual"/>
        </w:rPr>
        <w:t>消息的联动适配；完成 安全管理模块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7C24F806">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（4）本项目第三阶段按照项目实施进度、阶段性交付成果及验收文件进行付款。乙方完成 PECMS（对内+对外PC）模块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w:t>
      </w:r>
      <w:r>
        <w:rPr>
          <w:rFonts w:hint="eastAsia" w:ascii="宋体" w:hAnsi="宋体" w:eastAsia="宋体" w:cstheme="minorBidi"/>
          <w:color w:val="000000"/>
          <w:kern w:val="2"/>
          <w:sz w:val="24"/>
          <w:szCs w:val="24"/>
          <w:highlight w:val="none"/>
          <w:lang w:val="en-US" w:eastAsia="zh-CN" w:bidi="ar-SA"/>
          <w14:ligatures w14:val="standardContextual"/>
        </w:rPr>
        <w:t xml:space="preserve"> </w:t>
      </w:r>
      <w:r>
        <w:rPr>
          <w:rFonts w:hint="eastAsia" w:ascii="宋体" w:hAnsi="宋体" w:eastAsia="宋体" w:cstheme="minorBidi"/>
          <w:color w:val="000000"/>
          <w:kern w:val="2"/>
          <w:sz w:val="24"/>
          <w:szCs w:val="24"/>
          <w:highlight w:val="none"/>
          <w:lang w:val="en-US" w:eastAsia="en-US" w:bidi="ar-SA"/>
          <w14:ligatures w14:val="standardContextual"/>
        </w:rPr>
        <w:t>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4DE99D0B">
      <w:pPr>
        <w:keepNext w:val="0"/>
        <w:keepLines w:val="0"/>
        <w:pageBreakBefore w:val="0"/>
        <w:widowControl/>
        <w:kinsoku/>
        <w:wordWrap/>
        <w:overflowPunct/>
        <w:topLinePunct w:val="0"/>
        <w:autoSpaceDE/>
        <w:autoSpaceDN/>
        <w:bidi w:val="0"/>
        <w:adjustRightInd/>
        <w:snapToGrid/>
        <w:spacing w:after="160" w:line="560" w:lineRule="exact"/>
        <w:ind w:firstLine="480" w:firstLineChars="200"/>
        <w:textAlignment w:val="auto"/>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t>（5）本项目合同总价剩余 5%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74C35D84">
      <w:pPr>
        <w:rPr>
          <w:rFonts w:hint="eastAsia" w:ascii="宋体" w:hAnsi="宋体" w:eastAsia="宋体" w:cstheme="minorBidi"/>
          <w:color w:val="000000"/>
          <w:kern w:val="2"/>
          <w:sz w:val="24"/>
          <w:szCs w:val="24"/>
          <w:highlight w:val="none"/>
          <w:lang w:val="en-US" w:eastAsia="en-US" w:bidi="ar-SA"/>
          <w14:ligatures w14:val="standardContextual"/>
        </w:rPr>
      </w:pPr>
      <w:r>
        <w:rPr>
          <w:rFonts w:hint="eastAsia" w:ascii="宋体" w:hAnsi="宋体" w:eastAsia="宋体" w:cstheme="minorBidi"/>
          <w:color w:val="000000"/>
          <w:kern w:val="2"/>
          <w:sz w:val="24"/>
          <w:szCs w:val="24"/>
          <w:highlight w:val="none"/>
          <w:lang w:val="en-US" w:eastAsia="en-US" w:bidi="ar-SA"/>
          <w14:ligatures w14:val="standardContextual"/>
        </w:rPr>
        <w:br w:type="page"/>
      </w:r>
    </w:p>
    <w:p w14:paraId="4F0EDAF8">
      <w:pPr>
        <w:rPr>
          <w:rFonts w:hint="eastAsia" w:ascii="宋体" w:hAnsi="宋体" w:eastAsia="宋体" w:cstheme="minorBidi"/>
          <w:color w:val="000000"/>
          <w:kern w:val="2"/>
          <w:sz w:val="24"/>
          <w:szCs w:val="24"/>
          <w:highlight w:val="none"/>
          <w:lang w:val="en-US" w:eastAsia="en-US" w:bidi="ar-SA"/>
          <w14:ligatures w14:val="standardContextual"/>
        </w:rPr>
        <w:sectPr>
          <w:pgSz w:w="11906" w:h="16838"/>
          <w:pgMar w:top="1440" w:right="1800" w:bottom="1440" w:left="1800" w:header="851" w:footer="992" w:gutter="0"/>
          <w:cols w:space="425" w:num="1"/>
          <w:docGrid w:type="lines" w:linePitch="312" w:charSpace="0"/>
        </w:sectPr>
      </w:pPr>
    </w:p>
    <w:p w14:paraId="43150264">
      <w:pPr>
        <w:keepNext w:val="0"/>
        <w:keepLines w:val="0"/>
        <w:pageBreakBefore w:val="0"/>
        <w:widowControl/>
        <w:kinsoku/>
        <w:wordWrap/>
        <w:overflowPunct/>
        <w:topLinePunct w:val="0"/>
        <w:autoSpaceDE/>
        <w:autoSpaceDN/>
        <w:bidi w:val="0"/>
        <w:adjustRightInd/>
        <w:snapToGrid/>
        <w:spacing w:after="160" w:line="560" w:lineRule="exact"/>
        <w:ind w:firstLine="560" w:firstLineChars="200"/>
        <w:textAlignment w:val="auto"/>
        <w:outlineLvl w:val="0"/>
        <w:rPr>
          <w:rFonts w:hint="eastAsia" w:ascii="微软雅黑" w:hAnsi="微软雅黑" w:eastAsia="微软雅黑" w:cs="微软雅黑"/>
          <w:color w:val="000000"/>
          <w:kern w:val="2"/>
          <w:sz w:val="28"/>
          <w:szCs w:val="28"/>
          <w:highlight w:val="none"/>
          <w:lang w:val="en-US" w:eastAsia="zh-CN" w:bidi="ar-SA"/>
          <w14:ligatures w14:val="standardContextual"/>
        </w:rPr>
      </w:pPr>
      <w:r>
        <w:rPr>
          <w:rFonts w:hint="eastAsia" w:ascii="微软雅黑" w:hAnsi="微软雅黑" w:eastAsia="微软雅黑" w:cs="微软雅黑"/>
          <w:color w:val="000000"/>
          <w:kern w:val="2"/>
          <w:sz w:val="28"/>
          <w:szCs w:val="28"/>
          <w:highlight w:val="none"/>
          <w:lang w:val="en-US" w:eastAsia="zh-CN" w:bidi="ar-SA"/>
          <w14:ligatures w14:val="standardContextual"/>
        </w:rPr>
        <w:t>附件一</w:t>
      </w:r>
      <w:r>
        <w:rPr>
          <w:rFonts w:hint="eastAsia" w:ascii="微软雅黑" w:hAnsi="微软雅黑" w:eastAsia="微软雅黑" w:cs="微软雅黑"/>
          <w:color w:val="000000"/>
          <w:kern w:val="2"/>
          <w:sz w:val="28"/>
          <w:szCs w:val="28"/>
          <w:highlight w:val="none"/>
          <w:lang w:val="en-US" w:eastAsia="zh-CN" w:bidi="ar-SA"/>
          <w14:ligatures w14:val="standardContextual"/>
        </w:rPr>
        <w:t>：供应商评审评分标准</w:t>
      </w:r>
    </w:p>
    <w:p w14:paraId="6782A2D6">
      <w:pPr>
        <w:spacing w:after="160"/>
        <w:jc w:val="center"/>
      </w:pPr>
      <w:r>
        <w:rPr>
          <w:rFonts w:ascii="黑体" w:hAnsi="黑体" w:eastAsia="黑体"/>
          <w:b/>
          <w:sz w:val="32"/>
        </w:rPr>
        <w:t>2026年度南京三方一体化数字信息平台优化提升项目供应商评审评分标准</w:t>
      </w:r>
    </w:p>
    <w:p w14:paraId="6C99CCBB">
      <w:pPr>
        <w:spacing w:after="60"/>
        <w:ind w:firstLine="420"/>
        <w:rPr>
          <w:sz w:val="24"/>
          <w:szCs w:val="24"/>
        </w:rPr>
      </w:pPr>
      <w:r>
        <w:rPr>
          <w:rFonts w:ascii="宋体" w:hAnsi="宋体" w:eastAsia="宋体"/>
          <w:sz w:val="24"/>
          <w:szCs w:val="24"/>
        </w:rPr>
        <w:t>为便于供应商准确理解2026年度南京三方一体化数字信息平台优化提升项目的评审要求，现将本项目资质评分标准、定制开发评分标准、驻场运维评分标准、统一报价评分标准及综合评分计算方式说明如下。</w:t>
      </w:r>
    </w:p>
    <w:p w14:paraId="104F8938">
      <w:pPr>
        <w:spacing w:after="60"/>
        <w:ind w:firstLine="420"/>
        <w:rPr>
          <w:sz w:val="24"/>
          <w:szCs w:val="24"/>
        </w:rPr>
      </w:pPr>
      <w:r>
        <w:rPr>
          <w:rFonts w:ascii="宋体" w:hAnsi="宋体" w:eastAsia="宋体"/>
          <w:sz w:val="24"/>
          <w:szCs w:val="24"/>
        </w:rPr>
        <w:t>本项目评审范围包括PECMS（对内+对外PC）模块优化改造、经营管理分析模块开发、APP端功能优化改造、安全管理模块优化改造。供应商应按采购文件要求提交资质证明材料、技术方案、驻场服务保障方案、商务响应文件及整包统一有效报价，作为本项目评审依据。</w:t>
      </w:r>
    </w:p>
    <w:p w14:paraId="42F3091E">
      <w:pPr>
        <w:spacing w:before="120" w:after="80"/>
      </w:pPr>
      <w:r>
        <w:rPr>
          <w:rFonts w:ascii="黑体" w:hAnsi="黑体" w:eastAsia="黑体"/>
          <w:b/>
          <w:sz w:val="26"/>
        </w:rPr>
        <w:t>一、资质评分标准</w:t>
      </w:r>
    </w:p>
    <w:p w14:paraId="1E82DDC5">
      <w:pPr>
        <w:spacing w:after="60"/>
        <w:ind w:firstLine="420"/>
        <w:rPr>
          <w:sz w:val="24"/>
          <w:szCs w:val="24"/>
        </w:rPr>
      </w:pPr>
      <w:r>
        <w:rPr>
          <w:rFonts w:ascii="宋体" w:hAnsi="宋体" w:eastAsia="宋体"/>
          <w:sz w:val="24"/>
          <w:szCs w:val="24"/>
        </w:rPr>
        <w:t>本部分适用于对供应商企业基础能力、财务实力、同类项目业绩、企业信誉及基础资质等内容进行综合评分，满分100分。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5744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580193CE">
            <w:pPr>
              <w:spacing w:after="0" w:line="240" w:lineRule="auto"/>
              <w:jc w:val="center"/>
            </w:pPr>
            <w:r>
              <w:rPr>
                <w:rFonts w:ascii="黑体" w:hAnsi="黑体" w:eastAsia="黑体"/>
                <w:b/>
                <w:sz w:val="21"/>
              </w:rPr>
              <w:t>评审大项</w:t>
            </w:r>
          </w:p>
        </w:tc>
        <w:tc>
          <w:tcPr>
            <w:tcW w:w="2835" w:type="dxa"/>
            <w:shd w:val="clear" w:color="auto" w:fill="D9EAF7"/>
            <w:vAlign w:val="center"/>
          </w:tcPr>
          <w:p w14:paraId="328C4311">
            <w:pPr>
              <w:spacing w:after="0" w:line="240" w:lineRule="auto"/>
              <w:jc w:val="center"/>
            </w:pPr>
            <w:r>
              <w:rPr>
                <w:rFonts w:ascii="黑体" w:hAnsi="黑体" w:eastAsia="黑体"/>
                <w:b/>
                <w:sz w:val="21"/>
              </w:rPr>
              <w:t>评审子项</w:t>
            </w:r>
          </w:p>
        </w:tc>
        <w:tc>
          <w:tcPr>
            <w:tcW w:w="850" w:type="dxa"/>
            <w:shd w:val="clear" w:color="auto" w:fill="D9EAF7"/>
            <w:vAlign w:val="center"/>
          </w:tcPr>
          <w:p w14:paraId="3747A84C">
            <w:pPr>
              <w:spacing w:after="0" w:line="240" w:lineRule="auto"/>
              <w:jc w:val="center"/>
            </w:pPr>
            <w:r>
              <w:rPr>
                <w:rFonts w:ascii="黑体" w:hAnsi="黑体" w:eastAsia="黑体"/>
                <w:b/>
                <w:sz w:val="21"/>
              </w:rPr>
              <w:t>分值</w:t>
            </w:r>
          </w:p>
        </w:tc>
        <w:tc>
          <w:tcPr>
            <w:tcW w:w="5783" w:type="dxa"/>
            <w:shd w:val="clear" w:color="auto" w:fill="D9EAF7"/>
            <w:vAlign w:val="center"/>
          </w:tcPr>
          <w:p w14:paraId="7D07001C">
            <w:pPr>
              <w:spacing w:after="0" w:line="240" w:lineRule="auto"/>
              <w:jc w:val="center"/>
            </w:pPr>
            <w:r>
              <w:rPr>
                <w:rFonts w:ascii="黑体" w:hAnsi="黑体" w:eastAsia="黑体"/>
                <w:b/>
                <w:sz w:val="21"/>
              </w:rPr>
              <w:t>评分标准</w:t>
            </w:r>
          </w:p>
        </w:tc>
        <w:tc>
          <w:tcPr>
            <w:tcW w:w="3969" w:type="dxa"/>
            <w:shd w:val="clear" w:color="auto" w:fill="D9EAF7"/>
            <w:vAlign w:val="center"/>
          </w:tcPr>
          <w:p w14:paraId="3F3D6F33">
            <w:pPr>
              <w:spacing w:after="0" w:line="240" w:lineRule="auto"/>
              <w:jc w:val="center"/>
            </w:pPr>
            <w:r>
              <w:rPr>
                <w:rFonts w:ascii="黑体" w:hAnsi="黑体" w:eastAsia="黑体"/>
                <w:b/>
                <w:sz w:val="21"/>
              </w:rPr>
              <w:t>评分依据/证明材料</w:t>
            </w:r>
          </w:p>
        </w:tc>
      </w:tr>
      <w:tr w14:paraId="772F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D26BF3E">
            <w:pPr>
              <w:spacing w:after="0" w:line="240" w:lineRule="auto"/>
              <w:jc w:val="left"/>
            </w:pPr>
            <w:r>
              <w:rPr>
                <w:rFonts w:ascii="宋体" w:hAnsi="宋体" w:eastAsia="宋体"/>
                <w:b w:val="0"/>
                <w:sz w:val="21"/>
              </w:rPr>
              <w:t>企业规模与综合实力</w:t>
            </w:r>
          </w:p>
        </w:tc>
        <w:tc>
          <w:tcPr>
            <w:tcW w:w="2835" w:type="dxa"/>
            <w:vAlign w:val="center"/>
          </w:tcPr>
          <w:p w14:paraId="3E16CB61">
            <w:pPr>
              <w:spacing w:after="0" w:line="240" w:lineRule="auto"/>
              <w:jc w:val="left"/>
            </w:pPr>
            <w:r>
              <w:rPr>
                <w:rFonts w:ascii="宋体" w:hAnsi="宋体" w:eastAsia="宋体"/>
                <w:b w:val="0"/>
                <w:sz w:val="21"/>
              </w:rPr>
              <w:t>企业规模与综合实力</w:t>
            </w:r>
          </w:p>
        </w:tc>
        <w:tc>
          <w:tcPr>
            <w:tcW w:w="850" w:type="dxa"/>
            <w:vAlign w:val="center"/>
          </w:tcPr>
          <w:p w14:paraId="34CE9EE3">
            <w:pPr>
              <w:spacing w:after="0" w:line="240" w:lineRule="auto"/>
              <w:jc w:val="center"/>
            </w:pPr>
            <w:r>
              <w:rPr>
                <w:rFonts w:ascii="宋体" w:hAnsi="宋体" w:eastAsia="宋体"/>
                <w:b w:val="0"/>
                <w:sz w:val="21"/>
              </w:rPr>
              <w:t>20</w:t>
            </w:r>
          </w:p>
        </w:tc>
        <w:tc>
          <w:tcPr>
            <w:tcW w:w="5783" w:type="dxa"/>
            <w:vAlign w:val="center"/>
          </w:tcPr>
          <w:p w14:paraId="2FCDF719">
            <w:pPr>
              <w:spacing w:after="0" w:line="240" w:lineRule="auto"/>
              <w:jc w:val="left"/>
            </w:pPr>
            <w:r>
              <w:rPr>
                <w:rFonts w:ascii="宋体" w:hAnsi="宋体" w:eastAsia="宋体"/>
                <w:b w:val="0"/>
                <w:sz w:val="21"/>
              </w:rPr>
              <w:t>根据近三年平均人均资产额、人均利润水平、纳税规模及企业整体实力综合评定。指标表现优秀、企业规模及综合实力较强，得20分；表现较好，得15-19分；表现一般，得8-14分；较弱或未提供有效证明材料，得0-7分。</w:t>
            </w:r>
          </w:p>
        </w:tc>
        <w:tc>
          <w:tcPr>
            <w:tcW w:w="3969" w:type="dxa"/>
            <w:vAlign w:val="center"/>
          </w:tcPr>
          <w:p w14:paraId="11994FCA">
            <w:pPr>
              <w:spacing w:after="0" w:line="240" w:lineRule="auto"/>
              <w:jc w:val="left"/>
            </w:pPr>
            <w:r>
              <w:rPr>
                <w:rFonts w:ascii="宋体" w:hAnsi="宋体" w:eastAsia="宋体"/>
                <w:b w:val="0"/>
                <w:sz w:val="21"/>
              </w:rPr>
              <w:t>近三年审计报告、纳税证明、企业基本情况说明等。</w:t>
            </w:r>
          </w:p>
        </w:tc>
      </w:tr>
      <w:tr w14:paraId="62EC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AA8DFAE">
            <w:pPr>
              <w:spacing w:after="0" w:line="240" w:lineRule="auto"/>
              <w:jc w:val="left"/>
            </w:pPr>
            <w:r>
              <w:rPr>
                <w:rFonts w:ascii="宋体" w:hAnsi="宋体" w:eastAsia="宋体"/>
                <w:b w:val="0"/>
                <w:sz w:val="21"/>
              </w:rPr>
              <w:t>财务状况</w:t>
            </w:r>
          </w:p>
        </w:tc>
        <w:tc>
          <w:tcPr>
            <w:tcW w:w="2835" w:type="dxa"/>
            <w:vAlign w:val="center"/>
          </w:tcPr>
          <w:p w14:paraId="699DCA9F">
            <w:pPr>
              <w:spacing w:after="0" w:line="240" w:lineRule="auto"/>
              <w:jc w:val="left"/>
            </w:pPr>
            <w:r>
              <w:rPr>
                <w:rFonts w:ascii="宋体" w:hAnsi="宋体" w:eastAsia="宋体"/>
                <w:b w:val="0"/>
                <w:sz w:val="21"/>
              </w:rPr>
              <w:t>财务状况</w:t>
            </w:r>
          </w:p>
        </w:tc>
        <w:tc>
          <w:tcPr>
            <w:tcW w:w="850" w:type="dxa"/>
            <w:vAlign w:val="center"/>
          </w:tcPr>
          <w:p w14:paraId="63D394E5">
            <w:pPr>
              <w:spacing w:after="0" w:line="240" w:lineRule="auto"/>
              <w:jc w:val="center"/>
            </w:pPr>
            <w:r>
              <w:rPr>
                <w:rFonts w:ascii="宋体" w:hAnsi="宋体" w:eastAsia="宋体"/>
                <w:b w:val="0"/>
                <w:sz w:val="21"/>
              </w:rPr>
              <w:t>20</w:t>
            </w:r>
          </w:p>
        </w:tc>
        <w:tc>
          <w:tcPr>
            <w:tcW w:w="5783" w:type="dxa"/>
            <w:vAlign w:val="center"/>
          </w:tcPr>
          <w:p w14:paraId="2403365D">
            <w:pPr>
              <w:spacing w:after="0" w:line="240" w:lineRule="auto"/>
              <w:jc w:val="left"/>
            </w:pPr>
            <w:r>
              <w:rPr>
                <w:rFonts w:ascii="宋体" w:hAnsi="宋体" w:eastAsia="宋体"/>
                <w:b w:val="0"/>
                <w:sz w:val="21"/>
              </w:rPr>
              <w:t>根据近三年平均净利率、主营业务收入、盈利稳定性和财务健康程度综合评定。财务状况良好、持续盈利能力强、资金实力稳定，得20分；财务状况较好，得15-19分；财务状况一般，得8-14分；较弱、出现连续亏损或未提供有效证明材料，得0-7分。</w:t>
            </w:r>
          </w:p>
        </w:tc>
        <w:tc>
          <w:tcPr>
            <w:tcW w:w="3969" w:type="dxa"/>
            <w:vAlign w:val="center"/>
          </w:tcPr>
          <w:p w14:paraId="1E7C7A83">
            <w:pPr>
              <w:spacing w:after="0" w:line="240" w:lineRule="auto"/>
              <w:jc w:val="left"/>
            </w:pPr>
            <w:r>
              <w:rPr>
                <w:rFonts w:ascii="宋体" w:hAnsi="宋体" w:eastAsia="宋体"/>
                <w:b w:val="0"/>
                <w:sz w:val="21"/>
              </w:rPr>
              <w:t>近三年审计报告、财务报表及相关财务情况说明等。</w:t>
            </w:r>
          </w:p>
        </w:tc>
      </w:tr>
      <w:tr w14:paraId="53F0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08959F8">
            <w:pPr>
              <w:spacing w:after="0" w:line="240" w:lineRule="auto"/>
              <w:jc w:val="left"/>
            </w:pPr>
            <w:r>
              <w:rPr>
                <w:rFonts w:ascii="宋体" w:hAnsi="宋体" w:eastAsia="宋体"/>
                <w:b w:val="0"/>
                <w:sz w:val="21"/>
              </w:rPr>
              <w:t>同类项目业绩</w:t>
            </w:r>
          </w:p>
        </w:tc>
        <w:tc>
          <w:tcPr>
            <w:tcW w:w="2835" w:type="dxa"/>
            <w:vAlign w:val="center"/>
          </w:tcPr>
          <w:p w14:paraId="34A1FB39">
            <w:pPr>
              <w:spacing w:after="0" w:line="240" w:lineRule="auto"/>
              <w:jc w:val="left"/>
            </w:pPr>
            <w:r>
              <w:rPr>
                <w:rFonts w:ascii="宋体" w:hAnsi="宋体" w:eastAsia="宋体"/>
                <w:b w:val="0"/>
                <w:sz w:val="21"/>
              </w:rPr>
              <w:t>同类项目业绩</w:t>
            </w:r>
          </w:p>
        </w:tc>
        <w:tc>
          <w:tcPr>
            <w:tcW w:w="850" w:type="dxa"/>
            <w:vAlign w:val="center"/>
          </w:tcPr>
          <w:p w14:paraId="2F164DF1">
            <w:pPr>
              <w:spacing w:after="0" w:line="240" w:lineRule="auto"/>
              <w:jc w:val="center"/>
              <w:rPr>
                <w:rFonts w:hint="default" w:eastAsiaTheme="minorEastAsia"/>
                <w:lang w:val="en-US" w:eastAsia="zh-CN"/>
              </w:rPr>
            </w:pPr>
            <w:r>
              <w:rPr>
                <w:rFonts w:hint="eastAsia" w:ascii="宋体" w:hAnsi="宋体" w:eastAsia="宋体"/>
                <w:b w:val="0"/>
                <w:sz w:val="21"/>
                <w:lang w:val="en-US" w:eastAsia="zh-CN"/>
              </w:rPr>
              <w:t>20</w:t>
            </w:r>
          </w:p>
        </w:tc>
        <w:tc>
          <w:tcPr>
            <w:tcW w:w="5783" w:type="dxa"/>
            <w:vAlign w:val="center"/>
          </w:tcPr>
          <w:p w14:paraId="597FCF4C">
            <w:pPr>
              <w:spacing w:after="0" w:line="240" w:lineRule="auto"/>
              <w:jc w:val="left"/>
            </w:pPr>
            <w:r>
              <w:rPr>
                <w:rFonts w:ascii="宋体" w:hAnsi="宋体" w:eastAsia="宋体"/>
                <w:b w:val="0"/>
                <w:sz w:val="21"/>
              </w:rPr>
              <w:t>以投标截止时间前三年内的同类项目合同为准，结合合同数量、合同金额、项目类型匹配度及验收情况综合评定。业绩数量充足、至少提供1份30万元及以上同类项目合同，且验收证明完整、相关性高，得20分；业绩较好，得15-19分；业绩一般，得8-14分；业绩较少、相关性较弱、金额不足或证明材料不完整，得0-7分。</w:t>
            </w:r>
          </w:p>
        </w:tc>
        <w:tc>
          <w:tcPr>
            <w:tcW w:w="3969" w:type="dxa"/>
            <w:vAlign w:val="center"/>
          </w:tcPr>
          <w:p w14:paraId="75AD7342">
            <w:pPr>
              <w:spacing w:after="0" w:line="240" w:lineRule="auto"/>
              <w:jc w:val="left"/>
            </w:pPr>
            <w:r>
              <w:rPr>
                <w:rFonts w:ascii="宋体" w:hAnsi="宋体" w:eastAsia="宋体"/>
                <w:b w:val="0"/>
                <w:sz w:val="21"/>
              </w:rPr>
              <w:t>同类项目合同关键页、验收证明、用户评价材料、项目成果说明、发票或回款证明等。</w:t>
            </w:r>
          </w:p>
        </w:tc>
      </w:tr>
      <w:tr w14:paraId="3631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4A1422E">
            <w:pPr>
              <w:spacing w:after="0" w:line="240" w:lineRule="auto"/>
              <w:jc w:val="left"/>
            </w:pPr>
            <w:r>
              <w:rPr>
                <w:rFonts w:ascii="宋体" w:hAnsi="宋体" w:eastAsia="宋体"/>
                <w:b w:val="0"/>
                <w:sz w:val="21"/>
              </w:rPr>
              <w:t>企业信誉与合规情况</w:t>
            </w:r>
          </w:p>
        </w:tc>
        <w:tc>
          <w:tcPr>
            <w:tcW w:w="2835" w:type="dxa"/>
            <w:vAlign w:val="center"/>
          </w:tcPr>
          <w:p w14:paraId="5540E028">
            <w:pPr>
              <w:spacing w:after="0" w:line="240" w:lineRule="auto"/>
              <w:jc w:val="left"/>
            </w:pPr>
            <w:r>
              <w:rPr>
                <w:rFonts w:ascii="宋体" w:hAnsi="宋体" w:eastAsia="宋体"/>
                <w:b w:val="0"/>
                <w:sz w:val="21"/>
              </w:rPr>
              <w:t>企业信誉与合规情况</w:t>
            </w:r>
          </w:p>
        </w:tc>
        <w:tc>
          <w:tcPr>
            <w:tcW w:w="850" w:type="dxa"/>
            <w:vAlign w:val="center"/>
          </w:tcPr>
          <w:p w14:paraId="3FFCE18D">
            <w:pPr>
              <w:spacing w:after="0" w:line="240" w:lineRule="auto"/>
              <w:jc w:val="center"/>
              <w:rPr>
                <w:rFonts w:hint="default" w:eastAsiaTheme="minorEastAsia"/>
                <w:lang w:val="en-US" w:eastAsia="zh-CN"/>
              </w:rPr>
            </w:pPr>
            <w:r>
              <w:rPr>
                <w:rFonts w:hint="eastAsia" w:ascii="宋体" w:hAnsi="宋体" w:eastAsia="宋体"/>
                <w:b w:val="0"/>
                <w:sz w:val="21"/>
                <w:lang w:val="en-US" w:eastAsia="zh-CN"/>
              </w:rPr>
              <w:t>20</w:t>
            </w:r>
          </w:p>
        </w:tc>
        <w:tc>
          <w:tcPr>
            <w:tcW w:w="5783" w:type="dxa"/>
            <w:vAlign w:val="center"/>
          </w:tcPr>
          <w:p w14:paraId="13B99198">
            <w:pPr>
              <w:spacing w:after="0" w:line="240" w:lineRule="auto"/>
              <w:jc w:val="left"/>
            </w:pPr>
            <w:r>
              <w:rPr>
                <w:rFonts w:ascii="宋体" w:hAnsi="宋体" w:eastAsia="宋体"/>
                <w:b w:val="0"/>
                <w:sz w:val="21"/>
              </w:rPr>
              <w:t>近三年无重大违法失信、无重大质量安全事故、无严重违约情形，信用记录良好，响应材料真实、完整、可核验，得20分；存在轻微瑕疵但不影响实质履约能力，得15-19分；信用或合规支撑一般，得8-14分；存在严重失信、重大违法违规、严重违约或材料失实情形，得0-7分。</w:t>
            </w:r>
          </w:p>
        </w:tc>
        <w:tc>
          <w:tcPr>
            <w:tcW w:w="3969" w:type="dxa"/>
            <w:vAlign w:val="center"/>
          </w:tcPr>
          <w:p w14:paraId="56644E15">
            <w:pPr>
              <w:spacing w:after="0" w:line="240" w:lineRule="auto"/>
              <w:jc w:val="left"/>
            </w:pPr>
            <w:r>
              <w:rPr>
                <w:rFonts w:ascii="宋体" w:hAnsi="宋体" w:eastAsia="宋体"/>
                <w:b w:val="0"/>
                <w:sz w:val="21"/>
              </w:rPr>
              <w:t>信用承诺函、信用查询结果、无重大违法记录声明、无重大质量安全事故声明、材料真实性承诺等。</w:t>
            </w:r>
          </w:p>
        </w:tc>
      </w:tr>
      <w:tr w14:paraId="1749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A122CB0">
            <w:pPr>
              <w:spacing w:after="0" w:line="240" w:lineRule="auto"/>
              <w:jc w:val="left"/>
            </w:pPr>
            <w:r>
              <w:rPr>
                <w:rFonts w:ascii="宋体" w:hAnsi="宋体" w:eastAsia="宋体"/>
                <w:b w:val="0"/>
                <w:sz w:val="21"/>
              </w:rPr>
              <w:t>基础资质、安全保密与专门条件响应</w:t>
            </w:r>
          </w:p>
        </w:tc>
        <w:tc>
          <w:tcPr>
            <w:tcW w:w="2835" w:type="dxa"/>
            <w:vAlign w:val="center"/>
          </w:tcPr>
          <w:p w14:paraId="09433FF7">
            <w:pPr>
              <w:spacing w:after="0" w:line="240" w:lineRule="auto"/>
              <w:jc w:val="left"/>
            </w:pPr>
            <w:r>
              <w:rPr>
                <w:rFonts w:ascii="宋体" w:hAnsi="宋体" w:eastAsia="宋体"/>
                <w:b w:val="0"/>
                <w:sz w:val="21"/>
              </w:rPr>
              <w:t>基础资质、安全保密与专门条件响应</w:t>
            </w:r>
          </w:p>
        </w:tc>
        <w:tc>
          <w:tcPr>
            <w:tcW w:w="850" w:type="dxa"/>
            <w:vAlign w:val="center"/>
          </w:tcPr>
          <w:p w14:paraId="0A9DA385">
            <w:pPr>
              <w:spacing w:after="0" w:line="240" w:lineRule="auto"/>
              <w:jc w:val="center"/>
              <w:rPr>
                <w:rFonts w:hint="default" w:eastAsiaTheme="minorEastAsia"/>
                <w:lang w:val="en-US" w:eastAsia="zh-CN"/>
              </w:rPr>
            </w:pPr>
            <w:r>
              <w:rPr>
                <w:rFonts w:hint="eastAsia" w:ascii="宋体" w:hAnsi="宋体" w:eastAsia="宋体"/>
                <w:b w:val="0"/>
                <w:sz w:val="21"/>
                <w:lang w:val="en-US" w:eastAsia="zh-CN"/>
              </w:rPr>
              <w:t>20</w:t>
            </w:r>
            <w:bookmarkStart w:id="9" w:name="_GoBack"/>
            <w:bookmarkEnd w:id="9"/>
          </w:p>
        </w:tc>
        <w:tc>
          <w:tcPr>
            <w:tcW w:w="5783" w:type="dxa"/>
            <w:vAlign w:val="center"/>
          </w:tcPr>
          <w:p w14:paraId="1FBB224D">
            <w:pPr>
              <w:spacing w:after="0" w:line="240" w:lineRule="auto"/>
              <w:jc w:val="left"/>
            </w:pPr>
            <w:r>
              <w:rPr>
                <w:rFonts w:ascii="宋体" w:hAnsi="宋体" w:eastAsia="宋体"/>
                <w:b w:val="0"/>
                <w:sz w:val="21"/>
              </w:rPr>
              <w:t>具备有效主体资格，能够开具合法合规发票，满足项目要求的安全、保密及现场管理要求，并对采购文件规定的专门资质、授权及商务条款作出完整响应，得20分；响应较完整，得15-19分；响应一般或部分材料欠缺，得8-14分；缺少关键资质、授权、安全保密承诺或专门条件响应明显不足，得0-7分。</w:t>
            </w:r>
          </w:p>
        </w:tc>
        <w:tc>
          <w:tcPr>
            <w:tcW w:w="3969" w:type="dxa"/>
            <w:vAlign w:val="center"/>
          </w:tcPr>
          <w:p w14:paraId="27908CED">
            <w:pPr>
              <w:spacing w:after="0" w:line="240" w:lineRule="auto"/>
              <w:jc w:val="left"/>
            </w:pPr>
            <w:r>
              <w:rPr>
                <w:rFonts w:ascii="宋体" w:hAnsi="宋体" w:eastAsia="宋体"/>
                <w:b w:val="0"/>
                <w:sz w:val="21"/>
              </w:rPr>
              <w:t>营业执照、开票能力证明、保密承诺、安全管理制度、专项资质、授权文件、商务响应文件等。</w:t>
            </w:r>
          </w:p>
        </w:tc>
      </w:tr>
    </w:tbl>
    <w:p w14:paraId="50509ED0">
      <w:pPr>
        <w:spacing w:before="120" w:after="80"/>
      </w:pPr>
      <w:r>
        <w:rPr>
          <w:rFonts w:ascii="黑体" w:hAnsi="黑体" w:eastAsia="黑体"/>
          <w:b/>
          <w:sz w:val="26"/>
        </w:rPr>
        <w:t>二、定制开发评分标准</w:t>
      </w:r>
    </w:p>
    <w:p w14:paraId="49B3D171">
      <w:pPr>
        <w:spacing w:after="60"/>
        <w:ind w:firstLine="420"/>
      </w:pPr>
      <w:r>
        <w:rPr>
          <w:rFonts w:ascii="宋体" w:hAnsi="宋体" w:eastAsia="宋体"/>
          <w:sz w:val="24"/>
          <w:szCs w:val="24"/>
        </w:rPr>
        <w:t>本部分适用于以需求调研、系统设计、开发测试、上线交付为主的软件建设内容评分，满分100分。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1DEB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AF7"/>
            <w:vAlign w:val="center"/>
          </w:tcPr>
          <w:p w14:paraId="14A9FB1B">
            <w:pPr>
              <w:spacing w:after="0" w:line="240" w:lineRule="auto"/>
              <w:jc w:val="center"/>
            </w:pPr>
            <w:r>
              <w:rPr>
                <w:rFonts w:ascii="黑体" w:hAnsi="黑体" w:eastAsia="黑体"/>
                <w:b/>
                <w:sz w:val="21"/>
              </w:rPr>
              <w:t>评审大项</w:t>
            </w:r>
          </w:p>
        </w:tc>
        <w:tc>
          <w:tcPr>
            <w:tcW w:w="2551" w:type="dxa"/>
            <w:shd w:val="clear" w:color="auto" w:fill="D9EAF7"/>
            <w:vAlign w:val="center"/>
          </w:tcPr>
          <w:p w14:paraId="74A18D90">
            <w:pPr>
              <w:spacing w:after="0" w:line="240" w:lineRule="auto"/>
              <w:jc w:val="center"/>
            </w:pPr>
            <w:r>
              <w:rPr>
                <w:rFonts w:ascii="黑体" w:hAnsi="黑体" w:eastAsia="黑体"/>
                <w:b/>
                <w:sz w:val="21"/>
              </w:rPr>
              <w:t>评审子项</w:t>
            </w:r>
          </w:p>
        </w:tc>
        <w:tc>
          <w:tcPr>
            <w:tcW w:w="850" w:type="dxa"/>
            <w:shd w:val="clear" w:color="auto" w:fill="D9EAF7"/>
            <w:vAlign w:val="center"/>
          </w:tcPr>
          <w:p w14:paraId="58B2F867">
            <w:pPr>
              <w:spacing w:after="0" w:line="240" w:lineRule="auto"/>
              <w:jc w:val="center"/>
            </w:pPr>
            <w:r>
              <w:rPr>
                <w:rFonts w:ascii="黑体" w:hAnsi="黑体" w:eastAsia="黑体"/>
                <w:b/>
                <w:sz w:val="21"/>
              </w:rPr>
              <w:t>分值</w:t>
            </w:r>
          </w:p>
        </w:tc>
        <w:tc>
          <w:tcPr>
            <w:tcW w:w="5103" w:type="dxa"/>
            <w:shd w:val="clear" w:color="auto" w:fill="D9EAF7"/>
            <w:vAlign w:val="center"/>
          </w:tcPr>
          <w:p w14:paraId="4122ABA2">
            <w:pPr>
              <w:spacing w:after="0" w:line="240" w:lineRule="auto"/>
              <w:jc w:val="center"/>
            </w:pPr>
            <w:r>
              <w:rPr>
                <w:rFonts w:ascii="黑体" w:hAnsi="黑体" w:eastAsia="黑体"/>
                <w:b/>
                <w:sz w:val="21"/>
              </w:rPr>
              <w:t>评分标准</w:t>
            </w:r>
          </w:p>
        </w:tc>
        <w:tc>
          <w:tcPr>
            <w:tcW w:w="4706" w:type="dxa"/>
            <w:shd w:val="clear" w:color="auto" w:fill="D9EAF7"/>
            <w:vAlign w:val="center"/>
          </w:tcPr>
          <w:p w14:paraId="1F7F3A5A">
            <w:pPr>
              <w:spacing w:after="0" w:line="240" w:lineRule="auto"/>
              <w:jc w:val="center"/>
            </w:pPr>
            <w:r>
              <w:rPr>
                <w:rFonts w:ascii="黑体" w:hAnsi="黑体" w:eastAsia="黑体"/>
                <w:b/>
                <w:sz w:val="21"/>
              </w:rPr>
              <w:t>评分依据/证明材料</w:t>
            </w:r>
          </w:p>
        </w:tc>
      </w:tr>
      <w:tr w14:paraId="3CCD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1135C27">
            <w:pPr>
              <w:spacing w:after="0" w:line="240" w:lineRule="auto"/>
              <w:jc w:val="left"/>
            </w:pPr>
            <w:r>
              <w:rPr>
                <w:rFonts w:ascii="宋体" w:hAnsi="宋体" w:eastAsia="宋体"/>
                <w:b w:val="0"/>
                <w:sz w:val="21"/>
              </w:rPr>
              <w:t>项目理解与需求分析</w:t>
            </w:r>
          </w:p>
        </w:tc>
        <w:tc>
          <w:tcPr>
            <w:tcW w:w="2551" w:type="dxa"/>
            <w:vAlign w:val="center"/>
          </w:tcPr>
          <w:p w14:paraId="20CC9D0D">
            <w:pPr>
              <w:spacing w:after="0" w:line="240" w:lineRule="auto"/>
              <w:jc w:val="left"/>
            </w:pPr>
            <w:r>
              <w:rPr>
                <w:rFonts w:ascii="宋体" w:hAnsi="宋体" w:eastAsia="宋体"/>
                <w:b w:val="0"/>
                <w:sz w:val="21"/>
              </w:rPr>
              <w:t>需求理解与场景匹配度</w:t>
            </w:r>
          </w:p>
        </w:tc>
        <w:tc>
          <w:tcPr>
            <w:tcW w:w="850" w:type="dxa"/>
            <w:vAlign w:val="center"/>
          </w:tcPr>
          <w:p w14:paraId="6AA9B5B4">
            <w:pPr>
              <w:spacing w:after="0" w:line="240" w:lineRule="auto"/>
              <w:jc w:val="center"/>
            </w:pPr>
            <w:r>
              <w:rPr>
                <w:rFonts w:ascii="宋体" w:hAnsi="宋体" w:eastAsia="宋体"/>
                <w:b w:val="0"/>
                <w:sz w:val="21"/>
              </w:rPr>
              <w:t>15</w:t>
            </w:r>
          </w:p>
        </w:tc>
        <w:tc>
          <w:tcPr>
            <w:tcW w:w="5103" w:type="dxa"/>
            <w:vAlign w:val="center"/>
          </w:tcPr>
          <w:p w14:paraId="36C7DA33">
            <w:pPr>
              <w:spacing w:after="0" w:line="240" w:lineRule="auto"/>
              <w:jc w:val="left"/>
            </w:pPr>
            <w:r>
              <w:rPr>
                <w:rFonts w:ascii="宋体" w:hAnsi="宋体" w:eastAsia="宋体"/>
                <w:b w:val="0"/>
                <w:sz w:val="21"/>
              </w:rPr>
              <w:t>对项目背景、建设目标、核心需求、业务场景和目标拆解理解准确，问题识别到位且针对性强，得 15 分；理解较准确、场景匹配较好但分析深度一般，得 8-14 分；理解偏差明显、针对性不足或内容空泛，得 0-7 分。</w:t>
            </w:r>
          </w:p>
        </w:tc>
        <w:tc>
          <w:tcPr>
            <w:tcW w:w="4706" w:type="dxa"/>
            <w:vAlign w:val="center"/>
          </w:tcPr>
          <w:p w14:paraId="3D573509">
            <w:pPr>
              <w:spacing w:after="0" w:line="240" w:lineRule="auto"/>
              <w:jc w:val="left"/>
            </w:pPr>
            <w:r>
              <w:rPr>
                <w:rFonts w:ascii="宋体" w:hAnsi="宋体" w:eastAsia="宋体"/>
                <w:b w:val="0"/>
                <w:sz w:val="21"/>
              </w:rPr>
              <w:t>需求响应、现状分析、问题清单、项目目标说明、业务场景分析、用户画像、流程梳理成果。</w:t>
            </w:r>
          </w:p>
        </w:tc>
      </w:tr>
      <w:tr w14:paraId="1E95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5FBC501">
            <w:pPr>
              <w:spacing w:after="0" w:line="240" w:lineRule="auto"/>
              <w:jc w:val="left"/>
            </w:pPr>
          </w:p>
        </w:tc>
        <w:tc>
          <w:tcPr>
            <w:tcW w:w="2551" w:type="dxa"/>
            <w:vAlign w:val="center"/>
          </w:tcPr>
          <w:p w14:paraId="68CAE255">
            <w:pPr>
              <w:spacing w:after="0" w:line="240" w:lineRule="auto"/>
              <w:jc w:val="left"/>
            </w:pPr>
            <w:r>
              <w:rPr>
                <w:rFonts w:ascii="宋体" w:hAnsi="宋体" w:eastAsia="宋体"/>
                <w:b w:val="0"/>
                <w:sz w:val="21"/>
              </w:rPr>
              <w:t>范围边界与关键难点识别</w:t>
            </w:r>
          </w:p>
        </w:tc>
        <w:tc>
          <w:tcPr>
            <w:tcW w:w="850" w:type="dxa"/>
            <w:vAlign w:val="center"/>
          </w:tcPr>
          <w:p w14:paraId="327EEE64">
            <w:pPr>
              <w:spacing w:after="0" w:line="240" w:lineRule="auto"/>
              <w:jc w:val="center"/>
            </w:pPr>
            <w:r>
              <w:rPr>
                <w:rFonts w:ascii="宋体" w:hAnsi="宋体" w:eastAsia="宋体"/>
                <w:b w:val="0"/>
                <w:sz w:val="21"/>
              </w:rPr>
              <w:t>6</w:t>
            </w:r>
          </w:p>
        </w:tc>
        <w:tc>
          <w:tcPr>
            <w:tcW w:w="5103" w:type="dxa"/>
            <w:vAlign w:val="center"/>
          </w:tcPr>
          <w:p w14:paraId="15DBA7B2">
            <w:pPr>
              <w:spacing w:after="0" w:line="240" w:lineRule="auto"/>
              <w:jc w:val="left"/>
            </w:pPr>
            <w:r>
              <w:rPr>
                <w:rFonts w:ascii="宋体" w:hAnsi="宋体" w:eastAsia="宋体"/>
                <w:b w:val="0"/>
                <w:sz w:val="21"/>
              </w:rPr>
              <w:t>对项目边界、接口边界和关键难点识别完整，得 6 分；识别基本到位，得 3-5 分；识别不足，得 0-2 分。</w:t>
            </w:r>
          </w:p>
        </w:tc>
        <w:tc>
          <w:tcPr>
            <w:tcW w:w="4706" w:type="dxa"/>
            <w:vAlign w:val="center"/>
          </w:tcPr>
          <w:p w14:paraId="7562EB3E">
            <w:pPr>
              <w:spacing w:after="0" w:line="240" w:lineRule="auto"/>
              <w:jc w:val="left"/>
            </w:pPr>
            <w:r>
              <w:rPr>
                <w:rFonts w:ascii="宋体" w:hAnsi="宋体" w:eastAsia="宋体"/>
                <w:b w:val="0"/>
                <w:sz w:val="21"/>
              </w:rPr>
              <w:t>边界清单、关键风险点、约束条件说明。</w:t>
            </w:r>
          </w:p>
        </w:tc>
      </w:tr>
      <w:tr w14:paraId="4543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0B1B26C">
            <w:pPr>
              <w:spacing w:after="0" w:line="240" w:lineRule="auto"/>
              <w:jc w:val="left"/>
            </w:pPr>
            <w:r>
              <w:rPr>
                <w:rFonts w:ascii="宋体" w:hAnsi="宋体" w:eastAsia="宋体"/>
                <w:b w:val="0"/>
                <w:sz w:val="21"/>
              </w:rPr>
              <w:t>技术方案与架构设计</w:t>
            </w:r>
          </w:p>
        </w:tc>
        <w:tc>
          <w:tcPr>
            <w:tcW w:w="2551" w:type="dxa"/>
            <w:vAlign w:val="center"/>
          </w:tcPr>
          <w:p w14:paraId="68E77203">
            <w:pPr>
              <w:spacing w:after="0" w:line="240" w:lineRule="auto"/>
              <w:jc w:val="left"/>
            </w:pPr>
            <w:r>
              <w:rPr>
                <w:rFonts w:ascii="宋体" w:hAnsi="宋体" w:eastAsia="宋体"/>
                <w:b w:val="0"/>
                <w:sz w:val="21"/>
              </w:rPr>
              <w:t>总体架构与功能方案合理性</w:t>
            </w:r>
          </w:p>
        </w:tc>
        <w:tc>
          <w:tcPr>
            <w:tcW w:w="850" w:type="dxa"/>
            <w:vAlign w:val="center"/>
          </w:tcPr>
          <w:p w14:paraId="28DFCB80">
            <w:pPr>
              <w:spacing w:after="0" w:line="240" w:lineRule="auto"/>
              <w:jc w:val="center"/>
            </w:pPr>
            <w:r>
              <w:rPr>
                <w:rFonts w:ascii="宋体" w:hAnsi="宋体" w:eastAsia="宋体"/>
                <w:b w:val="0"/>
                <w:sz w:val="21"/>
              </w:rPr>
              <w:t>19</w:t>
            </w:r>
          </w:p>
        </w:tc>
        <w:tc>
          <w:tcPr>
            <w:tcW w:w="5103" w:type="dxa"/>
            <w:vAlign w:val="center"/>
          </w:tcPr>
          <w:p w14:paraId="6C0107CC">
            <w:pPr>
              <w:spacing w:after="0" w:line="240" w:lineRule="auto"/>
              <w:jc w:val="left"/>
            </w:pPr>
            <w:r>
              <w:rPr>
                <w:rFonts w:ascii="宋体" w:hAnsi="宋体" w:eastAsia="宋体"/>
                <w:b w:val="0"/>
                <w:sz w:val="21"/>
              </w:rPr>
              <w:t>总体架构完整、技术路线成熟可行，功能设计覆盖主要需求并体现关键场景，与项目目标高度匹配，得 19 分；方案较完整、合理性较好，得 10-18 分；架构或功能方案缺项明显、合理性较弱，得 0-9 分。</w:t>
            </w:r>
          </w:p>
        </w:tc>
        <w:tc>
          <w:tcPr>
            <w:tcW w:w="4706" w:type="dxa"/>
            <w:vAlign w:val="center"/>
          </w:tcPr>
          <w:p w14:paraId="04A9F82F">
            <w:pPr>
              <w:spacing w:after="0" w:line="240" w:lineRule="auto"/>
              <w:jc w:val="left"/>
            </w:pPr>
            <w:r>
              <w:rPr>
                <w:rFonts w:ascii="宋体" w:hAnsi="宋体" w:eastAsia="宋体"/>
                <w:b w:val="0"/>
                <w:sz w:val="21"/>
              </w:rPr>
              <w:t>总体架构图、技术选型说明、部署方案、功能清单、原型图、模块设计说明。</w:t>
            </w:r>
          </w:p>
        </w:tc>
      </w:tr>
      <w:tr w14:paraId="3D3F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C0334AB">
            <w:pPr>
              <w:spacing w:after="0" w:line="240" w:lineRule="auto"/>
              <w:jc w:val="left"/>
            </w:pPr>
          </w:p>
        </w:tc>
        <w:tc>
          <w:tcPr>
            <w:tcW w:w="2551" w:type="dxa"/>
            <w:vAlign w:val="center"/>
          </w:tcPr>
          <w:p w14:paraId="5C91B305">
            <w:pPr>
              <w:spacing w:after="0" w:line="240" w:lineRule="auto"/>
              <w:jc w:val="left"/>
            </w:pPr>
            <w:r>
              <w:rPr>
                <w:rFonts w:ascii="宋体" w:hAnsi="宋体" w:eastAsia="宋体"/>
                <w:b w:val="0"/>
                <w:sz w:val="21"/>
              </w:rPr>
              <w:t>接口、数据与安全设计</w:t>
            </w:r>
          </w:p>
        </w:tc>
        <w:tc>
          <w:tcPr>
            <w:tcW w:w="850" w:type="dxa"/>
            <w:vAlign w:val="center"/>
          </w:tcPr>
          <w:p w14:paraId="0EF8B5DF">
            <w:pPr>
              <w:spacing w:after="0" w:line="240" w:lineRule="auto"/>
              <w:jc w:val="center"/>
            </w:pPr>
            <w:r>
              <w:rPr>
                <w:rFonts w:ascii="宋体" w:hAnsi="宋体" w:eastAsia="宋体"/>
                <w:b w:val="0"/>
                <w:sz w:val="21"/>
              </w:rPr>
              <w:t>8</w:t>
            </w:r>
          </w:p>
        </w:tc>
        <w:tc>
          <w:tcPr>
            <w:tcW w:w="5103" w:type="dxa"/>
            <w:vAlign w:val="center"/>
          </w:tcPr>
          <w:p w14:paraId="13769810">
            <w:pPr>
              <w:spacing w:after="0" w:line="240" w:lineRule="auto"/>
              <w:jc w:val="left"/>
            </w:pPr>
            <w:r>
              <w:rPr>
                <w:rFonts w:ascii="宋体" w:hAnsi="宋体" w:eastAsia="宋体"/>
                <w:b w:val="0"/>
                <w:sz w:val="21"/>
              </w:rPr>
              <w:t>接口衔接、数据流向、安全控制设计清楚，得 8 分；基本具备，得 4-7 分；说明不足，得 0-3 分。</w:t>
            </w:r>
          </w:p>
        </w:tc>
        <w:tc>
          <w:tcPr>
            <w:tcW w:w="4706" w:type="dxa"/>
            <w:vAlign w:val="center"/>
          </w:tcPr>
          <w:p w14:paraId="08038AC0">
            <w:pPr>
              <w:spacing w:after="0" w:line="240" w:lineRule="auto"/>
              <w:jc w:val="left"/>
            </w:pPr>
            <w:r>
              <w:rPr>
                <w:rFonts w:ascii="宋体" w:hAnsi="宋体" w:eastAsia="宋体"/>
                <w:b w:val="0"/>
                <w:sz w:val="21"/>
              </w:rPr>
              <w:t>接口清单、数据模型、安全方案。</w:t>
            </w:r>
          </w:p>
        </w:tc>
      </w:tr>
      <w:tr w14:paraId="53CA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3F56CFF">
            <w:pPr>
              <w:spacing w:after="0" w:line="240" w:lineRule="auto"/>
              <w:jc w:val="left"/>
            </w:pPr>
          </w:p>
        </w:tc>
        <w:tc>
          <w:tcPr>
            <w:tcW w:w="2551" w:type="dxa"/>
            <w:vAlign w:val="center"/>
          </w:tcPr>
          <w:p w14:paraId="75336269">
            <w:pPr>
              <w:spacing w:after="0" w:line="240" w:lineRule="auto"/>
              <w:jc w:val="left"/>
            </w:pPr>
            <w:r>
              <w:rPr>
                <w:rFonts w:ascii="宋体" w:hAnsi="宋体" w:eastAsia="宋体"/>
                <w:b w:val="0"/>
                <w:sz w:val="21"/>
              </w:rPr>
              <w:t>可扩展性与可实施性</w:t>
            </w:r>
          </w:p>
        </w:tc>
        <w:tc>
          <w:tcPr>
            <w:tcW w:w="850" w:type="dxa"/>
            <w:vAlign w:val="center"/>
          </w:tcPr>
          <w:p w14:paraId="61375A41">
            <w:pPr>
              <w:spacing w:after="0" w:line="240" w:lineRule="auto"/>
              <w:jc w:val="center"/>
            </w:pPr>
            <w:r>
              <w:rPr>
                <w:rFonts w:ascii="宋体" w:hAnsi="宋体" w:eastAsia="宋体"/>
                <w:b w:val="0"/>
                <w:sz w:val="21"/>
              </w:rPr>
              <w:t>7</w:t>
            </w:r>
          </w:p>
        </w:tc>
        <w:tc>
          <w:tcPr>
            <w:tcW w:w="5103" w:type="dxa"/>
            <w:vAlign w:val="center"/>
          </w:tcPr>
          <w:p w14:paraId="18A658B0">
            <w:pPr>
              <w:spacing w:after="0" w:line="240" w:lineRule="auto"/>
              <w:jc w:val="left"/>
            </w:pPr>
            <w:r>
              <w:rPr>
                <w:rFonts w:ascii="宋体" w:hAnsi="宋体" w:eastAsia="宋体"/>
                <w:b w:val="0"/>
                <w:sz w:val="21"/>
              </w:rPr>
              <w:t>方案具备扩展性、兼容性和可实施路径，得 7 分；一般，得 4-6 分；可实施性弱，得 0-3 分。</w:t>
            </w:r>
          </w:p>
        </w:tc>
        <w:tc>
          <w:tcPr>
            <w:tcW w:w="4706" w:type="dxa"/>
            <w:vAlign w:val="center"/>
          </w:tcPr>
          <w:p w14:paraId="148C5F70">
            <w:pPr>
              <w:spacing w:after="0" w:line="240" w:lineRule="auto"/>
              <w:jc w:val="left"/>
            </w:pPr>
            <w:r>
              <w:rPr>
                <w:rFonts w:ascii="宋体" w:hAnsi="宋体" w:eastAsia="宋体"/>
                <w:b w:val="0"/>
                <w:sz w:val="21"/>
              </w:rPr>
              <w:t>实施路径、环境适配说明、扩展设计。</w:t>
            </w:r>
          </w:p>
        </w:tc>
      </w:tr>
      <w:tr w14:paraId="1E13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A11D8EE">
            <w:pPr>
              <w:spacing w:after="0" w:line="240" w:lineRule="auto"/>
              <w:jc w:val="left"/>
            </w:pPr>
            <w:r>
              <w:rPr>
                <w:rFonts w:ascii="宋体" w:hAnsi="宋体" w:eastAsia="宋体"/>
                <w:b w:val="0"/>
                <w:sz w:val="21"/>
              </w:rPr>
              <w:t>实施计划与项目管理</w:t>
            </w:r>
          </w:p>
        </w:tc>
        <w:tc>
          <w:tcPr>
            <w:tcW w:w="2551" w:type="dxa"/>
            <w:vAlign w:val="center"/>
          </w:tcPr>
          <w:p w14:paraId="3A50B3B9">
            <w:pPr>
              <w:spacing w:after="0" w:line="240" w:lineRule="auto"/>
              <w:jc w:val="left"/>
            </w:pPr>
            <w:r>
              <w:rPr>
                <w:rFonts w:ascii="宋体" w:hAnsi="宋体" w:eastAsia="宋体"/>
                <w:b w:val="0"/>
                <w:sz w:val="21"/>
              </w:rPr>
              <w:t>实施计划、风险与质量控制</w:t>
            </w:r>
          </w:p>
        </w:tc>
        <w:tc>
          <w:tcPr>
            <w:tcW w:w="850" w:type="dxa"/>
            <w:vAlign w:val="center"/>
          </w:tcPr>
          <w:p w14:paraId="431FBF24">
            <w:pPr>
              <w:spacing w:after="0" w:line="240" w:lineRule="auto"/>
              <w:jc w:val="center"/>
            </w:pPr>
            <w:r>
              <w:rPr>
                <w:rFonts w:ascii="宋体" w:hAnsi="宋体" w:eastAsia="宋体"/>
                <w:b w:val="0"/>
                <w:sz w:val="21"/>
              </w:rPr>
              <w:t>15</w:t>
            </w:r>
          </w:p>
        </w:tc>
        <w:tc>
          <w:tcPr>
            <w:tcW w:w="5103" w:type="dxa"/>
            <w:vAlign w:val="center"/>
          </w:tcPr>
          <w:p w14:paraId="3C917A8D">
            <w:pPr>
              <w:spacing w:after="0" w:line="240" w:lineRule="auto"/>
              <w:jc w:val="left"/>
            </w:pPr>
            <w:r>
              <w:rPr>
                <w:rFonts w:ascii="宋体" w:hAnsi="宋体" w:eastAsia="宋体"/>
                <w:b w:val="0"/>
                <w:sz w:val="21"/>
              </w:rPr>
              <w:t>阶段划分、里程碑、关键交付节点清晰可执行，且具备完整的风险识别、预警、应对和质量控制机制，得 15 分；计划较清晰、风险和质量控制机制基本可行，得 8-14 分；安排粗略或控制机制缺失，得 0-7 分。</w:t>
            </w:r>
          </w:p>
        </w:tc>
        <w:tc>
          <w:tcPr>
            <w:tcW w:w="4706" w:type="dxa"/>
            <w:vAlign w:val="center"/>
          </w:tcPr>
          <w:p w14:paraId="75E04957">
            <w:pPr>
              <w:spacing w:after="0" w:line="240" w:lineRule="auto"/>
              <w:jc w:val="left"/>
            </w:pPr>
            <w:r>
              <w:rPr>
                <w:rFonts w:ascii="宋体" w:hAnsi="宋体" w:eastAsia="宋体"/>
                <w:b w:val="0"/>
                <w:sz w:val="21"/>
              </w:rPr>
              <w:t>WBS、里程碑计划、甘特图、风险台账、测试策略、质量控制流程。</w:t>
            </w:r>
          </w:p>
        </w:tc>
      </w:tr>
      <w:tr w14:paraId="4E10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8D85F05">
            <w:pPr>
              <w:spacing w:after="0" w:line="240" w:lineRule="auto"/>
              <w:jc w:val="left"/>
            </w:pPr>
          </w:p>
        </w:tc>
        <w:tc>
          <w:tcPr>
            <w:tcW w:w="2551" w:type="dxa"/>
            <w:vAlign w:val="center"/>
          </w:tcPr>
          <w:p w14:paraId="2C6D16D1">
            <w:pPr>
              <w:spacing w:after="0" w:line="240" w:lineRule="auto"/>
              <w:jc w:val="left"/>
            </w:pPr>
            <w:r>
              <w:rPr>
                <w:rFonts w:ascii="宋体" w:hAnsi="宋体" w:eastAsia="宋体"/>
                <w:b w:val="0"/>
                <w:sz w:val="21"/>
              </w:rPr>
              <w:t>交付物定义与验收安排</w:t>
            </w:r>
          </w:p>
        </w:tc>
        <w:tc>
          <w:tcPr>
            <w:tcW w:w="850" w:type="dxa"/>
            <w:vAlign w:val="center"/>
          </w:tcPr>
          <w:p w14:paraId="5218357E">
            <w:pPr>
              <w:spacing w:after="0" w:line="240" w:lineRule="auto"/>
              <w:jc w:val="center"/>
            </w:pPr>
            <w:r>
              <w:rPr>
                <w:rFonts w:ascii="宋体" w:hAnsi="宋体" w:eastAsia="宋体"/>
                <w:b w:val="0"/>
                <w:sz w:val="21"/>
              </w:rPr>
              <w:t>6</w:t>
            </w:r>
          </w:p>
        </w:tc>
        <w:tc>
          <w:tcPr>
            <w:tcW w:w="5103" w:type="dxa"/>
            <w:vAlign w:val="center"/>
          </w:tcPr>
          <w:p w14:paraId="3233E9DE">
            <w:pPr>
              <w:spacing w:after="0" w:line="240" w:lineRule="auto"/>
              <w:jc w:val="left"/>
            </w:pPr>
            <w:r>
              <w:rPr>
                <w:rFonts w:ascii="宋体" w:hAnsi="宋体" w:eastAsia="宋体"/>
                <w:b w:val="0"/>
                <w:sz w:val="21"/>
              </w:rPr>
              <w:t>交付物清单、输出形式、验收方式明确，得 6 分；基本明确，得 3-5 分；不明确，得 0-2 分。</w:t>
            </w:r>
          </w:p>
        </w:tc>
        <w:tc>
          <w:tcPr>
            <w:tcW w:w="4706" w:type="dxa"/>
            <w:vAlign w:val="center"/>
          </w:tcPr>
          <w:p w14:paraId="5FB6564B">
            <w:pPr>
              <w:spacing w:after="0" w:line="240" w:lineRule="auto"/>
              <w:jc w:val="left"/>
            </w:pPr>
            <w:r>
              <w:rPr>
                <w:rFonts w:ascii="宋体" w:hAnsi="宋体" w:eastAsia="宋体"/>
                <w:b w:val="0"/>
                <w:sz w:val="21"/>
              </w:rPr>
              <w:t>交付物清单、验收计划、文档目录。</w:t>
            </w:r>
          </w:p>
        </w:tc>
      </w:tr>
      <w:tr w14:paraId="2E15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FE3C6F3">
            <w:pPr>
              <w:spacing w:after="0" w:line="240" w:lineRule="auto"/>
              <w:jc w:val="left"/>
            </w:pPr>
            <w:r>
              <w:rPr>
                <w:rFonts w:ascii="宋体" w:hAnsi="宋体" w:eastAsia="宋体"/>
                <w:b w:val="0"/>
                <w:sz w:val="21"/>
              </w:rPr>
              <w:t>团队配置与履约能力</w:t>
            </w:r>
          </w:p>
        </w:tc>
        <w:tc>
          <w:tcPr>
            <w:tcW w:w="2551" w:type="dxa"/>
            <w:vAlign w:val="center"/>
          </w:tcPr>
          <w:p w14:paraId="0980E687">
            <w:pPr>
              <w:spacing w:after="0" w:line="240" w:lineRule="auto"/>
              <w:jc w:val="left"/>
            </w:pPr>
            <w:r>
              <w:rPr>
                <w:rFonts w:ascii="宋体" w:hAnsi="宋体" w:eastAsia="宋体"/>
                <w:b w:val="0"/>
                <w:sz w:val="21"/>
              </w:rPr>
              <w:t>项目团队配置与履约能力</w:t>
            </w:r>
          </w:p>
        </w:tc>
        <w:tc>
          <w:tcPr>
            <w:tcW w:w="850" w:type="dxa"/>
            <w:vAlign w:val="center"/>
          </w:tcPr>
          <w:p w14:paraId="50C7F593">
            <w:pPr>
              <w:spacing w:after="0" w:line="240" w:lineRule="auto"/>
              <w:jc w:val="center"/>
            </w:pPr>
            <w:r>
              <w:rPr>
                <w:rFonts w:ascii="宋体" w:hAnsi="宋体" w:eastAsia="宋体"/>
                <w:b w:val="0"/>
                <w:sz w:val="21"/>
              </w:rPr>
              <w:t>14</w:t>
            </w:r>
          </w:p>
        </w:tc>
        <w:tc>
          <w:tcPr>
            <w:tcW w:w="5103" w:type="dxa"/>
            <w:vAlign w:val="center"/>
          </w:tcPr>
          <w:p w14:paraId="69C917E1">
            <w:pPr>
              <w:spacing w:after="0" w:line="240" w:lineRule="auto"/>
              <w:jc w:val="left"/>
            </w:pPr>
            <w:r>
              <w:rPr>
                <w:rFonts w:ascii="宋体" w:hAnsi="宋体" w:eastAsia="宋体"/>
                <w:b w:val="0"/>
                <w:sz w:val="21"/>
              </w:rPr>
              <w:t>项目经理及核心成员经验丰富、履历与项目高度匹配，产品、设计、开发、测试、实施等关键岗位配置齐全且职责清晰，得 14 分；基本匹配且岗位较齐备，得 8-13 分；匹配度较低或岗位明显缺失，得 0-7 分。</w:t>
            </w:r>
          </w:p>
        </w:tc>
        <w:tc>
          <w:tcPr>
            <w:tcW w:w="4706" w:type="dxa"/>
            <w:vAlign w:val="center"/>
          </w:tcPr>
          <w:p w14:paraId="1C3E0C73">
            <w:pPr>
              <w:spacing w:after="0" w:line="240" w:lineRule="auto"/>
              <w:jc w:val="left"/>
            </w:pPr>
            <w:r>
              <w:rPr>
                <w:rFonts w:ascii="宋体" w:hAnsi="宋体" w:eastAsia="宋体"/>
                <w:b w:val="0"/>
                <w:sz w:val="21"/>
              </w:rPr>
              <w:t>人员简历、项目经历、证书、社保证明、组织架构图、岗位分工、人员清单。</w:t>
            </w:r>
          </w:p>
        </w:tc>
      </w:tr>
      <w:tr w14:paraId="7E58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6DCED45">
            <w:pPr>
              <w:spacing w:after="0" w:line="240" w:lineRule="auto"/>
              <w:jc w:val="left"/>
            </w:pPr>
            <w:r>
              <w:rPr>
                <w:rFonts w:ascii="宋体" w:hAnsi="宋体" w:eastAsia="宋体"/>
                <w:b w:val="0"/>
                <w:sz w:val="21"/>
              </w:rPr>
              <w:t>软件交付经验与技术能力</w:t>
            </w:r>
          </w:p>
        </w:tc>
        <w:tc>
          <w:tcPr>
            <w:tcW w:w="2551" w:type="dxa"/>
            <w:vAlign w:val="center"/>
          </w:tcPr>
          <w:p w14:paraId="4875EF75">
            <w:pPr>
              <w:spacing w:after="0" w:line="240" w:lineRule="auto"/>
              <w:jc w:val="left"/>
            </w:pPr>
            <w:r>
              <w:rPr>
                <w:rFonts w:ascii="宋体" w:hAnsi="宋体" w:eastAsia="宋体"/>
                <w:b w:val="0"/>
                <w:sz w:val="21"/>
              </w:rPr>
              <w:t>同类软件交付经验与技术能力</w:t>
            </w:r>
          </w:p>
        </w:tc>
        <w:tc>
          <w:tcPr>
            <w:tcW w:w="850" w:type="dxa"/>
            <w:vAlign w:val="center"/>
          </w:tcPr>
          <w:p w14:paraId="190F0ECE">
            <w:pPr>
              <w:spacing w:after="0" w:line="240" w:lineRule="auto"/>
              <w:jc w:val="center"/>
            </w:pPr>
            <w:r>
              <w:rPr>
                <w:rFonts w:ascii="宋体" w:hAnsi="宋体" w:eastAsia="宋体"/>
                <w:b w:val="0"/>
                <w:sz w:val="21"/>
              </w:rPr>
              <w:t>10</w:t>
            </w:r>
          </w:p>
        </w:tc>
        <w:tc>
          <w:tcPr>
            <w:tcW w:w="5103" w:type="dxa"/>
            <w:vAlign w:val="center"/>
          </w:tcPr>
          <w:p w14:paraId="1ED371F8">
            <w:pPr>
              <w:spacing w:after="0" w:line="240" w:lineRule="auto"/>
              <w:jc w:val="left"/>
            </w:pPr>
            <w:r>
              <w:rPr>
                <w:rFonts w:ascii="宋体" w:hAnsi="宋体" w:eastAsia="宋体"/>
                <w:b w:val="0"/>
                <w:sz w:val="21"/>
              </w:rPr>
              <w:t>同类案例数量充足、与本项目行业和复杂度高度相关，且具备与项目匹配的体系认证或专业资质、研发能力证明，得 10 分；案例或资质匹配度一般，得 5-9 分；案例较弱或无有效资质，得 0-4 分。</w:t>
            </w:r>
          </w:p>
        </w:tc>
        <w:tc>
          <w:tcPr>
            <w:tcW w:w="4706" w:type="dxa"/>
            <w:vAlign w:val="center"/>
          </w:tcPr>
          <w:p w14:paraId="5FE9006B">
            <w:pPr>
              <w:spacing w:after="0" w:line="240" w:lineRule="auto"/>
              <w:jc w:val="left"/>
            </w:pPr>
            <w:r>
              <w:rPr>
                <w:rFonts w:ascii="宋体" w:hAnsi="宋体" w:eastAsia="宋体"/>
                <w:b w:val="0"/>
                <w:sz w:val="21"/>
              </w:rPr>
              <w:t>软件开发或系统建设项目合同关键页、验收证明、成果材料、研发类资质、软著、专利、技术能力证明。</w:t>
            </w:r>
          </w:p>
        </w:tc>
      </w:tr>
    </w:tbl>
    <w:p w14:paraId="30DBD4AC">
      <w:pPr>
        <w:spacing w:before="120" w:after="80"/>
      </w:pPr>
      <w:r>
        <w:rPr>
          <w:rFonts w:ascii="黑体" w:hAnsi="黑体" w:eastAsia="黑体"/>
          <w:b/>
          <w:sz w:val="26"/>
        </w:rPr>
        <w:t>三、驻场运维评分标准</w:t>
      </w:r>
    </w:p>
    <w:p w14:paraId="5689C31A">
      <w:pPr>
        <w:spacing w:after="60"/>
        <w:ind w:firstLine="420"/>
        <w:rPr>
          <w:sz w:val="24"/>
          <w:szCs w:val="24"/>
        </w:rPr>
      </w:pPr>
      <w:r>
        <w:rPr>
          <w:rFonts w:ascii="宋体" w:hAnsi="宋体" w:eastAsia="宋体"/>
          <w:sz w:val="24"/>
          <w:szCs w:val="24"/>
        </w:rPr>
        <w:t>本部分适用于以驻场支持、响应保障、持续服务和服务治理为主的运维服务内容评分，满分100分。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3403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shd w:val="clear" w:color="auto" w:fill="D9EAF7"/>
            <w:vAlign w:val="center"/>
          </w:tcPr>
          <w:p w14:paraId="470EDCC4">
            <w:pPr>
              <w:spacing w:after="0" w:line="240" w:lineRule="auto"/>
              <w:jc w:val="center"/>
            </w:pPr>
            <w:r>
              <w:rPr>
                <w:rFonts w:ascii="黑体" w:hAnsi="黑体" w:eastAsia="黑体"/>
                <w:b/>
                <w:sz w:val="21"/>
              </w:rPr>
              <w:t>评审大项</w:t>
            </w:r>
          </w:p>
        </w:tc>
        <w:tc>
          <w:tcPr>
            <w:tcW w:w="2721" w:type="dxa"/>
            <w:shd w:val="clear" w:color="auto" w:fill="D9EAF7"/>
            <w:vAlign w:val="center"/>
          </w:tcPr>
          <w:p w14:paraId="1AE4BF91">
            <w:pPr>
              <w:spacing w:after="0" w:line="240" w:lineRule="auto"/>
              <w:jc w:val="center"/>
            </w:pPr>
            <w:r>
              <w:rPr>
                <w:rFonts w:ascii="黑体" w:hAnsi="黑体" w:eastAsia="黑体"/>
                <w:b/>
                <w:sz w:val="21"/>
              </w:rPr>
              <w:t>评审子项</w:t>
            </w:r>
          </w:p>
        </w:tc>
        <w:tc>
          <w:tcPr>
            <w:tcW w:w="850" w:type="dxa"/>
            <w:shd w:val="clear" w:color="auto" w:fill="D9EAF7"/>
            <w:vAlign w:val="center"/>
          </w:tcPr>
          <w:p w14:paraId="2EF3717D">
            <w:pPr>
              <w:spacing w:after="0" w:line="240" w:lineRule="auto"/>
              <w:jc w:val="center"/>
            </w:pPr>
            <w:r>
              <w:rPr>
                <w:rFonts w:ascii="黑体" w:hAnsi="黑体" w:eastAsia="黑体"/>
                <w:b/>
                <w:sz w:val="21"/>
              </w:rPr>
              <w:t>分值</w:t>
            </w:r>
          </w:p>
        </w:tc>
        <w:tc>
          <w:tcPr>
            <w:tcW w:w="5103" w:type="dxa"/>
            <w:shd w:val="clear" w:color="auto" w:fill="D9EAF7"/>
            <w:vAlign w:val="center"/>
          </w:tcPr>
          <w:p w14:paraId="0523515F">
            <w:pPr>
              <w:spacing w:after="0" w:line="240" w:lineRule="auto"/>
              <w:jc w:val="center"/>
            </w:pPr>
            <w:r>
              <w:rPr>
                <w:rFonts w:ascii="黑体" w:hAnsi="黑体" w:eastAsia="黑体"/>
                <w:b/>
                <w:sz w:val="21"/>
              </w:rPr>
              <w:t>评分标准</w:t>
            </w:r>
          </w:p>
        </w:tc>
        <w:tc>
          <w:tcPr>
            <w:tcW w:w="4536" w:type="dxa"/>
            <w:shd w:val="clear" w:color="auto" w:fill="D9EAF7"/>
            <w:vAlign w:val="center"/>
          </w:tcPr>
          <w:p w14:paraId="0107CDCE">
            <w:pPr>
              <w:spacing w:after="0" w:line="240" w:lineRule="auto"/>
              <w:jc w:val="center"/>
            </w:pPr>
            <w:r>
              <w:rPr>
                <w:rFonts w:ascii="黑体" w:hAnsi="黑体" w:eastAsia="黑体"/>
                <w:b/>
                <w:sz w:val="21"/>
              </w:rPr>
              <w:t>评分依据/证明材料</w:t>
            </w:r>
          </w:p>
        </w:tc>
      </w:tr>
      <w:tr w14:paraId="0B16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9863814">
            <w:pPr>
              <w:spacing w:after="0" w:line="240" w:lineRule="auto"/>
              <w:jc w:val="left"/>
            </w:pPr>
            <w:r>
              <w:rPr>
                <w:rFonts w:ascii="宋体" w:hAnsi="宋体" w:eastAsia="宋体"/>
                <w:b w:val="0"/>
                <w:sz w:val="21"/>
              </w:rPr>
              <w:t>服务理解与方案设计</w:t>
            </w:r>
          </w:p>
        </w:tc>
        <w:tc>
          <w:tcPr>
            <w:tcW w:w="2721" w:type="dxa"/>
            <w:vAlign w:val="center"/>
          </w:tcPr>
          <w:p w14:paraId="2C11C5E4">
            <w:pPr>
              <w:spacing w:after="0" w:line="240" w:lineRule="auto"/>
              <w:jc w:val="left"/>
            </w:pPr>
            <w:r>
              <w:rPr>
                <w:rFonts w:ascii="宋体" w:hAnsi="宋体" w:eastAsia="宋体"/>
                <w:b w:val="0"/>
                <w:sz w:val="21"/>
              </w:rPr>
              <w:t>服务范围与流程理解</w:t>
            </w:r>
          </w:p>
        </w:tc>
        <w:tc>
          <w:tcPr>
            <w:tcW w:w="850" w:type="dxa"/>
            <w:vAlign w:val="center"/>
          </w:tcPr>
          <w:p w14:paraId="5DF56796">
            <w:pPr>
              <w:spacing w:after="0" w:line="240" w:lineRule="auto"/>
              <w:jc w:val="center"/>
            </w:pPr>
            <w:r>
              <w:rPr>
                <w:rFonts w:ascii="宋体" w:hAnsi="宋体" w:eastAsia="宋体"/>
                <w:b w:val="0"/>
                <w:sz w:val="21"/>
              </w:rPr>
              <w:t>13</w:t>
            </w:r>
          </w:p>
        </w:tc>
        <w:tc>
          <w:tcPr>
            <w:tcW w:w="5103" w:type="dxa"/>
            <w:vAlign w:val="center"/>
          </w:tcPr>
          <w:p w14:paraId="1F4B43F0">
            <w:pPr>
              <w:spacing w:after="0" w:line="240" w:lineRule="auto"/>
              <w:jc w:val="left"/>
            </w:pPr>
            <w:r>
              <w:rPr>
                <w:rFonts w:ascii="宋体" w:hAnsi="宋体" w:eastAsia="宋体"/>
                <w:b w:val="0"/>
                <w:sz w:val="21"/>
              </w:rPr>
              <w:t>对服务范围、职责边界、支持边界理解准确，服务流程、工单流转、例会与报告机制完整，得 13 分；基本准确且机制较完整，得 7-12 分；理解偏差明显或机制不足，得 0-6 分。</w:t>
            </w:r>
          </w:p>
        </w:tc>
        <w:tc>
          <w:tcPr>
            <w:tcW w:w="4536" w:type="dxa"/>
            <w:vAlign w:val="center"/>
          </w:tcPr>
          <w:p w14:paraId="13A601BE">
            <w:pPr>
              <w:spacing w:after="0" w:line="240" w:lineRule="auto"/>
              <w:jc w:val="left"/>
            </w:pPr>
            <w:r>
              <w:rPr>
                <w:rFonts w:ascii="宋体" w:hAnsi="宋体" w:eastAsia="宋体"/>
                <w:b w:val="0"/>
                <w:sz w:val="21"/>
              </w:rPr>
              <w:t>服务方案、范围说明、职责分工、服务流程图、报告模板、例会机制。</w:t>
            </w:r>
          </w:p>
        </w:tc>
      </w:tr>
      <w:tr w14:paraId="70F8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5FD551E">
            <w:pPr>
              <w:spacing w:after="0" w:line="240" w:lineRule="auto"/>
              <w:jc w:val="left"/>
            </w:pPr>
          </w:p>
        </w:tc>
        <w:tc>
          <w:tcPr>
            <w:tcW w:w="2721" w:type="dxa"/>
            <w:vAlign w:val="center"/>
          </w:tcPr>
          <w:p w14:paraId="6803B10A">
            <w:pPr>
              <w:spacing w:after="0" w:line="240" w:lineRule="auto"/>
              <w:jc w:val="left"/>
            </w:pPr>
            <w:r>
              <w:rPr>
                <w:rFonts w:ascii="宋体" w:hAnsi="宋体" w:eastAsia="宋体"/>
                <w:b w:val="0"/>
                <w:sz w:val="21"/>
              </w:rPr>
              <w:t>服务方案可执行性</w:t>
            </w:r>
          </w:p>
        </w:tc>
        <w:tc>
          <w:tcPr>
            <w:tcW w:w="850" w:type="dxa"/>
            <w:vAlign w:val="center"/>
          </w:tcPr>
          <w:p w14:paraId="3A0F1CD9">
            <w:pPr>
              <w:spacing w:after="0" w:line="240" w:lineRule="auto"/>
              <w:jc w:val="center"/>
            </w:pPr>
            <w:r>
              <w:rPr>
                <w:rFonts w:ascii="宋体" w:hAnsi="宋体" w:eastAsia="宋体"/>
                <w:b w:val="0"/>
                <w:sz w:val="21"/>
              </w:rPr>
              <w:t>6</w:t>
            </w:r>
          </w:p>
        </w:tc>
        <w:tc>
          <w:tcPr>
            <w:tcW w:w="5103" w:type="dxa"/>
            <w:vAlign w:val="center"/>
          </w:tcPr>
          <w:p w14:paraId="7802EC10">
            <w:pPr>
              <w:spacing w:after="0" w:line="240" w:lineRule="auto"/>
              <w:jc w:val="left"/>
            </w:pPr>
            <w:r>
              <w:rPr>
                <w:rFonts w:ascii="宋体" w:hAnsi="宋体" w:eastAsia="宋体"/>
                <w:b w:val="0"/>
                <w:sz w:val="21"/>
              </w:rPr>
              <w:t>方案执行路径清晰、适配采购场景，得 6 分；一般，得 3-5 分；可执行性弱，得 0-2 分。</w:t>
            </w:r>
          </w:p>
        </w:tc>
        <w:tc>
          <w:tcPr>
            <w:tcW w:w="4536" w:type="dxa"/>
            <w:vAlign w:val="center"/>
          </w:tcPr>
          <w:p w14:paraId="27AE1473">
            <w:pPr>
              <w:spacing w:after="0" w:line="240" w:lineRule="auto"/>
              <w:jc w:val="left"/>
            </w:pPr>
            <w:r>
              <w:rPr>
                <w:rFonts w:ascii="宋体" w:hAnsi="宋体" w:eastAsia="宋体"/>
                <w:b w:val="0"/>
                <w:sz w:val="21"/>
              </w:rPr>
              <w:t>实施路径、现场协同方案。</w:t>
            </w:r>
          </w:p>
        </w:tc>
      </w:tr>
      <w:tr w14:paraId="3BD7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A8304DF">
            <w:pPr>
              <w:spacing w:after="0" w:line="240" w:lineRule="auto"/>
              <w:jc w:val="left"/>
            </w:pPr>
            <w:r>
              <w:rPr>
                <w:rFonts w:ascii="宋体" w:hAnsi="宋体" w:eastAsia="宋体"/>
                <w:b w:val="0"/>
                <w:sz w:val="21"/>
              </w:rPr>
              <w:t>驻场与响应保障</w:t>
            </w:r>
          </w:p>
        </w:tc>
        <w:tc>
          <w:tcPr>
            <w:tcW w:w="2721" w:type="dxa"/>
            <w:vAlign w:val="center"/>
          </w:tcPr>
          <w:p w14:paraId="50FE0457">
            <w:pPr>
              <w:spacing w:after="0" w:line="240" w:lineRule="auto"/>
              <w:jc w:val="left"/>
            </w:pPr>
            <w:r>
              <w:rPr>
                <w:rFonts w:ascii="宋体" w:hAnsi="宋体" w:eastAsia="宋体"/>
                <w:b w:val="0"/>
                <w:sz w:val="21"/>
              </w:rPr>
              <w:t>驻场人员配置与稳定性保障</w:t>
            </w:r>
          </w:p>
        </w:tc>
        <w:tc>
          <w:tcPr>
            <w:tcW w:w="850" w:type="dxa"/>
            <w:vAlign w:val="center"/>
          </w:tcPr>
          <w:p w14:paraId="335A5640">
            <w:pPr>
              <w:spacing w:after="0" w:line="240" w:lineRule="auto"/>
              <w:jc w:val="center"/>
            </w:pPr>
            <w:r>
              <w:rPr>
                <w:rFonts w:ascii="宋体" w:hAnsi="宋体" w:eastAsia="宋体"/>
                <w:b w:val="0"/>
                <w:sz w:val="21"/>
              </w:rPr>
              <w:t>20</w:t>
            </w:r>
          </w:p>
        </w:tc>
        <w:tc>
          <w:tcPr>
            <w:tcW w:w="5103" w:type="dxa"/>
            <w:vAlign w:val="center"/>
          </w:tcPr>
          <w:p w14:paraId="2C0F77DB">
            <w:pPr>
              <w:spacing w:after="0" w:line="240" w:lineRule="auto"/>
              <w:jc w:val="left"/>
            </w:pPr>
            <w:r>
              <w:rPr>
                <w:rFonts w:ascii="宋体" w:hAnsi="宋体" w:eastAsia="宋体"/>
                <w:b w:val="0"/>
                <w:sz w:val="21"/>
              </w:rPr>
              <w:t>驻场人员数量充分、岗位结构合理、关键岗位齐备，且稳定性保障和替补机制明确，得 20 分；基本满足且稳定性安排较清晰，得 11-19 分；人员投入明显不足或替补机制较弱，得 0-10 分。</w:t>
            </w:r>
          </w:p>
        </w:tc>
        <w:tc>
          <w:tcPr>
            <w:tcW w:w="4536" w:type="dxa"/>
            <w:vAlign w:val="center"/>
          </w:tcPr>
          <w:p w14:paraId="44054C65">
            <w:pPr>
              <w:spacing w:after="0" w:line="240" w:lineRule="auto"/>
              <w:jc w:val="left"/>
            </w:pPr>
            <w:r>
              <w:rPr>
                <w:rFonts w:ascii="宋体" w:hAnsi="宋体" w:eastAsia="宋体"/>
                <w:b w:val="0"/>
                <w:sz w:val="21"/>
              </w:rPr>
              <w:t>驻场清单、岗位说明、资源投入计划、替补名单、稳定性承诺、人员管理机制。</w:t>
            </w:r>
          </w:p>
        </w:tc>
      </w:tr>
      <w:tr w14:paraId="6A8A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58E7A54">
            <w:pPr>
              <w:spacing w:after="0" w:line="240" w:lineRule="auto"/>
              <w:jc w:val="left"/>
            </w:pPr>
          </w:p>
        </w:tc>
        <w:tc>
          <w:tcPr>
            <w:tcW w:w="2721" w:type="dxa"/>
            <w:vAlign w:val="center"/>
          </w:tcPr>
          <w:p w14:paraId="14417564">
            <w:pPr>
              <w:spacing w:after="0" w:line="240" w:lineRule="auto"/>
              <w:jc w:val="left"/>
            </w:pPr>
            <w:r>
              <w:rPr>
                <w:rFonts w:ascii="宋体" w:hAnsi="宋体" w:eastAsia="宋体"/>
                <w:b w:val="0"/>
                <w:sz w:val="21"/>
              </w:rPr>
              <w:t>响应时效与应急处置能力</w:t>
            </w:r>
          </w:p>
        </w:tc>
        <w:tc>
          <w:tcPr>
            <w:tcW w:w="850" w:type="dxa"/>
            <w:vAlign w:val="center"/>
          </w:tcPr>
          <w:p w14:paraId="73D72F67">
            <w:pPr>
              <w:spacing w:after="0" w:line="240" w:lineRule="auto"/>
              <w:jc w:val="center"/>
            </w:pPr>
            <w:r>
              <w:rPr>
                <w:rFonts w:ascii="宋体" w:hAnsi="宋体" w:eastAsia="宋体"/>
                <w:b w:val="0"/>
                <w:sz w:val="21"/>
              </w:rPr>
              <w:t>20</w:t>
            </w:r>
          </w:p>
        </w:tc>
        <w:tc>
          <w:tcPr>
            <w:tcW w:w="5103" w:type="dxa"/>
            <w:vAlign w:val="center"/>
          </w:tcPr>
          <w:p w14:paraId="51498704">
            <w:pPr>
              <w:spacing w:after="0" w:line="240" w:lineRule="auto"/>
              <w:jc w:val="left"/>
            </w:pPr>
            <w:r>
              <w:rPr>
                <w:rFonts w:ascii="宋体" w:hAnsi="宋体" w:eastAsia="宋体"/>
                <w:b w:val="0"/>
                <w:sz w:val="21"/>
              </w:rPr>
              <w:t>响应时效、升级路径、闭环机制明确且优于基本要求，应急预案、重大故障处置和专项支撑能力强，得 20 分；基本满足要求，得 11-19 分；响应或应急处置能力较弱，得 0-10 分。</w:t>
            </w:r>
          </w:p>
        </w:tc>
        <w:tc>
          <w:tcPr>
            <w:tcW w:w="4536" w:type="dxa"/>
            <w:vAlign w:val="center"/>
          </w:tcPr>
          <w:p w14:paraId="613AF3BC">
            <w:pPr>
              <w:spacing w:after="0" w:line="240" w:lineRule="auto"/>
              <w:jc w:val="left"/>
            </w:pPr>
            <w:r>
              <w:rPr>
                <w:rFonts w:ascii="宋体" w:hAnsi="宋体" w:eastAsia="宋体"/>
                <w:b w:val="0"/>
                <w:sz w:val="21"/>
              </w:rPr>
              <w:t>SLA、升级流程、值守安排、应急预案、值班机制、历史案例说明。</w:t>
            </w:r>
          </w:p>
        </w:tc>
      </w:tr>
      <w:tr w14:paraId="2141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FA155B7">
            <w:pPr>
              <w:spacing w:after="0" w:line="240" w:lineRule="auto"/>
              <w:jc w:val="left"/>
            </w:pPr>
            <w:r>
              <w:rPr>
                <w:rFonts w:ascii="宋体" w:hAnsi="宋体" w:eastAsia="宋体"/>
                <w:b w:val="0"/>
                <w:sz w:val="21"/>
              </w:rPr>
              <w:t>持续服务与知识交接</w:t>
            </w:r>
          </w:p>
        </w:tc>
        <w:tc>
          <w:tcPr>
            <w:tcW w:w="2721" w:type="dxa"/>
            <w:vAlign w:val="center"/>
          </w:tcPr>
          <w:p w14:paraId="085E3AEA">
            <w:pPr>
              <w:spacing w:after="0" w:line="240" w:lineRule="auto"/>
              <w:jc w:val="left"/>
            </w:pPr>
            <w:r>
              <w:rPr>
                <w:rFonts w:ascii="宋体" w:hAnsi="宋体" w:eastAsia="宋体"/>
                <w:b w:val="0"/>
                <w:sz w:val="21"/>
              </w:rPr>
              <w:t>知识交接与持续优化机制</w:t>
            </w:r>
          </w:p>
        </w:tc>
        <w:tc>
          <w:tcPr>
            <w:tcW w:w="850" w:type="dxa"/>
            <w:vAlign w:val="center"/>
          </w:tcPr>
          <w:p w14:paraId="22E72016">
            <w:pPr>
              <w:spacing w:after="0" w:line="240" w:lineRule="auto"/>
              <w:jc w:val="center"/>
            </w:pPr>
            <w:r>
              <w:rPr>
                <w:rFonts w:ascii="宋体" w:hAnsi="宋体" w:eastAsia="宋体"/>
                <w:b w:val="0"/>
                <w:sz w:val="21"/>
              </w:rPr>
              <w:t>14</w:t>
            </w:r>
          </w:p>
        </w:tc>
        <w:tc>
          <w:tcPr>
            <w:tcW w:w="5103" w:type="dxa"/>
            <w:vAlign w:val="center"/>
          </w:tcPr>
          <w:p w14:paraId="67BFF7D4">
            <w:pPr>
              <w:spacing w:after="0" w:line="240" w:lineRule="auto"/>
              <w:jc w:val="left"/>
            </w:pPr>
            <w:r>
              <w:rPr>
                <w:rFonts w:ascii="宋体" w:hAnsi="宋体" w:eastAsia="宋体"/>
                <w:b w:val="0"/>
                <w:sz w:val="21"/>
              </w:rPr>
              <w:t>知识沉淀、文档维护、培训交接安排完整，具备持续优化、例会复盘、改进闭环机制，得 14 分；较完整，得 8-13 分；安排或机制不足，得 0-7 分。</w:t>
            </w:r>
          </w:p>
        </w:tc>
        <w:tc>
          <w:tcPr>
            <w:tcW w:w="4536" w:type="dxa"/>
            <w:vAlign w:val="center"/>
          </w:tcPr>
          <w:p w14:paraId="16EB917A">
            <w:pPr>
              <w:spacing w:after="0" w:line="240" w:lineRule="auto"/>
              <w:jc w:val="left"/>
            </w:pPr>
            <w:r>
              <w:rPr>
                <w:rFonts w:ascii="宋体" w:hAnsi="宋体" w:eastAsia="宋体"/>
                <w:b w:val="0"/>
                <w:sz w:val="21"/>
              </w:rPr>
              <w:t>知识库目录、交接计划、培训方案、复盘模板、改进机制、周报或月报样例。</w:t>
            </w:r>
          </w:p>
        </w:tc>
      </w:tr>
      <w:tr w14:paraId="14AE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F4B723F">
            <w:pPr>
              <w:spacing w:after="0" w:line="240" w:lineRule="auto"/>
              <w:jc w:val="left"/>
            </w:pPr>
            <w:r>
              <w:rPr>
                <w:rFonts w:ascii="宋体" w:hAnsi="宋体" w:eastAsia="宋体"/>
                <w:b w:val="0"/>
                <w:sz w:val="21"/>
              </w:rPr>
              <w:t>同类项目经验与服务治理能力</w:t>
            </w:r>
          </w:p>
        </w:tc>
        <w:tc>
          <w:tcPr>
            <w:tcW w:w="2721" w:type="dxa"/>
            <w:vAlign w:val="center"/>
          </w:tcPr>
          <w:p w14:paraId="12D1D5F6">
            <w:pPr>
              <w:spacing w:after="0" w:line="240" w:lineRule="auto"/>
              <w:jc w:val="left"/>
            </w:pPr>
            <w:r>
              <w:rPr>
                <w:rFonts w:ascii="宋体" w:hAnsi="宋体" w:eastAsia="宋体"/>
                <w:b w:val="0"/>
                <w:sz w:val="21"/>
              </w:rPr>
              <w:t>同类项目案例、资质与服务治理能力</w:t>
            </w:r>
          </w:p>
        </w:tc>
        <w:tc>
          <w:tcPr>
            <w:tcW w:w="850" w:type="dxa"/>
            <w:vAlign w:val="center"/>
          </w:tcPr>
          <w:p w14:paraId="2FCA9B8B">
            <w:pPr>
              <w:spacing w:after="0" w:line="240" w:lineRule="auto"/>
              <w:jc w:val="center"/>
            </w:pPr>
            <w:r>
              <w:rPr>
                <w:rFonts w:ascii="宋体" w:hAnsi="宋体" w:eastAsia="宋体"/>
                <w:b w:val="0"/>
                <w:sz w:val="21"/>
              </w:rPr>
              <w:t>15</w:t>
            </w:r>
          </w:p>
        </w:tc>
        <w:tc>
          <w:tcPr>
            <w:tcW w:w="5103" w:type="dxa"/>
            <w:vAlign w:val="center"/>
          </w:tcPr>
          <w:p w14:paraId="765617E1">
            <w:pPr>
              <w:spacing w:after="0" w:line="240" w:lineRule="auto"/>
              <w:jc w:val="left"/>
            </w:pPr>
            <w:r>
              <w:rPr>
                <w:rFonts w:ascii="宋体" w:hAnsi="宋体" w:eastAsia="宋体"/>
                <w:b w:val="0"/>
                <w:sz w:val="21"/>
              </w:rPr>
              <w:t>具备较丰富的同类项目实施经验，案例与本项目业务场景、服务方式和复杂程度匹配度高，同时具备与项目实施、驻场服务相关的资质认证、服务管理制度和SLA治理机制，得15分；项目经验或服务治理能力较好，得8-14分；同类项目经验较少、匹配度一般，或资质及治理机制支撑较弱，得0-7分。</w:t>
            </w:r>
          </w:p>
        </w:tc>
        <w:tc>
          <w:tcPr>
            <w:tcW w:w="4536" w:type="dxa"/>
            <w:vAlign w:val="center"/>
          </w:tcPr>
          <w:p w14:paraId="3A0BCD78">
            <w:pPr>
              <w:spacing w:after="0" w:line="240" w:lineRule="auto"/>
              <w:jc w:val="left"/>
            </w:pPr>
            <w:r>
              <w:rPr>
                <w:rFonts w:ascii="宋体" w:hAnsi="宋体" w:eastAsia="宋体"/>
                <w:b w:val="0"/>
                <w:sz w:val="21"/>
              </w:rPr>
              <w:t>同类项目合同关键页、验收证明、用户评价材料、项目成果说明、相关资质证书、服务管理制度文件、SLA治理机制说明等。</w:t>
            </w:r>
          </w:p>
        </w:tc>
      </w:tr>
      <w:tr w14:paraId="0245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DE02C3A">
            <w:pPr>
              <w:spacing w:after="0" w:line="240" w:lineRule="auto"/>
              <w:jc w:val="left"/>
            </w:pPr>
            <w:r>
              <w:rPr>
                <w:rFonts w:ascii="宋体" w:hAnsi="宋体" w:eastAsia="宋体"/>
                <w:b w:val="0"/>
                <w:sz w:val="21"/>
              </w:rPr>
              <w:t>商务响应与文件质量</w:t>
            </w:r>
          </w:p>
        </w:tc>
        <w:tc>
          <w:tcPr>
            <w:tcW w:w="2721" w:type="dxa"/>
            <w:vAlign w:val="center"/>
          </w:tcPr>
          <w:p w14:paraId="62B41967">
            <w:pPr>
              <w:spacing w:after="0" w:line="240" w:lineRule="auto"/>
              <w:jc w:val="left"/>
            </w:pPr>
            <w:r>
              <w:rPr>
                <w:rFonts w:ascii="宋体" w:hAnsi="宋体" w:eastAsia="宋体"/>
                <w:b w:val="0"/>
                <w:sz w:val="21"/>
              </w:rPr>
              <w:t>商务响应与文件完整性</w:t>
            </w:r>
          </w:p>
        </w:tc>
        <w:tc>
          <w:tcPr>
            <w:tcW w:w="850" w:type="dxa"/>
            <w:vAlign w:val="center"/>
          </w:tcPr>
          <w:p w14:paraId="3FEC591B">
            <w:pPr>
              <w:spacing w:after="0" w:line="240" w:lineRule="auto"/>
              <w:jc w:val="center"/>
            </w:pPr>
            <w:r>
              <w:rPr>
                <w:rFonts w:ascii="宋体" w:hAnsi="宋体" w:eastAsia="宋体"/>
                <w:b w:val="0"/>
                <w:sz w:val="21"/>
              </w:rPr>
              <w:t>12</w:t>
            </w:r>
          </w:p>
        </w:tc>
        <w:tc>
          <w:tcPr>
            <w:tcW w:w="5103" w:type="dxa"/>
            <w:vAlign w:val="center"/>
          </w:tcPr>
          <w:p w14:paraId="3518A14B">
            <w:pPr>
              <w:spacing w:after="0" w:line="240" w:lineRule="auto"/>
              <w:jc w:val="left"/>
            </w:pPr>
            <w:r>
              <w:rPr>
                <w:rFonts w:ascii="宋体" w:hAnsi="宋体" w:eastAsia="宋体"/>
                <w:b w:val="0"/>
                <w:sz w:val="21"/>
              </w:rPr>
              <w:t>商务承诺明确、违约处理和资源补偿机制清晰，响应文件完整、结构清晰、排版规范、检索方便，得 12 分；整体较好，得 7-11 分；较弱，得 0-6 分。</w:t>
            </w:r>
          </w:p>
        </w:tc>
        <w:tc>
          <w:tcPr>
            <w:tcW w:w="4536" w:type="dxa"/>
            <w:vAlign w:val="center"/>
          </w:tcPr>
          <w:p w14:paraId="5F835E27">
            <w:pPr>
              <w:spacing w:after="0" w:line="240" w:lineRule="auto"/>
              <w:jc w:val="left"/>
            </w:pPr>
            <w:r>
              <w:rPr>
                <w:rFonts w:ascii="宋体" w:hAnsi="宋体" w:eastAsia="宋体"/>
                <w:b w:val="0"/>
                <w:sz w:val="21"/>
              </w:rPr>
              <w:t>商务承诺函、违约处理条款响应、响应文件目录、盖章签字、版本控制。</w:t>
            </w:r>
          </w:p>
        </w:tc>
      </w:tr>
    </w:tbl>
    <w:p w14:paraId="3A0A5AD6">
      <w:pPr>
        <w:spacing w:before="120" w:after="80"/>
      </w:pPr>
      <w:r>
        <w:rPr>
          <w:rFonts w:ascii="黑体" w:hAnsi="黑体" w:eastAsia="黑体"/>
          <w:b/>
          <w:sz w:val="26"/>
        </w:rPr>
        <w:t>四、统一报价评分标准</w:t>
      </w:r>
    </w:p>
    <w:p w14:paraId="643B7B67">
      <w:pPr>
        <w:spacing w:after="60"/>
        <w:ind w:firstLine="420"/>
      </w:pPr>
      <w:r>
        <w:rPr>
          <w:rFonts w:ascii="宋体" w:hAnsi="宋体" w:eastAsia="宋体"/>
          <w:sz w:val="24"/>
          <w:szCs w:val="24"/>
        </w:rPr>
        <w:t>供应商应按本项目完整范围提交一份整包统一有效报价，不再区分定制开发和驻场运维分别报价。统一报价评分满分100分。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5"/>
        <w:gridCol w:w="2805"/>
        <w:gridCol w:w="2805"/>
        <w:gridCol w:w="2805"/>
        <w:gridCol w:w="2805"/>
      </w:tblGrid>
      <w:tr w14:paraId="79A3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1CF3EB2">
            <w:pPr>
              <w:spacing w:after="0" w:line="240" w:lineRule="auto"/>
              <w:jc w:val="center"/>
            </w:pPr>
            <w:r>
              <w:rPr>
                <w:rFonts w:ascii="黑体" w:hAnsi="黑体" w:eastAsia="黑体"/>
                <w:b/>
                <w:sz w:val="21"/>
              </w:rPr>
              <w:t>评审大项</w:t>
            </w:r>
          </w:p>
        </w:tc>
        <w:tc>
          <w:tcPr>
            <w:tcW w:w="2551" w:type="dxa"/>
            <w:shd w:val="clear" w:color="auto" w:fill="D9EAF7"/>
            <w:vAlign w:val="center"/>
          </w:tcPr>
          <w:p w14:paraId="19EAE32A">
            <w:pPr>
              <w:spacing w:after="0" w:line="240" w:lineRule="auto"/>
              <w:jc w:val="center"/>
            </w:pPr>
            <w:r>
              <w:rPr>
                <w:rFonts w:ascii="黑体" w:hAnsi="黑体" w:eastAsia="黑体"/>
                <w:b/>
                <w:sz w:val="21"/>
              </w:rPr>
              <w:t>评审子项</w:t>
            </w:r>
          </w:p>
        </w:tc>
        <w:tc>
          <w:tcPr>
            <w:tcW w:w="1020" w:type="dxa"/>
            <w:shd w:val="clear" w:color="auto" w:fill="D9EAF7"/>
            <w:vAlign w:val="center"/>
          </w:tcPr>
          <w:p w14:paraId="381B32C7">
            <w:pPr>
              <w:spacing w:after="0" w:line="240" w:lineRule="auto"/>
              <w:jc w:val="center"/>
            </w:pPr>
            <w:r>
              <w:rPr>
                <w:rFonts w:ascii="黑体" w:hAnsi="黑体" w:eastAsia="黑体"/>
                <w:b/>
                <w:sz w:val="21"/>
              </w:rPr>
              <w:t>分值</w:t>
            </w:r>
          </w:p>
        </w:tc>
        <w:tc>
          <w:tcPr>
            <w:tcW w:w="5670" w:type="dxa"/>
            <w:shd w:val="clear" w:color="auto" w:fill="D9EAF7"/>
            <w:vAlign w:val="center"/>
          </w:tcPr>
          <w:p w14:paraId="03DC987C">
            <w:pPr>
              <w:spacing w:after="0" w:line="240" w:lineRule="auto"/>
              <w:jc w:val="center"/>
            </w:pPr>
            <w:r>
              <w:rPr>
                <w:rFonts w:ascii="黑体" w:hAnsi="黑体" w:eastAsia="黑体"/>
                <w:b/>
                <w:sz w:val="21"/>
              </w:rPr>
              <w:t>评分标准</w:t>
            </w:r>
          </w:p>
        </w:tc>
        <w:tc>
          <w:tcPr>
            <w:tcW w:w="3855" w:type="dxa"/>
            <w:shd w:val="clear" w:color="auto" w:fill="D9EAF7"/>
            <w:vAlign w:val="center"/>
          </w:tcPr>
          <w:p w14:paraId="0BBF71CD">
            <w:pPr>
              <w:spacing w:after="0" w:line="240" w:lineRule="auto"/>
              <w:jc w:val="center"/>
            </w:pPr>
            <w:r>
              <w:rPr>
                <w:rFonts w:ascii="黑体" w:hAnsi="黑体" w:eastAsia="黑体"/>
                <w:b/>
                <w:sz w:val="21"/>
              </w:rPr>
              <w:t>评分依据/证明材料</w:t>
            </w:r>
          </w:p>
        </w:tc>
      </w:tr>
      <w:tr w14:paraId="472B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19B729F">
            <w:pPr>
              <w:spacing w:after="0" w:line="240" w:lineRule="auto"/>
              <w:jc w:val="left"/>
            </w:pPr>
            <w:r>
              <w:rPr>
                <w:rFonts w:ascii="宋体" w:hAnsi="宋体" w:eastAsia="宋体"/>
                <w:b w:val="0"/>
                <w:sz w:val="21"/>
              </w:rPr>
              <w:t>价格评分</w:t>
            </w:r>
          </w:p>
        </w:tc>
        <w:tc>
          <w:tcPr>
            <w:tcW w:w="2551" w:type="dxa"/>
            <w:vAlign w:val="center"/>
          </w:tcPr>
          <w:p w14:paraId="092A3310">
            <w:pPr>
              <w:spacing w:after="0" w:line="240" w:lineRule="auto"/>
              <w:jc w:val="left"/>
            </w:pPr>
            <w:r>
              <w:rPr>
                <w:rFonts w:ascii="宋体" w:hAnsi="宋体" w:eastAsia="宋体"/>
                <w:b w:val="0"/>
                <w:sz w:val="21"/>
              </w:rPr>
              <w:t>统一报价得分</w:t>
            </w:r>
          </w:p>
        </w:tc>
        <w:tc>
          <w:tcPr>
            <w:tcW w:w="1020" w:type="dxa"/>
            <w:vAlign w:val="center"/>
          </w:tcPr>
          <w:p w14:paraId="4EE14A2A">
            <w:pPr>
              <w:spacing w:after="0" w:line="240" w:lineRule="auto"/>
              <w:jc w:val="center"/>
            </w:pPr>
            <w:r>
              <w:rPr>
                <w:rFonts w:ascii="宋体" w:hAnsi="宋体" w:eastAsia="宋体"/>
                <w:b w:val="0"/>
                <w:sz w:val="21"/>
              </w:rPr>
              <w:t>100</w:t>
            </w:r>
          </w:p>
        </w:tc>
        <w:tc>
          <w:tcPr>
            <w:tcW w:w="5670" w:type="dxa"/>
            <w:vAlign w:val="center"/>
          </w:tcPr>
          <w:p w14:paraId="7A5E5957">
            <w:pPr>
              <w:spacing w:after="0" w:line="240" w:lineRule="auto"/>
              <w:jc w:val="left"/>
            </w:pPr>
            <w:r>
              <w:rPr>
                <w:rFonts w:ascii="宋体" w:hAnsi="宋体" w:eastAsia="宋体"/>
                <w:b w:val="0"/>
                <w:sz w:val="21"/>
              </w:rPr>
              <w:t>价格部分采用最低有效报价比例法，最低有效报价得满分 100 分，其他供应商按“最低有效报价/本供应商有效报价×100”折算。</w:t>
            </w:r>
          </w:p>
        </w:tc>
        <w:tc>
          <w:tcPr>
            <w:tcW w:w="3855" w:type="dxa"/>
            <w:vAlign w:val="center"/>
          </w:tcPr>
          <w:p w14:paraId="3041B471">
            <w:pPr>
              <w:spacing w:after="0" w:line="240" w:lineRule="auto"/>
              <w:jc w:val="left"/>
            </w:pPr>
            <w:r>
              <w:rPr>
                <w:rFonts w:ascii="宋体" w:hAnsi="宋体" w:eastAsia="宋体"/>
                <w:b w:val="0"/>
                <w:sz w:val="21"/>
              </w:rPr>
              <w:t>有效报价表、澄清函、报价一览表等。</w:t>
            </w:r>
          </w:p>
        </w:tc>
      </w:tr>
    </w:tbl>
    <w:p w14:paraId="1B7D7D48">
      <w:pPr>
        <w:spacing w:before="120" w:after="80"/>
      </w:pPr>
      <w:r>
        <w:rPr>
          <w:rFonts w:ascii="黑体" w:hAnsi="黑体" w:eastAsia="黑体"/>
          <w:b/>
          <w:sz w:val="26"/>
        </w:rPr>
        <w:t>五、综合评分权重及计算方式</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13"/>
        <w:gridCol w:w="7013"/>
      </w:tblGrid>
      <w:tr w14:paraId="16D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D9EAF7"/>
            <w:vAlign w:val="center"/>
          </w:tcPr>
          <w:p w14:paraId="7A9EB232">
            <w:pPr>
              <w:spacing w:after="0" w:line="240" w:lineRule="auto"/>
              <w:jc w:val="center"/>
            </w:pPr>
            <w:r>
              <w:rPr>
                <w:rFonts w:ascii="黑体" w:hAnsi="黑体" w:eastAsia="黑体"/>
                <w:b/>
                <w:sz w:val="21"/>
              </w:rPr>
              <w:t>评分部分</w:t>
            </w:r>
          </w:p>
        </w:tc>
        <w:tc>
          <w:tcPr>
            <w:tcW w:w="2268" w:type="dxa"/>
            <w:shd w:val="clear" w:color="auto" w:fill="D9EAF7"/>
            <w:vAlign w:val="center"/>
          </w:tcPr>
          <w:p w14:paraId="0B92CBC2">
            <w:pPr>
              <w:spacing w:after="0" w:line="240" w:lineRule="auto"/>
              <w:jc w:val="center"/>
            </w:pPr>
            <w:r>
              <w:rPr>
                <w:rFonts w:ascii="黑体" w:hAnsi="黑体" w:eastAsia="黑体"/>
                <w:b/>
                <w:sz w:val="21"/>
              </w:rPr>
              <w:t>权重</w:t>
            </w:r>
          </w:p>
        </w:tc>
      </w:tr>
      <w:tr w14:paraId="4337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7D797EBA">
            <w:pPr>
              <w:spacing w:after="0" w:line="240" w:lineRule="auto"/>
              <w:jc w:val="left"/>
            </w:pPr>
            <w:r>
              <w:rPr>
                <w:rFonts w:ascii="宋体" w:hAnsi="宋体" w:eastAsia="宋体"/>
                <w:b w:val="0"/>
                <w:sz w:val="21"/>
              </w:rPr>
              <w:t>资质评分权重（%）</w:t>
            </w:r>
          </w:p>
        </w:tc>
        <w:tc>
          <w:tcPr>
            <w:tcW w:w="2268" w:type="dxa"/>
            <w:vAlign w:val="center"/>
          </w:tcPr>
          <w:p w14:paraId="4807AFCE">
            <w:pPr>
              <w:spacing w:after="0" w:line="240" w:lineRule="auto"/>
              <w:jc w:val="left"/>
            </w:pPr>
            <w:r>
              <w:rPr>
                <w:rFonts w:ascii="宋体" w:hAnsi="宋体" w:eastAsia="宋体"/>
                <w:b w:val="0"/>
                <w:sz w:val="21"/>
              </w:rPr>
              <w:t>10%</w:t>
            </w:r>
          </w:p>
        </w:tc>
      </w:tr>
      <w:tr w14:paraId="042D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D1A5DA6">
            <w:pPr>
              <w:spacing w:after="0" w:line="240" w:lineRule="auto"/>
              <w:jc w:val="left"/>
            </w:pPr>
            <w:r>
              <w:rPr>
                <w:rFonts w:ascii="宋体" w:hAnsi="宋体" w:eastAsia="宋体"/>
                <w:b w:val="0"/>
                <w:sz w:val="21"/>
              </w:rPr>
              <w:t>定制开发权重（%）</w:t>
            </w:r>
          </w:p>
        </w:tc>
        <w:tc>
          <w:tcPr>
            <w:tcW w:w="2268" w:type="dxa"/>
            <w:vAlign w:val="center"/>
          </w:tcPr>
          <w:p w14:paraId="2C1AFFA4">
            <w:pPr>
              <w:spacing w:after="0" w:line="240" w:lineRule="auto"/>
              <w:jc w:val="left"/>
            </w:pPr>
            <w:r>
              <w:rPr>
                <w:rFonts w:ascii="宋体" w:hAnsi="宋体" w:eastAsia="宋体"/>
                <w:b w:val="0"/>
                <w:sz w:val="21"/>
              </w:rPr>
              <w:t>40%</w:t>
            </w:r>
          </w:p>
        </w:tc>
      </w:tr>
      <w:tr w14:paraId="0865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D0BE595">
            <w:pPr>
              <w:spacing w:after="0" w:line="240" w:lineRule="auto"/>
              <w:jc w:val="left"/>
            </w:pPr>
            <w:r>
              <w:rPr>
                <w:rFonts w:ascii="宋体" w:hAnsi="宋体" w:eastAsia="宋体"/>
                <w:b w:val="0"/>
                <w:sz w:val="21"/>
              </w:rPr>
              <w:t>驻场运维权重（%）</w:t>
            </w:r>
          </w:p>
        </w:tc>
        <w:tc>
          <w:tcPr>
            <w:tcW w:w="2268" w:type="dxa"/>
            <w:vAlign w:val="center"/>
          </w:tcPr>
          <w:p w14:paraId="02437AB6">
            <w:pPr>
              <w:spacing w:after="0" w:line="240" w:lineRule="auto"/>
              <w:jc w:val="left"/>
            </w:pPr>
            <w:r>
              <w:rPr>
                <w:rFonts w:ascii="宋体" w:hAnsi="宋体" w:eastAsia="宋体"/>
                <w:b w:val="0"/>
                <w:sz w:val="21"/>
              </w:rPr>
              <w:t>20%</w:t>
            </w:r>
          </w:p>
        </w:tc>
      </w:tr>
      <w:tr w14:paraId="01AE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E05C7A9">
            <w:pPr>
              <w:spacing w:after="0" w:line="240" w:lineRule="auto"/>
              <w:jc w:val="left"/>
            </w:pPr>
            <w:r>
              <w:rPr>
                <w:rFonts w:ascii="宋体" w:hAnsi="宋体" w:eastAsia="宋体"/>
                <w:b w:val="0"/>
                <w:sz w:val="21"/>
              </w:rPr>
              <w:t>统一报价权重（%）</w:t>
            </w:r>
          </w:p>
        </w:tc>
        <w:tc>
          <w:tcPr>
            <w:tcW w:w="2268" w:type="dxa"/>
            <w:vAlign w:val="center"/>
          </w:tcPr>
          <w:p w14:paraId="203F7FF2">
            <w:pPr>
              <w:spacing w:after="0" w:line="240" w:lineRule="auto"/>
              <w:jc w:val="left"/>
            </w:pPr>
            <w:r>
              <w:rPr>
                <w:rFonts w:ascii="宋体" w:hAnsi="宋体" w:eastAsia="宋体"/>
                <w:b w:val="0"/>
                <w:sz w:val="21"/>
              </w:rPr>
              <w:t>30%</w:t>
            </w:r>
          </w:p>
        </w:tc>
      </w:tr>
    </w:tbl>
    <w:p w14:paraId="78D976D1">
      <w:pPr>
        <w:spacing w:after="60"/>
        <w:rPr>
          <w:sz w:val="24"/>
          <w:szCs w:val="24"/>
        </w:rPr>
      </w:pPr>
      <w:r>
        <w:rPr>
          <w:rFonts w:ascii="宋体" w:hAnsi="宋体" w:eastAsia="宋体"/>
          <w:sz w:val="24"/>
          <w:szCs w:val="24"/>
        </w:rPr>
        <w:t>综合评审得分计算公式：</w:t>
      </w:r>
    </w:p>
    <w:p w14:paraId="36C6B31F">
      <w:pPr>
        <w:spacing w:after="60"/>
        <w:rPr>
          <w:sz w:val="24"/>
          <w:szCs w:val="24"/>
        </w:rPr>
      </w:pPr>
      <w:r>
        <w:rPr>
          <w:rFonts w:ascii="宋体" w:hAnsi="宋体" w:eastAsia="宋体"/>
          <w:sz w:val="24"/>
          <w:szCs w:val="24"/>
        </w:rPr>
        <w:t>综合评审得分 = 资质评分总分 × 10% + 定制开发总分 × 40% + 驻场运维总分 × 20% + 统一报价总分 × 30%。</w:t>
      </w:r>
    </w:p>
    <w:p w14:paraId="26A3D26E">
      <w:pPr>
        <w:spacing w:after="60"/>
        <w:rPr>
          <w:sz w:val="24"/>
          <w:szCs w:val="24"/>
        </w:rPr>
      </w:pPr>
      <w:r>
        <w:rPr>
          <w:rFonts w:ascii="宋体" w:hAnsi="宋体" w:eastAsia="宋体"/>
          <w:sz w:val="24"/>
          <w:szCs w:val="24"/>
        </w:rPr>
        <w:t>统一报价得分计算公式：统一报价得分 = 最低有效报价 ÷ 本供应商有效报价 × 100。</w:t>
      </w:r>
    </w:p>
    <w:p w14:paraId="4A62CEF1">
      <w:pPr>
        <w:spacing w:after="60"/>
        <w:ind w:firstLine="420"/>
        <w:rPr>
          <w:rFonts w:hint="eastAsia" w:ascii="宋体" w:hAnsi="宋体" w:eastAsia="宋体" w:cstheme="minorBidi"/>
          <w:color w:val="000000"/>
          <w:kern w:val="2"/>
          <w:sz w:val="24"/>
          <w:szCs w:val="24"/>
          <w:highlight w:val="none"/>
          <w:lang w:val="en-US" w:eastAsia="en-US" w:bidi="ar-SA"/>
          <w14:ligatures w14:val="standardContextual"/>
        </w:rPr>
      </w:pPr>
      <w:r>
        <w:rPr>
          <w:rFonts w:ascii="宋体" w:hAnsi="宋体" w:eastAsia="宋体"/>
          <w:sz w:val="24"/>
          <w:szCs w:val="24"/>
        </w:rPr>
        <w:t>本项目采用资质评分、定制开发评分、驻场运维评分、统一报价评分四部分加权汇总方式进行综合评审；综合得分按从高到低排序，分值相同的，名次并列。</w:t>
      </w: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Bookman Old Style">
    <w:panose1 w:val="02050604050505020204"/>
    <w:charset w:val="00"/>
    <w:family w:val="roman"/>
    <w:pitch w:val="default"/>
    <w:sig w:usb0="00000287" w:usb1="00000000" w:usb2="00000000" w:usb3="00000000" w:csb0="2000009F" w:csb1="DFD70000"/>
  </w:font>
  <w:font w:name="CIDFont+F5">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112E4"/>
    <w:multiLevelType w:val="singleLevel"/>
    <w:tmpl w:val="A3A112E4"/>
    <w:lvl w:ilvl="0" w:tentative="0">
      <w:start w:val="3"/>
      <w:numFmt w:val="decimal"/>
      <w:suff w:val="nothing"/>
      <w:lvlText w:val="（%1）"/>
      <w:lvlJc w:val="left"/>
    </w:lvl>
  </w:abstractNum>
  <w:abstractNum w:abstractNumId="1">
    <w:nsid w:val="BC586F5C"/>
    <w:multiLevelType w:val="singleLevel"/>
    <w:tmpl w:val="BC586F5C"/>
    <w:lvl w:ilvl="0" w:tentative="0">
      <w:start w:val="1"/>
      <w:numFmt w:val="decimalEnclosedCircleChinese"/>
      <w:suff w:val="nothing"/>
      <w:lvlText w:val="%1　"/>
      <w:lvlJc w:val="left"/>
      <w:pPr>
        <w:ind w:left="0" w:firstLine="400"/>
      </w:pPr>
      <w:rPr>
        <w:rFonts w:hint="eastAsia"/>
      </w:rPr>
    </w:lvl>
  </w:abstractNum>
  <w:abstractNum w:abstractNumId="2">
    <w:nsid w:val="111E92B2"/>
    <w:multiLevelType w:val="multilevel"/>
    <w:tmpl w:val="111E92B2"/>
    <w:lvl w:ilvl="0" w:tentative="0">
      <w:start w:val="1"/>
      <w:numFmt w:val="decimal"/>
      <w:lvlText w:val="%1."/>
      <w:lvlJc w:val="left"/>
      <w:pPr>
        <w:tabs>
          <w:tab w:val="left" w:pos="312"/>
        </w:tabs>
      </w:pPr>
    </w:lvl>
    <w:lvl w:ilvl="1" w:tentative="0">
      <w:start w:val="1"/>
      <w:numFmt w:val="decimal"/>
      <w:suff w:val="space"/>
      <w:lvlText w:val="(%2)"/>
      <w:lvlJc w:val="left"/>
      <w:pPr>
        <w:ind w:left="840" w:leftChars="0" w:hanging="420" w:firstLineChars="0"/>
      </w:pPr>
      <w:rPr>
        <w:rFonts w:hint="default"/>
      </w:rPr>
    </w:lvl>
    <w:lvl w:ilvl="2" w:tentative="0">
      <w:start w:val="1"/>
      <w:numFmt w:val="decimalEnclosedCircleChinese"/>
      <w:suff w:val="space"/>
      <w:lvlText w:val="%3"/>
      <w:lvlJc w:val="left"/>
      <w:pPr>
        <w:ind w:left="1260" w:leftChars="0" w:hanging="420" w:firstLineChars="0"/>
      </w:pPr>
      <w:rPr>
        <w:rFonts w:hint="default"/>
      </w:rPr>
    </w:lvl>
    <w:lvl w:ilvl="3" w:tentative="0">
      <w:start w:val="1"/>
      <w:numFmt w:val="decimal"/>
      <w:suff w:val="space"/>
      <w:lvlText w:val="%4)"/>
      <w:lvlJc w:val="left"/>
      <w:pPr>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27183EBE"/>
    <w:multiLevelType w:val="singleLevel"/>
    <w:tmpl w:val="27183EB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E163B"/>
    <w:rsid w:val="000327F8"/>
    <w:rsid w:val="00120916"/>
    <w:rsid w:val="002D53DC"/>
    <w:rsid w:val="002E5AC5"/>
    <w:rsid w:val="002F0200"/>
    <w:rsid w:val="003A0F1D"/>
    <w:rsid w:val="004246B8"/>
    <w:rsid w:val="004F3DDE"/>
    <w:rsid w:val="004F572F"/>
    <w:rsid w:val="005119F1"/>
    <w:rsid w:val="00516EBC"/>
    <w:rsid w:val="00582EDC"/>
    <w:rsid w:val="005E17AD"/>
    <w:rsid w:val="006E163B"/>
    <w:rsid w:val="00773584"/>
    <w:rsid w:val="007A488C"/>
    <w:rsid w:val="009513B9"/>
    <w:rsid w:val="00A03C72"/>
    <w:rsid w:val="00A53AE5"/>
    <w:rsid w:val="00C35A22"/>
    <w:rsid w:val="00D1200F"/>
    <w:rsid w:val="00D61060"/>
    <w:rsid w:val="00D87470"/>
    <w:rsid w:val="00E94339"/>
    <w:rsid w:val="01E46D89"/>
    <w:rsid w:val="022E44A8"/>
    <w:rsid w:val="024257EC"/>
    <w:rsid w:val="02C46D8B"/>
    <w:rsid w:val="03051D7B"/>
    <w:rsid w:val="03D76B0F"/>
    <w:rsid w:val="04090D29"/>
    <w:rsid w:val="05485881"/>
    <w:rsid w:val="06341CBC"/>
    <w:rsid w:val="06530640"/>
    <w:rsid w:val="06935222"/>
    <w:rsid w:val="082C1C1A"/>
    <w:rsid w:val="08A32C6C"/>
    <w:rsid w:val="08BC39F0"/>
    <w:rsid w:val="09736C45"/>
    <w:rsid w:val="0AF3003D"/>
    <w:rsid w:val="0C5368DA"/>
    <w:rsid w:val="0D0D2949"/>
    <w:rsid w:val="0E46753C"/>
    <w:rsid w:val="0E7B0A75"/>
    <w:rsid w:val="0FD50659"/>
    <w:rsid w:val="0FED02DB"/>
    <w:rsid w:val="11D14E7D"/>
    <w:rsid w:val="12A367ED"/>
    <w:rsid w:val="14291F27"/>
    <w:rsid w:val="144641F2"/>
    <w:rsid w:val="14E8107C"/>
    <w:rsid w:val="154B6D8C"/>
    <w:rsid w:val="15BB5FEB"/>
    <w:rsid w:val="16194510"/>
    <w:rsid w:val="187F5CF4"/>
    <w:rsid w:val="198F7ACB"/>
    <w:rsid w:val="1ACD301F"/>
    <w:rsid w:val="1B0F7EBC"/>
    <w:rsid w:val="1B17349C"/>
    <w:rsid w:val="1C3E1334"/>
    <w:rsid w:val="1C7A05BE"/>
    <w:rsid w:val="1DF64520"/>
    <w:rsid w:val="1EA9518B"/>
    <w:rsid w:val="1EE95587"/>
    <w:rsid w:val="229434A3"/>
    <w:rsid w:val="23B32608"/>
    <w:rsid w:val="259A75DB"/>
    <w:rsid w:val="25B67503"/>
    <w:rsid w:val="25D2070A"/>
    <w:rsid w:val="25E1501D"/>
    <w:rsid w:val="25FC28AD"/>
    <w:rsid w:val="262424BC"/>
    <w:rsid w:val="26B66697"/>
    <w:rsid w:val="29104DBC"/>
    <w:rsid w:val="29BE7276"/>
    <w:rsid w:val="29C0782D"/>
    <w:rsid w:val="2AD61967"/>
    <w:rsid w:val="2B564354"/>
    <w:rsid w:val="2B6909BB"/>
    <w:rsid w:val="2BEA603F"/>
    <w:rsid w:val="2D1C7470"/>
    <w:rsid w:val="2D285E15"/>
    <w:rsid w:val="2D8240DF"/>
    <w:rsid w:val="2DCE1C54"/>
    <w:rsid w:val="2F504FEB"/>
    <w:rsid w:val="30083291"/>
    <w:rsid w:val="310B5831"/>
    <w:rsid w:val="326C0551"/>
    <w:rsid w:val="33597E3C"/>
    <w:rsid w:val="33CE4B42"/>
    <w:rsid w:val="340C5F43"/>
    <w:rsid w:val="342650B6"/>
    <w:rsid w:val="34C41B45"/>
    <w:rsid w:val="3547178A"/>
    <w:rsid w:val="37C8622A"/>
    <w:rsid w:val="38036A00"/>
    <w:rsid w:val="38084878"/>
    <w:rsid w:val="39027D32"/>
    <w:rsid w:val="3A7E085A"/>
    <w:rsid w:val="3ADB44C6"/>
    <w:rsid w:val="3B1D688D"/>
    <w:rsid w:val="3BD84C10"/>
    <w:rsid w:val="3D1912D6"/>
    <w:rsid w:val="3D495D88"/>
    <w:rsid w:val="3E3A1504"/>
    <w:rsid w:val="3E4F1453"/>
    <w:rsid w:val="3EBF32D1"/>
    <w:rsid w:val="3F5F268D"/>
    <w:rsid w:val="3FEB18D8"/>
    <w:rsid w:val="412546F1"/>
    <w:rsid w:val="4192291B"/>
    <w:rsid w:val="44C85ABB"/>
    <w:rsid w:val="45F60406"/>
    <w:rsid w:val="464472EE"/>
    <w:rsid w:val="464C04FA"/>
    <w:rsid w:val="47EC1AC1"/>
    <w:rsid w:val="49855FD9"/>
    <w:rsid w:val="4BB919CD"/>
    <w:rsid w:val="4D7471F9"/>
    <w:rsid w:val="4DAC2D37"/>
    <w:rsid w:val="4F8B2322"/>
    <w:rsid w:val="500707B0"/>
    <w:rsid w:val="508D27A6"/>
    <w:rsid w:val="50AF4E94"/>
    <w:rsid w:val="51A258E6"/>
    <w:rsid w:val="51BC1787"/>
    <w:rsid w:val="51D215A9"/>
    <w:rsid w:val="52171E30"/>
    <w:rsid w:val="531D5224"/>
    <w:rsid w:val="53B7619E"/>
    <w:rsid w:val="54046D5C"/>
    <w:rsid w:val="54204D29"/>
    <w:rsid w:val="556C5FEF"/>
    <w:rsid w:val="56FA7783"/>
    <w:rsid w:val="578D70AE"/>
    <w:rsid w:val="57B974E6"/>
    <w:rsid w:val="5B696330"/>
    <w:rsid w:val="5BD90156"/>
    <w:rsid w:val="5C074CC3"/>
    <w:rsid w:val="5CC76201"/>
    <w:rsid w:val="5D301FF8"/>
    <w:rsid w:val="5D573A29"/>
    <w:rsid w:val="5F322057"/>
    <w:rsid w:val="5F5B298C"/>
    <w:rsid w:val="6042276E"/>
    <w:rsid w:val="606D766C"/>
    <w:rsid w:val="614A21D9"/>
    <w:rsid w:val="622C2343"/>
    <w:rsid w:val="631A5BD7"/>
    <w:rsid w:val="642A7243"/>
    <w:rsid w:val="667363D4"/>
    <w:rsid w:val="67D90079"/>
    <w:rsid w:val="69631BC4"/>
    <w:rsid w:val="697D65C5"/>
    <w:rsid w:val="69AA4EE0"/>
    <w:rsid w:val="69DB153D"/>
    <w:rsid w:val="6A420CB3"/>
    <w:rsid w:val="6A7343B6"/>
    <w:rsid w:val="6C3A254B"/>
    <w:rsid w:val="6C7019FC"/>
    <w:rsid w:val="6CC83FFB"/>
    <w:rsid w:val="6F3B64CA"/>
    <w:rsid w:val="6F96218E"/>
    <w:rsid w:val="6FF46C64"/>
    <w:rsid w:val="705453E4"/>
    <w:rsid w:val="71C31235"/>
    <w:rsid w:val="76E574A5"/>
    <w:rsid w:val="776E39F1"/>
    <w:rsid w:val="794964C4"/>
    <w:rsid w:val="79CE18DD"/>
    <w:rsid w:val="7A7210FD"/>
    <w:rsid w:val="7B462A9E"/>
    <w:rsid w:val="7C776EA4"/>
    <w:rsid w:val="7C952363"/>
    <w:rsid w:val="7D3B79D2"/>
    <w:rsid w:val="7EAD3051"/>
    <w:rsid w:val="7EF21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1"/>
    <w:qFormat/>
    <w:uiPriority w:val="99"/>
    <w:pPr>
      <w:shd w:val="clear" w:color="auto" w:fill="FFFFFF"/>
      <w:spacing w:after="0" w:line="548" w:lineRule="exact"/>
      <w:jc w:val="distribute"/>
    </w:pPr>
    <w:rPr>
      <w:rFonts w:ascii="宋体" w:eastAsia="宋体" w:cs="宋体"/>
      <w:spacing w:val="20"/>
      <w:sz w:val="26"/>
      <w:szCs w:val="26"/>
    </w:rPr>
  </w:style>
  <w:style w:type="paragraph" w:styleId="5">
    <w:name w:val="Date"/>
    <w:basedOn w:val="1"/>
    <w:next w:val="1"/>
    <w:link w:val="18"/>
    <w:semiHidden/>
    <w:unhideWhenUsed/>
    <w:qFormat/>
    <w:uiPriority w:val="99"/>
    <w:pPr>
      <w:ind w:left="100" w:leftChars="2500"/>
    </w:pPr>
  </w:style>
  <w:style w:type="paragraph" w:styleId="6">
    <w:name w:val="footer"/>
    <w:basedOn w:val="1"/>
    <w:link w:val="12"/>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11"/>
    <w:unhideWhenUsed/>
    <w:qFormat/>
    <w:uiPriority w:val="99"/>
    <w:pPr>
      <w:tabs>
        <w:tab w:val="center" w:pos="4153"/>
        <w:tab w:val="right" w:pos="8306"/>
      </w:tabs>
      <w:snapToGrid w:val="0"/>
      <w:spacing w:line="240" w:lineRule="auto"/>
      <w:jc w:val="center"/>
    </w:pPr>
    <w:rPr>
      <w:sz w:val="18"/>
      <w:szCs w:val="18"/>
    </w:r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页眉 字符"/>
    <w:basedOn w:val="10"/>
    <w:link w:val="7"/>
    <w:qFormat/>
    <w:uiPriority w:val="99"/>
    <w:rPr>
      <w:sz w:val="18"/>
      <w:szCs w:val="18"/>
    </w:rPr>
  </w:style>
  <w:style w:type="character" w:customStyle="1" w:styleId="12">
    <w:name w:val="页脚 字符"/>
    <w:basedOn w:val="10"/>
    <w:link w:val="6"/>
    <w:qFormat/>
    <w:uiPriority w:val="99"/>
    <w:rPr>
      <w:sz w:val="18"/>
      <w:szCs w:val="18"/>
    </w:rPr>
  </w:style>
  <w:style w:type="character" w:customStyle="1" w:styleId="13">
    <w:name w:val="Body text (2)_"/>
    <w:basedOn w:val="10"/>
    <w:link w:val="14"/>
    <w:qFormat/>
    <w:uiPriority w:val="99"/>
    <w:rPr>
      <w:rFonts w:ascii="宋体" w:eastAsia="宋体" w:cs="宋体"/>
      <w:sz w:val="36"/>
      <w:szCs w:val="36"/>
      <w:shd w:val="clear" w:color="auto" w:fill="FFFFFF"/>
    </w:rPr>
  </w:style>
  <w:style w:type="paragraph" w:customStyle="1" w:styleId="14">
    <w:name w:val="Body text (2)1"/>
    <w:basedOn w:val="1"/>
    <w:link w:val="13"/>
    <w:qFormat/>
    <w:uiPriority w:val="99"/>
    <w:pPr>
      <w:shd w:val="clear" w:color="auto" w:fill="FFFFFF"/>
      <w:spacing w:after="1500" w:line="240" w:lineRule="atLeast"/>
    </w:pPr>
    <w:rPr>
      <w:rFonts w:ascii="宋体" w:eastAsia="宋体" w:cs="宋体"/>
      <w:sz w:val="36"/>
      <w:szCs w:val="36"/>
    </w:rPr>
  </w:style>
  <w:style w:type="character" w:customStyle="1" w:styleId="15">
    <w:name w:val="Body text (2)"/>
    <w:basedOn w:val="13"/>
    <w:qFormat/>
    <w:uiPriority w:val="99"/>
    <w:rPr>
      <w:rFonts w:ascii="宋体" w:eastAsia="宋体" w:cs="宋体"/>
      <w:sz w:val="36"/>
      <w:szCs w:val="36"/>
      <w:shd w:val="clear" w:color="auto" w:fill="FFFFFF"/>
    </w:rPr>
  </w:style>
  <w:style w:type="character" w:customStyle="1" w:styleId="16">
    <w:name w:val="Body text (2) + Spacing 0 pt1"/>
    <w:basedOn w:val="13"/>
    <w:qFormat/>
    <w:uiPriority w:val="99"/>
    <w:rPr>
      <w:rFonts w:ascii="宋体" w:eastAsia="宋体" w:cs="宋体"/>
      <w:spacing w:val="-10"/>
      <w:sz w:val="36"/>
      <w:szCs w:val="36"/>
      <w:shd w:val="clear" w:color="auto" w:fill="FFFFFF"/>
    </w:rPr>
  </w:style>
  <w:style w:type="character" w:customStyle="1" w:styleId="17">
    <w:name w:val="Body text (2) + Spacing 0 pt"/>
    <w:basedOn w:val="13"/>
    <w:qFormat/>
    <w:uiPriority w:val="99"/>
    <w:rPr>
      <w:rFonts w:ascii="宋体" w:eastAsia="宋体" w:cs="宋体"/>
      <w:spacing w:val="-10"/>
      <w:sz w:val="36"/>
      <w:szCs w:val="36"/>
      <w:shd w:val="clear" w:color="auto" w:fill="FFFFFF"/>
      <w:lang w:val="en-US" w:eastAsia="en-US"/>
    </w:rPr>
  </w:style>
  <w:style w:type="character" w:customStyle="1" w:styleId="18">
    <w:name w:val="日期 字符"/>
    <w:basedOn w:val="10"/>
    <w:link w:val="5"/>
    <w:semiHidden/>
    <w:qFormat/>
    <w:uiPriority w:val="99"/>
  </w:style>
  <w:style w:type="character" w:customStyle="1" w:styleId="19">
    <w:name w:val="Body text (5)_"/>
    <w:basedOn w:val="10"/>
    <w:link w:val="20"/>
    <w:qFormat/>
    <w:uiPriority w:val="99"/>
    <w:rPr>
      <w:rFonts w:ascii="宋体" w:eastAsia="宋体" w:cs="宋体"/>
      <w:sz w:val="26"/>
      <w:szCs w:val="26"/>
      <w:shd w:val="clear" w:color="auto" w:fill="FFFFFF"/>
      <w:lang w:eastAsia="en-US"/>
    </w:rPr>
  </w:style>
  <w:style w:type="paragraph" w:customStyle="1" w:styleId="20">
    <w:name w:val="Body text (5)"/>
    <w:basedOn w:val="1"/>
    <w:link w:val="19"/>
    <w:qFormat/>
    <w:uiPriority w:val="99"/>
    <w:pPr>
      <w:shd w:val="clear" w:color="auto" w:fill="FFFFFF"/>
      <w:spacing w:before="240" w:after="240" w:line="240" w:lineRule="atLeast"/>
      <w:ind w:firstLine="600"/>
      <w:jc w:val="both"/>
    </w:pPr>
    <w:rPr>
      <w:rFonts w:ascii="宋体" w:eastAsia="宋体" w:cs="宋体"/>
      <w:sz w:val="26"/>
      <w:szCs w:val="26"/>
      <w:lang w:eastAsia="en-US"/>
    </w:rPr>
  </w:style>
  <w:style w:type="character" w:customStyle="1" w:styleId="21">
    <w:name w:val="正文文本 字符1"/>
    <w:basedOn w:val="10"/>
    <w:link w:val="3"/>
    <w:qFormat/>
    <w:uiPriority w:val="99"/>
    <w:rPr>
      <w:rFonts w:ascii="宋体" w:eastAsia="宋体" w:cs="宋体"/>
      <w:spacing w:val="20"/>
      <w:sz w:val="26"/>
      <w:szCs w:val="26"/>
      <w:shd w:val="clear" w:color="auto" w:fill="FFFFFF"/>
    </w:rPr>
  </w:style>
  <w:style w:type="character" w:customStyle="1" w:styleId="22">
    <w:name w:val="Body text + Malgun Gothic"/>
    <w:basedOn w:val="21"/>
    <w:qFormat/>
    <w:uiPriority w:val="99"/>
    <w:rPr>
      <w:rFonts w:ascii="Malgun Gothic" w:eastAsia="Malgun Gothic" w:cs="Malgun Gothic"/>
      <w:spacing w:val="0"/>
      <w:w w:val="80"/>
      <w:sz w:val="37"/>
      <w:szCs w:val="37"/>
      <w:shd w:val="clear" w:color="auto" w:fill="FFFFFF"/>
      <w:lang w:val="en-US" w:eastAsia="en-US"/>
    </w:rPr>
  </w:style>
  <w:style w:type="character" w:customStyle="1" w:styleId="23">
    <w:name w:val="Body text + Spacing 0 pt"/>
    <w:basedOn w:val="21"/>
    <w:qFormat/>
    <w:uiPriority w:val="99"/>
    <w:rPr>
      <w:rFonts w:ascii="宋体" w:eastAsia="宋体" w:cs="宋体"/>
      <w:spacing w:val="0"/>
      <w:sz w:val="26"/>
      <w:szCs w:val="26"/>
      <w:shd w:val="clear" w:color="auto" w:fill="FFFFFF"/>
    </w:rPr>
  </w:style>
  <w:style w:type="character" w:customStyle="1" w:styleId="24">
    <w:name w:val="Body text (5) + Spacing 1 pt"/>
    <w:basedOn w:val="19"/>
    <w:qFormat/>
    <w:uiPriority w:val="99"/>
    <w:rPr>
      <w:rFonts w:ascii="宋体" w:eastAsia="宋体" w:cs="宋体"/>
      <w:spacing w:val="20"/>
      <w:sz w:val="26"/>
      <w:szCs w:val="26"/>
      <w:shd w:val="clear" w:color="auto" w:fill="FFFFFF"/>
      <w:lang w:eastAsia="en-US"/>
    </w:rPr>
  </w:style>
  <w:style w:type="character" w:customStyle="1" w:styleId="25">
    <w:name w:val="正文文本 字符"/>
    <w:basedOn w:val="10"/>
    <w:semiHidden/>
    <w:qFormat/>
    <w:uiPriority w:val="99"/>
  </w:style>
  <w:style w:type="character" w:customStyle="1" w:styleId="26">
    <w:name w:val="Body text (6)_"/>
    <w:basedOn w:val="10"/>
    <w:link w:val="27"/>
    <w:qFormat/>
    <w:uiPriority w:val="99"/>
    <w:rPr>
      <w:rFonts w:ascii="宋体" w:eastAsia="宋体" w:cs="宋体"/>
      <w:spacing w:val="20"/>
      <w:sz w:val="26"/>
      <w:szCs w:val="26"/>
      <w:shd w:val="clear" w:color="auto" w:fill="FFFFFF"/>
    </w:rPr>
  </w:style>
  <w:style w:type="paragraph" w:customStyle="1" w:styleId="27">
    <w:name w:val="Body text (6)"/>
    <w:basedOn w:val="1"/>
    <w:link w:val="26"/>
    <w:qFormat/>
    <w:uiPriority w:val="99"/>
    <w:pPr>
      <w:shd w:val="clear" w:color="auto" w:fill="FFFFFF"/>
      <w:spacing w:before="240" w:after="0" w:line="240" w:lineRule="atLeast"/>
      <w:jc w:val="distribute"/>
    </w:pPr>
    <w:rPr>
      <w:rFonts w:ascii="宋体" w:eastAsia="宋体" w:cs="宋体"/>
      <w:spacing w:val="20"/>
      <w:sz w:val="26"/>
      <w:szCs w:val="26"/>
    </w:rPr>
  </w:style>
  <w:style w:type="character" w:customStyle="1" w:styleId="28">
    <w:name w:val="Body text (6) + Spacing 0 pt"/>
    <w:basedOn w:val="26"/>
    <w:qFormat/>
    <w:uiPriority w:val="99"/>
    <w:rPr>
      <w:rFonts w:ascii="宋体" w:eastAsia="宋体" w:cs="宋体"/>
      <w:spacing w:val="0"/>
      <w:sz w:val="26"/>
      <w:szCs w:val="26"/>
      <w:shd w:val="clear" w:color="auto" w:fill="FFFFFF"/>
      <w:lang w:val="en-US" w:eastAsia="en-US"/>
    </w:rPr>
  </w:style>
  <w:style w:type="character" w:customStyle="1" w:styleId="29">
    <w:name w:val="Body text (9)_"/>
    <w:basedOn w:val="10"/>
    <w:link w:val="30"/>
    <w:qFormat/>
    <w:uiPriority w:val="99"/>
    <w:rPr>
      <w:rFonts w:ascii="宋体" w:eastAsia="宋体" w:cs="宋体"/>
      <w:b/>
      <w:bCs/>
      <w:sz w:val="27"/>
      <w:szCs w:val="27"/>
      <w:shd w:val="clear" w:color="auto" w:fill="FFFFFF"/>
    </w:rPr>
  </w:style>
  <w:style w:type="paragraph" w:customStyle="1" w:styleId="30">
    <w:name w:val="Body text (9)"/>
    <w:basedOn w:val="1"/>
    <w:link w:val="29"/>
    <w:qFormat/>
    <w:uiPriority w:val="99"/>
    <w:pPr>
      <w:shd w:val="clear" w:color="auto" w:fill="FFFFFF"/>
      <w:spacing w:after="240" w:line="240" w:lineRule="atLeast"/>
      <w:ind w:firstLine="600"/>
      <w:jc w:val="distribute"/>
    </w:pPr>
    <w:rPr>
      <w:rFonts w:ascii="宋体" w:eastAsia="宋体" w:cs="宋体"/>
      <w:b/>
      <w:bCs/>
      <w:sz w:val="27"/>
      <w:szCs w:val="27"/>
    </w:rPr>
  </w:style>
  <w:style w:type="character" w:customStyle="1" w:styleId="31">
    <w:name w:val="Body text (9) + Not Bold"/>
    <w:basedOn w:val="29"/>
    <w:qFormat/>
    <w:uiPriority w:val="99"/>
    <w:rPr>
      <w:rFonts w:ascii="宋体" w:eastAsia="宋体" w:cs="宋体"/>
      <w:b w:val="0"/>
      <w:bCs w:val="0"/>
      <w:sz w:val="27"/>
      <w:szCs w:val="27"/>
      <w:shd w:val="clear" w:color="auto" w:fill="FFFFFF"/>
    </w:rPr>
  </w:style>
  <w:style w:type="character" w:customStyle="1" w:styleId="32">
    <w:name w:val="Body text + Malgun Gothic1"/>
    <w:basedOn w:val="21"/>
    <w:qFormat/>
    <w:uiPriority w:val="99"/>
    <w:rPr>
      <w:rFonts w:ascii="Malgun Gothic" w:eastAsia="Malgun Gothic" w:cs="Malgun Gothic"/>
      <w:spacing w:val="0"/>
      <w:w w:val="80"/>
      <w:sz w:val="37"/>
      <w:szCs w:val="37"/>
      <w:shd w:val="clear" w:color="auto" w:fill="FFFFFF"/>
    </w:rPr>
  </w:style>
  <w:style w:type="character" w:customStyle="1" w:styleId="33">
    <w:name w:val="Body text (10)_"/>
    <w:basedOn w:val="10"/>
    <w:link w:val="34"/>
    <w:qFormat/>
    <w:uiPriority w:val="99"/>
    <w:rPr>
      <w:rFonts w:ascii="宋体" w:eastAsia="宋体" w:cs="宋体"/>
      <w:sz w:val="26"/>
      <w:szCs w:val="26"/>
      <w:shd w:val="clear" w:color="auto" w:fill="FFFFFF"/>
      <w:lang w:eastAsia="en-US"/>
    </w:rPr>
  </w:style>
  <w:style w:type="paragraph" w:customStyle="1" w:styleId="34">
    <w:name w:val="Body text (10)"/>
    <w:basedOn w:val="1"/>
    <w:link w:val="33"/>
    <w:qFormat/>
    <w:uiPriority w:val="99"/>
    <w:pPr>
      <w:shd w:val="clear" w:color="auto" w:fill="FFFFFF"/>
      <w:spacing w:before="240" w:after="0" w:line="568" w:lineRule="exact"/>
      <w:ind w:firstLine="600"/>
      <w:jc w:val="both"/>
    </w:pPr>
    <w:rPr>
      <w:rFonts w:ascii="宋体" w:eastAsia="宋体" w:cs="宋体"/>
      <w:sz w:val="26"/>
      <w:szCs w:val="26"/>
      <w:lang w:eastAsia="en-US"/>
    </w:rPr>
  </w:style>
  <w:style w:type="character" w:customStyle="1" w:styleId="35">
    <w:name w:val="Body text (10) + Spacing 1 pt"/>
    <w:basedOn w:val="33"/>
    <w:qFormat/>
    <w:uiPriority w:val="99"/>
    <w:rPr>
      <w:rFonts w:ascii="宋体" w:eastAsia="宋体" w:cs="宋体"/>
      <w:spacing w:val="20"/>
      <w:sz w:val="26"/>
      <w:szCs w:val="26"/>
      <w:shd w:val="clear" w:color="auto" w:fill="FFFFFF"/>
      <w:lang w:eastAsia="en-US"/>
    </w:rPr>
  </w:style>
  <w:style w:type="character" w:customStyle="1" w:styleId="36">
    <w:name w:val="Body text (10) + 12.5 pt"/>
    <w:basedOn w:val="33"/>
    <w:qFormat/>
    <w:uiPriority w:val="99"/>
    <w:rPr>
      <w:rFonts w:ascii="宋体" w:eastAsia="宋体" w:cs="宋体"/>
      <w:sz w:val="25"/>
      <w:szCs w:val="25"/>
      <w:shd w:val="clear" w:color="auto" w:fill="FFFFFF"/>
      <w:lang w:eastAsia="en-US"/>
    </w:rPr>
  </w:style>
  <w:style w:type="character" w:customStyle="1" w:styleId="37">
    <w:name w:val="Body text (9) + Bookman Old Style"/>
    <w:basedOn w:val="29"/>
    <w:qFormat/>
    <w:uiPriority w:val="99"/>
    <w:rPr>
      <w:rFonts w:ascii="Bookman Old Style" w:hAnsi="Bookman Old Style" w:eastAsia="宋体" w:cs="Bookman Old Style"/>
      <w:sz w:val="24"/>
      <w:szCs w:val="24"/>
      <w:shd w:val="clear" w:color="auto" w:fill="FFFFFF"/>
    </w:rPr>
  </w:style>
  <w:style w:type="paragraph" w:customStyle="1" w:styleId="38">
    <w:name w:val="First Paragraph"/>
    <w:basedOn w:val="3"/>
    <w:next w:val="3"/>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35</Pages>
  <Words>7009</Words>
  <Characters>7314</Characters>
  <Lines>7</Lines>
  <Paragraphs>2</Paragraphs>
  <TotalTime>4</TotalTime>
  <ScaleCrop>false</ScaleCrop>
  <LinksUpToDate>false</LinksUpToDate>
  <CharactersWithSpaces>7471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2024-03-10T16:05:00Z</dcterms:created>
  <dc:creator>Zhenyun Liu</dc:creator>
  <cp:lastModifiedBy>不要说话</cp:lastModifiedBy>
  <dcterms:modified xsi:type="dcterms:W3CDTF">2026-04-23T07:08:00Z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669E928B7AF749609AB9155E2B5709FE_13</vt:lpwstr>
  </property>
  <property fmtid="{D5CDD505-2E9C-101B-9397-08002B2CF9AE}" pid="4" name="KSOTemplateDocerSaveRecord">
    <vt:lpwstr>eyJoZGlkIjoiMjlmM2ExZTYwMDJiNjkxMjgwZmEyM2Y5Nzk3NDc5OGMiLCJ1c2VySWQiOiIyNDI2MzU0MTMifQ==</vt:lpwstr>
  </property>
</Properties>
</file>