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27AED1">
      <w:pPr>
        <w:rPr>
          <w:rStyle w:val="14"/>
          <w:rFonts w:hAnsi="宋体"/>
          <w:lang w:val="zh-TW"/>
        </w:rPr>
      </w:pPr>
      <w:bookmarkStart w:id="9" w:name="_GoBack"/>
      <w:bookmarkEnd w:id="9"/>
    </w:p>
    <w:p w14:paraId="056A7C71">
      <w:pPr>
        <w:jc w:val="center"/>
        <w:rPr>
          <w:rStyle w:val="14"/>
          <w:rFonts w:hint="eastAsia" w:hAnsi="宋体"/>
          <w:color w:val="000000"/>
          <w:sz w:val="52"/>
          <w:szCs w:val="52"/>
          <w:lang w:val="zh-TW" w:eastAsia="zh-TW"/>
        </w:rPr>
      </w:pPr>
      <w:r>
        <w:rPr>
          <w:rStyle w:val="14"/>
          <w:rFonts w:hint="eastAsia" w:hAnsi="宋体"/>
          <w:color w:val="000000"/>
          <w:sz w:val="52"/>
          <w:szCs w:val="52"/>
          <w:lang w:val="en-US" w:eastAsia="zh-CN"/>
        </w:rPr>
        <w:t>2026年度</w:t>
      </w:r>
      <w:r>
        <w:rPr>
          <w:rStyle w:val="14"/>
          <w:rFonts w:hint="default" w:hAnsi="宋体"/>
          <w:color w:val="000000"/>
          <w:sz w:val="52"/>
          <w:szCs w:val="52"/>
          <w:lang w:val="en-US" w:eastAsia="zh-CN"/>
        </w:rPr>
        <w:t>南京三方一体化数字信息平台优化提升项目</w:t>
      </w:r>
      <w:r>
        <w:rPr>
          <w:rStyle w:val="14"/>
          <w:rFonts w:hint="eastAsia" w:hAnsi="宋体"/>
          <w:color w:val="000000"/>
          <w:sz w:val="52"/>
          <w:szCs w:val="52"/>
          <w:lang w:val="en-US" w:eastAsia="zh-CN"/>
        </w:rPr>
        <w:t>开发</w:t>
      </w:r>
      <w:r>
        <w:rPr>
          <w:rStyle w:val="14"/>
          <w:rFonts w:hint="eastAsia" w:hAnsi="宋体"/>
          <w:color w:val="000000"/>
          <w:sz w:val="52"/>
          <w:szCs w:val="52"/>
          <w:lang w:val="zh-TW" w:eastAsia="zh-TW"/>
        </w:rPr>
        <w:t>采购方案</w:t>
      </w:r>
    </w:p>
    <w:p w14:paraId="3FB044D7">
      <w:pPr>
        <w:jc w:val="center"/>
        <w:rPr>
          <w:rStyle w:val="17"/>
          <w:rFonts w:hAnsi="宋体"/>
          <w:color w:val="000000"/>
          <w:lang w:val="zh-TW"/>
        </w:rPr>
      </w:pPr>
      <w:r>
        <w:rPr>
          <w:rStyle w:val="16"/>
          <w:rFonts w:hint="eastAsia" w:hAnsi="宋体"/>
          <w:color w:val="000000"/>
          <w:sz w:val="52"/>
          <w:szCs w:val="52"/>
          <w:lang w:val="zh-TW" w:eastAsia="zh-TW"/>
        </w:rPr>
        <w:t>（</w:t>
      </w:r>
      <w:r>
        <w:rPr>
          <w:rStyle w:val="16"/>
          <w:rFonts w:hint="eastAsia" w:hAnsi="宋体"/>
          <w:color w:val="000000"/>
          <w:sz w:val="52"/>
          <w:szCs w:val="52"/>
          <w:lang w:val="zh-TW"/>
        </w:rPr>
        <w:t>谈判采购</w:t>
      </w:r>
      <w:r>
        <w:rPr>
          <w:rStyle w:val="17"/>
          <w:rFonts w:hAnsi="宋体"/>
          <w:color w:val="000000"/>
          <w:sz w:val="52"/>
          <w:szCs w:val="52"/>
          <w:lang w:val="zh-TW" w:eastAsia="zh-TW"/>
        </w:rPr>
        <w:t>)</w:t>
      </w:r>
    </w:p>
    <w:p w14:paraId="0BAF7B14">
      <w:pPr>
        <w:jc w:val="right"/>
        <w:rPr>
          <w:rStyle w:val="17"/>
          <w:rFonts w:hint="default" w:hAnsi="宋体" w:eastAsia="宋体"/>
          <w:color w:val="000000"/>
          <w:lang w:val="en-US" w:eastAsia="zh-CN"/>
        </w:rPr>
      </w:pPr>
      <w:r>
        <w:rPr>
          <w:rStyle w:val="17"/>
          <w:rFonts w:hint="eastAsia" w:hAnsi="宋体"/>
          <w:color w:val="000000"/>
          <w:sz w:val="30"/>
          <w:szCs w:val="30"/>
          <w:lang w:val="zh-TW"/>
        </w:rPr>
        <w:t>编号：</w:t>
      </w:r>
      <w:r>
        <w:rPr>
          <w:rStyle w:val="17"/>
          <w:rFonts w:hint="eastAsia" w:hAnsi="宋体"/>
          <w:color w:val="000000"/>
          <w:sz w:val="30"/>
          <w:szCs w:val="30"/>
          <w:highlight w:val="none"/>
          <w:lang w:val="zh-TW"/>
        </w:rPr>
        <w:t>NJSF-CGFA-</w:t>
      </w:r>
      <w:r>
        <w:rPr>
          <w:rStyle w:val="17"/>
          <w:rFonts w:hint="eastAsia" w:hAnsi="宋体" w:eastAsia="宋体"/>
          <w:color w:val="000000"/>
          <w:sz w:val="30"/>
          <w:szCs w:val="30"/>
          <w:highlight w:val="none"/>
          <w:lang w:val="en-US" w:eastAsia="zh-CN"/>
        </w:rPr>
        <w:t>TP</w:t>
      </w:r>
      <w:r>
        <w:rPr>
          <w:rStyle w:val="17"/>
          <w:rFonts w:hint="eastAsia" w:hAnsi="宋体"/>
          <w:color w:val="000000"/>
          <w:sz w:val="30"/>
          <w:szCs w:val="30"/>
          <w:highlight w:val="none"/>
          <w:lang w:val="zh-TW"/>
        </w:rPr>
        <w:t>-202</w:t>
      </w:r>
      <w:r>
        <w:rPr>
          <w:rStyle w:val="17"/>
          <w:rFonts w:hint="eastAsia" w:hAnsi="宋体" w:eastAsia="宋体"/>
          <w:color w:val="000000"/>
          <w:sz w:val="30"/>
          <w:szCs w:val="30"/>
          <w:highlight w:val="none"/>
          <w:lang w:val="en-US" w:eastAsia="zh-CN"/>
        </w:rPr>
        <w:t>6</w:t>
      </w:r>
      <w:r>
        <w:rPr>
          <w:rStyle w:val="17"/>
          <w:rFonts w:hint="eastAsia" w:hAnsi="宋体"/>
          <w:color w:val="000000"/>
          <w:sz w:val="30"/>
          <w:szCs w:val="30"/>
          <w:highlight w:val="none"/>
          <w:lang w:val="zh-TW"/>
        </w:rPr>
        <w:t>-</w:t>
      </w:r>
      <w:r>
        <w:rPr>
          <w:rStyle w:val="17"/>
          <w:rFonts w:hint="eastAsia" w:hAnsi="宋体" w:eastAsia="宋体"/>
          <w:color w:val="000000"/>
          <w:sz w:val="30"/>
          <w:szCs w:val="30"/>
          <w:highlight w:val="none"/>
          <w:lang w:val="en-US" w:eastAsia="zh-CN"/>
        </w:rPr>
        <w:t>04-01</w:t>
      </w:r>
    </w:p>
    <w:p w14:paraId="66117226">
      <w:pPr>
        <w:rPr>
          <w:rStyle w:val="17"/>
          <w:rFonts w:hAnsi="宋体"/>
          <w:color w:val="000000"/>
          <w:lang w:val="zh-TW"/>
        </w:rPr>
      </w:pPr>
    </w:p>
    <w:p w14:paraId="6EFB2093">
      <w:pPr>
        <w:rPr>
          <w:rStyle w:val="17"/>
          <w:rFonts w:hAnsi="宋体"/>
          <w:color w:val="000000"/>
          <w:lang w:val="zh-TW"/>
        </w:rPr>
      </w:pPr>
    </w:p>
    <w:p w14:paraId="46550B5F">
      <w:pPr>
        <w:rPr>
          <w:rStyle w:val="17"/>
          <w:rFonts w:hint="eastAsia" w:hAnsi="宋体"/>
          <w:color w:val="000000"/>
          <w:lang w:val="zh-TW"/>
        </w:rPr>
      </w:pPr>
    </w:p>
    <w:tbl>
      <w:tblPr>
        <w:tblStyle w:val="8"/>
        <w:tblW w:w="4646" w:type="dxa"/>
        <w:jc w:val="center"/>
        <w:tblLayout w:type="fixed"/>
        <w:tblCellMar>
          <w:top w:w="0" w:type="dxa"/>
          <w:left w:w="108" w:type="dxa"/>
          <w:bottom w:w="0" w:type="dxa"/>
          <w:right w:w="108" w:type="dxa"/>
        </w:tblCellMar>
      </w:tblPr>
      <w:tblGrid>
        <w:gridCol w:w="1249"/>
        <w:gridCol w:w="3397"/>
      </w:tblGrid>
      <w:tr w14:paraId="0530CAA1">
        <w:tblPrEx>
          <w:tblCellMar>
            <w:top w:w="0" w:type="dxa"/>
            <w:left w:w="108" w:type="dxa"/>
            <w:bottom w:w="0" w:type="dxa"/>
            <w:right w:w="108" w:type="dxa"/>
          </w:tblCellMar>
        </w:tblPrEx>
        <w:trPr>
          <w:trHeight w:val="464" w:hRule="atLeast"/>
          <w:jc w:val="center"/>
        </w:trPr>
        <w:tc>
          <w:tcPr>
            <w:tcW w:w="1249" w:type="dxa"/>
            <w:vAlign w:val="center"/>
          </w:tcPr>
          <w:p w14:paraId="47A2271C">
            <w:pPr>
              <w:spacing w:line="360" w:lineRule="auto"/>
              <w:jc w:val="center"/>
              <w:rPr>
                <w:b/>
                <w:sz w:val="24"/>
              </w:rPr>
            </w:pPr>
            <w:r>
              <w:rPr>
                <w:b/>
                <w:sz w:val="24"/>
              </w:rPr>
              <w:t>编制：</w:t>
            </w:r>
          </w:p>
        </w:tc>
        <w:tc>
          <w:tcPr>
            <w:tcW w:w="3397" w:type="dxa"/>
            <w:tcBorders>
              <w:bottom w:val="single" w:color="auto" w:sz="4" w:space="0"/>
            </w:tcBorders>
            <w:vAlign w:val="center"/>
          </w:tcPr>
          <w:p w14:paraId="32C330B8">
            <w:pPr>
              <w:spacing w:line="360" w:lineRule="auto"/>
              <w:jc w:val="center"/>
              <w:rPr>
                <w:sz w:val="24"/>
              </w:rPr>
            </w:pPr>
          </w:p>
        </w:tc>
      </w:tr>
      <w:tr w14:paraId="19EFC227">
        <w:tblPrEx>
          <w:tblCellMar>
            <w:top w:w="0" w:type="dxa"/>
            <w:left w:w="108" w:type="dxa"/>
            <w:bottom w:w="0" w:type="dxa"/>
            <w:right w:w="108" w:type="dxa"/>
          </w:tblCellMar>
        </w:tblPrEx>
        <w:trPr>
          <w:trHeight w:val="610" w:hRule="atLeast"/>
          <w:jc w:val="center"/>
        </w:trPr>
        <w:tc>
          <w:tcPr>
            <w:tcW w:w="1249" w:type="dxa"/>
            <w:vAlign w:val="center"/>
          </w:tcPr>
          <w:p w14:paraId="3BDA366A">
            <w:pPr>
              <w:spacing w:line="360" w:lineRule="auto"/>
              <w:jc w:val="center"/>
              <w:rPr>
                <w:b/>
                <w:sz w:val="24"/>
              </w:rPr>
            </w:pPr>
            <w:r>
              <w:rPr>
                <w:rFonts w:hint="eastAsia"/>
                <w:b/>
                <w:sz w:val="24"/>
              </w:rPr>
              <w:t>校核：</w:t>
            </w:r>
          </w:p>
        </w:tc>
        <w:tc>
          <w:tcPr>
            <w:tcW w:w="3397" w:type="dxa"/>
            <w:tcBorders>
              <w:bottom w:val="single" w:color="auto" w:sz="4" w:space="0"/>
            </w:tcBorders>
            <w:vAlign w:val="center"/>
          </w:tcPr>
          <w:p w14:paraId="3D6655A0">
            <w:pPr>
              <w:spacing w:line="360" w:lineRule="auto"/>
              <w:rPr>
                <w:sz w:val="24"/>
              </w:rPr>
            </w:pPr>
          </w:p>
        </w:tc>
      </w:tr>
      <w:tr w14:paraId="1D48E01D">
        <w:tblPrEx>
          <w:tblCellMar>
            <w:top w:w="0" w:type="dxa"/>
            <w:left w:w="108" w:type="dxa"/>
            <w:bottom w:w="0" w:type="dxa"/>
            <w:right w:w="108" w:type="dxa"/>
          </w:tblCellMar>
        </w:tblPrEx>
        <w:trPr>
          <w:trHeight w:val="451" w:hRule="atLeast"/>
          <w:jc w:val="center"/>
        </w:trPr>
        <w:tc>
          <w:tcPr>
            <w:tcW w:w="1249" w:type="dxa"/>
            <w:vAlign w:val="center"/>
          </w:tcPr>
          <w:p w14:paraId="1DF822A5">
            <w:pPr>
              <w:spacing w:line="360" w:lineRule="auto"/>
              <w:jc w:val="center"/>
              <w:rPr>
                <w:b/>
                <w:sz w:val="24"/>
              </w:rPr>
            </w:pPr>
            <w:r>
              <w:rPr>
                <w:b/>
                <w:sz w:val="24"/>
              </w:rPr>
              <w:t>批准：</w:t>
            </w:r>
          </w:p>
        </w:tc>
        <w:tc>
          <w:tcPr>
            <w:tcW w:w="3397" w:type="dxa"/>
            <w:tcBorders>
              <w:top w:val="single" w:color="auto" w:sz="4" w:space="0"/>
              <w:bottom w:val="single" w:color="auto" w:sz="4" w:space="0"/>
            </w:tcBorders>
            <w:vAlign w:val="center"/>
          </w:tcPr>
          <w:p w14:paraId="5355CA90">
            <w:pPr>
              <w:spacing w:line="360" w:lineRule="auto"/>
              <w:rPr>
                <w:sz w:val="24"/>
              </w:rPr>
            </w:pPr>
          </w:p>
        </w:tc>
      </w:tr>
    </w:tbl>
    <w:p w14:paraId="0FCA7E4C">
      <w:pPr>
        <w:rPr>
          <w:rStyle w:val="17"/>
          <w:rFonts w:hAnsi="宋体"/>
          <w:color w:val="000000"/>
          <w:lang w:val="zh-TW"/>
        </w:rPr>
      </w:pPr>
    </w:p>
    <w:p w14:paraId="665BE134">
      <w:pPr>
        <w:rPr>
          <w:rStyle w:val="17"/>
          <w:rFonts w:hAnsi="宋体"/>
          <w:color w:val="000000"/>
          <w:lang w:val="zh-TW"/>
        </w:rPr>
      </w:pPr>
    </w:p>
    <w:p w14:paraId="6DDB7F8C">
      <w:pPr>
        <w:jc w:val="center"/>
        <w:rPr>
          <w:rStyle w:val="14"/>
          <w:rFonts w:hAnsi="宋体"/>
          <w:color w:val="000000"/>
          <w:sz w:val="28"/>
          <w:szCs w:val="28"/>
          <w:lang w:val="zh-TW"/>
        </w:rPr>
      </w:pPr>
      <w:r>
        <w:rPr>
          <w:rStyle w:val="18"/>
          <w:rFonts w:hint="eastAsia" w:hAnsi="宋体"/>
          <w:color w:val="000000"/>
          <w:sz w:val="28"/>
          <w:szCs w:val="28"/>
          <w:lang w:val="zh-TW" w:eastAsia="zh-TW"/>
        </w:rPr>
        <w:t>南京三方化工设备监理有限</w:t>
      </w:r>
      <w:r>
        <w:rPr>
          <w:rStyle w:val="14"/>
          <w:rFonts w:hint="eastAsia" w:hAnsi="宋体"/>
          <w:color w:val="000000"/>
          <w:sz w:val="28"/>
          <w:szCs w:val="28"/>
          <w:lang w:val="zh-TW" w:eastAsia="zh-TW"/>
        </w:rPr>
        <w:t>公司</w:t>
      </w:r>
    </w:p>
    <w:p w14:paraId="1F2ED59A">
      <w:pPr>
        <w:jc w:val="center"/>
        <w:rPr>
          <w:rStyle w:val="18"/>
          <w:rFonts w:hint="eastAsia" w:hAnsi="宋体"/>
          <w:color w:val="000000"/>
          <w:sz w:val="28"/>
          <w:szCs w:val="28"/>
          <w:lang w:val="zh-TW" w:eastAsia="zh-TW"/>
        </w:rPr>
      </w:pPr>
      <w:r>
        <w:rPr>
          <w:rStyle w:val="18"/>
          <w:rFonts w:hint="eastAsia" w:hAnsi="宋体" w:eastAsia="宋体"/>
          <w:color w:val="000000"/>
          <w:sz w:val="28"/>
          <w:szCs w:val="28"/>
          <w:lang w:val="zh-TW" w:eastAsia="zh-CN"/>
        </w:rPr>
        <w:t xml:space="preserve"> 2026</w:t>
      </w:r>
      <w:r>
        <w:rPr>
          <w:rStyle w:val="18"/>
          <w:rFonts w:hint="eastAsia" w:hAnsi="宋体"/>
          <w:color w:val="000000"/>
          <w:sz w:val="28"/>
          <w:szCs w:val="28"/>
          <w:lang w:val="zh-TW" w:eastAsia="zh-TW"/>
        </w:rPr>
        <w:t>年</w:t>
      </w:r>
      <w:r>
        <w:rPr>
          <w:rStyle w:val="18"/>
          <w:rFonts w:hint="eastAsia" w:hAnsi="宋体"/>
          <w:color w:val="000000"/>
          <w:sz w:val="28"/>
          <w:szCs w:val="28"/>
          <w:lang w:val="en-US" w:eastAsia="zh-CN"/>
        </w:rPr>
        <w:t>4</w:t>
      </w:r>
      <w:r>
        <w:rPr>
          <w:rStyle w:val="18"/>
          <w:rFonts w:hint="eastAsia" w:hAnsi="宋体"/>
          <w:color w:val="000000"/>
          <w:sz w:val="28"/>
          <w:szCs w:val="28"/>
          <w:lang w:val="zh-TW" w:eastAsia="zh-TW"/>
        </w:rPr>
        <w:t>月</w:t>
      </w:r>
      <w:r>
        <w:rPr>
          <w:rStyle w:val="18"/>
          <w:rFonts w:hint="eastAsia" w:hAnsi="宋体"/>
          <w:color w:val="000000"/>
          <w:sz w:val="28"/>
          <w:szCs w:val="28"/>
          <w:lang w:val="en-US" w:eastAsia="zh-CN"/>
        </w:rPr>
        <w:t>20</w:t>
      </w:r>
      <w:r>
        <w:rPr>
          <w:rStyle w:val="18"/>
          <w:rFonts w:hint="eastAsia" w:hAnsi="宋体"/>
          <w:color w:val="000000"/>
          <w:sz w:val="28"/>
          <w:szCs w:val="28"/>
          <w:lang w:val="zh-TW" w:eastAsia="zh-TW"/>
        </w:rPr>
        <w:t>日</w:t>
      </w:r>
    </w:p>
    <w:p w14:paraId="1A910722">
      <w:pPr>
        <w:rPr>
          <w:rFonts w:hint="eastAsia" w:ascii="宋体" w:hAnsi="宋体" w:eastAsia="宋体"/>
          <w:sz w:val="28"/>
          <w:szCs w:val="28"/>
          <w:highlight w:val="yellow"/>
        </w:rPr>
      </w:pPr>
      <w:r>
        <w:rPr>
          <w:rFonts w:hint="eastAsia" w:ascii="宋体" w:hAnsi="宋体" w:eastAsia="宋体"/>
          <w:sz w:val="28"/>
          <w:szCs w:val="28"/>
          <w:highlight w:val="yellow"/>
        </w:rPr>
        <w:br w:type="page"/>
      </w:r>
    </w:p>
    <w:p w14:paraId="2CF01765">
      <w:pPr>
        <w:pStyle w:val="31"/>
        <w:shd w:val="clear" w:color="auto" w:fill="auto"/>
        <w:spacing w:after="189" w:line="360" w:lineRule="auto"/>
        <w:ind w:left="20" w:hanging="20"/>
        <w:jc w:val="both"/>
        <w:outlineLvl w:val="0"/>
        <w:rPr>
          <w:rStyle w:val="30"/>
          <w:b/>
          <w:bCs/>
          <w:sz w:val="28"/>
          <w:szCs w:val="28"/>
        </w:rPr>
      </w:pPr>
      <w:r>
        <w:rPr>
          <w:rStyle w:val="30"/>
          <w:rFonts w:hint="eastAsia"/>
          <w:b/>
          <w:bCs/>
          <w:sz w:val="28"/>
          <w:szCs w:val="28"/>
        </w:rPr>
        <w:t>一、采购背景</w:t>
      </w:r>
    </w:p>
    <w:p w14:paraId="0BEBB6E4">
      <w:pPr>
        <w:pStyle w:val="31"/>
        <w:shd w:val="clear" w:color="auto" w:fill="auto"/>
        <w:spacing w:after="189" w:line="360" w:lineRule="auto"/>
        <w:ind w:left="20" w:firstLine="480" w:firstLineChars="200"/>
        <w:jc w:val="both"/>
        <w:rPr>
          <w:rStyle w:val="30"/>
          <w:rFonts w:hint="eastAsia" w:hAnsi="Times New Roman"/>
          <w:b w:val="0"/>
          <w:bCs w:val="0"/>
          <w:sz w:val="24"/>
          <w:szCs w:val="24"/>
        </w:rPr>
      </w:pPr>
      <w:r>
        <w:rPr>
          <w:rStyle w:val="30"/>
          <w:rFonts w:hint="eastAsia" w:hAnsi="Times New Roman"/>
          <w:b w:val="0"/>
          <w:bCs w:val="0"/>
          <w:sz w:val="24"/>
          <w:szCs w:val="24"/>
          <w:lang w:val="en-US" w:eastAsia="zh-CN"/>
        </w:rPr>
        <w:t xml:space="preserve"> 2026年度，我们以科技创新为引擎，以数字化转型助推公司高质量发展，持续深化南京三方一体化数字信息平台的建设与应用。一方面，持续优化现有PECMS模块执行速度，新增监造任务派单复制转交、执行状态跟踪等功能，有效提升业务流转效率，减少冗余操作，精准把控业务推进节点，保障监造过程各项工作高效落地；另一方面，同步升级安全管理模块，实现培训考试与统计分析的闭环管理，全面提升安全管控水平，同时新建综合管理模块，完成日常审批、人事考勤等功能的迁移整合，实现全员全覆盖应用，有效打通管理流程、提升协同效率。</w:t>
      </w:r>
    </w:p>
    <w:p w14:paraId="66D9008D">
      <w:pPr>
        <w:pStyle w:val="31"/>
        <w:shd w:val="clear" w:color="auto" w:fill="auto"/>
        <w:spacing w:after="189" w:line="360" w:lineRule="auto"/>
        <w:ind w:left="20" w:firstLine="480" w:firstLineChars="200"/>
        <w:jc w:val="both"/>
        <w:rPr>
          <w:rStyle w:val="30"/>
          <w:rFonts w:hint="eastAsia" w:hAnsi="Times New Roman"/>
          <w:b w:val="0"/>
          <w:bCs w:val="0"/>
          <w:sz w:val="24"/>
          <w:szCs w:val="24"/>
        </w:rPr>
      </w:pPr>
      <w:r>
        <w:rPr>
          <w:rStyle w:val="30"/>
          <w:rFonts w:hint="eastAsia" w:hAnsi="Times New Roman"/>
          <w:b w:val="0"/>
          <w:bCs w:val="0"/>
          <w:sz w:val="24"/>
          <w:szCs w:val="24"/>
          <w:lang w:val="en-US" w:eastAsia="zh-CN"/>
        </w:rPr>
        <w:t>在平台建设取得一定成效的同时，南京三方一体化数字信息平台仍有提升空间，部分功能的便捷性及完善度有待进一步优化：任务派遣单暂未明确区分驻厂与巡检场景，缺少便捷检索及快捷操作入口；外勤人员移动端功能仍需完善，消息通知存在延迟，且无法直接跳转至办理页面，一定程度上增加了业务操作复杂度、影响了办理效率。此外，项目状态的逻辑关联不够紧密，尚未建立自动归档机制，总监代表变更的审批流程仍需规范，人员位置与外勤打卡的实时透明化管控也需进一步推进。</w:t>
      </w:r>
    </w:p>
    <w:p w14:paraId="3B2ADC3E">
      <w:pPr>
        <w:pStyle w:val="31"/>
        <w:shd w:val="clear" w:color="auto" w:fill="auto"/>
        <w:spacing w:after="189" w:line="360" w:lineRule="auto"/>
        <w:ind w:left="20" w:firstLine="480" w:firstLineChars="200"/>
        <w:jc w:val="both"/>
        <w:rPr>
          <w:rFonts w:hint="eastAsia" w:ascii="宋体" w:hAnsi="宋体" w:eastAsia="宋体" w:cs="宋体"/>
          <w:b w:val="0"/>
          <w:bCs w:val="0"/>
          <w:color w:val="000000"/>
          <w:kern w:val="2"/>
          <w:sz w:val="24"/>
          <w:szCs w:val="24"/>
          <w:lang w:val="en-US" w:eastAsia="zh-CN" w:bidi="ar-SA"/>
          <w14:ligatures w14:val="standardContextual"/>
        </w:rPr>
      </w:pPr>
      <w:r>
        <w:rPr>
          <w:rStyle w:val="30"/>
          <w:rFonts w:hint="eastAsia" w:hAnsi="Times New Roman"/>
          <w:b w:val="0"/>
          <w:bCs w:val="0"/>
          <w:sz w:val="24"/>
          <w:szCs w:val="24"/>
          <w:lang w:val="en-US" w:eastAsia="zh-CN"/>
        </w:rPr>
        <w:t>尤为突出的是经营分析层面，平台尚未构建以合同台账为核心的统一数据底座，产值、成本、开票、回款等核心经营数据分散割裂，高度依赖人工线下录入汇总，不仅工作量繁重、易出现差错，更缺乏体系化的可视化分析支撑，无法自动生成多维度经营报表及利润分析报告，导致经营数据难以直观展示、精准研判，精细化经营管理覆盖不足，直接造成经营决策缺乏有效数据支撑，制约了整体经营管控效能与数字化管理水平的进一步提升。</w:t>
      </w:r>
    </w:p>
    <w:p w14:paraId="4D143AE2">
      <w:pPr>
        <w:pStyle w:val="31"/>
        <w:shd w:val="clear" w:color="auto" w:fill="auto"/>
        <w:spacing w:after="189" w:line="360" w:lineRule="auto"/>
        <w:ind w:left="20" w:hanging="20"/>
        <w:jc w:val="both"/>
        <w:outlineLvl w:val="0"/>
        <w:rPr>
          <w:rStyle w:val="30"/>
          <w:rFonts w:hint="eastAsia" w:ascii="宋体" w:hAnsi="Times New Roman" w:eastAsia="宋体" w:cs="宋体"/>
          <w:b/>
          <w:bCs/>
          <w:sz w:val="28"/>
          <w:szCs w:val="28"/>
        </w:rPr>
      </w:pPr>
      <w:r>
        <w:rPr>
          <w:rStyle w:val="30"/>
          <w:rFonts w:hint="eastAsia" w:ascii="宋体" w:hAnsi="Times New Roman" w:eastAsia="宋体" w:cs="宋体"/>
          <w:b/>
          <w:bCs/>
          <w:sz w:val="28"/>
          <w:szCs w:val="28"/>
        </w:rPr>
        <w:t>二、采购预算</w:t>
      </w:r>
    </w:p>
    <w:p w14:paraId="2EF3512A">
      <w:pPr>
        <w:pStyle w:val="31"/>
        <w:shd w:val="clear" w:color="auto" w:fill="auto"/>
        <w:spacing w:after="189" w:line="360" w:lineRule="auto"/>
        <w:ind w:left="20" w:firstLine="480" w:firstLineChars="200"/>
        <w:jc w:val="both"/>
        <w:rPr>
          <w:rStyle w:val="30"/>
          <w:b w:val="0"/>
          <w:bCs w:val="0"/>
          <w:sz w:val="24"/>
          <w:szCs w:val="24"/>
          <w:highlight w:val="none"/>
        </w:rPr>
      </w:pPr>
      <w:r>
        <w:rPr>
          <w:rStyle w:val="30"/>
          <w:rFonts w:hint="eastAsia"/>
          <w:b w:val="0"/>
          <w:bCs w:val="0"/>
          <w:sz w:val="24"/>
          <w:szCs w:val="24"/>
          <w:highlight w:val="none"/>
        </w:rPr>
        <w:t>本次采购列入</w:t>
      </w:r>
      <w:r>
        <w:rPr>
          <w:rStyle w:val="30"/>
          <w:b w:val="0"/>
          <w:bCs w:val="0"/>
          <w:sz w:val="24"/>
          <w:szCs w:val="24"/>
          <w:highlight w:val="none"/>
        </w:rPr>
        <w:t>202</w:t>
      </w:r>
      <w:r>
        <w:rPr>
          <w:rStyle w:val="30"/>
          <w:rFonts w:hint="eastAsia"/>
          <w:b w:val="0"/>
          <w:bCs w:val="0"/>
          <w:sz w:val="24"/>
          <w:szCs w:val="24"/>
          <w:highlight w:val="none"/>
          <w:lang w:val="en-US" w:eastAsia="zh-CN"/>
        </w:rPr>
        <w:t>6</w:t>
      </w:r>
      <w:r>
        <w:rPr>
          <w:rStyle w:val="30"/>
          <w:rFonts w:hint="eastAsia"/>
          <w:b w:val="0"/>
          <w:bCs w:val="0"/>
          <w:sz w:val="24"/>
          <w:szCs w:val="24"/>
          <w:highlight w:val="none"/>
        </w:rPr>
        <w:t>年度预算，预算金额为</w:t>
      </w:r>
      <w:r>
        <w:rPr>
          <w:rStyle w:val="30"/>
          <w:rFonts w:hint="eastAsia" w:hAnsi="Times New Roman"/>
          <w:b w:val="0"/>
          <w:bCs w:val="0"/>
          <w:sz w:val="24"/>
          <w:szCs w:val="24"/>
          <w:highlight w:val="none"/>
          <w:lang w:val="en-US" w:eastAsia="zh-CN"/>
        </w:rPr>
        <w:t>975200</w:t>
      </w:r>
      <w:r>
        <w:rPr>
          <w:rStyle w:val="30"/>
          <w:rFonts w:hint="eastAsia"/>
          <w:b w:val="0"/>
          <w:bCs w:val="0"/>
          <w:sz w:val="24"/>
          <w:szCs w:val="24"/>
          <w:highlight w:val="none"/>
        </w:rPr>
        <w:t>元</w:t>
      </w:r>
      <w:r>
        <w:rPr>
          <w:rStyle w:val="30"/>
          <w:rFonts w:hint="eastAsia" w:hAnsi="Times New Roman"/>
          <w:b w:val="0"/>
          <w:bCs w:val="0"/>
          <w:sz w:val="24"/>
          <w:szCs w:val="24"/>
          <w:highlight w:val="none"/>
          <w:lang w:val="en-US" w:eastAsia="zh-CN"/>
        </w:rPr>
        <w:t>（大写：人民币玖拾柒万伍仟贰佰元整）</w:t>
      </w:r>
      <w:r>
        <w:rPr>
          <w:rStyle w:val="30"/>
          <w:rFonts w:hint="eastAsia"/>
          <w:b w:val="0"/>
          <w:bCs w:val="0"/>
          <w:sz w:val="24"/>
          <w:szCs w:val="24"/>
          <w:highlight w:val="none"/>
        </w:rPr>
        <w:t>。</w:t>
      </w:r>
    </w:p>
    <w:p w14:paraId="3E6A094D">
      <w:pPr>
        <w:pStyle w:val="31"/>
        <w:shd w:val="clear" w:color="auto" w:fill="auto"/>
        <w:spacing w:after="189" w:line="360" w:lineRule="auto"/>
        <w:ind w:left="20" w:hanging="20"/>
        <w:jc w:val="both"/>
        <w:outlineLvl w:val="0"/>
        <w:rPr>
          <w:rStyle w:val="30"/>
          <w:rFonts w:hint="eastAsia" w:ascii="宋体" w:hAnsi="Times New Roman" w:eastAsia="宋体" w:cs="宋体"/>
          <w:b/>
          <w:bCs/>
          <w:sz w:val="28"/>
          <w:szCs w:val="28"/>
        </w:rPr>
      </w:pPr>
      <w:r>
        <w:rPr>
          <w:rStyle w:val="30"/>
          <w:rFonts w:hint="eastAsia" w:ascii="宋体" w:hAnsi="Times New Roman" w:eastAsia="宋体" w:cs="宋体"/>
          <w:b/>
          <w:bCs/>
          <w:sz w:val="28"/>
          <w:szCs w:val="28"/>
          <w:lang w:val="en-US" w:eastAsia="zh-CN"/>
        </w:rPr>
        <w:t>三、</w:t>
      </w:r>
      <w:r>
        <w:rPr>
          <w:rStyle w:val="30"/>
          <w:rFonts w:hint="eastAsia" w:ascii="宋体" w:hAnsi="Times New Roman" w:eastAsia="宋体" w:cs="宋体"/>
          <w:b/>
          <w:bCs/>
          <w:sz w:val="28"/>
          <w:szCs w:val="28"/>
        </w:rPr>
        <w:t>本次采购需求</w:t>
      </w:r>
    </w:p>
    <w:p w14:paraId="2A33FC93">
      <w:pPr>
        <w:pStyle w:val="31"/>
        <w:shd w:val="clear" w:color="auto" w:fill="auto"/>
        <w:spacing w:after="189" w:line="360" w:lineRule="auto"/>
        <w:ind w:left="0" w:leftChars="0" w:firstLine="0" w:firstLineChars="0"/>
        <w:jc w:val="both"/>
        <w:outlineLvl w:val="1"/>
        <w:rPr>
          <w:rStyle w:val="30"/>
          <w:rFonts w:hint="default" w:ascii="宋体" w:hAnsi="Times New Roman" w:eastAsia="宋体" w:cs="宋体"/>
          <w:b/>
          <w:bCs/>
          <w:sz w:val="28"/>
          <w:szCs w:val="28"/>
          <w:lang w:val="en-US" w:eastAsia="zh-CN"/>
        </w:rPr>
      </w:pPr>
      <w:r>
        <w:rPr>
          <w:rStyle w:val="30"/>
          <w:rFonts w:hint="eastAsia" w:ascii="宋体" w:hAnsi="Times New Roman" w:eastAsia="宋体" w:cs="宋体"/>
          <w:b/>
          <w:bCs/>
          <w:sz w:val="28"/>
          <w:szCs w:val="28"/>
          <w:lang w:val="en-US" w:eastAsia="zh-CN"/>
        </w:rPr>
        <w:t>3.1</w:t>
      </w:r>
      <w:r>
        <w:rPr>
          <w:rStyle w:val="30"/>
          <w:rFonts w:hint="eastAsia" w:hAnsi="Times New Roman" w:cs="宋体"/>
          <w:b/>
          <w:bCs/>
          <w:sz w:val="28"/>
          <w:szCs w:val="28"/>
          <w:lang w:val="en-US" w:eastAsia="zh-CN"/>
        </w:rPr>
        <w:t xml:space="preserve"> 功能规格要求</w:t>
      </w:r>
    </w:p>
    <w:p w14:paraId="27ABD441">
      <w:pPr>
        <w:pStyle w:val="31"/>
        <w:shd w:val="clear" w:color="auto" w:fill="auto"/>
        <w:spacing w:after="189" w:line="360" w:lineRule="auto"/>
        <w:ind w:left="0" w:leftChars="0" w:firstLine="0" w:firstLineChars="0"/>
        <w:jc w:val="both"/>
        <w:outlineLvl w:val="2"/>
        <w:rPr>
          <w:rStyle w:val="30"/>
          <w:rFonts w:hint="default" w:ascii="宋体" w:hAnsi="Times New Roman" w:eastAsia="宋体" w:cs="宋体"/>
          <w:b/>
          <w:bCs/>
          <w:sz w:val="28"/>
          <w:szCs w:val="28"/>
          <w:lang w:val="en-US" w:eastAsia="zh-CN"/>
        </w:rPr>
      </w:pPr>
      <w:r>
        <w:rPr>
          <w:rStyle w:val="30"/>
          <w:rFonts w:hint="eastAsia" w:ascii="宋体" w:hAnsi="Times New Roman" w:eastAsia="宋体" w:cs="宋体"/>
          <w:b/>
          <w:bCs/>
          <w:sz w:val="28"/>
          <w:szCs w:val="28"/>
          <w:lang w:val="en-US" w:eastAsia="zh-CN"/>
        </w:rPr>
        <w:t>3.1</w:t>
      </w:r>
      <w:r>
        <w:rPr>
          <w:rStyle w:val="30"/>
          <w:rFonts w:hint="eastAsia" w:hAnsi="Times New Roman" w:cs="宋体"/>
          <w:b/>
          <w:bCs/>
          <w:sz w:val="28"/>
          <w:szCs w:val="28"/>
          <w:lang w:val="en-US" w:eastAsia="zh-CN"/>
        </w:rPr>
        <w:t>.1</w:t>
      </w:r>
      <w:r>
        <w:rPr>
          <w:rStyle w:val="30"/>
          <w:rFonts w:hint="eastAsia" w:ascii="宋体" w:hAnsi="Times New Roman" w:eastAsia="宋体" w:cs="宋体"/>
          <w:b/>
          <w:bCs/>
          <w:sz w:val="28"/>
          <w:szCs w:val="28"/>
          <w:lang w:val="en-US" w:eastAsia="zh-CN"/>
        </w:rPr>
        <w:t xml:space="preserve"> PECMS模块</w:t>
      </w:r>
    </w:p>
    <w:p w14:paraId="5A7FCD38">
      <w:pPr>
        <w:pStyle w:val="31"/>
        <w:shd w:val="clear" w:color="auto" w:fill="auto"/>
        <w:spacing w:after="189" w:line="360" w:lineRule="auto"/>
        <w:ind w:left="0" w:leftChars="0" w:firstLine="241" w:firstLineChars="100"/>
        <w:jc w:val="both"/>
        <w:outlineLvl w:val="3"/>
        <w:rPr>
          <w:rStyle w:val="30"/>
          <w:rFonts w:hint="default" w:ascii="宋体" w:hAnsi="Times New Roman" w:eastAsia="宋体" w:cs="宋体"/>
          <w:b/>
          <w:bCs/>
          <w:sz w:val="24"/>
          <w:szCs w:val="24"/>
          <w:lang w:val="en-US" w:eastAsia="zh-CN"/>
        </w:rPr>
      </w:pPr>
      <w:r>
        <w:rPr>
          <w:rStyle w:val="30"/>
          <w:rFonts w:hint="eastAsia" w:ascii="宋体" w:hAnsi="Times New Roman" w:eastAsia="宋体" w:cs="宋体"/>
          <w:b/>
          <w:bCs/>
          <w:sz w:val="24"/>
          <w:szCs w:val="24"/>
          <w:lang w:val="en-US" w:eastAsia="zh-CN"/>
        </w:rPr>
        <w:t>3.1.1</w:t>
      </w:r>
      <w:r>
        <w:rPr>
          <w:rStyle w:val="30"/>
          <w:rFonts w:hint="eastAsia" w:hAnsi="Times New Roman" w:cs="宋体"/>
          <w:b/>
          <w:bCs/>
          <w:sz w:val="24"/>
          <w:szCs w:val="24"/>
          <w:lang w:val="en-US" w:eastAsia="zh-CN"/>
        </w:rPr>
        <w:t>.1</w:t>
      </w:r>
      <w:r>
        <w:rPr>
          <w:rStyle w:val="30"/>
          <w:rFonts w:hint="eastAsia" w:ascii="宋体" w:hAnsi="Times New Roman" w:eastAsia="宋体" w:cs="宋体"/>
          <w:b/>
          <w:bCs/>
          <w:sz w:val="24"/>
          <w:szCs w:val="24"/>
          <w:lang w:val="en-US" w:eastAsia="zh-CN"/>
        </w:rPr>
        <w:t>核心业务模块需求</w:t>
      </w:r>
    </w:p>
    <w:p w14:paraId="61D90CEE">
      <w:pPr>
        <w:pStyle w:val="31"/>
        <w:shd w:val="clear" w:color="auto" w:fill="auto"/>
        <w:spacing w:after="189" w:line="360" w:lineRule="auto"/>
        <w:ind w:left="20" w:firstLine="480" w:firstLineChars="200"/>
        <w:jc w:val="both"/>
        <w:rPr>
          <w:rStyle w:val="30"/>
          <w:rFonts w:hint="default" w:ascii="宋体" w:hAnsi="Times New Roman" w:eastAsia="宋体" w:cs="宋体"/>
          <w:b w:val="0"/>
          <w:bCs w:val="0"/>
          <w:sz w:val="24"/>
          <w:szCs w:val="24"/>
          <w:lang w:val="en-US" w:eastAsia="zh-CN"/>
        </w:rPr>
      </w:pPr>
      <w:r>
        <w:rPr>
          <w:rStyle w:val="30"/>
          <w:rFonts w:hint="eastAsia" w:ascii="宋体" w:hAnsi="Times New Roman" w:eastAsia="宋体" w:cs="宋体"/>
          <w:b w:val="0"/>
          <w:bCs w:val="0"/>
          <w:sz w:val="24"/>
          <w:szCs w:val="24"/>
          <w:lang w:val="en-US" w:eastAsia="zh-CN"/>
        </w:rPr>
        <w:t>（</w:t>
      </w:r>
      <w:r>
        <w:rPr>
          <w:rStyle w:val="30"/>
          <w:rFonts w:hint="default" w:ascii="宋体" w:hAnsi="Times New Roman" w:eastAsia="宋体" w:cs="宋体"/>
          <w:b w:val="0"/>
          <w:bCs w:val="0"/>
          <w:sz w:val="24"/>
          <w:szCs w:val="24"/>
          <w:lang w:val="en-US" w:eastAsia="zh-CN"/>
        </w:rPr>
        <w:t>1）派单管理优化</w:t>
      </w:r>
    </w:p>
    <w:p w14:paraId="6FD9DE6F">
      <w:pPr>
        <w:pStyle w:val="31"/>
        <w:shd w:val="clear" w:color="auto" w:fill="auto"/>
        <w:spacing w:after="189" w:line="360" w:lineRule="auto"/>
        <w:ind w:left="20" w:firstLine="480" w:firstLineChars="20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监造任务安全交底：在派单审批通过后自动发送当前年度安全文件（含数据与站内通知），多角色（项目总监 / 监理人员等）的派单页面新增安全交底按钮，支持查看派单关联安全文件。</w:t>
      </w:r>
    </w:p>
    <w:p w14:paraId="7B5D0E83">
      <w:pPr>
        <w:pStyle w:val="31"/>
        <w:shd w:val="clear" w:color="auto" w:fill="auto"/>
        <w:spacing w:after="189" w:line="360" w:lineRule="auto"/>
        <w:ind w:left="20" w:firstLine="480" w:firstLineChars="20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派单操作权限升级：总监代表派单页面新增编辑、驳回重提按钮；监理人员派单页面新增数据填报按钮及日志、周报、细则快捷入口。</w:t>
      </w:r>
    </w:p>
    <w:p w14:paraId="1546A1AA">
      <w:pPr>
        <w:pStyle w:val="31"/>
        <w:shd w:val="clear" w:color="auto" w:fill="FFFFFF" w:themeFill="background1"/>
        <w:spacing w:after="189" w:line="360" w:lineRule="auto"/>
        <w:ind w:left="20" w:firstLine="480" w:firstLineChars="200"/>
        <w:jc w:val="both"/>
        <w:rPr>
          <w:rStyle w:val="30"/>
          <w:rFonts w:hint="default" w:ascii="宋体" w:hAnsi="Times New Roman" w:eastAsia="宋体" w:cs="宋体"/>
          <w:b w:val="0"/>
          <w:bCs w:val="0"/>
          <w:sz w:val="24"/>
          <w:szCs w:val="24"/>
          <w:highlight w:val="none"/>
          <w:lang w:val="en-US" w:eastAsia="zh-CN"/>
        </w:rPr>
      </w:pPr>
      <w:r>
        <w:rPr>
          <w:rStyle w:val="30"/>
          <w:rFonts w:hint="default" w:ascii="宋体" w:hAnsi="Times New Roman" w:eastAsia="宋体" w:cs="宋体"/>
          <w:b w:val="0"/>
          <w:bCs w:val="0"/>
          <w:sz w:val="24"/>
          <w:szCs w:val="24"/>
          <w:highlight w:val="none"/>
          <w:lang w:val="en-US" w:eastAsia="zh-CN"/>
        </w:rPr>
        <w:t>派单管理页面按驻厂、巡检场景进行页签区分展示，并支持制造厂名称模糊搜索，提升检索与录入效率。</w:t>
      </w:r>
    </w:p>
    <w:p w14:paraId="7B2ED041">
      <w:pPr>
        <w:pStyle w:val="31"/>
        <w:shd w:val="clear" w:color="auto" w:fill="auto"/>
        <w:spacing w:after="189" w:line="360" w:lineRule="auto"/>
        <w:ind w:left="20" w:firstLine="480" w:firstLineChars="20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人员变更流程完善：新增总监代表变更与派单人员变更功能，需填写变更原因、选择新人员并上传附件，变更后权限与审批责任同步切换，支持查看全周期变更历史。</w:t>
      </w:r>
    </w:p>
    <w:p w14:paraId="0BDBACAE">
      <w:pPr>
        <w:pStyle w:val="31"/>
        <w:shd w:val="clear" w:color="auto" w:fill="auto"/>
        <w:spacing w:after="189" w:line="360" w:lineRule="auto"/>
        <w:ind w:left="20" w:firstLine="480" w:firstLineChars="20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打卡位置校验：综合管理</w:t>
      </w:r>
      <w:r>
        <w:rPr>
          <w:rStyle w:val="30"/>
          <w:rFonts w:hint="eastAsia" w:hAnsi="Times New Roman" w:cs="宋体"/>
          <w:b w:val="0"/>
          <w:bCs w:val="0"/>
          <w:sz w:val="24"/>
          <w:szCs w:val="24"/>
          <w:lang w:val="en-US" w:eastAsia="zh-CN"/>
        </w:rPr>
        <w:t>模块</w:t>
      </w:r>
      <w:r>
        <w:rPr>
          <w:rStyle w:val="30"/>
          <w:rFonts w:hint="default" w:ascii="宋体" w:hAnsi="Times New Roman" w:eastAsia="宋体" w:cs="宋体"/>
          <w:b w:val="0"/>
          <w:bCs w:val="0"/>
          <w:sz w:val="24"/>
          <w:szCs w:val="24"/>
          <w:lang w:val="en-US" w:eastAsia="zh-CN"/>
        </w:rPr>
        <w:t>打卡时，需校验用户当前位置与派单地址是否在同一区内，满足条件方可完成打卡。</w:t>
      </w:r>
    </w:p>
    <w:p w14:paraId="5A508CDF">
      <w:pPr>
        <w:pStyle w:val="31"/>
        <w:shd w:val="clear" w:color="auto" w:fill="auto"/>
        <w:spacing w:after="189" w:line="360" w:lineRule="auto"/>
        <w:ind w:left="20" w:firstLine="480" w:firstLineChars="20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（2）文件管理升级</w:t>
      </w:r>
    </w:p>
    <w:p w14:paraId="145A5BA6">
      <w:pPr>
        <w:pStyle w:val="31"/>
        <w:shd w:val="clear" w:color="auto" w:fill="auto"/>
        <w:spacing w:after="189" w:line="360" w:lineRule="auto"/>
        <w:ind w:left="20" w:firstLine="480" w:firstLineChars="20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监理报告表单固化：新增监理报告关联表单管理模块，管理员可配置表单与设备类型的关联规则，支持表单排序、筛选及操作日志追溯，普通用户按配置规则加载表单。</w:t>
      </w:r>
    </w:p>
    <w:p w14:paraId="484F0756">
      <w:pPr>
        <w:pStyle w:val="31"/>
        <w:shd w:val="clear" w:color="auto" w:fill="auto"/>
        <w:spacing w:after="189" w:line="360" w:lineRule="auto"/>
        <w:ind w:left="20" w:firstLine="480" w:firstLineChars="20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文件导出审批：监理人员发起文件（大纲 / 细则 / 报告）导出申请，需勾选文件版本并提交总监代表审批；审批通过后单文件最多导出 3 次，失效后需重新申请，全程记录导出日志。</w:t>
      </w:r>
    </w:p>
    <w:p w14:paraId="07E391BD">
      <w:pPr>
        <w:pStyle w:val="31"/>
        <w:shd w:val="clear" w:color="auto" w:fill="auto"/>
        <w:spacing w:after="189" w:line="360" w:lineRule="auto"/>
        <w:ind w:left="20" w:firstLine="480" w:firstLineChars="20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文件格式与页眉优化：调整平台所有监理文件（如派遣单、日志、报告等）页眉样式，支持导出为 PDF 格式；新增 “技术协议核查表”，实现填报、升版、导出等全流程功能。</w:t>
      </w:r>
    </w:p>
    <w:p w14:paraId="1B392C82">
      <w:pPr>
        <w:pStyle w:val="31"/>
        <w:shd w:val="clear" w:color="auto" w:fill="auto"/>
        <w:spacing w:after="189" w:line="360" w:lineRule="auto"/>
        <w:ind w:left="20" w:firstLine="480" w:firstLineChars="20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细则复制功能：监理人员在文档目录模块新增细则复制按钮，支持跨派单复制同类型设备审批通过的细则（仅复制空白表，不包含数据），系统记录复制痕迹。</w:t>
      </w:r>
    </w:p>
    <w:p w14:paraId="2E4EA536">
      <w:pPr>
        <w:pStyle w:val="31"/>
        <w:shd w:val="clear" w:color="auto"/>
        <w:spacing w:after="189" w:line="360" w:lineRule="auto"/>
        <w:ind w:left="20" w:firstLine="480" w:firstLineChars="200"/>
        <w:jc w:val="both"/>
        <w:rPr>
          <w:rStyle w:val="30"/>
          <w:rFonts w:hint="default" w:ascii="宋体" w:hAnsi="Times New Roman" w:eastAsia="宋体" w:cs="宋体"/>
          <w:b w:val="0"/>
          <w:bCs w:val="0"/>
          <w:sz w:val="24"/>
          <w:szCs w:val="24"/>
          <w:highlight w:val="none"/>
          <w:lang w:val="en-US" w:eastAsia="zh-CN"/>
        </w:rPr>
      </w:pPr>
      <w:r>
        <w:rPr>
          <w:rStyle w:val="30"/>
          <w:rFonts w:hint="default" w:ascii="宋体" w:hAnsi="Times New Roman" w:eastAsia="宋体" w:cs="宋体"/>
          <w:b w:val="0"/>
          <w:bCs w:val="0"/>
          <w:sz w:val="24"/>
          <w:szCs w:val="24"/>
          <w:highlight w:val="none"/>
          <w:lang w:val="en-US" w:eastAsia="zh-CN"/>
        </w:rPr>
        <w:t>文件版本与考核管理：支持监理大纲、监理细则、监理报告等文件的考核、升版及历史版本留痕管理。签字版大纲管理：支持签字版大纲上传、查看、归档及版本留痕。预检验会议管理：支持预检验会议相关资料上传、会议纪要查看及过程留痕。预评价/后评价资料管理：支持预评价、后评价资料上传、查询、归档及历史追溯。</w:t>
      </w:r>
    </w:p>
    <w:p w14:paraId="03DDB892">
      <w:pPr>
        <w:pStyle w:val="31"/>
        <w:shd w:val="clear" w:color="auto" w:fill="auto"/>
        <w:spacing w:after="189" w:line="360" w:lineRule="auto"/>
        <w:ind w:left="20" w:firstLine="480" w:firstLineChars="20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（3）业务流程管控</w:t>
      </w:r>
    </w:p>
    <w:p w14:paraId="72E03300">
      <w:pPr>
        <w:pStyle w:val="31"/>
        <w:shd w:val="clear" w:color="auto" w:fill="auto"/>
        <w:spacing w:after="189" w:line="360" w:lineRule="auto"/>
        <w:ind w:left="20" w:firstLine="480" w:firstLineChars="20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文件审批合并：监理大纲、细则、报告模块按报表清单内容合并审批流程。</w:t>
      </w:r>
    </w:p>
    <w:p w14:paraId="1AB328E3">
      <w:pPr>
        <w:pStyle w:val="31"/>
        <w:shd w:val="clear" w:color="auto" w:fill="auto"/>
        <w:spacing w:after="189" w:line="360" w:lineRule="auto"/>
        <w:ind w:left="20" w:firstLine="480" w:firstLineChars="20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业务节点关联：设备细则填报完成后方可创建监理报告；细则完成 + 放行申请通过 + 异常问题关闭后方可创建放行单；放行单开具后方可创建监理总结，系统通过控制要点勾选状态判定细则完成情况。</w:t>
      </w:r>
    </w:p>
    <w:p w14:paraId="3D9EE2DC">
      <w:pPr>
        <w:pStyle w:val="31"/>
        <w:shd w:val="clear" w:color="auto" w:fill="auto"/>
        <w:spacing w:after="189" w:line="360" w:lineRule="auto"/>
        <w:ind w:left="20" w:firstLine="480" w:firstLineChars="20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派单考核管理：一级页面按派单维度展示考核信息（含项目编号、监理人员、考核等级等），支持查看历史考核记录；二级页面可新增考核、上传附件，实现考核全流程管理。</w:t>
      </w:r>
    </w:p>
    <w:p w14:paraId="73F4F0FE">
      <w:pPr>
        <w:pStyle w:val="31"/>
        <w:shd w:val="clear" w:color="auto" w:fill="auto"/>
        <w:spacing w:after="189" w:line="360" w:lineRule="auto"/>
        <w:ind w:left="0" w:leftChars="0" w:firstLine="241" w:firstLineChars="100"/>
        <w:jc w:val="both"/>
        <w:outlineLvl w:val="3"/>
        <w:rPr>
          <w:rStyle w:val="30"/>
          <w:rFonts w:hint="default" w:ascii="宋体" w:hAnsi="Times New Roman" w:eastAsia="宋体" w:cs="宋体"/>
          <w:b/>
          <w:bCs/>
          <w:sz w:val="24"/>
          <w:szCs w:val="24"/>
          <w:lang w:val="en-US" w:eastAsia="zh-CN"/>
        </w:rPr>
      </w:pPr>
      <w:r>
        <w:rPr>
          <w:rStyle w:val="30"/>
          <w:rFonts w:hint="eastAsia" w:ascii="宋体" w:hAnsi="Times New Roman" w:eastAsia="宋体" w:cs="宋体"/>
          <w:b/>
          <w:bCs/>
          <w:sz w:val="24"/>
          <w:szCs w:val="24"/>
          <w:lang w:val="en-US" w:eastAsia="zh-CN"/>
        </w:rPr>
        <w:t xml:space="preserve">3.1.1.2 </w:t>
      </w:r>
      <w:r>
        <w:rPr>
          <w:rStyle w:val="30"/>
          <w:rFonts w:hint="default" w:ascii="宋体" w:hAnsi="Times New Roman" w:eastAsia="宋体" w:cs="宋体"/>
          <w:b/>
          <w:bCs/>
          <w:sz w:val="24"/>
          <w:szCs w:val="24"/>
          <w:lang w:val="en-US" w:eastAsia="zh-CN"/>
        </w:rPr>
        <w:t>权限与组织管理模块需求</w:t>
      </w:r>
    </w:p>
    <w:p w14:paraId="5E56A7BF">
      <w:pPr>
        <w:pStyle w:val="31"/>
        <w:shd w:val="clear" w:color="auto" w:fill="auto"/>
        <w:spacing w:after="189" w:line="360" w:lineRule="auto"/>
        <w:ind w:left="20" w:firstLine="480" w:firstLineChars="20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（1）项目管理模块</w:t>
      </w:r>
    </w:p>
    <w:p w14:paraId="79077ECF">
      <w:pPr>
        <w:pStyle w:val="31"/>
        <w:shd w:val="clear" w:color="auto" w:fill="auto"/>
        <w:spacing w:after="189" w:line="360" w:lineRule="auto"/>
        <w:ind w:left="20" w:firstLine="480" w:firstLineChars="20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新增项目管理员角色：可查看所有项目数据，页面新增驻厂/巡检监造按钮；支持发起项目转交流程，经原项目经理与接收项目经理依次审批后，项目及派单负责人同步变更，历史数据保留。</w:t>
      </w:r>
    </w:p>
    <w:p w14:paraId="10DAC549">
      <w:pPr>
        <w:pStyle w:val="31"/>
        <w:shd w:val="clear" w:color="auto" w:fill="auto"/>
        <w:spacing w:after="189" w:line="360" w:lineRule="auto"/>
        <w:ind w:left="20" w:firstLine="480" w:firstLineChars="20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项目状态自动化判定：系统按派单状态自动判定项目状态（未开始/进行中/已完成），已完成状态支持手动撤销；项目下所有派单归档后，支持手动设置 “已归档” 状态。</w:t>
      </w:r>
    </w:p>
    <w:p w14:paraId="33D97BCC">
      <w:pPr>
        <w:pStyle w:val="31"/>
        <w:shd w:val="clear" w:color="auto" w:fill="auto"/>
        <w:spacing w:after="189" w:line="360" w:lineRule="auto"/>
        <w:ind w:left="20" w:firstLine="480" w:firstLineChars="20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（2）用户与角色管理</w:t>
      </w:r>
    </w:p>
    <w:p w14:paraId="6EF776C1">
      <w:pPr>
        <w:pStyle w:val="31"/>
        <w:shd w:val="clear" w:color="auto" w:fill="auto"/>
        <w:spacing w:after="189" w:line="360" w:lineRule="auto"/>
        <w:ind w:left="20" w:firstLine="480" w:firstLineChars="20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用户管理优化：用户信息新增 “上级 ERP 唯一标识” 字段，新增与修改时需强制维护该字段。</w:t>
      </w:r>
    </w:p>
    <w:p w14:paraId="3B1A62C6">
      <w:pPr>
        <w:pStyle w:val="31"/>
        <w:shd w:val="clear" w:color="auto"/>
        <w:spacing w:after="189" w:line="360" w:lineRule="auto"/>
        <w:ind w:left="20" w:firstLine="480" w:firstLineChars="200"/>
        <w:jc w:val="both"/>
        <w:rPr>
          <w:rStyle w:val="30"/>
          <w:rFonts w:hint="default" w:ascii="宋体" w:hAnsi="Times New Roman" w:eastAsia="宋体" w:cs="宋体"/>
          <w:b w:val="0"/>
          <w:bCs w:val="0"/>
          <w:sz w:val="24"/>
          <w:szCs w:val="24"/>
          <w:highlight w:val="none"/>
          <w:lang w:val="en-US" w:eastAsia="zh-CN"/>
        </w:rPr>
      </w:pPr>
      <w:r>
        <w:rPr>
          <w:rStyle w:val="30"/>
          <w:rFonts w:hint="eastAsia" w:hAnsi="Times New Roman" w:cs="宋体"/>
          <w:b w:val="0"/>
          <w:bCs w:val="0"/>
          <w:sz w:val="24"/>
          <w:szCs w:val="24"/>
          <w:highlight w:val="none"/>
          <w:lang w:val="en-US" w:eastAsia="zh-CN"/>
        </w:rPr>
        <w:t>（3）</w:t>
      </w:r>
      <w:r>
        <w:rPr>
          <w:rStyle w:val="30"/>
          <w:rFonts w:hint="default" w:ascii="宋体" w:hAnsi="Times New Roman" w:eastAsia="宋体" w:cs="宋体"/>
          <w:b w:val="0"/>
          <w:bCs w:val="0"/>
          <w:sz w:val="24"/>
          <w:szCs w:val="24"/>
          <w:highlight w:val="none"/>
          <w:lang w:val="en-US" w:eastAsia="zh-CN"/>
        </w:rPr>
        <w:t>技术服务人员管理：</w:t>
      </w:r>
    </w:p>
    <w:p w14:paraId="0769A65E">
      <w:pPr>
        <w:pStyle w:val="31"/>
        <w:shd w:val="clear" w:color="auto" w:fill="auto"/>
        <w:spacing w:after="189" w:line="360" w:lineRule="auto"/>
        <w:ind w:left="20" w:firstLine="720" w:firstLineChars="300"/>
        <w:jc w:val="both"/>
        <w:rPr>
          <w:rStyle w:val="30"/>
          <w:rFonts w:hint="default" w:ascii="宋体" w:hAnsi="Times New Roman" w:eastAsia="宋体" w:cs="宋体"/>
          <w:b w:val="0"/>
          <w:bCs w:val="0"/>
          <w:sz w:val="24"/>
          <w:szCs w:val="24"/>
          <w:highlight w:val="none"/>
          <w:lang w:val="en-US" w:eastAsia="zh-CN"/>
        </w:rPr>
      </w:pPr>
      <w:r>
        <w:rPr>
          <w:rStyle w:val="30"/>
          <w:rFonts w:hint="eastAsia" w:hAnsi="Times New Roman" w:cs="宋体"/>
          <w:b w:val="0"/>
          <w:bCs w:val="0"/>
          <w:sz w:val="24"/>
          <w:szCs w:val="24"/>
          <w:highlight w:val="none"/>
          <w:lang w:val="en-US" w:eastAsia="zh-CN"/>
        </w:rPr>
        <w:t>1）</w:t>
      </w:r>
      <w:r>
        <w:rPr>
          <w:rStyle w:val="30"/>
          <w:rFonts w:hint="default" w:ascii="宋体" w:hAnsi="Times New Roman" w:eastAsia="宋体" w:cs="宋体"/>
          <w:b w:val="0"/>
          <w:bCs w:val="0"/>
          <w:sz w:val="24"/>
          <w:szCs w:val="24"/>
          <w:highlight w:val="none"/>
          <w:lang w:val="en-US" w:eastAsia="zh-CN"/>
        </w:rPr>
        <w:t>供应商角色管理：平台新增供应商角色，管理员可为供应商分配技术服务人员，人员数据来源于技术服务部门。</w:t>
      </w:r>
    </w:p>
    <w:p w14:paraId="42EC60A6">
      <w:pPr>
        <w:pStyle w:val="31"/>
        <w:shd w:val="clear" w:color="auto" w:fill="auto"/>
        <w:spacing w:after="189" w:line="360" w:lineRule="auto"/>
        <w:ind w:left="20" w:firstLine="480" w:firstLineChars="200"/>
        <w:jc w:val="both"/>
        <w:rPr>
          <w:rStyle w:val="30"/>
          <w:rFonts w:hint="default" w:ascii="宋体" w:hAnsi="Times New Roman" w:eastAsia="宋体" w:cs="宋体"/>
          <w:b w:val="0"/>
          <w:bCs w:val="0"/>
          <w:sz w:val="24"/>
          <w:szCs w:val="24"/>
          <w:highlight w:val="none"/>
          <w:lang w:val="en-US" w:eastAsia="zh-CN"/>
        </w:rPr>
      </w:pPr>
      <w:r>
        <w:rPr>
          <w:rStyle w:val="30"/>
          <w:rFonts w:hint="default" w:ascii="宋体" w:hAnsi="Times New Roman" w:eastAsia="宋体" w:cs="宋体"/>
          <w:b w:val="0"/>
          <w:bCs w:val="0"/>
          <w:sz w:val="24"/>
          <w:szCs w:val="24"/>
          <w:highlight w:val="none"/>
          <w:lang w:val="en-US" w:eastAsia="zh-CN"/>
        </w:rPr>
        <w:t>人员关联规则：供应商与技术服务人员的分配关系作为后续考勤填报、成本填报、派单查看、模板导出的基础数据，人员分配调整需保留留痕。</w:t>
      </w:r>
    </w:p>
    <w:p w14:paraId="3B5AFA16">
      <w:pPr>
        <w:pStyle w:val="31"/>
        <w:shd w:val="clear" w:color="auto" w:fill="auto"/>
        <w:spacing w:after="189" w:line="360" w:lineRule="auto"/>
        <w:ind w:left="20" w:firstLine="480" w:firstLineChars="200"/>
        <w:jc w:val="both"/>
        <w:rPr>
          <w:rStyle w:val="30"/>
          <w:rFonts w:hint="default" w:ascii="宋体" w:hAnsi="Times New Roman" w:eastAsia="宋体" w:cs="宋体"/>
          <w:b w:val="0"/>
          <w:bCs w:val="0"/>
          <w:sz w:val="24"/>
          <w:szCs w:val="24"/>
          <w:highlight w:val="none"/>
          <w:lang w:val="en-US" w:eastAsia="zh-CN"/>
        </w:rPr>
      </w:pPr>
      <w:r>
        <w:rPr>
          <w:rStyle w:val="30"/>
          <w:rFonts w:hint="default" w:ascii="宋体" w:hAnsi="Times New Roman" w:eastAsia="宋体" w:cs="宋体"/>
          <w:b w:val="0"/>
          <w:bCs w:val="0"/>
          <w:sz w:val="24"/>
          <w:szCs w:val="24"/>
          <w:highlight w:val="none"/>
          <w:lang w:val="en-US" w:eastAsia="zh-CN"/>
        </w:rPr>
        <w:t>查看权限控制：供应商仅可查看本账号已分配的技术服务人员数据；总监代表、技术服务管理者等角色可在各自权限范围内查看相关数据，平台同步提供对应查看菜单。</w:t>
      </w:r>
    </w:p>
    <w:p w14:paraId="2B571BED">
      <w:pPr>
        <w:pStyle w:val="31"/>
        <w:shd w:val="clear" w:color="auto" w:fill="auto"/>
        <w:spacing w:after="189" w:line="360" w:lineRule="auto"/>
        <w:ind w:left="20" w:firstLine="720" w:firstLineChars="300"/>
        <w:jc w:val="both"/>
        <w:rPr>
          <w:rStyle w:val="30"/>
          <w:rFonts w:hint="default" w:ascii="宋体" w:hAnsi="Times New Roman" w:eastAsia="宋体" w:cs="宋体"/>
          <w:b w:val="0"/>
          <w:bCs w:val="0"/>
          <w:sz w:val="24"/>
          <w:szCs w:val="24"/>
          <w:highlight w:val="none"/>
          <w:lang w:val="en-US" w:eastAsia="zh-CN"/>
        </w:rPr>
      </w:pPr>
      <w:r>
        <w:rPr>
          <w:rStyle w:val="30"/>
          <w:rFonts w:hint="eastAsia" w:hAnsi="Times New Roman" w:cs="宋体"/>
          <w:b w:val="0"/>
          <w:bCs w:val="0"/>
          <w:sz w:val="24"/>
          <w:szCs w:val="24"/>
          <w:highlight w:val="none"/>
          <w:lang w:val="en-US" w:eastAsia="zh-CN"/>
        </w:rPr>
        <w:t>2）</w:t>
      </w:r>
      <w:r>
        <w:rPr>
          <w:rStyle w:val="30"/>
          <w:rFonts w:hint="default" w:ascii="宋体" w:hAnsi="Times New Roman" w:eastAsia="宋体" w:cs="宋体"/>
          <w:b w:val="0"/>
          <w:bCs w:val="0"/>
          <w:sz w:val="24"/>
          <w:szCs w:val="24"/>
          <w:highlight w:val="none"/>
          <w:lang w:val="en-US" w:eastAsia="zh-CN"/>
        </w:rPr>
        <w:t>技术服务人员考勤管理</w:t>
      </w:r>
    </w:p>
    <w:p w14:paraId="381D7C24">
      <w:pPr>
        <w:pStyle w:val="31"/>
        <w:shd w:val="clear" w:color="auto" w:fill="auto"/>
        <w:spacing w:after="189" w:line="360" w:lineRule="auto"/>
        <w:ind w:left="20" w:firstLine="480" w:firstLineChars="200"/>
        <w:jc w:val="both"/>
        <w:rPr>
          <w:rStyle w:val="30"/>
          <w:rFonts w:hint="default" w:ascii="宋体" w:hAnsi="Times New Roman" w:eastAsia="宋体" w:cs="宋体"/>
          <w:b w:val="0"/>
          <w:bCs w:val="0"/>
          <w:sz w:val="24"/>
          <w:szCs w:val="24"/>
          <w:highlight w:val="none"/>
          <w:lang w:val="en-US" w:eastAsia="zh-CN"/>
        </w:rPr>
      </w:pPr>
      <w:r>
        <w:rPr>
          <w:rStyle w:val="30"/>
          <w:rFonts w:hint="default" w:ascii="宋体" w:hAnsi="Times New Roman" w:eastAsia="宋体" w:cs="宋体"/>
          <w:b w:val="0"/>
          <w:bCs w:val="0"/>
          <w:sz w:val="24"/>
          <w:szCs w:val="24"/>
          <w:highlight w:val="none"/>
          <w:lang w:val="en-US" w:eastAsia="zh-CN"/>
        </w:rPr>
        <w:t>考勤明细查看：供应商登录后，可查看已分配技术服务人员及其参与派单明细，并支持导出人员与派单明细模板。</w:t>
      </w:r>
    </w:p>
    <w:p w14:paraId="26F85817">
      <w:pPr>
        <w:pStyle w:val="31"/>
        <w:shd w:val="clear" w:color="auto" w:fill="auto"/>
        <w:spacing w:after="189" w:line="360" w:lineRule="auto"/>
        <w:ind w:left="20" w:firstLine="480" w:firstLineChars="200"/>
        <w:jc w:val="both"/>
        <w:rPr>
          <w:rStyle w:val="30"/>
          <w:rFonts w:hint="default" w:ascii="宋体" w:hAnsi="Times New Roman" w:eastAsia="宋体" w:cs="宋体"/>
          <w:b w:val="0"/>
          <w:bCs w:val="0"/>
          <w:sz w:val="24"/>
          <w:szCs w:val="24"/>
          <w:highlight w:val="none"/>
          <w:lang w:val="en-US" w:eastAsia="zh-CN"/>
        </w:rPr>
      </w:pPr>
      <w:r>
        <w:rPr>
          <w:rStyle w:val="30"/>
          <w:rFonts w:hint="default" w:ascii="宋体" w:hAnsi="Times New Roman" w:eastAsia="宋体" w:cs="宋体"/>
          <w:b w:val="0"/>
          <w:bCs w:val="0"/>
          <w:sz w:val="24"/>
          <w:szCs w:val="24"/>
          <w:highlight w:val="none"/>
          <w:lang w:val="en-US" w:eastAsia="zh-CN"/>
        </w:rPr>
        <w:t>考勤填报方式：供应商可在导出的 Excel 模板中完成考勤填报后导入平台，也可通过页面逐条填报指定技术服务人员在某一派单下的考勤数据。</w:t>
      </w:r>
    </w:p>
    <w:p w14:paraId="13DB0A15">
      <w:pPr>
        <w:pStyle w:val="31"/>
        <w:shd w:val="clear" w:color="auto" w:fill="auto"/>
        <w:spacing w:after="189" w:line="360" w:lineRule="auto"/>
        <w:ind w:left="20" w:firstLine="480" w:firstLineChars="200"/>
        <w:jc w:val="both"/>
        <w:rPr>
          <w:rStyle w:val="30"/>
          <w:rFonts w:hint="default" w:ascii="宋体" w:hAnsi="Times New Roman" w:eastAsia="宋体" w:cs="宋体"/>
          <w:b w:val="0"/>
          <w:bCs w:val="0"/>
          <w:sz w:val="24"/>
          <w:szCs w:val="24"/>
          <w:highlight w:val="none"/>
          <w:lang w:val="en-US" w:eastAsia="zh-CN"/>
        </w:rPr>
      </w:pPr>
      <w:r>
        <w:rPr>
          <w:rStyle w:val="30"/>
          <w:rFonts w:hint="default" w:ascii="宋体" w:hAnsi="Times New Roman" w:eastAsia="宋体" w:cs="宋体"/>
          <w:b w:val="0"/>
          <w:bCs w:val="0"/>
          <w:sz w:val="24"/>
          <w:szCs w:val="24"/>
          <w:highlight w:val="none"/>
          <w:lang w:val="en-US" w:eastAsia="zh-CN"/>
        </w:rPr>
        <w:t>提交审批规则：平台提供批量提交审批功能，供应商可勾选多条考勤记录统一提交；提交后流程流转至总监代表、技术服务管理者审批。</w:t>
      </w:r>
    </w:p>
    <w:p w14:paraId="56140502">
      <w:pPr>
        <w:pStyle w:val="31"/>
        <w:shd w:val="clear" w:color="auto" w:fill="auto"/>
        <w:spacing w:after="189" w:line="360" w:lineRule="auto"/>
        <w:ind w:left="20" w:firstLine="480" w:firstLineChars="200"/>
        <w:jc w:val="both"/>
        <w:rPr>
          <w:rStyle w:val="30"/>
          <w:rFonts w:hint="default" w:ascii="宋体" w:hAnsi="Times New Roman" w:eastAsia="宋体" w:cs="宋体"/>
          <w:b w:val="0"/>
          <w:bCs w:val="0"/>
          <w:sz w:val="24"/>
          <w:szCs w:val="24"/>
          <w:highlight w:val="none"/>
          <w:lang w:val="en-US" w:eastAsia="zh-CN"/>
        </w:rPr>
      </w:pPr>
      <w:r>
        <w:rPr>
          <w:rStyle w:val="30"/>
          <w:rFonts w:hint="default" w:ascii="宋体" w:hAnsi="Times New Roman" w:eastAsia="宋体" w:cs="宋体"/>
          <w:b w:val="0"/>
          <w:bCs w:val="0"/>
          <w:sz w:val="24"/>
          <w:szCs w:val="24"/>
          <w:highlight w:val="none"/>
          <w:lang w:val="en-US" w:eastAsia="zh-CN"/>
        </w:rPr>
        <w:t>冲突校验规则：提交考勤数据时，系统需校验填报时间与技术服务人员参与派单时间是否冲突。存在冲突时给出提示并阻止提交，不冲突时方可进入审批流程。</w:t>
      </w:r>
    </w:p>
    <w:p w14:paraId="1BF9917E">
      <w:pPr>
        <w:pStyle w:val="31"/>
        <w:shd w:val="clear" w:color="auto" w:fill="auto"/>
        <w:spacing w:after="189" w:line="360" w:lineRule="auto"/>
        <w:ind w:left="20" w:firstLine="480" w:firstLineChars="200"/>
        <w:jc w:val="both"/>
        <w:rPr>
          <w:rStyle w:val="30"/>
          <w:rFonts w:hint="default" w:ascii="宋体" w:hAnsi="Times New Roman" w:eastAsia="宋体" w:cs="宋体"/>
          <w:b w:val="0"/>
          <w:bCs w:val="0"/>
          <w:sz w:val="24"/>
          <w:szCs w:val="24"/>
          <w:highlight w:val="none"/>
          <w:lang w:val="en-US" w:eastAsia="zh-CN"/>
        </w:rPr>
      </w:pPr>
      <w:r>
        <w:rPr>
          <w:rStyle w:val="30"/>
          <w:rFonts w:hint="default" w:ascii="宋体" w:hAnsi="Times New Roman" w:eastAsia="宋体" w:cs="宋体"/>
          <w:b w:val="0"/>
          <w:bCs w:val="0"/>
          <w:sz w:val="24"/>
          <w:szCs w:val="24"/>
          <w:highlight w:val="none"/>
          <w:lang w:val="en-US" w:eastAsia="zh-CN"/>
        </w:rPr>
        <w:t>数据维护规则：页面填报支持保存、提交两种状态；审批通过后的考勤数据允许技术服务管理者按权限进行修改，并保留操作记录。</w:t>
      </w:r>
    </w:p>
    <w:p w14:paraId="5802D504">
      <w:pPr>
        <w:pStyle w:val="31"/>
        <w:shd w:val="clear" w:color="auto" w:fill="auto"/>
        <w:spacing w:after="189" w:line="360" w:lineRule="auto"/>
        <w:ind w:left="20" w:firstLine="480" w:firstLineChars="200"/>
        <w:jc w:val="both"/>
        <w:rPr>
          <w:rStyle w:val="30"/>
          <w:rFonts w:hint="default" w:ascii="宋体" w:hAnsi="Times New Roman" w:eastAsia="宋体" w:cs="宋体"/>
          <w:b w:val="0"/>
          <w:bCs w:val="0"/>
          <w:sz w:val="24"/>
          <w:szCs w:val="24"/>
          <w:highlight w:val="yellow"/>
          <w:lang w:val="en-US" w:eastAsia="zh-CN"/>
        </w:rPr>
      </w:pPr>
      <w:r>
        <w:rPr>
          <w:rStyle w:val="30"/>
          <w:rFonts w:hint="default" w:ascii="宋体" w:hAnsi="Times New Roman" w:eastAsia="宋体" w:cs="宋体"/>
          <w:b w:val="0"/>
          <w:bCs w:val="0"/>
          <w:sz w:val="24"/>
          <w:szCs w:val="24"/>
          <w:highlight w:val="none"/>
          <w:lang w:val="en-US" w:eastAsia="zh-CN"/>
        </w:rPr>
        <w:t>查看菜单扩展：增加查看菜单，支持供应商、总监代表、技术服务角色查看权限范围内的考勤数据及审批结果。</w:t>
      </w:r>
    </w:p>
    <w:p w14:paraId="2A7927ED">
      <w:pPr>
        <w:pStyle w:val="31"/>
        <w:shd w:val="clear" w:color="auto" w:fill="auto"/>
        <w:spacing w:after="189" w:line="360" w:lineRule="auto"/>
        <w:ind w:left="20" w:firstLine="720" w:firstLineChars="300"/>
        <w:jc w:val="both"/>
        <w:rPr>
          <w:rStyle w:val="30"/>
          <w:rFonts w:hint="default" w:ascii="宋体" w:hAnsi="Times New Roman" w:eastAsia="宋体" w:cs="宋体"/>
          <w:b w:val="0"/>
          <w:bCs w:val="0"/>
          <w:sz w:val="24"/>
          <w:szCs w:val="24"/>
          <w:highlight w:val="none"/>
          <w:lang w:val="en-US" w:eastAsia="zh-CN"/>
        </w:rPr>
      </w:pPr>
      <w:r>
        <w:rPr>
          <w:rStyle w:val="30"/>
          <w:rFonts w:hint="eastAsia" w:hAnsi="Times New Roman" w:cs="宋体"/>
          <w:b w:val="0"/>
          <w:bCs w:val="0"/>
          <w:sz w:val="24"/>
          <w:szCs w:val="24"/>
          <w:highlight w:val="none"/>
          <w:lang w:val="en-US" w:eastAsia="zh-CN"/>
        </w:rPr>
        <w:t>3）</w:t>
      </w:r>
      <w:r>
        <w:rPr>
          <w:rStyle w:val="30"/>
          <w:rFonts w:hint="default" w:ascii="宋体" w:hAnsi="Times New Roman" w:eastAsia="宋体" w:cs="宋体"/>
          <w:b w:val="0"/>
          <w:bCs w:val="0"/>
          <w:sz w:val="24"/>
          <w:szCs w:val="24"/>
          <w:highlight w:val="none"/>
          <w:lang w:val="en-US" w:eastAsia="zh-CN"/>
        </w:rPr>
        <w:t>技术服务人员成本管理</w:t>
      </w:r>
    </w:p>
    <w:p w14:paraId="179FBC82">
      <w:pPr>
        <w:pStyle w:val="31"/>
        <w:shd w:val="clear" w:color="auto" w:fill="auto"/>
        <w:spacing w:after="189" w:line="360" w:lineRule="auto"/>
        <w:ind w:left="20" w:firstLine="480" w:firstLineChars="200"/>
        <w:jc w:val="both"/>
        <w:rPr>
          <w:rStyle w:val="30"/>
          <w:rFonts w:hint="default" w:ascii="宋体" w:hAnsi="Times New Roman" w:eastAsia="宋体" w:cs="宋体"/>
          <w:b w:val="0"/>
          <w:bCs w:val="0"/>
          <w:sz w:val="24"/>
          <w:szCs w:val="24"/>
          <w:highlight w:val="none"/>
          <w:lang w:val="en-US" w:eastAsia="zh-CN"/>
        </w:rPr>
      </w:pPr>
      <w:r>
        <w:rPr>
          <w:rStyle w:val="30"/>
          <w:rFonts w:hint="default" w:ascii="宋体" w:hAnsi="Times New Roman" w:eastAsia="宋体" w:cs="宋体"/>
          <w:b w:val="0"/>
          <w:bCs w:val="0"/>
          <w:sz w:val="24"/>
          <w:szCs w:val="24"/>
          <w:highlight w:val="none"/>
          <w:lang w:val="en-US" w:eastAsia="zh-CN"/>
        </w:rPr>
        <w:t>成本填报方式：技术服务人员每月成本由供应商按“每人每月成本”方式进行填报。平台提供人员清单导出功能，供应商可在导出的 Excel 模板中完成成本填报后导入平台。</w:t>
      </w:r>
    </w:p>
    <w:p w14:paraId="29265741">
      <w:pPr>
        <w:pStyle w:val="31"/>
        <w:shd w:val="clear" w:color="auto" w:fill="auto"/>
        <w:spacing w:after="189" w:line="360" w:lineRule="auto"/>
        <w:ind w:left="20" w:firstLine="480" w:firstLineChars="200"/>
        <w:jc w:val="both"/>
        <w:rPr>
          <w:rStyle w:val="30"/>
          <w:rFonts w:hint="default" w:ascii="宋体" w:hAnsi="Times New Roman" w:eastAsia="宋体" w:cs="宋体"/>
          <w:b w:val="0"/>
          <w:bCs w:val="0"/>
          <w:sz w:val="24"/>
          <w:szCs w:val="24"/>
          <w:highlight w:val="none"/>
          <w:lang w:val="en-US" w:eastAsia="zh-CN"/>
        </w:rPr>
      </w:pPr>
      <w:r>
        <w:rPr>
          <w:rStyle w:val="30"/>
          <w:rFonts w:hint="default" w:ascii="宋体" w:hAnsi="Times New Roman" w:eastAsia="宋体" w:cs="宋体"/>
          <w:b w:val="0"/>
          <w:bCs w:val="0"/>
          <w:sz w:val="24"/>
          <w:szCs w:val="24"/>
          <w:highlight w:val="none"/>
          <w:lang w:val="en-US" w:eastAsia="zh-CN"/>
        </w:rPr>
        <w:t>审批流程控制：成本数据导入后，供应商可按批量方式提交至技术服务管理者审批；审批状态、审批意见、提交人、提交时间等信息需全程留痕。</w:t>
      </w:r>
    </w:p>
    <w:p w14:paraId="42FC92A8">
      <w:pPr>
        <w:pStyle w:val="31"/>
        <w:shd w:val="clear" w:color="auto" w:fill="auto"/>
        <w:spacing w:after="189" w:line="360" w:lineRule="auto"/>
        <w:ind w:left="20" w:firstLine="480" w:firstLineChars="200"/>
        <w:jc w:val="both"/>
        <w:rPr>
          <w:rStyle w:val="30"/>
          <w:rFonts w:hint="default" w:ascii="宋体" w:hAnsi="Times New Roman" w:eastAsia="宋体" w:cs="宋体"/>
          <w:b w:val="0"/>
          <w:bCs w:val="0"/>
          <w:sz w:val="24"/>
          <w:szCs w:val="24"/>
          <w:highlight w:val="none"/>
          <w:lang w:val="en-US" w:eastAsia="zh-CN"/>
        </w:rPr>
      </w:pPr>
      <w:r>
        <w:rPr>
          <w:rStyle w:val="30"/>
          <w:rFonts w:hint="default" w:ascii="宋体" w:hAnsi="Times New Roman" w:eastAsia="宋体" w:cs="宋体"/>
          <w:b w:val="0"/>
          <w:bCs w:val="0"/>
          <w:sz w:val="24"/>
          <w:szCs w:val="24"/>
          <w:highlight w:val="none"/>
          <w:lang w:val="en-US" w:eastAsia="zh-CN"/>
        </w:rPr>
        <w:t>查看权限控制：供应商仅可查看和提交本账号权限范围内的技术服务人员成本数据；技术服务管理者可查看、审批并维护权限范围内的数据。</w:t>
      </w:r>
    </w:p>
    <w:p w14:paraId="0B4EB5DB">
      <w:pPr>
        <w:pStyle w:val="31"/>
        <w:shd w:val="clear" w:color="auto" w:fill="auto"/>
        <w:spacing w:after="189" w:line="360" w:lineRule="auto"/>
        <w:ind w:left="20" w:firstLine="480" w:firstLineChars="200"/>
        <w:jc w:val="both"/>
        <w:rPr>
          <w:rStyle w:val="30"/>
          <w:rFonts w:hint="default" w:ascii="宋体" w:hAnsi="Times New Roman" w:eastAsia="宋体" w:cs="宋体"/>
          <w:b w:val="0"/>
          <w:bCs w:val="0"/>
          <w:sz w:val="24"/>
          <w:szCs w:val="24"/>
          <w:highlight w:val="none"/>
          <w:lang w:val="en-US" w:eastAsia="zh-CN"/>
        </w:rPr>
      </w:pPr>
      <w:r>
        <w:rPr>
          <w:rStyle w:val="30"/>
          <w:rFonts w:hint="default" w:ascii="宋体" w:hAnsi="Times New Roman" w:eastAsia="宋体" w:cs="宋体"/>
          <w:b w:val="0"/>
          <w:bCs w:val="0"/>
          <w:sz w:val="24"/>
          <w:szCs w:val="24"/>
          <w:highlight w:val="none"/>
          <w:lang w:val="en-US" w:eastAsia="zh-CN"/>
        </w:rPr>
        <w:t>数据修正规则：审批通过后的成本数据保留修正能力，由有权限角色按规则进行调整并保留历史记录，确保后续成本核算与经营分析数据一致。</w:t>
      </w:r>
    </w:p>
    <w:p w14:paraId="2EB324AD">
      <w:pPr>
        <w:pStyle w:val="31"/>
        <w:shd w:val="clear" w:color="auto" w:fill="auto"/>
        <w:spacing w:after="189" w:line="360" w:lineRule="auto"/>
        <w:ind w:left="0" w:leftChars="0" w:firstLine="241" w:firstLineChars="100"/>
        <w:jc w:val="both"/>
        <w:outlineLvl w:val="3"/>
        <w:rPr>
          <w:rStyle w:val="30"/>
          <w:rFonts w:hint="default" w:ascii="宋体" w:hAnsi="Times New Roman" w:eastAsia="宋体" w:cs="宋体"/>
          <w:b/>
          <w:bCs/>
          <w:sz w:val="24"/>
          <w:szCs w:val="24"/>
          <w:lang w:val="en-US" w:eastAsia="zh-CN"/>
        </w:rPr>
      </w:pPr>
      <w:r>
        <w:rPr>
          <w:rStyle w:val="30"/>
          <w:rFonts w:hint="eastAsia" w:ascii="宋体" w:hAnsi="Times New Roman" w:eastAsia="宋体" w:cs="宋体"/>
          <w:b/>
          <w:bCs/>
          <w:sz w:val="24"/>
          <w:szCs w:val="24"/>
          <w:lang w:val="en-US" w:eastAsia="zh-CN"/>
        </w:rPr>
        <w:t>3.1.1.3</w:t>
      </w:r>
      <w:r>
        <w:rPr>
          <w:rStyle w:val="30"/>
          <w:rFonts w:hint="eastAsia" w:hAnsi="Times New Roman" w:cs="宋体"/>
          <w:b/>
          <w:bCs/>
          <w:sz w:val="24"/>
          <w:szCs w:val="24"/>
          <w:lang w:val="en-US" w:eastAsia="zh-CN"/>
        </w:rPr>
        <w:t xml:space="preserve"> </w:t>
      </w:r>
      <w:r>
        <w:rPr>
          <w:rStyle w:val="30"/>
          <w:rFonts w:hint="default" w:ascii="宋体" w:hAnsi="Times New Roman" w:eastAsia="宋体" w:cs="宋体"/>
          <w:b/>
          <w:bCs/>
          <w:sz w:val="24"/>
          <w:szCs w:val="24"/>
          <w:lang w:val="en-US" w:eastAsia="zh-CN"/>
        </w:rPr>
        <w:t>数据与消息模块需求</w:t>
      </w:r>
    </w:p>
    <w:p w14:paraId="5AC73BFB">
      <w:pPr>
        <w:pStyle w:val="31"/>
        <w:shd w:val="clear" w:color="auto" w:fill="auto"/>
        <w:spacing w:after="189" w:line="360" w:lineRule="auto"/>
        <w:ind w:left="20" w:firstLine="480" w:firstLineChars="20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（1）全局消息功能</w:t>
      </w:r>
    </w:p>
    <w:p w14:paraId="521D2F74">
      <w:pPr>
        <w:pStyle w:val="31"/>
        <w:shd w:val="clear" w:color="auto" w:fill="auto"/>
        <w:spacing w:after="189" w:line="360" w:lineRule="auto"/>
        <w:ind w:left="20" w:firstLine="480" w:firstLineChars="20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消息中心优化：右上角消息铃铛点击 “查看全部” 可打开消息列表，待办消息支持跳转至审批页面直接操作；消息数量实时更新，下拉列表仅展示未读消息，查询速度要求≤3 秒。</w:t>
      </w:r>
    </w:p>
    <w:p w14:paraId="1F729B19">
      <w:pPr>
        <w:pStyle w:val="31"/>
        <w:shd w:val="clear" w:color="auto" w:fill="auto"/>
        <w:spacing w:after="189" w:line="360" w:lineRule="auto"/>
        <w:ind w:left="20" w:firstLine="480" w:firstLineChars="20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（2）数据分析模块</w:t>
      </w:r>
    </w:p>
    <w:p w14:paraId="13BEA340">
      <w:pPr>
        <w:pStyle w:val="31"/>
        <w:shd w:val="clear" w:color="auto" w:fill="auto"/>
        <w:spacing w:after="189" w:line="360" w:lineRule="auto"/>
        <w:ind w:left="20" w:firstLine="480" w:firstLineChars="200"/>
        <w:jc w:val="both"/>
        <w:rPr>
          <w:rStyle w:val="30"/>
          <w:rFonts w:hint="default" w:ascii="宋体" w:hAnsi="Times New Roman" w:eastAsia="宋体" w:cs="宋体"/>
          <w:b w:val="0"/>
          <w:bCs w:val="0"/>
          <w:sz w:val="24"/>
          <w:szCs w:val="24"/>
          <w:highlight w:val="none"/>
          <w:lang w:val="en-US" w:eastAsia="zh-CN"/>
        </w:rPr>
      </w:pPr>
      <w:r>
        <w:rPr>
          <w:rStyle w:val="30"/>
          <w:rFonts w:hint="default" w:ascii="宋体" w:hAnsi="Times New Roman" w:eastAsia="宋体" w:cs="宋体"/>
          <w:b w:val="0"/>
          <w:bCs w:val="0"/>
          <w:sz w:val="24"/>
          <w:szCs w:val="24"/>
          <w:highlight w:val="none"/>
          <w:lang w:val="en-US" w:eastAsia="zh-CN"/>
        </w:rPr>
        <w:t>派单数据分析支持：在项目管理、任务派遣单等页面新增数据分析按钮，支持按项目经理、区域经理、项目编号、合同编号、制造厂、监造形式、派单状态、时间区间等维度查看业务数据，并支持图表展示与数据导出。</w:t>
      </w:r>
    </w:p>
    <w:p w14:paraId="040BE2D5">
      <w:pPr>
        <w:pStyle w:val="31"/>
        <w:shd w:val="clear" w:color="auto" w:fill="auto"/>
        <w:spacing w:after="189" w:line="360" w:lineRule="auto"/>
        <w:ind w:left="0" w:leftChars="0" w:firstLine="241" w:firstLineChars="100"/>
        <w:jc w:val="both"/>
        <w:outlineLvl w:val="3"/>
        <w:rPr>
          <w:rStyle w:val="30"/>
          <w:rFonts w:hint="default" w:ascii="宋体" w:hAnsi="Times New Roman" w:eastAsia="宋体" w:cs="宋体"/>
          <w:b/>
          <w:bCs/>
          <w:sz w:val="24"/>
          <w:szCs w:val="24"/>
          <w:lang w:val="en-US" w:eastAsia="zh-CN"/>
        </w:rPr>
      </w:pPr>
      <w:r>
        <w:rPr>
          <w:rStyle w:val="30"/>
          <w:rFonts w:hint="eastAsia" w:ascii="宋体" w:hAnsi="Times New Roman" w:eastAsia="宋体" w:cs="宋体"/>
          <w:b/>
          <w:bCs/>
          <w:sz w:val="24"/>
          <w:szCs w:val="24"/>
          <w:lang w:val="en-US" w:eastAsia="zh-CN"/>
        </w:rPr>
        <w:t>3.1.1.</w:t>
      </w:r>
      <w:r>
        <w:rPr>
          <w:rStyle w:val="30"/>
          <w:rFonts w:hint="default" w:ascii="宋体" w:hAnsi="Times New Roman" w:eastAsia="宋体" w:cs="宋体"/>
          <w:b/>
          <w:bCs/>
          <w:sz w:val="24"/>
          <w:szCs w:val="24"/>
          <w:lang w:val="en-US" w:eastAsia="zh-CN"/>
        </w:rPr>
        <w:t>4 基础资源管理模块需求</w:t>
      </w:r>
    </w:p>
    <w:p w14:paraId="5E5AA0C3">
      <w:pPr>
        <w:pStyle w:val="31"/>
        <w:shd w:val="clear" w:color="auto" w:fill="auto"/>
        <w:spacing w:after="189" w:line="360" w:lineRule="auto"/>
        <w:ind w:left="20" w:firstLine="480" w:firstLineChars="20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（1）材料库模块</w:t>
      </w:r>
    </w:p>
    <w:p w14:paraId="1A7C9AAE">
      <w:pPr>
        <w:pStyle w:val="31"/>
        <w:shd w:val="clear" w:color="auto" w:fill="auto"/>
        <w:spacing w:after="189" w:line="360" w:lineRule="auto"/>
        <w:ind w:left="20" w:firstLine="480" w:firstLineChars="20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材料库数据管控：实现库→标准→检验项目→牌号的层级化管理，禁止重复创建；支持临时入库，未被引用的临时数据可删除，已引用数据仅允许修改；过期标准标记为 “作废”，禁止引用；新增创建人、创建时间字段，支持数据审阅与修正。</w:t>
      </w:r>
    </w:p>
    <w:p w14:paraId="766F80E1">
      <w:pPr>
        <w:pStyle w:val="31"/>
        <w:shd w:val="clear" w:color="auto" w:fill="auto"/>
        <w:spacing w:after="189" w:line="360" w:lineRule="auto"/>
        <w:ind w:left="20" w:firstLine="480" w:firstLineChars="20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（2）知识资料库模块</w:t>
      </w:r>
    </w:p>
    <w:p w14:paraId="2AADA342">
      <w:pPr>
        <w:pStyle w:val="31"/>
        <w:shd w:val="clear" w:color="auto" w:fill="auto"/>
        <w:spacing w:after="189" w:line="360" w:lineRule="auto"/>
        <w:ind w:left="20" w:firstLine="480" w:firstLineChars="20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资料库权限优化：隐藏标准下载按钮，资料库管理员新增左侧树增删改查权限；标准预览时自动添加水印（内容：“仅供内部查阅，不得扩散”）。</w:t>
      </w:r>
    </w:p>
    <w:p w14:paraId="23935DFA">
      <w:pPr>
        <w:pStyle w:val="31"/>
        <w:numPr>
          <w:ilvl w:val="0"/>
          <w:numId w:val="1"/>
        </w:numPr>
        <w:shd w:val="clear" w:color="auto" w:fill="auto"/>
        <w:spacing w:after="189" w:line="360" w:lineRule="auto"/>
        <w:ind w:left="20" w:firstLine="480" w:firstLineChars="200"/>
        <w:jc w:val="both"/>
        <w:rPr>
          <w:rStyle w:val="30"/>
          <w:rFonts w:hint="default" w:ascii="宋体" w:hAnsi="Times New Roman" w:eastAsia="宋体" w:cs="宋体"/>
          <w:b w:val="0"/>
          <w:bCs w:val="0"/>
          <w:sz w:val="24"/>
          <w:szCs w:val="24"/>
          <w:highlight w:val="none"/>
          <w:lang w:val="en-US" w:eastAsia="zh-CN"/>
        </w:rPr>
      </w:pPr>
      <w:r>
        <w:rPr>
          <w:rStyle w:val="30"/>
          <w:rFonts w:hint="default" w:ascii="宋体" w:hAnsi="Times New Roman" w:eastAsia="宋体" w:cs="宋体"/>
          <w:b w:val="0"/>
          <w:bCs w:val="0"/>
          <w:sz w:val="24"/>
          <w:szCs w:val="24"/>
          <w:highlight w:val="none"/>
          <w:lang w:val="en-US" w:eastAsia="zh-CN"/>
        </w:rPr>
        <w:t>对外检验主管及业主资料库：</w:t>
      </w:r>
    </w:p>
    <w:p w14:paraId="73D1C81D">
      <w:pPr>
        <w:pStyle w:val="31"/>
        <w:numPr>
          <w:ilvl w:val="0"/>
          <w:numId w:val="0"/>
        </w:numPr>
        <w:shd w:val="clear" w:color="auto" w:fill="auto"/>
        <w:spacing w:after="189" w:line="360" w:lineRule="auto"/>
        <w:ind w:firstLine="696" w:firstLineChars="290"/>
        <w:jc w:val="both"/>
        <w:rPr>
          <w:rStyle w:val="30"/>
          <w:rFonts w:hint="default" w:ascii="宋体" w:hAnsi="Times New Roman" w:eastAsia="宋体" w:cs="宋体"/>
          <w:b w:val="0"/>
          <w:bCs w:val="0"/>
          <w:sz w:val="24"/>
          <w:szCs w:val="24"/>
          <w:highlight w:val="none"/>
          <w:lang w:val="en-US" w:eastAsia="zh-CN"/>
        </w:rPr>
      </w:pPr>
      <w:r>
        <w:rPr>
          <w:rStyle w:val="30"/>
          <w:rFonts w:hint="default" w:ascii="宋体" w:hAnsi="Times New Roman" w:eastAsia="宋体" w:cs="宋体"/>
          <w:b w:val="0"/>
          <w:bCs w:val="0"/>
          <w:sz w:val="24"/>
          <w:szCs w:val="24"/>
          <w:highlight w:val="none"/>
          <w:lang w:val="en-US" w:eastAsia="zh-CN"/>
        </w:rPr>
        <w:t>新增对外检验主管信息及业主资料库管理功能，支持资料录入、维护、查询、权限控制及历史留痕。</w:t>
      </w:r>
    </w:p>
    <w:p w14:paraId="3178D9B0">
      <w:pPr>
        <w:pStyle w:val="31"/>
        <w:numPr>
          <w:ilvl w:val="0"/>
          <w:numId w:val="1"/>
        </w:numPr>
        <w:shd w:val="clear" w:color="auto" w:fill="auto"/>
        <w:spacing w:after="189" w:line="360" w:lineRule="auto"/>
        <w:ind w:left="20" w:leftChars="0" w:firstLine="480" w:firstLineChars="200"/>
        <w:jc w:val="both"/>
        <w:rPr>
          <w:rStyle w:val="30"/>
          <w:rFonts w:hint="default" w:ascii="宋体" w:hAnsi="Times New Roman" w:eastAsia="宋体" w:cs="宋体"/>
          <w:b/>
          <w:bCs/>
          <w:sz w:val="24"/>
          <w:szCs w:val="24"/>
          <w:highlight w:val="none"/>
          <w:lang w:val="en-US" w:eastAsia="zh-CN"/>
        </w:rPr>
      </w:pPr>
      <w:r>
        <w:rPr>
          <w:rStyle w:val="30"/>
          <w:rFonts w:hint="default" w:ascii="宋体" w:hAnsi="Times New Roman" w:eastAsia="宋体" w:cs="宋体"/>
          <w:b w:val="0"/>
          <w:bCs w:val="0"/>
          <w:sz w:val="24"/>
          <w:szCs w:val="24"/>
          <w:highlight w:val="none"/>
          <w:lang w:val="en-US" w:eastAsia="zh-CN"/>
        </w:rPr>
        <w:t>开放接口能力：</w:t>
      </w:r>
    </w:p>
    <w:p w14:paraId="25732BB1">
      <w:pPr>
        <w:pStyle w:val="31"/>
        <w:numPr>
          <w:ilvl w:val="0"/>
          <w:numId w:val="0"/>
        </w:numPr>
        <w:shd w:val="clear" w:color="auto" w:fill="auto"/>
        <w:spacing w:after="189" w:line="360" w:lineRule="auto"/>
        <w:ind w:firstLine="696" w:firstLineChars="290"/>
        <w:jc w:val="both"/>
        <w:rPr>
          <w:rStyle w:val="30"/>
          <w:rFonts w:hint="default" w:ascii="宋体" w:hAnsi="Times New Roman" w:eastAsia="宋体" w:cs="宋体"/>
          <w:b w:val="0"/>
          <w:bCs w:val="0"/>
          <w:sz w:val="24"/>
          <w:szCs w:val="24"/>
          <w:highlight w:val="none"/>
          <w:lang w:val="en-US" w:eastAsia="zh-CN"/>
        </w:rPr>
      </w:pPr>
      <w:r>
        <w:rPr>
          <w:rStyle w:val="30"/>
          <w:rFonts w:hint="default" w:ascii="宋体" w:hAnsi="Times New Roman" w:eastAsia="宋体" w:cs="宋体"/>
          <w:b w:val="0"/>
          <w:bCs w:val="0"/>
          <w:sz w:val="24"/>
          <w:szCs w:val="24"/>
          <w:highlight w:val="none"/>
          <w:lang w:val="en-US" w:eastAsia="zh-CN"/>
        </w:rPr>
        <w:t>根据甲方最终确认的接口清单，完成开放接口方案设计、接口开发、联调测试及接口文档交付。</w:t>
      </w:r>
    </w:p>
    <w:p w14:paraId="1298306F">
      <w:pPr>
        <w:pStyle w:val="31"/>
        <w:shd w:val="clear" w:color="auto" w:fill="auto"/>
        <w:spacing w:after="189" w:line="360" w:lineRule="auto"/>
        <w:ind w:left="0" w:leftChars="0" w:firstLine="241" w:firstLineChars="100"/>
        <w:jc w:val="both"/>
        <w:outlineLvl w:val="3"/>
        <w:rPr>
          <w:rStyle w:val="30"/>
          <w:rFonts w:hint="default" w:ascii="宋体" w:hAnsi="Times New Roman" w:eastAsia="宋体" w:cs="宋体"/>
          <w:b/>
          <w:bCs/>
          <w:sz w:val="24"/>
          <w:szCs w:val="24"/>
          <w:lang w:val="en-US" w:eastAsia="zh-CN"/>
        </w:rPr>
      </w:pPr>
      <w:r>
        <w:rPr>
          <w:rStyle w:val="30"/>
          <w:rFonts w:hint="eastAsia" w:ascii="宋体" w:hAnsi="Times New Roman" w:eastAsia="宋体" w:cs="宋体"/>
          <w:b/>
          <w:bCs/>
          <w:sz w:val="24"/>
          <w:szCs w:val="24"/>
          <w:lang w:val="en-US" w:eastAsia="zh-CN"/>
        </w:rPr>
        <w:t>3.1</w:t>
      </w:r>
      <w:r>
        <w:rPr>
          <w:rStyle w:val="30"/>
          <w:rFonts w:hint="default" w:ascii="宋体" w:hAnsi="Times New Roman" w:eastAsia="宋体" w:cs="宋体"/>
          <w:b/>
          <w:bCs/>
          <w:sz w:val="24"/>
          <w:szCs w:val="24"/>
          <w:lang w:val="en-US" w:eastAsia="zh-CN"/>
        </w:rPr>
        <w:t>.</w:t>
      </w:r>
      <w:r>
        <w:rPr>
          <w:rStyle w:val="30"/>
          <w:rFonts w:hint="eastAsia" w:ascii="宋体" w:hAnsi="Times New Roman" w:eastAsia="宋体" w:cs="宋体"/>
          <w:b/>
          <w:bCs/>
          <w:sz w:val="24"/>
          <w:szCs w:val="24"/>
          <w:lang w:val="en-US" w:eastAsia="zh-CN"/>
        </w:rPr>
        <w:t>1.</w:t>
      </w:r>
      <w:r>
        <w:rPr>
          <w:rStyle w:val="30"/>
          <w:rFonts w:hint="default" w:ascii="宋体" w:hAnsi="Times New Roman" w:eastAsia="宋体" w:cs="宋体"/>
          <w:b/>
          <w:bCs/>
          <w:sz w:val="24"/>
          <w:szCs w:val="24"/>
          <w:lang w:val="en-US" w:eastAsia="zh-CN"/>
        </w:rPr>
        <w:t>5 归档与追溯模块需求</w:t>
      </w:r>
    </w:p>
    <w:p w14:paraId="3C634040">
      <w:pPr>
        <w:pStyle w:val="31"/>
        <w:shd w:val="clear" w:color="auto" w:fill="auto"/>
        <w:spacing w:after="189" w:line="360" w:lineRule="auto"/>
        <w:ind w:left="20" w:firstLine="480" w:firstLineChars="20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（1）项目归档模块</w:t>
      </w:r>
    </w:p>
    <w:p w14:paraId="2A7BC77A">
      <w:pPr>
        <w:pStyle w:val="31"/>
        <w:shd w:val="clear" w:color="auto" w:fill="auto"/>
        <w:spacing w:after="189" w:line="360" w:lineRule="auto"/>
        <w:ind w:left="20" w:firstLine="480" w:firstLineChars="20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归档流程自动化提醒：监造结束的派单或终止的派单，7天后系统每天提醒监理人员发起归档申请；归档需经总监代表、总监、档案管理依次审批，审批后按派单维度存档；区域经理、档案管理可对归档派单打分，领导层可查看归档资料与打分情况。</w:t>
      </w:r>
    </w:p>
    <w:p w14:paraId="1F063F9D">
      <w:pPr>
        <w:pStyle w:val="31"/>
        <w:shd w:val="clear" w:color="auto" w:fill="auto"/>
        <w:spacing w:after="189" w:line="360" w:lineRule="auto"/>
        <w:ind w:left="20" w:firstLine="480" w:firstLineChars="20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（2）派单变更历史模块</w:t>
      </w:r>
    </w:p>
    <w:p w14:paraId="3B14C081">
      <w:pPr>
        <w:pStyle w:val="31"/>
        <w:shd w:val="clear" w:color="auto" w:fill="auto"/>
        <w:spacing w:after="189" w:line="360" w:lineRule="auto"/>
        <w:ind w:left="20" w:firstLine="480" w:firstLineChars="20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变更历史监听：系统实时监听派单变更信息（含合同号变更、人员变更、计划时间变更），记录变更前后数据，支持全周期追溯。</w:t>
      </w:r>
    </w:p>
    <w:p w14:paraId="6BC3893F">
      <w:pPr>
        <w:pStyle w:val="31"/>
        <w:shd w:val="clear" w:color="auto" w:fill="auto"/>
        <w:spacing w:after="189" w:line="360" w:lineRule="auto"/>
        <w:ind w:left="0" w:leftChars="0" w:firstLine="241" w:firstLineChars="100"/>
        <w:jc w:val="both"/>
        <w:outlineLvl w:val="3"/>
        <w:rPr>
          <w:rStyle w:val="30"/>
          <w:rFonts w:hint="default" w:ascii="宋体" w:hAnsi="Times New Roman" w:eastAsia="宋体" w:cs="宋体"/>
          <w:b/>
          <w:bCs/>
          <w:sz w:val="24"/>
          <w:szCs w:val="24"/>
          <w:lang w:val="en-US" w:eastAsia="zh-CN"/>
        </w:rPr>
      </w:pPr>
      <w:r>
        <w:rPr>
          <w:rStyle w:val="30"/>
          <w:rFonts w:hint="eastAsia" w:ascii="宋体" w:hAnsi="Times New Roman" w:eastAsia="宋体" w:cs="宋体"/>
          <w:b/>
          <w:bCs/>
          <w:sz w:val="24"/>
          <w:szCs w:val="24"/>
          <w:lang w:val="en-US" w:eastAsia="zh-CN"/>
        </w:rPr>
        <w:t>3.1</w:t>
      </w:r>
      <w:r>
        <w:rPr>
          <w:rStyle w:val="30"/>
          <w:rFonts w:hint="default" w:ascii="宋体" w:hAnsi="Times New Roman" w:eastAsia="宋体" w:cs="宋体"/>
          <w:b/>
          <w:bCs/>
          <w:sz w:val="24"/>
          <w:szCs w:val="24"/>
          <w:lang w:val="en-US" w:eastAsia="zh-CN"/>
        </w:rPr>
        <w:t>.</w:t>
      </w:r>
      <w:r>
        <w:rPr>
          <w:rStyle w:val="30"/>
          <w:rFonts w:hint="eastAsia" w:hAnsi="Times New Roman" w:cs="宋体"/>
          <w:b/>
          <w:bCs/>
          <w:sz w:val="24"/>
          <w:szCs w:val="24"/>
          <w:lang w:val="en-US" w:eastAsia="zh-CN"/>
        </w:rPr>
        <w:t>1.</w:t>
      </w:r>
      <w:r>
        <w:rPr>
          <w:rStyle w:val="30"/>
          <w:rFonts w:hint="default" w:ascii="宋体" w:hAnsi="Times New Roman" w:eastAsia="宋体" w:cs="宋体"/>
          <w:b/>
          <w:bCs/>
          <w:sz w:val="24"/>
          <w:szCs w:val="24"/>
          <w:lang w:val="en-US" w:eastAsia="zh-CN"/>
        </w:rPr>
        <w:t>6 合同管理模块需求</w:t>
      </w:r>
    </w:p>
    <w:p w14:paraId="6EB7E4BF">
      <w:pPr>
        <w:pStyle w:val="31"/>
        <w:shd w:val="clear" w:color="auto" w:fill="auto"/>
        <w:spacing w:after="189" w:line="360" w:lineRule="auto"/>
        <w:ind w:left="20" w:firstLine="480" w:firstLineChars="20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合同字段扩展：合同管理功能新增 “驻厂监造金额”“巡检监造金额”“项目经理 ERP 标识” 字段，用于</w:t>
      </w:r>
      <w:r>
        <w:rPr>
          <w:rStyle w:val="30"/>
          <w:rFonts w:hint="eastAsia" w:ascii="宋体" w:hAnsi="Times New Roman" w:eastAsia="宋体" w:cs="宋体"/>
          <w:b w:val="0"/>
          <w:bCs w:val="0"/>
          <w:sz w:val="24"/>
          <w:szCs w:val="24"/>
          <w:lang w:val="en-US" w:eastAsia="zh-CN"/>
        </w:rPr>
        <w:t>经营模块</w:t>
      </w:r>
      <w:r>
        <w:rPr>
          <w:rStyle w:val="30"/>
          <w:rFonts w:hint="default" w:ascii="宋体" w:hAnsi="Times New Roman" w:eastAsia="宋体" w:cs="宋体"/>
          <w:b w:val="0"/>
          <w:bCs w:val="0"/>
          <w:sz w:val="24"/>
          <w:szCs w:val="24"/>
          <w:lang w:val="en-US" w:eastAsia="zh-CN"/>
        </w:rPr>
        <w:t>关联人员与计算产值；同时新增 “结算方式”“结算天数”“结算周期” 字段，支持</w:t>
      </w:r>
      <w:r>
        <w:rPr>
          <w:rStyle w:val="30"/>
          <w:rFonts w:hint="eastAsia" w:ascii="宋体" w:hAnsi="Times New Roman" w:eastAsia="宋体" w:cs="宋体"/>
          <w:b w:val="0"/>
          <w:bCs w:val="0"/>
          <w:sz w:val="24"/>
          <w:szCs w:val="24"/>
          <w:lang w:val="en-US" w:eastAsia="zh-CN"/>
        </w:rPr>
        <w:t>经营模块</w:t>
      </w:r>
      <w:r>
        <w:rPr>
          <w:rStyle w:val="30"/>
          <w:rFonts w:hint="default" w:ascii="宋体" w:hAnsi="Times New Roman" w:eastAsia="宋体" w:cs="宋体"/>
          <w:b w:val="0"/>
          <w:bCs w:val="0"/>
          <w:sz w:val="24"/>
          <w:szCs w:val="24"/>
          <w:lang w:val="en-US" w:eastAsia="zh-CN"/>
        </w:rPr>
        <w:t>进行结算提醒。</w:t>
      </w:r>
    </w:p>
    <w:p w14:paraId="4EF66FF1">
      <w:pPr>
        <w:pStyle w:val="31"/>
        <w:shd w:val="clear" w:color="auto" w:fill="auto"/>
        <w:spacing w:after="189" w:line="360" w:lineRule="auto"/>
        <w:ind w:left="0" w:leftChars="0" w:firstLine="0" w:firstLineChars="0"/>
        <w:jc w:val="both"/>
        <w:outlineLvl w:val="2"/>
        <w:rPr>
          <w:rStyle w:val="30"/>
          <w:rFonts w:hint="eastAsia" w:ascii="宋体" w:hAnsi="Times New Roman" w:eastAsia="宋体" w:cs="宋体"/>
          <w:b/>
          <w:bCs/>
          <w:sz w:val="28"/>
          <w:szCs w:val="28"/>
          <w:lang w:val="en-US" w:eastAsia="zh-CN"/>
        </w:rPr>
      </w:pPr>
      <w:r>
        <w:rPr>
          <w:rStyle w:val="30"/>
          <w:rFonts w:hint="eastAsia" w:ascii="宋体" w:hAnsi="Times New Roman" w:eastAsia="宋体" w:cs="宋体"/>
          <w:b/>
          <w:bCs/>
          <w:sz w:val="28"/>
          <w:szCs w:val="28"/>
          <w:lang w:val="en-US" w:eastAsia="zh-CN"/>
        </w:rPr>
        <w:t>3.</w:t>
      </w:r>
      <w:r>
        <w:rPr>
          <w:rStyle w:val="30"/>
          <w:rFonts w:hint="eastAsia" w:hAnsi="Times New Roman" w:cs="宋体"/>
          <w:b/>
          <w:bCs/>
          <w:sz w:val="28"/>
          <w:szCs w:val="28"/>
          <w:lang w:val="en-US" w:eastAsia="zh-CN"/>
        </w:rPr>
        <w:t>1.</w:t>
      </w:r>
      <w:r>
        <w:rPr>
          <w:rStyle w:val="30"/>
          <w:rFonts w:hint="eastAsia" w:ascii="宋体" w:hAnsi="Times New Roman" w:eastAsia="宋体" w:cs="宋体"/>
          <w:b/>
          <w:bCs/>
          <w:sz w:val="28"/>
          <w:szCs w:val="28"/>
          <w:lang w:val="en-US" w:eastAsia="zh-CN"/>
        </w:rPr>
        <w:t>2 安全模块</w:t>
      </w:r>
    </w:p>
    <w:p w14:paraId="58601D24">
      <w:pPr>
        <w:pStyle w:val="31"/>
        <w:shd w:val="clear" w:color="auto" w:fill="auto"/>
        <w:spacing w:after="189" w:line="360" w:lineRule="auto"/>
        <w:ind w:left="0" w:leftChars="0" w:firstLine="241" w:firstLineChars="100"/>
        <w:jc w:val="both"/>
        <w:outlineLvl w:val="3"/>
        <w:rPr>
          <w:rStyle w:val="30"/>
          <w:rFonts w:hint="default" w:ascii="宋体" w:hAnsi="Times New Roman" w:eastAsia="宋体" w:cs="宋体"/>
          <w:b/>
          <w:bCs/>
          <w:sz w:val="24"/>
          <w:szCs w:val="24"/>
          <w:lang w:val="en-US" w:eastAsia="zh-CN"/>
        </w:rPr>
      </w:pPr>
      <w:r>
        <w:rPr>
          <w:rStyle w:val="30"/>
          <w:rFonts w:hint="eastAsia" w:ascii="宋体" w:hAnsi="Times New Roman" w:eastAsia="宋体" w:cs="宋体"/>
          <w:b/>
          <w:bCs/>
          <w:sz w:val="24"/>
          <w:szCs w:val="24"/>
          <w:lang w:val="en-US" w:eastAsia="zh-CN"/>
        </w:rPr>
        <w:t>3.</w:t>
      </w:r>
      <w:r>
        <w:rPr>
          <w:rStyle w:val="30"/>
          <w:rFonts w:hint="eastAsia" w:hAnsi="Times New Roman" w:cs="宋体"/>
          <w:b/>
          <w:bCs/>
          <w:sz w:val="24"/>
          <w:szCs w:val="24"/>
          <w:lang w:val="en-US" w:eastAsia="zh-CN"/>
        </w:rPr>
        <w:t>1.2</w:t>
      </w:r>
      <w:r>
        <w:rPr>
          <w:rStyle w:val="30"/>
          <w:rFonts w:hint="default" w:ascii="宋体" w:hAnsi="Times New Roman" w:eastAsia="宋体" w:cs="宋体"/>
          <w:b/>
          <w:bCs/>
          <w:sz w:val="24"/>
          <w:szCs w:val="24"/>
          <w:lang w:val="en-US" w:eastAsia="zh-CN"/>
        </w:rPr>
        <w:t>.1 地图人员实时监控模块</w:t>
      </w:r>
    </w:p>
    <w:p w14:paraId="52626015">
      <w:pPr>
        <w:pStyle w:val="31"/>
        <w:shd w:val="clear" w:color="auto" w:fill="auto"/>
        <w:spacing w:after="189" w:line="360" w:lineRule="auto"/>
        <w:ind w:left="0" w:leftChars="0" w:firstLine="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该模块包含 2 项核心需求，重点实现全员位置可视化与派单状态动态管理：</w:t>
      </w:r>
    </w:p>
    <w:p w14:paraId="15537FA2">
      <w:pPr>
        <w:pStyle w:val="31"/>
        <w:shd w:val="clear" w:color="auto" w:fill="auto"/>
        <w:spacing w:after="189" w:line="360" w:lineRule="auto"/>
        <w:ind w:left="0" w:leftChars="0" w:firstLine="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（1）实时地图与全员打卡总览</w:t>
      </w:r>
    </w:p>
    <w:p w14:paraId="76EAF70F">
      <w:pPr>
        <w:pStyle w:val="31"/>
        <w:shd w:val="clear" w:color="auto" w:fill="auto"/>
        <w:spacing w:after="189" w:line="360" w:lineRule="auto"/>
        <w:ind w:left="0" w:leftChars="0" w:firstLine="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业务目标：在现有监理人员打卡定位基础上，扩展为全员实时地图监控，整合人员位置、打卡性质、出差流程与统计面板，保留现有搜索功能。</w:t>
      </w:r>
    </w:p>
    <w:p w14:paraId="45AE2C70">
      <w:pPr>
        <w:pStyle w:val="31"/>
        <w:shd w:val="clear" w:color="auto" w:fill="auto"/>
        <w:spacing w:after="189" w:line="360" w:lineRule="auto"/>
        <w:ind w:left="0" w:leftChars="0" w:firstLine="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功能范围：地图展示三类人员打卡信息：监理人员、外勤人员、本部人员，按打卡类型区分标点样式，出差状态作为附加标识展示。</w:t>
      </w:r>
    </w:p>
    <w:p w14:paraId="2DCDEFDA">
      <w:pPr>
        <w:pStyle w:val="31"/>
        <w:shd w:val="clear" w:color="auto" w:fill="auto"/>
        <w:spacing w:after="189" w:line="360" w:lineRule="auto"/>
        <w:ind w:left="0" w:leftChars="0" w:firstLine="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点击标点可查看位置明细，外勤人员展示打卡备注，出差 / 外勤人员展示关联流程表单内容。</w:t>
      </w:r>
    </w:p>
    <w:p w14:paraId="1BAC3348">
      <w:pPr>
        <w:pStyle w:val="31"/>
        <w:shd w:val="clear" w:color="auto" w:fill="auto"/>
        <w:spacing w:after="189" w:line="360" w:lineRule="auto"/>
        <w:ind w:left="0" w:leftChars="0" w:firstLine="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页面底部设联动统计面板与明细列表，默认展示全部人员，地图标点、统计数字、明细表口径需保持一致。</w:t>
      </w:r>
    </w:p>
    <w:p w14:paraId="7CF7D7E2">
      <w:pPr>
        <w:pStyle w:val="31"/>
        <w:shd w:val="clear" w:color="auto" w:fill="auto"/>
        <w:spacing w:after="189" w:line="360" w:lineRule="auto"/>
        <w:ind w:left="0" w:leftChars="0" w:firstLine="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权限规则：新增 “地图查看管理员” 权限；区域经理仅查看管辖人员信息，其他有权限角色默认查看全员信息。</w:t>
      </w:r>
    </w:p>
    <w:p w14:paraId="196C17BC">
      <w:pPr>
        <w:pStyle w:val="31"/>
        <w:shd w:val="clear" w:color="auto" w:fill="auto"/>
        <w:spacing w:after="189" w:line="360" w:lineRule="auto"/>
        <w:ind w:left="0" w:leftChars="0" w:firstLine="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统计与数据规则：统计项含应打卡、实际打卡、未打卡、请假、出差人数；技术服务人员不纳入展示；系统初始视图为 “全员、全口径、全量标点”。</w:t>
      </w:r>
    </w:p>
    <w:p w14:paraId="729ACAB6">
      <w:pPr>
        <w:pStyle w:val="31"/>
        <w:shd w:val="clear" w:color="auto" w:fill="auto"/>
        <w:spacing w:after="189" w:line="360" w:lineRule="auto"/>
        <w:ind w:left="0" w:leftChars="0" w:firstLine="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（2）地图人员派单动态过滤</w:t>
      </w:r>
    </w:p>
    <w:p w14:paraId="13FCD689">
      <w:pPr>
        <w:pStyle w:val="31"/>
        <w:shd w:val="clear" w:color="auto" w:fill="auto"/>
        <w:spacing w:after="189" w:line="360" w:lineRule="auto"/>
        <w:ind w:left="0" w:leftChars="0" w:firstLine="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默认显示策略：地图初始化时仅展示 “进行中”“未开始” 状态的派单标点，其他状态默认隐藏。</w:t>
      </w:r>
    </w:p>
    <w:p w14:paraId="4FC08E58">
      <w:pPr>
        <w:pStyle w:val="31"/>
        <w:shd w:val="clear" w:color="auto" w:fill="auto"/>
        <w:spacing w:after="189" w:line="360" w:lineRule="auto"/>
        <w:ind w:left="0" w:leftChars="0" w:firstLine="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筛选功能：新增 “执行状态” 筛选器，支持多选 / 单选控制标点显隐，实现动态视图切换。</w:t>
      </w:r>
    </w:p>
    <w:p w14:paraId="7CF49103">
      <w:pPr>
        <w:pStyle w:val="31"/>
        <w:shd w:val="clear" w:color="auto" w:fill="auto"/>
        <w:spacing w:after="189" w:line="360" w:lineRule="auto"/>
        <w:ind w:left="0" w:leftChars="0" w:firstLine="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数据同步要求：界面遮罩层（信息面板）的统计口径需与当前地图展示标点实时一致，确保 “所见即所得”。</w:t>
      </w:r>
    </w:p>
    <w:p w14:paraId="0A2296C2">
      <w:pPr>
        <w:pStyle w:val="31"/>
        <w:shd w:val="clear" w:color="auto" w:fill="auto"/>
        <w:spacing w:after="189" w:line="360" w:lineRule="auto"/>
        <w:ind w:left="0" w:leftChars="0" w:firstLine="241" w:firstLineChars="100"/>
        <w:jc w:val="both"/>
        <w:outlineLvl w:val="3"/>
        <w:rPr>
          <w:rStyle w:val="30"/>
          <w:rFonts w:hint="default" w:ascii="宋体" w:hAnsi="Times New Roman" w:eastAsia="宋体" w:cs="宋体"/>
          <w:b/>
          <w:bCs/>
          <w:sz w:val="24"/>
          <w:szCs w:val="24"/>
          <w:lang w:val="en-US" w:eastAsia="zh-CN"/>
        </w:rPr>
      </w:pPr>
      <w:r>
        <w:rPr>
          <w:rStyle w:val="30"/>
          <w:rFonts w:hint="eastAsia" w:ascii="宋体" w:hAnsi="Times New Roman" w:eastAsia="宋体" w:cs="宋体"/>
          <w:b/>
          <w:bCs/>
          <w:sz w:val="24"/>
          <w:szCs w:val="24"/>
          <w:lang w:val="en-US" w:eastAsia="zh-CN"/>
        </w:rPr>
        <w:t>3.</w:t>
      </w:r>
      <w:r>
        <w:rPr>
          <w:rStyle w:val="30"/>
          <w:rFonts w:hint="eastAsia" w:hAnsi="Times New Roman" w:cs="宋体"/>
          <w:b/>
          <w:bCs/>
          <w:sz w:val="24"/>
          <w:szCs w:val="24"/>
          <w:lang w:val="en-US" w:eastAsia="zh-CN"/>
        </w:rPr>
        <w:t>1.</w:t>
      </w:r>
      <w:r>
        <w:rPr>
          <w:rStyle w:val="30"/>
          <w:rFonts w:hint="default" w:ascii="宋体" w:hAnsi="Times New Roman" w:eastAsia="宋体" w:cs="宋体"/>
          <w:b/>
          <w:bCs/>
          <w:sz w:val="24"/>
          <w:szCs w:val="24"/>
          <w:lang w:val="en-US" w:eastAsia="zh-CN"/>
        </w:rPr>
        <w:t>2.</w:t>
      </w:r>
      <w:r>
        <w:rPr>
          <w:rStyle w:val="30"/>
          <w:rFonts w:hint="eastAsia" w:ascii="宋体" w:hAnsi="Times New Roman" w:eastAsia="宋体" w:cs="宋体"/>
          <w:b/>
          <w:bCs/>
          <w:sz w:val="24"/>
          <w:szCs w:val="24"/>
          <w:lang w:val="en-US" w:eastAsia="zh-CN"/>
        </w:rPr>
        <w:t>2</w:t>
      </w:r>
      <w:r>
        <w:rPr>
          <w:rStyle w:val="30"/>
          <w:rFonts w:hint="default" w:ascii="宋体" w:hAnsi="Times New Roman" w:eastAsia="宋体" w:cs="宋体"/>
          <w:b/>
          <w:bCs/>
          <w:sz w:val="24"/>
          <w:szCs w:val="24"/>
          <w:lang w:val="en-US" w:eastAsia="zh-CN"/>
        </w:rPr>
        <w:t xml:space="preserve"> 跨</w:t>
      </w:r>
      <w:r>
        <w:rPr>
          <w:rStyle w:val="30"/>
          <w:rFonts w:hint="eastAsia" w:ascii="宋体" w:hAnsi="Times New Roman" w:eastAsia="宋体" w:cs="宋体"/>
          <w:b/>
          <w:bCs/>
          <w:sz w:val="24"/>
          <w:szCs w:val="24"/>
          <w:lang w:val="en-US" w:eastAsia="zh-CN"/>
        </w:rPr>
        <w:t>模块</w:t>
      </w:r>
      <w:r>
        <w:rPr>
          <w:rStyle w:val="30"/>
          <w:rFonts w:hint="default" w:ascii="宋体" w:hAnsi="Times New Roman" w:eastAsia="宋体" w:cs="宋体"/>
          <w:b/>
          <w:bCs/>
          <w:sz w:val="24"/>
          <w:szCs w:val="24"/>
          <w:lang w:val="en-US" w:eastAsia="zh-CN"/>
        </w:rPr>
        <w:t>数据同步模块</w:t>
      </w:r>
    </w:p>
    <w:p w14:paraId="7680FA53">
      <w:pPr>
        <w:pStyle w:val="31"/>
        <w:shd w:val="clear" w:color="auto" w:fill="auto"/>
        <w:spacing w:after="189" w:line="360" w:lineRule="auto"/>
        <w:ind w:left="0" w:leftChars="0" w:firstLine="0" w:firstLineChars="0"/>
        <w:jc w:val="both"/>
        <w:rPr>
          <w:rStyle w:val="30"/>
          <w:rFonts w:hint="default" w:ascii="宋体" w:hAnsi="Times New Roman" w:eastAsia="宋体" w:cs="宋体"/>
          <w:b w:val="0"/>
          <w:bCs w:val="0"/>
          <w:sz w:val="24"/>
          <w:szCs w:val="24"/>
          <w:lang w:val="en-US" w:eastAsia="zh-CN"/>
        </w:rPr>
      </w:pPr>
      <w:r>
        <w:rPr>
          <w:rStyle w:val="30"/>
          <w:rFonts w:hint="eastAsia" w:hAnsi="Times New Roman" w:cs="宋体"/>
          <w:b w:val="0"/>
          <w:bCs w:val="0"/>
          <w:sz w:val="24"/>
          <w:szCs w:val="24"/>
          <w:lang w:val="en-US" w:eastAsia="zh-CN"/>
        </w:rPr>
        <w:t>综合管理</w:t>
      </w:r>
      <w:r>
        <w:rPr>
          <w:rStyle w:val="30"/>
          <w:rFonts w:hint="default" w:ascii="宋体" w:hAnsi="Times New Roman" w:eastAsia="宋体" w:cs="宋体"/>
          <w:b w:val="0"/>
          <w:bCs w:val="0"/>
          <w:sz w:val="24"/>
          <w:szCs w:val="24"/>
          <w:lang w:val="en-US" w:eastAsia="zh-CN"/>
        </w:rPr>
        <w:t>考勤数据同步：通过接口与定时任务，将</w:t>
      </w:r>
      <w:r>
        <w:rPr>
          <w:rStyle w:val="30"/>
          <w:rFonts w:hint="eastAsia" w:hAnsi="Times New Roman" w:cs="宋体"/>
          <w:b w:val="0"/>
          <w:bCs w:val="0"/>
          <w:sz w:val="24"/>
          <w:szCs w:val="24"/>
          <w:lang w:val="en-US" w:eastAsia="zh-CN"/>
        </w:rPr>
        <w:t>综合管理模块</w:t>
      </w:r>
      <w:r>
        <w:rPr>
          <w:rStyle w:val="30"/>
          <w:rFonts w:hint="default" w:ascii="宋体" w:hAnsi="Times New Roman" w:eastAsia="宋体" w:cs="宋体"/>
          <w:b w:val="0"/>
          <w:bCs w:val="0"/>
          <w:sz w:val="24"/>
          <w:szCs w:val="24"/>
          <w:lang w:val="en-US" w:eastAsia="zh-CN"/>
        </w:rPr>
        <w:t>考勤数据同步至</w:t>
      </w:r>
      <w:r>
        <w:rPr>
          <w:rStyle w:val="30"/>
          <w:rFonts w:hint="eastAsia" w:hAnsi="Times New Roman" w:cs="宋体"/>
          <w:b w:val="0"/>
          <w:bCs w:val="0"/>
          <w:sz w:val="24"/>
          <w:szCs w:val="24"/>
          <w:lang w:val="en-US" w:eastAsia="zh-CN"/>
        </w:rPr>
        <w:t>PECMS模块</w:t>
      </w:r>
      <w:r>
        <w:rPr>
          <w:rStyle w:val="30"/>
          <w:rFonts w:hint="default" w:ascii="宋体" w:hAnsi="Times New Roman" w:eastAsia="宋体" w:cs="宋体"/>
          <w:b w:val="0"/>
          <w:bCs w:val="0"/>
          <w:sz w:val="24"/>
          <w:szCs w:val="24"/>
          <w:lang w:val="en-US" w:eastAsia="zh-CN"/>
        </w:rPr>
        <w:t>（不含</w:t>
      </w:r>
      <w:r>
        <w:rPr>
          <w:rStyle w:val="30"/>
          <w:rFonts w:hint="eastAsia" w:hAnsi="Times New Roman" w:cs="宋体"/>
          <w:b w:val="0"/>
          <w:bCs w:val="0"/>
          <w:sz w:val="24"/>
          <w:szCs w:val="24"/>
          <w:lang w:val="en-US" w:eastAsia="zh-CN"/>
        </w:rPr>
        <w:t>综合管理</w:t>
      </w:r>
      <w:r>
        <w:rPr>
          <w:rStyle w:val="30"/>
          <w:rFonts w:hint="default" w:ascii="宋体" w:hAnsi="Times New Roman" w:eastAsia="宋体" w:cs="宋体"/>
          <w:b w:val="0"/>
          <w:bCs w:val="0"/>
          <w:sz w:val="24"/>
          <w:szCs w:val="24"/>
          <w:lang w:val="en-US" w:eastAsia="zh-CN"/>
        </w:rPr>
        <w:t>二开工作量），实现两个</w:t>
      </w:r>
      <w:r>
        <w:rPr>
          <w:rStyle w:val="30"/>
          <w:rFonts w:hint="eastAsia" w:hAnsi="Times New Roman" w:cs="宋体"/>
          <w:b w:val="0"/>
          <w:bCs w:val="0"/>
          <w:sz w:val="24"/>
          <w:szCs w:val="24"/>
          <w:lang w:val="en-US" w:eastAsia="zh-CN"/>
        </w:rPr>
        <w:t>模块</w:t>
      </w:r>
      <w:r>
        <w:rPr>
          <w:rStyle w:val="30"/>
          <w:rFonts w:hint="default" w:ascii="宋体" w:hAnsi="Times New Roman" w:eastAsia="宋体" w:cs="宋体"/>
          <w:b w:val="0"/>
          <w:bCs w:val="0"/>
          <w:sz w:val="24"/>
          <w:szCs w:val="24"/>
          <w:lang w:val="en-US" w:eastAsia="zh-CN"/>
        </w:rPr>
        <w:t>考勤数据的自动对齐，无需人工录入。</w:t>
      </w:r>
    </w:p>
    <w:p w14:paraId="67F54F19">
      <w:pPr>
        <w:pStyle w:val="31"/>
        <w:shd w:val="clear" w:color="auto" w:fill="auto"/>
        <w:spacing w:after="189" w:line="360" w:lineRule="auto"/>
        <w:ind w:left="0" w:leftChars="0" w:firstLine="241" w:firstLineChars="100"/>
        <w:jc w:val="both"/>
        <w:outlineLvl w:val="3"/>
        <w:rPr>
          <w:rStyle w:val="30"/>
          <w:rFonts w:hint="default" w:ascii="宋体" w:hAnsi="Times New Roman" w:eastAsia="宋体" w:cs="宋体"/>
          <w:b/>
          <w:bCs/>
          <w:sz w:val="24"/>
          <w:szCs w:val="24"/>
          <w:lang w:val="en-US" w:eastAsia="zh-CN"/>
        </w:rPr>
      </w:pPr>
      <w:r>
        <w:rPr>
          <w:rStyle w:val="30"/>
          <w:rFonts w:hint="eastAsia" w:ascii="宋体" w:hAnsi="Times New Roman" w:eastAsia="宋体" w:cs="宋体"/>
          <w:b/>
          <w:bCs/>
          <w:sz w:val="24"/>
          <w:szCs w:val="24"/>
          <w:lang w:val="en-US" w:eastAsia="zh-CN"/>
        </w:rPr>
        <w:t>3.</w:t>
      </w:r>
      <w:r>
        <w:rPr>
          <w:rStyle w:val="30"/>
          <w:rFonts w:hint="eastAsia" w:hAnsi="Times New Roman" w:cs="宋体"/>
          <w:b/>
          <w:bCs/>
          <w:sz w:val="24"/>
          <w:szCs w:val="24"/>
          <w:lang w:val="en-US" w:eastAsia="zh-CN"/>
        </w:rPr>
        <w:t>1.</w:t>
      </w:r>
      <w:r>
        <w:rPr>
          <w:rStyle w:val="30"/>
          <w:rFonts w:hint="default" w:ascii="宋体" w:hAnsi="Times New Roman" w:eastAsia="宋体" w:cs="宋体"/>
          <w:b/>
          <w:bCs/>
          <w:sz w:val="24"/>
          <w:szCs w:val="24"/>
          <w:lang w:val="en-US" w:eastAsia="zh-CN"/>
        </w:rPr>
        <w:t>2.3 人员动态台账管理模块</w:t>
      </w:r>
    </w:p>
    <w:p w14:paraId="6B9A5879">
      <w:pPr>
        <w:pStyle w:val="31"/>
        <w:shd w:val="clear" w:color="auto" w:fill="auto"/>
        <w:spacing w:after="189" w:line="360" w:lineRule="auto"/>
        <w:ind w:left="0" w:leftChars="0" w:firstLine="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执行部人员动态台账</w:t>
      </w:r>
      <w:r>
        <w:rPr>
          <w:rStyle w:val="30"/>
          <w:rFonts w:hint="eastAsia" w:ascii="宋体" w:hAnsi="Times New Roman" w:eastAsia="宋体" w:cs="宋体"/>
          <w:b w:val="0"/>
          <w:bCs w:val="0"/>
          <w:sz w:val="24"/>
          <w:szCs w:val="24"/>
          <w:lang w:val="en-US" w:eastAsia="zh-CN"/>
        </w:rPr>
        <w:t>：</w:t>
      </w:r>
      <w:r>
        <w:rPr>
          <w:rStyle w:val="30"/>
          <w:rFonts w:hint="default" w:ascii="宋体" w:hAnsi="Times New Roman" w:eastAsia="宋体" w:cs="宋体"/>
          <w:b w:val="0"/>
          <w:bCs w:val="0"/>
          <w:sz w:val="24"/>
          <w:szCs w:val="24"/>
          <w:lang w:val="en-US" w:eastAsia="zh-CN"/>
        </w:rPr>
        <w:t>以执行部线下在线文档为对标，在</w:t>
      </w:r>
      <w:r>
        <w:rPr>
          <w:rStyle w:val="30"/>
          <w:rFonts w:hint="eastAsia" w:hAnsi="Times New Roman" w:cs="宋体"/>
          <w:b w:val="0"/>
          <w:bCs w:val="0"/>
          <w:sz w:val="24"/>
          <w:szCs w:val="24"/>
          <w:lang w:val="en-US" w:eastAsia="zh-CN"/>
        </w:rPr>
        <w:t>安全管理模块</w:t>
      </w:r>
      <w:r>
        <w:rPr>
          <w:rStyle w:val="30"/>
          <w:rFonts w:hint="default" w:ascii="宋体" w:hAnsi="Times New Roman" w:eastAsia="宋体" w:cs="宋体"/>
          <w:b w:val="0"/>
          <w:bCs w:val="0"/>
          <w:sz w:val="24"/>
          <w:szCs w:val="24"/>
          <w:lang w:val="en-US" w:eastAsia="zh-CN"/>
        </w:rPr>
        <w:t>建设动态台账，替代线下表格。</w:t>
      </w:r>
    </w:p>
    <w:p w14:paraId="0EC6EB52">
      <w:pPr>
        <w:pStyle w:val="31"/>
        <w:shd w:val="clear" w:color="auto" w:fill="auto"/>
        <w:spacing w:after="189" w:line="360" w:lineRule="auto"/>
        <w:ind w:left="0" w:leftChars="0" w:firstLine="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数据归属规则：基础数据来源于 PECMS，同步至</w:t>
      </w:r>
      <w:r>
        <w:rPr>
          <w:rStyle w:val="30"/>
          <w:rFonts w:hint="eastAsia" w:hAnsi="Times New Roman" w:cs="宋体"/>
          <w:b w:val="0"/>
          <w:bCs w:val="0"/>
          <w:sz w:val="24"/>
          <w:szCs w:val="24"/>
          <w:lang w:val="en-US" w:eastAsia="zh-CN"/>
        </w:rPr>
        <w:t>安全管理模块</w:t>
      </w:r>
      <w:r>
        <w:rPr>
          <w:rStyle w:val="30"/>
          <w:rFonts w:hint="default" w:ascii="宋体" w:hAnsi="Times New Roman" w:eastAsia="宋体" w:cs="宋体"/>
          <w:b w:val="0"/>
          <w:bCs w:val="0"/>
          <w:sz w:val="24"/>
          <w:szCs w:val="24"/>
          <w:lang w:val="en-US" w:eastAsia="zh-CN"/>
        </w:rPr>
        <w:t>后进行业务操作。</w:t>
      </w:r>
      <w:r>
        <w:rPr>
          <w:rStyle w:val="30"/>
          <w:rFonts w:hint="eastAsia" w:hAnsi="Times New Roman" w:cs="宋体"/>
          <w:b w:val="0"/>
          <w:bCs w:val="0"/>
          <w:sz w:val="24"/>
          <w:szCs w:val="24"/>
          <w:lang w:val="en-US" w:eastAsia="zh-CN"/>
        </w:rPr>
        <w:t>安全管理模块</w:t>
      </w:r>
      <w:r>
        <w:rPr>
          <w:rStyle w:val="30"/>
          <w:rFonts w:hint="default" w:ascii="宋体" w:hAnsi="Times New Roman" w:eastAsia="宋体" w:cs="宋体"/>
          <w:b w:val="0"/>
          <w:bCs w:val="0"/>
          <w:sz w:val="24"/>
          <w:szCs w:val="24"/>
          <w:lang w:val="en-US" w:eastAsia="zh-CN"/>
        </w:rPr>
        <w:t>编辑结果不反写 PECMS 原始数据，若存在覆盖记录，以</w:t>
      </w:r>
      <w:r>
        <w:rPr>
          <w:rStyle w:val="30"/>
          <w:rFonts w:hint="eastAsia" w:hAnsi="Times New Roman" w:cs="宋体"/>
          <w:b w:val="0"/>
          <w:bCs w:val="0"/>
          <w:sz w:val="24"/>
          <w:szCs w:val="24"/>
          <w:lang w:val="en-US" w:eastAsia="zh-CN"/>
        </w:rPr>
        <w:t>安全管理模块</w:t>
      </w:r>
      <w:r>
        <w:rPr>
          <w:rStyle w:val="30"/>
          <w:rFonts w:hint="default" w:ascii="宋体" w:hAnsi="Times New Roman" w:eastAsia="宋体" w:cs="宋体"/>
          <w:b w:val="0"/>
          <w:bCs w:val="0"/>
          <w:sz w:val="24"/>
          <w:szCs w:val="24"/>
          <w:lang w:val="en-US" w:eastAsia="zh-CN"/>
        </w:rPr>
        <w:t>数据为准。</w:t>
      </w:r>
    </w:p>
    <w:p w14:paraId="73D61CFA">
      <w:pPr>
        <w:pStyle w:val="31"/>
        <w:shd w:val="clear" w:color="auto" w:fill="auto"/>
        <w:spacing w:after="189" w:line="360" w:lineRule="auto"/>
        <w:ind w:left="0" w:leftChars="0" w:firstLine="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功能要求：覆盖派单执行情况管理的核心场景，列表所有字段支持筛选。页面右侧图内标记信息可直接修改，支持编辑派单状态（执行状态）、实际开始时间、预计完工时间。</w:t>
      </w:r>
    </w:p>
    <w:p w14:paraId="4F672A28">
      <w:pPr>
        <w:pStyle w:val="31"/>
        <w:shd w:val="clear" w:color="auto" w:fill="auto"/>
        <w:spacing w:after="189" w:line="360" w:lineRule="auto"/>
        <w:ind w:left="0" w:leftChars="0" w:firstLine="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提供 “派单辅助人员变更” 查看入口，支持查看历史变更记录。权限控制：数据操作权限收口至</w:t>
      </w:r>
      <w:r>
        <w:rPr>
          <w:rStyle w:val="30"/>
          <w:rFonts w:hint="eastAsia" w:hAnsi="Times New Roman" w:cs="宋体"/>
          <w:b w:val="0"/>
          <w:bCs w:val="0"/>
          <w:sz w:val="24"/>
          <w:szCs w:val="24"/>
          <w:lang w:val="en-US" w:eastAsia="zh-CN"/>
        </w:rPr>
        <w:t>安全管理模块</w:t>
      </w:r>
      <w:r>
        <w:rPr>
          <w:rStyle w:val="30"/>
          <w:rFonts w:hint="default" w:ascii="宋体" w:hAnsi="Times New Roman" w:eastAsia="宋体" w:cs="宋体"/>
          <w:b w:val="0"/>
          <w:bCs w:val="0"/>
          <w:sz w:val="24"/>
          <w:szCs w:val="24"/>
          <w:lang w:val="en-US" w:eastAsia="zh-CN"/>
        </w:rPr>
        <w:t>，编辑行为仅作用于</w:t>
      </w:r>
      <w:r>
        <w:rPr>
          <w:rStyle w:val="30"/>
          <w:rFonts w:hint="eastAsia" w:hAnsi="Times New Roman" w:cs="宋体"/>
          <w:b w:val="0"/>
          <w:bCs w:val="0"/>
          <w:sz w:val="24"/>
          <w:szCs w:val="24"/>
          <w:lang w:val="en-US" w:eastAsia="zh-CN"/>
        </w:rPr>
        <w:t>安全管理模块</w:t>
      </w:r>
      <w:r>
        <w:rPr>
          <w:rStyle w:val="30"/>
          <w:rFonts w:hint="default" w:ascii="宋体" w:hAnsi="Times New Roman" w:eastAsia="宋体" w:cs="宋体"/>
          <w:b w:val="0"/>
          <w:bCs w:val="0"/>
          <w:sz w:val="24"/>
          <w:szCs w:val="24"/>
          <w:lang w:val="en-US" w:eastAsia="zh-CN"/>
        </w:rPr>
        <w:t>台账。</w:t>
      </w:r>
    </w:p>
    <w:p w14:paraId="0CC40916">
      <w:pPr>
        <w:pStyle w:val="31"/>
        <w:shd w:val="clear" w:color="auto" w:fill="auto"/>
        <w:spacing w:after="189" w:line="360" w:lineRule="auto"/>
        <w:ind w:left="0" w:leftChars="0" w:firstLine="241" w:firstLineChars="100"/>
        <w:jc w:val="both"/>
        <w:outlineLvl w:val="3"/>
        <w:rPr>
          <w:rStyle w:val="30"/>
          <w:rFonts w:hint="default" w:ascii="宋体" w:hAnsi="Times New Roman" w:eastAsia="宋体" w:cs="宋体"/>
          <w:b/>
          <w:bCs/>
          <w:sz w:val="24"/>
          <w:szCs w:val="24"/>
          <w:lang w:val="en-US" w:eastAsia="zh-CN"/>
        </w:rPr>
      </w:pPr>
      <w:r>
        <w:rPr>
          <w:rStyle w:val="30"/>
          <w:rFonts w:hint="eastAsia" w:ascii="宋体" w:hAnsi="Times New Roman" w:eastAsia="宋体" w:cs="宋体"/>
          <w:b/>
          <w:bCs/>
          <w:sz w:val="24"/>
          <w:szCs w:val="24"/>
          <w:lang w:val="en-US" w:eastAsia="zh-CN"/>
        </w:rPr>
        <w:t>3.</w:t>
      </w:r>
      <w:r>
        <w:rPr>
          <w:rStyle w:val="30"/>
          <w:rFonts w:hint="eastAsia" w:hAnsi="Times New Roman" w:cs="宋体"/>
          <w:b/>
          <w:bCs/>
          <w:sz w:val="24"/>
          <w:szCs w:val="24"/>
          <w:lang w:val="en-US" w:eastAsia="zh-CN"/>
        </w:rPr>
        <w:t>1.</w:t>
      </w:r>
      <w:r>
        <w:rPr>
          <w:rStyle w:val="30"/>
          <w:rFonts w:hint="default" w:ascii="宋体" w:hAnsi="Times New Roman" w:eastAsia="宋体" w:cs="宋体"/>
          <w:b/>
          <w:bCs/>
          <w:sz w:val="24"/>
          <w:szCs w:val="24"/>
          <w:lang w:val="en-US" w:eastAsia="zh-CN"/>
        </w:rPr>
        <w:t>2.</w:t>
      </w:r>
      <w:r>
        <w:rPr>
          <w:rStyle w:val="30"/>
          <w:rFonts w:hint="eastAsia" w:ascii="宋体" w:hAnsi="Times New Roman" w:eastAsia="宋体" w:cs="宋体"/>
          <w:b/>
          <w:bCs/>
          <w:sz w:val="24"/>
          <w:szCs w:val="24"/>
          <w:lang w:val="en-US" w:eastAsia="zh-CN"/>
        </w:rPr>
        <w:t>4</w:t>
      </w:r>
      <w:r>
        <w:rPr>
          <w:rStyle w:val="30"/>
          <w:rFonts w:hint="default" w:ascii="宋体" w:hAnsi="Times New Roman" w:eastAsia="宋体" w:cs="宋体"/>
          <w:b/>
          <w:bCs/>
          <w:sz w:val="24"/>
          <w:szCs w:val="24"/>
          <w:lang w:val="en-US" w:eastAsia="zh-CN"/>
        </w:rPr>
        <w:t xml:space="preserve"> 培训考试管理优化模块</w:t>
      </w:r>
    </w:p>
    <w:p w14:paraId="3BC60B23">
      <w:pPr>
        <w:pStyle w:val="31"/>
        <w:shd w:val="clear" w:color="auto" w:fill="auto"/>
        <w:spacing w:after="189" w:line="360" w:lineRule="auto"/>
        <w:ind w:left="0" w:leftChars="0" w:firstLine="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该模块包含 3 项需求，聚焦于人员分类管理、权限控制与时效监控：</w:t>
      </w:r>
    </w:p>
    <w:p w14:paraId="08E4FC94">
      <w:pPr>
        <w:pStyle w:val="31"/>
        <w:shd w:val="clear" w:color="auto" w:fill="auto"/>
        <w:spacing w:after="189" w:line="360" w:lineRule="auto"/>
        <w:ind w:left="0" w:leftChars="0" w:firstLine="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（1）人员性质管理</w:t>
      </w:r>
    </w:p>
    <w:p w14:paraId="302E46E5">
      <w:pPr>
        <w:pStyle w:val="31"/>
        <w:shd w:val="clear" w:color="auto" w:fill="auto"/>
        <w:spacing w:after="189" w:line="360" w:lineRule="auto"/>
        <w:ind w:left="0" w:leftChars="0" w:firstLine="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功能范围：在培训人员列表、考试人员列表新增 “人员性质” 字段，所有列表字段支持搜索，搜索框按字段补全。</w:t>
      </w:r>
    </w:p>
    <w:p w14:paraId="3A7C22B6">
      <w:pPr>
        <w:pStyle w:val="31"/>
        <w:shd w:val="clear" w:color="auto" w:fill="auto"/>
        <w:spacing w:after="189" w:line="360" w:lineRule="auto"/>
        <w:ind w:left="0" w:leftChars="0" w:firstLine="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管理功能：新增 “人员性质管理” 模块，支持创建人员性质、批量分配人员性质，在用户管理中维护该字段。</w:t>
      </w:r>
    </w:p>
    <w:p w14:paraId="275DF0DF">
      <w:pPr>
        <w:pStyle w:val="31"/>
        <w:shd w:val="clear" w:color="auto" w:fill="auto"/>
        <w:spacing w:after="189" w:line="360" w:lineRule="auto"/>
        <w:ind w:left="0" w:leftChars="0" w:firstLine="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页面影响：覆盖培训 / 考试人员列表、用户管理列表 / 详情 / 新增 / 编辑页、人员性质专项管理页。</w:t>
      </w:r>
    </w:p>
    <w:p w14:paraId="786E435C">
      <w:pPr>
        <w:pStyle w:val="31"/>
        <w:shd w:val="clear" w:color="auto" w:fill="auto"/>
        <w:spacing w:after="189" w:line="360" w:lineRule="auto"/>
        <w:ind w:left="0" w:leftChars="0" w:firstLine="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业务规则：人员与性质为一对多关系（一个用户仅一个性质，一个性质可绑定多用户），维护交互参考现有 “角色 / 部门选择” 方式。</w:t>
      </w:r>
    </w:p>
    <w:p w14:paraId="6113E869">
      <w:pPr>
        <w:pStyle w:val="31"/>
        <w:shd w:val="clear" w:color="auto" w:fill="auto"/>
        <w:spacing w:after="189" w:line="360" w:lineRule="auto"/>
        <w:ind w:left="0" w:leftChars="0" w:firstLine="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（2）类型分类与权限分配</w:t>
      </w:r>
    </w:p>
    <w:p w14:paraId="182B97C9">
      <w:pPr>
        <w:pStyle w:val="31"/>
        <w:shd w:val="clear" w:color="auto" w:fill="auto"/>
        <w:spacing w:after="189" w:line="360" w:lineRule="auto"/>
        <w:ind w:left="0" w:leftChars="0" w:firstLine="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分类结构升级：将考试/培训类型从单级字典改为树形分类，满足现阶段二级分类需求，支持后续扩展至不限层级，独立为配置模块。</w:t>
      </w:r>
    </w:p>
    <w:p w14:paraId="20B90297">
      <w:pPr>
        <w:pStyle w:val="31"/>
        <w:shd w:val="clear" w:color="auto" w:fill="auto"/>
        <w:spacing w:after="189" w:line="360" w:lineRule="auto"/>
        <w:ind w:left="0" w:leftChars="0" w:firstLine="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权限规则：管理员查看全部类型与数据，角色管理员仅查看授权范围内数据，一个角色可管理多个一级类型。</w:t>
      </w:r>
    </w:p>
    <w:p w14:paraId="3235141F">
      <w:pPr>
        <w:pStyle w:val="31"/>
        <w:shd w:val="clear" w:color="auto" w:fill="auto"/>
        <w:spacing w:after="189" w:line="360" w:lineRule="auto"/>
        <w:ind w:left="0" w:leftChars="0" w:firstLine="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安环部管理账号默认展示对应分类内容（规则可配置），统计报表按管理账号分配权限，admin账号默认查看全部。</w:t>
      </w:r>
    </w:p>
    <w:p w14:paraId="6EF96260">
      <w:pPr>
        <w:pStyle w:val="31"/>
        <w:shd w:val="clear" w:color="auto" w:fill="auto"/>
        <w:spacing w:after="189" w:line="360" w:lineRule="auto"/>
        <w:ind w:left="0" w:leftChars="0" w:firstLine="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页面要求：考试/培训管理页面按角色权限过滤数据，类型筛选控件改为树形下拉框。</w:t>
      </w:r>
    </w:p>
    <w:p w14:paraId="5D6AA66E">
      <w:pPr>
        <w:pStyle w:val="31"/>
        <w:shd w:val="clear" w:color="auto" w:fill="auto"/>
        <w:spacing w:after="189" w:line="360" w:lineRule="auto"/>
        <w:ind w:left="0" w:leftChars="0" w:firstLine="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选择某类型时，默认展示其及所有子级类型数据，兼容按层级筛选需求。</w:t>
      </w:r>
    </w:p>
    <w:p w14:paraId="30205080">
      <w:pPr>
        <w:pStyle w:val="31"/>
        <w:shd w:val="clear" w:color="auto" w:fill="auto"/>
        <w:spacing w:after="189" w:line="360" w:lineRule="auto"/>
        <w:ind w:left="0" w:leftChars="0" w:firstLine="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（3）完成时效与催办规则</w:t>
      </w:r>
    </w:p>
    <w:p w14:paraId="0CFA3163">
      <w:pPr>
        <w:pStyle w:val="31"/>
        <w:shd w:val="clear" w:color="auto" w:fill="auto"/>
        <w:spacing w:after="189" w:line="360" w:lineRule="auto"/>
        <w:ind w:left="0" w:leftChars="0" w:firstLine="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时效监控：培训与考试任务增加完成倒计时（按 “天” 计算），直观展示剩余时间。</w:t>
      </w:r>
    </w:p>
    <w:p w14:paraId="1AD8959D">
      <w:pPr>
        <w:pStyle w:val="31"/>
        <w:shd w:val="clear" w:color="auto" w:fill="auto"/>
        <w:spacing w:after="189" w:line="360" w:lineRule="auto"/>
        <w:ind w:left="0" w:leftChars="0" w:firstLine="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催办机制：对未完成人员发送邮件提醒，邮件中需包含剩余天数。</w:t>
      </w:r>
    </w:p>
    <w:p w14:paraId="06EED422">
      <w:pPr>
        <w:pStyle w:val="31"/>
        <w:shd w:val="clear" w:color="auto" w:fill="auto"/>
        <w:spacing w:after="189" w:line="360" w:lineRule="auto"/>
        <w:ind w:left="0" w:leftChars="0" w:firstLine="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自动判定：倒计时结束未完成的，系统自动判定为 “不合格” 并记录留痕，便于后续追溯。</w:t>
      </w:r>
    </w:p>
    <w:p w14:paraId="07909FAC">
      <w:pPr>
        <w:pStyle w:val="31"/>
        <w:shd w:val="clear" w:color="auto" w:fill="auto"/>
        <w:spacing w:after="189" w:line="360" w:lineRule="auto"/>
        <w:ind w:left="0" w:leftChars="0" w:firstLine="241" w:firstLineChars="100"/>
        <w:jc w:val="both"/>
        <w:outlineLvl w:val="3"/>
        <w:rPr>
          <w:rStyle w:val="30"/>
          <w:rFonts w:hint="default" w:ascii="宋体" w:hAnsi="Times New Roman" w:eastAsia="宋体" w:cs="宋体"/>
          <w:b/>
          <w:bCs/>
          <w:sz w:val="24"/>
          <w:szCs w:val="24"/>
          <w:lang w:val="en-US" w:eastAsia="zh-CN"/>
        </w:rPr>
      </w:pPr>
      <w:r>
        <w:rPr>
          <w:rStyle w:val="30"/>
          <w:rFonts w:hint="eastAsia" w:ascii="宋体" w:hAnsi="Times New Roman" w:eastAsia="宋体" w:cs="宋体"/>
          <w:b/>
          <w:bCs/>
          <w:sz w:val="24"/>
          <w:szCs w:val="24"/>
          <w:lang w:val="en-US" w:eastAsia="zh-CN"/>
        </w:rPr>
        <w:t>3.</w:t>
      </w:r>
      <w:r>
        <w:rPr>
          <w:rStyle w:val="30"/>
          <w:rFonts w:hint="eastAsia" w:hAnsi="Times New Roman" w:cs="宋体"/>
          <w:b/>
          <w:bCs/>
          <w:sz w:val="24"/>
          <w:szCs w:val="24"/>
          <w:lang w:val="en-US" w:eastAsia="zh-CN"/>
        </w:rPr>
        <w:t>1.</w:t>
      </w:r>
      <w:r>
        <w:rPr>
          <w:rStyle w:val="30"/>
          <w:rFonts w:hint="default" w:ascii="宋体" w:hAnsi="Times New Roman" w:eastAsia="宋体" w:cs="宋体"/>
          <w:b/>
          <w:bCs/>
          <w:sz w:val="24"/>
          <w:szCs w:val="24"/>
          <w:lang w:val="en-US" w:eastAsia="zh-CN"/>
        </w:rPr>
        <w:t>2.5 权限精细化控制模块</w:t>
      </w:r>
    </w:p>
    <w:p w14:paraId="08621A2A">
      <w:pPr>
        <w:pStyle w:val="31"/>
        <w:shd w:val="clear" w:color="auto" w:fill="auto"/>
        <w:spacing w:after="189" w:line="360" w:lineRule="auto"/>
        <w:ind w:left="0" w:leftChars="0" w:firstLine="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统计报表权限：按管理账号分配 “统计报表” 查看权限，admin 账号默认查看全部报表数据。</w:t>
      </w:r>
    </w:p>
    <w:p w14:paraId="1BE2CDE9">
      <w:pPr>
        <w:pStyle w:val="31"/>
        <w:shd w:val="clear" w:color="auto" w:fill="auto"/>
        <w:spacing w:after="189" w:line="360" w:lineRule="auto"/>
        <w:ind w:left="0" w:leftChars="0" w:firstLine="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培训材料功能完善：优化培训材料阅读页面 “缩小” 功能，确保缩小后可恢复至原始大小，提升阅读体验。</w:t>
      </w:r>
    </w:p>
    <w:p w14:paraId="31420B50">
      <w:pPr>
        <w:pStyle w:val="31"/>
        <w:shd w:val="clear" w:color="auto" w:fill="auto"/>
        <w:spacing w:after="189" w:line="360" w:lineRule="auto"/>
        <w:ind w:left="0" w:leftChars="0" w:firstLine="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筛选功能补充：系统管理 -“用户管理” 新增部门、人员性质筛选；“通讯录” 新增人员性质筛选，便于快速定位目标人员。</w:t>
      </w:r>
    </w:p>
    <w:p w14:paraId="6F007E4E">
      <w:pPr>
        <w:pStyle w:val="31"/>
        <w:shd w:val="clear" w:color="auto" w:fill="auto"/>
        <w:spacing w:after="189" w:line="360" w:lineRule="auto"/>
        <w:ind w:left="0" w:leftChars="0" w:firstLine="0" w:firstLineChars="0"/>
        <w:jc w:val="both"/>
        <w:outlineLvl w:val="2"/>
        <w:rPr>
          <w:rStyle w:val="30"/>
          <w:rFonts w:hint="eastAsia" w:ascii="宋体" w:hAnsi="Times New Roman" w:eastAsia="宋体" w:cs="宋体"/>
          <w:b/>
          <w:bCs/>
          <w:sz w:val="28"/>
          <w:szCs w:val="28"/>
          <w:lang w:val="en-US" w:eastAsia="zh-CN"/>
        </w:rPr>
      </w:pPr>
      <w:r>
        <w:rPr>
          <w:rStyle w:val="30"/>
          <w:rFonts w:hint="eastAsia" w:ascii="宋体" w:hAnsi="Times New Roman" w:eastAsia="宋体" w:cs="宋体"/>
          <w:b/>
          <w:bCs/>
          <w:sz w:val="28"/>
          <w:szCs w:val="28"/>
          <w:lang w:val="en-US" w:eastAsia="zh-CN"/>
        </w:rPr>
        <w:t>3.1.3 APP开发需求</w:t>
      </w:r>
    </w:p>
    <w:p w14:paraId="4B62A680">
      <w:pPr>
        <w:pStyle w:val="31"/>
        <w:shd w:val="clear" w:color="auto" w:fill="auto"/>
        <w:spacing w:after="189" w:line="360" w:lineRule="auto"/>
        <w:ind w:left="0" w:leftChars="0" w:firstLine="241" w:firstLineChars="100"/>
        <w:jc w:val="both"/>
        <w:outlineLvl w:val="3"/>
        <w:rPr>
          <w:rStyle w:val="30"/>
          <w:rFonts w:hint="default" w:ascii="宋体" w:hAnsi="Times New Roman" w:eastAsia="宋体" w:cs="宋体"/>
          <w:b/>
          <w:bCs/>
          <w:sz w:val="24"/>
          <w:szCs w:val="24"/>
          <w:lang w:val="en-US" w:eastAsia="zh-CN"/>
        </w:rPr>
      </w:pPr>
      <w:r>
        <w:rPr>
          <w:rStyle w:val="30"/>
          <w:rFonts w:hint="eastAsia" w:ascii="宋体" w:hAnsi="Times New Roman" w:eastAsia="宋体" w:cs="宋体"/>
          <w:b/>
          <w:bCs/>
          <w:sz w:val="24"/>
          <w:szCs w:val="24"/>
          <w:lang w:val="en-US" w:eastAsia="zh-CN"/>
        </w:rPr>
        <w:t>3.</w:t>
      </w:r>
      <w:r>
        <w:rPr>
          <w:rStyle w:val="30"/>
          <w:rFonts w:hint="eastAsia" w:hAnsi="Times New Roman" w:cs="宋体"/>
          <w:b/>
          <w:bCs/>
          <w:sz w:val="24"/>
          <w:szCs w:val="24"/>
          <w:lang w:val="en-US" w:eastAsia="zh-CN"/>
        </w:rPr>
        <w:t>1.</w:t>
      </w:r>
      <w:r>
        <w:rPr>
          <w:rStyle w:val="30"/>
          <w:rFonts w:hint="eastAsia" w:ascii="宋体" w:hAnsi="Times New Roman" w:eastAsia="宋体" w:cs="宋体"/>
          <w:b/>
          <w:bCs/>
          <w:sz w:val="24"/>
          <w:szCs w:val="24"/>
          <w:lang w:val="en-US" w:eastAsia="zh-CN"/>
        </w:rPr>
        <w:t>3.1</w:t>
      </w:r>
      <w:r>
        <w:rPr>
          <w:rStyle w:val="30"/>
          <w:rFonts w:hint="default" w:ascii="宋体" w:hAnsi="Times New Roman" w:eastAsia="宋体" w:cs="宋体"/>
          <w:b/>
          <w:bCs/>
          <w:sz w:val="24"/>
          <w:szCs w:val="24"/>
          <w:lang w:val="en-US" w:eastAsia="zh-CN"/>
        </w:rPr>
        <w:t xml:space="preserve"> 消息通知功能</w:t>
      </w:r>
    </w:p>
    <w:p w14:paraId="3B82A346">
      <w:pPr>
        <w:pStyle w:val="31"/>
        <w:shd w:val="clear" w:color="auto" w:fill="auto"/>
        <w:spacing w:after="189" w:line="360" w:lineRule="auto"/>
        <w:ind w:left="0" w:leftChars="0" w:firstLine="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该模块包含 4 条需求，重点解决 APP 消息触达不及时、分类不清晰、操作不连贯的问题：</w:t>
      </w:r>
    </w:p>
    <w:p w14:paraId="0564637B">
      <w:pPr>
        <w:pStyle w:val="31"/>
        <w:shd w:val="clear" w:color="auto" w:fill="auto"/>
        <w:spacing w:after="189" w:line="360" w:lineRule="auto"/>
        <w:ind w:left="0" w:leftChars="0" w:firstLine="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（1）消息实时提醒</w:t>
      </w:r>
    </w:p>
    <w:p w14:paraId="417A004F">
      <w:pPr>
        <w:pStyle w:val="31"/>
        <w:shd w:val="clear" w:color="auto" w:fill="auto"/>
        <w:spacing w:after="189" w:line="360" w:lineRule="auto"/>
        <w:ind w:left="0" w:leftChars="0" w:firstLine="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针对当前 APP 派单审批 / 驳回后发起者无提示的问题，新增消息弹出提醒功能。</w:t>
      </w:r>
    </w:p>
    <w:p w14:paraId="4BDC2D4B">
      <w:pPr>
        <w:pStyle w:val="31"/>
        <w:shd w:val="clear" w:color="auto" w:fill="auto"/>
        <w:spacing w:after="189" w:line="360" w:lineRule="auto"/>
        <w:ind w:left="0" w:leftChars="0" w:firstLine="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触发场景包括：待办通知（如需要用户处理的审批任务）、已发起派单的处理结果通知（如审批通过 / 驳回）。</w:t>
      </w:r>
    </w:p>
    <w:p w14:paraId="5CA99E10">
      <w:pPr>
        <w:pStyle w:val="31"/>
        <w:shd w:val="clear" w:color="auto" w:fill="auto"/>
        <w:spacing w:after="189" w:line="360" w:lineRule="auto"/>
        <w:ind w:left="0" w:leftChars="0" w:firstLine="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目标是让项目经理及时获取人员安排结果，避免信息滞后。</w:t>
      </w:r>
    </w:p>
    <w:p w14:paraId="1F04E9A2">
      <w:pPr>
        <w:pStyle w:val="31"/>
        <w:shd w:val="clear" w:color="auto" w:fill="auto"/>
        <w:spacing w:after="189" w:line="360" w:lineRule="auto"/>
        <w:ind w:left="0" w:leftChars="0" w:firstLine="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（2）消息角标展示</w:t>
      </w:r>
    </w:p>
    <w:p w14:paraId="273A8B28">
      <w:pPr>
        <w:pStyle w:val="31"/>
        <w:shd w:val="clear" w:color="auto" w:fill="auto"/>
        <w:spacing w:after="189" w:line="360" w:lineRule="auto"/>
        <w:ind w:left="0" w:leftChars="0" w:firstLine="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APP 全局角标：显示各</w:t>
      </w:r>
      <w:r>
        <w:rPr>
          <w:rStyle w:val="30"/>
          <w:rFonts w:hint="eastAsia" w:hAnsi="Times New Roman" w:cs="宋体"/>
          <w:b w:val="0"/>
          <w:bCs w:val="0"/>
          <w:sz w:val="24"/>
          <w:szCs w:val="24"/>
          <w:lang w:val="en-US" w:eastAsia="zh-CN"/>
        </w:rPr>
        <w:t>模块</w:t>
      </w:r>
      <w:r>
        <w:rPr>
          <w:rStyle w:val="30"/>
          <w:rFonts w:hint="default" w:ascii="宋体" w:hAnsi="Times New Roman" w:eastAsia="宋体" w:cs="宋体"/>
          <w:b w:val="0"/>
          <w:bCs w:val="0"/>
          <w:sz w:val="24"/>
          <w:szCs w:val="24"/>
          <w:lang w:val="en-US" w:eastAsia="zh-CN"/>
        </w:rPr>
        <w:t>（PECMS、</w:t>
      </w:r>
      <w:r>
        <w:rPr>
          <w:rStyle w:val="30"/>
          <w:rFonts w:hint="eastAsia" w:hAnsi="Times New Roman" w:cs="宋体"/>
          <w:b w:val="0"/>
          <w:bCs w:val="0"/>
          <w:sz w:val="24"/>
          <w:szCs w:val="24"/>
          <w:lang w:val="en-US" w:eastAsia="zh-CN"/>
        </w:rPr>
        <w:t>安全管理模块</w:t>
      </w:r>
      <w:r>
        <w:rPr>
          <w:rStyle w:val="30"/>
          <w:rFonts w:hint="default" w:ascii="宋体" w:hAnsi="Times New Roman" w:eastAsia="宋体" w:cs="宋体"/>
          <w:b w:val="0"/>
          <w:bCs w:val="0"/>
          <w:sz w:val="24"/>
          <w:szCs w:val="24"/>
          <w:lang w:val="en-US" w:eastAsia="zh-CN"/>
        </w:rPr>
        <w:t>、综合管理</w:t>
      </w:r>
      <w:r>
        <w:rPr>
          <w:rStyle w:val="30"/>
          <w:rFonts w:hint="eastAsia" w:hAnsi="Times New Roman" w:cs="宋体"/>
          <w:b w:val="0"/>
          <w:bCs w:val="0"/>
          <w:sz w:val="24"/>
          <w:szCs w:val="24"/>
          <w:lang w:val="en-US" w:eastAsia="zh-CN"/>
        </w:rPr>
        <w:t>模块</w:t>
      </w:r>
      <w:r>
        <w:rPr>
          <w:rStyle w:val="30"/>
          <w:rFonts w:hint="default" w:ascii="宋体" w:hAnsi="Times New Roman" w:eastAsia="宋体" w:cs="宋体"/>
          <w:b w:val="0"/>
          <w:bCs w:val="0"/>
          <w:sz w:val="24"/>
          <w:szCs w:val="24"/>
          <w:lang w:val="en-US" w:eastAsia="zh-CN"/>
        </w:rPr>
        <w:t>等）的未读消息总数量。</w:t>
      </w:r>
    </w:p>
    <w:p w14:paraId="4597A615">
      <w:pPr>
        <w:pStyle w:val="31"/>
        <w:shd w:val="clear" w:color="auto" w:fill="auto"/>
        <w:spacing w:after="189" w:line="360" w:lineRule="auto"/>
        <w:ind w:left="0" w:leftChars="0" w:firstLine="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待办菜单角标：单独显示待办任务的数量，直观呈现需要优先处理的事项。</w:t>
      </w:r>
    </w:p>
    <w:p w14:paraId="6E878BE0">
      <w:pPr>
        <w:pStyle w:val="31"/>
        <w:shd w:val="clear" w:color="auto" w:fill="auto"/>
        <w:spacing w:after="189" w:line="360" w:lineRule="auto"/>
        <w:ind w:left="0" w:leftChars="0" w:firstLine="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（3）消息分类与角标自定义</w:t>
      </w:r>
    </w:p>
    <w:p w14:paraId="00EDA477">
      <w:pPr>
        <w:pStyle w:val="31"/>
        <w:shd w:val="clear" w:color="auto" w:fill="auto"/>
        <w:spacing w:after="189" w:line="360" w:lineRule="auto"/>
        <w:ind w:left="0" w:leftChars="0" w:firstLine="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支持对消息按</w:t>
      </w:r>
      <w:r>
        <w:rPr>
          <w:rStyle w:val="30"/>
          <w:rFonts w:hint="eastAsia" w:hAnsi="Times New Roman" w:cs="宋体"/>
          <w:b w:val="0"/>
          <w:bCs w:val="0"/>
          <w:sz w:val="24"/>
          <w:szCs w:val="24"/>
          <w:lang w:val="en-US" w:eastAsia="zh-CN"/>
        </w:rPr>
        <w:t>模块</w:t>
      </w:r>
      <w:r>
        <w:rPr>
          <w:rStyle w:val="30"/>
          <w:rFonts w:hint="default" w:ascii="宋体" w:hAnsi="Times New Roman" w:eastAsia="宋体" w:cs="宋体"/>
          <w:b w:val="0"/>
          <w:bCs w:val="0"/>
          <w:sz w:val="24"/>
          <w:szCs w:val="24"/>
          <w:lang w:val="en-US" w:eastAsia="zh-CN"/>
        </w:rPr>
        <w:t>或业务类型进行分类（如 PECMS 消息、</w:t>
      </w:r>
      <w:r>
        <w:rPr>
          <w:rStyle w:val="30"/>
          <w:rFonts w:hint="eastAsia" w:hAnsi="Times New Roman" w:cs="宋体"/>
          <w:b w:val="0"/>
          <w:bCs w:val="0"/>
          <w:sz w:val="24"/>
          <w:szCs w:val="24"/>
          <w:lang w:val="en-US" w:eastAsia="zh-CN"/>
        </w:rPr>
        <w:t>安全管理模块</w:t>
      </w:r>
      <w:r>
        <w:rPr>
          <w:rStyle w:val="30"/>
          <w:rFonts w:hint="default" w:ascii="宋体" w:hAnsi="Times New Roman" w:eastAsia="宋体" w:cs="宋体"/>
          <w:b w:val="0"/>
          <w:bCs w:val="0"/>
          <w:sz w:val="24"/>
          <w:szCs w:val="24"/>
          <w:lang w:val="en-US" w:eastAsia="zh-CN"/>
        </w:rPr>
        <w:t>消息、综合管理</w:t>
      </w:r>
      <w:r>
        <w:rPr>
          <w:rStyle w:val="30"/>
          <w:rFonts w:hint="eastAsia" w:hAnsi="Times New Roman" w:cs="宋体"/>
          <w:b w:val="0"/>
          <w:bCs w:val="0"/>
          <w:sz w:val="24"/>
          <w:szCs w:val="24"/>
          <w:lang w:val="en-US" w:eastAsia="zh-CN"/>
        </w:rPr>
        <w:t>模块</w:t>
      </w:r>
      <w:r>
        <w:rPr>
          <w:rStyle w:val="30"/>
          <w:rFonts w:hint="default" w:ascii="宋体" w:hAnsi="Times New Roman" w:eastAsia="宋体" w:cs="宋体"/>
          <w:b w:val="0"/>
          <w:bCs w:val="0"/>
          <w:sz w:val="24"/>
          <w:szCs w:val="24"/>
          <w:lang w:val="en-US" w:eastAsia="zh-CN"/>
        </w:rPr>
        <w:t>消息）。</w:t>
      </w:r>
    </w:p>
    <w:p w14:paraId="473A2A6F">
      <w:pPr>
        <w:pStyle w:val="31"/>
        <w:shd w:val="clear" w:color="auto" w:fill="auto"/>
        <w:spacing w:after="189" w:line="360" w:lineRule="auto"/>
        <w:ind w:left="0" w:leftChars="0" w:firstLine="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APP 用户可自主选择需要展示的消息分类，角标数量会根据用户选择的分类进行实时合计计算，避免无关消息干扰。</w:t>
      </w:r>
    </w:p>
    <w:p w14:paraId="6346379E">
      <w:pPr>
        <w:pStyle w:val="31"/>
        <w:shd w:val="clear" w:color="auto" w:fill="auto"/>
        <w:spacing w:after="189" w:line="360" w:lineRule="auto"/>
        <w:ind w:left="0" w:leftChars="0" w:firstLine="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（4）锁屏消息交互优化</w:t>
      </w:r>
    </w:p>
    <w:p w14:paraId="4B904C79">
      <w:pPr>
        <w:pStyle w:val="31"/>
        <w:numPr>
          <w:ilvl w:val="0"/>
          <w:numId w:val="2"/>
        </w:numPr>
        <w:shd w:val="clear" w:color="auto" w:fill="auto"/>
        <w:spacing w:after="189" w:line="360" w:lineRule="auto"/>
        <w:ind w:left="0" w:leftChars="0" w:firstLine="480" w:firstLineChars="20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点击锁屏状态下的消息时，可直接查看消息完整内容，无需进入 APP 后二次查找。</w:t>
      </w:r>
    </w:p>
    <w:p w14:paraId="3E6D4EFE">
      <w:pPr>
        <w:pStyle w:val="31"/>
        <w:numPr>
          <w:ilvl w:val="0"/>
          <w:numId w:val="2"/>
        </w:numPr>
        <w:shd w:val="clear" w:color="auto" w:fill="auto"/>
        <w:spacing w:after="189" w:line="360" w:lineRule="auto"/>
        <w:ind w:left="0" w:leftChars="0" w:firstLine="480" w:firstLineChars="20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按消息类型提供针对性操作按钮，实现 “一键跳转”：</w:t>
      </w:r>
    </w:p>
    <w:p w14:paraId="1D2AA70D">
      <w:pPr>
        <w:pStyle w:val="31"/>
        <w:numPr>
          <w:ilvl w:val="0"/>
          <w:numId w:val="2"/>
        </w:numPr>
        <w:shd w:val="clear" w:color="auto" w:fill="auto"/>
        <w:spacing w:after="189" w:line="360" w:lineRule="auto"/>
        <w:ind w:left="0" w:leftChars="0" w:firstLine="480" w:firstLineChars="20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PECMS 流程待办通知：提供 “去办理” 按钮，跳转至对应审批页面；</w:t>
      </w:r>
    </w:p>
    <w:p w14:paraId="7C61CCDC">
      <w:pPr>
        <w:pStyle w:val="31"/>
        <w:numPr>
          <w:ilvl w:val="0"/>
          <w:numId w:val="2"/>
        </w:numPr>
        <w:shd w:val="clear" w:color="auto" w:fill="auto"/>
        <w:spacing w:after="189" w:line="360" w:lineRule="auto"/>
        <w:ind w:left="0" w:leftChars="0" w:firstLine="480" w:firstLineChars="20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PECMS 派单审批结果通知：提供 “去查看” 按钮，跳转至派单详情页面；</w:t>
      </w:r>
    </w:p>
    <w:p w14:paraId="0250085D">
      <w:pPr>
        <w:pStyle w:val="31"/>
        <w:numPr>
          <w:ilvl w:val="0"/>
          <w:numId w:val="2"/>
        </w:numPr>
        <w:shd w:val="clear" w:color="auto" w:fill="auto"/>
        <w:spacing w:after="189" w:line="360" w:lineRule="auto"/>
        <w:ind w:left="0" w:leftChars="0" w:firstLine="480" w:firstLineChars="200"/>
        <w:jc w:val="both"/>
        <w:rPr>
          <w:rStyle w:val="30"/>
          <w:rFonts w:hint="default" w:ascii="宋体" w:hAnsi="Times New Roman" w:eastAsia="宋体" w:cs="宋体"/>
          <w:b w:val="0"/>
          <w:bCs w:val="0"/>
          <w:sz w:val="24"/>
          <w:szCs w:val="24"/>
          <w:lang w:val="en-US" w:eastAsia="zh-CN"/>
        </w:rPr>
      </w:pPr>
      <w:r>
        <w:rPr>
          <w:rStyle w:val="30"/>
          <w:rFonts w:hint="eastAsia" w:hAnsi="Times New Roman" w:cs="宋体"/>
          <w:b w:val="0"/>
          <w:bCs w:val="0"/>
          <w:sz w:val="24"/>
          <w:szCs w:val="24"/>
          <w:lang w:val="en-US" w:eastAsia="zh-CN"/>
        </w:rPr>
        <w:t>安全管理模块</w:t>
      </w:r>
      <w:r>
        <w:rPr>
          <w:rStyle w:val="30"/>
          <w:rFonts w:hint="default" w:ascii="宋体" w:hAnsi="Times New Roman" w:eastAsia="宋体" w:cs="宋体"/>
          <w:b w:val="0"/>
          <w:bCs w:val="0"/>
          <w:sz w:val="24"/>
          <w:szCs w:val="24"/>
          <w:lang w:val="en-US" w:eastAsia="zh-CN"/>
        </w:rPr>
        <w:t>培训通知：提供 “去学习” 按钮，跳转至培训列表；</w:t>
      </w:r>
    </w:p>
    <w:p w14:paraId="76E8FCC5">
      <w:pPr>
        <w:pStyle w:val="31"/>
        <w:numPr>
          <w:ilvl w:val="0"/>
          <w:numId w:val="2"/>
        </w:numPr>
        <w:shd w:val="clear" w:color="auto" w:fill="auto"/>
        <w:spacing w:after="189" w:line="360" w:lineRule="auto"/>
        <w:ind w:left="0" w:leftChars="0" w:firstLine="480" w:firstLineChars="200"/>
        <w:jc w:val="both"/>
        <w:rPr>
          <w:rStyle w:val="30"/>
          <w:rFonts w:hint="default" w:ascii="宋体" w:hAnsi="Times New Roman" w:eastAsia="宋体" w:cs="宋体"/>
          <w:b w:val="0"/>
          <w:bCs w:val="0"/>
          <w:sz w:val="24"/>
          <w:szCs w:val="24"/>
          <w:lang w:val="en-US" w:eastAsia="zh-CN"/>
        </w:rPr>
      </w:pPr>
      <w:r>
        <w:rPr>
          <w:rStyle w:val="30"/>
          <w:rFonts w:hint="eastAsia" w:hAnsi="Times New Roman" w:cs="宋体"/>
          <w:b w:val="0"/>
          <w:bCs w:val="0"/>
          <w:sz w:val="24"/>
          <w:szCs w:val="24"/>
          <w:lang w:val="en-US" w:eastAsia="zh-CN"/>
        </w:rPr>
        <w:t>安全管理模块</w:t>
      </w:r>
      <w:r>
        <w:rPr>
          <w:rStyle w:val="30"/>
          <w:rFonts w:hint="default" w:ascii="宋体" w:hAnsi="Times New Roman" w:eastAsia="宋体" w:cs="宋体"/>
          <w:b w:val="0"/>
          <w:bCs w:val="0"/>
          <w:sz w:val="24"/>
          <w:szCs w:val="24"/>
          <w:lang w:val="en-US" w:eastAsia="zh-CN"/>
        </w:rPr>
        <w:t>考试通知：提供 “去考试” 按钮，跳转至考试列表；</w:t>
      </w:r>
    </w:p>
    <w:p w14:paraId="2D30CA48">
      <w:pPr>
        <w:pStyle w:val="31"/>
        <w:numPr>
          <w:ilvl w:val="0"/>
          <w:numId w:val="2"/>
        </w:numPr>
        <w:shd w:val="clear" w:color="auto" w:fill="auto"/>
        <w:spacing w:after="189" w:line="360" w:lineRule="auto"/>
        <w:ind w:left="0" w:leftChars="0" w:firstLine="480" w:firstLineChars="20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综合管理</w:t>
      </w:r>
      <w:r>
        <w:rPr>
          <w:rStyle w:val="30"/>
          <w:rFonts w:hint="eastAsia" w:hAnsi="Times New Roman" w:cs="宋体"/>
          <w:b w:val="0"/>
          <w:bCs w:val="0"/>
          <w:sz w:val="24"/>
          <w:szCs w:val="24"/>
          <w:lang w:val="en-US" w:eastAsia="zh-CN"/>
        </w:rPr>
        <w:t>模块</w:t>
      </w:r>
      <w:r>
        <w:rPr>
          <w:rStyle w:val="30"/>
          <w:rFonts w:hint="default" w:ascii="宋体" w:hAnsi="Times New Roman" w:eastAsia="宋体" w:cs="宋体"/>
          <w:b w:val="0"/>
          <w:bCs w:val="0"/>
          <w:sz w:val="24"/>
          <w:szCs w:val="24"/>
          <w:lang w:val="en-US" w:eastAsia="zh-CN"/>
        </w:rPr>
        <w:t>消息：提供 “去查看” 按钮，跳转至综合管理</w:t>
      </w:r>
      <w:r>
        <w:rPr>
          <w:rStyle w:val="30"/>
          <w:rFonts w:hint="eastAsia" w:hAnsi="Times New Roman" w:cs="宋体"/>
          <w:b w:val="0"/>
          <w:bCs w:val="0"/>
          <w:sz w:val="24"/>
          <w:szCs w:val="24"/>
          <w:lang w:val="en-US" w:eastAsia="zh-CN"/>
        </w:rPr>
        <w:t>模块</w:t>
      </w:r>
      <w:r>
        <w:rPr>
          <w:rStyle w:val="30"/>
          <w:rFonts w:hint="default" w:ascii="宋体" w:hAnsi="Times New Roman" w:eastAsia="宋体" w:cs="宋体"/>
          <w:b w:val="0"/>
          <w:bCs w:val="0"/>
          <w:sz w:val="24"/>
          <w:szCs w:val="24"/>
          <w:lang w:val="en-US" w:eastAsia="zh-CN"/>
        </w:rPr>
        <w:t>主页面（不含</w:t>
      </w:r>
      <w:r>
        <w:rPr>
          <w:rStyle w:val="30"/>
          <w:rFonts w:hint="eastAsia" w:hAnsi="Times New Roman" w:cs="宋体"/>
          <w:b w:val="0"/>
          <w:bCs w:val="0"/>
          <w:sz w:val="24"/>
          <w:szCs w:val="24"/>
          <w:lang w:val="en-US" w:eastAsia="zh-CN"/>
        </w:rPr>
        <w:t>综合管理模块</w:t>
      </w:r>
      <w:r>
        <w:rPr>
          <w:rStyle w:val="30"/>
          <w:rFonts w:hint="default" w:ascii="宋体" w:hAnsi="Times New Roman" w:eastAsia="宋体" w:cs="宋体"/>
          <w:b w:val="0"/>
          <w:bCs w:val="0"/>
          <w:sz w:val="24"/>
          <w:szCs w:val="24"/>
          <w:lang w:val="en-US" w:eastAsia="zh-CN"/>
        </w:rPr>
        <w:t>二开工作量）；</w:t>
      </w:r>
    </w:p>
    <w:p w14:paraId="3211D479">
      <w:pPr>
        <w:pStyle w:val="31"/>
        <w:numPr>
          <w:ilvl w:val="0"/>
          <w:numId w:val="2"/>
        </w:numPr>
        <w:shd w:val="clear" w:color="auto" w:fill="auto"/>
        <w:spacing w:after="189" w:line="360" w:lineRule="auto"/>
        <w:ind w:left="0" w:leftChars="0" w:firstLine="480" w:firstLineChars="20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其余类型消息暂不提供操作按钮，仅展示内容。</w:t>
      </w:r>
    </w:p>
    <w:p w14:paraId="49244865">
      <w:pPr>
        <w:pStyle w:val="31"/>
        <w:shd w:val="clear" w:color="auto" w:fill="auto"/>
        <w:spacing w:after="189" w:line="360" w:lineRule="auto"/>
        <w:ind w:left="0" w:leftChars="0" w:firstLine="241" w:firstLineChars="100"/>
        <w:jc w:val="both"/>
        <w:outlineLvl w:val="3"/>
        <w:rPr>
          <w:rStyle w:val="30"/>
          <w:rFonts w:hint="default" w:ascii="宋体" w:hAnsi="Times New Roman" w:eastAsia="宋体" w:cs="宋体"/>
          <w:b/>
          <w:bCs/>
          <w:sz w:val="24"/>
          <w:szCs w:val="24"/>
          <w:lang w:val="en-US" w:eastAsia="zh-CN"/>
        </w:rPr>
      </w:pPr>
      <w:r>
        <w:rPr>
          <w:rStyle w:val="30"/>
          <w:rFonts w:hint="eastAsia" w:ascii="宋体" w:hAnsi="Times New Roman" w:eastAsia="宋体" w:cs="宋体"/>
          <w:b/>
          <w:bCs/>
          <w:sz w:val="24"/>
          <w:szCs w:val="24"/>
          <w:lang w:val="en-US" w:eastAsia="zh-CN"/>
        </w:rPr>
        <w:t>3.</w:t>
      </w:r>
      <w:r>
        <w:rPr>
          <w:rStyle w:val="30"/>
          <w:rFonts w:hint="eastAsia" w:hAnsi="Times New Roman" w:cs="宋体"/>
          <w:b/>
          <w:bCs/>
          <w:sz w:val="24"/>
          <w:szCs w:val="24"/>
          <w:lang w:val="en-US" w:eastAsia="zh-CN"/>
        </w:rPr>
        <w:t>1.3</w:t>
      </w:r>
      <w:r>
        <w:rPr>
          <w:rStyle w:val="30"/>
          <w:rFonts w:hint="default" w:ascii="宋体" w:hAnsi="Times New Roman" w:eastAsia="宋体" w:cs="宋体"/>
          <w:b/>
          <w:bCs/>
          <w:sz w:val="24"/>
          <w:szCs w:val="24"/>
          <w:lang w:val="en-US" w:eastAsia="zh-CN"/>
        </w:rPr>
        <w:t>.2 核心业务功能适配</w:t>
      </w:r>
    </w:p>
    <w:p w14:paraId="137C4958">
      <w:pPr>
        <w:pStyle w:val="31"/>
        <w:shd w:val="clear" w:color="auto" w:fill="auto"/>
        <w:spacing w:after="189" w:line="360" w:lineRule="auto"/>
        <w:ind w:left="0" w:leftChars="0" w:firstLine="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该模块包含 2 个功能模块、3 条需求，主要实现 PECMS 派单管理与待办处理的移动端适配：</w:t>
      </w:r>
    </w:p>
    <w:p w14:paraId="171B7A5B">
      <w:pPr>
        <w:pStyle w:val="31"/>
        <w:shd w:val="clear" w:color="auto" w:fill="auto"/>
        <w:spacing w:after="189" w:line="360" w:lineRule="auto"/>
        <w:ind w:left="0" w:leftChars="0" w:firstLine="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（1）任务派遣单功能优化</w:t>
      </w:r>
    </w:p>
    <w:p w14:paraId="58E5E285">
      <w:pPr>
        <w:pStyle w:val="31"/>
        <w:shd w:val="clear" w:color="auto" w:fill="auto"/>
        <w:spacing w:after="189" w:line="360" w:lineRule="auto"/>
        <w:ind w:left="0" w:leftChars="0" w:firstLine="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总监代表变更功能：由总监理工程师在 “我的派单列表” 页面选择目标派单，发起总监代表变更流程；</w:t>
      </w:r>
    </w:p>
    <w:p w14:paraId="3D92D136">
      <w:pPr>
        <w:pStyle w:val="31"/>
        <w:shd w:val="clear" w:color="auto" w:fill="auto"/>
        <w:spacing w:after="189" w:line="360" w:lineRule="auto"/>
        <w:ind w:left="0" w:leftChars="0" w:firstLine="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派单页面展示优化：原 “总监代表” 字段调整为 “原总监代表”，新增 “新总监代表” 选择框（需填写手机号）、“变更原因” 文本录入框（必填）、“生效时间” 选择框，支持上传 PDF/WORD/ 图片等格式附件；</w:t>
      </w:r>
    </w:p>
    <w:p w14:paraId="539E6584">
      <w:pPr>
        <w:pStyle w:val="31"/>
        <w:shd w:val="clear" w:color="auto" w:fill="auto"/>
        <w:spacing w:after="189" w:line="360" w:lineRule="auto"/>
        <w:ind w:left="0" w:leftChars="0" w:firstLine="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审批流程：需经原总监代表、新总监代表依次审批；</w:t>
      </w:r>
    </w:p>
    <w:p w14:paraId="3C745BF5">
      <w:pPr>
        <w:pStyle w:val="31"/>
        <w:shd w:val="clear" w:color="auto" w:fill="auto"/>
        <w:spacing w:after="189" w:line="360" w:lineRule="auto"/>
        <w:ind w:left="0" w:leftChars="0" w:firstLine="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权限与状态控制：提交后派单状态保持 “进行中”；生效时间前的派单审批由原总监代表处理，生效时间后的派单审批由新总监代表处理；区域经理、技术服务、执行部角色可查看变更记录；</w:t>
      </w:r>
    </w:p>
    <w:p w14:paraId="6485178B">
      <w:pPr>
        <w:pStyle w:val="31"/>
        <w:shd w:val="clear" w:color="auto" w:fill="auto"/>
        <w:spacing w:after="189" w:line="360" w:lineRule="auto"/>
        <w:ind w:left="0" w:leftChars="0" w:firstLine="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开发参照：参照现有任务派遣单 “派遣人员变更” 功能的逻辑实现。</w:t>
      </w:r>
    </w:p>
    <w:p w14:paraId="324FFF9D">
      <w:pPr>
        <w:pStyle w:val="31"/>
        <w:shd w:val="clear" w:color="auto" w:fill="auto"/>
        <w:spacing w:after="189" w:line="360" w:lineRule="auto"/>
        <w:ind w:left="0" w:leftChars="0" w:firstLine="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总监代表操作权限补充：</w:t>
      </w:r>
    </w:p>
    <w:p w14:paraId="2772D5F7">
      <w:pPr>
        <w:pStyle w:val="31"/>
        <w:shd w:val="clear" w:color="auto" w:fill="auto"/>
        <w:spacing w:after="189" w:line="360" w:lineRule="auto"/>
        <w:ind w:left="0" w:leftChars="0" w:firstLine="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在总监代表的 “我的派单” 页面，新增 “编辑”“驳回重新提交” 按钮；</w:t>
      </w:r>
    </w:p>
    <w:p w14:paraId="5F9EF65D">
      <w:pPr>
        <w:pStyle w:val="31"/>
        <w:shd w:val="clear" w:color="auto" w:fill="auto"/>
        <w:spacing w:after="189" w:line="360" w:lineRule="auto"/>
        <w:ind w:left="0" w:leftChars="0" w:firstLine="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支持总监代表对派单内容进行编辑修改后重新提交，无需退回至发起者修改，提升审批效率。</w:t>
      </w:r>
    </w:p>
    <w:p w14:paraId="5C42F636">
      <w:pPr>
        <w:pStyle w:val="31"/>
        <w:shd w:val="clear" w:color="auto" w:fill="auto"/>
        <w:spacing w:after="189" w:line="360" w:lineRule="auto"/>
        <w:ind w:left="0" w:leftChars="0" w:firstLine="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（2）待办 / 已办列表优化</w:t>
      </w:r>
    </w:p>
    <w:p w14:paraId="5CAB80D9">
      <w:pPr>
        <w:pStyle w:val="31"/>
        <w:shd w:val="clear" w:color="auto" w:fill="auto"/>
        <w:spacing w:after="189" w:line="360" w:lineRule="auto"/>
        <w:ind w:left="0" w:leftChars="0" w:firstLine="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针对 APP 端待办任务、已办任务列表，新增 “流程名称” 显示字段；</w:t>
      </w:r>
    </w:p>
    <w:p w14:paraId="72DF4F86">
      <w:pPr>
        <w:pStyle w:val="31"/>
        <w:shd w:val="clear" w:color="auto" w:fill="auto"/>
        <w:spacing w:after="189" w:line="360" w:lineRule="auto"/>
        <w:ind w:left="0" w:leftChars="0" w:firstLine="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流程名称按业务类型明确标注：巡检类流程显示 “巡检交底审批”，驻厂类流程显示 “任务交底审批”，帮助用户快速识别任务类型，减少误操作。</w:t>
      </w:r>
    </w:p>
    <w:p w14:paraId="4FDF8358">
      <w:pPr>
        <w:pStyle w:val="31"/>
        <w:shd w:val="clear" w:color="auto" w:fill="auto"/>
        <w:spacing w:after="189" w:line="360" w:lineRule="auto"/>
        <w:ind w:left="0" w:leftChars="0" w:firstLine="0" w:firstLineChars="0"/>
        <w:jc w:val="both"/>
        <w:outlineLvl w:val="2"/>
        <w:rPr>
          <w:rStyle w:val="30"/>
          <w:rFonts w:hint="default" w:ascii="宋体" w:hAnsi="Times New Roman" w:eastAsia="宋体" w:cs="宋体"/>
          <w:b/>
          <w:bCs/>
          <w:sz w:val="28"/>
          <w:szCs w:val="28"/>
          <w:lang w:val="en-US" w:eastAsia="zh-CN"/>
        </w:rPr>
      </w:pPr>
      <w:r>
        <w:rPr>
          <w:rStyle w:val="30"/>
          <w:rFonts w:hint="eastAsia" w:ascii="宋体" w:hAnsi="Times New Roman" w:eastAsia="宋体" w:cs="宋体"/>
          <w:b/>
          <w:bCs/>
          <w:sz w:val="28"/>
          <w:szCs w:val="28"/>
          <w:lang w:val="en-US" w:eastAsia="zh-CN"/>
        </w:rPr>
        <w:t>3.</w:t>
      </w:r>
      <w:r>
        <w:rPr>
          <w:rStyle w:val="30"/>
          <w:rFonts w:hint="eastAsia" w:hAnsi="Times New Roman" w:cs="宋体"/>
          <w:b/>
          <w:bCs/>
          <w:sz w:val="28"/>
          <w:szCs w:val="28"/>
          <w:lang w:val="en-US" w:eastAsia="zh-CN"/>
        </w:rPr>
        <w:t>1.</w:t>
      </w:r>
      <w:r>
        <w:rPr>
          <w:rStyle w:val="30"/>
          <w:rFonts w:hint="eastAsia" w:ascii="宋体" w:hAnsi="Times New Roman" w:eastAsia="宋体" w:cs="宋体"/>
          <w:b/>
          <w:bCs/>
          <w:sz w:val="28"/>
          <w:szCs w:val="28"/>
          <w:lang w:val="en-US" w:eastAsia="zh-CN"/>
        </w:rPr>
        <w:t>4 经营分析需求</w:t>
      </w:r>
    </w:p>
    <w:p w14:paraId="1CFF3B0B">
      <w:pPr>
        <w:pStyle w:val="31"/>
        <w:shd w:val="clear" w:color="auto" w:fill="auto"/>
        <w:spacing w:after="189" w:line="360" w:lineRule="auto"/>
        <w:ind w:left="0" w:leftChars="0" w:firstLine="241" w:firstLineChars="100"/>
        <w:jc w:val="both"/>
        <w:outlineLvl w:val="3"/>
        <w:rPr>
          <w:rStyle w:val="30"/>
          <w:rFonts w:hint="default" w:ascii="宋体" w:hAnsi="Times New Roman" w:eastAsia="宋体" w:cs="宋体"/>
          <w:b/>
          <w:bCs/>
          <w:sz w:val="24"/>
          <w:szCs w:val="24"/>
          <w:lang w:val="en-US" w:eastAsia="zh-CN"/>
        </w:rPr>
      </w:pPr>
      <w:bookmarkStart w:id="0" w:name="X2e1c188b270d70e5329ae79907e5c6767450cbe"/>
      <w:bookmarkStart w:id="1" w:name="X62940d2fa5edc343b6a706104e329860956aa8c"/>
      <w:r>
        <w:rPr>
          <w:rStyle w:val="30"/>
          <w:rFonts w:hint="default" w:ascii="宋体" w:hAnsi="Times New Roman" w:eastAsia="宋体" w:cs="宋体"/>
          <w:b/>
          <w:bCs/>
          <w:sz w:val="24"/>
          <w:szCs w:val="24"/>
          <w:lang w:val="en-US" w:eastAsia="zh-CN"/>
        </w:rPr>
        <w:t>3.</w:t>
      </w:r>
      <w:r>
        <w:rPr>
          <w:rStyle w:val="30"/>
          <w:rFonts w:hint="eastAsia" w:hAnsi="Times New Roman" w:cs="宋体"/>
          <w:b/>
          <w:bCs/>
          <w:sz w:val="24"/>
          <w:szCs w:val="24"/>
          <w:lang w:val="en-US" w:eastAsia="zh-CN"/>
        </w:rPr>
        <w:t>1.</w:t>
      </w:r>
      <w:r>
        <w:rPr>
          <w:rStyle w:val="30"/>
          <w:rFonts w:hint="default" w:ascii="宋体" w:hAnsi="Times New Roman" w:eastAsia="宋体" w:cs="宋体"/>
          <w:b/>
          <w:bCs/>
          <w:sz w:val="24"/>
          <w:szCs w:val="24"/>
          <w:lang w:val="en-US" w:eastAsia="zh-CN"/>
        </w:rPr>
        <w:t>4.1 经营总览与合同台账模块需求</w:t>
      </w:r>
    </w:p>
    <w:p w14:paraId="1FAD8E56">
      <w:pPr>
        <w:pStyle w:val="31"/>
        <w:shd w:val="clear" w:color="auto" w:fill="auto"/>
        <w:spacing w:after="189" w:line="360" w:lineRule="auto"/>
        <w:ind w:left="0" w:leftChars="0" w:firstLine="0" w:firstLineChars="0"/>
        <w:jc w:val="both"/>
        <w:outlineLvl w:val="3"/>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（1）经营总览大屏</w:t>
      </w:r>
    </w:p>
    <w:p w14:paraId="249DD761">
      <w:pPr>
        <w:pStyle w:val="31"/>
        <w:shd w:val="clear" w:color="auto" w:fill="auto"/>
        <w:spacing w:after="189" w:line="360" w:lineRule="auto"/>
        <w:ind w:left="0" w:leftChars="0" w:firstLine="480" w:firstLineChars="20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核心指标展示：汇总合同、产值、开票、回款、成本、利润等经营数据，展示累计合同总额、当年累计确认产值、累计已开票总额、累计实际收款总额、综合平均利润率等指标，并支持颜色提示。</w:t>
      </w:r>
    </w:p>
    <w:p w14:paraId="014A7EF0">
      <w:pPr>
        <w:pStyle w:val="31"/>
        <w:shd w:val="clear" w:color="auto" w:fill="auto"/>
        <w:spacing w:after="189" w:line="360" w:lineRule="auto"/>
        <w:ind w:left="0" w:leftChars="0" w:firstLine="480" w:firstLineChars="20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数据统计：按能统计到的维度展示产值、开票、实收数据，便于查看各合同的推进情况。</w:t>
      </w:r>
    </w:p>
    <w:p w14:paraId="2A5AABB6">
      <w:pPr>
        <w:pStyle w:val="31"/>
        <w:shd w:val="clear" w:color="auto" w:fill="auto"/>
        <w:spacing w:after="189" w:line="360" w:lineRule="auto"/>
        <w:ind w:left="0" w:leftChars="0" w:firstLine="480" w:firstLineChars="20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收支趋势展示：按近 12 个自然月展示累计成本支出和累计实际到账收款金额变化情况，当收款低于支出时给出预警提示。</w:t>
      </w:r>
    </w:p>
    <w:p w14:paraId="2FF8C9EF">
      <w:pPr>
        <w:pStyle w:val="31"/>
        <w:shd w:val="clear" w:color="auto" w:fill="auto"/>
        <w:spacing w:after="189" w:line="360" w:lineRule="auto"/>
        <w:ind w:left="0" w:leftChars="0" w:firstLine="480" w:firstLineChars="20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风险信息展示：展示薄利或亏损合同、应收逾期合同、执行超期派单及负责人等信息，并支持点击查看对应明细。</w:t>
      </w:r>
    </w:p>
    <w:p w14:paraId="52F32F1F">
      <w:pPr>
        <w:pStyle w:val="31"/>
        <w:shd w:val="clear" w:color="auto" w:fill="auto"/>
        <w:spacing w:after="189" w:line="360" w:lineRule="auto"/>
        <w:ind w:left="0" w:leftChars="0" w:firstLine="480" w:firstLineChars="20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人员闲置情况统计：按在职人员总数、当前执行派单人员数测算闲置人员数，并折算对应人工成本，供管理层查看。</w:t>
      </w:r>
    </w:p>
    <w:p w14:paraId="0AA81F65">
      <w:pPr>
        <w:pStyle w:val="31"/>
        <w:shd w:val="clear" w:color="auto" w:fill="auto"/>
        <w:spacing w:after="189" w:line="360" w:lineRule="auto"/>
        <w:ind w:left="0" w:leftChars="0" w:firstLine="480" w:firstLineChars="20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查看权限控制：大屏数据默认按经营口径统一汇总，不按角色拆分统计口径，通过菜单权限控制查看范围。</w:t>
      </w:r>
    </w:p>
    <w:p w14:paraId="60E58172">
      <w:pPr>
        <w:pStyle w:val="31"/>
        <w:shd w:val="clear" w:color="auto" w:fill="auto"/>
        <w:spacing w:after="189" w:line="360" w:lineRule="auto"/>
        <w:ind w:left="0" w:leftChars="0" w:firstLine="0" w:firstLineChars="0"/>
        <w:jc w:val="both"/>
        <w:outlineLvl w:val="3"/>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（2）合同台账管理</w:t>
      </w:r>
    </w:p>
    <w:p w14:paraId="3BE4EDEF">
      <w:pPr>
        <w:pStyle w:val="31"/>
        <w:shd w:val="clear" w:color="auto" w:fill="auto"/>
        <w:spacing w:after="189" w:line="360" w:lineRule="auto"/>
        <w:ind w:left="0" w:leftChars="0" w:firstLine="42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合同台账建设：同步 PECMS 合同管理数据，按合同编号（CI 编号）统一建立经营底账，展示合同编号、合同名称、设备名称、委托方、制造方、监造金额、预给号时间、项目经理、合同签订时间、合同原件返回情况时间、合同起始日期、合同终止日期、委托方联系人、合同类型、合同形式、ERP 录入情况、上级单位 ERP 唯一标识、合同特殊情况备注、供公司平台项目编号、供公司平台项目名称等信息。</w:t>
      </w:r>
    </w:p>
    <w:p w14:paraId="0F57CFF9">
      <w:pPr>
        <w:pStyle w:val="31"/>
        <w:shd w:val="clear" w:color="auto" w:fill="auto"/>
        <w:spacing w:after="189" w:line="360" w:lineRule="auto"/>
        <w:ind w:left="0" w:leftChars="0" w:firstLine="42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合同类型规则：合同类型统一为开口合同、总价合同、框架协议合同三类。其中开口合同、总价合同参与产值、收入、成本计算；框架协议合同仅在合同台账展示，不进入项目收入、动态成本、利润等经营模块。</w:t>
      </w:r>
    </w:p>
    <w:p w14:paraId="757C6A88">
      <w:pPr>
        <w:pStyle w:val="31"/>
        <w:shd w:val="clear" w:color="auto" w:fill="auto"/>
        <w:spacing w:after="189" w:line="360" w:lineRule="auto"/>
        <w:ind w:left="0" w:leftChars="0" w:firstLine="42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项目经理绑定规则：项目经理权限基于 PECMS 传入的“上级单位 ERP 唯一标识”与</w:t>
      </w:r>
      <w:r>
        <w:rPr>
          <w:rStyle w:val="30"/>
          <w:rFonts w:hint="eastAsia" w:hAnsi="Times New Roman" w:cs="宋体"/>
          <w:b w:val="0"/>
          <w:bCs w:val="0"/>
          <w:sz w:val="24"/>
          <w:szCs w:val="24"/>
          <w:lang w:val="en-US" w:eastAsia="zh-CN"/>
        </w:rPr>
        <w:t>经营管理分析模块</w:t>
      </w:r>
      <w:r>
        <w:rPr>
          <w:rStyle w:val="30"/>
          <w:rFonts w:hint="default" w:ascii="宋体" w:hAnsi="Times New Roman" w:eastAsia="宋体" w:cs="宋体"/>
          <w:b w:val="0"/>
          <w:bCs w:val="0"/>
          <w:sz w:val="24"/>
          <w:szCs w:val="24"/>
          <w:lang w:val="en-US" w:eastAsia="zh-CN"/>
        </w:rPr>
        <w:t>用户账号自动绑定。项目经理发生变更后，新项目经理自动继承合同查看与操作权限，原项目经理失去当前合同权限，但历史填报记录保留原填报人信息。</w:t>
      </w:r>
    </w:p>
    <w:p w14:paraId="3CDBB812">
      <w:pPr>
        <w:pStyle w:val="31"/>
        <w:shd w:val="clear" w:color="auto" w:fill="auto"/>
        <w:spacing w:after="189" w:line="360" w:lineRule="auto"/>
        <w:ind w:left="0" w:leftChars="0" w:firstLine="42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合同状态管理：支持完成、终止、取消终止等状态管理。合同状态变更为“已完成”时，需校验实收金额与合同金额在系统配置的小数位误差阈值内一致；取消终止需填写终止原因、预估恢复时间并发起审批流程，流程发起后展示取消终止申请信息及审批状态。</w:t>
      </w:r>
    </w:p>
    <w:p w14:paraId="28114B8A">
      <w:pPr>
        <w:pStyle w:val="31"/>
        <w:shd w:val="clear" w:color="auto" w:fill="auto"/>
        <w:spacing w:after="189" w:line="360" w:lineRule="auto"/>
        <w:ind w:left="0" w:leftChars="0" w:firstLine="42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合同明细查看：支持查看合同详情，除展示合同全部字段外，如存在取消终止申请，同步展示发起人、提出时间、审批状态等申请信息。</w:t>
      </w:r>
    </w:p>
    <w:p w14:paraId="40B0685F">
      <w:pPr>
        <w:pStyle w:val="31"/>
        <w:shd w:val="clear" w:color="auto" w:fill="auto"/>
        <w:spacing w:after="189" w:line="360" w:lineRule="auto"/>
        <w:ind w:left="0" w:leftChars="0" w:firstLine="42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 xml:space="preserve">查询与导出规则：查询条件以 </w:t>
      </w:r>
      <w:r>
        <w:rPr>
          <w:rStyle w:val="30"/>
          <w:rFonts w:hint="eastAsia" w:hAnsi="Times New Roman" w:cs="宋体"/>
          <w:b w:val="0"/>
          <w:bCs w:val="0"/>
          <w:sz w:val="24"/>
          <w:szCs w:val="24"/>
          <w:lang w:val="en-US" w:eastAsia="zh-CN"/>
        </w:rPr>
        <w:t>经营管理分析模块</w:t>
      </w:r>
      <w:r>
        <w:rPr>
          <w:rStyle w:val="30"/>
          <w:rFonts w:hint="default" w:ascii="宋体" w:hAnsi="Times New Roman" w:eastAsia="宋体" w:cs="宋体"/>
          <w:b w:val="0"/>
          <w:bCs w:val="0"/>
          <w:sz w:val="24"/>
          <w:szCs w:val="24"/>
          <w:lang w:val="en-US" w:eastAsia="zh-CN"/>
        </w:rPr>
        <w:t>合同台账展示字段为准，支持全部字段作为检索条件，并提供高级查询构造器；支持按筛选结果导出 Excel，且支持自定义勾选导出列。</w:t>
      </w:r>
    </w:p>
    <w:p w14:paraId="180E3EF1">
      <w:pPr>
        <w:pStyle w:val="31"/>
        <w:shd w:val="clear" w:color="auto" w:fill="auto"/>
        <w:spacing w:after="189" w:line="360" w:lineRule="auto"/>
        <w:ind w:left="0" w:leftChars="0" w:firstLine="42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结算提醒能力：支持开票提醒、结算提醒等经营提醒能力。总价合同在合同结束后提醒，开口合同按台账中的提醒周期及单位进行提醒。</w:t>
      </w:r>
    </w:p>
    <w:bookmarkEnd w:id="0"/>
    <w:p w14:paraId="6240A1A3">
      <w:pPr>
        <w:pStyle w:val="31"/>
        <w:shd w:val="clear" w:color="auto" w:fill="auto"/>
        <w:spacing w:after="189" w:line="360" w:lineRule="auto"/>
        <w:ind w:left="0" w:leftChars="0" w:firstLine="241" w:firstLineChars="100"/>
        <w:jc w:val="both"/>
        <w:outlineLvl w:val="3"/>
        <w:rPr>
          <w:rStyle w:val="30"/>
          <w:rFonts w:hint="default" w:ascii="宋体" w:hAnsi="Times New Roman" w:eastAsia="宋体" w:cs="宋体"/>
          <w:b/>
          <w:bCs/>
          <w:sz w:val="24"/>
          <w:szCs w:val="24"/>
          <w:lang w:val="en-US" w:eastAsia="zh-CN"/>
        </w:rPr>
      </w:pPr>
      <w:bookmarkStart w:id="2" w:name="X6a63e81cebfc2b54ed01d45be3d30041dd66132"/>
      <w:r>
        <w:rPr>
          <w:rStyle w:val="30"/>
          <w:rFonts w:hint="default" w:ascii="宋体" w:hAnsi="Times New Roman" w:eastAsia="宋体" w:cs="宋体"/>
          <w:b/>
          <w:bCs/>
          <w:sz w:val="24"/>
          <w:szCs w:val="24"/>
          <w:lang w:val="en-US" w:eastAsia="zh-CN"/>
        </w:rPr>
        <w:t>3.</w:t>
      </w:r>
      <w:r>
        <w:rPr>
          <w:rStyle w:val="30"/>
          <w:rFonts w:hint="eastAsia" w:hAnsi="Times New Roman" w:cs="宋体"/>
          <w:b/>
          <w:bCs/>
          <w:sz w:val="24"/>
          <w:szCs w:val="24"/>
          <w:lang w:val="en-US" w:eastAsia="zh-CN"/>
        </w:rPr>
        <w:t>1.</w:t>
      </w:r>
      <w:r>
        <w:rPr>
          <w:rStyle w:val="30"/>
          <w:rFonts w:hint="default" w:ascii="宋体" w:hAnsi="Times New Roman" w:eastAsia="宋体" w:cs="宋体"/>
          <w:b/>
          <w:bCs/>
          <w:sz w:val="24"/>
          <w:szCs w:val="24"/>
          <w:lang w:val="en-US" w:eastAsia="zh-CN"/>
        </w:rPr>
        <w:t>4.2 项目收入管理模块需求</w:t>
      </w:r>
    </w:p>
    <w:p w14:paraId="237D6405">
      <w:pPr>
        <w:pStyle w:val="31"/>
        <w:shd w:val="clear" w:color="auto" w:fill="auto"/>
        <w:spacing w:after="189" w:line="360" w:lineRule="auto"/>
        <w:ind w:left="0" w:leftChars="0" w:firstLine="0" w:firstLineChars="0"/>
        <w:jc w:val="both"/>
        <w:outlineLvl w:val="3"/>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（1）项目收入管理</w:t>
      </w:r>
    </w:p>
    <w:p w14:paraId="1531858A">
      <w:pPr>
        <w:pStyle w:val="31"/>
        <w:shd w:val="clear" w:color="auto" w:fill="auto"/>
        <w:spacing w:after="189" w:line="360" w:lineRule="auto"/>
        <w:ind w:left="0" w:leftChars="0" w:firstLine="42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收入台账展示：按合同编号展示合同名称、委托方、项目经理、合同类型、合同金额、出勤总产值、当月出勤产值、总产值、当月计划产值、已报产值、当月确认产值、当月确认产值最新填报时间、当月收入最新纠正时间、已报收入、纠正剩余额度、当月收入、开票状态、计划开票时间、未开票原因、最新开票时间、开票总金额、最新收款时间、收款总金额、备注等信息。</w:t>
      </w:r>
    </w:p>
    <w:p w14:paraId="7CFB4EA1">
      <w:pPr>
        <w:pStyle w:val="31"/>
        <w:shd w:val="clear" w:color="auto" w:fill="auto"/>
        <w:spacing w:after="189" w:line="360" w:lineRule="auto"/>
        <w:ind w:left="0" w:leftChars="0" w:firstLine="42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合同参与规则：项目收入台账仅展示开口合同和总价合同数据，框架协议合同不进入本台账。</w:t>
      </w:r>
    </w:p>
    <w:p w14:paraId="3EDB6F2B">
      <w:pPr>
        <w:pStyle w:val="31"/>
        <w:shd w:val="clear" w:color="auto" w:fill="auto"/>
        <w:spacing w:after="189" w:line="360" w:lineRule="auto"/>
        <w:ind w:left="0" w:leftChars="0" w:firstLine="42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产值计算规则：开口合同按工时或固定天数乘合同单价自动计算当月计划产值；总价合同当月计划产值默认为 0，由项目经理按月手工确认。已报产值为历史各月确认产值累计值，不含当月；总产值为已报产值与当月确认产值之和。</w:t>
      </w:r>
    </w:p>
    <w:p w14:paraId="060F8C36">
      <w:pPr>
        <w:pStyle w:val="31"/>
        <w:shd w:val="clear" w:color="auto" w:fill="auto"/>
        <w:spacing w:after="189" w:line="360" w:lineRule="auto"/>
        <w:ind w:left="0" w:leftChars="0" w:firstLine="42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总价合同补齐规则：总价合同项目结束时，若历史累计产值低于合同金额，系统自动生成“系统补齐”记录，将总产值补齐至合同额。</w:t>
      </w:r>
    </w:p>
    <w:p w14:paraId="4927F5D9">
      <w:pPr>
        <w:pStyle w:val="31"/>
        <w:shd w:val="clear" w:color="auto" w:fill="auto"/>
        <w:spacing w:after="189" w:line="360" w:lineRule="auto"/>
        <w:ind w:left="0" w:leftChars="0" w:firstLine="42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收入计算规则：已报收入以累计开票总金额为基础，若存在收入纠正，则已报收入=累计开票总金额+纠正剩余额度；当月收入为当月开票金额。纠正剩余额度可被后续新增开票按优先顺序抵扣，抵扣完成后恢复纯开票口径。</w:t>
      </w:r>
    </w:p>
    <w:p w14:paraId="565B2A27">
      <w:pPr>
        <w:pStyle w:val="31"/>
        <w:shd w:val="clear" w:color="auto" w:fill="auto"/>
        <w:spacing w:after="189" w:line="360" w:lineRule="auto"/>
        <w:ind w:left="0" w:leftChars="0" w:firstLine="42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开票状态规则：开口合同固定显示配置文字标签；总价合同按实际开票金额与合同金额关系自动判定未开票、部分开票、全部开票状态。</w:t>
      </w:r>
    </w:p>
    <w:p w14:paraId="15AEE35C">
      <w:pPr>
        <w:pStyle w:val="31"/>
        <w:shd w:val="clear" w:color="auto" w:fill="auto"/>
        <w:spacing w:after="189" w:line="360" w:lineRule="auto"/>
        <w:ind w:left="0" w:leftChars="0" w:firstLine="42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权限规则：当月确认产值填报、当月收入纠正、开票信息填报、回款信息填报等编辑权限仅限项目经理；总监代表在本模块仅保留查看权限。</w:t>
      </w:r>
    </w:p>
    <w:p w14:paraId="02F263EF">
      <w:pPr>
        <w:pStyle w:val="31"/>
        <w:shd w:val="clear" w:color="auto" w:fill="auto"/>
        <w:spacing w:after="189" w:line="360" w:lineRule="auto"/>
        <w:ind w:left="0" w:leftChars="0" w:firstLine="0" w:firstLineChars="0"/>
        <w:jc w:val="both"/>
        <w:outlineLvl w:val="3"/>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（2）项目收入操作功能</w:t>
      </w:r>
    </w:p>
    <w:p w14:paraId="1447C2C7">
      <w:pPr>
        <w:pStyle w:val="31"/>
        <w:shd w:val="clear" w:color="auto" w:fill="auto"/>
        <w:spacing w:after="189" w:line="360" w:lineRule="auto"/>
        <w:ind w:left="0" w:leftChars="0" w:firstLine="42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当月确认产值填报：支持按合同发起当月确认产值填报，弹窗展示合同编号、合同类型、合同金额、已报产值、时间区间、系统计算值等只读字段；支持填写当月确认产值及备注。开口合同当月确认产值低于计划产值阈值时，触发产值过低审批流并需填写原因、上传附件；总价合同直接手工填报。</w:t>
      </w:r>
    </w:p>
    <w:p w14:paraId="71F06552">
      <w:pPr>
        <w:pStyle w:val="31"/>
        <w:shd w:val="clear" w:color="auto" w:fill="auto"/>
        <w:spacing w:after="189" w:line="360" w:lineRule="auto"/>
        <w:ind w:left="0" w:leftChars="0" w:firstLine="42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预计开票填报：支持填写计划开票时间、未开票原因、备注等信息，并生成历史记录，供后续查询与审批。</w:t>
      </w:r>
    </w:p>
    <w:p w14:paraId="5BDFAA3C">
      <w:pPr>
        <w:pStyle w:val="31"/>
        <w:shd w:val="clear" w:color="auto" w:fill="auto"/>
        <w:spacing w:after="189" w:line="360" w:lineRule="auto"/>
        <w:ind w:left="0" w:leftChars="0" w:firstLine="42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预计回款填报：支持填写计划回款时间、计划回款金额、最新收款时间、收款总金额、备注等信息，供项目经理填报并供管理层查看。</w:t>
      </w:r>
    </w:p>
    <w:p w14:paraId="7291511C">
      <w:pPr>
        <w:pStyle w:val="31"/>
        <w:shd w:val="clear" w:color="auto" w:fill="auto"/>
        <w:spacing w:after="189" w:line="360" w:lineRule="auto"/>
        <w:ind w:left="0" w:leftChars="0" w:firstLine="42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历史记录查看：支持查看当前合同的当月确认产值快照、纠正财务流水、开票记录、回款历史、开票/回款管控台账等历史数据，形成完整经营留痕。</w:t>
      </w:r>
    </w:p>
    <w:p w14:paraId="081809CF">
      <w:pPr>
        <w:pStyle w:val="31"/>
        <w:shd w:val="clear" w:color="auto" w:fill="auto"/>
        <w:spacing w:after="189" w:line="360" w:lineRule="auto"/>
        <w:ind w:left="0" w:leftChars="0" w:firstLine="42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全局历史查阅：支持管理层在系统顶层统一查看全公司历史确认产值记录与收入纠正记录，并按合同编号、人员、时间段、类型、金额区间等维度筛选。</w:t>
      </w:r>
    </w:p>
    <w:p w14:paraId="2F3C6F1A">
      <w:pPr>
        <w:pStyle w:val="31"/>
        <w:shd w:val="clear" w:color="auto" w:fill="auto"/>
        <w:spacing w:after="189" w:line="360" w:lineRule="auto"/>
        <w:ind w:left="0" w:leftChars="0" w:firstLine="42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补录能力：如历史月份未填报产值，系统需提供补录入口，对合同历史月份产值进行补录并保留留痕。</w:t>
      </w:r>
    </w:p>
    <w:p w14:paraId="4F5874F5">
      <w:pPr>
        <w:pStyle w:val="31"/>
        <w:shd w:val="clear" w:color="auto" w:fill="auto"/>
        <w:spacing w:after="189" w:line="360" w:lineRule="auto"/>
        <w:ind w:left="0" w:leftChars="0" w:firstLine="42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合同状态联动：合同状态变更为“已完成”时，如已报收入未达合同金额，系统自动补齐已报收入并生成系统补齐历史记录。</w:t>
      </w:r>
    </w:p>
    <w:p w14:paraId="3E26E839">
      <w:pPr>
        <w:pStyle w:val="31"/>
        <w:shd w:val="clear" w:color="auto" w:fill="auto"/>
        <w:spacing w:after="189" w:line="360" w:lineRule="auto"/>
        <w:ind w:left="0" w:leftChars="0" w:firstLine="42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公式展示规则：涉及计算公式的页面均需提供公式说明面板，默认收起，支持展开查看。</w:t>
      </w:r>
    </w:p>
    <w:bookmarkEnd w:id="2"/>
    <w:p w14:paraId="58639EC4">
      <w:pPr>
        <w:pStyle w:val="31"/>
        <w:shd w:val="clear" w:color="auto" w:fill="auto"/>
        <w:spacing w:after="189" w:line="360" w:lineRule="auto"/>
        <w:ind w:left="0" w:leftChars="0" w:firstLine="241" w:firstLineChars="100"/>
        <w:jc w:val="both"/>
        <w:outlineLvl w:val="3"/>
        <w:rPr>
          <w:rStyle w:val="30"/>
          <w:rFonts w:hint="default" w:ascii="宋体" w:hAnsi="Times New Roman" w:eastAsia="宋体" w:cs="宋体"/>
          <w:b/>
          <w:bCs/>
          <w:sz w:val="24"/>
          <w:szCs w:val="24"/>
          <w:lang w:val="en-US" w:eastAsia="zh-CN"/>
        </w:rPr>
      </w:pPr>
      <w:bookmarkStart w:id="3" w:name="X79052c8e7cf213cfdea4001f746f8e9a7571462"/>
      <w:r>
        <w:rPr>
          <w:rStyle w:val="30"/>
          <w:rFonts w:hint="default" w:ascii="宋体" w:hAnsi="Times New Roman" w:eastAsia="宋体" w:cs="宋体"/>
          <w:b/>
          <w:bCs/>
          <w:sz w:val="24"/>
          <w:szCs w:val="24"/>
          <w:lang w:val="en-US" w:eastAsia="zh-CN"/>
        </w:rPr>
        <w:t>3.</w:t>
      </w:r>
      <w:r>
        <w:rPr>
          <w:rStyle w:val="30"/>
          <w:rFonts w:hint="eastAsia" w:hAnsi="Times New Roman" w:cs="宋体"/>
          <w:b/>
          <w:bCs/>
          <w:sz w:val="24"/>
          <w:szCs w:val="24"/>
          <w:lang w:val="en-US" w:eastAsia="zh-CN"/>
        </w:rPr>
        <w:t>1.</w:t>
      </w:r>
      <w:r>
        <w:rPr>
          <w:rStyle w:val="30"/>
          <w:rFonts w:hint="default" w:ascii="宋体" w:hAnsi="Times New Roman" w:eastAsia="宋体" w:cs="宋体"/>
          <w:b/>
          <w:bCs/>
          <w:sz w:val="24"/>
          <w:szCs w:val="24"/>
          <w:lang w:val="en-US" w:eastAsia="zh-CN"/>
        </w:rPr>
        <w:t>4.3 执行管理模块需求</w:t>
      </w:r>
    </w:p>
    <w:p w14:paraId="67B2F585">
      <w:pPr>
        <w:pStyle w:val="31"/>
        <w:shd w:val="clear" w:color="auto" w:fill="auto"/>
        <w:spacing w:after="189" w:line="360" w:lineRule="auto"/>
        <w:ind w:left="0" w:leftChars="0" w:firstLine="0" w:firstLineChars="0"/>
        <w:jc w:val="both"/>
        <w:outlineLvl w:val="3"/>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（1）执行管理</w:t>
      </w:r>
    </w:p>
    <w:p w14:paraId="414C285A">
      <w:pPr>
        <w:pStyle w:val="31"/>
        <w:shd w:val="clear" w:color="auto" w:fill="auto"/>
        <w:spacing w:after="189" w:line="360" w:lineRule="auto"/>
        <w:ind w:left="0" w:leftChars="0" w:firstLine="42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执行数据展示：按合同关联展示合同编号、项目经理、区域经理、项目编号、项目名称、项目总监、派单编号、总监代表、制造厂、派遣人员、辅助人员、监造方式、计划开始时间、计划结束时间、实际开始时间、实际结束时间、项目执行状态、工时、是否使用监造平台、不使用监造平台说明、是否中石化项目、设备材料名称、设备数量、大纲是否已编制审核、细则是否已编制审核、风险评估报告风险等级、技术协议等依据性文件现场监理人员是否已拿到、监理工程师替换交接申请是否有、ITP 是否已确认并发给委托方确认、预检会是否召开并有会议纪要、派单变更状态等信息。</w:t>
      </w:r>
    </w:p>
    <w:p w14:paraId="390A6012">
      <w:pPr>
        <w:pStyle w:val="31"/>
        <w:shd w:val="clear" w:color="auto" w:fill="auto"/>
        <w:spacing w:after="189" w:line="360" w:lineRule="auto"/>
        <w:ind w:left="0" w:leftChars="0" w:firstLine="42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字段来源规则：合同编号、项目经理、区域经理等信息来源于 PECMS 合同管理；项目、派单、制造厂、人员、交底、文件、风险、预检会等信息来源于派单、交底、文件及相关业务模块，需在页面中统一展示。</w:t>
      </w:r>
    </w:p>
    <w:p w14:paraId="06A28BA9">
      <w:pPr>
        <w:pStyle w:val="31"/>
        <w:shd w:val="clear" w:color="auto" w:fill="auto"/>
        <w:spacing w:after="189" w:line="360" w:lineRule="auto"/>
        <w:ind w:left="0" w:leftChars="0" w:firstLine="42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执行状态规则：按未开始、进行中、已完成、超期等状态展示，并支持颜色字典配置。计划结束时间超期时自动标红并展示超期天数。</w:t>
      </w:r>
    </w:p>
    <w:p w14:paraId="302E06D0">
      <w:pPr>
        <w:pStyle w:val="31"/>
        <w:shd w:val="clear" w:color="auto" w:fill="auto"/>
        <w:spacing w:after="189" w:line="360" w:lineRule="auto"/>
        <w:ind w:left="0" w:leftChars="0" w:firstLine="42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非平台项目预警：对非 PECMS 项目，如大纲、细则、风险评估、技术协议、交接申请、ITP、预检会等关键技术文件字段缺失，对应字段需标红提醒，但不阻断操作。</w:t>
      </w:r>
    </w:p>
    <w:p w14:paraId="5088473A">
      <w:pPr>
        <w:pStyle w:val="31"/>
        <w:shd w:val="clear" w:color="auto" w:fill="auto"/>
        <w:spacing w:after="189" w:line="360" w:lineRule="auto"/>
        <w:ind w:left="0" w:leftChars="0" w:firstLine="42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派单变更追踪：联动 PECMS 历史记录表，展示换人、改时间、合同号变更、派单重启等变更概要，并支持查看变更明细。</w:t>
      </w:r>
    </w:p>
    <w:p w14:paraId="748D48D2">
      <w:pPr>
        <w:pStyle w:val="31"/>
        <w:shd w:val="clear" w:color="auto" w:fill="auto"/>
        <w:spacing w:after="189" w:line="360" w:lineRule="auto"/>
        <w:ind w:left="0" w:leftChars="0" w:firstLine="0" w:firstLineChars="0"/>
        <w:jc w:val="both"/>
        <w:outlineLvl w:val="3"/>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（2）编辑与详情查看</w:t>
      </w:r>
    </w:p>
    <w:p w14:paraId="1F6D3A07">
      <w:pPr>
        <w:pStyle w:val="31"/>
        <w:shd w:val="clear" w:color="auto" w:fill="auto"/>
        <w:spacing w:after="189" w:line="360" w:lineRule="auto"/>
        <w:ind w:left="0" w:leftChars="0" w:firstLine="42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可编辑字段：支持编辑大纲是否已编制审核、细则是否已编制审核、风险评估报告风险等级、技术协议等依据性文件现场监理人员是否已拿到、监理工程师替换交接申请是否有、ITP 是否已确认并发给委托方确认、预检会是否召开并有会议纪要、备注等非 PECMS 同步字段。</w:t>
      </w:r>
    </w:p>
    <w:p w14:paraId="12EF6E29">
      <w:pPr>
        <w:pStyle w:val="31"/>
        <w:shd w:val="clear" w:color="auto" w:fill="auto"/>
        <w:spacing w:after="189" w:line="360" w:lineRule="auto"/>
        <w:ind w:left="0" w:leftChars="0" w:firstLine="42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合同详情查看：点击合同编号支持查看合同详情，在当前页面弹窗展示合同、项目、人员、风险、预检会等关键信息，不跳转</w:t>
      </w:r>
      <w:r>
        <w:rPr>
          <w:rStyle w:val="30"/>
          <w:rFonts w:hint="eastAsia" w:hAnsi="Times New Roman" w:cs="宋体"/>
          <w:b w:val="0"/>
          <w:bCs w:val="0"/>
          <w:sz w:val="24"/>
          <w:szCs w:val="24"/>
          <w:lang w:val="en-US" w:eastAsia="zh-CN"/>
        </w:rPr>
        <w:t>PECMS模块</w:t>
      </w:r>
      <w:r>
        <w:rPr>
          <w:rStyle w:val="30"/>
          <w:rFonts w:hint="default" w:ascii="宋体" w:hAnsi="Times New Roman" w:eastAsia="宋体" w:cs="宋体"/>
          <w:b w:val="0"/>
          <w:bCs w:val="0"/>
          <w:sz w:val="24"/>
          <w:szCs w:val="24"/>
          <w:lang w:val="en-US" w:eastAsia="zh-CN"/>
        </w:rPr>
        <w:t>。</w:t>
      </w:r>
    </w:p>
    <w:p w14:paraId="01BF7AA5">
      <w:pPr>
        <w:pStyle w:val="31"/>
        <w:shd w:val="clear" w:color="auto" w:fill="auto"/>
        <w:spacing w:after="189" w:line="360" w:lineRule="auto"/>
        <w:ind w:left="0" w:leftChars="0" w:firstLine="42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列设置与排序：支持列设置、固定列、操作列固定、超期天数排序、列配置持久化等交互能力。</w:t>
      </w:r>
    </w:p>
    <w:p w14:paraId="1BA17CB9">
      <w:pPr>
        <w:pStyle w:val="31"/>
        <w:shd w:val="clear" w:color="auto" w:fill="auto"/>
        <w:spacing w:after="189" w:line="360" w:lineRule="auto"/>
        <w:ind w:left="0" w:leftChars="0" w:firstLine="42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查询与权限规则：支持按当前角色、合同编号、项目经理、区域经理、项目编号、派单编号、监造方式、执行状态、项目总监、总监代表、制造厂、计划开始时间、计划结束时间、是否使用监造平台等多维条件筛选。执行管理按角色自动过滤可见数据，支持项目经理、管理员、领导层等不同权限口径。</w:t>
      </w:r>
    </w:p>
    <w:p w14:paraId="431574AA">
      <w:pPr>
        <w:pStyle w:val="31"/>
        <w:shd w:val="clear" w:color="auto" w:fill="auto"/>
        <w:spacing w:after="189" w:line="360" w:lineRule="auto"/>
        <w:ind w:left="0" w:leftChars="0" w:firstLine="42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界面交互能力：支持分组展开收起、浮动滚动条、分页、导出、方案化视图展示等能力，提升大数据量场景下的查看与管理效率。</w:t>
      </w:r>
    </w:p>
    <w:p w14:paraId="1D9D406E">
      <w:pPr>
        <w:pStyle w:val="31"/>
        <w:shd w:val="clear" w:color="auto" w:fill="auto"/>
        <w:spacing w:after="189" w:line="360" w:lineRule="auto"/>
        <w:ind w:left="0" w:leftChars="0" w:firstLine="42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线下数据补录：支持每月按合同编号录入或导入产值、成本结果数据，用于未上平台合同参与经营统计。</w:t>
      </w:r>
    </w:p>
    <w:bookmarkEnd w:id="3"/>
    <w:p w14:paraId="75EB11E4">
      <w:pPr>
        <w:pStyle w:val="31"/>
        <w:shd w:val="clear" w:color="auto" w:fill="auto"/>
        <w:spacing w:after="189" w:line="360" w:lineRule="auto"/>
        <w:ind w:left="0" w:leftChars="0" w:firstLine="241" w:firstLineChars="100"/>
        <w:jc w:val="both"/>
        <w:outlineLvl w:val="3"/>
        <w:rPr>
          <w:rStyle w:val="30"/>
          <w:rFonts w:hint="default" w:ascii="宋体" w:hAnsi="Times New Roman" w:eastAsia="宋体" w:cs="宋体"/>
          <w:b/>
          <w:bCs/>
          <w:sz w:val="24"/>
          <w:szCs w:val="24"/>
          <w:lang w:val="en-US" w:eastAsia="zh-CN"/>
        </w:rPr>
      </w:pPr>
      <w:bookmarkStart w:id="4" w:name="X82fcbc9b92efbae3ca68ff084c1af0d01c489eb"/>
      <w:r>
        <w:rPr>
          <w:rStyle w:val="30"/>
          <w:rFonts w:hint="default" w:ascii="宋体" w:hAnsi="Times New Roman" w:eastAsia="宋体" w:cs="宋体"/>
          <w:b/>
          <w:bCs/>
          <w:sz w:val="24"/>
          <w:szCs w:val="24"/>
          <w:lang w:val="en-US" w:eastAsia="zh-CN"/>
        </w:rPr>
        <w:t>3.</w:t>
      </w:r>
      <w:r>
        <w:rPr>
          <w:rStyle w:val="30"/>
          <w:rFonts w:hint="eastAsia" w:hAnsi="Times New Roman" w:cs="宋体"/>
          <w:b/>
          <w:bCs/>
          <w:sz w:val="24"/>
          <w:szCs w:val="24"/>
          <w:lang w:val="en-US" w:eastAsia="zh-CN"/>
        </w:rPr>
        <w:t>1.</w:t>
      </w:r>
      <w:r>
        <w:rPr>
          <w:rStyle w:val="30"/>
          <w:rFonts w:hint="default" w:ascii="宋体" w:hAnsi="Times New Roman" w:eastAsia="宋体" w:cs="宋体"/>
          <w:b/>
          <w:bCs/>
          <w:sz w:val="24"/>
          <w:szCs w:val="24"/>
          <w:lang w:val="en-US" w:eastAsia="zh-CN"/>
        </w:rPr>
        <w:t>4.4 工时记录与监理人员动态模块需求</w:t>
      </w:r>
    </w:p>
    <w:p w14:paraId="3CC57A41">
      <w:pPr>
        <w:pStyle w:val="31"/>
        <w:shd w:val="clear" w:color="auto" w:fill="auto"/>
        <w:spacing w:after="189" w:line="360" w:lineRule="auto"/>
        <w:ind w:left="0" w:leftChars="0" w:firstLine="0" w:firstLineChars="0"/>
        <w:jc w:val="both"/>
        <w:outlineLvl w:val="3"/>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（1）工时记录管理</w:t>
      </w:r>
    </w:p>
    <w:p w14:paraId="63710EE9">
      <w:pPr>
        <w:pStyle w:val="31"/>
        <w:shd w:val="clear" w:color="auto" w:fill="auto"/>
        <w:spacing w:after="189" w:line="360" w:lineRule="auto"/>
        <w:ind w:left="0" w:leftChars="0" w:firstLine="42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工时总览展示：按合同维度展示合同编号、合同名称、委托方、制造厂、监造金额、项目经理、合同签订时间、合同起始时间、合同终止日期、合同形式、工时等字段，形成合同级工时总览。</w:t>
      </w:r>
    </w:p>
    <w:p w14:paraId="740D4A96">
      <w:pPr>
        <w:pStyle w:val="31"/>
        <w:shd w:val="clear" w:color="auto" w:fill="auto"/>
        <w:spacing w:after="189" w:line="360" w:lineRule="auto"/>
        <w:ind w:left="0" w:leftChars="0" w:firstLine="42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查询与导出规则：支持合同编号、合同名称、委托方、制造厂、项目经理、合同形式、监造金额范围、合同签订时间、合同起始日期、合同终止日期等条件查询，并支持导出当前列表数据。</w:t>
      </w:r>
    </w:p>
    <w:p w14:paraId="10FE2986">
      <w:pPr>
        <w:pStyle w:val="31"/>
        <w:shd w:val="clear" w:color="auto" w:fill="auto"/>
        <w:spacing w:after="189" w:line="360" w:lineRule="auto"/>
        <w:ind w:left="0" w:leftChars="0" w:firstLine="42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二级派单列表：支持查看同一合同下全部派单信息，展示派单编号、监造形式、辅助人员、区域经理、制造厂、总监代表、计划开始时间、计划结束时间、发起时间、派单状态、监造结束时间、剩余时间、工时等字段，并支持摘要卡片、统计汇总、筛选、合计及多种导出方式。</w:t>
      </w:r>
    </w:p>
    <w:p w14:paraId="0770E1BA">
      <w:pPr>
        <w:pStyle w:val="31"/>
        <w:shd w:val="clear" w:color="auto" w:fill="auto"/>
        <w:spacing w:after="189" w:line="360" w:lineRule="auto"/>
        <w:ind w:left="0" w:leftChars="0" w:firstLine="42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三级人员工时记录：支持查看具体辅助人员的打卡记录、工时明细、工时日历及异常情况，区分监理打卡、出勤打卡、外勤打卡、休息、请假、未打卡等类型，并支持返回派单列表及工时手动调整。</w:t>
      </w:r>
    </w:p>
    <w:p w14:paraId="42BA6261">
      <w:pPr>
        <w:pStyle w:val="31"/>
        <w:shd w:val="clear" w:color="auto" w:fill="auto"/>
        <w:spacing w:after="189" w:line="360" w:lineRule="auto"/>
        <w:ind w:left="0" w:leftChars="0" w:firstLine="42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工时调整规则：在总工时不变前提下，支持对同一人员在多个派单下的工时分配进行调整，用于后续产值与成本精细核算。</w:t>
      </w:r>
    </w:p>
    <w:p w14:paraId="0C7C29DA">
      <w:pPr>
        <w:pStyle w:val="31"/>
        <w:shd w:val="clear" w:color="auto" w:fill="auto"/>
        <w:spacing w:after="189" w:line="360" w:lineRule="auto"/>
        <w:ind w:left="0" w:leftChars="0" w:firstLine="0" w:firstLineChars="0"/>
        <w:jc w:val="both"/>
        <w:outlineLvl w:val="3"/>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（2）监理人员动态管理</w:t>
      </w:r>
    </w:p>
    <w:p w14:paraId="3D99065B">
      <w:pPr>
        <w:pStyle w:val="31"/>
        <w:shd w:val="clear" w:color="auto" w:fill="auto"/>
        <w:spacing w:after="189" w:line="360" w:lineRule="auto"/>
        <w:ind w:left="0" w:leftChars="0" w:firstLine="42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人员动态台账：按人员维度展示姓名、性别、民族、政治面貌、文化程度、身份证、出生年月、年龄、入职日期、毕业院校、专业、职称、监理师证书等信息。</w:t>
      </w:r>
    </w:p>
    <w:p w14:paraId="20A2B275">
      <w:pPr>
        <w:pStyle w:val="31"/>
        <w:shd w:val="clear" w:color="auto" w:fill="auto"/>
        <w:spacing w:after="189" w:line="360" w:lineRule="auto"/>
        <w:ind w:left="0" w:leftChars="0" w:firstLine="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查询与导出规则：支持按角色、姓名、性别、民族、政治面貌、文化程度、职称、出生年月范围、年龄范围、入职日期范围、毕业院校、专业、监理师证书等条件筛选，并支持导出当前筛选结果。</w:t>
      </w:r>
    </w:p>
    <w:p w14:paraId="5B6C67F3">
      <w:pPr>
        <w:pStyle w:val="31"/>
        <w:shd w:val="clear" w:color="auto" w:fill="auto"/>
        <w:spacing w:after="189" w:line="360" w:lineRule="auto"/>
        <w:ind w:left="0" w:leftChars="0" w:firstLine="42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派单汇总查看：支持按人员查看名下派单汇总，展示派单编号、监造形式、辅助人员、制造厂、总监代表、计划开始时间、计划结束时间、发起时间、派单状态、监造结束时间、剩余时间、工时等信息，并支持进一步查看工时明细。</w:t>
      </w:r>
    </w:p>
    <w:p w14:paraId="43815B17">
      <w:pPr>
        <w:pStyle w:val="31"/>
        <w:shd w:val="clear" w:color="auto" w:fill="auto"/>
        <w:spacing w:after="189" w:line="360" w:lineRule="auto"/>
        <w:ind w:left="0" w:leftChars="0" w:firstLine="42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三级工时明细：支持在同一派单下切换辅助人员，查看该人员的日期、上班时间、下班时间、打卡类型、签到状态、工时、打卡详细信息及工时日历。</w:t>
      </w:r>
    </w:p>
    <w:bookmarkEnd w:id="4"/>
    <w:p w14:paraId="6E7733C5">
      <w:pPr>
        <w:pStyle w:val="31"/>
        <w:shd w:val="clear" w:color="auto" w:fill="auto"/>
        <w:spacing w:after="189" w:line="360" w:lineRule="auto"/>
        <w:ind w:left="0" w:leftChars="0" w:firstLine="241" w:firstLineChars="100"/>
        <w:jc w:val="both"/>
        <w:outlineLvl w:val="3"/>
        <w:rPr>
          <w:rStyle w:val="30"/>
          <w:rFonts w:hint="default" w:ascii="宋体" w:hAnsi="Times New Roman" w:eastAsia="宋体" w:cs="宋体"/>
          <w:b/>
          <w:bCs/>
          <w:sz w:val="24"/>
          <w:szCs w:val="24"/>
          <w:lang w:val="en-US" w:eastAsia="zh-CN"/>
        </w:rPr>
      </w:pPr>
      <w:bookmarkStart w:id="5" w:name="Xaab048cd40f691b80aace7e0fec998a5a1196de"/>
      <w:r>
        <w:rPr>
          <w:rStyle w:val="30"/>
          <w:rFonts w:hint="default" w:ascii="宋体" w:hAnsi="Times New Roman" w:eastAsia="宋体" w:cs="宋体"/>
          <w:b/>
          <w:bCs/>
          <w:sz w:val="24"/>
          <w:szCs w:val="24"/>
          <w:lang w:val="en-US" w:eastAsia="zh-CN"/>
        </w:rPr>
        <w:t>3.</w:t>
      </w:r>
      <w:r>
        <w:rPr>
          <w:rStyle w:val="30"/>
          <w:rFonts w:hint="eastAsia" w:hAnsi="Times New Roman" w:cs="宋体"/>
          <w:b/>
          <w:bCs/>
          <w:sz w:val="24"/>
          <w:szCs w:val="24"/>
          <w:lang w:val="en-US" w:eastAsia="zh-CN"/>
        </w:rPr>
        <w:t>1.</w:t>
      </w:r>
      <w:r>
        <w:rPr>
          <w:rStyle w:val="30"/>
          <w:rFonts w:hint="default" w:ascii="宋体" w:hAnsi="Times New Roman" w:eastAsia="宋体" w:cs="宋体"/>
          <w:b/>
          <w:bCs/>
          <w:sz w:val="24"/>
          <w:szCs w:val="24"/>
          <w:lang w:val="en-US" w:eastAsia="zh-CN"/>
        </w:rPr>
        <w:t>4.5 开票、回款与提醒管理模块需求</w:t>
      </w:r>
    </w:p>
    <w:p w14:paraId="47617A28">
      <w:pPr>
        <w:pStyle w:val="31"/>
        <w:shd w:val="clear" w:color="auto" w:fill="auto"/>
        <w:spacing w:after="189" w:line="360" w:lineRule="auto"/>
        <w:ind w:left="0" w:leftChars="0" w:firstLine="0" w:firstLineChars="0"/>
        <w:jc w:val="both"/>
        <w:outlineLvl w:val="3"/>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（1）开票明细管理</w:t>
      </w:r>
    </w:p>
    <w:p w14:paraId="0DD3FB65">
      <w:pPr>
        <w:pStyle w:val="31"/>
        <w:shd w:val="clear" w:color="auto" w:fill="auto"/>
        <w:spacing w:after="189" w:line="360" w:lineRule="auto"/>
        <w:ind w:left="0" w:leftChars="0" w:firstLine="42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开票数据维护：支持 Excel 导入及页面新增，导入数据必须包含合同编号。新增开票时填写开票组织、开票客户、开票日期、发票号、币种、总数量、总金额、预计回款时间、项目经理、合同编号、项目名称、凭证号、备注等信息。</w:t>
      </w:r>
    </w:p>
    <w:p w14:paraId="0B3681A0">
      <w:pPr>
        <w:pStyle w:val="31"/>
        <w:shd w:val="clear" w:color="auto" w:fill="auto"/>
        <w:spacing w:after="189" w:line="360" w:lineRule="auto"/>
        <w:ind w:left="0" w:leftChars="0" w:firstLine="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开票流程控制：新增提交后数据直接生效，无需审批；暂存数据支持修改、删除；已提交生效数据如需修改或删除，需发起审批流程；驳回数据支持重新提交。</w:t>
      </w:r>
    </w:p>
    <w:p w14:paraId="189D9C97">
      <w:pPr>
        <w:pStyle w:val="31"/>
        <w:shd w:val="clear" w:color="auto" w:fill="auto"/>
        <w:spacing w:after="189" w:line="360" w:lineRule="auto"/>
        <w:ind w:left="0" w:leftChars="0" w:firstLine="42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开票展示与查询：展示开票组织、开票客户、开票日期、发票号、币种、总数量、总金额、预计回款时间、项目经理、合同编号、项目名称、凭证号、备注、流程状态、审批结果等字段，并支持全部展示字段作为查询条件。</w:t>
      </w:r>
    </w:p>
    <w:p w14:paraId="75CD6E8F">
      <w:pPr>
        <w:pStyle w:val="31"/>
        <w:shd w:val="clear" w:color="auto" w:fill="auto"/>
        <w:spacing w:after="189" w:line="360" w:lineRule="auto"/>
        <w:ind w:left="0" w:leftChars="0" w:firstLine="42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数据来源规则：开票信息不与外部 ERP 系统做接口对接，采用外部系统导出后手工导入方式，导入模板由业务部门后续确认。</w:t>
      </w:r>
    </w:p>
    <w:p w14:paraId="6CB3C315">
      <w:pPr>
        <w:pStyle w:val="31"/>
        <w:shd w:val="clear" w:color="auto" w:fill="auto"/>
        <w:spacing w:after="189" w:line="360" w:lineRule="auto"/>
        <w:ind w:left="0" w:leftChars="0" w:firstLine="0" w:firstLineChars="0"/>
        <w:jc w:val="both"/>
        <w:outlineLvl w:val="3"/>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（2）回款明细管理</w:t>
      </w:r>
    </w:p>
    <w:p w14:paraId="7DF4449C">
      <w:pPr>
        <w:pStyle w:val="31"/>
        <w:shd w:val="clear" w:color="auto" w:fill="auto"/>
        <w:spacing w:after="189" w:line="360" w:lineRule="auto"/>
        <w:ind w:left="0" w:leftChars="0" w:firstLine="42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回款数据维护：新增回款时填写合同编号、对方单位、项目名称、项目经理、回款金额、回款时间、回款凭证、备注等信息，并支持保存、提交、修改、删除、重新提交等操作。</w:t>
      </w:r>
    </w:p>
    <w:p w14:paraId="31C29F48">
      <w:pPr>
        <w:pStyle w:val="31"/>
        <w:shd w:val="clear" w:color="auto" w:fill="auto"/>
        <w:spacing w:after="189" w:line="360" w:lineRule="auto"/>
        <w:ind w:left="0" w:leftChars="0" w:firstLine="42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回款冲抵规则：新增回款时，系统按先进先出原则自动匹配并冲抵该合同下未冲抵的开票记录；当回款金额较大时，可按顺序冲抵多条开票记录，并保留冲抵明细。</w:t>
      </w:r>
    </w:p>
    <w:p w14:paraId="25A103C6">
      <w:pPr>
        <w:pStyle w:val="31"/>
        <w:shd w:val="clear" w:color="auto" w:fill="auto"/>
        <w:spacing w:after="189" w:line="360" w:lineRule="auto"/>
        <w:ind w:left="0" w:leftChars="0" w:firstLine="42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回款联动展示：除回款基础信息外，还需同屏展示合同签约总金额、累计已报产值、已报收入、历史已开票总金额、待开票缺口、未收款余额、本次回款兑付率、总体回款完结度等经营指标。</w:t>
      </w:r>
    </w:p>
    <w:p w14:paraId="6BE912DE">
      <w:pPr>
        <w:pStyle w:val="31"/>
        <w:shd w:val="clear" w:color="auto" w:fill="auto"/>
        <w:spacing w:after="189" w:line="360" w:lineRule="auto"/>
        <w:ind w:left="0" w:leftChars="0" w:firstLine="42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回款汇总分析：支持按项目经理维度、合同维度对回款数据进行汇总分析，并提供回款明细汇总弹窗或独立汇总页面，便于经营兑现情况统计。</w:t>
      </w:r>
    </w:p>
    <w:p w14:paraId="1121E815">
      <w:pPr>
        <w:pStyle w:val="31"/>
        <w:shd w:val="clear" w:color="auto" w:fill="auto"/>
        <w:spacing w:after="189" w:line="360" w:lineRule="auto"/>
        <w:ind w:left="0" w:leftChars="0" w:firstLine="0" w:firstLineChars="0"/>
        <w:jc w:val="both"/>
        <w:outlineLvl w:val="3"/>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（3）开票与回款提醒设置</w:t>
      </w:r>
    </w:p>
    <w:p w14:paraId="5A16F259">
      <w:pPr>
        <w:pStyle w:val="31"/>
        <w:shd w:val="clear" w:color="auto" w:fill="auto"/>
        <w:spacing w:after="189" w:line="360" w:lineRule="auto"/>
        <w:ind w:left="0" w:leftChars="0" w:firstLine="42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提醒规则配置：支持按合同类型、委托方、合同编号、超期时间、提醒频率、来源、状态、预警推送群组、推送渠道等字段配置开票、回款提醒规则。</w:t>
      </w:r>
    </w:p>
    <w:p w14:paraId="7FC08F22">
      <w:pPr>
        <w:pStyle w:val="31"/>
        <w:shd w:val="clear" w:color="auto" w:fill="auto"/>
        <w:spacing w:after="189" w:line="360" w:lineRule="auto"/>
        <w:ind w:left="0" w:leftChars="0" w:firstLine="42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提醒推送机制：支持站内消息、工作邮箱、手机短信等推送方式；提醒频率支持每天、每周、每月及自定义天数，取值来源于字典配置；消息模板支持后台维护、启停及变量引用。</w:t>
      </w:r>
    </w:p>
    <w:p w14:paraId="6BD4AF43">
      <w:pPr>
        <w:pStyle w:val="31"/>
        <w:shd w:val="clear" w:color="auto" w:fill="auto"/>
        <w:spacing w:after="189" w:line="360" w:lineRule="auto"/>
        <w:ind w:left="0" w:leftChars="0" w:firstLine="42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静默与联动规则：当项目经理发起延期或异常纠偏审批时，对应提醒进入静默挂起状态，待流程结束后恢复判定；同时支持项目经理每月产值、预计开票、预计回款未按时填报的催办提醒，并与利润预警消息联动。</w:t>
      </w:r>
    </w:p>
    <w:bookmarkEnd w:id="5"/>
    <w:p w14:paraId="727283D0">
      <w:pPr>
        <w:pStyle w:val="31"/>
        <w:shd w:val="clear" w:color="auto" w:fill="auto"/>
        <w:spacing w:after="189" w:line="360" w:lineRule="auto"/>
        <w:ind w:left="0" w:leftChars="0" w:firstLine="241" w:firstLineChars="100"/>
        <w:jc w:val="both"/>
        <w:outlineLvl w:val="3"/>
        <w:rPr>
          <w:rStyle w:val="30"/>
          <w:rFonts w:hint="default" w:ascii="宋体" w:hAnsi="Times New Roman" w:eastAsia="宋体" w:cs="宋体"/>
          <w:b/>
          <w:bCs/>
          <w:sz w:val="24"/>
          <w:szCs w:val="24"/>
          <w:lang w:val="en-US" w:eastAsia="zh-CN"/>
        </w:rPr>
      </w:pPr>
      <w:bookmarkStart w:id="6" w:name="X9a89877d898d7d7a658380c56817d5db4f3ed70"/>
      <w:r>
        <w:rPr>
          <w:rStyle w:val="30"/>
          <w:rFonts w:hint="default" w:ascii="宋体" w:hAnsi="Times New Roman" w:eastAsia="宋体" w:cs="宋体"/>
          <w:b/>
          <w:bCs/>
          <w:sz w:val="24"/>
          <w:szCs w:val="24"/>
          <w:lang w:val="en-US" w:eastAsia="zh-CN"/>
        </w:rPr>
        <w:t>3.</w:t>
      </w:r>
      <w:r>
        <w:rPr>
          <w:rStyle w:val="30"/>
          <w:rFonts w:hint="eastAsia" w:hAnsi="Times New Roman" w:cs="宋体"/>
          <w:b/>
          <w:bCs/>
          <w:sz w:val="24"/>
          <w:szCs w:val="24"/>
          <w:lang w:val="en-US" w:eastAsia="zh-CN"/>
        </w:rPr>
        <w:t>1.</w:t>
      </w:r>
      <w:r>
        <w:rPr>
          <w:rStyle w:val="30"/>
          <w:rFonts w:hint="default" w:ascii="宋体" w:hAnsi="Times New Roman" w:eastAsia="宋体" w:cs="宋体"/>
          <w:b/>
          <w:bCs/>
          <w:sz w:val="24"/>
          <w:szCs w:val="24"/>
          <w:lang w:val="en-US" w:eastAsia="zh-CN"/>
        </w:rPr>
        <w:t>4.6 动态成本与利润分析模块需求</w:t>
      </w:r>
    </w:p>
    <w:p w14:paraId="3046E924">
      <w:pPr>
        <w:pStyle w:val="31"/>
        <w:shd w:val="clear" w:color="auto" w:fill="auto"/>
        <w:spacing w:after="189" w:line="360" w:lineRule="auto"/>
        <w:ind w:left="0" w:leftChars="0" w:firstLine="0" w:firstLineChars="0"/>
        <w:jc w:val="both"/>
        <w:outlineLvl w:val="3"/>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（1）动态成本核算管理</w:t>
      </w:r>
    </w:p>
    <w:p w14:paraId="49529EAE">
      <w:pPr>
        <w:pStyle w:val="31"/>
        <w:shd w:val="clear" w:color="auto" w:fill="auto"/>
        <w:spacing w:after="189" w:line="360" w:lineRule="auto"/>
        <w:ind w:left="0" w:leftChars="0" w:firstLine="42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成本总览展示：按合同展示合同编号、合同名称、总工时、人员成本、差旅成本、固定支出成本、成本合计等字段，并提供成本公式说明面板、筛选、导出、固定成本填报及明细下钻功能。</w:t>
      </w:r>
    </w:p>
    <w:p w14:paraId="36ADD51A">
      <w:pPr>
        <w:pStyle w:val="31"/>
        <w:shd w:val="clear" w:color="auto" w:fill="auto"/>
        <w:spacing w:after="189" w:line="360" w:lineRule="auto"/>
        <w:ind w:left="0" w:leftChars="0" w:firstLine="42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人员成本规则：正式员工、劳务派遣、技术服务人员均纳入合同成本核算。人员成本按工时与派单数量进行分摊计算；人员工资数据需密文存储，前端仅展示计算结果，不暴露工资单价。</w:t>
      </w:r>
    </w:p>
    <w:p w14:paraId="5B4EE7C3">
      <w:pPr>
        <w:pStyle w:val="31"/>
        <w:shd w:val="clear" w:color="auto" w:fill="auto"/>
        <w:spacing w:after="189" w:line="360" w:lineRule="auto"/>
        <w:ind w:left="0" w:leftChars="0" w:firstLine="42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差旅与固定支出规则：差旅成本支持按天调整、按金额调整两种方式；固定支出成本由服务人员成本、资料费用、其他采购费用组成，支持新增、导出、分页及明细查看。</w:t>
      </w:r>
    </w:p>
    <w:p w14:paraId="747F0BF3">
      <w:pPr>
        <w:pStyle w:val="31"/>
        <w:shd w:val="clear" w:color="auto" w:fill="auto"/>
        <w:spacing w:after="189" w:line="360" w:lineRule="auto"/>
        <w:ind w:left="0" w:leftChars="0" w:firstLine="42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人员成本明细：支持查看人员成本清单，展示姓名、工时、个人成本等信息，并支持导出。支持增加技术服务成本导入入口，将技术服务成本结果纳入合同成本核算。</w:t>
      </w:r>
    </w:p>
    <w:p w14:paraId="37FF207B">
      <w:pPr>
        <w:pStyle w:val="31"/>
        <w:shd w:val="clear" w:color="auto" w:fill="auto"/>
        <w:spacing w:after="189" w:line="360" w:lineRule="auto"/>
        <w:ind w:left="0" w:leftChars="0" w:firstLine="42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差旅成本明细：支持查看差旅成本清单，展示姓名、出差单编号、出差天数、分摊天数、差旅成本等信息，并支持按天或按金额调整成本分摊。</w:t>
      </w:r>
    </w:p>
    <w:p w14:paraId="6606D1EE">
      <w:pPr>
        <w:pStyle w:val="31"/>
        <w:shd w:val="clear" w:color="auto" w:fill="auto"/>
        <w:spacing w:after="189" w:line="360" w:lineRule="auto"/>
        <w:ind w:left="0" w:leftChars="0" w:firstLine="42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固定支出明细：支持查看固定支出清单，展示成本类型、服务人员成本、资料费用、其他采购费用、金额、产生日期、录入人员等信息；支持新增、暂存、提交及导出。</w:t>
      </w:r>
    </w:p>
    <w:p w14:paraId="1FE5D06A">
      <w:pPr>
        <w:pStyle w:val="31"/>
        <w:shd w:val="clear" w:color="auto" w:fill="auto"/>
        <w:spacing w:after="189" w:line="360" w:lineRule="auto"/>
        <w:ind w:left="0" w:leftChars="0" w:firstLine="42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差旅报销管理：支持差旅报销数据导入、内联编辑、调整及合同关联计算；差旅成本金额调整权限区分财务与本人两类角色，本人仅可按天数调整。</w:t>
      </w:r>
    </w:p>
    <w:p w14:paraId="290C104E">
      <w:pPr>
        <w:pStyle w:val="31"/>
        <w:shd w:val="clear" w:color="auto" w:fill="auto"/>
        <w:spacing w:after="189" w:line="360" w:lineRule="auto"/>
        <w:ind w:left="0" w:leftChars="0" w:firstLine="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人员工资管理：支持工资数据导入、历史工资记录及工资脱敏展示，工资字段在系统中需密文存储，前端统一显示为“”。</w:t>
      </w:r>
    </w:p>
    <w:p w14:paraId="3A3F1747">
      <w:pPr>
        <w:pStyle w:val="31"/>
        <w:shd w:val="clear" w:color="auto" w:fill="auto"/>
        <w:spacing w:after="189" w:line="360" w:lineRule="auto"/>
        <w:ind w:left="0" w:leftChars="0" w:firstLine="0" w:firstLineChars="0"/>
        <w:jc w:val="both"/>
        <w:outlineLvl w:val="3"/>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（2）利润管理</w:t>
      </w:r>
    </w:p>
    <w:p w14:paraId="1FEFFF6C">
      <w:pPr>
        <w:pStyle w:val="31"/>
        <w:shd w:val="clear" w:color="auto" w:fill="auto"/>
        <w:spacing w:after="189" w:line="360" w:lineRule="auto"/>
        <w:ind w:left="0" w:leftChars="0" w:firstLine="42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利润台账展示：按合同展示合同编号、合同名称、项目经理、委托方、制造方、总产值、总成本、利润等字段，支持查询、导出及图表分析。</w:t>
      </w:r>
    </w:p>
    <w:p w14:paraId="13001CA9">
      <w:pPr>
        <w:pStyle w:val="31"/>
        <w:shd w:val="clear" w:color="auto" w:fill="auto"/>
        <w:spacing w:after="189" w:line="360" w:lineRule="auto"/>
        <w:ind w:left="0" w:leftChars="0" w:firstLine="42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利润预警规则：利润率阈值由字典配置，支持绿色、橙色、红色三档预警；当合同利润率触碰预警线时，向负责人、项目经理、财务及管理层发送站内消息和邮件提醒，并支持持续提醒及用户屏蔽。</w:t>
      </w:r>
    </w:p>
    <w:p w14:paraId="479F6B7E">
      <w:pPr>
        <w:pStyle w:val="31"/>
        <w:shd w:val="clear" w:color="auto" w:fill="auto"/>
        <w:spacing w:after="189" w:line="360" w:lineRule="auto"/>
        <w:ind w:left="0" w:leftChars="0" w:firstLine="42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利润分析能力：支持合同级趋势分析与全局多合同对比分析，图表类型至少包括折线图、柱状图，并与利润列表筛选条件联动。</w:t>
      </w:r>
    </w:p>
    <w:bookmarkEnd w:id="6"/>
    <w:p w14:paraId="38E73CEB">
      <w:pPr>
        <w:pStyle w:val="31"/>
        <w:shd w:val="clear" w:color="auto" w:fill="auto"/>
        <w:spacing w:after="189" w:line="360" w:lineRule="auto"/>
        <w:ind w:left="0" w:leftChars="0" w:firstLine="241" w:firstLineChars="100"/>
        <w:jc w:val="both"/>
        <w:outlineLvl w:val="3"/>
        <w:rPr>
          <w:rStyle w:val="30"/>
          <w:rFonts w:hint="default" w:ascii="宋体" w:hAnsi="Times New Roman" w:eastAsia="宋体" w:cs="宋体"/>
          <w:b/>
          <w:bCs/>
          <w:sz w:val="24"/>
          <w:szCs w:val="24"/>
          <w:lang w:val="en-US" w:eastAsia="zh-CN"/>
        </w:rPr>
      </w:pPr>
      <w:bookmarkStart w:id="7" w:name="Xe144fde5911ca8a3353602fbc63e683fbb06ebb"/>
      <w:r>
        <w:rPr>
          <w:rStyle w:val="30"/>
          <w:rFonts w:hint="default" w:ascii="宋体" w:hAnsi="Times New Roman" w:eastAsia="宋体" w:cs="宋体"/>
          <w:b/>
          <w:bCs/>
          <w:sz w:val="24"/>
          <w:szCs w:val="24"/>
          <w:lang w:val="en-US" w:eastAsia="zh-CN"/>
        </w:rPr>
        <w:t>3.</w:t>
      </w:r>
      <w:r>
        <w:rPr>
          <w:rStyle w:val="30"/>
          <w:rFonts w:hint="eastAsia" w:hAnsi="Times New Roman" w:cs="宋体"/>
          <w:b/>
          <w:bCs/>
          <w:sz w:val="24"/>
          <w:szCs w:val="24"/>
          <w:lang w:val="en-US" w:eastAsia="zh-CN"/>
        </w:rPr>
        <w:t>1.</w:t>
      </w:r>
      <w:r>
        <w:rPr>
          <w:rStyle w:val="30"/>
          <w:rFonts w:hint="default" w:ascii="宋体" w:hAnsi="Times New Roman" w:eastAsia="宋体" w:cs="宋体"/>
          <w:b/>
          <w:bCs/>
          <w:sz w:val="24"/>
          <w:szCs w:val="24"/>
          <w:lang w:val="en-US" w:eastAsia="zh-CN"/>
        </w:rPr>
        <w:t>4.7 报表、权限与月报模块需求</w:t>
      </w:r>
    </w:p>
    <w:p w14:paraId="746F6F60">
      <w:pPr>
        <w:pStyle w:val="31"/>
        <w:shd w:val="clear" w:color="auto" w:fill="auto"/>
        <w:spacing w:after="189" w:line="360" w:lineRule="auto"/>
        <w:ind w:left="0" w:leftChars="0" w:firstLine="0" w:firstLineChars="0"/>
        <w:jc w:val="both"/>
        <w:outlineLvl w:val="3"/>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（1）经营数据量化</w:t>
      </w:r>
    </w:p>
    <w:p w14:paraId="150401A8">
      <w:pPr>
        <w:pStyle w:val="31"/>
        <w:shd w:val="clear" w:color="auto" w:fill="auto"/>
        <w:spacing w:after="189" w:line="360" w:lineRule="auto"/>
        <w:ind w:left="0" w:leftChars="0" w:firstLine="42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监理人员报表：按辅助人员维度统计全周期或指定时间段内的产值、成本、利润等数据，支持按年或按时间段生成报表。</w:t>
      </w:r>
    </w:p>
    <w:p w14:paraId="515D8678">
      <w:pPr>
        <w:pStyle w:val="31"/>
        <w:shd w:val="clear" w:color="auto" w:fill="auto"/>
        <w:spacing w:after="189" w:line="360" w:lineRule="auto"/>
        <w:ind w:left="0" w:leftChars="0" w:firstLine="42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合同报表：按合同维度统计产值、成本、利润、开票、回款等数据，支持按合同类型、时间段及筛选条件导出 Excel 或 Word 报表。</w:t>
      </w:r>
    </w:p>
    <w:p w14:paraId="0224B333">
      <w:pPr>
        <w:pStyle w:val="31"/>
        <w:shd w:val="clear" w:color="auto" w:fill="auto"/>
        <w:spacing w:after="189" w:line="360" w:lineRule="auto"/>
        <w:ind w:left="0" w:leftChars="0" w:firstLine="42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报表自定义：支持自定义展示字段、时间范围和图表类型，图表类型至少包括折线图、柱状图。</w:t>
      </w:r>
    </w:p>
    <w:p w14:paraId="2AFCF98A">
      <w:pPr>
        <w:pStyle w:val="31"/>
        <w:shd w:val="clear" w:color="auto" w:fill="auto"/>
        <w:spacing w:after="189" w:line="360" w:lineRule="auto"/>
        <w:ind w:left="0" w:leftChars="0" w:firstLine="0" w:firstLineChars="0"/>
        <w:jc w:val="both"/>
        <w:outlineLvl w:val="3"/>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（2）项目经理权限分配</w:t>
      </w:r>
    </w:p>
    <w:p w14:paraId="5FA0846D">
      <w:pPr>
        <w:pStyle w:val="31"/>
        <w:shd w:val="clear" w:color="auto" w:fill="auto"/>
        <w:spacing w:after="189" w:line="360" w:lineRule="auto"/>
        <w:ind w:left="0" w:leftChars="0" w:firstLine="42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自动绑定规则：基于 PECMS 传入的上级单位 ERP 唯一标识，自动完成合同与项目经理账号绑定，无需逐条手工分配。</w:t>
      </w:r>
    </w:p>
    <w:p w14:paraId="034646DA">
      <w:pPr>
        <w:pStyle w:val="31"/>
        <w:shd w:val="clear" w:color="auto" w:fill="auto"/>
        <w:spacing w:after="189" w:line="360" w:lineRule="auto"/>
        <w:ind w:left="0" w:leftChars="0" w:firstLine="42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人工授权能力：管理员可查看默认项目经理、授权项目经理及待绑定状态，并支持手工追加授权、撤销授权及应急“一键急停”隔离操作。</w:t>
      </w:r>
    </w:p>
    <w:p w14:paraId="7AF5EB6A">
      <w:pPr>
        <w:pStyle w:val="31"/>
        <w:shd w:val="clear" w:color="auto" w:fill="auto"/>
        <w:spacing w:after="189" w:line="360" w:lineRule="auto"/>
        <w:ind w:left="0" w:leftChars="0" w:firstLine="0" w:firstLineChars="0"/>
        <w:jc w:val="both"/>
        <w:outlineLvl w:val="3"/>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（3）全局功能规范</w:t>
      </w:r>
    </w:p>
    <w:p w14:paraId="0C1B817B">
      <w:pPr>
        <w:pStyle w:val="31"/>
        <w:shd w:val="clear" w:color="auto" w:fill="auto"/>
        <w:spacing w:after="189" w:line="360" w:lineRule="auto"/>
        <w:ind w:left="0" w:leftChars="0" w:firstLine="42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导出规则：全</w:t>
      </w:r>
      <w:r>
        <w:rPr>
          <w:rStyle w:val="30"/>
          <w:rFonts w:hint="eastAsia" w:hAnsi="Times New Roman" w:cs="宋体"/>
          <w:b w:val="0"/>
          <w:bCs w:val="0"/>
          <w:sz w:val="24"/>
          <w:szCs w:val="24"/>
          <w:lang w:val="en-US" w:eastAsia="zh-CN"/>
        </w:rPr>
        <w:t>模块</w:t>
      </w:r>
      <w:r>
        <w:rPr>
          <w:rStyle w:val="30"/>
          <w:rFonts w:hint="default" w:ascii="宋体" w:hAnsi="Times New Roman" w:eastAsia="宋体" w:cs="宋体"/>
          <w:b w:val="0"/>
          <w:bCs w:val="0"/>
          <w:sz w:val="24"/>
          <w:szCs w:val="24"/>
          <w:lang w:val="en-US" w:eastAsia="zh-CN"/>
        </w:rPr>
        <w:t>统一支持 Excel 导出，默认按当前筛选结果导出，并支持列勾选、条数控制、顺序控制。</w:t>
      </w:r>
    </w:p>
    <w:p w14:paraId="43133BF9">
      <w:pPr>
        <w:pStyle w:val="31"/>
        <w:shd w:val="clear" w:color="auto" w:fill="auto"/>
        <w:spacing w:after="189" w:line="360" w:lineRule="auto"/>
        <w:ind w:left="0" w:leftChars="0" w:firstLine="42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列设置能力：表格统一提供列设置功能，用户可自定义显示列项，取消勾选后表格隐藏对应列。</w:t>
      </w:r>
    </w:p>
    <w:p w14:paraId="39A7F2A3">
      <w:pPr>
        <w:pStyle w:val="31"/>
        <w:shd w:val="clear" w:color="auto" w:fill="auto"/>
        <w:spacing w:after="189" w:line="360" w:lineRule="auto"/>
        <w:ind w:left="0" w:leftChars="0" w:firstLine="0" w:firstLineChars="0"/>
        <w:jc w:val="both"/>
        <w:outlineLvl w:val="3"/>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（4）科研经营月报</w:t>
      </w:r>
    </w:p>
    <w:p w14:paraId="0EC74D37">
      <w:pPr>
        <w:pStyle w:val="31"/>
        <w:shd w:val="clear" w:color="auto" w:fill="auto"/>
        <w:spacing w:after="189" w:line="360" w:lineRule="auto"/>
        <w:ind w:left="0" w:leftChars="0" w:firstLine="42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月报页面建设：参照现有经营月报口径建设科研经营月报页面，首次进入先选择时间区间，再加载月报数据。</w:t>
      </w:r>
    </w:p>
    <w:p w14:paraId="4E081156">
      <w:pPr>
        <w:pStyle w:val="31"/>
        <w:shd w:val="clear" w:color="auto" w:fill="auto"/>
        <w:spacing w:after="189" w:line="360" w:lineRule="auto"/>
        <w:ind w:left="0" w:leftChars="0" w:firstLine="42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月报展示规则：按总价合同、开口合同两类数据分层展示，并展示合同编号、合同标的物、负责人、委托方、合同起止日期、合同额、材料费、人工费、制造费、成本小计、毛利金额、毛利率、付款约定、合同交货期、备注等字段。</w:t>
      </w:r>
    </w:p>
    <w:p w14:paraId="2B0EF4EA">
      <w:pPr>
        <w:pStyle w:val="31"/>
        <w:shd w:val="clear" w:color="auto" w:fill="auto"/>
        <w:spacing w:after="189" w:line="360" w:lineRule="auto"/>
        <w:ind w:left="0" w:leftChars="0" w:firstLine="42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月报填报能力：支持对预付款、进度款、提货款、验收款、款到发货、质保金等字段进行单条或批量填报，并保留历史记录。</w:t>
      </w:r>
    </w:p>
    <w:p w14:paraId="0EC0D72F">
      <w:pPr>
        <w:pStyle w:val="31"/>
        <w:shd w:val="clear" w:color="auto" w:fill="auto"/>
        <w:spacing w:after="189" w:line="360" w:lineRule="auto"/>
        <w:ind w:left="0" w:leftChars="0" w:firstLine="42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月报汇总指标：页面顶部展示本期合同额合计、年初至本月累计合同额、本期销售回款合计、年初至本月累计回款等汇总指标。</w:t>
      </w:r>
    </w:p>
    <w:bookmarkEnd w:id="7"/>
    <w:p w14:paraId="2C16BB40">
      <w:pPr>
        <w:pStyle w:val="31"/>
        <w:shd w:val="clear" w:color="auto" w:fill="auto"/>
        <w:spacing w:after="189" w:line="360" w:lineRule="auto"/>
        <w:ind w:left="0" w:leftChars="0" w:firstLine="241" w:firstLineChars="100"/>
        <w:jc w:val="both"/>
        <w:outlineLvl w:val="3"/>
        <w:rPr>
          <w:rStyle w:val="30"/>
          <w:rFonts w:hint="default" w:ascii="宋体" w:hAnsi="Times New Roman" w:eastAsia="宋体" w:cs="宋体"/>
          <w:b/>
          <w:bCs/>
          <w:sz w:val="24"/>
          <w:szCs w:val="24"/>
          <w:lang w:val="en-US" w:eastAsia="zh-CN"/>
        </w:rPr>
      </w:pPr>
      <w:bookmarkStart w:id="8" w:name="X75c50d35cf221461df5291280208e14600f3daf"/>
      <w:r>
        <w:rPr>
          <w:rStyle w:val="30"/>
          <w:rFonts w:hint="default" w:ascii="宋体" w:hAnsi="Times New Roman" w:eastAsia="宋体" w:cs="宋体"/>
          <w:b/>
          <w:bCs/>
          <w:sz w:val="24"/>
          <w:szCs w:val="24"/>
          <w:lang w:val="en-US" w:eastAsia="zh-CN"/>
        </w:rPr>
        <w:t>3.</w:t>
      </w:r>
      <w:r>
        <w:rPr>
          <w:rStyle w:val="30"/>
          <w:rFonts w:hint="eastAsia" w:hAnsi="Times New Roman" w:cs="宋体"/>
          <w:b/>
          <w:bCs/>
          <w:sz w:val="24"/>
          <w:szCs w:val="24"/>
          <w:lang w:val="en-US" w:eastAsia="zh-CN"/>
        </w:rPr>
        <w:t>1.</w:t>
      </w:r>
      <w:r>
        <w:rPr>
          <w:rStyle w:val="30"/>
          <w:rFonts w:hint="default" w:ascii="宋体" w:hAnsi="Times New Roman" w:eastAsia="宋体" w:cs="宋体"/>
          <w:b/>
          <w:bCs/>
          <w:sz w:val="24"/>
          <w:szCs w:val="24"/>
          <w:lang w:val="en-US" w:eastAsia="zh-CN"/>
        </w:rPr>
        <w:t>4.8 系统架构与数据同步模块需求</w:t>
      </w:r>
    </w:p>
    <w:p w14:paraId="24A3F151">
      <w:pPr>
        <w:pStyle w:val="31"/>
        <w:shd w:val="clear" w:color="auto" w:fill="auto"/>
        <w:spacing w:after="189" w:line="360" w:lineRule="auto"/>
        <w:ind w:left="0" w:leftChars="0" w:firstLine="0" w:firstLineChars="0"/>
        <w:jc w:val="both"/>
        <w:outlineLvl w:val="3"/>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w:t>
      </w:r>
      <w:r>
        <w:rPr>
          <w:rStyle w:val="30"/>
          <w:rFonts w:hint="eastAsia" w:hAnsi="Times New Roman" w:cs="宋体"/>
          <w:b w:val="0"/>
          <w:bCs w:val="0"/>
          <w:sz w:val="24"/>
          <w:szCs w:val="24"/>
          <w:lang w:val="en-US" w:eastAsia="zh-CN"/>
        </w:rPr>
        <w:t>1</w:t>
      </w:r>
      <w:r>
        <w:rPr>
          <w:rStyle w:val="30"/>
          <w:rFonts w:hint="default" w:ascii="宋体" w:hAnsi="Times New Roman" w:eastAsia="宋体" w:cs="宋体"/>
          <w:b w:val="0"/>
          <w:bCs w:val="0"/>
          <w:sz w:val="24"/>
          <w:szCs w:val="24"/>
          <w:lang w:val="en-US" w:eastAsia="zh-CN"/>
        </w:rPr>
        <w:t>）数据隔离与同步机制</w:t>
      </w:r>
    </w:p>
    <w:p w14:paraId="6B31EBE6">
      <w:pPr>
        <w:pStyle w:val="31"/>
        <w:shd w:val="clear" w:color="auto" w:fill="auto"/>
        <w:spacing w:after="189" w:line="360" w:lineRule="auto"/>
        <w:ind w:left="0" w:leftChars="0" w:firstLine="42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 xml:space="preserve">基础数据同步：合同基础信息、项目组信息等基础台账支持全量加增量同步，或在 PECMS 新增合同时主动推送至 </w:t>
      </w:r>
      <w:r>
        <w:rPr>
          <w:rStyle w:val="30"/>
          <w:rFonts w:hint="eastAsia" w:hAnsi="Times New Roman" w:cs="宋体"/>
          <w:b w:val="0"/>
          <w:bCs w:val="0"/>
          <w:sz w:val="24"/>
          <w:szCs w:val="24"/>
          <w:lang w:val="en-US" w:eastAsia="zh-CN"/>
        </w:rPr>
        <w:t>经营管理分析</w:t>
      </w:r>
      <w:r>
        <w:rPr>
          <w:rStyle w:val="30"/>
          <w:rFonts w:hint="default" w:ascii="宋体" w:hAnsi="Times New Roman" w:eastAsia="宋体" w:cs="宋体"/>
          <w:b w:val="0"/>
          <w:bCs w:val="0"/>
          <w:sz w:val="24"/>
          <w:szCs w:val="24"/>
          <w:lang w:val="en-US" w:eastAsia="zh-CN"/>
        </w:rPr>
        <w:t>。</w:t>
      </w:r>
    </w:p>
    <w:p w14:paraId="6BA7698B">
      <w:pPr>
        <w:pStyle w:val="31"/>
        <w:shd w:val="clear" w:color="auto" w:fill="auto"/>
        <w:spacing w:after="189" w:line="360" w:lineRule="auto"/>
        <w:ind w:left="0" w:leftChars="0" w:firstLine="42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 xml:space="preserve">动态数据同步：打卡记录、派单状态变更等动态执行数据通过消息或变更捕获机制写入 </w:t>
      </w:r>
      <w:r>
        <w:rPr>
          <w:rStyle w:val="30"/>
          <w:rFonts w:hint="eastAsia" w:hAnsi="Times New Roman" w:cs="宋体"/>
          <w:b w:val="0"/>
          <w:bCs w:val="0"/>
          <w:sz w:val="24"/>
          <w:szCs w:val="24"/>
          <w:lang w:val="en-US" w:eastAsia="zh-CN"/>
        </w:rPr>
        <w:t>经营管理分析</w:t>
      </w:r>
      <w:r>
        <w:rPr>
          <w:rStyle w:val="30"/>
          <w:rFonts w:hint="default" w:ascii="宋体" w:hAnsi="Times New Roman" w:eastAsia="宋体" w:cs="宋体"/>
          <w:b w:val="0"/>
          <w:bCs w:val="0"/>
          <w:sz w:val="24"/>
          <w:szCs w:val="24"/>
          <w:lang w:val="en-US" w:eastAsia="zh-CN"/>
        </w:rPr>
        <w:t>，减少对 PECMS 主业务性能影响。</w:t>
      </w:r>
    </w:p>
    <w:p w14:paraId="4B45B9DA">
      <w:pPr>
        <w:pStyle w:val="31"/>
        <w:shd w:val="clear" w:color="auto" w:fill="auto"/>
        <w:spacing w:after="189" w:line="360" w:lineRule="auto"/>
        <w:ind w:left="0" w:leftChars="0" w:firstLine="420" w:firstLineChars="0"/>
        <w:jc w:val="both"/>
        <w:rPr>
          <w:rStyle w:val="30"/>
          <w:rFonts w:hint="default" w:ascii="宋体" w:hAnsi="Times New Roman" w:eastAsia="宋体" w:cs="宋体"/>
          <w:b w:val="0"/>
          <w:bCs w:val="0"/>
          <w:sz w:val="24"/>
          <w:szCs w:val="24"/>
          <w:lang w:val="en-US" w:eastAsia="zh-CN"/>
        </w:rPr>
      </w:pPr>
      <w:r>
        <w:rPr>
          <w:rStyle w:val="30"/>
          <w:rFonts w:hint="default" w:ascii="宋体" w:hAnsi="Times New Roman" w:eastAsia="宋体" w:cs="宋体"/>
          <w:b w:val="0"/>
          <w:bCs w:val="0"/>
          <w:sz w:val="24"/>
          <w:szCs w:val="24"/>
          <w:lang w:val="en-US" w:eastAsia="zh-CN"/>
        </w:rPr>
        <w:t>数据只读规则：由 PECMS 和综合管理</w:t>
      </w:r>
      <w:r>
        <w:rPr>
          <w:rStyle w:val="30"/>
          <w:rFonts w:hint="eastAsia" w:hAnsi="Times New Roman" w:cs="宋体"/>
          <w:b w:val="0"/>
          <w:bCs w:val="0"/>
          <w:sz w:val="24"/>
          <w:szCs w:val="24"/>
          <w:lang w:val="en-US" w:eastAsia="zh-CN"/>
        </w:rPr>
        <w:t>模块</w:t>
      </w:r>
      <w:r>
        <w:rPr>
          <w:rStyle w:val="30"/>
          <w:rFonts w:hint="default" w:ascii="宋体" w:hAnsi="Times New Roman" w:eastAsia="宋体" w:cs="宋体"/>
          <w:b w:val="0"/>
          <w:bCs w:val="0"/>
          <w:sz w:val="24"/>
          <w:szCs w:val="24"/>
          <w:lang w:val="en-US" w:eastAsia="zh-CN"/>
        </w:rPr>
        <w:t xml:space="preserve">产生的原始执行数据在 </w:t>
      </w:r>
      <w:r>
        <w:rPr>
          <w:rStyle w:val="30"/>
          <w:rFonts w:hint="eastAsia" w:hAnsi="Times New Roman" w:cs="宋体"/>
          <w:b w:val="0"/>
          <w:bCs w:val="0"/>
          <w:sz w:val="24"/>
          <w:szCs w:val="24"/>
          <w:lang w:val="en-US" w:eastAsia="zh-CN"/>
        </w:rPr>
        <w:t>经营管理分析</w:t>
      </w:r>
      <w:r>
        <w:rPr>
          <w:rStyle w:val="30"/>
          <w:rFonts w:hint="default" w:ascii="宋体" w:hAnsi="Times New Roman" w:eastAsia="宋体" w:cs="宋体"/>
          <w:b w:val="0"/>
          <w:bCs w:val="0"/>
          <w:sz w:val="24"/>
          <w:szCs w:val="24"/>
          <w:lang w:val="en-US" w:eastAsia="zh-CN"/>
        </w:rPr>
        <w:t xml:space="preserve"> 中仅可读不可回写；</w:t>
      </w:r>
      <w:r>
        <w:rPr>
          <w:rStyle w:val="30"/>
          <w:rFonts w:hint="eastAsia" w:hAnsi="Times New Roman" w:cs="宋体"/>
          <w:b w:val="0"/>
          <w:bCs w:val="0"/>
          <w:sz w:val="24"/>
          <w:szCs w:val="24"/>
          <w:lang w:val="en-US" w:eastAsia="zh-CN"/>
        </w:rPr>
        <w:t>经营管理分析</w:t>
      </w:r>
      <w:r>
        <w:rPr>
          <w:rStyle w:val="30"/>
          <w:rFonts w:hint="default" w:ascii="宋体" w:hAnsi="Times New Roman" w:eastAsia="宋体" w:cs="宋体"/>
          <w:b w:val="0"/>
          <w:bCs w:val="0"/>
          <w:sz w:val="24"/>
          <w:szCs w:val="24"/>
          <w:lang w:val="en-US" w:eastAsia="zh-CN"/>
        </w:rPr>
        <w:t xml:space="preserve"> 侧产生的收入纠正、审批历史、差旅工资等经营数据亦不反向写回 PECMS。</w:t>
      </w:r>
    </w:p>
    <w:p w14:paraId="571DA2E8">
      <w:pPr>
        <w:pStyle w:val="31"/>
        <w:shd w:val="clear" w:color="auto" w:fill="auto"/>
        <w:spacing w:after="189" w:line="360" w:lineRule="auto"/>
        <w:ind w:left="0" w:leftChars="0" w:firstLine="241" w:firstLineChars="100"/>
        <w:jc w:val="both"/>
        <w:outlineLvl w:val="2"/>
        <w:rPr>
          <w:rStyle w:val="30"/>
          <w:rFonts w:hint="eastAsia" w:ascii="宋体" w:hAnsi="Times New Roman" w:eastAsia="宋体" w:cs="宋体"/>
          <w:b/>
          <w:bCs/>
          <w:sz w:val="24"/>
          <w:szCs w:val="24"/>
          <w:lang w:val="en-US" w:eastAsia="zh-CN"/>
        </w:rPr>
      </w:pPr>
      <w:r>
        <w:rPr>
          <w:rStyle w:val="30"/>
          <w:rFonts w:hint="eastAsia" w:ascii="宋体" w:hAnsi="Times New Roman" w:eastAsia="宋体" w:cs="宋体"/>
          <w:b/>
          <w:bCs/>
          <w:sz w:val="24"/>
          <w:szCs w:val="24"/>
          <w:lang w:val="en-US" w:eastAsia="zh-CN"/>
        </w:rPr>
        <w:t>3.1.</w:t>
      </w:r>
      <w:r>
        <w:rPr>
          <w:rStyle w:val="30"/>
          <w:rFonts w:hint="eastAsia" w:hAnsi="Times New Roman" w:cs="宋体"/>
          <w:b/>
          <w:bCs/>
          <w:sz w:val="24"/>
          <w:szCs w:val="24"/>
          <w:lang w:val="en-US" w:eastAsia="zh-CN"/>
        </w:rPr>
        <w:t>5</w:t>
      </w:r>
      <w:r>
        <w:rPr>
          <w:rStyle w:val="30"/>
          <w:rFonts w:hint="eastAsia" w:ascii="宋体" w:hAnsi="Times New Roman" w:eastAsia="宋体" w:cs="宋体"/>
          <w:b/>
          <w:bCs/>
          <w:sz w:val="24"/>
          <w:szCs w:val="24"/>
          <w:lang w:val="en-US" w:eastAsia="zh-CN"/>
        </w:rPr>
        <w:t xml:space="preserve"> 功能规格要求</w:t>
      </w:r>
    </w:p>
    <w:p w14:paraId="07B91F3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jc w:val="both"/>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（1）本项目功能范围、开发内容、交付边界，以报价单、采购文件、经双方确认的需求文档、原型图、会议纪要及谈判文件约定内容为准，上述文件互为补充，具有同等约束力。</w:t>
      </w:r>
    </w:p>
    <w:p w14:paraId="18E6A05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2）供应商作为专业技术服务方，应基于甲方提出的业务目标和需求内容，履行专业分析、需求完善、功能补全、流程优化、交互完善、异常处理完善及配套功能补齐义务。凡属于实现已确认业务目标所必需的功能、逻辑、校验、提示、权限、日志、异常处理、数据联动、查询筛选、导入导出、统计展示等配套内容，均视为供应商应完成的工作范围，不另行增加费用，不作为顺延工期依据。</w:t>
      </w:r>
    </w:p>
    <w:p w14:paraId="2D81BF8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3）前款所称“功能补全、逻辑优化、配套完善”，仅限于实现已确认需求目标所必需的合理开发内容；如甲方新增业务模块、改变核心业务模式、重构主流程、增加原约定范围外的第三方系统集成、调整整体功能框架或新增重大统计分析口径的，属于需求变更，应按双方确认的变更流程执行，另行协商费用及工期。</w:t>
      </w:r>
    </w:p>
    <w:p w14:paraId="032B14F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4）合同签订前，供应商应配合甲方完成本次需求分析、需求澄清及实施边界梳理；合同签订后，供应商须依据甲方最终确认的在线需求文档，对全部功能点逐项进行工时预估，编制书面《开发进度计划表》《功能清单及排期表》，经甲方书面确认后作为项目实施及验收依据。</w:t>
      </w:r>
    </w:p>
    <w:p w14:paraId="19E5B93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（5）供应商不得以“需求未写明细节”“需求未明确页面表现”“常规功能未单独列出”等理由拒绝完成合理配套功能。</w:t>
      </w:r>
    </w:p>
    <w:p w14:paraId="2D430147">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（6）供应商应建立需求确认、版本冻结及变更管理机制。需求冻结后，如需调整，双方应就变更内容、影响范围、费用和工期进行书面确认，未经甲方书面确认，供应商不得据此主张费用增加或工期顺延。</w:t>
      </w:r>
    </w:p>
    <w:p w14:paraId="429036E7">
      <w:pPr>
        <w:pStyle w:val="31"/>
        <w:shd w:val="clear" w:color="auto" w:fill="auto"/>
        <w:spacing w:after="189" w:line="360" w:lineRule="auto"/>
        <w:ind w:left="0" w:leftChars="0" w:firstLine="0" w:firstLineChars="0"/>
        <w:jc w:val="both"/>
        <w:outlineLvl w:val="2"/>
        <w:rPr>
          <w:rFonts w:hint="default" w:ascii="宋体" w:hAnsi="宋体" w:eastAsia="宋体" w:cs="宋体"/>
          <w:sz w:val="24"/>
          <w:szCs w:val="18"/>
          <w:lang w:val="en-US" w:eastAsia="zh-CN"/>
        </w:rPr>
      </w:pPr>
      <w:r>
        <w:rPr>
          <w:rFonts w:hint="eastAsia" w:hAnsi="宋体" w:cs="宋体"/>
          <w:sz w:val="24"/>
          <w:szCs w:val="18"/>
          <w:lang w:val="en-US" w:eastAsia="zh-CN"/>
        </w:rPr>
        <w:t xml:space="preserve">3.1.6 </w:t>
      </w:r>
      <w:r>
        <w:rPr>
          <w:rFonts w:hint="eastAsia" w:ascii="宋体" w:hAnsi="宋体" w:eastAsia="宋体" w:cs="宋体"/>
          <w:sz w:val="24"/>
          <w:szCs w:val="18"/>
          <w:lang w:val="en-US" w:eastAsia="zh-CN"/>
        </w:rPr>
        <w:t>需求时间</w:t>
      </w:r>
    </w:p>
    <w:p w14:paraId="2CD2AAE2">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2026年09月30日前完成经营管理分析与执行管理模块开发。</w:t>
      </w:r>
    </w:p>
    <w:p w14:paraId="0B95EF5F">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2026年10月30日前完成安全平台PC端及APP端升级改造。</w:t>
      </w:r>
    </w:p>
    <w:p w14:paraId="4294BF97">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2026年11月30日前完成对外</w:t>
      </w:r>
      <w:r>
        <w:rPr>
          <w:rFonts w:hint="eastAsia" w:ascii="宋体" w:hAnsi="宋体" w:eastAsia="宋体" w:cs="宋体"/>
          <w:sz w:val="24"/>
          <w:szCs w:val="18"/>
          <w:lang w:val="en-US" w:eastAsia="en-US"/>
        </w:rPr>
        <w:t>PECMS</w:t>
      </w:r>
      <w:r>
        <w:rPr>
          <w:rFonts w:hint="eastAsia" w:ascii="宋体" w:hAnsi="宋体" w:eastAsia="宋体" w:cs="宋体"/>
          <w:sz w:val="24"/>
          <w:szCs w:val="18"/>
          <w:lang w:val="en-US" w:eastAsia="zh-CN"/>
        </w:rPr>
        <w:t>模块改造升级。</w:t>
      </w:r>
    </w:p>
    <w:p w14:paraId="10D05F6E">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2026年11月30日前完成对内</w:t>
      </w:r>
      <w:r>
        <w:rPr>
          <w:rFonts w:hint="eastAsia" w:ascii="宋体" w:hAnsi="宋体" w:eastAsia="宋体" w:cs="宋体"/>
          <w:sz w:val="24"/>
          <w:szCs w:val="18"/>
          <w:lang w:val="en-US" w:eastAsia="en-US"/>
        </w:rPr>
        <w:t>PECMS</w:t>
      </w:r>
      <w:r>
        <w:rPr>
          <w:rFonts w:hint="eastAsia" w:ascii="宋体" w:hAnsi="宋体" w:eastAsia="宋体" w:cs="宋体"/>
          <w:sz w:val="24"/>
          <w:szCs w:val="18"/>
          <w:lang w:val="en-US" w:eastAsia="zh-CN"/>
        </w:rPr>
        <w:t>模块改造升级。</w:t>
      </w:r>
    </w:p>
    <w:p w14:paraId="1A52E4C4">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2026年12月15日前完成APP部分功能开发和优化升级改造。</w:t>
      </w:r>
    </w:p>
    <w:p w14:paraId="58FDD942">
      <w:pPr>
        <w:pStyle w:val="31"/>
        <w:shd w:val="clear" w:color="auto" w:fill="auto"/>
        <w:spacing w:after="189" w:line="360" w:lineRule="auto"/>
        <w:ind w:left="0" w:leftChars="0" w:firstLine="0" w:firstLineChars="0"/>
        <w:jc w:val="both"/>
        <w:outlineLvl w:val="1"/>
        <w:rPr>
          <w:rStyle w:val="30"/>
          <w:rFonts w:hint="default" w:ascii="宋体" w:hAnsi="Times New Roman" w:eastAsia="宋体" w:cs="宋体"/>
          <w:b/>
          <w:bCs/>
          <w:sz w:val="28"/>
          <w:szCs w:val="28"/>
          <w:lang w:val="en-US" w:eastAsia="zh-CN"/>
        </w:rPr>
      </w:pPr>
      <w:r>
        <w:rPr>
          <w:rStyle w:val="30"/>
          <w:rFonts w:hint="eastAsia" w:hAnsi="Times New Roman" w:cs="宋体"/>
          <w:b/>
          <w:bCs/>
          <w:sz w:val="28"/>
          <w:szCs w:val="28"/>
          <w:lang w:val="en-US" w:eastAsia="zh-CN"/>
        </w:rPr>
        <w:t xml:space="preserve">3.2 </w:t>
      </w:r>
      <w:r>
        <w:rPr>
          <w:rStyle w:val="30"/>
          <w:rFonts w:hint="eastAsia" w:ascii="宋体" w:hAnsi="Times New Roman" w:eastAsia="宋体" w:cs="宋体"/>
          <w:b/>
          <w:bCs/>
          <w:sz w:val="28"/>
          <w:szCs w:val="28"/>
          <w:lang w:val="en-US" w:eastAsia="zh-CN"/>
        </w:rPr>
        <w:t>性能技术要求</w:t>
      </w:r>
    </w:p>
    <w:p w14:paraId="7158BB55">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Chars="200" w:firstLine="0" w:firstLineChars="0"/>
        <w:textAlignment w:val="auto"/>
        <w:outlineLvl w:val="2"/>
        <w:rPr>
          <w:rFonts w:hint="eastAsia" w:ascii="宋体" w:hAnsi="宋体" w:eastAsia="宋体" w:cs="宋体"/>
          <w:b/>
          <w:bCs/>
          <w:spacing w:val="-7"/>
          <w:kern w:val="2"/>
          <w:sz w:val="24"/>
          <w:szCs w:val="24"/>
          <w:lang w:val="en-US" w:eastAsia="zh-CN" w:bidi="ar-SA"/>
        </w:rPr>
      </w:pPr>
      <w:r>
        <w:rPr>
          <w:rFonts w:hint="eastAsia" w:ascii="宋体" w:hAnsi="宋体" w:eastAsia="宋体" w:cs="宋体"/>
          <w:b/>
          <w:bCs/>
          <w:spacing w:val="-7"/>
          <w:kern w:val="2"/>
          <w:sz w:val="24"/>
          <w:szCs w:val="24"/>
          <w:lang w:val="en-US" w:eastAsia="zh-CN" w:bidi="ar-SA"/>
        </w:rPr>
        <w:t>3.2.1 性能规格要求</w:t>
      </w:r>
    </w:p>
    <w:p w14:paraId="02043D4A">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（1）系统应支持不少于500名并发在线用户稳定访问，并满足甲方核心业务场景下的使用需求。并发能力测试应基于双方确认的测试环境、测试模型和业务场景执行。</w:t>
      </w:r>
    </w:p>
    <w:p w14:paraId="61743616">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（2）核心业务操作包括但不限于数据查询、新增、修改、删除、导入、导出、列表筛选、统计汇总等。上述核心操作在标准测试环境下应满足以下性能要求：</w:t>
      </w:r>
    </w:p>
    <w:p w14:paraId="5C67759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① 核心接口响应时间 P95≤1.5秒；</w:t>
      </w:r>
    </w:p>
    <w:p w14:paraId="5BF0D9D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② 复杂查询、导入导出等大数据量操作响应时间或处理时长应符合双方确认的专项性能标准；</w:t>
      </w:r>
    </w:p>
    <w:p w14:paraId="1BD1DD0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③ 不得出现因系统设计、程序缺陷或资源调度不合理导致的大面积卡顿、请求阻塞、异常超时或服务不可用。</w:t>
      </w:r>
    </w:p>
    <w:p w14:paraId="65B79B9C">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（3）系统年度可用性不低于99.9%，支持7×24小时稳定运行。年度可用性统计应以系统应用服务可访问、核心功能可正常使用为标准，并明确统计口径。</w:t>
      </w:r>
    </w:p>
    <w:p w14:paraId="2FC0D84A">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（4）高峰期服务器 CPU、内存等核心资源占用应处于合理区间，原则上峰值不高于80%；如因业务增长或数据规模扩大需进行资源扩容，供应商应提前提出容量评估和优化建议。</w:t>
      </w:r>
    </w:p>
    <w:p w14:paraId="00987073">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（5）前述性能指标的测试环境、测试数据量、并发模型、压测工具、执行方法和达标判定标准，应由双方在测试前书面确认。</w:t>
      </w:r>
    </w:p>
    <w:p w14:paraId="10A46C32">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sz w:val="24"/>
          <w:szCs w:val="18"/>
          <w:lang w:val="en-US" w:eastAsia="zh-CN"/>
        </w:rPr>
      </w:pPr>
      <w:r>
        <w:rPr>
          <w:rFonts w:hint="eastAsia" w:ascii="宋体" w:hAnsi="宋体" w:eastAsia="宋体" w:cs="宋体"/>
          <w:sz w:val="24"/>
          <w:szCs w:val="18"/>
          <w:lang w:val="en-US" w:eastAsia="zh-CN"/>
        </w:rPr>
        <w:t>（6）除不可抗力外，系统运行过程中发生服务中断、访问异常、性能下降、接口不可用、数据不同步等影响正常使用的情形，供应商均应承担及时响应、排查、修复、恢复及整改责任。即使问题涉及甲方基础设施、第三方平台或运营商网络，供应商仍应负责牵头开展技术排查、联调协同、应急处置和闭环解决，不得以此作为免责依据；因供应商系统架构设计、接口依赖管理、容灾机制、监控预警或异常处理不足导致故障扩大、恢复延迟或业务影响加重的，相关责任仍由供应商承担。</w:t>
      </w:r>
    </w:p>
    <w:p w14:paraId="6F3351C0">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Chars="200" w:firstLine="0" w:firstLineChars="0"/>
        <w:textAlignment w:val="auto"/>
        <w:outlineLvl w:val="2"/>
        <w:rPr>
          <w:rFonts w:hint="eastAsia" w:ascii="宋体" w:hAnsi="宋体" w:eastAsia="宋体" w:cs="宋体"/>
          <w:b/>
          <w:bCs/>
          <w:spacing w:val="-7"/>
          <w:kern w:val="2"/>
          <w:sz w:val="24"/>
          <w:szCs w:val="24"/>
          <w:lang w:val="en-US" w:eastAsia="zh-CN" w:bidi="ar-SA"/>
        </w:rPr>
      </w:pPr>
      <w:r>
        <w:rPr>
          <w:rFonts w:hint="eastAsia" w:ascii="宋体" w:hAnsi="宋体" w:eastAsia="宋体" w:cs="宋体"/>
          <w:b/>
          <w:bCs/>
          <w:spacing w:val="-7"/>
          <w:kern w:val="2"/>
          <w:sz w:val="24"/>
          <w:szCs w:val="24"/>
          <w:lang w:val="en-US" w:eastAsia="zh-CN" w:bidi="ar-SA"/>
        </w:rPr>
        <w:t>3.2.2 技术架构要求</w:t>
      </w:r>
    </w:p>
    <w:p w14:paraId="5BC653B7">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Chars="200" w:firstLine="0" w:firstLineChars="0"/>
        <w:textAlignment w:val="auto"/>
        <w:outlineLvl w:val="3"/>
        <w:rPr>
          <w:rFonts w:hint="default" w:ascii="宋体" w:hAnsi="宋体" w:eastAsia="宋体" w:cs="宋体"/>
          <w:b/>
          <w:bCs/>
          <w:spacing w:val="-7"/>
          <w:kern w:val="2"/>
          <w:sz w:val="24"/>
          <w:szCs w:val="24"/>
          <w:lang w:val="en-US" w:eastAsia="zh-CN" w:bidi="ar-SA"/>
        </w:rPr>
      </w:pPr>
      <w:r>
        <w:rPr>
          <w:rFonts w:hint="eastAsia" w:ascii="宋体" w:hAnsi="宋体" w:eastAsia="宋体" w:cs="宋体"/>
          <w:b/>
          <w:bCs/>
          <w:spacing w:val="-7"/>
          <w:kern w:val="2"/>
          <w:sz w:val="24"/>
          <w:szCs w:val="24"/>
          <w:lang w:val="en-US" w:eastAsia="zh-CN" w:bidi="ar-SA"/>
        </w:rPr>
        <w:t>3.2.2.1 PECMS技术架构要求</w:t>
      </w:r>
    </w:p>
    <w:p w14:paraId="08864178">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Chars="0" w:firstLine="420" w:firstLineChars="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（1）基于 Spring Boot 框架构建，模块拆分合理、架构分层清晰，具备高可用、可扩展、易维护、负载均衡等特性。</w:t>
      </w:r>
    </w:p>
    <w:p w14:paraId="485AD78D">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Chars="0" w:firstLine="420" w:firstLineChars="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（2）后端采用 Java 语言开发，代码规范统一、结构清晰；数据库采用 MySQL 8.0，支持事务处理、索引优化及数据安全存储。</w:t>
      </w:r>
    </w:p>
    <w:p w14:paraId="4AB966F3">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Chars="0" w:firstLine="420" w:firstLineChars="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（3）前端采用 HTML、CSS、JavaScript 等技术开发，界面交互流畅、用户体验良好；前后端通过标准 RESTful API 实现数据交互，接口规范统一，接口文档完整。</w:t>
      </w:r>
    </w:p>
    <w:p w14:paraId="6A2F3766">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Chars="0" w:firstLine="420" w:firstLineChars="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（4）App 端采用UniApp开发，实现跨平台兼容，功能、交互与 PC 端保持一致，满足移动端使用需求。</w:t>
      </w:r>
    </w:p>
    <w:p w14:paraId="31639290">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Chars="200" w:firstLine="0" w:firstLineChars="0"/>
        <w:textAlignment w:val="auto"/>
        <w:outlineLvl w:val="3"/>
        <w:rPr>
          <w:rFonts w:hint="eastAsia" w:ascii="宋体" w:hAnsi="宋体" w:eastAsia="宋体" w:cs="宋体"/>
          <w:b/>
          <w:bCs/>
          <w:spacing w:val="-7"/>
          <w:kern w:val="2"/>
          <w:sz w:val="24"/>
          <w:szCs w:val="24"/>
          <w:lang w:val="en-US" w:eastAsia="zh-CN" w:bidi="ar-SA"/>
        </w:rPr>
      </w:pPr>
      <w:r>
        <w:rPr>
          <w:rFonts w:hint="eastAsia" w:ascii="宋体" w:hAnsi="宋体" w:eastAsia="宋体" w:cs="宋体"/>
          <w:b/>
          <w:bCs/>
          <w:spacing w:val="-7"/>
          <w:kern w:val="2"/>
          <w:sz w:val="24"/>
          <w:szCs w:val="24"/>
          <w:lang w:val="en-US" w:eastAsia="zh-CN" w:bidi="ar-SA"/>
        </w:rPr>
        <w:t>3.2.2.2 安全模块技术架构要求</w:t>
      </w:r>
    </w:p>
    <w:p w14:paraId="570128AD">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720" w:firstLineChars="30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基于JeecgBoot框架构建，架构设计合理、服务分层清晰，具备良好的扩展性、可维护性与稳定性。</w:t>
      </w:r>
    </w:p>
    <w:p w14:paraId="409C5310">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720" w:firstLineChars="30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后端采用Java语言开发，代码遵循行业通用开发规范；数据库采用MySQL 8.0，支持事务、索引优化及数据安全存储。</w:t>
      </w:r>
    </w:p>
    <w:p w14:paraId="018902BE">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720" w:firstLineChars="30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前端采用Vue.js框架开发，界面交互流畅、体验友好；前后端通过标准 Restful API进行数据交互，接口规范统一、文档完整。</w:t>
      </w:r>
    </w:p>
    <w:p w14:paraId="6CAE7FF9">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720" w:firstLineChars="30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App 端采用UniApp开发，实现跨平台兼容，功能、交互与 PC 端保持一致，满足移动端使用需求。</w:t>
      </w:r>
    </w:p>
    <w:p w14:paraId="573973BD">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Chars="200" w:firstLine="0" w:firstLineChars="0"/>
        <w:textAlignment w:val="auto"/>
        <w:outlineLvl w:val="3"/>
        <w:rPr>
          <w:rFonts w:hint="default" w:ascii="宋体" w:hAnsi="宋体" w:eastAsia="宋体" w:cs="宋体"/>
          <w:b/>
          <w:bCs/>
          <w:spacing w:val="-7"/>
          <w:kern w:val="2"/>
          <w:sz w:val="24"/>
          <w:szCs w:val="24"/>
          <w:lang w:val="en-US" w:eastAsia="zh-CN" w:bidi="ar-SA"/>
        </w:rPr>
      </w:pPr>
      <w:r>
        <w:rPr>
          <w:rFonts w:hint="eastAsia" w:ascii="宋体" w:hAnsi="宋体" w:eastAsia="宋体" w:cs="宋体"/>
          <w:b/>
          <w:bCs/>
          <w:spacing w:val="-7"/>
          <w:kern w:val="2"/>
          <w:sz w:val="24"/>
          <w:szCs w:val="24"/>
          <w:lang w:val="en-US" w:eastAsia="zh-CN" w:bidi="ar-SA"/>
        </w:rPr>
        <w:t>3.2.2.3 经营分析技术架构要求</w:t>
      </w:r>
    </w:p>
    <w:p w14:paraId="0D2C2315">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Chars="0" w:firstLine="720" w:firstLineChars="30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系统应基于 Spring Cloud 分布式架构设计与开发，各服务拆分合理、边界清晰、职责明确，整体架构应具备高可用、可扩展、易维护、支持负载均衡及横向扩展等分布式系统特性。</w:t>
      </w:r>
    </w:p>
    <w:p w14:paraId="7BE5176E">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Chars="0" w:firstLine="720" w:firstLineChars="30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后端采用 Java 语言开发，代码结构清晰、分层合理、命名规范，具备良好的可读性、可维护性和可扩展性；数据库采用 MySQL 8.0，支持事务处理、索引优化、备份恢复及数据安全存储。</w:t>
      </w:r>
    </w:p>
    <w:p w14:paraId="17F1AAAC">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Chars="0" w:firstLine="720" w:firstLineChars="30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前端采用 Vue.js 框架开发，页面交互流畅、体验友好；前后端通过标准 RESTful API 进行数据交互，接口规范统一，并提供完整接口文档，接口文档至少包含接口说明、请求方式、参数定义、返回字段、错误码、示例报文及鉴权说明。</w:t>
      </w:r>
    </w:p>
    <w:p w14:paraId="20AB331A">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Chars="0" w:firstLine="720" w:firstLineChars="30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App 端应集成消息通知功能，至少支持业务消息提醒、待办提醒、异常提醒等通知能力，并具备消息留痕、状态标识及基本异常补偿机制。</w:t>
      </w:r>
    </w:p>
    <w:p w14:paraId="708688AB">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Chars="0" w:firstLine="720" w:firstLineChars="30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系统整体应具备统一认证、统一权限控制、统一日志管理、统一异常处理、统一配置管理能力。</w:t>
      </w:r>
    </w:p>
    <w:p w14:paraId="5BFBC760">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Chars="0" w:firstLine="720" w:firstLineChars="30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供应商应确保所选技术方案成熟稳定，不得采用处于明显淘汰状态、停止维护或存在重大兼容性风险的技术组件。</w:t>
      </w:r>
    </w:p>
    <w:p w14:paraId="55D1B550">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Chars="200" w:firstLine="0" w:firstLineChars="0"/>
        <w:textAlignment w:val="auto"/>
        <w:outlineLvl w:val="2"/>
        <w:rPr>
          <w:rFonts w:hint="eastAsia" w:ascii="宋体" w:hAnsi="宋体" w:eastAsia="宋体" w:cs="宋体"/>
          <w:b/>
          <w:bCs/>
          <w:spacing w:val="-7"/>
          <w:kern w:val="2"/>
          <w:sz w:val="24"/>
          <w:szCs w:val="24"/>
          <w:lang w:val="en-US" w:eastAsia="zh-CN" w:bidi="ar-SA"/>
        </w:rPr>
      </w:pPr>
      <w:r>
        <w:rPr>
          <w:rFonts w:hint="eastAsia" w:ascii="宋体" w:hAnsi="宋体" w:eastAsia="宋体" w:cs="宋体"/>
          <w:b/>
          <w:bCs/>
          <w:spacing w:val="-7"/>
          <w:kern w:val="2"/>
          <w:sz w:val="24"/>
          <w:szCs w:val="24"/>
          <w:lang w:val="en-US" w:eastAsia="zh-CN" w:bidi="ar-SA"/>
        </w:rPr>
        <w:t>3.2.3 质量与验收要求</w:t>
      </w:r>
    </w:p>
    <w:p w14:paraId="08E23174">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Chars="0" w:firstLine="420" w:firstLineChars="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（1）交付文档标准</w:t>
      </w:r>
    </w:p>
    <w:p w14:paraId="3EC8D9DE">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①用户使用手册：应完整覆盖系统全部功能模块、业务场景、操作步骤、权限说明及常见问题处理方案，图文清晰、表达准确，确保用户可独立操作；内容格式须严格按照甲方提供模板编制，无缺项、无遗漏，样式规范，具备左侧导航树、一级二级标题等结构要求。</w:t>
      </w:r>
    </w:p>
    <w:p w14:paraId="529C0A22">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②测试验收报告：应覆盖黑盒测试、白盒测试、集成测试、功能测试、性能测试、安全测试、兼容性测试等内容，包含测试范围、测试环境、测试用例、执行结果、缺陷统计、缺陷等级、缺陷修复情况及测试结论，并由供应商测试负责人签字确认。</w:t>
      </w:r>
    </w:p>
    <w:p w14:paraId="59A6F40C">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③源代码：供应商应交付项目完整、可编译、可部署、可运行的全量源代码，包括前端代码、后端代码、数据库脚本、配置文件、部署脚本、构建脚本、定时任务配置、第三方依赖说明等。代码应结构规范、逻辑清晰，符合行业通用开发规范，核心业务逻辑、关键业务流程、数据库关键操作、系统配置项、定时任务、异常处理逻辑、对外接口及第三方集成调用等内容，均须具备完整、准确、可理解的注释或配套开发说明，确保甲方或甲方指定第三方在不依赖供应商口头解释的情况下，能够独立完成代码阅读、系统部署、故障排查、配置调整和二次维护；否则视为源码交付不合格。</w:t>
      </w:r>
    </w:p>
    <w:p w14:paraId="40CB3C03">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④运维手册:应详细说明系统部署环境、软硬件配置要求、安装部署步骤、参数配置说明、启停方式、常见故障排查、日志查看、监控方式、系统升级、数据备份与恢复等内容，满足甲方独立部署和日常运维需求。</w:t>
      </w:r>
    </w:p>
    <w:p w14:paraId="480ED41E">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⑤开源组件及第三方依赖清单：应列明组件名称、版本号、用途、授权协议类型、商用合规说明及相关授权文件。</w:t>
      </w:r>
    </w:p>
    <w:p w14:paraId="24157A47">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420" w:firstLineChars="0"/>
        <w:jc w:val="both"/>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（2）验收前置条件</w:t>
      </w:r>
    </w:p>
    <w:p w14:paraId="29220235">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①供应商应按约定完整提交全部系统成果及交付文档。交付物不完整、文档与系统实际功能不一致、系统无法正常部署运行、缺少必要脚本或说明文件的，视为未达到验收前置条件，甲方有权不予组织验收。</w:t>
      </w:r>
    </w:p>
    <w:p w14:paraId="4A7659B5">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420" w:firstLineChars="0"/>
        <w:jc w:val="both"/>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（3）验收测试标准</w:t>
      </w:r>
    </w:p>
    <w:p w14:paraId="5AE99BC0">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①功能测试：测试用例执行率应达到100%，通过率不低于95%；致命缺陷、严重缺陷必须100%修复，关键业务流程不得存在逻辑错误、功能异常或数据错误。</w:t>
      </w:r>
    </w:p>
    <w:p w14:paraId="688508C3">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②性能测试：系统响应时间、并发用户数、吞吐能力、稳定性等指标须满足本文件、招标文件及合同约定标准，未达标的视为验收不通过。</w:t>
      </w:r>
    </w:p>
    <w:p w14:paraId="54915056">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③安全测试：系统应通过专业安全扫描、漏洞扫描及必要的渗透测试，不得存在高危、中危安全漏洞；数据传输、存储、权限控制等应符合国家网络安全、数据安全和个人信息保护等相关要求。</w:t>
      </w:r>
    </w:p>
    <w:p w14:paraId="63A1AF47">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④兼容性测试：PC 端应兼容 Chrome、Edge、Firefox 及基于 Chromium 内核的主流浏览器最新稳定版本；App 端应兼容 Android 8.0 及以上主流机型，不得出现显示异常、操作异常、数据同步异常及明显界面错乱问题。</w:t>
      </w:r>
    </w:p>
    <w:p w14:paraId="0FB2C805">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⑤文档一致性核验：交付文档、接口文档、系统实际功能、部署环境配置应保持一致，不一致的，甲方有权要求供应商整改后重新提交。</w:t>
      </w:r>
    </w:p>
    <w:p w14:paraId="4E2FF5EB">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420" w:firstLineChars="0"/>
        <w:jc w:val="both"/>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（4）整改要求</w:t>
      </w:r>
    </w:p>
    <w:p w14:paraId="0A40BACA">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①验收过程中发现问题的，供应商应根据甲方要求在规定时限内完成整改并重新提交验证；整改期间不视为供应商已完成交付或已通过验收。</w:t>
      </w:r>
    </w:p>
    <w:p w14:paraId="270F5585">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Chars="200" w:firstLine="0" w:firstLineChars="0"/>
        <w:textAlignment w:val="auto"/>
        <w:outlineLvl w:val="2"/>
        <w:rPr>
          <w:rFonts w:hint="eastAsia" w:ascii="宋体" w:hAnsi="宋体" w:eastAsia="宋体" w:cs="宋体"/>
          <w:b/>
          <w:bCs/>
          <w:spacing w:val="-7"/>
          <w:kern w:val="2"/>
          <w:sz w:val="24"/>
          <w:szCs w:val="24"/>
          <w:lang w:val="en-US" w:eastAsia="zh-CN" w:bidi="ar-SA"/>
        </w:rPr>
      </w:pPr>
      <w:r>
        <w:rPr>
          <w:rFonts w:hint="eastAsia" w:ascii="宋体" w:hAnsi="宋体" w:eastAsia="宋体" w:cs="宋体"/>
          <w:b/>
          <w:bCs/>
          <w:spacing w:val="-7"/>
          <w:kern w:val="2"/>
          <w:sz w:val="24"/>
          <w:szCs w:val="24"/>
          <w:lang w:val="en-US" w:eastAsia="zh-CN" w:bidi="ar-SA"/>
        </w:rPr>
        <w:t>3.2.4 安全与合规要求</w:t>
      </w:r>
    </w:p>
    <w:p w14:paraId="04AC1B6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（1）数据安全与保护</w:t>
      </w:r>
    </w:p>
    <w:p w14:paraId="2954625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 xml:space="preserve">① </w:t>
      </w:r>
      <w:r>
        <w:rPr>
          <w:rFonts w:hint="eastAsia" w:ascii="宋体" w:hAnsi="宋体" w:eastAsia="宋体" w:cs="宋体"/>
          <w:sz w:val="24"/>
          <w:szCs w:val="18"/>
          <w:lang w:val="en-US" w:eastAsia="zh-CN"/>
        </w:rPr>
        <w:tab/>
      </w:r>
      <w:r>
        <w:rPr>
          <w:rFonts w:hint="eastAsia" w:ascii="宋体" w:hAnsi="宋体" w:eastAsia="宋体" w:cs="宋体"/>
          <w:sz w:val="24"/>
          <w:szCs w:val="18"/>
          <w:lang w:val="en-US" w:eastAsia="zh-CN"/>
        </w:rPr>
        <w:t>对用户密码、身份证号、手机号等敏感信息，应根据数据属性采用符合国家标准及行业规范的安全措施处理。用户密码必须采用单向哈希加盐方式存储；身份证号、手机号等敏感信息在传输、存储、展示、导出等环节应采取加密、脱敏、权限控制等保护措施，确保未经授权不得明文获取。</w:t>
      </w:r>
    </w:p>
    <w:p w14:paraId="42C5B5D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② 系统应具备完善的权限控制机制，遵循最小权限原则，实现按角色、岗位、组织、数据范围等维度的访问控制。</w:t>
      </w:r>
    </w:p>
    <w:p w14:paraId="1930683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③ 系统操作日志、用户访问日志、系统运行日志应完整留存，留存周期不少于180天，日志应具备防篡改、防删除、可追溯、可检索、可导出能力，并满足审计要求。运行日志应具备定时归档、备份及清理机制。</w:t>
      </w:r>
    </w:p>
    <w:p w14:paraId="0C2FD9D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④ 系统应具备数据备份与恢复机制，支持按计划自动备份和手动备份，确保在发生故障或异常情况下可进行数据恢复。</w:t>
      </w:r>
    </w:p>
    <w:p w14:paraId="4CCAFFA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⑤ 涉及重要数据处理、批量导出、敏感操作、权限变更等行为时，系统应具备审计记录和必要的审批或留痕能力。</w:t>
      </w:r>
    </w:p>
    <w:p w14:paraId="645573D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（2）合规性要求</w:t>
      </w:r>
    </w:p>
    <w:p w14:paraId="3F56131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① 系统开发、部署、运行及数据处理活动应严格遵循《中华人民共和国网络安全法》《中华人民共和国数据安全法》《中华人民共和国个人信息保护法》及其他适用法律法规、行业规范和监管要求。</w:t>
      </w:r>
    </w:p>
    <w:p w14:paraId="7153834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② 项目所使用的开源组件、第三方框架、中间件、工具软件等，应满足合法、合规、可商用要求，不得存在版权纠纷、授权缺陷或侵权风险。供应商应向甲方提供完整的开源组件清单、版本信息、授权协议及合规说明。</w:t>
      </w:r>
    </w:p>
    <w:p w14:paraId="17470C7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③ 涉及用户隐私数据的收集、存储、使用、共享、导出等处理行为，均应严格遵循隐私保护规定，履行必要的授权、告知和审批程序，遵循数据最小化、目的限定和权限隔离原则。</w:t>
      </w:r>
    </w:p>
    <w:p w14:paraId="136EF91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Style w:val="30"/>
          <w:rFonts w:hint="eastAsia" w:ascii="宋体" w:hAnsi="宋体" w:eastAsia="宋体" w:cs="宋体"/>
          <w:b w:val="0"/>
          <w:bCs w:val="0"/>
          <w:sz w:val="24"/>
          <w:szCs w:val="24"/>
          <w:highlight w:val="none"/>
          <w:lang w:val="en-US" w:eastAsia="zh-CN"/>
        </w:rPr>
      </w:pPr>
      <w:r>
        <w:rPr>
          <w:rFonts w:hint="eastAsia" w:ascii="宋体" w:hAnsi="宋体" w:eastAsia="宋体" w:cs="宋体"/>
          <w:sz w:val="24"/>
          <w:szCs w:val="18"/>
          <w:lang w:val="en-US" w:eastAsia="zh-CN"/>
        </w:rPr>
        <w:t>④ 未经甲方书面同意，供应商不得擅自复制、留存、转移、使用或向第三方披露甲方业务数据、测试数据、生产数据及相关资料。项目终止、验收完成或甲方要求时，供应商应按甲方要求删除或返还相关数据，并配合甲方完成数据交接。</w:t>
      </w:r>
    </w:p>
    <w:p w14:paraId="0C50ABC8">
      <w:pPr>
        <w:pStyle w:val="31"/>
        <w:shd w:val="clear" w:color="auto" w:fill="auto"/>
        <w:spacing w:after="189" w:line="360" w:lineRule="auto"/>
        <w:ind w:left="0" w:leftChars="0" w:firstLine="0" w:firstLineChars="0"/>
        <w:jc w:val="both"/>
        <w:outlineLvl w:val="1"/>
        <w:rPr>
          <w:rStyle w:val="30"/>
          <w:rFonts w:hint="eastAsia" w:hAnsi="Times New Roman" w:cs="宋体"/>
          <w:b/>
          <w:bCs/>
          <w:sz w:val="28"/>
          <w:szCs w:val="28"/>
          <w:lang w:val="en-US" w:eastAsia="zh-CN"/>
        </w:rPr>
      </w:pPr>
      <w:r>
        <w:rPr>
          <w:rStyle w:val="30"/>
          <w:rFonts w:hint="eastAsia" w:hAnsi="Times New Roman" w:cs="宋体"/>
          <w:b/>
          <w:bCs/>
          <w:sz w:val="28"/>
          <w:szCs w:val="28"/>
          <w:lang w:val="en-US" w:eastAsia="zh-CN"/>
        </w:rPr>
        <w:t>3.3 维护与服务要求</w:t>
      </w:r>
    </w:p>
    <w:p w14:paraId="435CF24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textAlignment w:val="auto"/>
        <w:outlineLvl w:val="2"/>
        <w:rPr>
          <w:rFonts w:hint="eastAsia" w:ascii="宋体" w:hAnsi="宋体" w:eastAsia="宋体" w:cs="宋体"/>
          <w:b/>
          <w:bCs/>
          <w:spacing w:val="-7"/>
          <w:kern w:val="2"/>
          <w:sz w:val="24"/>
          <w:szCs w:val="24"/>
          <w:lang w:val="en-US" w:eastAsia="zh-CN" w:bidi="ar-SA"/>
        </w:rPr>
      </w:pPr>
      <w:r>
        <w:rPr>
          <w:rFonts w:hint="eastAsia" w:ascii="宋体" w:hAnsi="宋体" w:eastAsia="宋体" w:cs="宋体"/>
          <w:b/>
          <w:bCs/>
          <w:spacing w:val="-7"/>
          <w:kern w:val="2"/>
          <w:sz w:val="24"/>
          <w:szCs w:val="24"/>
          <w:lang w:val="en-US" w:eastAsia="zh-CN" w:bidi="ar-SA"/>
        </w:rPr>
        <w:t>3.3.1 质保期服务标准</w:t>
      </w:r>
    </w:p>
    <w:p w14:paraId="4164868C">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40" w:leftChars="200" w:firstLine="420" w:firstLineChars="0"/>
        <w:textAlignment w:val="auto"/>
        <w:outlineLvl w:val="9"/>
        <w:rPr>
          <w:rFonts w:hint="eastAsia" w:ascii="宋体" w:hAnsi="宋体" w:eastAsia="宋体" w:cs="宋体"/>
          <w:b w:val="0"/>
          <w:bCs w:val="0"/>
          <w:spacing w:val="-7"/>
          <w:kern w:val="2"/>
          <w:sz w:val="24"/>
          <w:szCs w:val="24"/>
          <w:lang w:val="en-US" w:eastAsia="zh-CN" w:bidi="ar-SA"/>
        </w:rPr>
      </w:pPr>
      <w:r>
        <w:rPr>
          <w:rFonts w:hint="eastAsia" w:ascii="宋体" w:hAnsi="宋体" w:eastAsia="宋体" w:cs="宋体"/>
          <w:b w:val="0"/>
          <w:bCs w:val="0"/>
          <w:spacing w:val="-7"/>
          <w:kern w:val="2"/>
          <w:sz w:val="24"/>
          <w:szCs w:val="24"/>
          <w:lang w:val="en-US" w:eastAsia="zh-CN" w:bidi="ar-SA"/>
        </w:rPr>
        <w:t xml:space="preserve">（1）本项目质保期为项目经甲方书面最终验收合格之日起连续12个自然月。质保期内，供应商应提供7×24小时技术支持服务，并根据项目运行需要安排不少于2名具备相应能力的人员提供驻场维护服务，具体驻场安排由甲方统筹或双方另行确认。 </w:t>
      </w:r>
    </w:p>
    <w:p w14:paraId="242EAC8D">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40" w:leftChars="200" w:firstLine="420" w:firstLineChars="0"/>
        <w:textAlignment w:val="auto"/>
        <w:outlineLvl w:val="9"/>
        <w:rPr>
          <w:rFonts w:hint="eastAsia" w:ascii="宋体" w:hAnsi="宋体" w:eastAsia="宋体" w:cs="宋体"/>
          <w:b w:val="0"/>
          <w:bCs w:val="0"/>
          <w:spacing w:val="-7"/>
          <w:kern w:val="2"/>
          <w:sz w:val="24"/>
          <w:szCs w:val="24"/>
          <w:lang w:val="en-US" w:eastAsia="zh-CN" w:bidi="ar-SA"/>
        </w:rPr>
      </w:pPr>
      <w:r>
        <w:rPr>
          <w:rFonts w:hint="eastAsia" w:ascii="宋体" w:hAnsi="宋体" w:eastAsia="宋体" w:cs="宋体"/>
          <w:b w:val="0"/>
          <w:bCs w:val="0"/>
          <w:spacing w:val="-7"/>
          <w:kern w:val="2"/>
          <w:sz w:val="24"/>
          <w:szCs w:val="24"/>
          <w:lang w:val="en-US" w:eastAsia="zh-CN" w:bidi="ar-SA"/>
        </w:rPr>
        <w:t xml:space="preserve">（2）质保期内，供应商应免费提供与本项目相关的运行维护服务，包括但不限于现有功能维护、现网问题修复、缺陷整改、兼容性修复、性能优化、安全加固、配置调整、日志分析、数据修复以及保障系统正常稳定运行所必需的其他技术处理。 </w:t>
      </w:r>
    </w:p>
    <w:p w14:paraId="033FE46C">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40" w:leftChars="200" w:firstLine="420" w:firstLineChars="0"/>
        <w:textAlignment w:val="auto"/>
        <w:outlineLvl w:val="9"/>
        <w:rPr>
          <w:rFonts w:hint="eastAsia" w:ascii="宋体" w:hAnsi="宋体" w:eastAsia="宋体" w:cs="宋体"/>
          <w:b w:val="0"/>
          <w:bCs w:val="0"/>
          <w:spacing w:val="-7"/>
          <w:kern w:val="2"/>
          <w:sz w:val="24"/>
          <w:szCs w:val="24"/>
          <w:lang w:val="en-US" w:eastAsia="zh-CN" w:bidi="ar-SA"/>
        </w:rPr>
      </w:pPr>
      <w:r>
        <w:rPr>
          <w:rFonts w:hint="eastAsia" w:ascii="宋体" w:hAnsi="宋体" w:eastAsia="宋体" w:cs="宋体"/>
          <w:b w:val="0"/>
          <w:bCs w:val="0"/>
          <w:spacing w:val="-7"/>
          <w:kern w:val="2"/>
          <w:sz w:val="24"/>
          <w:szCs w:val="24"/>
          <w:lang w:val="en-US" w:eastAsia="zh-CN" w:bidi="ar-SA"/>
        </w:rPr>
        <w:t xml:space="preserve">（3）凡属于实现合同约定功能、修复Bug、整改功能缺陷、消除安全隐患、解决兼容性问题、保障系统稳定运行所必需的修改，均属于供应商合同义务范围，不构成新增需求，供应商不得据此向甲方另行收取工时费、服务费、升级费或其他费用。 </w:t>
      </w:r>
    </w:p>
    <w:p w14:paraId="302FE5CC">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40" w:leftChars="200" w:firstLine="420" w:firstLineChars="0"/>
        <w:textAlignment w:val="auto"/>
        <w:outlineLvl w:val="9"/>
        <w:rPr>
          <w:rFonts w:hint="eastAsia" w:ascii="宋体" w:hAnsi="宋体" w:eastAsia="宋体" w:cs="宋体"/>
          <w:b w:val="0"/>
          <w:bCs w:val="0"/>
          <w:spacing w:val="-7"/>
          <w:kern w:val="2"/>
          <w:sz w:val="24"/>
          <w:szCs w:val="24"/>
          <w:lang w:val="en-US" w:eastAsia="zh-CN" w:bidi="ar-SA"/>
        </w:rPr>
      </w:pPr>
      <w:r>
        <w:rPr>
          <w:rFonts w:hint="eastAsia" w:ascii="宋体" w:hAnsi="宋体" w:eastAsia="宋体" w:cs="宋体"/>
          <w:b w:val="0"/>
          <w:bCs w:val="0"/>
          <w:spacing w:val="-7"/>
          <w:kern w:val="2"/>
          <w:sz w:val="24"/>
          <w:szCs w:val="24"/>
          <w:lang w:val="en-US" w:eastAsia="zh-CN" w:bidi="ar-SA"/>
        </w:rPr>
        <w:t xml:space="preserve">（4）质保期内，供应商应在双方约定的合理工作量范围内，提供免费的小需求优化、界面调整及交互细节完善服务。相关工作量边界、确认方式及执行规则，由双方在合同或附件中明确约定。 </w:t>
      </w:r>
    </w:p>
    <w:p w14:paraId="6B9225B4">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40" w:leftChars="200" w:firstLine="420" w:firstLineChars="0"/>
        <w:textAlignment w:val="auto"/>
        <w:outlineLvl w:val="9"/>
        <w:rPr>
          <w:rFonts w:hint="eastAsia" w:ascii="宋体" w:hAnsi="宋体" w:eastAsia="宋体" w:cs="宋体"/>
          <w:b w:val="0"/>
          <w:bCs w:val="0"/>
          <w:spacing w:val="-7"/>
          <w:kern w:val="2"/>
          <w:sz w:val="24"/>
          <w:szCs w:val="24"/>
          <w:lang w:val="en-US" w:eastAsia="zh-CN" w:bidi="ar-SA"/>
        </w:rPr>
      </w:pPr>
      <w:r>
        <w:rPr>
          <w:rFonts w:hint="eastAsia" w:ascii="宋体" w:hAnsi="宋体" w:eastAsia="宋体" w:cs="宋体"/>
          <w:b w:val="0"/>
          <w:bCs w:val="0"/>
          <w:spacing w:val="-7"/>
          <w:kern w:val="2"/>
          <w:sz w:val="24"/>
          <w:szCs w:val="24"/>
          <w:lang w:val="en-US" w:eastAsia="zh-CN" w:bidi="ar-SA"/>
        </w:rPr>
        <w:t xml:space="preserve">（5）质保期届满后，如甲方需要供应商继续提供年度运维服务，双方可另行签署年度运维协议。年度运维费用原则上不超过本项目合同总金额的20%，具体服务内容、服务标准及结算方式由双方另行约定。 </w:t>
      </w:r>
    </w:p>
    <w:p w14:paraId="31AD18C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textAlignment w:val="auto"/>
        <w:outlineLvl w:val="2"/>
        <w:rPr>
          <w:rFonts w:hint="eastAsia" w:ascii="宋体" w:hAnsi="宋体" w:eastAsia="宋体" w:cs="宋体"/>
          <w:b/>
          <w:bCs/>
          <w:spacing w:val="-7"/>
          <w:kern w:val="2"/>
          <w:sz w:val="24"/>
          <w:szCs w:val="24"/>
          <w:lang w:val="en-US" w:eastAsia="zh-CN" w:bidi="ar-SA"/>
        </w:rPr>
      </w:pPr>
      <w:r>
        <w:rPr>
          <w:rFonts w:hint="eastAsia" w:ascii="宋体" w:hAnsi="宋体" w:eastAsia="宋体" w:cs="宋体"/>
          <w:b/>
          <w:bCs/>
          <w:spacing w:val="-7"/>
          <w:kern w:val="2"/>
          <w:sz w:val="24"/>
          <w:szCs w:val="24"/>
          <w:lang w:val="en-US" w:eastAsia="zh-CN" w:bidi="ar-SA"/>
        </w:rPr>
        <w:t>3.3.2 服务响应与SLA要求</w:t>
      </w:r>
    </w:p>
    <w:p w14:paraId="2E015CF0">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40" w:leftChars="200" w:firstLine="420" w:firstLineChars="0"/>
        <w:textAlignment w:val="auto"/>
        <w:outlineLvl w:val="9"/>
        <w:rPr>
          <w:rFonts w:hint="eastAsia" w:ascii="宋体" w:hAnsi="宋体" w:eastAsia="宋体" w:cs="宋体"/>
          <w:b w:val="0"/>
          <w:bCs w:val="0"/>
          <w:spacing w:val="-7"/>
          <w:kern w:val="2"/>
          <w:sz w:val="24"/>
          <w:szCs w:val="24"/>
          <w:lang w:val="en-US" w:eastAsia="zh-CN" w:bidi="ar-SA"/>
        </w:rPr>
      </w:pPr>
      <w:r>
        <w:rPr>
          <w:rFonts w:hint="eastAsia" w:ascii="宋体" w:hAnsi="宋体" w:eastAsia="宋体" w:cs="宋体"/>
          <w:b w:val="0"/>
          <w:bCs w:val="0"/>
          <w:spacing w:val="-7"/>
          <w:kern w:val="2"/>
          <w:sz w:val="24"/>
          <w:szCs w:val="24"/>
          <w:lang w:val="en-US" w:eastAsia="zh-CN" w:bidi="ar-SA"/>
        </w:rPr>
        <w:t xml:space="preserve">（1）供应商应建立覆盖工作日、周末、法定节假日及其他非工作时段的值班和应急响应机制，确保系统现网问题能够得到持续、及时处理，不得以非工作时间为由延迟响应。 </w:t>
      </w:r>
    </w:p>
    <w:p w14:paraId="03931121">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40" w:leftChars="200" w:firstLine="420" w:firstLineChars="0"/>
        <w:textAlignment w:val="auto"/>
        <w:outlineLvl w:val="9"/>
        <w:rPr>
          <w:rFonts w:hint="eastAsia" w:ascii="宋体" w:hAnsi="宋体" w:eastAsia="宋体" w:cs="宋体"/>
          <w:b w:val="0"/>
          <w:bCs w:val="0"/>
          <w:spacing w:val="-7"/>
          <w:kern w:val="2"/>
          <w:sz w:val="24"/>
          <w:szCs w:val="24"/>
          <w:lang w:val="en-US" w:eastAsia="zh-CN" w:bidi="ar-SA"/>
        </w:rPr>
      </w:pPr>
      <w:r>
        <w:rPr>
          <w:rFonts w:hint="eastAsia" w:ascii="宋体" w:hAnsi="宋体" w:eastAsia="宋体" w:cs="宋体"/>
          <w:b w:val="0"/>
          <w:bCs w:val="0"/>
          <w:spacing w:val="-7"/>
          <w:kern w:val="2"/>
          <w:sz w:val="24"/>
          <w:szCs w:val="24"/>
          <w:lang w:val="en-US" w:eastAsia="zh-CN" w:bidi="ar-SA"/>
        </w:rPr>
        <w:t xml:space="preserve">（2）自甲方报障之时起，供应商应在30分钟内完成响应并启动处置；一般问题原则上应在8小时内解决；重大问题原则上应在48小时内解决。对因技术复杂度较高、外部依赖或其他客观原因无法在前述时限内完成处理的，供应商应及时向甲方提交书面说明、临时解决方案及后续处理计划，并经甲方确认。 </w:t>
      </w:r>
    </w:p>
    <w:p w14:paraId="208AB06A">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40" w:leftChars="200" w:firstLine="420" w:firstLineChars="0"/>
        <w:textAlignment w:val="auto"/>
        <w:outlineLvl w:val="9"/>
        <w:rPr>
          <w:rFonts w:hint="eastAsia" w:ascii="宋体" w:hAnsi="宋体" w:eastAsia="宋体" w:cs="宋体"/>
          <w:b w:val="0"/>
          <w:bCs w:val="0"/>
          <w:spacing w:val="-7"/>
          <w:kern w:val="2"/>
          <w:sz w:val="24"/>
          <w:szCs w:val="24"/>
          <w:lang w:val="en-US" w:eastAsia="zh-CN" w:bidi="ar-SA"/>
        </w:rPr>
      </w:pPr>
      <w:r>
        <w:rPr>
          <w:rFonts w:hint="eastAsia" w:ascii="宋体" w:hAnsi="宋体" w:eastAsia="宋体" w:cs="宋体"/>
          <w:b w:val="0"/>
          <w:bCs w:val="0"/>
          <w:spacing w:val="-7"/>
          <w:kern w:val="2"/>
          <w:sz w:val="24"/>
          <w:szCs w:val="24"/>
          <w:lang w:val="en-US" w:eastAsia="zh-CN" w:bidi="ar-SA"/>
        </w:rPr>
        <w:t xml:space="preserve">（3）供应商应每月至少开展一次系统巡检，并向甲方提交书面巡检报告。对于巡检中发现的隐患、风险点和潜在问题，供应商应及时整改或提出处置方案并组织落实。 </w:t>
      </w:r>
    </w:p>
    <w:p w14:paraId="35D9CCB2">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40" w:leftChars="200" w:firstLine="420" w:firstLineChars="0"/>
        <w:textAlignment w:val="auto"/>
        <w:outlineLvl w:val="9"/>
        <w:rPr>
          <w:rFonts w:hint="eastAsia" w:ascii="宋体" w:hAnsi="宋体" w:eastAsia="宋体" w:cs="宋体"/>
          <w:b w:val="0"/>
          <w:bCs w:val="0"/>
          <w:spacing w:val="-7"/>
          <w:kern w:val="2"/>
          <w:sz w:val="24"/>
          <w:szCs w:val="24"/>
          <w:lang w:val="en-US" w:eastAsia="zh-CN" w:bidi="ar-SA"/>
        </w:rPr>
      </w:pPr>
      <w:r>
        <w:rPr>
          <w:rFonts w:hint="eastAsia" w:ascii="宋体" w:hAnsi="宋体" w:eastAsia="宋体" w:cs="宋体"/>
          <w:b w:val="0"/>
          <w:bCs w:val="0"/>
          <w:spacing w:val="-7"/>
          <w:kern w:val="2"/>
          <w:sz w:val="24"/>
          <w:szCs w:val="24"/>
          <w:lang w:val="en-US" w:eastAsia="zh-CN" w:bidi="ar-SA"/>
        </w:rPr>
        <w:t xml:space="preserve">（4）远程响应时间、驻场到场时间、问题分级标准、升级路径、考核指标及违约责任等SLA事项，应在合同或技术附件中进一步量化并明确约定，作为供应商履约考核和责任认定依据。 </w:t>
      </w:r>
    </w:p>
    <w:p w14:paraId="0055B1F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textAlignment w:val="auto"/>
        <w:outlineLvl w:val="2"/>
        <w:rPr>
          <w:rFonts w:hint="eastAsia" w:ascii="宋体" w:hAnsi="宋体" w:eastAsia="宋体" w:cs="宋体"/>
          <w:b/>
          <w:bCs/>
          <w:spacing w:val="-7"/>
          <w:kern w:val="2"/>
          <w:sz w:val="24"/>
          <w:szCs w:val="24"/>
          <w:lang w:val="en-US" w:eastAsia="zh-CN" w:bidi="ar-SA"/>
        </w:rPr>
      </w:pPr>
      <w:r>
        <w:rPr>
          <w:rFonts w:hint="eastAsia" w:ascii="宋体" w:hAnsi="宋体" w:eastAsia="宋体" w:cs="宋体"/>
          <w:b/>
          <w:bCs/>
          <w:spacing w:val="-7"/>
          <w:kern w:val="2"/>
          <w:sz w:val="24"/>
          <w:szCs w:val="24"/>
          <w:lang w:val="en-US" w:eastAsia="zh-CN" w:bidi="ar-SA"/>
        </w:rPr>
        <w:t>3.3.3 培训与人员管理要求</w:t>
      </w:r>
    </w:p>
    <w:p w14:paraId="158ABF5F">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 xml:space="preserve">（1）供应商应为甲方最终用户提供系统操作培训，内容包括系统功能使用、业务流程操作、常见问题处理等，确保甲方相关人员能够满足日常业务使用需要。 </w:t>
      </w:r>
    </w:p>
    <w:p w14:paraId="7861833A">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 xml:space="preserve">（2）供应商应为甲方系统管理员及运维人员提供专项技术培训，内容包括系统部署、配置管理、数据库管理、服务器维护、日志分析、备份恢复、故障排查及日常运维管理等，以支持甲方逐步具备独立运维能力。 </w:t>
      </w:r>
    </w:p>
    <w:p w14:paraId="4BADE057">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 xml:space="preserve">（3）供应商应提交相应培训资料，包括但不限于培训课件、用户操作手册、系统运维手册及其他必要说明材料。 </w:t>
      </w:r>
    </w:p>
    <w:p w14:paraId="4261B9D0">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 xml:space="preserve">（4）项目经理、系统架构师及其他核心岗位人员在项目实施期间应保持相对稳定。确需更换的，供应商应提前书面通知甲方并取得甲方书面同意，且替换人员资质原则上不得低于原人员。 </w:t>
      </w:r>
    </w:p>
    <w:p w14:paraId="09CCF68D">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 xml:space="preserve">（5）参与本项目的开发、测试、实施及运维人员应为供应商正式员工。未经甲方事先书面同意，供应商不得将本项目整体或部分工作转包、分包或以其他形式交由第三方实施。 </w:t>
      </w:r>
    </w:p>
    <w:p w14:paraId="6E55566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textAlignment w:val="auto"/>
        <w:outlineLvl w:val="2"/>
        <w:rPr>
          <w:rFonts w:hint="eastAsia" w:ascii="宋体" w:hAnsi="宋体" w:eastAsia="宋体" w:cs="宋体"/>
          <w:b/>
          <w:bCs/>
          <w:spacing w:val="-7"/>
          <w:kern w:val="2"/>
          <w:sz w:val="24"/>
          <w:szCs w:val="24"/>
          <w:lang w:val="en-US" w:eastAsia="zh-CN" w:bidi="ar-SA"/>
        </w:rPr>
      </w:pPr>
      <w:r>
        <w:rPr>
          <w:rFonts w:hint="eastAsia" w:ascii="宋体" w:hAnsi="宋体" w:eastAsia="宋体" w:cs="宋体"/>
          <w:b/>
          <w:bCs/>
          <w:spacing w:val="-7"/>
          <w:kern w:val="2"/>
          <w:sz w:val="24"/>
          <w:szCs w:val="24"/>
          <w:lang w:val="en-US" w:eastAsia="zh-CN" w:bidi="ar-SA"/>
        </w:rPr>
        <w:t xml:space="preserve">3.3.4 质量控制、验收与付款要求 </w:t>
      </w:r>
    </w:p>
    <w:p w14:paraId="75D250AC">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 xml:space="preserve">（1）供应商应严格执行统一的编码规范、分支管理制度、版本发布制度及代码评审机制，确保交付成果具备清晰性、可维护性、可回溯性和可回滚性。对甲方提出的代码质量问题，供应商应在合理期限内完成整改。 </w:t>
      </w:r>
    </w:p>
    <w:p w14:paraId="49F763EF">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 xml:space="preserve">（2）供应商交付的代码应通过静态代码扫描，严重及以上级别缺陷数量应为零；其他级别问题应控制在双方认可的合理范围内。供应商应向甲方提交完整的代码扫描报告及必要整改记录，作为验收依据之一。 </w:t>
      </w:r>
    </w:p>
    <w:p w14:paraId="192D43E6">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 xml:space="preserve">（3）系统应满足合同约定的并发用户数、页面响应时间、接口处理能力及其他性能指标。供应商应在交付前完成性能测试、压力测试及必要的兼容性测试，并向甲方提交测试报告；未经测试达到约定标准并经甲方确认的，不得进入验收流程。 </w:t>
      </w:r>
    </w:p>
    <w:p w14:paraId="2AA847A1">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 xml:space="preserve">（4）项目各阶段付款应与对应阶段交付成果质量挂钩。系统上线不当然视为验收完成或付款条件成就。供应商须在完成上线部署后，继续配合甲方完成测试、整改、稳定运行观察等工作，并在达到合同约定的验收标准、稳定运行周期及缺陷数量要求后，方可触发相应付款节点。 </w:t>
      </w:r>
    </w:p>
    <w:p w14:paraId="30C0A326">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 xml:space="preserve">（5）除合同总价中已明确列示的费用外，项目实施过程中涉及的第三方软件、服务、授权及配套费用，包括但不限于中间件、数据库、插件、推送服务及其他支撑性费用，原则上均由供应商承担；确需由甲方承担的，应由双方事先书面确认。 </w:t>
      </w:r>
    </w:p>
    <w:p w14:paraId="3DE6900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textAlignment w:val="auto"/>
        <w:outlineLvl w:val="2"/>
        <w:rPr>
          <w:rFonts w:hint="eastAsia" w:ascii="宋体" w:hAnsi="宋体" w:eastAsia="宋体" w:cs="宋体"/>
          <w:b/>
          <w:bCs/>
          <w:spacing w:val="-7"/>
          <w:kern w:val="2"/>
          <w:sz w:val="24"/>
          <w:szCs w:val="24"/>
          <w:lang w:val="en-US" w:eastAsia="zh-CN" w:bidi="ar-SA"/>
        </w:rPr>
      </w:pPr>
      <w:r>
        <w:rPr>
          <w:rFonts w:hint="eastAsia" w:ascii="宋体" w:hAnsi="宋体" w:eastAsia="宋体" w:cs="宋体"/>
          <w:b/>
          <w:bCs/>
          <w:spacing w:val="-7"/>
          <w:kern w:val="2"/>
          <w:sz w:val="24"/>
          <w:szCs w:val="24"/>
          <w:lang w:val="en-US" w:eastAsia="zh-CN" w:bidi="ar-SA"/>
        </w:rPr>
        <w:t>3.3.5 技术实现、性能与兼容性要求</w:t>
      </w:r>
    </w:p>
    <w:p w14:paraId="1E06457B">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 xml:space="preserve">（1）针对本项目中所采用的Vue2、UniApp等技术栈，供应商应在开发阶段主动完成关键技术能力验证与实现，包括但不限于消息通知推送、桌面角标适配、离线推送、主流终端兼容及特殊机型适配等，并确保相关功能满足项目实际使用要求。 </w:t>
      </w:r>
    </w:p>
    <w:p w14:paraId="3867903A">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 xml:space="preserve">（2）App端应覆盖主流Android版本及主流品牌机型，包括折叠屏设备，确保界面无明显错位、主要功能无异常。供应商应提供兼容性测试报告作为验收支撑材料。 </w:t>
      </w:r>
    </w:p>
    <w:p w14:paraId="1970DE0D">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 xml:space="preserve">（3）供应商应对系统通知送达率、离线推送可用性及消息处理及时性承担交付责任，并提交明确的技术实现方案、测试依据及效果说明。相关关键指标建议在技术附件中量化约定。 </w:t>
      </w:r>
    </w:p>
    <w:p w14:paraId="05B1D22D">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 xml:space="preserve">（4）鉴于Vue2框架已停止官方维护，供应商应在合同履行期间承担相关安全漏洞修复、兼容性处理及风险整改责任；如因安全、合规或运行稳定性需要实施框架升级或迁移，供应商应提出方案并配合完成相关工作。属于保障系统正常、安全、稳定运行所必需的升级迁移事项，不应视为供应商额外收费事项。 </w:t>
      </w:r>
    </w:p>
    <w:p w14:paraId="5499256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textAlignment w:val="auto"/>
        <w:outlineLvl w:val="2"/>
        <w:rPr>
          <w:rFonts w:hint="eastAsia" w:ascii="宋体" w:hAnsi="宋体" w:eastAsia="宋体" w:cs="宋体"/>
          <w:b/>
          <w:bCs/>
          <w:spacing w:val="-7"/>
          <w:kern w:val="2"/>
          <w:sz w:val="24"/>
          <w:szCs w:val="24"/>
          <w:lang w:val="en-US" w:eastAsia="zh-CN" w:bidi="ar-SA"/>
        </w:rPr>
      </w:pPr>
      <w:r>
        <w:rPr>
          <w:rFonts w:hint="eastAsia" w:ascii="宋体" w:hAnsi="宋体" w:eastAsia="宋体" w:cs="宋体"/>
          <w:b/>
          <w:bCs/>
          <w:spacing w:val="-7"/>
          <w:kern w:val="2"/>
          <w:sz w:val="24"/>
          <w:szCs w:val="24"/>
          <w:lang w:val="en-US" w:eastAsia="zh-CN" w:bidi="ar-SA"/>
        </w:rPr>
        <w:t>3.3.6 安全合规与数据保护要求</w:t>
      </w:r>
    </w:p>
    <w:p w14:paraId="3FBCAD73">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 xml:space="preserve">（1）供应商应配合甲方完成信息安全等级保护自评、漏洞检测、整改、DCMM评估及其他与本项目相关的安全合规工作，并根据甲方或监管要求及时完成整改。 </w:t>
      </w:r>
    </w:p>
    <w:p w14:paraId="70E3594F">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 xml:space="preserve">（2）供应商应建立并落实完整的数据备份与恢复机制，包括全量备份、增量备份、备份留存及恢复验证安排，并定期开展数据恢复演练，向甲方提交演练报告，确保数据具备可恢复性、完整性和可验证性。 </w:t>
      </w:r>
    </w:p>
    <w:p w14:paraId="64BCB187">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 xml:space="preserve">（3）供应商通过远程方式开展开发、运维或技术支持时，应通过甲方指定的VPN或其他受控通道接入，并配合甲方完成相关安全配置。涉及本项目的代码、数据及环境应与外网保持必要的物理或逻辑隔离，未经甲方书面授权不得复制、转移、传播或泄露。 </w:t>
      </w:r>
    </w:p>
    <w:p w14:paraId="4654F68E">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 xml:space="preserve">（4）系统操作日志、访问日志及其他审计日志的留存期限不得少于180天，且应满足防篡改、可追溯和审计要求，并符合相关法律法规及等级保护要求。 </w:t>
      </w:r>
    </w:p>
    <w:p w14:paraId="340A42C5">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 xml:space="preserve">（5）供应商应保证其交付成果不包含任何恶意代码、逻辑炸弹、后门程序、木马程序或其他危害系统安全、窃取数据隐私的功能。如因此给甲方造成损失，供应商应依法承担相应责任。 </w:t>
      </w:r>
    </w:p>
    <w:p w14:paraId="5616B7F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textAlignment w:val="auto"/>
        <w:outlineLvl w:val="2"/>
        <w:rPr>
          <w:rFonts w:hint="eastAsia" w:ascii="宋体" w:hAnsi="宋体" w:eastAsia="宋体" w:cs="宋体"/>
          <w:b/>
          <w:bCs/>
          <w:spacing w:val="-7"/>
          <w:kern w:val="2"/>
          <w:sz w:val="24"/>
          <w:szCs w:val="24"/>
          <w:lang w:val="en-US" w:eastAsia="zh-CN" w:bidi="ar-SA"/>
        </w:rPr>
      </w:pPr>
      <w:r>
        <w:rPr>
          <w:rFonts w:hint="eastAsia" w:ascii="宋体" w:hAnsi="宋体" w:eastAsia="宋体" w:cs="宋体"/>
          <w:b/>
          <w:bCs/>
          <w:spacing w:val="-7"/>
          <w:kern w:val="2"/>
          <w:sz w:val="24"/>
          <w:szCs w:val="24"/>
          <w:lang w:val="en-US" w:eastAsia="zh-CN" w:bidi="ar-SA"/>
        </w:rPr>
        <w:t>3.3.7 知识产权、交付物与独立部署要求</w:t>
      </w:r>
    </w:p>
    <w:p w14:paraId="41F00F31">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 xml:space="preserve">（1）本项目形成的源代码、文档、设计文件、接口资料、配置文件、数据库结构、业务数据及其他交付成果，其知识产权及相关权益归属由双方按照合同约定确定；原则上，供应商为本项目专门开发并交付甲方使用的成果，其相关权利应归甲方所有。供应商应配合甲方完成软件著作权登记及相关权属确认工作。 </w:t>
      </w:r>
    </w:p>
    <w:p w14:paraId="2055459C">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 xml:space="preserve">（2）供应商应向甲方完整披露项目中使用的第三方开源组件、商业组件及其授权协议情况，并提供相应清单和授权说明。未经甲方书面同意，供应商不得使用可能对甲方后续使用、部署、修改或再开发形成明显限制的协议或组件。 </w:t>
      </w:r>
    </w:p>
    <w:p w14:paraId="4984F608">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 xml:space="preserve">（3）供应商应完整交付项目文档资料，包括但不限于系统设计文档、原型设计文件、UI设计文件、接口文档、测试报告、用户操作手册、系统运维手册、部署说明以及等保、DCMM相关支撑材料等；相关资料应真实、完整、具备可操作性。 </w:t>
      </w:r>
    </w:p>
    <w:p w14:paraId="51417C55">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 xml:space="preserve">（4）供应商应完整交付项目对应的全部源代码、部署包、数据库建表脚本、初始化脚本、配置说明、发布说明、第三方授权文件及项目运行所需其他必要资产，确保甲方在合理条件下能够脱离供应商原有环境独立完成系统部署、运行、测试、验证及后续维护。 </w:t>
      </w:r>
    </w:p>
    <w:p w14:paraId="08AFEF58">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 xml:space="preserve">（5）如供应商交付成果涉及第三方知识产权侵权纠纷，由责任方依法承担责任；如该纠纷系供应商选型、使用或提供的代码、素材、字体、插件、接口或其他第三方资源引起，则由供应商负责解决并承担因此给甲方造成的损失。 </w:t>
      </w:r>
    </w:p>
    <w:p w14:paraId="2732F71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textAlignment w:val="auto"/>
        <w:outlineLvl w:val="2"/>
        <w:rPr>
          <w:rFonts w:hint="eastAsia" w:ascii="宋体" w:hAnsi="宋体" w:eastAsia="宋体" w:cs="宋体"/>
          <w:b/>
          <w:bCs/>
          <w:spacing w:val="-7"/>
          <w:kern w:val="2"/>
          <w:sz w:val="24"/>
          <w:szCs w:val="24"/>
          <w:lang w:val="en-US" w:eastAsia="zh-CN" w:bidi="ar-SA"/>
        </w:rPr>
      </w:pPr>
      <w:r>
        <w:rPr>
          <w:rFonts w:hint="eastAsia" w:ascii="宋体" w:hAnsi="宋体" w:eastAsia="宋体" w:cs="宋体"/>
          <w:b/>
          <w:bCs/>
          <w:spacing w:val="-7"/>
          <w:kern w:val="2"/>
          <w:sz w:val="24"/>
          <w:szCs w:val="24"/>
          <w:lang w:val="en-US" w:eastAsia="zh-CN" w:bidi="ar-SA"/>
        </w:rPr>
        <w:t>3.3.8 退出机制与数据处理要求</w:t>
      </w:r>
    </w:p>
    <w:p w14:paraId="4BB8448D">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 xml:space="preserve">（1）合同期满不续约或合作提前终止时，供应商应配合甲方或甲方指定的新服务商完成系统交接，交接配合期原则上不少于5个工作日；如项目规模较大或交接事项较多，双方可根据实际情况协商确定具体交接周期。 </w:t>
      </w:r>
    </w:p>
    <w:p w14:paraId="6AEC09E4">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 xml:space="preserve">（2）交接内容应包括但不限于技术文档说明、系统架构讲解、部署方式说明、运行环境说明、运维知识转移、遗留问题说明以及相关第三方资源交接，确保甲方或新服务商能够平稳接管。 </w:t>
      </w:r>
    </w:p>
    <w:p w14:paraId="1205A4B6">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 xml:space="preserve">（3）合作结束后，供应商应将其持有或控制的全部甲方数据、资料及相关备份完整移交甲方，并在甲方确认后删除或销毁其保留的相关副本，同时向甲方出具书面数据销毁说明或证明。 </w:t>
      </w:r>
    </w:p>
    <w:bookmarkEnd w:id="1"/>
    <w:bookmarkEnd w:id="8"/>
    <w:p w14:paraId="2EDFBF05">
      <w:pPr>
        <w:pStyle w:val="31"/>
        <w:shd w:val="clear" w:color="auto" w:fill="auto"/>
        <w:spacing w:after="189" w:line="360" w:lineRule="auto"/>
        <w:ind w:left="20" w:hanging="20"/>
        <w:jc w:val="both"/>
        <w:outlineLvl w:val="0"/>
        <w:rPr>
          <w:rStyle w:val="30"/>
          <w:rFonts w:hint="default" w:eastAsia="宋体"/>
          <w:b/>
          <w:bCs/>
          <w:sz w:val="28"/>
          <w:szCs w:val="28"/>
          <w:lang w:val="en-US" w:eastAsia="zh-CN"/>
        </w:rPr>
      </w:pPr>
      <w:r>
        <w:rPr>
          <w:rStyle w:val="30"/>
          <w:b/>
          <w:bCs/>
          <w:sz w:val="28"/>
          <w:szCs w:val="28"/>
        </w:rPr>
        <w:t>四、</w:t>
      </w:r>
      <w:r>
        <w:rPr>
          <w:rStyle w:val="30"/>
          <w:rFonts w:hint="eastAsia"/>
          <w:b/>
          <w:bCs/>
          <w:sz w:val="28"/>
          <w:szCs w:val="28"/>
          <w:lang w:val="en-US" w:eastAsia="zh-CN"/>
        </w:rPr>
        <w:t>供应商资格要求</w:t>
      </w:r>
    </w:p>
    <w:p w14:paraId="04ED3EAC">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本项目供应商须同时满足以下资格性与符合性条件：</w:t>
      </w:r>
    </w:p>
    <w:p w14:paraId="5BB86AF6">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主体资格要求：供应商须为依法设立并有效存续的独立法人或其他组织，能够提供营业执照或同等效力的主体资格证明文件。</w:t>
      </w:r>
    </w:p>
    <w:p w14:paraId="4B527C4D">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税务与开票能力：供应商须具备开具合法合规发票的能力，并满足本采购文件约定的税务管理相关要求。</w:t>
      </w:r>
    </w:p>
    <w:p w14:paraId="125633D0">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信誉与合规记录：近三年内无重大违法失信记录、无重大质量安全事故记录、无严重违约情形，未被列入失信被执行人、重大税收违法失信主体名单。</w:t>
      </w:r>
    </w:p>
    <w:p w14:paraId="6442158B">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技术与服务能力：供应商须具备承担本项目所需的技术能力、实施工具、服务方法、项目管理体系及运维保障能力，能够按要求完成项目建设与交付。</w:t>
      </w:r>
    </w:p>
    <w:p w14:paraId="345EA47D">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项目团队配置：供应商须满足本采购文件规定的最低项目人员配置要求，明确驻场安排、响应时效及人员稳定性承诺，确保项目实施质量。</w:t>
      </w:r>
    </w:p>
    <w:p w14:paraId="00DF3BC1">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业绩与授权资质：供应商须按要求提供同类项目的实施业绩证明材料；涉及代理服务、原厂技术授权或联合体参与的，须提供有效的授权文件或联合体协议。</w:t>
      </w:r>
    </w:p>
    <w:p w14:paraId="67621E51">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商务条款响应：供应商须实质性响应并接受本采购文件约定的核心合同条款，包括但不限于交付标准、验收流程、付款方式、保密义务、知识产权归属及违约责任等内容。</w:t>
      </w:r>
    </w:p>
    <w:p w14:paraId="42E54147">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安全与保密管理：供应商须严格遵守网络安全、数据安全及保密管理相关法律法规，满足本项目现场管理、数据保护、信息保密等强制性要求，签署相关保密承诺文件。</w:t>
      </w:r>
    </w:p>
    <w:p w14:paraId="78B993A8">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材料真实性承诺：供应商提交的所有资格证明材料、业绩证明、人员简历、承诺函等文件须真实、完整、可核验，若存在虚假材料，视为无效投标并承担相应法律责任。</w:t>
      </w:r>
    </w:p>
    <w:p w14:paraId="5C244E7A">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其他专门条件：供应商须满足本采购文件中另行约定的专门资格条件及实质性响应要求。</w:t>
      </w:r>
    </w:p>
    <w:p w14:paraId="44C60AF8">
      <w:pPr>
        <w:pStyle w:val="31"/>
        <w:shd w:val="clear" w:color="auto" w:fill="auto"/>
        <w:spacing w:after="189" w:line="360" w:lineRule="auto"/>
        <w:ind w:left="20" w:hanging="20"/>
        <w:jc w:val="both"/>
        <w:outlineLvl w:val="0"/>
        <w:rPr>
          <w:rStyle w:val="30"/>
          <w:rFonts w:hint="default" w:ascii="宋体" w:hAnsi="Times New Roman" w:eastAsia="宋体" w:cs="宋体"/>
          <w:b/>
          <w:bCs/>
          <w:sz w:val="28"/>
          <w:szCs w:val="28"/>
          <w:lang w:val="en-US" w:eastAsia="zh-CN"/>
        </w:rPr>
      </w:pPr>
      <w:r>
        <w:rPr>
          <w:rStyle w:val="30"/>
          <w:rFonts w:hint="eastAsia" w:hAnsi="Times New Roman" w:cs="宋体"/>
          <w:b/>
          <w:bCs/>
          <w:sz w:val="28"/>
          <w:szCs w:val="28"/>
          <w:lang w:val="en-US" w:eastAsia="zh-CN"/>
        </w:rPr>
        <w:t>五</w:t>
      </w:r>
      <w:r>
        <w:rPr>
          <w:rStyle w:val="30"/>
          <w:rFonts w:hint="eastAsia" w:ascii="宋体" w:hAnsi="Times New Roman" w:eastAsia="宋体" w:cs="宋体"/>
          <w:b/>
          <w:bCs/>
          <w:sz w:val="28"/>
          <w:szCs w:val="28"/>
          <w:lang w:val="en-US" w:eastAsia="zh-CN"/>
        </w:rPr>
        <w:t>、采购方式</w:t>
      </w:r>
    </w:p>
    <w:p w14:paraId="0137FBC5">
      <w:pPr>
        <w:spacing w:line="560" w:lineRule="exact"/>
        <w:ind w:firstLine="480" w:firstLineChars="200"/>
        <w:rPr>
          <w:rFonts w:hint="default" w:ascii="宋体" w:hAnsi="宋体" w:eastAsia="宋体" w:cs="宋体"/>
          <w:sz w:val="24"/>
          <w:szCs w:val="18"/>
          <w:lang w:val="en-US" w:eastAsia="zh-CN"/>
        </w:rPr>
      </w:pPr>
      <w:r>
        <w:rPr>
          <w:rFonts w:hint="eastAsia" w:ascii="宋体" w:hAnsi="宋体" w:eastAsia="宋体" w:cs="宋体"/>
          <w:sz w:val="24"/>
          <w:szCs w:val="18"/>
          <w:lang w:val="en-US" w:eastAsia="zh-CN"/>
        </w:rPr>
        <w:t>依据《天华化工机械及自动化研究设计院有限公司非招标采购管理办法》以及需求部门提出的采购申请，采用谈判采购方式。</w:t>
      </w:r>
    </w:p>
    <w:p w14:paraId="6CA3662F">
      <w:pPr>
        <w:pStyle w:val="31"/>
        <w:shd w:val="clear" w:color="auto" w:fill="auto"/>
        <w:spacing w:after="189" w:line="360" w:lineRule="auto"/>
        <w:ind w:left="20" w:hanging="20"/>
        <w:jc w:val="both"/>
        <w:outlineLvl w:val="0"/>
        <w:rPr>
          <w:rStyle w:val="30"/>
          <w:b/>
          <w:bCs/>
          <w:sz w:val="28"/>
          <w:szCs w:val="28"/>
        </w:rPr>
      </w:pPr>
      <w:r>
        <w:rPr>
          <w:rStyle w:val="30"/>
          <w:rFonts w:hint="eastAsia"/>
          <w:b/>
          <w:bCs/>
          <w:sz w:val="28"/>
          <w:szCs w:val="28"/>
          <w:lang w:val="en-US" w:eastAsia="zh-CN"/>
        </w:rPr>
        <w:t>六</w:t>
      </w:r>
      <w:r>
        <w:rPr>
          <w:rStyle w:val="30"/>
          <w:b/>
          <w:bCs/>
          <w:sz w:val="28"/>
          <w:szCs w:val="28"/>
        </w:rPr>
        <w:t>、</w:t>
      </w:r>
      <w:r>
        <w:rPr>
          <w:rStyle w:val="30"/>
          <w:rFonts w:hint="eastAsia"/>
          <w:b/>
          <w:bCs/>
          <w:sz w:val="28"/>
          <w:szCs w:val="28"/>
        </w:rPr>
        <w:t>采购谈判重点</w:t>
      </w:r>
    </w:p>
    <w:p w14:paraId="283F9F31">
      <w:pPr>
        <w:spacing w:line="560" w:lineRule="exact"/>
        <w:ind w:firstLine="480" w:firstLineChars="200"/>
        <w:jc w:val="both"/>
        <w:rPr>
          <w:rFonts w:hint="eastAsia" w:ascii="宋体" w:hAnsi="宋体" w:eastAsia="宋体" w:cs="宋体"/>
          <w:sz w:val="24"/>
          <w:szCs w:val="18"/>
          <w:lang w:val="en-US" w:eastAsia="zh-CN"/>
        </w:rPr>
      </w:pPr>
      <w:r>
        <w:rPr>
          <w:rStyle w:val="30"/>
          <w:rFonts w:hint="eastAsia" w:hAnsi="Times New Roman"/>
          <w:b w:val="0"/>
          <w:bCs w:val="0"/>
          <w:sz w:val="24"/>
          <w:szCs w:val="24"/>
          <w:lang w:val="en-US" w:eastAsia="zh-CN"/>
        </w:rPr>
        <w:t>2026年度</w:t>
      </w:r>
      <w:r>
        <w:rPr>
          <w:rStyle w:val="30"/>
          <w:rFonts w:hint="default" w:hAnsi="Times New Roman"/>
          <w:b w:val="0"/>
          <w:bCs w:val="0"/>
          <w:sz w:val="24"/>
          <w:szCs w:val="24"/>
          <w:lang w:val="en-US" w:eastAsia="zh-CN"/>
        </w:rPr>
        <w:t>南京三方一体化数字信息平台优化提升项目</w:t>
      </w:r>
      <w:r>
        <w:rPr>
          <w:rFonts w:hint="eastAsia" w:ascii="宋体" w:hAnsi="宋体" w:eastAsia="宋体"/>
          <w:color w:val="000000"/>
          <w:sz w:val="24"/>
          <w:lang w:eastAsia="zh-CN"/>
        </w:rPr>
        <w:t>按谈判采购流程进行，</w:t>
      </w:r>
      <w:r>
        <w:rPr>
          <w:rFonts w:hint="eastAsia" w:ascii="宋体" w:hAnsi="宋体" w:eastAsia="宋体" w:cs="宋体"/>
          <w:sz w:val="24"/>
          <w:szCs w:val="18"/>
          <w:lang w:val="en-US" w:eastAsia="zh-CN"/>
        </w:rPr>
        <w:t>由物资采购部依据经审核的采购申请组织编制谈判文件。</w:t>
      </w:r>
    </w:p>
    <w:p w14:paraId="024FEEB5">
      <w:pPr>
        <w:spacing w:line="560" w:lineRule="exact"/>
        <w:ind w:firstLine="480" w:firstLineChars="200"/>
        <w:jc w:val="both"/>
        <w:rPr>
          <w:rStyle w:val="30"/>
          <w:rFonts w:hint="default" w:hAnsi="Times New Roman"/>
          <w:b w:val="0"/>
          <w:bCs w:val="0"/>
          <w:sz w:val="24"/>
          <w:szCs w:val="24"/>
          <w:lang w:val="en-US" w:eastAsia="zh-CN"/>
        </w:rPr>
      </w:pPr>
      <w:r>
        <w:rPr>
          <w:rStyle w:val="30"/>
          <w:rFonts w:hint="eastAsia" w:hAnsi="Times New Roman"/>
          <w:b w:val="0"/>
          <w:bCs w:val="0"/>
          <w:sz w:val="24"/>
          <w:szCs w:val="24"/>
          <w:lang w:val="en-US" w:eastAsia="zh-CN"/>
        </w:rPr>
        <w:t>评审原则采用综合评分法，</w:t>
      </w:r>
      <w:r>
        <w:rPr>
          <w:rStyle w:val="30"/>
          <w:rFonts w:hint="default" w:hAnsi="Times New Roman"/>
          <w:b w:val="0"/>
          <w:bCs w:val="0"/>
          <w:sz w:val="24"/>
          <w:szCs w:val="24"/>
          <w:lang w:val="en-US" w:eastAsia="zh-CN"/>
        </w:rPr>
        <w:t>评审总分100分，评审指标及对应权重分别为：定制开发40%、现场运维20%、商务报价40%。</w:t>
      </w:r>
    </w:p>
    <w:p w14:paraId="6257F53E">
      <w:pPr>
        <w:spacing w:line="560" w:lineRule="exact"/>
        <w:ind w:firstLine="480" w:firstLineChars="200"/>
        <w:jc w:val="both"/>
        <w:rPr>
          <w:rFonts w:hint="default" w:ascii="宋体" w:hAnsi="宋体" w:eastAsia="宋体" w:cs="宋体"/>
          <w:sz w:val="24"/>
          <w:szCs w:val="18"/>
          <w:lang w:val="en-US" w:eastAsia="zh-CN"/>
        </w:rPr>
      </w:pPr>
      <w:r>
        <w:rPr>
          <w:rFonts w:hint="eastAsia" w:ascii="宋体" w:hAnsi="宋体" w:eastAsia="宋体" w:cs="宋体"/>
          <w:sz w:val="24"/>
          <w:szCs w:val="18"/>
          <w:lang w:val="en-US" w:eastAsia="zh-CN"/>
        </w:rPr>
        <w:t>物资采购部向确定供应商发出采购邀请，从谈判文件发出之日起至供应商提交应答文件截止之日不得少于3个工作日。</w:t>
      </w:r>
    </w:p>
    <w:p w14:paraId="4FABFFD5">
      <w:pPr>
        <w:spacing w:line="360" w:lineRule="auto"/>
        <w:ind w:firstLine="480" w:firstLineChars="200"/>
        <w:jc w:val="both"/>
        <w:rPr>
          <w:rFonts w:hint="eastAsia" w:ascii="宋体" w:hAnsi="宋体" w:eastAsia="宋体" w:cstheme="minorBidi"/>
          <w:color w:val="000000"/>
          <w:kern w:val="2"/>
          <w:sz w:val="24"/>
          <w:szCs w:val="24"/>
          <w:highlight w:val="none"/>
          <w:lang w:val="en-US" w:eastAsia="en-US" w:bidi="ar-SA"/>
          <w14:ligatures w14:val="standardContextual"/>
        </w:rPr>
      </w:pPr>
      <w:r>
        <w:rPr>
          <w:rFonts w:hint="eastAsia" w:ascii="宋体" w:hAnsi="宋体" w:eastAsia="宋体" w:cstheme="minorBidi"/>
          <w:color w:val="000000"/>
          <w:kern w:val="2"/>
          <w:sz w:val="24"/>
          <w:szCs w:val="24"/>
          <w:highlight w:val="none"/>
          <w:lang w:val="en-US" w:eastAsia="zh-CN" w:bidi="ar-SA"/>
          <w14:ligatures w14:val="standardContextual"/>
        </w:rPr>
        <w:t>1</w:t>
      </w:r>
      <w:r>
        <w:rPr>
          <w:rFonts w:hint="eastAsia" w:ascii="宋体" w:hAnsi="宋体" w:eastAsia="宋体" w:cstheme="minorBidi"/>
          <w:color w:val="000000"/>
          <w:kern w:val="2"/>
          <w:sz w:val="24"/>
          <w:szCs w:val="24"/>
          <w:highlight w:val="none"/>
          <w:lang w:val="en-US" w:eastAsia="en-US" w:bidi="ar-SA"/>
          <w14:ligatures w14:val="standardContextual"/>
        </w:rPr>
        <w:t>.评审小组应当由物资采购部、需求部门以及相关专业专家3人及以上的单数组成，对供应商分别进行谈判。谈判中，谈判的任何一方不得透露与谈判有关的其他供应商的一切技术资料、价格或其他信息。递交响应文件的供应商不足2家的，应终止本次谈判活动并分析原因，若采购文件存在不合理条款，需变更采购文件重新组织采购，如有实质性条款变更应履行变更审批，若不存在不合理条款，经审批后履行直接采购程序；</w:t>
      </w:r>
    </w:p>
    <w:p w14:paraId="14827110">
      <w:pPr>
        <w:spacing w:line="360" w:lineRule="auto"/>
        <w:ind w:firstLine="480" w:firstLineChars="200"/>
        <w:jc w:val="both"/>
        <w:rPr>
          <w:rFonts w:hint="eastAsia" w:ascii="宋体" w:hAnsi="宋体" w:eastAsia="宋体" w:cstheme="minorBidi"/>
          <w:color w:val="000000"/>
          <w:kern w:val="2"/>
          <w:sz w:val="24"/>
          <w:szCs w:val="24"/>
          <w:highlight w:val="none"/>
          <w:lang w:val="en-US" w:eastAsia="en-US" w:bidi="ar-SA"/>
          <w14:ligatures w14:val="standardContextual"/>
        </w:rPr>
      </w:pPr>
      <w:r>
        <w:rPr>
          <w:rFonts w:hint="eastAsia" w:ascii="宋体" w:hAnsi="宋体" w:eastAsia="宋体" w:cstheme="minorBidi"/>
          <w:color w:val="000000"/>
          <w:kern w:val="2"/>
          <w:sz w:val="24"/>
          <w:szCs w:val="24"/>
          <w:highlight w:val="none"/>
          <w:lang w:val="en-US" w:eastAsia="zh-CN" w:bidi="ar-SA"/>
          <w14:ligatures w14:val="standardContextual"/>
        </w:rPr>
        <w:t>2</w:t>
      </w:r>
      <w:r>
        <w:rPr>
          <w:rFonts w:hint="eastAsia" w:ascii="宋体" w:hAnsi="宋体" w:eastAsia="宋体" w:cstheme="minorBidi"/>
          <w:color w:val="000000"/>
          <w:kern w:val="2"/>
          <w:sz w:val="24"/>
          <w:szCs w:val="24"/>
          <w:highlight w:val="none"/>
          <w:lang w:val="en-US" w:eastAsia="en-US" w:bidi="ar-SA"/>
          <w14:ligatures w14:val="standardContextual"/>
        </w:rPr>
        <w:t>.评审小组根据供应商的报价及谈判情况，可以要求供应商进行多轮报价，但必须保证每个供应商得到均等的报价机会，不得单独同某一供应商就其最终报价进行谈判，评审小组应当要求所有供应商在规定的时间内提出最后报价及有关澄清或承诺；</w:t>
      </w:r>
    </w:p>
    <w:p w14:paraId="50B4A210">
      <w:pPr>
        <w:spacing w:line="360" w:lineRule="auto"/>
        <w:ind w:firstLine="480" w:firstLineChars="200"/>
        <w:jc w:val="both"/>
        <w:rPr>
          <w:rFonts w:hint="eastAsia" w:ascii="宋体" w:hAnsi="宋体" w:eastAsia="宋体" w:cstheme="minorBidi"/>
          <w:color w:val="000000"/>
          <w:kern w:val="2"/>
          <w:sz w:val="24"/>
          <w:szCs w:val="24"/>
          <w:highlight w:val="none"/>
          <w:lang w:val="en-US" w:eastAsia="zh-CN" w:bidi="ar-SA"/>
          <w14:ligatures w14:val="standardContextual"/>
        </w:rPr>
      </w:pPr>
      <w:r>
        <w:rPr>
          <w:rFonts w:hint="eastAsia" w:ascii="宋体" w:hAnsi="宋体" w:eastAsia="宋体" w:cstheme="minorBidi"/>
          <w:color w:val="000000"/>
          <w:kern w:val="2"/>
          <w:sz w:val="24"/>
          <w:szCs w:val="24"/>
          <w:highlight w:val="none"/>
          <w:lang w:val="en-US" w:eastAsia="zh-CN" w:bidi="ar-SA"/>
          <w14:ligatures w14:val="standardContextual"/>
        </w:rPr>
        <w:t>3</w:t>
      </w:r>
      <w:r>
        <w:rPr>
          <w:rFonts w:hint="eastAsia" w:ascii="宋体" w:hAnsi="宋体" w:eastAsia="宋体" w:cstheme="minorBidi"/>
          <w:color w:val="000000"/>
          <w:kern w:val="2"/>
          <w:sz w:val="24"/>
          <w:szCs w:val="24"/>
          <w:highlight w:val="none"/>
          <w:lang w:val="en-US" w:eastAsia="en-US" w:bidi="ar-SA"/>
          <w14:ligatures w14:val="standardContextual"/>
        </w:rPr>
        <w:t>.评审小组根据供应商的报价和应答情况，对供应商进行评比，并推荐候选成交供应商。采用综合评分法，按照最终得分由高到低的顺序推荐候选成交供应商。物资采购部依据评审小组推荐的成交结果，编制谈判报告，履行内部审批后确定成交供应商</w:t>
      </w:r>
      <w:r>
        <w:rPr>
          <w:rFonts w:hint="eastAsia" w:ascii="宋体" w:hAnsi="宋体" w:eastAsia="宋体" w:cstheme="minorBidi"/>
          <w:color w:val="000000"/>
          <w:kern w:val="2"/>
          <w:sz w:val="24"/>
          <w:szCs w:val="24"/>
          <w:highlight w:val="none"/>
          <w:lang w:val="en-US" w:eastAsia="zh-CN" w:bidi="ar-SA"/>
          <w14:ligatures w14:val="standardContextual"/>
        </w:rPr>
        <w:t>。</w:t>
      </w:r>
    </w:p>
    <w:p w14:paraId="741BE4A4">
      <w:pPr>
        <w:pStyle w:val="31"/>
        <w:shd w:val="clear" w:color="auto" w:fill="auto"/>
        <w:spacing w:after="189" w:line="360" w:lineRule="auto"/>
        <w:ind w:left="20" w:hanging="20"/>
        <w:jc w:val="both"/>
        <w:outlineLvl w:val="0"/>
        <w:rPr>
          <w:rStyle w:val="30"/>
          <w:b/>
          <w:bCs/>
          <w:sz w:val="28"/>
          <w:szCs w:val="28"/>
        </w:rPr>
      </w:pPr>
      <w:r>
        <w:rPr>
          <w:rStyle w:val="30"/>
          <w:rFonts w:hint="eastAsia"/>
          <w:b/>
          <w:bCs/>
          <w:sz w:val="28"/>
          <w:szCs w:val="28"/>
          <w:lang w:val="en-US" w:eastAsia="zh-CN"/>
        </w:rPr>
        <w:t>七</w:t>
      </w:r>
      <w:r>
        <w:rPr>
          <w:rStyle w:val="30"/>
          <w:b/>
          <w:bCs/>
          <w:sz w:val="28"/>
          <w:szCs w:val="28"/>
        </w:rPr>
        <w:t>、</w:t>
      </w:r>
      <w:r>
        <w:rPr>
          <w:rStyle w:val="30"/>
          <w:rFonts w:hint="eastAsia"/>
          <w:b/>
          <w:bCs/>
          <w:sz w:val="28"/>
          <w:szCs w:val="28"/>
        </w:rPr>
        <w:t>采购组成员</w:t>
      </w:r>
    </w:p>
    <w:p w14:paraId="6D1F6DB3">
      <w:pPr>
        <w:spacing w:line="360" w:lineRule="auto"/>
        <w:ind w:firstLine="480" w:firstLineChars="200"/>
        <w:rPr>
          <w:rFonts w:ascii="宋体" w:hAnsi="宋体" w:eastAsia="宋体"/>
          <w:color w:val="000000"/>
          <w:sz w:val="24"/>
        </w:rPr>
      </w:pPr>
      <w:r>
        <w:rPr>
          <w:rFonts w:hint="eastAsia" w:ascii="宋体" w:hAnsi="宋体" w:eastAsia="宋体"/>
          <w:color w:val="000000"/>
          <w:sz w:val="24"/>
        </w:rPr>
        <w:t>组长：办公室主任许开明</w:t>
      </w:r>
    </w:p>
    <w:p w14:paraId="00962E87">
      <w:pPr>
        <w:spacing w:line="360" w:lineRule="auto"/>
        <w:ind w:firstLine="480" w:firstLineChars="200"/>
        <w:rPr>
          <w:rFonts w:ascii="宋体" w:hAnsi="宋体" w:eastAsia="宋体"/>
          <w:color w:val="000000"/>
          <w:sz w:val="24"/>
        </w:rPr>
      </w:pPr>
      <w:r>
        <w:rPr>
          <w:rFonts w:hint="eastAsia" w:ascii="宋体" w:hAnsi="宋体" w:eastAsia="宋体"/>
          <w:color w:val="000000"/>
          <w:sz w:val="24"/>
        </w:rPr>
        <w:t>副组长：刘真云</w:t>
      </w:r>
    </w:p>
    <w:p w14:paraId="69C04B42">
      <w:pPr>
        <w:spacing w:line="360" w:lineRule="auto"/>
        <w:ind w:firstLine="480" w:firstLineChars="200"/>
        <w:rPr>
          <w:rFonts w:hint="default" w:ascii="宋体" w:hAnsi="宋体" w:eastAsia="宋体"/>
          <w:color w:val="000000"/>
          <w:sz w:val="24"/>
          <w:lang w:val="en-US" w:eastAsia="zh-CN"/>
        </w:rPr>
      </w:pPr>
      <w:r>
        <w:rPr>
          <w:rFonts w:hint="eastAsia" w:ascii="宋体" w:hAnsi="宋体" w:eastAsia="宋体"/>
          <w:color w:val="000000"/>
          <w:sz w:val="24"/>
        </w:rPr>
        <w:t>工作组成员：</w:t>
      </w:r>
      <w:r>
        <w:rPr>
          <w:rFonts w:hint="eastAsia" w:ascii="宋体" w:hAnsi="宋体" w:eastAsia="宋体"/>
          <w:color w:val="000000"/>
          <w:sz w:val="24"/>
          <w:lang w:val="en-US" w:eastAsia="zh-CN"/>
        </w:rPr>
        <w:t>李文健、李帅杰</w:t>
      </w:r>
    </w:p>
    <w:p w14:paraId="70C2CD3B">
      <w:pPr>
        <w:pStyle w:val="31"/>
        <w:shd w:val="clear" w:color="auto" w:fill="auto"/>
        <w:spacing w:after="189" w:line="360" w:lineRule="auto"/>
        <w:ind w:left="20" w:hanging="20"/>
        <w:jc w:val="both"/>
        <w:outlineLvl w:val="0"/>
        <w:rPr>
          <w:rStyle w:val="30"/>
          <w:b/>
          <w:bCs/>
          <w:sz w:val="28"/>
          <w:szCs w:val="28"/>
        </w:rPr>
      </w:pPr>
      <w:r>
        <w:rPr>
          <w:rStyle w:val="30"/>
          <w:rFonts w:hint="eastAsia"/>
          <w:b/>
          <w:bCs/>
          <w:sz w:val="28"/>
          <w:szCs w:val="28"/>
          <w:lang w:val="en-US" w:eastAsia="zh-CN"/>
        </w:rPr>
        <w:t>八</w:t>
      </w:r>
      <w:r>
        <w:rPr>
          <w:rStyle w:val="30"/>
          <w:b/>
          <w:bCs/>
          <w:sz w:val="28"/>
          <w:szCs w:val="28"/>
        </w:rPr>
        <w:t>、</w:t>
      </w:r>
      <w:r>
        <w:rPr>
          <w:rStyle w:val="30"/>
          <w:rFonts w:hint="eastAsia"/>
          <w:b/>
          <w:bCs/>
          <w:sz w:val="28"/>
          <w:szCs w:val="28"/>
        </w:rPr>
        <w:t>主要商务内容</w:t>
      </w:r>
    </w:p>
    <w:p w14:paraId="0B54D3E6">
      <w:pPr>
        <w:pStyle w:val="3"/>
        <w:spacing w:before="38" w:line="360" w:lineRule="auto"/>
        <w:ind w:right="35"/>
        <w:jc w:val="both"/>
        <w:rPr>
          <w:rFonts w:hint="eastAsia" w:hAnsi="宋体" w:cs="宋体"/>
          <w:snapToGrid w:val="0"/>
          <w:color w:val="000000"/>
          <w:spacing w:val="6"/>
          <w:kern w:val="0"/>
          <w:sz w:val="24"/>
          <w:szCs w:val="24"/>
          <w:highlight w:val="none"/>
          <w:shd w:val="clear" w:color="auto" w:fill="auto"/>
          <w:lang w:val="en-US" w:eastAsia="zh-CN" w:bidi="ar-SA"/>
        </w:rPr>
      </w:pPr>
      <w:r>
        <w:rPr>
          <w:rFonts w:hint="eastAsia" w:hAnsi="宋体" w:cs="宋体"/>
          <w:snapToGrid w:val="0"/>
          <w:color w:val="000000"/>
          <w:spacing w:val="6"/>
          <w:kern w:val="0"/>
          <w:sz w:val="24"/>
          <w:szCs w:val="24"/>
          <w:highlight w:val="none"/>
          <w:shd w:val="clear" w:color="auto" w:fill="auto"/>
          <w:lang w:val="en-US" w:eastAsia="zh-CN" w:bidi="ar-SA"/>
        </w:rPr>
        <w:t>1.项目期限：</w:t>
      </w:r>
    </w:p>
    <w:p w14:paraId="1DF254A9">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2026年09月30日前完成经营管理分析与执行管理模块开发。</w:t>
      </w:r>
    </w:p>
    <w:p w14:paraId="64720F3D">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2026年10月30日前完成安全平台PC端及APP端升级改造。</w:t>
      </w:r>
    </w:p>
    <w:p w14:paraId="7DF03292">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2026年11月30日前完成对外</w:t>
      </w:r>
      <w:r>
        <w:rPr>
          <w:rFonts w:hint="eastAsia" w:ascii="宋体" w:hAnsi="宋体" w:eastAsia="宋体" w:cs="宋体"/>
          <w:sz w:val="24"/>
          <w:szCs w:val="18"/>
          <w:lang w:val="en-US" w:eastAsia="en-US"/>
        </w:rPr>
        <w:t>PECMS</w:t>
      </w:r>
      <w:r>
        <w:rPr>
          <w:rFonts w:hint="eastAsia" w:ascii="宋体" w:hAnsi="宋体" w:eastAsia="宋体" w:cs="宋体"/>
          <w:sz w:val="24"/>
          <w:szCs w:val="18"/>
          <w:lang w:val="en-US" w:eastAsia="zh-CN"/>
        </w:rPr>
        <w:t>模块改造升级。</w:t>
      </w:r>
    </w:p>
    <w:p w14:paraId="22C52B49">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2026年11月30日前完成对内</w:t>
      </w:r>
      <w:r>
        <w:rPr>
          <w:rFonts w:hint="eastAsia" w:ascii="宋体" w:hAnsi="宋体" w:eastAsia="宋体" w:cs="宋体"/>
          <w:sz w:val="24"/>
          <w:szCs w:val="18"/>
          <w:lang w:val="en-US" w:eastAsia="en-US"/>
        </w:rPr>
        <w:t>PECMS</w:t>
      </w:r>
      <w:r>
        <w:rPr>
          <w:rFonts w:hint="eastAsia" w:ascii="宋体" w:hAnsi="宋体" w:eastAsia="宋体" w:cs="宋体"/>
          <w:sz w:val="24"/>
          <w:szCs w:val="18"/>
          <w:lang w:val="en-US" w:eastAsia="zh-CN"/>
        </w:rPr>
        <w:t>模块改造升级。</w:t>
      </w:r>
    </w:p>
    <w:p w14:paraId="3D116AB7">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18"/>
          <w:lang w:val="en-US" w:eastAsia="zh-CN"/>
        </w:rPr>
      </w:pPr>
      <w:r>
        <w:rPr>
          <w:rFonts w:hint="eastAsia" w:ascii="宋体" w:hAnsi="宋体" w:eastAsia="宋体" w:cs="宋体"/>
          <w:sz w:val="24"/>
          <w:szCs w:val="18"/>
          <w:lang w:val="en-US" w:eastAsia="zh-CN"/>
        </w:rPr>
        <w:t>2026年12月15日前完成APP部分功能开发和优化升级改造。</w:t>
      </w:r>
    </w:p>
    <w:p w14:paraId="7A9BE0F4">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5" w:leftChars="0" w:hanging="425" w:firstLineChars="0"/>
        <w:textAlignment w:val="auto"/>
        <w:rPr>
          <w:rFonts w:hint="default" w:ascii="宋体" w:hAnsi="宋体" w:eastAsia="宋体" w:cs="宋体"/>
          <w:sz w:val="24"/>
          <w:szCs w:val="18"/>
          <w:lang w:val="en-US" w:eastAsia="zh-CN"/>
        </w:rPr>
      </w:pPr>
      <w:r>
        <w:rPr>
          <w:rFonts w:hint="eastAsia" w:ascii="宋体" w:hAnsi="宋体" w:eastAsia="宋体" w:cs="宋体"/>
          <w:sz w:val="24"/>
          <w:szCs w:val="18"/>
          <w:lang w:val="en-US" w:eastAsia="zh-CN"/>
        </w:rPr>
        <w:t>运维支撑截止日期为项目正式验收之日起开始的连续12个自然月。</w:t>
      </w:r>
    </w:p>
    <w:p w14:paraId="447D99AB">
      <w:pPr>
        <w:pStyle w:val="3"/>
        <w:numPr>
          <w:ilvl w:val="0"/>
          <w:numId w:val="7"/>
        </w:numPr>
        <w:shd w:val="clear" w:color="auto" w:fill="FFFFFF"/>
        <w:spacing w:before="38" w:line="360" w:lineRule="auto"/>
        <w:ind w:right="35"/>
        <w:jc w:val="both"/>
        <w:rPr>
          <w:rFonts w:hint="eastAsia" w:ascii="宋体" w:hAnsi="宋体" w:eastAsia="宋体" w:cs="宋体"/>
          <w:snapToGrid w:val="0"/>
          <w:color w:val="000000"/>
          <w:spacing w:val="6"/>
          <w:kern w:val="0"/>
          <w:sz w:val="24"/>
          <w:szCs w:val="24"/>
          <w:highlight w:val="none"/>
          <w:shd w:val="clear" w:color="auto" w:fill="auto"/>
          <w:lang w:val="en-US" w:eastAsia="en-US" w:bidi="ar-SA"/>
        </w:rPr>
      </w:pPr>
      <w:r>
        <w:rPr>
          <w:rFonts w:hint="eastAsia" w:ascii="宋体" w:hAnsi="宋体" w:eastAsia="宋体" w:cs="宋体"/>
          <w:snapToGrid w:val="0"/>
          <w:color w:val="000000"/>
          <w:spacing w:val="6"/>
          <w:kern w:val="0"/>
          <w:sz w:val="24"/>
          <w:szCs w:val="24"/>
          <w:highlight w:val="none"/>
          <w:shd w:val="clear" w:color="auto" w:fill="auto"/>
          <w:lang w:val="en-US" w:eastAsia="en-US" w:bidi="ar-SA"/>
        </w:rPr>
        <w:t>付款条款</w:t>
      </w:r>
    </w:p>
    <w:p w14:paraId="5DD644E9">
      <w:pPr>
        <w:pStyle w:val="3"/>
        <w:numPr>
          <w:ilvl w:val="0"/>
          <w:numId w:val="0"/>
        </w:numPr>
        <w:shd w:val="clear" w:color="auto" w:fill="FFFFFF"/>
        <w:spacing w:before="38" w:line="360" w:lineRule="auto"/>
        <w:ind w:right="35" w:rightChars="0"/>
        <w:jc w:val="both"/>
        <w:rPr>
          <w:rFonts w:hint="eastAsia" w:ascii="宋体" w:hAnsi="宋体" w:eastAsia="宋体" w:cs="宋体"/>
          <w:snapToGrid w:val="0"/>
          <w:color w:val="000000"/>
          <w:spacing w:val="6"/>
          <w:kern w:val="0"/>
          <w:sz w:val="24"/>
          <w:szCs w:val="24"/>
          <w:highlight w:val="none"/>
          <w:shd w:val="clear" w:color="auto" w:fill="auto"/>
          <w:lang w:val="en-US" w:eastAsia="zh-CN" w:bidi="ar-SA"/>
        </w:rPr>
      </w:pPr>
      <w:r>
        <w:rPr>
          <w:rFonts w:hint="eastAsia" w:ascii="宋体" w:hAnsi="宋体" w:eastAsia="宋体" w:cs="宋体"/>
          <w:color w:val="000000" w:themeColor="text1"/>
          <w:spacing w:val="6"/>
          <w:kern w:val="0"/>
          <w:sz w:val="24"/>
          <w:lang w:val="en-US" w:eastAsia="zh-CN"/>
          <w14:textFill>
            <w14:solidFill>
              <w14:schemeClr w14:val="tx1"/>
            </w14:solidFill>
          </w14:textFill>
        </w:rPr>
        <w:t>支付方式：电子汇款，每次付款前</w:t>
      </w:r>
      <w:r>
        <w:rPr>
          <w:rFonts w:hint="eastAsia" w:ascii="宋体" w:hAnsi="宋体" w:eastAsia="宋体" w:cs="宋体"/>
          <w:snapToGrid/>
          <w:spacing w:val="19"/>
          <w:sz w:val="24"/>
          <w:szCs w:val="24"/>
        </w:rPr>
        <w:t>乙方向甲方开具增值税专用发票的</w:t>
      </w:r>
      <w:r>
        <w:rPr>
          <w:rFonts w:hint="eastAsia" w:ascii="宋体" w:hAnsi="宋体" w:eastAsia="宋体" w:cs="宋体"/>
          <w:snapToGrid/>
          <w:spacing w:val="19"/>
          <w:sz w:val="24"/>
          <w:szCs w:val="24"/>
          <w:lang w:eastAsia="zh-CN"/>
        </w:rPr>
        <w:t>，</w:t>
      </w:r>
      <w:r>
        <w:rPr>
          <w:rFonts w:hint="eastAsia" w:ascii="宋体" w:hAnsi="宋体" w:eastAsia="宋体" w:cs="宋体"/>
          <w:snapToGrid/>
          <w:spacing w:val="19"/>
          <w:sz w:val="24"/>
          <w:szCs w:val="24"/>
          <w:lang w:val="en-US" w:eastAsia="zh-CN"/>
        </w:rPr>
        <w:t>具体支付节点如下：</w:t>
      </w:r>
    </w:p>
    <w:p w14:paraId="64D45D50">
      <w:pPr>
        <w:keepNext w:val="0"/>
        <w:keepLines w:val="0"/>
        <w:pageBreakBefore w:val="0"/>
        <w:widowControl/>
        <w:kinsoku/>
        <w:wordWrap/>
        <w:overflowPunct/>
        <w:topLinePunct w:val="0"/>
        <w:autoSpaceDE/>
        <w:autoSpaceDN/>
        <w:bidi w:val="0"/>
        <w:adjustRightInd/>
        <w:snapToGrid/>
        <w:spacing w:after="160" w:line="560" w:lineRule="exact"/>
        <w:ind w:firstLine="480" w:firstLineChars="200"/>
        <w:textAlignment w:val="auto"/>
        <w:rPr>
          <w:rFonts w:hint="eastAsia" w:ascii="宋体" w:hAnsi="宋体" w:eastAsia="宋体" w:cstheme="minorBidi"/>
          <w:color w:val="000000"/>
          <w:kern w:val="2"/>
          <w:sz w:val="24"/>
          <w:szCs w:val="24"/>
          <w:highlight w:val="none"/>
          <w:lang w:val="en-US" w:eastAsia="en-US" w:bidi="ar-SA"/>
          <w14:ligatures w14:val="standardContextual"/>
        </w:rPr>
      </w:pPr>
      <w:r>
        <w:rPr>
          <w:rFonts w:hint="eastAsia" w:ascii="宋体" w:hAnsi="宋体" w:eastAsia="宋体" w:cstheme="minorBidi"/>
          <w:color w:val="000000"/>
          <w:kern w:val="2"/>
          <w:sz w:val="24"/>
          <w:szCs w:val="24"/>
          <w:highlight w:val="none"/>
          <w:lang w:val="en-US" w:eastAsia="en-US" w:bidi="ar-SA"/>
          <w14:ligatures w14:val="standardContextual"/>
        </w:rPr>
        <w:t>（1）本项目包含 PECMS（对内+对外PC）模块优化改造、经营管理分析模块开发、APP端功能优化改造、安全管理模块优化改造四部分内容。前述四部分的阶段性交付内容作为各阶段验收依据。</w:t>
      </w:r>
      <w:r>
        <w:rPr>
          <w:rFonts w:hint="eastAsia" w:ascii="宋体" w:hAnsi="宋体" w:eastAsia="宋体" w:cstheme="minorBidi"/>
          <w:color w:val="000000"/>
          <w:kern w:val="2"/>
          <w:sz w:val="24"/>
          <w:szCs w:val="24"/>
          <w:highlight w:val="none"/>
          <w:lang w:val="en-US" w:eastAsia="zh-CN" w:bidi="ar-SA"/>
          <w14:ligatures w14:val="standardContextual"/>
        </w:rPr>
        <w:t>供应商</w:t>
      </w:r>
      <w:r>
        <w:rPr>
          <w:rFonts w:hint="eastAsia" w:ascii="宋体" w:hAnsi="宋体" w:eastAsia="宋体" w:cstheme="minorBidi"/>
          <w:color w:val="000000"/>
          <w:kern w:val="2"/>
          <w:sz w:val="24"/>
          <w:szCs w:val="24"/>
          <w:highlight w:val="none"/>
          <w:lang w:val="en-US" w:eastAsia="en-US" w:bidi="ar-SA"/>
          <w14:ligatures w14:val="standardContextual"/>
        </w:rPr>
        <w:t>应按照本条约定完成各阶段全部交付内容，并提交对应阶段测试验收报告、缺陷清单、整改闭环记录及甲方要求的其他验收资料。任一系统或模块对应阶段交付内容未完成、未达到约定标准、未完成整改闭环或未提交完整验收资料的，均视为该阶段整体付款条件未成就。</w:t>
      </w:r>
    </w:p>
    <w:p w14:paraId="0B8E88CD">
      <w:pPr>
        <w:keepNext w:val="0"/>
        <w:keepLines w:val="0"/>
        <w:pageBreakBefore w:val="0"/>
        <w:widowControl/>
        <w:kinsoku/>
        <w:wordWrap/>
        <w:overflowPunct/>
        <w:topLinePunct w:val="0"/>
        <w:autoSpaceDE/>
        <w:autoSpaceDN/>
        <w:bidi w:val="0"/>
        <w:adjustRightInd/>
        <w:snapToGrid/>
        <w:spacing w:after="160" w:line="560" w:lineRule="exact"/>
        <w:ind w:firstLine="480" w:firstLineChars="200"/>
        <w:textAlignment w:val="auto"/>
        <w:rPr>
          <w:rFonts w:hint="eastAsia" w:ascii="宋体" w:hAnsi="宋体" w:eastAsia="宋体" w:cstheme="minorBidi"/>
          <w:color w:val="000000"/>
          <w:kern w:val="2"/>
          <w:sz w:val="24"/>
          <w:szCs w:val="24"/>
          <w:highlight w:val="none"/>
          <w:lang w:val="en-US" w:eastAsia="en-US" w:bidi="ar-SA"/>
          <w14:ligatures w14:val="standardContextual"/>
        </w:rPr>
      </w:pPr>
      <w:r>
        <w:rPr>
          <w:rFonts w:hint="eastAsia" w:ascii="宋体" w:hAnsi="宋体" w:eastAsia="宋体" w:cstheme="minorBidi"/>
          <w:color w:val="000000"/>
          <w:kern w:val="2"/>
          <w:sz w:val="24"/>
          <w:szCs w:val="24"/>
          <w:highlight w:val="none"/>
          <w:lang w:val="en-US" w:eastAsia="en-US" w:bidi="ar-SA"/>
          <w14:ligatures w14:val="standardContextual"/>
        </w:rPr>
        <w:t>（2）本项目第一阶段按照项目实施进度、阶段性交付成果及验收文件进行付款。</w:t>
      </w:r>
      <w:r>
        <w:rPr>
          <w:rFonts w:hint="eastAsia" w:ascii="宋体" w:hAnsi="宋体" w:eastAsia="宋体" w:cstheme="minorBidi"/>
          <w:color w:val="000000"/>
          <w:kern w:val="2"/>
          <w:sz w:val="24"/>
          <w:szCs w:val="24"/>
          <w:highlight w:val="none"/>
          <w:lang w:val="en-US" w:eastAsia="zh-CN" w:bidi="ar-SA"/>
          <w14:ligatures w14:val="standardContextual"/>
        </w:rPr>
        <w:t>供应商</w:t>
      </w:r>
      <w:r>
        <w:rPr>
          <w:rFonts w:hint="eastAsia" w:ascii="宋体" w:hAnsi="宋体" w:eastAsia="宋体" w:cstheme="minorBidi"/>
          <w:color w:val="000000"/>
          <w:kern w:val="2"/>
          <w:sz w:val="24"/>
          <w:szCs w:val="24"/>
          <w:highlight w:val="none"/>
          <w:lang w:val="en-US" w:eastAsia="en-US" w:bidi="ar-SA"/>
          <w14:ligatures w14:val="standardContextual"/>
        </w:rPr>
        <w:t>完成 PECMS（对内+对外PC）模块</w:t>
      </w:r>
      <w:r>
        <w:rPr>
          <w:rFonts w:hint="eastAsia" w:ascii="宋体" w:hAnsi="宋体" w:eastAsia="宋体" w:cstheme="minorBidi"/>
          <w:color w:val="000000"/>
          <w:kern w:val="2"/>
          <w:sz w:val="24"/>
          <w:szCs w:val="24"/>
          <w:highlight w:val="none"/>
          <w:lang w:val="en-US" w:eastAsia="zh-CN" w:bidi="ar-SA"/>
          <w14:ligatures w14:val="standardContextual"/>
        </w:rPr>
        <w:t xml:space="preserve"> </w:t>
      </w:r>
      <w:r>
        <w:rPr>
          <w:rFonts w:hint="eastAsia" w:ascii="宋体" w:hAnsi="宋体" w:eastAsia="宋体" w:cstheme="minorBidi"/>
          <w:color w:val="000000"/>
          <w:kern w:val="2"/>
          <w:sz w:val="24"/>
          <w:szCs w:val="24"/>
          <w:highlight w:val="none"/>
          <w:lang w:val="en-US" w:eastAsia="en-US" w:bidi="ar-SA"/>
          <w14:ligatures w14:val="standardContextual"/>
        </w:rPr>
        <w:t>优化改造 中任务派遣单、驻厂交底、数据分析等核心业务链路优化，完成安全交底集成、总监代表变更、派单人员变更、派单全周期变更追溯、驻厂/巡检页签改造、制造厂模糊搜索、打卡位置校验等功能开发；完成 经营管理分析模块开发 中领导管理大屏、合同台账管理、项目收入管理等经营主链路功能建设，重点实现合同台账同步与账号绑定、合同类型及收入计算逻辑重构、当月确认产值填报、收入纠错、历史查阅及科研经营月报基础数据归集等功能开发；完成 APP端功能</w:t>
      </w:r>
      <w:r>
        <w:rPr>
          <w:rFonts w:hint="eastAsia" w:ascii="宋体" w:hAnsi="宋体" w:eastAsia="宋体" w:cstheme="minorBidi"/>
          <w:color w:val="000000"/>
          <w:kern w:val="2"/>
          <w:sz w:val="24"/>
          <w:szCs w:val="24"/>
          <w:highlight w:val="none"/>
          <w:lang w:val="en-US" w:eastAsia="zh-CN" w:bidi="ar-SA"/>
          <w14:ligatures w14:val="standardContextual"/>
        </w:rPr>
        <w:t xml:space="preserve"> </w:t>
      </w:r>
      <w:r>
        <w:rPr>
          <w:rFonts w:hint="eastAsia" w:ascii="宋体" w:hAnsi="宋体" w:eastAsia="宋体" w:cstheme="minorBidi"/>
          <w:color w:val="000000"/>
          <w:kern w:val="2"/>
          <w:sz w:val="24"/>
          <w:szCs w:val="24"/>
          <w:highlight w:val="none"/>
          <w:lang w:val="en-US" w:eastAsia="en-US" w:bidi="ar-SA"/>
          <w14:ligatures w14:val="standardContextual"/>
        </w:rPr>
        <w:t>优化改造 中 APP 消息通知、未读消息角标、待办角标及多</w:t>
      </w:r>
      <w:r>
        <w:rPr>
          <w:rFonts w:hint="eastAsia" w:ascii="宋体" w:hAnsi="宋体" w:eastAsia="宋体" w:cstheme="minorBidi"/>
          <w:color w:val="000000"/>
          <w:kern w:val="2"/>
          <w:sz w:val="24"/>
          <w:szCs w:val="24"/>
          <w:highlight w:val="none"/>
          <w:lang w:val="en-US" w:eastAsia="zh-CN" w:bidi="ar-SA"/>
          <w14:ligatures w14:val="standardContextual"/>
        </w:rPr>
        <w:t>模块</w:t>
      </w:r>
      <w:r>
        <w:rPr>
          <w:rFonts w:hint="eastAsia" w:ascii="宋体" w:hAnsi="宋体" w:eastAsia="宋体" w:cstheme="minorBidi"/>
          <w:color w:val="000000"/>
          <w:kern w:val="2"/>
          <w:sz w:val="24"/>
          <w:szCs w:val="24"/>
          <w:highlight w:val="none"/>
          <w:lang w:val="en-US" w:eastAsia="en-US" w:bidi="ar-SA"/>
          <w14:ligatures w14:val="standardContextual"/>
        </w:rPr>
        <w:t>未读消息汇总提醒等基础提醒能力建设；完成 安全管理模块</w:t>
      </w:r>
      <w:r>
        <w:rPr>
          <w:rFonts w:hint="eastAsia" w:ascii="宋体" w:hAnsi="宋体" w:eastAsia="宋体" w:cstheme="minorBidi"/>
          <w:color w:val="000000"/>
          <w:kern w:val="2"/>
          <w:sz w:val="24"/>
          <w:szCs w:val="24"/>
          <w:highlight w:val="none"/>
          <w:lang w:val="en-US" w:eastAsia="zh-CN" w:bidi="ar-SA"/>
          <w14:ligatures w14:val="standardContextual"/>
        </w:rPr>
        <w:t xml:space="preserve"> </w:t>
      </w:r>
      <w:r>
        <w:rPr>
          <w:rFonts w:hint="eastAsia" w:ascii="宋体" w:hAnsi="宋体" w:eastAsia="宋体" w:cstheme="minorBidi"/>
          <w:color w:val="000000"/>
          <w:kern w:val="2"/>
          <w:sz w:val="24"/>
          <w:szCs w:val="24"/>
          <w:highlight w:val="none"/>
          <w:lang w:val="en-US" w:eastAsia="en-US" w:bidi="ar-SA"/>
          <w14:ligatures w14:val="standardContextual"/>
        </w:rPr>
        <w:t>优化改造 中实时地图与全员打卡总览、地图派单动态过滤、出差标识展示、遮罩层统计联动、</w:t>
      </w:r>
      <w:r>
        <w:rPr>
          <w:rFonts w:hint="eastAsia" w:ascii="宋体" w:hAnsi="宋体" w:eastAsia="宋体" w:cstheme="minorBidi"/>
          <w:color w:val="000000"/>
          <w:kern w:val="2"/>
          <w:sz w:val="24"/>
          <w:szCs w:val="24"/>
          <w:highlight w:val="none"/>
          <w:lang w:val="en-US" w:eastAsia="zh-CN" w:bidi="ar-SA"/>
          <w14:ligatures w14:val="standardContextual"/>
        </w:rPr>
        <w:t>综合管理模块</w:t>
      </w:r>
      <w:r>
        <w:rPr>
          <w:rFonts w:hint="eastAsia" w:ascii="宋体" w:hAnsi="宋体" w:eastAsia="宋体" w:cstheme="minorBidi"/>
          <w:color w:val="000000"/>
          <w:kern w:val="2"/>
          <w:sz w:val="24"/>
          <w:szCs w:val="24"/>
          <w:highlight w:val="none"/>
          <w:lang w:val="en-US" w:eastAsia="en-US" w:bidi="ar-SA"/>
          <w14:ligatures w14:val="standardContextual"/>
        </w:rPr>
        <w:t>考勤数据同步及执行部人员动态台账等核心功能开发，并提交覆盖本阶段全部交付内容的阶段测试验收报告、阶段缺陷清单、整改闭环记录及甲方要求的其他验收资料后，经甲方确认，甲方支付本项目合同总价的 35%。</w:t>
      </w:r>
    </w:p>
    <w:p w14:paraId="1E83CD49">
      <w:pPr>
        <w:keepNext w:val="0"/>
        <w:keepLines w:val="0"/>
        <w:pageBreakBefore w:val="0"/>
        <w:widowControl/>
        <w:kinsoku/>
        <w:wordWrap/>
        <w:overflowPunct/>
        <w:topLinePunct w:val="0"/>
        <w:autoSpaceDE/>
        <w:autoSpaceDN/>
        <w:bidi w:val="0"/>
        <w:adjustRightInd/>
        <w:snapToGrid/>
        <w:spacing w:after="160" w:line="560" w:lineRule="exact"/>
        <w:ind w:firstLine="480" w:firstLineChars="200"/>
        <w:textAlignment w:val="auto"/>
        <w:rPr>
          <w:rFonts w:hint="eastAsia" w:ascii="宋体" w:hAnsi="宋体" w:eastAsia="宋体" w:cstheme="minorBidi"/>
          <w:color w:val="000000"/>
          <w:kern w:val="2"/>
          <w:sz w:val="24"/>
          <w:szCs w:val="24"/>
          <w:highlight w:val="none"/>
          <w:lang w:val="en-US" w:eastAsia="en-US" w:bidi="ar-SA"/>
          <w14:ligatures w14:val="standardContextual"/>
        </w:rPr>
      </w:pPr>
      <w:r>
        <w:rPr>
          <w:rFonts w:hint="eastAsia" w:ascii="宋体" w:hAnsi="宋体" w:eastAsia="宋体" w:cstheme="minorBidi"/>
          <w:color w:val="000000"/>
          <w:kern w:val="2"/>
          <w:sz w:val="24"/>
          <w:szCs w:val="24"/>
          <w:highlight w:val="none"/>
          <w:lang w:val="en-US" w:eastAsia="en-US" w:bidi="ar-SA"/>
          <w14:ligatures w14:val="standardContextual"/>
        </w:rPr>
        <w:t>（3）本项目第二阶段按照项目实施进度、阶段性交付成果及验收文件进行付款。</w:t>
      </w:r>
      <w:r>
        <w:rPr>
          <w:rFonts w:hint="eastAsia" w:ascii="宋体" w:hAnsi="宋体" w:eastAsia="宋体" w:cstheme="minorBidi"/>
          <w:color w:val="000000"/>
          <w:kern w:val="2"/>
          <w:sz w:val="24"/>
          <w:szCs w:val="24"/>
          <w:highlight w:val="none"/>
          <w:lang w:val="en-US" w:eastAsia="zh-CN" w:bidi="ar-SA"/>
          <w14:ligatures w14:val="standardContextual"/>
        </w:rPr>
        <w:t>供应商</w:t>
      </w:r>
      <w:r>
        <w:rPr>
          <w:rFonts w:hint="eastAsia" w:ascii="宋体" w:hAnsi="宋体" w:eastAsia="宋体" w:cstheme="minorBidi"/>
          <w:color w:val="000000"/>
          <w:kern w:val="2"/>
          <w:sz w:val="24"/>
          <w:szCs w:val="24"/>
          <w:highlight w:val="none"/>
          <w:lang w:val="en-US" w:eastAsia="en-US" w:bidi="ar-SA"/>
          <w14:ligatures w14:val="standardContextual"/>
        </w:rPr>
        <w:t>完成 PECMS（对内+对外PC）模块</w:t>
      </w:r>
      <w:r>
        <w:rPr>
          <w:rFonts w:hint="eastAsia" w:ascii="宋体" w:hAnsi="宋体" w:eastAsia="宋体" w:cstheme="minorBidi"/>
          <w:color w:val="000000"/>
          <w:kern w:val="2"/>
          <w:sz w:val="24"/>
          <w:szCs w:val="24"/>
          <w:highlight w:val="none"/>
          <w:lang w:val="en-US" w:eastAsia="zh-CN" w:bidi="ar-SA"/>
          <w14:ligatures w14:val="standardContextual"/>
        </w:rPr>
        <w:t xml:space="preserve"> </w:t>
      </w:r>
      <w:r>
        <w:rPr>
          <w:rFonts w:hint="eastAsia" w:ascii="宋体" w:hAnsi="宋体" w:eastAsia="宋体" w:cstheme="minorBidi"/>
          <w:color w:val="000000"/>
          <w:kern w:val="2"/>
          <w:sz w:val="24"/>
          <w:szCs w:val="24"/>
          <w:highlight w:val="none"/>
          <w:lang w:val="en-US" w:eastAsia="en-US" w:bidi="ar-SA"/>
          <w14:ligatures w14:val="standardContextual"/>
        </w:rPr>
        <w:t>优化改造 中监理日志、监理周报、监理文件、监理报告关联表单、导出审批、技术协议核查表、细则复制、文件考核与升版、签字版大纲、预检验会议、预评价/后评价上传、PDF导出及项目归档等功能开发、优化及联调工作；完成 经营管理分析模块开发 中执行管理、工时记录、监理人员动态、开票明细管理、回款明细管理、开票/回款提醒设置等经营过程管控功能建设，重点实现执行进度跟踪、工时归集与核验、开票回款台账、预估填报、提醒催办及历史追溯等功能开发；完成 APP端功能</w:t>
      </w:r>
      <w:r>
        <w:rPr>
          <w:rFonts w:hint="eastAsia" w:ascii="宋体" w:hAnsi="宋体" w:eastAsia="宋体" w:cstheme="minorBidi"/>
          <w:color w:val="000000"/>
          <w:kern w:val="2"/>
          <w:sz w:val="24"/>
          <w:szCs w:val="24"/>
          <w:highlight w:val="none"/>
          <w:lang w:val="en-US" w:eastAsia="zh-CN" w:bidi="ar-SA"/>
          <w14:ligatures w14:val="standardContextual"/>
        </w:rPr>
        <w:t xml:space="preserve"> </w:t>
      </w:r>
      <w:r>
        <w:rPr>
          <w:rFonts w:hint="eastAsia" w:ascii="宋体" w:hAnsi="宋体" w:eastAsia="宋体" w:cstheme="minorBidi"/>
          <w:color w:val="000000"/>
          <w:kern w:val="2"/>
          <w:sz w:val="24"/>
          <w:szCs w:val="24"/>
          <w:highlight w:val="none"/>
          <w:lang w:val="en-US" w:eastAsia="en-US" w:bidi="ar-SA"/>
          <w14:ligatures w14:val="standardContextual"/>
        </w:rPr>
        <w:t>优化改造 中消息分类配置、锁屏消息内容查看及按消息类型跳转办理、查看、学习、考试等功能开发，并完成与 PECMS、安全管理</w:t>
      </w:r>
      <w:r>
        <w:rPr>
          <w:rFonts w:hint="eastAsia" w:ascii="宋体" w:hAnsi="宋体" w:eastAsia="宋体" w:cstheme="minorBidi"/>
          <w:color w:val="000000"/>
          <w:kern w:val="2"/>
          <w:sz w:val="24"/>
          <w:szCs w:val="24"/>
          <w:highlight w:val="none"/>
          <w:lang w:val="en-US" w:eastAsia="zh-CN" w:bidi="ar-SA"/>
          <w14:ligatures w14:val="standardContextual"/>
        </w:rPr>
        <w:t>模块</w:t>
      </w:r>
      <w:r>
        <w:rPr>
          <w:rFonts w:hint="eastAsia" w:ascii="宋体" w:hAnsi="宋体" w:eastAsia="宋体" w:cstheme="minorBidi"/>
          <w:color w:val="000000"/>
          <w:kern w:val="2"/>
          <w:sz w:val="24"/>
          <w:szCs w:val="24"/>
          <w:highlight w:val="none"/>
          <w:lang w:val="en-US" w:eastAsia="en-US" w:bidi="ar-SA"/>
          <w14:ligatures w14:val="standardContextual"/>
        </w:rPr>
        <w:t>、综合管理</w:t>
      </w:r>
      <w:r>
        <w:rPr>
          <w:rFonts w:hint="eastAsia" w:ascii="宋体" w:hAnsi="宋体" w:eastAsia="宋体" w:cstheme="minorBidi"/>
          <w:color w:val="000000"/>
          <w:kern w:val="2"/>
          <w:sz w:val="24"/>
          <w:szCs w:val="24"/>
          <w:highlight w:val="none"/>
          <w:lang w:val="en-US" w:eastAsia="zh-CN" w:bidi="ar-SA"/>
          <w14:ligatures w14:val="standardContextual"/>
        </w:rPr>
        <w:t>模块</w:t>
      </w:r>
      <w:r>
        <w:rPr>
          <w:rFonts w:hint="eastAsia" w:ascii="宋体" w:hAnsi="宋体" w:eastAsia="宋体" w:cstheme="minorBidi"/>
          <w:color w:val="000000"/>
          <w:kern w:val="2"/>
          <w:sz w:val="24"/>
          <w:szCs w:val="24"/>
          <w:highlight w:val="none"/>
          <w:lang w:val="en-US" w:eastAsia="en-US" w:bidi="ar-SA"/>
          <w14:ligatures w14:val="standardContextual"/>
        </w:rPr>
        <w:t>消息的联动适配；完成 安全管理模块</w:t>
      </w:r>
      <w:r>
        <w:rPr>
          <w:rFonts w:hint="eastAsia" w:ascii="宋体" w:hAnsi="宋体" w:eastAsia="宋体" w:cstheme="minorBidi"/>
          <w:color w:val="000000"/>
          <w:kern w:val="2"/>
          <w:sz w:val="24"/>
          <w:szCs w:val="24"/>
          <w:highlight w:val="none"/>
          <w:lang w:val="en-US" w:eastAsia="zh-CN" w:bidi="ar-SA"/>
          <w14:ligatures w14:val="standardContextual"/>
        </w:rPr>
        <w:t xml:space="preserve"> </w:t>
      </w:r>
      <w:r>
        <w:rPr>
          <w:rFonts w:hint="eastAsia" w:ascii="宋体" w:hAnsi="宋体" w:eastAsia="宋体" w:cstheme="minorBidi"/>
          <w:color w:val="000000"/>
          <w:kern w:val="2"/>
          <w:sz w:val="24"/>
          <w:szCs w:val="24"/>
          <w:highlight w:val="none"/>
          <w:lang w:val="en-US" w:eastAsia="en-US" w:bidi="ar-SA"/>
          <w14:ligatures w14:val="standardContextual"/>
        </w:rPr>
        <w:t>优化改造 中培训考试中的人员性质管理、考试/培训类型树形分类、角色与类型权限分配、统计报表权限控制等功能开发，并提交覆盖本阶段全部交付内容的阶段测试验收报告、阶段缺陷清单、整改闭环记录及甲方要求的其他验收资料后，经甲方确认，甲方支付本项目合同总价的 30%。</w:t>
      </w:r>
    </w:p>
    <w:p w14:paraId="7C24F806">
      <w:pPr>
        <w:keepNext w:val="0"/>
        <w:keepLines w:val="0"/>
        <w:pageBreakBefore w:val="0"/>
        <w:widowControl/>
        <w:kinsoku/>
        <w:wordWrap/>
        <w:overflowPunct/>
        <w:topLinePunct w:val="0"/>
        <w:autoSpaceDE/>
        <w:autoSpaceDN/>
        <w:bidi w:val="0"/>
        <w:adjustRightInd/>
        <w:snapToGrid/>
        <w:spacing w:after="160" w:line="560" w:lineRule="exact"/>
        <w:ind w:firstLine="480" w:firstLineChars="200"/>
        <w:textAlignment w:val="auto"/>
        <w:rPr>
          <w:rFonts w:hint="eastAsia" w:ascii="宋体" w:hAnsi="宋体" w:eastAsia="宋体" w:cstheme="minorBidi"/>
          <w:color w:val="000000"/>
          <w:kern w:val="2"/>
          <w:sz w:val="24"/>
          <w:szCs w:val="24"/>
          <w:highlight w:val="none"/>
          <w:lang w:val="en-US" w:eastAsia="en-US" w:bidi="ar-SA"/>
          <w14:ligatures w14:val="standardContextual"/>
        </w:rPr>
      </w:pPr>
      <w:r>
        <w:rPr>
          <w:rFonts w:hint="eastAsia" w:ascii="宋体" w:hAnsi="宋体" w:eastAsia="宋体" w:cstheme="minorBidi"/>
          <w:color w:val="000000"/>
          <w:kern w:val="2"/>
          <w:sz w:val="24"/>
          <w:szCs w:val="24"/>
          <w:highlight w:val="none"/>
          <w:lang w:val="en-US" w:eastAsia="en-US" w:bidi="ar-SA"/>
          <w14:ligatures w14:val="standardContextual"/>
        </w:rPr>
        <w:t>（4）本项目第三阶段按照项目实施进度、阶段性交付成果及验收文件进行付款。</w:t>
      </w:r>
      <w:r>
        <w:rPr>
          <w:rFonts w:hint="eastAsia" w:ascii="宋体" w:hAnsi="宋体" w:eastAsia="宋体" w:cstheme="minorBidi"/>
          <w:color w:val="000000"/>
          <w:kern w:val="2"/>
          <w:sz w:val="24"/>
          <w:szCs w:val="24"/>
          <w:highlight w:val="none"/>
          <w:lang w:val="en-US" w:eastAsia="zh-CN" w:bidi="ar-SA"/>
          <w14:ligatures w14:val="standardContextual"/>
        </w:rPr>
        <w:t>供应商</w:t>
      </w:r>
      <w:r>
        <w:rPr>
          <w:rFonts w:hint="eastAsia" w:ascii="宋体" w:hAnsi="宋体" w:eastAsia="宋体" w:cstheme="minorBidi"/>
          <w:color w:val="000000"/>
          <w:kern w:val="2"/>
          <w:sz w:val="24"/>
          <w:szCs w:val="24"/>
          <w:highlight w:val="none"/>
          <w:lang w:val="en-US" w:eastAsia="en-US" w:bidi="ar-SA"/>
          <w14:ligatures w14:val="standardContextual"/>
        </w:rPr>
        <w:t>完成 PECMS（对内+对外PC）模块</w:t>
      </w:r>
      <w:r>
        <w:rPr>
          <w:rFonts w:hint="eastAsia" w:ascii="宋体" w:hAnsi="宋体" w:eastAsia="宋体" w:cstheme="minorBidi"/>
          <w:color w:val="000000"/>
          <w:kern w:val="2"/>
          <w:sz w:val="24"/>
          <w:szCs w:val="24"/>
          <w:highlight w:val="none"/>
          <w:lang w:val="en-US" w:eastAsia="zh-CN" w:bidi="ar-SA"/>
          <w14:ligatures w14:val="standardContextual"/>
        </w:rPr>
        <w:t xml:space="preserve"> </w:t>
      </w:r>
      <w:r>
        <w:rPr>
          <w:rFonts w:hint="eastAsia" w:ascii="宋体" w:hAnsi="宋体" w:eastAsia="宋体" w:cstheme="minorBidi"/>
          <w:color w:val="000000"/>
          <w:kern w:val="2"/>
          <w:sz w:val="24"/>
          <w:szCs w:val="24"/>
          <w:highlight w:val="none"/>
          <w:lang w:val="en-US" w:eastAsia="en-US" w:bidi="ar-SA"/>
          <w14:ligatures w14:val="standardContextual"/>
        </w:rPr>
        <w:t>优化改造 中全局消息及 APP 推送适配、项目管理与项目转交、材料库与知识资料库、派单变更历史管理、用户及合同基础数据扩展、供应商与技术服务人员考勤及成本管理、对外检验主管及业主资料库功能建设，以及经甲方最终确认的开放接口方案开发与联调工作，并提交完整测试验收报告、源码（含注释）、数据库脚本、接口文档、部署说明、系统运维手册、用户操作手册、培训资料及问题整改闭环记录；完成 经营管理分析模块开发 中动态成本核算管理、利润管理、经营数据量化、项目经理权限分配、全局导出及列设置、科研经营月报正式页面、系统架构适配及跨系统数据同步联调工作，并提交完整测试验收报告、源码（含注释）、数据库脚本、接口文档、系统架构说明、部署说明、系统运维手册、用户操作手册、培训资料及问题整改闭环记录；完成 APP端功能</w:t>
      </w:r>
      <w:r>
        <w:rPr>
          <w:rFonts w:hint="eastAsia" w:ascii="宋体" w:hAnsi="宋体" w:eastAsia="宋体" w:cstheme="minorBidi"/>
          <w:color w:val="000000"/>
          <w:kern w:val="2"/>
          <w:sz w:val="24"/>
          <w:szCs w:val="24"/>
          <w:highlight w:val="none"/>
          <w:lang w:val="en-US" w:eastAsia="zh-CN" w:bidi="ar-SA"/>
          <w14:ligatures w14:val="standardContextual"/>
        </w:rPr>
        <w:t xml:space="preserve"> </w:t>
      </w:r>
      <w:r>
        <w:rPr>
          <w:rFonts w:hint="eastAsia" w:ascii="宋体" w:hAnsi="宋体" w:eastAsia="宋体" w:cstheme="minorBidi"/>
          <w:color w:val="000000"/>
          <w:kern w:val="2"/>
          <w:sz w:val="24"/>
          <w:szCs w:val="24"/>
          <w:highlight w:val="none"/>
          <w:lang w:val="en-US" w:eastAsia="en-US" w:bidi="ar-SA"/>
          <w14:ligatures w14:val="standardContextual"/>
        </w:rPr>
        <w:t>优化改造 中 PECMS 待办/已办列表流程名称展示、任务派遣单移动端适配、总监代表变更、我的派单编辑、驳回后重新提交等功能开发，并实现与 PC 端业务逻辑及审批流程保持一致，同时提交完整测试验收报告、二次开发源码（含明确注释）、接口文档、安装部署说明、移动端使用手册、兼容性测试材料及问题整改闭环记录；完成 安全管理模块</w:t>
      </w:r>
      <w:r>
        <w:rPr>
          <w:rFonts w:hint="eastAsia" w:ascii="宋体" w:hAnsi="宋体" w:eastAsia="宋体" w:cstheme="minorBidi"/>
          <w:color w:val="000000"/>
          <w:kern w:val="2"/>
          <w:sz w:val="24"/>
          <w:szCs w:val="24"/>
          <w:highlight w:val="none"/>
          <w:lang w:val="en-US" w:eastAsia="zh-CN" w:bidi="ar-SA"/>
          <w14:ligatures w14:val="standardContextual"/>
        </w:rPr>
        <w:t xml:space="preserve"> </w:t>
      </w:r>
      <w:r>
        <w:rPr>
          <w:rFonts w:hint="eastAsia" w:ascii="宋体" w:hAnsi="宋体" w:eastAsia="宋体" w:cstheme="minorBidi"/>
          <w:color w:val="000000"/>
          <w:kern w:val="2"/>
          <w:sz w:val="24"/>
          <w:szCs w:val="24"/>
          <w:highlight w:val="none"/>
          <w:lang w:val="en-US" w:eastAsia="en-US" w:bidi="ar-SA"/>
          <w14:ligatures w14:val="standardContextual"/>
        </w:rPr>
        <w:t>优化改造 中培训考试完成时效与催办规则、逾期自动判定、不合格留痕、培训材料阅读页面缩放优化、用户管理及通讯录筛选增强等功能优化及联调工作，并提交完整测试验收报告、源码（含清晰注释）、数据库脚本、接口文档、部署说明、系统运维手册、用户使用手册、培训资料及问题整改闭环记录后，经甲方确认，甲方支付本项目合同总价的 30%。</w:t>
      </w:r>
    </w:p>
    <w:p w14:paraId="6EE44CB3">
      <w:pPr>
        <w:keepNext w:val="0"/>
        <w:keepLines w:val="0"/>
        <w:pageBreakBefore w:val="0"/>
        <w:widowControl/>
        <w:kinsoku/>
        <w:wordWrap/>
        <w:overflowPunct/>
        <w:topLinePunct w:val="0"/>
        <w:autoSpaceDE/>
        <w:autoSpaceDN/>
        <w:bidi w:val="0"/>
        <w:adjustRightInd/>
        <w:snapToGrid/>
        <w:spacing w:after="160" w:line="560" w:lineRule="exact"/>
        <w:ind w:firstLine="480" w:firstLineChars="200"/>
        <w:textAlignment w:val="auto"/>
        <w:rPr>
          <w:rFonts w:hint="eastAsia" w:ascii="宋体" w:hAnsi="宋体" w:eastAsia="宋体" w:cstheme="minorBidi"/>
          <w:color w:val="000000"/>
          <w:kern w:val="2"/>
          <w:sz w:val="24"/>
          <w:szCs w:val="24"/>
          <w:highlight w:val="none"/>
          <w:lang w:val="en-US" w:eastAsia="en-US" w:bidi="ar-SA"/>
          <w14:ligatures w14:val="standardContextual"/>
        </w:rPr>
      </w:pPr>
      <w:r>
        <w:rPr>
          <w:rFonts w:hint="eastAsia" w:ascii="宋体" w:hAnsi="宋体" w:eastAsia="宋体" w:cstheme="minorBidi"/>
          <w:color w:val="000000"/>
          <w:kern w:val="2"/>
          <w:sz w:val="24"/>
          <w:szCs w:val="24"/>
          <w:highlight w:val="none"/>
          <w:lang w:val="en-US" w:eastAsia="en-US" w:bidi="ar-SA"/>
          <w14:ligatures w14:val="standardContextual"/>
        </w:rPr>
        <w:t>（5）本项目合同总价剩余 5% 作为本项目质保金暂不支付。系统上线、功能提测、版本发布或甲方安排试用，仅表明</w:t>
      </w:r>
      <w:r>
        <w:rPr>
          <w:rFonts w:hint="eastAsia" w:ascii="宋体" w:hAnsi="宋体" w:eastAsia="宋体" w:cstheme="minorBidi"/>
          <w:color w:val="000000"/>
          <w:kern w:val="2"/>
          <w:sz w:val="24"/>
          <w:szCs w:val="24"/>
          <w:highlight w:val="none"/>
          <w:lang w:val="en-US" w:eastAsia="zh-CN" w:bidi="ar-SA"/>
          <w14:ligatures w14:val="standardContextual"/>
        </w:rPr>
        <w:t>供应商</w:t>
      </w:r>
      <w:r>
        <w:rPr>
          <w:rFonts w:hint="eastAsia" w:ascii="宋体" w:hAnsi="宋体" w:eastAsia="宋体" w:cstheme="minorBidi"/>
          <w:color w:val="000000"/>
          <w:kern w:val="2"/>
          <w:sz w:val="24"/>
          <w:szCs w:val="24"/>
          <w:highlight w:val="none"/>
          <w:lang w:val="en-US" w:eastAsia="en-US" w:bidi="ar-SA"/>
          <w14:ligatures w14:val="standardContextual"/>
        </w:rPr>
        <w:t>已进入相应实施、测试或试运行阶段，不当然视为甲方已完成验收，亦不当然构成</w:t>
      </w:r>
      <w:r>
        <w:rPr>
          <w:rFonts w:hint="eastAsia" w:ascii="宋体" w:hAnsi="宋体" w:eastAsia="宋体" w:cstheme="minorBidi"/>
          <w:color w:val="000000"/>
          <w:kern w:val="2"/>
          <w:sz w:val="24"/>
          <w:szCs w:val="24"/>
          <w:highlight w:val="none"/>
          <w:lang w:val="en-US" w:eastAsia="zh-CN" w:bidi="ar-SA"/>
          <w14:ligatures w14:val="standardContextual"/>
        </w:rPr>
        <w:t>供应商</w:t>
      </w:r>
      <w:r>
        <w:rPr>
          <w:rFonts w:hint="eastAsia" w:ascii="宋体" w:hAnsi="宋体" w:eastAsia="宋体" w:cstheme="minorBidi"/>
          <w:color w:val="000000"/>
          <w:kern w:val="2"/>
          <w:sz w:val="24"/>
          <w:szCs w:val="24"/>
          <w:highlight w:val="none"/>
          <w:lang w:val="en-US" w:eastAsia="en-US" w:bidi="ar-SA"/>
          <w14:ligatures w14:val="standardContextual"/>
        </w:rPr>
        <w:t>对应阶段付款条件已经成就。</w:t>
      </w:r>
      <w:r>
        <w:rPr>
          <w:rFonts w:hint="eastAsia" w:ascii="宋体" w:hAnsi="宋体" w:eastAsia="宋体" w:cstheme="minorBidi"/>
          <w:color w:val="000000"/>
          <w:kern w:val="2"/>
          <w:sz w:val="24"/>
          <w:szCs w:val="24"/>
          <w:highlight w:val="none"/>
          <w:lang w:val="en-US" w:eastAsia="zh-CN" w:bidi="ar-SA"/>
          <w14:ligatures w14:val="standardContextual"/>
        </w:rPr>
        <w:t>供应商</w:t>
      </w:r>
      <w:r>
        <w:rPr>
          <w:rFonts w:hint="eastAsia" w:ascii="宋体" w:hAnsi="宋体" w:eastAsia="宋体" w:cstheme="minorBidi"/>
          <w:color w:val="000000"/>
          <w:kern w:val="2"/>
          <w:sz w:val="24"/>
          <w:szCs w:val="24"/>
          <w:highlight w:val="none"/>
          <w:lang w:val="en-US" w:eastAsia="en-US" w:bidi="ar-SA"/>
          <w14:ligatures w14:val="standardContextual"/>
        </w:rPr>
        <w:t>应就每一阶段交付内容分别完成相应功能开发、测试整改、分批上线部署、稳定运行观察及问题复核，并达到该阶段约定的验收标准、稳定运行要求及缺陷数量要求后，方可触发对应阶段付款节点。质保期或维护期届满后，甲方根据本项目整体履约情况、考核情况及扣款结算情况，统一结算并支付剩余质保金。</w:t>
      </w:r>
    </w:p>
    <w:p w14:paraId="050B57C9">
      <w:pPr>
        <w:keepNext w:val="0"/>
        <w:keepLines w:val="0"/>
        <w:pageBreakBefore w:val="0"/>
        <w:widowControl/>
        <w:kinsoku/>
        <w:wordWrap/>
        <w:overflowPunct/>
        <w:topLinePunct w:val="0"/>
        <w:autoSpaceDE/>
        <w:autoSpaceDN/>
        <w:bidi w:val="0"/>
        <w:adjustRightInd/>
        <w:snapToGrid/>
        <w:spacing w:after="160" w:line="560" w:lineRule="exact"/>
        <w:ind w:firstLine="480" w:firstLineChars="200"/>
        <w:textAlignment w:val="auto"/>
        <w:rPr>
          <w:rFonts w:hint="eastAsia" w:ascii="宋体" w:hAnsi="宋体" w:eastAsia="宋体" w:cstheme="minorBidi"/>
          <w:color w:val="000000"/>
          <w:kern w:val="2"/>
          <w:sz w:val="24"/>
          <w:szCs w:val="24"/>
          <w:highlight w:val="none"/>
          <w:lang w:val="en-US" w:eastAsia="zh-CN" w:bidi="ar-SA"/>
          <w14:ligatures w14:val="standardContextual"/>
        </w:rPr>
      </w:pPr>
    </w:p>
    <w:p w14:paraId="74C35D84">
      <w:pPr>
        <w:rPr>
          <w:rFonts w:hint="eastAsia" w:ascii="宋体" w:hAnsi="宋体" w:eastAsia="宋体" w:cstheme="minorBidi"/>
          <w:color w:val="000000"/>
          <w:kern w:val="2"/>
          <w:sz w:val="24"/>
          <w:szCs w:val="24"/>
          <w:highlight w:val="none"/>
          <w:lang w:val="en-US" w:eastAsia="en-US" w:bidi="ar-SA"/>
          <w14:ligatures w14:val="standardContextual"/>
        </w:rPr>
      </w:pPr>
      <w:r>
        <w:rPr>
          <w:rFonts w:hint="eastAsia" w:ascii="宋体" w:hAnsi="宋体" w:eastAsia="宋体" w:cstheme="minorBidi"/>
          <w:color w:val="000000"/>
          <w:kern w:val="2"/>
          <w:sz w:val="24"/>
          <w:szCs w:val="24"/>
          <w:highlight w:val="none"/>
          <w:lang w:val="en-US" w:eastAsia="en-US" w:bidi="ar-SA"/>
          <w14:ligatures w14:val="standardContextual"/>
        </w:rPr>
        <w:br w:type="page"/>
      </w:r>
    </w:p>
    <w:p w14:paraId="4F0EDAF8">
      <w:pPr>
        <w:rPr>
          <w:rFonts w:hint="eastAsia" w:ascii="宋体" w:hAnsi="宋体" w:eastAsia="宋体" w:cstheme="minorBidi"/>
          <w:color w:val="000000"/>
          <w:kern w:val="2"/>
          <w:sz w:val="24"/>
          <w:szCs w:val="24"/>
          <w:highlight w:val="none"/>
          <w:lang w:val="en-US" w:eastAsia="en-US" w:bidi="ar-SA"/>
          <w14:ligatures w14:val="standardContextual"/>
        </w:rPr>
        <w:sectPr>
          <w:pgSz w:w="11906" w:h="16838"/>
          <w:pgMar w:top="1440" w:right="1800" w:bottom="1440" w:left="1800" w:header="851" w:footer="992" w:gutter="0"/>
          <w:cols w:space="425" w:num="1"/>
          <w:docGrid w:type="lines" w:linePitch="312" w:charSpace="0"/>
        </w:sectPr>
      </w:pPr>
    </w:p>
    <w:p w14:paraId="43150264">
      <w:pPr>
        <w:keepNext w:val="0"/>
        <w:keepLines w:val="0"/>
        <w:pageBreakBefore w:val="0"/>
        <w:widowControl/>
        <w:kinsoku/>
        <w:wordWrap/>
        <w:overflowPunct/>
        <w:topLinePunct w:val="0"/>
        <w:autoSpaceDE/>
        <w:autoSpaceDN/>
        <w:bidi w:val="0"/>
        <w:adjustRightInd/>
        <w:snapToGrid/>
        <w:spacing w:after="160" w:line="560" w:lineRule="exact"/>
        <w:ind w:firstLine="560" w:firstLineChars="200"/>
        <w:textAlignment w:val="auto"/>
        <w:outlineLvl w:val="0"/>
        <w:rPr>
          <w:rFonts w:hint="eastAsia" w:ascii="微软雅黑" w:hAnsi="微软雅黑" w:eastAsia="微软雅黑" w:cs="微软雅黑"/>
          <w:color w:val="000000"/>
          <w:kern w:val="2"/>
          <w:sz w:val="28"/>
          <w:szCs w:val="28"/>
          <w:highlight w:val="none"/>
          <w:lang w:val="en-US" w:eastAsia="zh-CN" w:bidi="ar-SA"/>
          <w14:ligatures w14:val="standardContextual"/>
        </w:rPr>
      </w:pPr>
      <w:r>
        <w:rPr>
          <w:rFonts w:hint="eastAsia" w:ascii="微软雅黑" w:hAnsi="微软雅黑" w:eastAsia="微软雅黑" w:cs="微软雅黑"/>
          <w:color w:val="000000"/>
          <w:kern w:val="2"/>
          <w:sz w:val="28"/>
          <w:szCs w:val="28"/>
          <w:highlight w:val="none"/>
          <w:lang w:val="en-US" w:eastAsia="zh-CN" w:bidi="ar-SA"/>
          <w14:ligatures w14:val="standardContextual"/>
        </w:rPr>
        <w:t>附件一：供应商评审评分标准</w:t>
      </w:r>
    </w:p>
    <w:p w14:paraId="6782A2D6">
      <w:pPr>
        <w:spacing w:after="160"/>
        <w:jc w:val="center"/>
      </w:pPr>
      <w:r>
        <w:rPr>
          <w:rFonts w:ascii="黑体" w:hAnsi="黑体" w:eastAsia="黑体"/>
          <w:b/>
          <w:sz w:val="32"/>
        </w:rPr>
        <w:t>2026年度南京三方一体化数字信息平台优化提升项目供应商评审评分标准</w:t>
      </w:r>
    </w:p>
    <w:p w14:paraId="6C99CCBB">
      <w:pPr>
        <w:spacing w:after="60"/>
        <w:ind w:firstLine="420"/>
        <w:rPr>
          <w:sz w:val="24"/>
          <w:szCs w:val="24"/>
        </w:rPr>
      </w:pPr>
      <w:r>
        <w:rPr>
          <w:rFonts w:ascii="宋体" w:hAnsi="宋体" w:eastAsia="宋体"/>
          <w:sz w:val="24"/>
          <w:szCs w:val="24"/>
        </w:rPr>
        <w:t>为便于供应商准确理解2026年度南京三方一体化数字信息平台优化提升项目的评审要求，现将本项目资质评分标准、定制开发评分标准、驻场运维评分标准、统一报价评分标准及综合评分计算方式说明如下。</w:t>
      </w:r>
    </w:p>
    <w:p w14:paraId="104F8938">
      <w:pPr>
        <w:spacing w:after="60"/>
        <w:ind w:firstLine="420"/>
        <w:rPr>
          <w:sz w:val="24"/>
          <w:szCs w:val="24"/>
        </w:rPr>
      </w:pPr>
      <w:r>
        <w:rPr>
          <w:rFonts w:ascii="宋体" w:hAnsi="宋体" w:eastAsia="宋体"/>
          <w:sz w:val="24"/>
          <w:szCs w:val="24"/>
        </w:rPr>
        <w:t>本项目评审范围包括PECMS（对内+对外PC）模块优化改造、经营管理分析模块开发、APP端功能优化改造、安全管理模块优化改造。供应商应按采购文件要求提交资质证明材料、技术方案、驻场服务保障方案、商务响应文件及整包统一有效报价，作为本项目评审依据。</w:t>
      </w:r>
    </w:p>
    <w:p w14:paraId="42F3091E">
      <w:pPr>
        <w:spacing w:before="120" w:after="80"/>
      </w:pPr>
      <w:r>
        <w:rPr>
          <w:rFonts w:ascii="黑体" w:hAnsi="黑体" w:eastAsia="黑体"/>
          <w:b/>
          <w:sz w:val="26"/>
        </w:rPr>
        <w:t>一、资质评分标准</w:t>
      </w:r>
    </w:p>
    <w:p w14:paraId="1E82DDC5">
      <w:pPr>
        <w:spacing w:after="60"/>
        <w:ind w:firstLine="420"/>
        <w:rPr>
          <w:sz w:val="24"/>
          <w:szCs w:val="24"/>
        </w:rPr>
      </w:pPr>
      <w:r>
        <w:rPr>
          <w:rFonts w:ascii="宋体" w:hAnsi="宋体" w:eastAsia="宋体"/>
          <w:sz w:val="24"/>
          <w:szCs w:val="24"/>
        </w:rPr>
        <w:t>本部分适用于对供应商企业基础能力、财务实力、同类项目业绩、企业信誉及基础资质等内容进行综合评分，满分100分。</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5"/>
        <w:gridCol w:w="2805"/>
        <w:gridCol w:w="2805"/>
        <w:gridCol w:w="2805"/>
        <w:gridCol w:w="2805"/>
      </w:tblGrid>
      <w:tr w14:paraId="57443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9EAF7"/>
            <w:vAlign w:val="center"/>
          </w:tcPr>
          <w:p w14:paraId="580193CE">
            <w:pPr>
              <w:spacing w:after="0" w:line="240" w:lineRule="auto"/>
              <w:jc w:val="center"/>
            </w:pPr>
            <w:r>
              <w:rPr>
                <w:rFonts w:ascii="黑体" w:hAnsi="黑体" w:eastAsia="黑体"/>
                <w:b/>
                <w:sz w:val="21"/>
              </w:rPr>
              <w:t>评审大项</w:t>
            </w:r>
          </w:p>
        </w:tc>
        <w:tc>
          <w:tcPr>
            <w:tcW w:w="2835" w:type="dxa"/>
            <w:shd w:val="clear" w:color="auto" w:fill="D9EAF7"/>
            <w:vAlign w:val="center"/>
          </w:tcPr>
          <w:p w14:paraId="328C4311">
            <w:pPr>
              <w:spacing w:after="0" w:line="240" w:lineRule="auto"/>
              <w:jc w:val="center"/>
            </w:pPr>
            <w:r>
              <w:rPr>
                <w:rFonts w:ascii="黑体" w:hAnsi="黑体" w:eastAsia="黑体"/>
                <w:b/>
                <w:sz w:val="21"/>
              </w:rPr>
              <w:t>评审子项</w:t>
            </w:r>
          </w:p>
        </w:tc>
        <w:tc>
          <w:tcPr>
            <w:tcW w:w="850" w:type="dxa"/>
            <w:shd w:val="clear" w:color="auto" w:fill="D9EAF7"/>
            <w:vAlign w:val="center"/>
          </w:tcPr>
          <w:p w14:paraId="3747A84C">
            <w:pPr>
              <w:spacing w:after="0" w:line="240" w:lineRule="auto"/>
              <w:jc w:val="center"/>
            </w:pPr>
            <w:r>
              <w:rPr>
                <w:rFonts w:ascii="黑体" w:hAnsi="黑体" w:eastAsia="黑体"/>
                <w:b/>
                <w:sz w:val="21"/>
              </w:rPr>
              <w:t>分值</w:t>
            </w:r>
          </w:p>
        </w:tc>
        <w:tc>
          <w:tcPr>
            <w:tcW w:w="5783" w:type="dxa"/>
            <w:shd w:val="clear" w:color="auto" w:fill="D9EAF7"/>
            <w:vAlign w:val="center"/>
          </w:tcPr>
          <w:p w14:paraId="7D07001C">
            <w:pPr>
              <w:spacing w:after="0" w:line="240" w:lineRule="auto"/>
              <w:jc w:val="center"/>
            </w:pPr>
            <w:r>
              <w:rPr>
                <w:rFonts w:ascii="黑体" w:hAnsi="黑体" w:eastAsia="黑体"/>
                <w:b/>
                <w:sz w:val="21"/>
              </w:rPr>
              <w:t>评分标准</w:t>
            </w:r>
          </w:p>
        </w:tc>
        <w:tc>
          <w:tcPr>
            <w:tcW w:w="3969" w:type="dxa"/>
            <w:shd w:val="clear" w:color="auto" w:fill="D9EAF7"/>
            <w:vAlign w:val="center"/>
          </w:tcPr>
          <w:p w14:paraId="3F3D6F33">
            <w:pPr>
              <w:spacing w:after="0" w:line="240" w:lineRule="auto"/>
              <w:jc w:val="center"/>
            </w:pPr>
            <w:r>
              <w:rPr>
                <w:rFonts w:ascii="黑体" w:hAnsi="黑体" w:eastAsia="黑体"/>
                <w:b/>
                <w:sz w:val="21"/>
              </w:rPr>
              <w:t>评分依据/证明材料</w:t>
            </w:r>
          </w:p>
        </w:tc>
      </w:tr>
      <w:tr w14:paraId="772F2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0D26BF3E">
            <w:pPr>
              <w:spacing w:after="0" w:line="240" w:lineRule="auto"/>
              <w:jc w:val="left"/>
            </w:pPr>
            <w:r>
              <w:rPr>
                <w:rFonts w:ascii="宋体" w:hAnsi="宋体" w:eastAsia="宋体"/>
                <w:b w:val="0"/>
                <w:sz w:val="21"/>
              </w:rPr>
              <w:t>企业规模与综合实力</w:t>
            </w:r>
          </w:p>
        </w:tc>
        <w:tc>
          <w:tcPr>
            <w:tcW w:w="2835" w:type="dxa"/>
            <w:vAlign w:val="center"/>
          </w:tcPr>
          <w:p w14:paraId="3E16CB61">
            <w:pPr>
              <w:spacing w:after="0" w:line="240" w:lineRule="auto"/>
              <w:jc w:val="left"/>
            </w:pPr>
            <w:r>
              <w:rPr>
                <w:rFonts w:ascii="宋体" w:hAnsi="宋体" w:eastAsia="宋体"/>
                <w:b w:val="0"/>
                <w:sz w:val="21"/>
              </w:rPr>
              <w:t>企业规模与综合实力</w:t>
            </w:r>
          </w:p>
        </w:tc>
        <w:tc>
          <w:tcPr>
            <w:tcW w:w="850" w:type="dxa"/>
            <w:vAlign w:val="center"/>
          </w:tcPr>
          <w:p w14:paraId="34CE9EE3">
            <w:pPr>
              <w:spacing w:after="0" w:line="240" w:lineRule="auto"/>
              <w:jc w:val="center"/>
            </w:pPr>
            <w:r>
              <w:rPr>
                <w:rFonts w:ascii="宋体" w:hAnsi="宋体" w:eastAsia="宋体"/>
                <w:b w:val="0"/>
                <w:sz w:val="21"/>
              </w:rPr>
              <w:t>20</w:t>
            </w:r>
          </w:p>
        </w:tc>
        <w:tc>
          <w:tcPr>
            <w:tcW w:w="5783" w:type="dxa"/>
            <w:vAlign w:val="center"/>
          </w:tcPr>
          <w:p w14:paraId="2FCDF719">
            <w:pPr>
              <w:spacing w:after="0" w:line="240" w:lineRule="auto"/>
              <w:jc w:val="left"/>
            </w:pPr>
            <w:r>
              <w:rPr>
                <w:rFonts w:ascii="宋体" w:hAnsi="宋体" w:eastAsia="宋体"/>
                <w:b w:val="0"/>
                <w:sz w:val="21"/>
              </w:rPr>
              <w:t>根据近三年平均人均资产额、人均利润水平、纳税规模及企业整体实力综合评定。指标表现优秀、企业规模及综合实力较强，得20分；表现较好，得15-19分；表现一般，得8-14分；较弱或未提供有效证明材料，得0-7分。</w:t>
            </w:r>
          </w:p>
        </w:tc>
        <w:tc>
          <w:tcPr>
            <w:tcW w:w="3969" w:type="dxa"/>
            <w:vAlign w:val="center"/>
          </w:tcPr>
          <w:p w14:paraId="11994FCA">
            <w:pPr>
              <w:spacing w:after="0" w:line="240" w:lineRule="auto"/>
              <w:jc w:val="left"/>
            </w:pPr>
            <w:r>
              <w:rPr>
                <w:rFonts w:ascii="宋体" w:hAnsi="宋体" w:eastAsia="宋体"/>
                <w:b w:val="0"/>
                <w:sz w:val="21"/>
              </w:rPr>
              <w:t>近三年审计报告、纳税证明、企业基本情况说明等。</w:t>
            </w:r>
          </w:p>
        </w:tc>
      </w:tr>
      <w:tr w14:paraId="62EC5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3AA8DFAE">
            <w:pPr>
              <w:spacing w:after="0" w:line="240" w:lineRule="auto"/>
              <w:jc w:val="left"/>
            </w:pPr>
            <w:r>
              <w:rPr>
                <w:rFonts w:ascii="宋体" w:hAnsi="宋体" w:eastAsia="宋体"/>
                <w:b w:val="0"/>
                <w:sz w:val="21"/>
              </w:rPr>
              <w:t>财务状况</w:t>
            </w:r>
          </w:p>
        </w:tc>
        <w:tc>
          <w:tcPr>
            <w:tcW w:w="2835" w:type="dxa"/>
            <w:vAlign w:val="center"/>
          </w:tcPr>
          <w:p w14:paraId="699DCA9F">
            <w:pPr>
              <w:spacing w:after="0" w:line="240" w:lineRule="auto"/>
              <w:jc w:val="left"/>
            </w:pPr>
            <w:r>
              <w:rPr>
                <w:rFonts w:ascii="宋体" w:hAnsi="宋体" w:eastAsia="宋体"/>
                <w:b w:val="0"/>
                <w:sz w:val="21"/>
              </w:rPr>
              <w:t>财务状况</w:t>
            </w:r>
          </w:p>
        </w:tc>
        <w:tc>
          <w:tcPr>
            <w:tcW w:w="850" w:type="dxa"/>
            <w:vAlign w:val="center"/>
          </w:tcPr>
          <w:p w14:paraId="63D394E5">
            <w:pPr>
              <w:spacing w:after="0" w:line="240" w:lineRule="auto"/>
              <w:jc w:val="center"/>
            </w:pPr>
            <w:r>
              <w:rPr>
                <w:rFonts w:ascii="宋体" w:hAnsi="宋体" w:eastAsia="宋体"/>
                <w:b w:val="0"/>
                <w:sz w:val="21"/>
              </w:rPr>
              <w:t>20</w:t>
            </w:r>
          </w:p>
        </w:tc>
        <w:tc>
          <w:tcPr>
            <w:tcW w:w="5783" w:type="dxa"/>
            <w:vAlign w:val="center"/>
          </w:tcPr>
          <w:p w14:paraId="2403365D">
            <w:pPr>
              <w:spacing w:after="0" w:line="240" w:lineRule="auto"/>
              <w:jc w:val="left"/>
            </w:pPr>
            <w:r>
              <w:rPr>
                <w:rFonts w:ascii="宋体" w:hAnsi="宋体" w:eastAsia="宋体"/>
                <w:b w:val="0"/>
                <w:sz w:val="21"/>
              </w:rPr>
              <w:t>根据近三年平均净利率、主营业务收入、盈利稳定性和财务健康程度综合评定。财务状况良好、持续盈利能力强、资金实力稳定，得20分；财务状况较好，得15-19分；财务状况一般，得8-14分；较弱、出现连续亏损或未提供有效证明材料，得0-7分。</w:t>
            </w:r>
          </w:p>
        </w:tc>
        <w:tc>
          <w:tcPr>
            <w:tcW w:w="3969" w:type="dxa"/>
            <w:vAlign w:val="center"/>
          </w:tcPr>
          <w:p w14:paraId="1E7C7A83">
            <w:pPr>
              <w:spacing w:after="0" w:line="240" w:lineRule="auto"/>
              <w:jc w:val="left"/>
            </w:pPr>
            <w:r>
              <w:rPr>
                <w:rFonts w:ascii="宋体" w:hAnsi="宋体" w:eastAsia="宋体"/>
                <w:b w:val="0"/>
                <w:sz w:val="21"/>
              </w:rPr>
              <w:t>近三年审计报告、财务报表及相关财务情况说明等。</w:t>
            </w:r>
          </w:p>
        </w:tc>
      </w:tr>
      <w:tr w14:paraId="53F08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108959F8">
            <w:pPr>
              <w:spacing w:after="0" w:line="240" w:lineRule="auto"/>
              <w:jc w:val="left"/>
            </w:pPr>
            <w:r>
              <w:rPr>
                <w:rFonts w:ascii="宋体" w:hAnsi="宋体" w:eastAsia="宋体"/>
                <w:b w:val="0"/>
                <w:sz w:val="21"/>
              </w:rPr>
              <w:t>同类项目业绩</w:t>
            </w:r>
          </w:p>
        </w:tc>
        <w:tc>
          <w:tcPr>
            <w:tcW w:w="2835" w:type="dxa"/>
            <w:vAlign w:val="center"/>
          </w:tcPr>
          <w:p w14:paraId="34A1FB39">
            <w:pPr>
              <w:spacing w:after="0" w:line="240" w:lineRule="auto"/>
              <w:jc w:val="left"/>
            </w:pPr>
            <w:r>
              <w:rPr>
                <w:rFonts w:ascii="宋体" w:hAnsi="宋体" w:eastAsia="宋体"/>
                <w:b w:val="0"/>
                <w:sz w:val="21"/>
              </w:rPr>
              <w:t>同类项目业绩</w:t>
            </w:r>
          </w:p>
        </w:tc>
        <w:tc>
          <w:tcPr>
            <w:tcW w:w="850" w:type="dxa"/>
            <w:vAlign w:val="center"/>
          </w:tcPr>
          <w:p w14:paraId="2F164DF1">
            <w:pPr>
              <w:spacing w:after="0" w:line="240" w:lineRule="auto"/>
              <w:jc w:val="center"/>
              <w:rPr>
                <w:rFonts w:hint="default" w:eastAsiaTheme="minorEastAsia"/>
                <w:lang w:val="en-US" w:eastAsia="zh-CN"/>
              </w:rPr>
            </w:pPr>
            <w:r>
              <w:rPr>
                <w:rFonts w:hint="eastAsia" w:ascii="宋体" w:hAnsi="宋体" w:eastAsia="宋体"/>
                <w:b w:val="0"/>
                <w:sz w:val="21"/>
                <w:lang w:val="en-US" w:eastAsia="zh-CN"/>
              </w:rPr>
              <w:t>20</w:t>
            </w:r>
          </w:p>
        </w:tc>
        <w:tc>
          <w:tcPr>
            <w:tcW w:w="5783" w:type="dxa"/>
            <w:vAlign w:val="center"/>
          </w:tcPr>
          <w:p w14:paraId="597FCF4C">
            <w:pPr>
              <w:spacing w:after="0" w:line="240" w:lineRule="auto"/>
              <w:jc w:val="left"/>
            </w:pPr>
            <w:r>
              <w:rPr>
                <w:rFonts w:ascii="宋体" w:hAnsi="宋体" w:eastAsia="宋体"/>
                <w:b w:val="0"/>
                <w:sz w:val="21"/>
              </w:rPr>
              <w:t>以投标截止时间前三年内的同类项目合同为准，结合合同数量、合同金额、项目类型匹配度及验收情况综合评定。业绩数量充足、至少提供1份30万元及以上同类项目合同，且验收证明完整、相关性高，得20分；业绩较好，得15-19分；业绩一般，得8-14分；业绩较少、相关性较弱、金额不足或证明材料不完整，得0-7分。</w:t>
            </w:r>
          </w:p>
        </w:tc>
        <w:tc>
          <w:tcPr>
            <w:tcW w:w="3969" w:type="dxa"/>
            <w:vAlign w:val="center"/>
          </w:tcPr>
          <w:p w14:paraId="75AD7342">
            <w:pPr>
              <w:spacing w:after="0" w:line="240" w:lineRule="auto"/>
              <w:jc w:val="left"/>
            </w:pPr>
            <w:r>
              <w:rPr>
                <w:rFonts w:ascii="宋体" w:hAnsi="宋体" w:eastAsia="宋体"/>
                <w:b w:val="0"/>
                <w:sz w:val="21"/>
              </w:rPr>
              <w:t>同类项目合同关键页、验收证明、用户评价材料、项目成果说明、发票或回款证明等。</w:t>
            </w:r>
          </w:p>
        </w:tc>
      </w:tr>
      <w:tr w14:paraId="3631F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44A1422E">
            <w:pPr>
              <w:spacing w:after="0" w:line="240" w:lineRule="auto"/>
              <w:jc w:val="left"/>
            </w:pPr>
            <w:r>
              <w:rPr>
                <w:rFonts w:ascii="宋体" w:hAnsi="宋体" w:eastAsia="宋体"/>
                <w:b w:val="0"/>
                <w:sz w:val="21"/>
              </w:rPr>
              <w:t>企业信誉与合规情况</w:t>
            </w:r>
          </w:p>
        </w:tc>
        <w:tc>
          <w:tcPr>
            <w:tcW w:w="2835" w:type="dxa"/>
            <w:vAlign w:val="center"/>
          </w:tcPr>
          <w:p w14:paraId="5540E028">
            <w:pPr>
              <w:spacing w:after="0" w:line="240" w:lineRule="auto"/>
              <w:jc w:val="left"/>
            </w:pPr>
            <w:r>
              <w:rPr>
                <w:rFonts w:ascii="宋体" w:hAnsi="宋体" w:eastAsia="宋体"/>
                <w:b w:val="0"/>
                <w:sz w:val="21"/>
              </w:rPr>
              <w:t>企业信誉与合规情况</w:t>
            </w:r>
          </w:p>
        </w:tc>
        <w:tc>
          <w:tcPr>
            <w:tcW w:w="850" w:type="dxa"/>
            <w:vAlign w:val="center"/>
          </w:tcPr>
          <w:p w14:paraId="3FFCE18D">
            <w:pPr>
              <w:spacing w:after="0" w:line="240" w:lineRule="auto"/>
              <w:jc w:val="center"/>
              <w:rPr>
                <w:rFonts w:hint="default" w:eastAsiaTheme="minorEastAsia"/>
                <w:lang w:val="en-US" w:eastAsia="zh-CN"/>
              </w:rPr>
            </w:pPr>
            <w:r>
              <w:rPr>
                <w:rFonts w:hint="eastAsia" w:ascii="宋体" w:hAnsi="宋体" w:eastAsia="宋体"/>
                <w:b w:val="0"/>
                <w:sz w:val="21"/>
                <w:lang w:val="en-US" w:eastAsia="zh-CN"/>
              </w:rPr>
              <w:t>20</w:t>
            </w:r>
          </w:p>
        </w:tc>
        <w:tc>
          <w:tcPr>
            <w:tcW w:w="5783" w:type="dxa"/>
            <w:vAlign w:val="center"/>
          </w:tcPr>
          <w:p w14:paraId="13B99198">
            <w:pPr>
              <w:spacing w:after="0" w:line="240" w:lineRule="auto"/>
              <w:jc w:val="left"/>
            </w:pPr>
            <w:r>
              <w:rPr>
                <w:rFonts w:ascii="宋体" w:hAnsi="宋体" w:eastAsia="宋体"/>
                <w:b w:val="0"/>
                <w:sz w:val="21"/>
              </w:rPr>
              <w:t>近三年无重大违法失信、无重大质量安全事故、无严重违约情形，信用记录良好，响应材料真实、完整、可核验，得20分；存在轻微瑕疵但不影响实质履约能力，得15-19分；信用或合规支撑一般，得8-14分；存在严重失信、重大违法违规、严重违约或材料失实情形，得0-7分。</w:t>
            </w:r>
          </w:p>
        </w:tc>
        <w:tc>
          <w:tcPr>
            <w:tcW w:w="3969" w:type="dxa"/>
            <w:vAlign w:val="center"/>
          </w:tcPr>
          <w:p w14:paraId="56644E15">
            <w:pPr>
              <w:spacing w:after="0" w:line="240" w:lineRule="auto"/>
              <w:jc w:val="left"/>
            </w:pPr>
            <w:r>
              <w:rPr>
                <w:rFonts w:ascii="宋体" w:hAnsi="宋体" w:eastAsia="宋体"/>
                <w:b w:val="0"/>
                <w:sz w:val="21"/>
              </w:rPr>
              <w:t>信用承诺函、信用查询结果、无重大违法记录声明、无重大质量安全事故声明、材料真实性承诺等。</w:t>
            </w:r>
          </w:p>
        </w:tc>
      </w:tr>
      <w:tr w14:paraId="17497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1A122CB0">
            <w:pPr>
              <w:spacing w:after="0" w:line="240" w:lineRule="auto"/>
              <w:jc w:val="left"/>
            </w:pPr>
            <w:r>
              <w:rPr>
                <w:rFonts w:ascii="宋体" w:hAnsi="宋体" w:eastAsia="宋体"/>
                <w:b w:val="0"/>
                <w:sz w:val="21"/>
              </w:rPr>
              <w:t>基础资质、安全保密与专门条件响应</w:t>
            </w:r>
          </w:p>
        </w:tc>
        <w:tc>
          <w:tcPr>
            <w:tcW w:w="2835" w:type="dxa"/>
            <w:vAlign w:val="center"/>
          </w:tcPr>
          <w:p w14:paraId="09433FF7">
            <w:pPr>
              <w:spacing w:after="0" w:line="240" w:lineRule="auto"/>
              <w:jc w:val="left"/>
            </w:pPr>
            <w:r>
              <w:rPr>
                <w:rFonts w:ascii="宋体" w:hAnsi="宋体" w:eastAsia="宋体"/>
                <w:b w:val="0"/>
                <w:sz w:val="21"/>
              </w:rPr>
              <w:t>基础资质、安全保密与专门条件响应</w:t>
            </w:r>
          </w:p>
        </w:tc>
        <w:tc>
          <w:tcPr>
            <w:tcW w:w="850" w:type="dxa"/>
            <w:vAlign w:val="center"/>
          </w:tcPr>
          <w:p w14:paraId="0A9DA385">
            <w:pPr>
              <w:spacing w:after="0" w:line="240" w:lineRule="auto"/>
              <w:jc w:val="center"/>
              <w:rPr>
                <w:rFonts w:hint="default" w:eastAsiaTheme="minorEastAsia"/>
                <w:lang w:val="en-US" w:eastAsia="zh-CN"/>
              </w:rPr>
            </w:pPr>
            <w:r>
              <w:rPr>
                <w:rFonts w:hint="eastAsia" w:ascii="宋体" w:hAnsi="宋体" w:eastAsia="宋体"/>
                <w:b w:val="0"/>
                <w:sz w:val="21"/>
                <w:lang w:val="en-US" w:eastAsia="zh-CN"/>
              </w:rPr>
              <w:t>20</w:t>
            </w:r>
          </w:p>
        </w:tc>
        <w:tc>
          <w:tcPr>
            <w:tcW w:w="5783" w:type="dxa"/>
            <w:vAlign w:val="center"/>
          </w:tcPr>
          <w:p w14:paraId="1FBB224D">
            <w:pPr>
              <w:spacing w:after="0" w:line="240" w:lineRule="auto"/>
              <w:jc w:val="left"/>
            </w:pPr>
            <w:r>
              <w:rPr>
                <w:rFonts w:ascii="宋体" w:hAnsi="宋体" w:eastAsia="宋体"/>
                <w:b w:val="0"/>
                <w:sz w:val="21"/>
              </w:rPr>
              <w:t>具备有效主体资格，能够开具合法合规发票，满足项目要求的安全、保密及现场管理要求，并对采购文件规定的专门资质、授权及商务条款作出完整响应，得20分；响应较完整，得15-19分；响应一般或部分材料欠缺，得8-14分；缺少关键资质、授权、安全保密承诺或专门条件响应明显不足，得0-7分。</w:t>
            </w:r>
          </w:p>
        </w:tc>
        <w:tc>
          <w:tcPr>
            <w:tcW w:w="3969" w:type="dxa"/>
            <w:vAlign w:val="center"/>
          </w:tcPr>
          <w:p w14:paraId="27908CED">
            <w:pPr>
              <w:spacing w:after="0" w:line="240" w:lineRule="auto"/>
              <w:jc w:val="left"/>
            </w:pPr>
            <w:r>
              <w:rPr>
                <w:rFonts w:ascii="宋体" w:hAnsi="宋体" w:eastAsia="宋体"/>
                <w:b w:val="0"/>
                <w:sz w:val="21"/>
              </w:rPr>
              <w:t>营业执照、开票能力证明、保密承诺、安全管理制度、专项资质、授权文件、商务响应文件等。</w:t>
            </w:r>
          </w:p>
        </w:tc>
      </w:tr>
    </w:tbl>
    <w:p w14:paraId="50509ED0">
      <w:pPr>
        <w:spacing w:before="120" w:after="80"/>
      </w:pPr>
      <w:r>
        <w:rPr>
          <w:rFonts w:ascii="黑体" w:hAnsi="黑体" w:eastAsia="黑体"/>
          <w:b/>
          <w:sz w:val="26"/>
        </w:rPr>
        <w:t>二、定制开发评分标准</w:t>
      </w:r>
    </w:p>
    <w:p w14:paraId="49B3D171">
      <w:pPr>
        <w:spacing w:after="60"/>
        <w:ind w:firstLine="420"/>
      </w:pPr>
      <w:r>
        <w:rPr>
          <w:rFonts w:ascii="宋体" w:hAnsi="宋体" w:eastAsia="宋体"/>
          <w:sz w:val="24"/>
          <w:szCs w:val="24"/>
        </w:rPr>
        <w:t>本部分适用于以需求调研、系统设计、开发测试、上线交付为主的软件建设内容评分，满分100分。</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5"/>
        <w:gridCol w:w="2805"/>
        <w:gridCol w:w="2805"/>
        <w:gridCol w:w="2805"/>
        <w:gridCol w:w="2805"/>
      </w:tblGrid>
      <w:tr w14:paraId="1DEB3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D9EAF7"/>
            <w:vAlign w:val="center"/>
          </w:tcPr>
          <w:p w14:paraId="14A9FB1B">
            <w:pPr>
              <w:spacing w:after="0" w:line="240" w:lineRule="auto"/>
              <w:jc w:val="center"/>
            </w:pPr>
            <w:r>
              <w:rPr>
                <w:rFonts w:ascii="黑体" w:hAnsi="黑体" w:eastAsia="黑体"/>
                <w:b/>
                <w:sz w:val="21"/>
              </w:rPr>
              <w:t>评审大项</w:t>
            </w:r>
          </w:p>
        </w:tc>
        <w:tc>
          <w:tcPr>
            <w:tcW w:w="2551" w:type="dxa"/>
            <w:shd w:val="clear" w:color="auto" w:fill="D9EAF7"/>
            <w:vAlign w:val="center"/>
          </w:tcPr>
          <w:p w14:paraId="74A18D90">
            <w:pPr>
              <w:spacing w:after="0" w:line="240" w:lineRule="auto"/>
              <w:jc w:val="center"/>
            </w:pPr>
            <w:r>
              <w:rPr>
                <w:rFonts w:ascii="黑体" w:hAnsi="黑体" w:eastAsia="黑体"/>
                <w:b/>
                <w:sz w:val="21"/>
              </w:rPr>
              <w:t>评审子项</w:t>
            </w:r>
          </w:p>
        </w:tc>
        <w:tc>
          <w:tcPr>
            <w:tcW w:w="850" w:type="dxa"/>
            <w:shd w:val="clear" w:color="auto" w:fill="D9EAF7"/>
            <w:vAlign w:val="center"/>
          </w:tcPr>
          <w:p w14:paraId="58B2F867">
            <w:pPr>
              <w:spacing w:after="0" w:line="240" w:lineRule="auto"/>
              <w:jc w:val="center"/>
            </w:pPr>
            <w:r>
              <w:rPr>
                <w:rFonts w:ascii="黑体" w:hAnsi="黑体" w:eastAsia="黑体"/>
                <w:b/>
                <w:sz w:val="21"/>
              </w:rPr>
              <w:t>分值</w:t>
            </w:r>
          </w:p>
        </w:tc>
        <w:tc>
          <w:tcPr>
            <w:tcW w:w="5103" w:type="dxa"/>
            <w:shd w:val="clear" w:color="auto" w:fill="D9EAF7"/>
            <w:vAlign w:val="center"/>
          </w:tcPr>
          <w:p w14:paraId="4122ABA2">
            <w:pPr>
              <w:spacing w:after="0" w:line="240" w:lineRule="auto"/>
              <w:jc w:val="center"/>
            </w:pPr>
            <w:r>
              <w:rPr>
                <w:rFonts w:ascii="黑体" w:hAnsi="黑体" w:eastAsia="黑体"/>
                <w:b/>
                <w:sz w:val="21"/>
              </w:rPr>
              <w:t>评分标准</w:t>
            </w:r>
          </w:p>
        </w:tc>
        <w:tc>
          <w:tcPr>
            <w:tcW w:w="4706" w:type="dxa"/>
            <w:shd w:val="clear" w:color="auto" w:fill="D9EAF7"/>
            <w:vAlign w:val="center"/>
          </w:tcPr>
          <w:p w14:paraId="1F7F3A5A">
            <w:pPr>
              <w:spacing w:after="0" w:line="240" w:lineRule="auto"/>
              <w:jc w:val="center"/>
            </w:pPr>
            <w:r>
              <w:rPr>
                <w:rFonts w:ascii="黑体" w:hAnsi="黑体" w:eastAsia="黑体"/>
                <w:b/>
                <w:sz w:val="21"/>
              </w:rPr>
              <w:t>评分依据/证明材料</w:t>
            </w:r>
          </w:p>
        </w:tc>
      </w:tr>
      <w:tr w14:paraId="3CCD1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31135C27">
            <w:pPr>
              <w:spacing w:after="0" w:line="240" w:lineRule="auto"/>
              <w:jc w:val="left"/>
            </w:pPr>
            <w:r>
              <w:rPr>
                <w:rFonts w:ascii="宋体" w:hAnsi="宋体" w:eastAsia="宋体"/>
                <w:b w:val="0"/>
                <w:sz w:val="21"/>
              </w:rPr>
              <w:t>项目理解与需求分析</w:t>
            </w:r>
          </w:p>
        </w:tc>
        <w:tc>
          <w:tcPr>
            <w:tcW w:w="2551" w:type="dxa"/>
            <w:vAlign w:val="center"/>
          </w:tcPr>
          <w:p w14:paraId="20CC9D0D">
            <w:pPr>
              <w:spacing w:after="0" w:line="240" w:lineRule="auto"/>
              <w:jc w:val="left"/>
            </w:pPr>
            <w:r>
              <w:rPr>
                <w:rFonts w:ascii="宋体" w:hAnsi="宋体" w:eastAsia="宋体"/>
                <w:b w:val="0"/>
                <w:sz w:val="21"/>
              </w:rPr>
              <w:t>需求理解与场景匹配度</w:t>
            </w:r>
          </w:p>
        </w:tc>
        <w:tc>
          <w:tcPr>
            <w:tcW w:w="850" w:type="dxa"/>
            <w:vAlign w:val="center"/>
          </w:tcPr>
          <w:p w14:paraId="6AA9B5B4">
            <w:pPr>
              <w:spacing w:after="0" w:line="240" w:lineRule="auto"/>
              <w:jc w:val="center"/>
            </w:pPr>
            <w:r>
              <w:rPr>
                <w:rFonts w:ascii="宋体" w:hAnsi="宋体" w:eastAsia="宋体"/>
                <w:b w:val="0"/>
                <w:sz w:val="21"/>
              </w:rPr>
              <w:t>15</w:t>
            </w:r>
          </w:p>
        </w:tc>
        <w:tc>
          <w:tcPr>
            <w:tcW w:w="5103" w:type="dxa"/>
            <w:vAlign w:val="center"/>
          </w:tcPr>
          <w:p w14:paraId="36C7DA33">
            <w:pPr>
              <w:spacing w:after="0" w:line="240" w:lineRule="auto"/>
              <w:jc w:val="left"/>
            </w:pPr>
            <w:r>
              <w:rPr>
                <w:rFonts w:ascii="宋体" w:hAnsi="宋体" w:eastAsia="宋体"/>
                <w:b w:val="0"/>
                <w:sz w:val="21"/>
              </w:rPr>
              <w:t>对项目背景、建设目标、核心需求、业务场景和目标拆解理解准确，问题识别到位且针对性强，得 15 分；理解较准确、场景匹配较好但分析深度一般，得 8-14 分；理解偏差明显、针对性不足或内容空泛，得 0-7 分。</w:t>
            </w:r>
          </w:p>
        </w:tc>
        <w:tc>
          <w:tcPr>
            <w:tcW w:w="4706" w:type="dxa"/>
            <w:vAlign w:val="center"/>
          </w:tcPr>
          <w:p w14:paraId="3D573509">
            <w:pPr>
              <w:spacing w:after="0" w:line="240" w:lineRule="auto"/>
              <w:jc w:val="left"/>
            </w:pPr>
            <w:r>
              <w:rPr>
                <w:rFonts w:ascii="宋体" w:hAnsi="宋体" w:eastAsia="宋体"/>
                <w:b w:val="0"/>
                <w:sz w:val="21"/>
              </w:rPr>
              <w:t>需求响应、现状分析、问题清单、项目目标说明、业务场景分析、用户画像、流程梳理成果。</w:t>
            </w:r>
          </w:p>
        </w:tc>
      </w:tr>
      <w:tr w14:paraId="1E95E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05FBC501">
            <w:pPr>
              <w:spacing w:after="0" w:line="240" w:lineRule="auto"/>
              <w:jc w:val="left"/>
            </w:pPr>
          </w:p>
        </w:tc>
        <w:tc>
          <w:tcPr>
            <w:tcW w:w="2551" w:type="dxa"/>
            <w:vAlign w:val="center"/>
          </w:tcPr>
          <w:p w14:paraId="68CAE255">
            <w:pPr>
              <w:spacing w:after="0" w:line="240" w:lineRule="auto"/>
              <w:jc w:val="left"/>
            </w:pPr>
            <w:r>
              <w:rPr>
                <w:rFonts w:ascii="宋体" w:hAnsi="宋体" w:eastAsia="宋体"/>
                <w:b w:val="0"/>
                <w:sz w:val="21"/>
              </w:rPr>
              <w:t>范围边界与关键难点识别</w:t>
            </w:r>
          </w:p>
        </w:tc>
        <w:tc>
          <w:tcPr>
            <w:tcW w:w="850" w:type="dxa"/>
            <w:vAlign w:val="center"/>
          </w:tcPr>
          <w:p w14:paraId="327EEE64">
            <w:pPr>
              <w:spacing w:after="0" w:line="240" w:lineRule="auto"/>
              <w:jc w:val="center"/>
            </w:pPr>
            <w:r>
              <w:rPr>
                <w:rFonts w:ascii="宋体" w:hAnsi="宋体" w:eastAsia="宋体"/>
                <w:b w:val="0"/>
                <w:sz w:val="21"/>
              </w:rPr>
              <w:t>6</w:t>
            </w:r>
          </w:p>
        </w:tc>
        <w:tc>
          <w:tcPr>
            <w:tcW w:w="5103" w:type="dxa"/>
            <w:vAlign w:val="center"/>
          </w:tcPr>
          <w:p w14:paraId="15DBA7B2">
            <w:pPr>
              <w:spacing w:after="0" w:line="240" w:lineRule="auto"/>
              <w:jc w:val="left"/>
            </w:pPr>
            <w:r>
              <w:rPr>
                <w:rFonts w:ascii="宋体" w:hAnsi="宋体" w:eastAsia="宋体"/>
                <w:b w:val="0"/>
                <w:sz w:val="21"/>
              </w:rPr>
              <w:t>对项目边界、接口边界和关键难点识别完整，得 6 分；识别基本到位，得 3-5 分；识别不足，得 0-2 分。</w:t>
            </w:r>
          </w:p>
        </w:tc>
        <w:tc>
          <w:tcPr>
            <w:tcW w:w="4706" w:type="dxa"/>
            <w:vAlign w:val="center"/>
          </w:tcPr>
          <w:p w14:paraId="7562EB3E">
            <w:pPr>
              <w:spacing w:after="0" w:line="240" w:lineRule="auto"/>
              <w:jc w:val="left"/>
            </w:pPr>
            <w:r>
              <w:rPr>
                <w:rFonts w:ascii="宋体" w:hAnsi="宋体" w:eastAsia="宋体"/>
                <w:b w:val="0"/>
                <w:sz w:val="21"/>
              </w:rPr>
              <w:t>边界清单、关键风险点、约束条件说明。</w:t>
            </w:r>
          </w:p>
        </w:tc>
      </w:tr>
      <w:tr w14:paraId="4543D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40B1B26C">
            <w:pPr>
              <w:spacing w:after="0" w:line="240" w:lineRule="auto"/>
              <w:jc w:val="left"/>
            </w:pPr>
            <w:r>
              <w:rPr>
                <w:rFonts w:ascii="宋体" w:hAnsi="宋体" w:eastAsia="宋体"/>
                <w:b w:val="0"/>
                <w:sz w:val="21"/>
              </w:rPr>
              <w:t>技术方案与架构设计</w:t>
            </w:r>
          </w:p>
        </w:tc>
        <w:tc>
          <w:tcPr>
            <w:tcW w:w="2551" w:type="dxa"/>
            <w:vAlign w:val="center"/>
          </w:tcPr>
          <w:p w14:paraId="68E77203">
            <w:pPr>
              <w:spacing w:after="0" w:line="240" w:lineRule="auto"/>
              <w:jc w:val="left"/>
            </w:pPr>
            <w:r>
              <w:rPr>
                <w:rFonts w:ascii="宋体" w:hAnsi="宋体" w:eastAsia="宋体"/>
                <w:b w:val="0"/>
                <w:sz w:val="21"/>
              </w:rPr>
              <w:t>总体架构与功能方案合理性</w:t>
            </w:r>
          </w:p>
        </w:tc>
        <w:tc>
          <w:tcPr>
            <w:tcW w:w="850" w:type="dxa"/>
            <w:vAlign w:val="center"/>
          </w:tcPr>
          <w:p w14:paraId="28DFCB80">
            <w:pPr>
              <w:spacing w:after="0" w:line="240" w:lineRule="auto"/>
              <w:jc w:val="center"/>
            </w:pPr>
            <w:r>
              <w:rPr>
                <w:rFonts w:ascii="宋体" w:hAnsi="宋体" w:eastAsia="宋体"/>
                <w:b w:val="0"/>
                <w:sz w:val="21"/>
              </w:rPr>
              <w:t>19</w:t>
            </w:r>
          </w:p>
        </w:tc>
        <w:tc>
          <w:tcPr>
            <w:tcW w:w="5103" w:type="dxa"/>
            <w:vAlign w:val="center"/>
          </w:tcPr>
          <w:p w14:paraId="6C0107CC">
            <w:pPr>
              <w:spacing w:after="0" w:line="240" w:lineRule="auto"/>
              <w:jc w:val="left"/>
            </w:pPr>
            <w:r>
              <w:rPr>
                <w:rFonts w:ascii="宋体" w:hAnsi="宋体" w:eastAsia="宋体"/>
                <w:b w:val="0"/>
                <w:sz w:val="21"/>
              </w:rPr>
              <w:t>总体架构完整、技术路线成熟可行，功能设计覆盖主要需求并体现关键场景，与项目目标高度匹配，得 19 分；方案较完整、合理性较好，得 10-18 分；架构或功能方案缺项明显、合理性较弱，得 0-9 分。</w:t>
            </w:r>
          </w:p>
        </w:tc>
        <w:tc>
          <w:tcPr>
            <w:tcW w:w="4706" w:type="dxa"/>
            <w:vAlign w:val="center"/>
          </w:tcPr>
          <w:p w14:paraId="04A9F82F">
            <w:pPr>
              <w:spacing w:after="0" w:line="240" w:lineRule="auto"/>
              <w:jc w:val="left"/>
            </w:pPr>
            <w:r>
              <w:rPr>
                <w:rFonts w:ascii="宋体" w:hAnsi="宋体" w:eastAsia="宋体"/>
                <w:b w:val="0"/>
                <w:sz w:val="21"/>
              </w:rPr>
              <w:t>总体架构图、技术选型说明、部署方案、功能清单、原型图、模块设计说明。</w:t>
            </w:r>
          </w:p>
        </w:tc>
      </w:tr>
      <w:tr w14:paraId="3D3FC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4C0334AB">
            <w:pPr>
              <w:spacing w:after="0" w:line="240" w:lineRule="auto"/>
              <w:jc w:val="left"/>
            </w:pPr>
          </w:p>
        </w:tc>
        <w:tc>
          <w:tcPr>
            <w:tcW w:w="2551" w:type="dxa"/>
            <w:vAlign w:val="center"/>
          </w:tcPr>
          <w:p w14:paraId="5C91B305">
            <w:pPr>
              <w:spacing w:after="0" w:line="240" w:lineRule="auto"/>
              <w:jc w:val="left"/>
            </w:pPr>
            <w:r>
              <w:rPr>
                <w:rFonts w:ascii="宋体" w:hAnsi="宋体" w:eastAsia="宋体"/>
                <w:b w:val="0"/>
                <w:sz w:val="21"/>
              </w:rPr>
              <w:t>接口、数据与安全设计</w:t>
            </w:r>
          </w:p>
        </w:tc>
        <w:tc>
          <w:tcPr>
            <w:tcW w:w="850" w:type="dxa"/>
            <w:vAlign w:val="center"/>
          </w:tcPr>
          <w:p w14:paraId="0EF8B5DF">
            <w:pPr>
              <w:spacing w:after="0" w:line="240" w:lineRule="auto"/>
              <w:jc w:val="center"/>
            </w:pPr>
            <w:r>
              <w:rPr>
                <w:rFonts w:ascii="宋体" w:hAnsi="宋体" w:eastAsia="宋体"/>
                <w:b w:val="0"/>
                <w:sz w:val="21"/>
              </w:rPr>
              <w:t>8</w:t>
            </w:r>
          </w:p>
        </w:tc>
        <w:tc>
          <w:tcPr>
            <w:tcW w:w="5103" w:type="dxa"/>
            <w:vAlign w:val="center"/>
          </w:tcPr>
          <w:p w14:paraId="13769810">
            <w:pPr>
              <w:spacing w:after="0" w:line="240" w:lineRule="auto"/>
              <w:jc w:val="left"/>
            </w:pPr>
            <w:r>
              <w:rPr>
                <w:rFonts w:ascii="宋体" w:hAnsi="宋体" w:eastAsia="宋体"/>
                <w:b w:val="0"/>
                <w:sz w:val="21"/>
              </w:rPr>
              <w:t>接口衔接、数据流向、安全控制设计清楚，得 8 分；基本具备，得 4-7 分；说明不足，得 0-3 分。</w:t>
            </w:r>
          </w:p>
        </w:tc>
        <w:tc>
          <w:tcPr>
            <w:tcW w:w="4706" w:type="dxa"/>
            <w:vAlign w:val="center"/>
          </w:tcPr>
          <w:p w14:paraId="08038AC0">
            <w:pPr>
              <w:spacing w:after="0" w:line="240" w:lineRule="auto"/>
              <w:jc w:val="left"/>
            </w:pPr>
            <w:r>
              <w:rPr>
                <w:rFonts w:ascii="宋体" w:hAnsi="宋体" w:eastAsia="宋体"/>
                <w:b w:val="0"/>
                <w:sz w:val="21"/>
              </w:rPr>
              <w:t>接口清单、数据模型、安全方案。</w:t>
            </w:r>
          </w:p>
        </w:tc>
      </w:tr>
      <w:tr w14:paraId="53CA4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03F56CFF">
            <w:pPr>
              <w:spacing w:after="0" w:line="240" w:lineRule="auto"/>
              <w:jc w:val="left"/>
            </w:pPr>
          </w:p>
        </w:tc>
        <w:tc>
          <w:tcPr>
            <w:tcW w:w="2551" w:type="dxa"/>
            <w:vAlign w:val="center"/>
          </w:tcPr>
          <w:p w14:paraId="75336269">
            <w:pPr>
              <w:spacing w:after="0" w:line="240" w:lineRule="auto"/>
              <w:jc w:val="left"/>
            </w:pPr>
            <w:r>
              <w:rPr>
                <w:rFonts w:ascii="宋体" w:hAnsi="宋体" w:eastAsia="宋体"/>
                <w:b w:val="0"/>
                <w:sz w:val="21"/>
              </w:rPr>
              <w:t>可扩展性与可实施性</w:t>
            </w:r>
          </w:p>
        </w:tc>
        <w:tc>
          <w:tcPr>
            <w:tcW w:w="850" w:type="dxa"/>
            <w:vAlign w:val="center"/>
          </w:tcPr>
          <w:p w14:paraId="61375A41">
            <w:pPr>
              <w:spacing w:after="0" w:line="240" w:lineRule="auto"/>
              <w:jc w:val="center"/>
            </w:pPr>
            <w:r>
              <w:rPr>
                <w:rFonts w:ascii="宋体" w:hAnsi="宋体" w:eastAsia="宋体"/>
                <w:b w:val="0"/>
                <w:sz w:val="21"/>
              </w:rPr>
              <w:t>7</w:t>
            </w:r>
          </w:p>
        </w:tc>
        <w:tc>
          <w:tcPr>
            <w:tcW w:w="5103" w:type="dxa"/>
            <w:vAlign w:val="center"/>
          </w:tcPr>
          <w:p w14:paraId="18A658B0">
            <w:pPr>
              <w:spacing w:after="0" w:line="240" w:lineRule="auto"/>
              <w:jc w:val="left"/>
            </w:pPr>
            <w:r>
              <w:rPr>
                <w:rFonts w:ascii="宋体" w:hAnsi="宋体" w:eastAsia="宋体"/>
                <w:b w:val="0"/>
                <w:sz w:val="21"/>
              </w:rPr>
              <w:t>方案具备扩展性、兼容性和可实施路径，得 7 分；一般，得 4-6 分；可实施性弱，得 0-3 分。</w:t>
            </w:r>
          </w:p>
        </w:tc>
        <w:tc>
          <w:tcPr>
            <w:tcW w:w="4706" w:type="dxa"/>
            <w:vAlign w:val="center"/>
          </w:tcPr>
          <w:p w14:paraId="148C5F70">
            <w:pPr>
              <w:spacing w:after="0" w:line="240" w:lineRule="auto"/>
              <w:jc w:val="left"/>
            </w:pPr>
            <w:r>
              <w:rPr>
                <w:rFonts w:ascii="宋体" w:hAnsi="宋体" w:eastAsia="宋体"/>
                <w:b w:val="0"/>
                <w:sz w:val="21"/>
              </w:rPr>
              <w:t>实施路径、环境适配说明、扩展设计。</w:t>
            </w:r>
          </w:p>
        </w:tc>
      </w:tr>
      <w:tr w14:paraId="1E138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5A11D8EE">
            <w:pPr>
              <w:spacing w:after="0" w:line="240" w:lineRule="auto"/>
              <w:jc w:val="left"/>
            </w:pPr>
            <w:r>
              <w:rPr>
                <w:rFonts w:ascii="宋体" w:hAnsi="宋体" w:eastAsia="宋体"/>
                <w:b w:val="0"/>
                <w:sz w:val="21"/>
              </w:rPr>
              <w:t>实施计划与项目管理</w:t>
            </w:r>
          </w:p>
        </w:tc>
        <w:tc>
          <w:tcPr>
            <w:tcW w:w="2551" w:type="dxa"/>
            <w:vAlign w:val="center"/>
          </w:tcPr>
          <w:p w14:paraId="3A50B3B9">
            <w:pPr>
              <w:spacing w:after="0" w:line="240" w:lineRule="auto"/>
              <w:jc w:val="left"/>
            </w:pPr>
            <w:r>
              <w:rPr>
                <w:rFonts w:ascii="宋体" w:hAnsi="宋体" w:eastAsia="宋体"/>
                <w:b w:val="0"/>
                <w:sz w:val="21"/>
              </w:rPr>
              <w:t>实施计划、风险与质量控制</w:t>
            </w:r>
          </w:p>
        </w:tc>
        <w:tc>
          <w:tcPr>
            <w:tcW w:w="850" w:type="dxa"/>
            <w:vAlign w:val="center"/>
          </w:tcPr>
          <w:p w14:paraId="431FBF24">
            <w:pPr>
              <w:spacing w:after="0" w:line="240" w:lineRule="auto"/>
              <w:jc w:val="center"/>
            </w:pPr>
            <w:r>
              <w:rPr>
                <w:rFonts w:ascii="宋体" w:hAnsi="宋体" w:eastAsia="宋体"/>
                <w:b w:val="0"/>
                <w:sz w:val="21"/>
              </w:rPr>
              <w:t>15</w:t>
            </w:r>
          </w:p>
        </w:tc>
        <w:tc>
          <w:tcPr>
            <w:tcW w:w="5103" w:type="dxa"/>
            <w:vAlign w:val="center"/>
          </w:tcPr>
          <w:p w14:paraId="3C917A8D">
            <w:pPr>
              <w:spacing w:after="0" w:line="240" w:lineRule="auto"/>
              <w:jc w:val="left"/>
            </w:pPr>
            <w:r>
              <w:rPr>
                <w:rFonts w:ascii="宋体" w:hAnsi="宋体" w:eastAsia="宋体"/>
                <w:b w:val="0"/>
                <w:sz w:val="21"/>
              </w:rPr>
              <w:t>阶段划分、里程碑、关键交付节点清晰可执行，且具备完整的风险识别、预警、应对和质量控制机制，得 15 分；计划较清晰、风险和质量控制机制基本可行，得 8-14 分；安排粗略或控制机制缺失，得 0-7 分。</w:t>
            </w:r>
          </w:p>
        </w:tc>
        <w:tc>
          <w:tcPr>
            <w:tcW w:w="4706" w:type="dxa"/>
            <w:vAlign w:val="center"/>
          </w:tcPr>
          <w:p w14:paraId="75E04957">
            <w:pPr>
              <w:spacing w:after="0" w:line="240" w:lineRule="auto"/>
              <w:jc w:val="left"/>
            </w:pPr>
            <w:r>
              <w:rPr>
                <w:rFonts w:ascii="宋体" w:hAnsi="宋体" w:eastAsia="宋体"/>
                <w:b w:val="0"/>
                <w:sz w:val="21"/>
              </w:rPr>
              <w:t>WBS、里程碑计划、甘特图、风险台账、测试策略、质量控制流程。</w:t>
            </w:r>
          </w:p>
        </w:tc>
      </w:tr>
      <w:tr w14:paraId="4E100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78D85F05">
            <w:pPr>
              <w:spacing w:after="0" w:line="240" w:lineRule="auto"/>
              <w:jc w:val="left"/>
            </w:pPr>
          </w:p>
        </w:tc>
        <w:tc>
          <w:tcPr>
            <w:tcW w:w="2551" w:type="dxa"/>
            <w:vAlign w:val="center"/>
          </w:tcPr>
          <w:p w14:paraId="2C6D16D1">
            <w:pPr>
              <w:spacing w:after="0" w:line="240" w:lineRule="auto"/>
              <w:jc w:val="left"/>
            </w:pPr>
            <w:r>
              <w:rPr>
                <w:rFonts w:ascii="宋体" w:hAnsi="宋体" w:eastAsia="宋体"/>
                <w:b w:val="0"/>
                <w:sz w:val="21"/>
              </w:rPr>
              <w:t>交付物定义与验收安排</w:t>
            </w:r>
          </w:p>
        </w:tc>
        <w:tc>
          <w:tcPr>
            <w:tcW w:w="850" w:type="dxa"/>
            <w:vAlign w:val="center"/>
          </w:tcPr>
          <w:p w14:paraId="5218357E">
            <w:pPr>
              <w:spacing w:after="0" w:line="240" w:lineRule="auto"/>
              <w:jc w:val="center"/>
            </w:pPr>
            <w:r>
              <w:rPr>
                <w:rFonts w:ascii="宋体" w:hAnsi="宋体" w:eastAsia="宋体"/>
                <w:b w:val="0"/>
                <w:sz w:val="21"/>
              </w:rPr>
              <w:t>6</w:t>
            </w:r>
          </w:p>
        </w:tc>
        <w:tc>
          <w:tcPr>
            <w:tcW w:w="5103" w:type="dxa"/>
            <w:vAlign w:val="center"/>
          </w:tcPr>
          <w:p w14:paraId="3233E9DE">
            <w:pPr>
              <w:spacing w:after="0" w:line="240" w:lineRule="auto"/>
              <w:jc w:val="left"/>
            </w:pPr>
            <w:r>
              <w:rPr>
                <w:rFonts w:ascii="宋体" w:hAnsi="宋体" w:eastAsia="宋体"/>
                <w:b w:val="0"/>
                <w:sz w:val="21"/>
              </w:rPr>
              <w:t>交付物清单、输出形式、验收方式明确，得 6 分；基本明确，得 3-5 分；不明确，得 0-2 分。</w:t>
            </w:r>
          </w:p>
        </w:tc>
        <w:tc>
          <w:tcPr>
            <w:tcW w:w="4706" w:type="dxa"/>
            <w:vAlign w:val="center"/>
          </w:tcPr>
          <w:p w14:paraId="5FB6564B">
            <w:pPr>
              <w:spacing w:after="0" w:line="240" w:lineRule="auto"/>
              <w:jc w:val="left"/>
            </w:pPr>
            <w:r>
              <w:rPr>
                <w:rFonts w:ascii="宋体" w:hAnsi="宋体" w:eastAsia="宋体"/>
                <w:b w:val="0"/>
                <w:sz w:val="21"/>
              </w:rPr>
              <w:t>交付物清单、验收计划、文档目录。</w:t>
            </w:r>
          </w:p>
        </w:tc>
      </w:tr>
      <w:tr w14:paraId="2E150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5FE3C6F3">
            <w:pPr>
              <w:spacing w:after="0" w:line="240" w:lineRule="auto"/>
              <w:jc w:val="left"/>
            </w:pPr>
            <w:r>
              <w:rPr>
                <w:rFonts w:ascii="宋体" w:hAnsi="宋体" w:eastAsia="宋体"/>
                <w:b w:val="0"/>
                <w:sz w:val="21"/>
              </w:rPr>
              <w:t>团队配置与履约能力</w:t>
            </w:r>
          </w:p>
        </w:tc>
        <w:tc>
          <w:tcPr>
            <w:tcW w:w="2551" w:type="dxa"/>
            <w:vAlign w:val="center"/>
          </w:tcPr>
          <w:p w14:paraId="0980E687">
            <w:pPr>
              <w:spacing w:after="0" w:line="240" w:lineRule="auto"/>
              <w:jc w:val="left"/>
            </w:pPr>
            <w:r>
              <w:rPr>
                <w:rFonts w:ascii="宋体" w:hAnsi="宋体" w:eastAsia="宋体"/>
                <w:b w:val="0"/>
                <w:sz w:val="21"/>
              </w:rPr>
              <w:t>项目团队配置与履约能力</w:t>
            </w:r>
          </w:p>
        </w:tc>
        <w:tc>
          <w:tcPr>
            <w:tcW w:w="850" w:type="dxa"/>
            <w:vAlign w:val="center"/>
          </w:tcPr>
          <w:p w14:paraId="50C7F593">
            <w:pPr>
              <w:spacing w:after="0" w:line="240" w:lineRule="auto"/>
              <w:jc w:val="center"/>
            </w:pPr>
            <w:r>
              <w:rPr>
                <w:rFonts w:ascii="宋体" w:hAnsi="宋体" w:eastAsia="宋体"/>
                <w:b w:val="0"/>
                <w:sz w:val="21"/>
              </w:rPr>
              <w:t>14</w:t>
            </w:r>
          </w:p>
        </w:tc>
        <w:tc>
          <w:tcPr>
            <w:tcW w:w="5103" w:type="dxa"/>
            <w:vAlign w:val="center"/>
          </w:tcPr>
          <w:p w14:paraId="69C917E1">
            <w:pPr>
              <w:spacing w:after="0" w:line="240" w:lineRule="auto"/>
              <w:jc w:val="left"/>
            </w:pPr>
            <w:r>
              <w:rPr>
                <w:rFonts w:ascii="宋体" w:hAnsi="宋体" w:eastAsia="宋体"/>
                <w:b w:val="0"/>
                <w:sz w:val="21"/>
              </w:rPr>
              <w:t>项目经理及核心成员经验丰富、履历与项目高度匹配，产品、设计、开发、测试、实施等关键岗位配置齐全且职责清晰，得 14 分；基本匹配且岗位较齐备，得 8-13 分；匹配度较低或岗位明显缺失，得 0-7 分。</w:t>
            </w:r>
          </w:p>
        </w:tc>
        <w:tc>
          <w:tcPr>
            <w:tcW w:w="4706" w:type="dxa"/>
            <w:vAlign w:val="center"/>
          </w:tcPr>
          <w:p w14:paraId="1C3E0C73">
            <w:pPr>
              <w:spacing w:after="0" w:line="240" w:lineRule="auto"/>
              <w:jc w:val="left"/>
            </w:pPr>
            <w:r>
              <w:rPr>
                <w:rFonts w:ascii="宋体" w:hAnsi="宋体" w:eastAsia="宋体"/>
                <w:b w:val="0"/>
                <w:sz w:val="21"/>
              </w:rPr>
              <w:t>人员简历、项目经历、证书、社保证明、组织架构图、岗位分工、人员清单。</w:t>
            </w:r>
          </w:p>
        </w:tc>
      </w:tr>
      <w:tr w14:paraId="7E58F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26DCED45">
            <w:pPr>
              <w:spacing w:after="0" w:line="240" w:lineRule="auto"/>
              <w:jc w:val="left"/>
            </w:pPr>
            <w:r>
              <w:rPr>
                <w:rFonts w:ascii="宋体" w:hAnsi="宋体" w:eastAsia="宋体"/>
                <w:b w:val="0"/>
                <w:sz w:val="21"/>
              </w:rPr>
              <w:t>软件交付经验与技术能力</w:t>
            </w:r>
          </w:p>
        </w:tc>
        <w:tc>
          <w:tcPr>
            <w:tcW w:w="2551" w:type="dxa"/>
            <w:vAlign w:val="center"/>
          </w:tcPr>
          <w:p w14:paraId="4875EF75">
            <w:pPr>
              <w:spacing w:after="0" w:line="240" w:lineRule="auto"/>
              <w:jc w:val="left"/>
            </w:pPr>
            <w:r>
              <w:rPr>
                <w:rFonts w:ascii="宋体" w:hAnsi="宋体" w:eastAsia="宋体"/>
                <w:b w:val="0"/>
                <w:sz w:val="21"/>
              </w:rPr>
              <w:t>同类软件交付经验与技术能力</w:t>
            </w:r>
          </w:p>
        </w:tc>
        <w:tc>
          <w:tcPr>
            <w:tcW w:w="850" w:type="dxa"/>
            <w:vAlign w:val="center"/>
          </w:tcPr>
          <w:p w14:paraId="190F0ECE">
            <w:pPr>
              <w:spacing w:after="0" w:line="240" w:lineRule="auto"/>
              <w:jc w:val="center"/>
            </w:pPr>
            <w:r>
              <w:rPr>
                <w:rFonts w:ascii="宋体" w:hAnsi="宋体" w:eastAsia="宋体"/>
                <w:b w:val="0"/>
                <w:sz w:val="21"/>
              </w:rPr>
              <w:t>10</w:t>
            </w:r>
          </w:p>
        </w:tc>
        <w:tc>
          <w:tcPr>
            <w:tcW w:w="5103" w:type="dxa"/>
            <w:vAlign w:val="center"/>
          </w:tcPr>
          <w:p w14:paraId="1ED371F8">
            <w:pPr>
              <w:spacing w:after="0" w:line="240" w:lineRule="auto"/>
              <w:jc w:val="left"/>
            </w:pPr>
            <w:r>
              <w:rPr>
                <w:rFonts w:ascii="宋体" w:hAnsi="宋体" w:eastAsia="宋体"/>
                <w:b w:val="0"/>
                <w:sz w:val="21"/>
              </w:rPr>
              <w:t>同类案例数量充足、与本项目行业和复杂度高度相关，且具备与项目匹配的体系认证或专业资质、研发能力证明，得 10 分；案例或资质匹配度一般，得 5-9 分；案例较弱或无有效资质，得 0-4 分。</w:t>
            </w:r>
          </w:p>
        </w:tc>
        <w:tc>
          <w:tcPr>
            <w:tcW w:w="4706" w:type="dxa"/>
            <w:vAlign w:val="center"/>
          </w:tcPr>
          <w:p w14:paraId="5FE9006B">
            <w:pPr>
              <w:spacing w:after="0" w:line="240" w:lineRule="auto"/>
              <w:jc w:val="left"/>
            </w:pPr>
            <w:r>
              <w:rPr>
                <w:rFonts w:ascii="宋体" w:hAnsi="宋体" w:eastAsia="宋体"/>
                <w:b w:val="0"/>
                <w:sz w:val="21"/>
              </w:rPr>
              <w:t>软件开发或系统建设项目合同关键页、验收证明、成果材料、研发类资质、软著、专利、技术能力证明。</w:t>
            </w:r>
          </w:p>
        </w:tc>
      </w:tr>
    </w:tbl>
    <w:p w14:paraId="30DBD4AC">
      <w:pPr>
        <w:spacing w:before="120" w:after="80"/>
      </w:pPr>
      <w:r>
        <w:rPr>
          <w:rFonts w:ascii="黑体" w:hAnsi="黑体" w:eastAsia="黑体"/>
          <w:b/>
          <w:sz w:val="26"/>
        </w:rPr>
        <w:t>三、驻场运维评分标准</w:t>
      </w:r>
    </w:p>
    <w:p w14:paraId="5689C31A">
      <w:pPr>
        <w:spacing w:after="60"/>
        <w:ind w:firstLine="420"/>
        <w:rPr>
          <w:sz w:val="24"/>
          <w:szCs w:val="24"/>
        </w:rPr>
      </w:pPr>
      <w:r>
        <w:rPr>
          <w:rFonts w:ascii="宋体" w:hAnsi="宋体" w:eastAsia="宋体"/>
          <w:sz w:val="24"/>
          <w:szCs w:val="24"/>
        </w:rPr>
        <w:t>本部分适用于以驻场支持、响应保障、持续服务和服务治理为主的运维服务内容评分，满分100分。</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5"/>
        <w:gridCol w:w="2805"/>
        <w:gridCol w:w="2805"/>
        <w:gridCol w:w="2805"/>
        <w:gridCol w:w="2805"/>
      </w:tblGrid>
      <w:tr w14:paraId="3403B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D9EAF7"/>
            <w:vAlign w:val="center"/>
          </w:tcPr>
          <w:p w14:paraId="470EDCC4">
            <w:pPr>
              <w:spacing w:after="0" w:line="240" w:lineRule="auto"/>
              <w:jc w:val="center"/>
            </w:pPr>
            <w:r>
              <w:rPr>
                <w:rFonts w:ascii="黑体" w:hAnsi="黑体" w:eastAsia="黑体"/>
                <w:b/>
                <w:sz w:val="21"/>
              </w:rPr>
              <w:t>评审大项</w:t>
            </w:r>
          </w:p>
        </w:tc>
        <w:tc>
          <w:tcPr>
            <w:tcW w:w="2721" w:type="dxa"/>
            <w:shd w:val="clear" w:color="auto" w:fill="D9EAF7"/>
            <w:vAlign w:val="center"/>
          </w:tcPr>
          <w:p w14:paraId="1AE4BF91">
            <w:pPr>
              <w:spacing w:after="0" w:line="240" w:lineRule="auto"/>
              <w:jc w:val="center"/>
            </w:pPr>
            <w:r>
              <w:rPr>
                <w:rFonts w:ascii="黑体" w:hAnsi="黑体" w:eastAsia="黑体"/>
                <w:b/>
                <w:sz w:val="21"/>
              </w:rPr>
              <w:t>评审子项</w:t>
            </w:r>
          </w:p>
        </w:tc>
        <w:tc>
          <w:tcPr>
            <w:tcW w:w="850" w:type="dxa"/>
            <w:shd w:val="clear" w:color="auto" w:fill="D9EAF7"/>
            <w:vAlign w:val="center"/>
          </w:tcPr>
          <w:p w14:paraId="2EF3717D">
            <w:pPr>
              <w:spacing w:after="0" w:line="240" w:lineRule="auto"/>
              <w:jc w:val="center"/>
            </w:pPr>
            <w:r>
              <w:rPr>
                <w:rFonts w:ascii="黑体" w:hAnsi="黑体" w:eastAsia="黑体"/>
                <w:b/>
                <w:sz w:val="21"/>
              </w:rPr>
              <w:t>分值</w:t>
            </w:r>
          </w:p>
        </w:tc>
        <w:tc>
          <w:tcPr>
            <w:tcW w:w="5103" w:type="dxa"/>
            <w:shd w:val="clear" w:color="auto" w:fill="D9EAF7"/>
            <w:vAlign w:val="center"/>
          </w:tcPr>
          <w:p w14:paraId="0523515F">
            <w:pPr>
              <w:spacing w:after="0" w:line="240" w:lineRule="auto"/>
              <w:jc w:val="center"/>
            </w:pPr>
            <w:r>
              <w:rPr>
                <w:rFonts w:ascii="黑体" w:hAnsi="黑体" w:eastAsia="黑体"/>
                <w:b/>
                <w:sz w:val="21"/>
              </w:rPr>
              <w:t>评分标准</w:t>
            </w:r>
          </w:p>
        </w:tc>
        <w:tc>
          <w:tcPr>
            <w:tcW w:w="4536" w:type="dxa"/>
            <w:shd w:val="clear" w:color="auto" w:fill="D9EAF7"/>
            <w:vAlign w:val="center"/>
          </w:tcPr>
          <w:p w14:paraId="0107CDCE">
            <w:pPr>
              <w:spacing w:after="0" w:line="240" w:lineRule="auto"/>
              <w:jc w:val="center"/>
            </w:pPr>
            <w:r>
              <w:rPr>
                <w:rFonts w:ascii="黑体" w:hAnsi="黑体" w:eastAsia="黑体"/>
                <w:b/>
                <w:sz w:val="21"/>
              </w:rPr>
              <w:t>评分依据/证明材料</w:t>
            </w:r>
          </w:p>
        </w:tc>
      </w:tr>
      <w:tr w14:paraId="0B16C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79863814">
            <w:pPr>
              <w:spacing w:after="0" w:line="240" w:lineRule="auto"/>
              <w:jc w:val="left"/>
            </w:pPr>
            <w:r>
              <w:rPr>
                <w:rFonts w:ascii="宋体" w:hAnsi="宋体" w:eastAsia="宋体"/>
                <w:b w:val="0"/>
                <w:sz w:val="21"/>
              </w:rPr>
              <w:t>服务理解与方案设计</w:t>
            </w:r>
          </w:p>
        </w:tc>
        <w:tc>
          <w:tcPr>
            <w:tcW w:w="2721" w:type="dxa"/>
            <w:vAlign w:val="center"/>
          </w:tcPr>
          <w:p w14:paraId="2C11C5E4">
            <w:pPr>
              <w:spacing w:after="0" w:line="240" w:lineRule="auto"/>
              <w:jc w:val="left"/>
            </w:pPr>
            <w:r>
              <w:rPr>
                <w:rFonts w:ascii="宋体" w:hAnsi="宋体" w:eastAsia="宋体"/>
                <w:b w:val="0"/>
                <w:sz w:val="21"/>
              </w:rPr>
              <w:t>服务范围与流程理解</w:t>
            </w:r>
          </w:p>
        </w:tc>
        <w:tc>
          <w:tcPr>
            <w:tcW w:w="850" w:type="dxa"/>
            <w:vAlign w:val="center"/>
          </w:tcPr>
          <w:p w14:paraId="5DF56796">
            <w:pPr>
              <w:spacing w:after="0" w:line="240" w:lineRule="auto"/>
              <w:jc w:val="center"/>
            </w:pPr>
            <w:r>
              <w:rPr>
                <w:rFonts w:ascii="宋体" w:hAnsi="宋体" w:eastAsia="宋体"/>
                <w:b w:val="0"/>
                <w:sz w:val="21"/>
              </w:rPr>
              <w:t>13</w:t>
            </w:r>
          </w:p>
        </w:tc>
        <w:tc>
          <w:tcPr>
            <w:tcW w:w="5103" w:type="dxa"/>
            <w:vAlign w:val="center"/>
          </w:tcPr>
          <w:p w14:paraId="1F4B43F0">
            <w:pPr>
              <w:spacing w:after="0" w:line="240" w:lineRule="auto"/>
              <w:jc w:val="left"/>
            </w:pPr>
            <w:r>
              <w:rPr>
                <w:rFonts w:ascii="宋体" w:hAnsi="宋体" w:eastAsia="宋体"/>
                <w:b w:val="0"/>
                <w:sz w:val="21"/>
              </w:rPr>
              <w:t>对服务范围、职责边界、支持边界理解准确，服务流程、工单流转、例会与报告机制完整，得 13 分；基本准确且机制较完整，得 7-12 分；理解偏差明显或机制不足，得 0-6 分。</w:t>
            </w:r>
          </w:p>
        </w:tc>
        <w:tc>
          <w:tcPr>
            <w:tcW w:w="4536" w:type="dxa"/>
            <w:vAlign w:val="center"/>
          </w:tcPr>
          <w:p w14:paraId="13A601BE">
            <w:pPr>
              <w:spacing w:after="0" w:line="240" w:lineRule="auto"/>
              <w:jc w:val="left"/>
            </w:pPr>
            <w:r>
              <w:rPr>
                <w:rFonts w:ascii="宋体" w:hAnsi="宋体" w:eastAsia="宋体"/>
                <w:b w:val="0"/>
                <w:sz w:val="21"/>
              </w:rPr>
              <w:t>服务方案、范围说明、职责分工、服务流程图、报告模板、例会机制。</w:t>
            </w:r>
          </w:p>
        </w:tc>
      </w:tr>
      <w:tr w14:paraId="70F83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65FD551E">
            <w:pPr>
              <w:spacing w:after="0" w:line="240" w:lineRule="auto"/>
              <w:jc w:val="left"/>
            </w:pPr>
          </w:p>
        </w:tc>
        <w:tc>
          <w:tcPr>
            <w:tcW w:w="2721" w:type="dxa"/>
            <w:vAlign w:val="center"/>
          </w:tcPr>
          <w:p w14:paraId="6803B10A">
            <w:pPr>
              <w:spacing w:after="0" w:line="240" w:lineRule="auto"/>
              <w:jc w:val="left"/>
            </w:pPr>
            <w:r>
              <w:rPr>
                <w:rFonts w:ascii="宋体" w:hAnsi="宋体" w:eastAsia="宋体"/>
                <w:b w:val="0"/>
                <w:sz w:val="21"/>
              </w:rPr>
              <w:t>服务方案可执行性</w:t>
            </w:r>
          </w:p>
        </w:tc>
        <w:tc>
          <w:tcPr>
            <w:tcW w:w="850" w:type="dxa"/>
            <w:vAlign w:val="center"/>
          </w:tcPr>
          <w:p w14:paraId="3A0F1CD9">
            <w:pPr>
              <w:spacing w:after="0" w:line="240" w:lineRule="auto"/>
              <w:jc w:val="center"/>
            </w:pPr>
            <w:r>
              <w:rPr>
                <w:rFonts w:ascii="宋体" w:hAnsi="宋体" w:eastAsia="宋体"/>
                <w:b w:val="0"/>
                <w:sz w:val="21"/>
              </w:rPr>
              <w:t>6</w:t>
            </w:r>
          </w:p>
        </w:tc>
        <w:tc>
          <w:tcPr>
            <w:tcW w:w="5103" w:type="dxa"/>
            <w:vAlign w:val="center"/>
          </w:tcPr>
          <w:p w14:paraId="7802EC10">
            <w:pPr>
              <w:spacing w:after="0" w:line="240" w:lineRule="auto"/>
              <w:jc w:val="left"/>
            </w:pPr>
            <w:r>
              <w:rPr>
                <w:rFonts w:ascii="宋体" w:hAnsi="宋体" w:eastAsia="宋体"/>
                <w:b w:val="0"/>
                <w:sz w:val="21"/>
              </w:rPr>
              <w:t>方案执行路径清晰、适配采购场景，得 6 分；一般，得 3-5 分；可执行性弱，得 0-2 分。</w:t>
            </w:r>
          </w:p>
        </w:tc>
        <w:tc>
          <w:tcPr>
            <w:tcW w:w="4536" w:type="dxa"/>
            <w:vAlign w:val="center"/>
          </w:tcPr>
          <w:p w14:paraId="27AE1473">
            <w:pPr>
              <w:spacing w:after="0" w:line="240" w:lineRule="auto"/>
              <w:jc w:val="left"/>
            </w:pPr>
            <w:r>
              <w:rPr>
                <w:rFonts w:ascii="宋体" w:hAnsi="宋体" w:eastAsia="宋体"/>
                <w:b w:val="0"/>
                <w:sz w:val="21"/>
              </w:rPr>
              <w:t>实施路径、现场协同方案。</w:t>
            </w:r>
          </w:p>
        </w:tc>
      </w:tr>
      <w:tr w14:paraId="3BD7A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2A8304DF">
            <w:pPr>
              <w:spacing w:after="0" w:line="240" w:lineRule="auto"/>
              <w:jc w:val="left"/>
            </w:pPr>
            <w:r>
              <w:rPr>
                <w:rFonts w:ascii="宋体" w:hAnsi="宋体" w:eastAsia="宋体"/>
                <w:b w:val="0"/>
                <w:sz w:val="21"/>
              </w:rPr>
              <w:t>驻场与响应保障</w:t>
            </w:r>
          </w:p>
        </w:tc>
        <w:tc>
          <w:tcPr>
            <w:tcW w:w="2721" w:type="dxa"/>
            <w:vAlign w:val="center"/>
          </w:tcPr>
          <w:p w14:paraId="50FE0457">
            <w:pPr>
              <w:spacing w:after="0" w:line="240" w:lineRule="auto"/>
              <w:jc w:val="left"/>
            </w:pPr>
            <w:r>
              <w:rPr>
                <w:rFonts w:ascii="宋体" w:hAnsi="宋体" w:eastAsia="宋体"/>
                <w:b w:val="0"/>
                <w:sz w:val="21"/>
              </w:rPr>
              <w:t>驻场人员配置与稳定性保障</w:t>
            </w:r>
          </w:p>
        </w:tc>
        <w:tc>
          <w:tcPr>
            <w:tcW w:w="850" w:type="dxa"/>
            <w:vAlign w:val="center"/>
          </w:tcPr>
          <w:p w14:paraId="335A5640">
            <w:pPr>
              <w:spacing w:after="0" w:line="240" w:lineRule="auto"/>
              <w:jc w:val="center"/>
            </w:pPr>
            <w:r>
              <w:rPr>
                <w:rFonts w:ascii="宋体" w:hAnsi="宋体" w:eastAsia="宋体"/>
                <w:b w:val="0"/>
                <w:sz w:val="21"/>
              </w:rPr>
              <w:t>20</w:t>
            </w:r>
          </w:p>
        </w:tc>
        <w:tc>
          <w:tcPr>
            <w:tcW w:w="5103" w:type="dxa"/>
            <w:vAlign w:val="center"/>
          </w:tcPr>
          <w:p w14:paraId="2C0F77DB">
            <w:pPr>
              <w:spacing w:after="0" w:line="240" w:lineRule="auto"/>
              <w:jc w:val="left"/>
            </w:pPr>
            <w:r>
              <w:rPr>
                <w:rFonts w:ascii="宋体" w:hAnsi="宋体" w:eastAsia="宋体"/>
                <w:b w:val="0"/>
                <w:sz w:val="21"/>
              </w:rPr>
              <w:t>驻场人员数量充分、岗位结构合理、关键岗位齐备，且稳定性保障和替补机制明确，得 20 分；基本满足且稳定性安排较清晰，得 11-19 分；人员投入明显不足或替补机制较弱，得 0-10 分。</w:t>
            </w:r>
          </w:p>
        </w:tc>
        <w:tc>
          <w:tcPr>
            <w:tcW w:w="4536" w:type="dxa"/>
            <w:vAlign w:val="center"/>
          </w:tcPr>
          <w:p w14:paraId="44054C65">
            <w:pPr>
              <w:spacing w:after="0" w:line="240" w:lineRule="auto"/>
              <w:jc w:val="left"/>
            </w:pPr>
            <w:r>
              <w:rPr>
                <w:rFonts w:ascii="宋体" w:hAnsi="宋体" w:eastAsia="宋体"/>
                <w:b w:val="0"/>
                <w:sz w:val="21"/>
              </w:rPr>
              <w:t>驻场清单、岗位说明、资源投入计划、替补名单、稳定性承诺、人员管理机制。</w:t>
            </w:r>
          </w:p>
        </w:tc>
      </w:tr>
      <w:tr w14:paraId="6A8A5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058E7A54">
            <w:pPr>
              <w:spacing w:after="0" w:line="240" w:lineRule="auto"/>
              <w:jc w:val="left"/>
            </w:pPr>
          </w:p>
        </w:tc>
        <w:tc>
          <w:tcPr>
            <w:tcW w:w="2721" w:type="dxa"/>
            <w:vAlign w:val="center"/>
          </w:tcPr>
          <w:p w14:paraId="14417564">
            <w:pPr>
              <w:spacing w:after="0" w:line="240" w:lineRule="auto"/>
              <w:jc w:val="left"/>
            </w:pPr>
            <w:r>
              <w:rPr>
                <w:rFonts w:ascii="宋体" w:hAnsi="宋体" w:eastAsia="宋体"/>
                <w:b w:val="0"/>
                <w:sz w:val="21"/>
              </w:rPr>
              <w:t>响应时效与应急处置能力</w:t>
            </w:r>
          </w:p>
        </w:tc>
        <w:tc>
          <w:tcPr>
            <w:tcW w:w="850" w:type="dxa"/>
            <w:vAlign w:val="center"/>
          </w:tcPr>
          <w:p w14:paraId="73D72F67">
            <w:pPr>
              <w:spacing w:after="0" w:line="240" w:lineRule="auto"/>
              <w:jc w:val="center"/>
            </w:pPr>
            <w:r>
              <w:rPr>
                <w:rFonts w:ascii="宋体" w:hAnsi="宋体" w:eastAsia="宋体"/>
                <w:b w:val="0"/>
                <w:sz w:val="21"/>
              </w:rPr>
              <w:t>20</w:t>
            </w:r>
          </w:p>
        </w:tc>
        <w:tc>
          <w:tcPr>
            <w:tcW w:w="5103" w:type="dxa"/>
            <w:vAlign w:val="center"/>
          </w:tcPr>
          <w:p w14:paraId="51498704">
            <w:pPr>
              <w:spacing w:after="0" w:line="240" w:lineRule="auto"/>
              <w:jc w:val="left"/>
            </w:pPr>
            <w:r>
              <w:rPr>
                <w:rFonts w:ascii="宋体" w:hAnsi="宋体" w:eastAsia="宋体"/>
                <w:b w:val="0"/>
                <w:sz w:val="21"/>
              </w:rPr>
              <w:t>响应时效、升级路径、闭环机制明确且优于基本要求，应急预案、重大故障处置和专项支撑能力强，得 20 分；基本满足要求，得 11-19 分；响应或应急处置能力较弱，得 0-10 分。</w:t>
            </w:r>
          </w:p>
        </w:tc>
        <w:tc>
          <w:tcPr>
            <w:tcW w:w="4536" w:type="dxa"/>
            <w:vAlign w:val="center"/>
          </w:tcPr>
          <w:p w14:paraId="613AF3BC">
            <w:pPr>
              <w:spacing w:after="0" w:line="240" w:lineRule="auto"/>
              <w:jc w:val="left"/>
            </w:pPr>
            <w:r>
              <w:rPr>
                <w:rFonts w:ascii="宋体" w:hAnsi="宋体" w:eastAsia="宋体"/>
                <w:b w:val="0"/>
                <w:sz w:val="21"/>
              </w:rPr>
              <w:t>SLA、升级流程、值守安排、应急预案、值班机制、历史案例说明。</w:t>
            </w:r>
          </w:p>
        </w:tc>
      </w:tr>
      <w:tr w14:paraId="21414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1FA155B7">
            <w:pPr>
              <w:spacing w:after="0" w:line="240" w:lineRule="auto"/>
              <w:jc w:val="left"/>
            </w:pPr>
            <w:r>
              <w:rPr>
                <w:rFonts w:ascii="宋体" w:hAnsi="宋体" w:eastAsia="宋体"/>
                <w:b w:val="0"/>
                <w:sz w:val="21"/>
              </w:rPr>
              <w:t>持续服务与知识交接</w:t>
            </w:r>
          </w:p>
        </w:tc>
        <w:tc>
          <w:tcPr>
            <w:tcW w:w="2721" w:type="dxa"/>
            <w:vAlign w:val="center"/>
          </w:tcPr>
          <w:p w14:paraId="085E3AEA">
            <w:pPr>
              <w:spacing w:after="0" w:line="240" w:lineRule="auto"/>
              <w:jc w:val="left"/>
            </w:pPr>
            <w:r>
              <w:rPr>
                <w:rFonts w:ascii="宋体" w:hAnsi="宋体" w:eastAsia="宋体"/>
                <w:b w:val="0"/>
                <w:sz w:val="21"/>
              </w:rPr>
              <w:t>知识交接与持续优化机制</w:t>
            </w:r>
          </w:p>
        </w:tc>
        <w:tc>
          <w:tcPr>
            <w:tcW w:w="850" w:type="dxa"/>
            <w:vAlign w:val="center"/>
          </w:tcPr>
          <w:p w14:paraId="22E72016">
            <w:pPr>
              <w:spacing w:after="0" w:line="240" w:lineRule="auto"/>
              <w:jc w:val="center"/>
            </w:pPr>
            <w:r>
              <w:rPr>
                <w:rFonts w:ascii="宋体" w:hAnsi="宋体" w:eastAsia="宋体"/>
                <w:b w:val="0"/>
                <w:sz w:val="21"/>
              </w:rPr>
              <w:t>14</w:t>
            </w:r>
          </w:p>
        </w:tc>
        <w:tc>
          <w:tcPr>
            <w:tcW w:w="5103" w:type="dxa"/>
            <w:vAlign w:val="center"/>
          </w:tcPr>
          <w:p w14:paraId="67BFF7D4">
            <w:pPr>
              <w:spacing w:after="0" w:line="240" w:lineRule="auto"/>
              <w:jc w:val="left"/>
            </w:pPr>
            <w:r>
              <w:rPr>
                <w:rFonts w:ascii="宋体" w:hAnsi="宋体" w:eastAsia="宋体"/>
                <w:b w:val="0"/>
                <w:sz w:val="21"/>
              </w:rPr>
              <w:t>知识沉淀、文档维护、培训交接安排完整，具备持续优化、例会复盘、改进闭环机制，得 14 分；较完整，得 8-13 分；安排或机制不足，得 0-7 分。</w:t>
            </w:r>
          </w:p>
        </w:tc>
        <w:tc>
          <w:tcPr>
            <w:tcW w:w="4536" w:type="dxa"/>
            <w:vAlign w:val="center"/>
          </w:tcPr>
          <w:p w14:paraId="16EB917A">
            <w:pPr>
              <w:spacing w:after="0" w:line="240" w:lineRule="auto"/>
              <w:jc w:val="left"/>
            </w:pPr>
            <w:r>
              <w:rPr>
                <w:rFonts w:ascii="宋体" w:hAnsi="宋体" w:eastAsia="宋体"/>
                <w:b w:val="0"/>
                <w:sz w:val="21"/>
              </w:rPr>
              <w:t>知识库目录、交接计划、培训方案、复盘模板、改进机制、周报或月报样例。</w:t>
            </w:r>
          </w:p>
        </w:tc>
      </w:tr>
      <w:tr w14:paraId="14AEE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4F4B723F">
            <w:pPr>
              <w:spacing w:after="0" w:line="240" w:lineRule="auto"/>
              <w:jc w:val="left"/>
            </w:pPr>
            <w:r>
              <w:rPr>
                <w:rFonts w:ascii="宋体" w:hAnsi="宋体" w:eastAsia="宋体"/>
                <w:b w:val="0"/>
                <w:sz w:val="21"/>
              </w:rPr>
              <w:t>同类项目经验与服务治理能力</w:t>
            </w:r>
          </w:p>
        </w:tc>
        <w:tc>
          <w:tcPr>
            <w:tcW w:w="2721" w:type="dxa"/>
            <w:vAlign w:val="center"/>
          </w:tcPr>
          <w:p w14:paraId="12D1D5F6">
            <w:pPr>
              <w:spacing w:after="0" w:line="240" w:lineRule="auto"/>
              <w:jc w:val="left"/>
            </w:pPr>
            <w:r>
              <w:rPr>
                <w:rFonts w:ascii="宋体" w:hAnsi="宋体" w:eastAsia="宋体"/>
                <w:b w:val="0"/>
                <w:sz w:val="21"/>
              </w:rPr>
              <w:t>同类项目案例、资质与服务治理能力</w:t>
            </w:r>
          </w:p>
        </w:tc>
        <w:tc>
          <w:tcPr>
            <w:tcW w:w="850" w:type="dxa"/>
            <w:vAlign w:val="center"/>
          </w:tcPr>
          <w:p w14:paraId="2FCA9B8B">
            <w:pPr>
              <w:spacing w:after="0" w:line="240" w:lineRule="auto"/>
              <w:jc w:val="center"/>
            </w:pPr>
            <w:r>
              <w:rPr>
                <w:rFonts w:ascii="宋体" w:hAnsi="宋体" w:eastAsia="宋体"/>
                <w:b w:val="0"/>
                <w:sz w:val="21"/>
              </w:rPr>
              <w:t>15</w:t>
            </w:r>
          </w:p>
        </w:tc>
        <w:tc>
          <w:tcPr>
            <w:tcW w:w="5103" w:type="dxa"/>
            <w:vAlign w:val="center"/>
          </w:tcPr>
          <w:p w14:paraId="765617E1">
            <w:pPr>
              <w:spacing w:after="0" w:line="240" w:lineRule="auto"/>
              <w:jc w:val="left"/>
            </w:pPr>
            <w:r>
              <w:rPr>
                <w:rFonts w:ascii="宋体" w:hAnsi="宋体" w:eastAsia="宋体"/>
                <w:b w:val="0"/>
                <w:sz w:val="21"/>
              </w:rPr>
              <w:t>具备较丰富的同类项目实施经验，案例与本项目业务场景、服务方式和复杂程度匹配度高，同时具备与项目实施、驻场服务相关的资质认证、服务管理制度和SLA治理机制，得15分；项目经验或服务治理能力较好，得8-14分；同类项目经验较少、匹配度一般，或资质及治理机制支撑较弱，得0-7分。</w:t>
            </w:r>
          </w:p>
        </w:tc>
        <w:tc>
          <w:tcPr>
            <w:tcW w:w="4536" w:type="dxa"/>
            <w:vAlign w:val="center"/>
          </w:tcPr>
          <w:p w14:paraId="3A0BCD78">
            <w:pPr>
              <w:spacing w:after="0" w:line="240" w:lineRule="auto"/>
              <w:jc w:val="left"/>
            </w:pPr>
            <w:r>
              <w:rPr>
                <w:rFonts w:ascii="宋体" w:hAnsi="宋体" w:eastAsia="宋体"/>
                <w:b w:val="0"/>
                <w:sz w:val="21"/>
              </w:rPr>
              <w:t>同类项目合同关键页、验收证明、用户评价材料、项目成果说明、相关资质证书、服务管理制度文件、SLA治理机制说明等。</w:t>
            </w:r>
          </w:p>
        </w:tc>
      </w:tr>
      <w:tr w14:paraId="02454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6DE02C3A">
            <w:pPr>
              <w:spacing w:after="0" w:line="240" w:lineRule="auto"/>
              <w:jc w:val="left"/>
            </w:pPr>
            <w:r>
              <w:rPr>
                <w:rFonts w:ascii="宋体" w:hAnsi="宋体" w:eastAsia="宋体"/>
                <w:b w:val="0"/>
                <w:sz w:val="21"/>
              </w:rPr>
              <w:t>商务响应与文件质量</w:t>
            </w:r>
          </w:p>
        </w:tc>
        <w:tc>
          <w:tcPr>
            <w:tcW w:w="2721" w:type="dxa"/>
            <w:vAlign w:val="center"/>
          </w:tcPr>
          <w:p w14:paraId="62B41967">
            <w:pPr>
              <w:spacing w:after="0" w:line="240" w:lineRule="auto"/>
              <w:jc w:val="left"/>
            </w:pPr>
            <w:r>
              <w:rPr>
                <w:rFonts w:ascii="宋体" w:hAnsi="宋体" w:eastAsia="宋体"/>
                <w:b w:val="0"/>
                <w:sz w:val="21"/>
              </w:rPr>
              <w:t>商务响应与文件完整性</w:t>
            </w:r>
          </w:p>
        </w:tc>
        <w:tc>
          <w:tcPr>
            <w:tcW w:w="850" w:type="dxa"/>
            <w:vAlign w:val="center"/>
          </w:tcPr>
          <w:p w14:paraId="3FEC591B">
            <w:pPr>
              <w:spacing w:after="0" w:line="240" w:lineRule="auto"/>
              <w:jc w:val="center"/>
            </w:pPr>
            <w:r>
              <w:rPr>
                <w:rFonts w:ascii="宋体" w:hAnsi="宋体" w:eastAsia="宋体"/>
                <w:b w:val="0"/>
                <w:sz w:val="21"/>
              </w:rPr>
              <w:t>12</w:t>
            </w:r>
          </w:p>
        </w:tc>
        <w:tc>
          <w:tcPr>
            <w:tcW w:w="5103" w:type="dxa"/>
            <w:vAlign w:val="center"/>
          </w:tcPr>
          <w:p w14:paraId="3518A14B">
            <w:pPr>
              <w:spacing w:after="0" w:line="240" w:lineRule="auto"/>
              <w:jc w:val="left"/>
            </w:pPr>
            <w:r>
              <w:rPr>
                <w:rFonts w:ascii="宋体" w:hAnsi="宋体" w:eastAsia="宋体"/>
                <w:b w:val="0"/>
                <w:sz w:val="21"/>
              </w:rPr>
              <w:t>商务承诺明确、违约处理和资源补偿机制清晰，响应文件完整、结构清晰、排版规范、检索方便，得 12 分；整体较好，得 7-11 分；较弱，得 0-6 分。</w:t>
            </w:r>
          </w:p>
        </w:tc>
        <w:tc>
          <w:tcPr>
            <w:tcW w:w="4536" w:type="dxa"/>
            <w:vAlign w:val="center"/>
          </w:tcPr>
          <w:p w14:paraId="5F835E27">
            <w:pPr>
              <w:spacing w:after="0" w:line="240" w:lineRule="auto"/>
              <w:jc w:val="left"/>
            </w:pPr>
            <w:r>
              <w:rPr>
                <w:rFonts w:ascii="宋体" w:hAnsi="宋体" w:eastAsia="宋体"/>
                <w:b w:val="0"/>
                <w:sz w:val="21"/>
              </w:rPr>
              <w:t>商务承诺函、违约处理条款响应、响应文件目录、盖章签字、版本控制。</w:t>
            </w:r>
          </w:p>
        </w:tc>
      </w:tr>
    </w:tbl>
    <w:p w14:paraId="3A0A5AD6">
      <w:pPr>
        <w:spacing w:before="120" w:after="80"/>
      </w:pPr>
      <w:r>
        <w:rPr>
          <w:rFonts w:ascii="黑体" w:hAnsi="黑体" w:eastAsia="黑体"/>
          <w:b/>
          <w:sz w:val="26"/>
        </w:rPr>
        <w:t>四、统一报价评分标准</w:t>
      </w:r>
    </w:p>
    <w:p w14:paraId="643B7B67">
      <w:pPr>
        <w:spacing w:after="60"/>
        <w:ind w:firstLine="420"/>
      </w:pPr>
      <w:r>
        <w:rPr>
          <w:rFonts w:ascii="宋体" w:hAnsi="宋体" w:eastAsia="宋体"/>
          <w:sz w:val="24"/>
          <w:szCs w:val="24"/>
        </w:rPr>
        <w:t>供应商应按本项目完整范围提交一份整包统一有效报价，不再区分定制开发和驻场运维分别报价。统一报价评分满分100分。</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5"/>
        <w:gridCol w:w="2805"/>
        <w:gridCol w:w="2805"/>
        <w:gridCol w:w="2805"/>
        <w:gridCol w:w="2805"/>
      </w:tblGrid>
      <w:tr w14:paraId="79A3A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AF7"/>
            <w:vAlign w:val="center"/>
          </w:tcPr>
          <w:p w14:paraId="01CF3EB2">
            <w:pPr>
              <w:spacing w:after="0" w:line="240" w:lineRule="auto"/>
              <w:jc w:val="center"/>
            </w:pPr>
            <w:r>
              <w:rPr>
                <w:rFonts w:ascii="黑体" w:hAnsi="黑体" w:eastAsia="黑体"/>
                <w:b/>
                <w:sz w:val="21"/>
              </w:rPr>
              <w:t>评审大项</w:t>
            </w:r>
          </w:p>
        </w:tc>
        <w:tc>
          <w:tcPr>
            <w:tcW w:w="2551" w:type="dxa"/>
            <w:shd w:val="clear" w:color="auto" w:fill="D9EAF7"/>
            <w:vAlign w:val="center"/>
          </w:tcPr>
          <w:p w14:paraId="19EAE32A">
            <w:pPr>
              <w:spacing w:after="0" w:line="240" w:lineRule="auto"/>
              <w:jc w:val="center"/>
            </w:pPr>
            <w:r>
              <w:rPr>
                <w:rFonts w:ascii="黑体" w:hAnsi="黑体" w:eastAsia="黑体"/>
                <w:b/>
                <w:sz w:val="21"/>
              </w:rPr>
              <w:t>评审子项</w:t>
            </w:r>
          </w:p>
        </w:tc>
        <w:tc>
          <w:tcPr>
            <w:tcW w:w="1020" w:type="dxa"/>
            <w:shd w:val="clear" w:color="auto" w:fill="D9EAF7"/>
            <w:vAlign w:val="center"/>
          </w:tcPr>
          <w:p w14:paraId="381B32C7">
            <w:pPr>
              <w:spacing w:after="0" w:line="240" w:lineRule="auto"/>
              <w:jc w:val="center"/>
            </w:pPr>
            <w:r>
              <w:rPr>
                <w:rFonts w:ascii="黑体" w:hAnsi="黑体" w:eastAsia="黑体"/>
                <w:b/>
                <w:sz w:val="21"/>
              </w:rPr>
              <w:t>分值</w:t>
            </w:r>
          </w:p>
        </w:tc>
        <w:tc>
          <w:tcPr>
            <w:tcW w:w="5670" w:type="dxa"/>
            <w:shd w:val="clear" w:color="auto" w:fill="D9EAF7"/>
            <w:vAlign w:val="center"/>
          </w:tcPr>
          <w:p w14:paraId="03DC987C">
            <w:pPr>
              <w:spacing w:after="0" w:line="240" w:lineRule="auto"/>
              <w:jc w:val="center"/>
            </w:pPr>
            <w:r>
              <w:rPr>
                <w:rFonts w:ascii="黑体" w:hAnsi="黑体" w:eastAsia="黑体"/>
                <w:b/>
                <w:sz w:val="21"/>
              </w:rPr>
              <w:t>评分标准</w:t>
            </w:r>
          </w:p>
        </w:tc>
        <w:tc>
          <w:tcPr>
            <w:tcW w:w="3855" w:type="dxa"/>
            <w:shd w:val="clear" w:color="auto" w:fill="D9EAF7"/>
            <w:vAlign w:val="center"/>
          </w:tcPr>
          <w:p w14:paraId="0BBF71CD">
            <w:pPr>
              <w:spacing w:after="0" w:line="240" w:lineRule="auto"/>
              <w:jc w:val="center"/>
            </w:pPr>
            <w:r>
              <w:rPr>
                <w:rFonts w:ascii="黑体" w:hAnsi="黑体" w:eastAsia="黑体"/>
                <w:b/>
                <w:sz w:val="21"/>
              </w:rPr>
              <w:t>评分依据/证明材料</w:t>
            </w:r>
          </w:p>
        </w:tc>
      </w:tr>
      <w:tr w14:paraId="472B7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19B729F">
            <w:pPr>
              <w:spacing w:after="0" w:line="240" w:lineRule="auto"/>
              <w:jc w:val="left"/>
            </w:pPr>
            <w:r>
              <w:rPr>
                <w:rFonts w:ascii="宋体" w:hAnsi="宋体" w:eastAsia="宋体"/>
                <w:b w:val="0"/>
                <w:sz w:val="21"/>
              </w:rPr>
              <w:t>价格评分</w:t>
            </w:r>
          </w:p>
        </w:tc>
        <w:tc>
          <w:tcPr>
            <w:tcW w:w="2551" w:type="dxa"/>
            <w:vAlign w:val="center"/>
          </w:tcPr>
          <w:p w14:paraId="092A3310">
            <w:pPr>
              <w:spacing w:after="0" w:line="240" w:lineRule="auto"/>
              <w:jc w:val="left"/>
            </w:pPr>
            <w:r>
              <w:rPr>
                <w:rFonts w:ascii="宋体" w:hAnsi="宋体" w:eastAsia="宋体"/>
                <w:b w:val="0"/>
                <w:sz w:val="21"/>
              </w:rPr>
              <w:t>统一报价得分</w:t>
            </w:r>
          </w:p>
        </w:tc>
        <w:tc>
          <w:tcPr>
            <w:tcW w:w="1020" w:type="dxa"/>
            <w:vAlign w:val="center"/>
          </w:tcPr>
          <w:p w14:paraId="4EE14A2A">
            <w:pPr>
              <w:spacing w:after="0" w:line="240" w:lineRule="auto"/>
              <w:jc w:val="center"/>
            </w:pPr>
            <w:r>
              <w:rPr>
                <w:rFonts w:ascii="宋体" w:hAnsi="宋体" w:eastAsia="宋体"/>
                <w:b w:val="0"/>
                <w:sz w:val="21"/>
              </w:rPr>
              <w:t>100</w:t>
            </w:r>
          </w:p>
        </w:tc>
        <w:tc>
          <w:tcPr>
            <w:tcW w:w="5670" w:type="dxa"/>
            <w:vAlign w:val="center"/>
          </w:tcPr>
          <w:p w14:paraId="7A5E5957">
            <w:pPr>
              <w:spacing w:after="0" w:line="240" w:lineRule="auto"/>
              <w:jc w:val="left"/>
            </w:pPr>
            <w:r>
              <w:rPr>
                <w:rFonts w:ascii="宋体" w:hAnsi="宋体" w:eastAsia="宋体"/>
                <w:b w:val="0"/>
                <w:sz w:val="21"/>
              </w:rPr>
              <w:t>价格部分采用最低有效报价比例法，最低有效报价得满分 100 分，其他供应商按“最低有效报价/本供应商有效报价×100”折算。</w:t>
            </w:r>
          </w:p>
        </w:tc>
        <w:tc>
          <w:tcPr>
            <w:tcW w:w="3855" w:type="dxa"/>
            <w:vAlign w:val="center"/>
          </w:tcPr>
          <w:p w14:paraId="3041B471">
            <w:pPr>
              <w:spacing w:after="0" w:line="240" w:lineRule="auto"/>
              <w:jc w:val="left"/>
            </w:pPr>
            <w:r>
              <w:rPr>
                <w:rFonts w:ascii="宋体" w:hAnsi="宋体" w:eastAsia="宋体"/>
                <w:b w:val="0"/>
                <w:sz w:val="21"/>
              </w:rPr>
              <w:t>有效报价表、澄清函、报价一览表等。</w:t>
            </w:r>
          </w:p>
        </w:tc>
      </w:tr>
    </w:tbl>
    <w:p w14:paraId="1B7D7D48">
      <w:pPr>
        <w:spacing w:before="120" w:after="80"/>
      </w:pPr>
      <w:r>
        <w:rPr>
          <w:rFonts w:ascii="黑体" w:hAnsi="黑体" w:eastAsia="黑体"/>
          <w:b/>
          <w:sz w:val="26"/>
        </w:rPr>
        <w:t>五、综合评分权重及计算方式</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13"/>
        <w:gridCol w:w="7013"/>
      </w:tblGrid>
      <w:tr w14:paraId="16DC7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D9EAF7"/>
            <w:vAlign w:val="center"/>
          </w:tcPr>
          <w:p w14:paraId="7A9EB232">
            <w:pPr>
              <w:spacing w:after="0" w:line="240" w:lineRule="auto"/>
              <w:jc w:val="center"/>
            </w:pPr>
            <w:r>
              <w:rPr>
                <w:rFonts w:ascii="黑体" w:hAnsi="黑体" w:eastAsia="黑体"/>
                <w:b/>
                <w:sz w:val="21"/>
              </w:rPr>
              <w:t>评分部分</w:t>
            </w:r>
          </w:p>
        </w:tc>
        <w:tc>
          <w:tcPr>
            <w:tcW w:w="2268" w:type="dxa"/>
            <w:shd w:val="clear" w:color="auto" w:fill="D9EAF7"/>
            <w:vAlign w:val="center"/>
          </w:tcPr>
          <w:p w14:paraId="0B92CBC2">
            <w:pPr>
              <w:spacing w:after="0" w:line="240" w:lineRule="auto"/>
              <w:jc w:val="center"/>
            </w:pPr>
            <w:r>
              <w:rPr>
                <w:rFonts w:ascii="黑体" w:hAnsi="黑体" w:eastAsia="黑体"/>
                <w:b/>
                <w:sz w:val="21"/>
              </w:rPr>
              <w:t>权重</w:t>
            </w:r>
          </w:p>
        </w:tc>
      </w:tr>
      <w:tr w14:paraId="43372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vAlign w:val="center"/>
          </w:tcPr>
          <w:p w14:paraId="7D797EBA">
            <w:pPr>
              <w:spacing w:after="0" w:line="240" w:lineRule="auto"/>
              <w:jc w:val="left"/>
            </w:pPr>
            <w:r>
              <w:rPr>
                <w:rFonts w:ascii="宋体" w:hAnsi="宋体" w:eastAsia="宋体"/>
                <w:b w:val="0"/>
                <w:sz w:val="21"/>
              </w:rPr>
              <w:t>资质评分权重（%）</w:t>
            </w:r>
          </w:p>
        </w:tc>
        <w:tc>
          <w:tcPr>
            <w:tcW w:w="2268" w:type="dxa"/>
            <w:vAlign w:val="center"/>
          </w:tcPr>
          <w:p w14:paraId="4807AFCE">
            <w:pPr>
              <w:spacing w:after="0" w:line="240" w:lineRule="auto"/>
              <w:jc w:val="left"/>
            </w:pPr>
            <w:r>
              <w:rPr>
                <w:rFonts w:ascii="宋体" w:hAnsi="宋体" w:eastAsia="宋体"/>
                <w:b w:val="0"/>
                <w:sz w:val="21"/>
              </w:rPr>
              <w:t>10%</w:t>
            </w:r>
          </w:p>
        </w:tc>
      </w:tr>
      <w:tr w14:paraId="042DD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vAlign w:val="center"/>
          </w:tcPr>
          <w:p w14:paraId="5D1A5DA6">
            <w:pPr>
              <w:spacing w:after="0" w:line="240" w:lineRule="auto"/>
              <w:jc w:val="left"/>
            </w:pPr>
            <w:r>
              <w:rPr>
                <w:rFonts w:ascii="宋体" w:hAnsi="宋体" w:eastAsia="宋体"/>
                <w:b w:val="0"/>
                <w:sz w:val="21"/>
              </w:rPr>
              <w:t>定制开发权重（%）</w:t>
            </w:r>
          </w:p>
        </w:tc>
        <w:tc>
          <w:tcPr>
            <w:tcW w:w="2268" w:type="dxa"/>
            <w:vAlign w:val="center"/>
          </w:tcPr>
          <w:p w14:paraId="2C1AFFA4">
            <w:pPr>
              <w:spacing w:after="0" w:line="240" w:lineRule="auto"/>
              <w:jc w:val="left"/>
            </w:pPr>
            <w:r>
              <w:rPr>
                <w:rFonts w:ascii="宋体" w:hAnsi="宋体" w:eastAsia="宋体"/>
                <w:b w:val="0"/>
                <w:sz w:val="21"/>
              </w:rPr>
              <w:t>40%</w:t>
            </w:r>
          </w:p>
        </w:tc>
      </w:tr>
      <w:tr w14:paraId="08651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vAlign w:val="center"/>
          </w:tcPr>
          <w:p w14:paraId="1D0BE595">
            <w:pPr>
              <w:spacing w:after="0" w:line="240" w:lineRule="auto"/>
              <w:jc w:val="left"/>
            </w:pPr>
            <w:r>
              <w:rPr>
                <w:rFonts w:ascii="宋体" w:hAnsi="宋体" w:eastAsia="宋体"/>
                <w:b w:val="0"/>
                <w:sz w:val="21"/>
              </w:rPr>
              <w:t>驻场运维权重（%）</w:t>
            </w:r>
          </w:p>
        </w:tc>
        <w:tc>
          <w:tcPr>
            <w:tcW w:w="2268" w:type="dxa"/>
            <w:vAlign w:val="center"/>
          </w:tcPr>
          <w:p w14:paraId="02437AB6">
            <w:pPr>
              <w:spacing w:after="0" w:line="240" w:lineRule="auto"/>
              <w:jc w:val="left"/>
            </w:pPr>
            <w:r>
              <w:rPr>
                <w:rFonts w:ascii="宋体" w:hAnsi="宋体" w:eastAsia="宋体"/>
                <w:b w:val="0"/>
                <w:sz w:val="21"/>
              </w:rPr>
              <w:t>20%</w:t>
            </w:r>
          </w:p>
        </w:tc>
      </w:tr>
      <w:tr w14:paraId="01AE1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vAlign w:val="center"/>
          </w:tcPr>
          <w:p w14:paraId="1E05C7A9">
            <w:pPr>
              <w:spacing w:after="0" w:line="240" w:lineRule="auto"/>
              <w:jc w:val="left"/>
            </w:pPr>
            <w:r>
              <w:rPr>
                <w:rFonts w:ascii="宋体" w:hAnsi="宋体" w:eastAsia="宋体"/>
                <w:b w:val="0"/>
                <w:sz w:val="21"/>
              </w:rPr>
              <w:t>统一报价权重（%）</w:t>
            </w:r>
          </w:p>
        </w:tc>
        <w:tc>
          <w:tcPr>
            <w:tcW w:w="2268" w:type="dxa"/>
            <w:vAlign w:val="center"/>
          </w:tcPr>
          <w:p w14:paraId="203F7FF2">
            <w:pPr>
              <w:spacing w:after="0" w:line="240" w:lineRule="auto"/>
              <w:jc w:val="left"/>
            </w:pPr>
            <w:r>
              <w:rPr>
                <w:rFonts w:ascii="宋体" w:hAnsi="宋体" w:eastAsia="宋体"/>
                <w:b w:val="0"/>
                <w:sz w:val="21"/>
              </w:rPr>
              <w:t>30%</w:t>
            </w:r>
          </w:p>
        </w:tc>
      </w:tr>
    </w:tbl>
    <w:p w14:paraId="78D976D1">
      <w:pPr>
        <w:spacing w:after="60"/>
        <w:rPr>
          <w:sz w:val="24"/>
          <w:szCs w:val="24"/>
        </w:rPr>
      </w:pPr>
      <w:r>
        <w:rPr>
          <w:rFonts w:ascii="宋体" w:hAnsi="宋体" w:eastAsia="宋体"/>
          <w:sz w:val="24"/>
          <w:szCs w:val="24"/>
        </w:rPr>
        <w:t>综合评审得分计算公式：</w:t>
      </w:r>
    </w:p>
    <w:p w14:paraId="36C6B31F">
      <w:pPr>
        <w:spacing w:after="60"/>
        <w:rPr>
          <w:sz w:val="24"/>
          <w:szCs w:val="24"/>
        </w:rPr>
      </w:pPr>
      <w:r>
        <w:rPr>
          <w:rFonts w:ascii="宋体" w:hAnsi="宋体" w:eastAsia="宋体"/>
          <w:sz w:val="24"/>
          <w:szCs w:val="24"/>
        </w:rPr>
        <w:t>综合评审得分 = 资质评分总分 × 10% + 定制开发总分 × 40% + 驻场运维总分 × 20% + 统一报价总分 × 30%。</w:t>
      </w:r>
    </w:p>
    <w:p w14:paraId="26A3D26E">
      <w:pPr>
        <w:spacing w:after="60"/>
        <w:rPr>
          <w:sz w:val="24"/>
          <w:szCs w:val="24"/>
        </w:rPr>
      </w:pPr>
      <w:r>
        <w:rPr>
          <w:rFonts w:ascii="宋体" w:hAnsi="宋体" w:eastAsia="宋体"/>
          <w:sz w:val="24"/>
          <w:szCs w:val="24"/>
        </w:rPr>
        <w:t>统一报价得分计算公式：统一报价得分 = 最低有效报价 ÷ 本供应商有效报价 × 100。</w:t>
      </w:r>
    </w:p>
    <w:p w14:paraId="4A62CEF1">
      <w:pPr>
        <w:spacing w:after="60"/>
        <w:ind w:firstLine="420"/>
        <w:rPr>
          <w:rFonts w:hint="eastAsia" w:ascii="宋体" w:hAnsi="宋体" w:eastAsia="宋体" w:cstheme="minorBidi"/>
          <w:color w:val="000000"/>
          <w:kern w:val="2"/>
          <w:sz w:val="24"/>
          <w:szCs w:val="24"/>
          <w:highlight w:val="none"/>
          <w:lang w:val="en-US" w:eastAsia="en-US" w:bidi="ar-SA"/>
          <w14:ligatures w14:val="standardContextual"/>
        </w:rPr>
      </w:pPr>
      <w:r>
        <w:rPr>
          <w:rFonts w:ascii="宋体" w:hAnsi="宋体" w:eastAsia="宋体"/>
          <w:sz w:val="24"/>
          <w:szCs w:val="24"/>
        </w:rPr>
        <w:t>本项目采用资质评分、定制开发评分、驻场运维评分、统一报价评分四部分加权汇总方式进行综合评审；综合得分按从高到低排序，分值相同的，名次并列。</w:t>
      </w:r>
    </w:p>
    <w:sectPr>
      <w:pgSz w:w="16838" w:h="11906" w:orient="landscape"/>
      <w:pgMar w:top="1800" w:right="1440" w:bottom="1800" w:left="144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Malgun Gothic">
    <w:panose1 w:val="020B0503020000020004"/>
    <w:charset w:val="81"/>
    <w:family w:val="swiss"/>
    <w:pitch w:val="default"/>
    <w:sig w:usb0="9000002F" w:usb1="29D77CFB" w:usb2="00000012" w:usb3="00000000" w:csb0="00080001" w:csb1="00000000"/>
  </w:font>
  <w:font w:name="Bookman Old Style">
    <w:panose1 w:val="02050604050505020204"/>
    <w:charset w:val="00"/>
    <w:family w:val="roman"/>
    <w:pitch w:val="default"/>
    <w:sig w:usb0="00000287" w:usb1="00000000" w:usb2="00000000" w:usb3="00000000" w:csb0="2000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A112E4"/>
    <w:multiLevelType w:val="singleLevel"/>
    <w:tmpl w:val="A3A112E4"/>
    <w:lvl w:ilvl="0" w:tentative="0">
      <w:start w:val="3"/>
      <w:numFmt w:val="decimal"/>
      <w:suff w:val="nothing"/>
      <w:lvlText w:val="（%1）"/>
      <w:lvlJc w:val="left"/>
    </w:lvl>
  </w:abstractNum>
  <w:abstractNum w:abstractNumId="1">
    <w:nsid w:val="A88D32EE"/>
    <w:multiLevelType w:val="singleLevel"/>
    <w:tmpl w:val="A88D32EE"/>
    <w:lvl w:ilvl="0" w:tentative="0">
      <w:start w:val="1"/>
      <w:numFmt w:val="decimal"/>
      <w:lvlText w:val="(%1)"/>
      <w:lvlJc w:val="left"/>
      <w:pPr>
        <w:ind w:left="425" w:hanging="425"/>
      </w:pPr>
      <w:rPr>
        <w:rFonts w:hint="default"/>
      </w:rPr>
    </w:lvl>
  </w:abstractNum>
  <w:abstractNum w:abstractNumId="2">
    <w:nsid w:val="BC586F5C"/>
    <w:multiLevelType w:val="singleLevel"/>
    <w:tmpl w:val="BC586F5C"/>
    <w:lvl w:ilvl="0" w:tentative="0">
      <w:start w:val="1"/>
      <w:numFmt w:val="decimalEnclosedCircleChinese"/>
      <w:suff w:val="nothing"/>
      <w:lvlText w:val="%1　"/>
      <w:lvlJc w:val="left"/>
      <w:pPr>
        <w:ind w:left="0" w:firstLine="400"/>
      </w:pPr>
      <w:rPr>
        <w:rFonts w:hint="eastAsia"/>
      </w:rPr>
    </w:lvl>
  </w:abstractNum>
  <w:abstractNum w:abstractNumId="3">
    <w:nsid w:val="C3A4419A"/>
    <w:multiLevelType w:val="singleLevel"/>
    <w:tmpl w:val="C3A4419A"/>
    <w:lvl w:ilvl="0" w:tentative="0">
      <w:start w:val="1"/>
      <w:numFmt w:val="decimal"/>
      <w:lvlText w:val="(%1)"/>
      <w:lvlJc w:val="left"/>
      <w:pPr>
        <w:ind w:left="425" w:hanging="425"/>
      </w:pPr>
      <w:rPr>
        <w:rFonts w:hint="default"/>
      </w:rPr>
    </w:lvl>
  </w:abstractNum>
  <w:abstractNum w:abstractNumId="4">
    <w:nsid w:val="DD70BE16"/>
    <w:multiLevelType w:val="singleLevel"/>
    <w:tmpl w:val="DD70BE16"/>
    <w:lvl w:ilvl="0" w:tentative="0">
      <w:start w:val="1"/>
      <w:numFmt w:val="decimal"/>
      <w:suff w:val="nothing"/>
      <w:lvlText w:val="（%1）"/>
      <w:lvlJc w:val="left"/>
    </w:lvl>
  </w:abstractNum>
  <w:abstractNum w:abstractNumId="5">
    <w:nsid w:val="14DF6EF8"/>
    <w:multiLevelType w:val="singleLevel"/>
    <w:tmpl w:val="14DF6EF8"/>
    <w:lvl w:ilvl="0" w:tentative="0">
      <w:start w:val="1"/>
      <w:numFmt w:val="decimal"/>
      <w:suff w:val="nothing"/>
      <w:lvlText w:val="（%1）"/>
      <w:lvlJc w:val="left"/>
    </w:lvl>
  </w:abstractNum>
  <w:abstractNum w:abstractNumId="6">
    <w:nsid w:val="5B56AB14"/>
    <w:multiLevelType w:val="singleLevel"/>
    <w:tmpl w:val="5B56AB14"/>
    <w:lvl w:ilvl="0" w:tentative="0">
      <w:start w:val="2"/>
      <w:numFmt w:val="decimal"/>
      <w:suff w:val="nothing"/>
      <w:lvlText w:val="%1、"/>
      <w:lvlJc w:val="left"/>
    </w:lvl>
  </w:abstractNum>
  <w:num w:numId="1">
    <w:abstractNumId w:val="0"/>
  </w:num>
  <w:num w:numId="2">
    <w:abstractNumId w:val="2"/>
  </w:num>
  <w:num w:numId="3">
    <w:abstractNumId w:val="4"/>
  </w:num>
  <w:num w:numId="4">
    <w:abstractNumId w:val="5"/>
  </w:num>
  <w:num w:numId="5">
    <w:abstractNumId w:val="3"/>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M1OGY0YzUxOGUwMGRlNDIwYzU4YWQ4MGUxYzQ3NWUifQ=="/>
  </w:docVars>
  <w:rsids>
    <w:rsidRoot w:val="006E163B"/>
    <w:rsid w:val="000327F8"/>
    <w:rsid w:val="00120916"/>
    <w:rsid w:val="002D53DC"/>
    <w:rsid w:val="002E5AC5"/>
    <w:rsid w:val="002F0200"/>
    <w:rsid w:val="003A0F1D"/>
    <w:rsid w:val="004246B8"/>
    <w:rsid w:val="004F3DDE"/>
    <w:rsid w:val="004F572F"/>
    <w:rsid w:val="005119F1"/>
    <w:rsid w:val="00516EBC"/>
    <w:rsid w:val="00582EDC"/>
    <w:rsid w:val="005E17AD"/>
    <w:rsid w:val="006E163B"/>
    <w:rsid w:val="00773584"/>
    <w:rsid w:val="007A488C"/>
    <w:rsid w:val="009513B9"/>
    <w:rsid w:val="00A03C72"/>
    <w:rsid w:val="00A53AE5"/>
    <w:rsid w:val="00C35A22"/>
    <w:rsid w:val="00D1200F"/>
    <w:rsid w:val="00D61060"/>
    <w:rsid w:val="00D87470"/>
    <w:rsid w:val="00E94339"/>
    <w:rsid w:val="01E46D89"/>
    <w:rsid w:val="022E44A8"/>
    <w:rsid w:val="024257EC"/>
    <w:rsid w:val="02C46D8B"/>
    <w:rsid w:val="03051D7B"/>
    <w:rsid w:val="03D76B0F"/>
    <w:rsid w:val="04090D29"/>
    <w:rsid w:val="050E2700"/>
    <w:rsid w:val="05485881"/>
    <w:rsid w:val="06341CBC"/>
    <w:rsid w:val="06530640"/>
    <w:rsid w:val="06935222"/>
    <w:rsid w:val="082C1C1A"/>
    <w:rsid w:val="08A32C6C"/>
    <w:rsid w:val="08BC39F0"/>
    <w:rsid w:val="09022809"/>
    <w:rsid w:val="09736C45"/>
    <w:rsid w:val="0AF3003D"/>
    <w:rsid w:val="0C5368DA"/>
    <w:rsid w:val="0D0D2949"/>
    <w:rsid w:val="0E46753C"/>
    <w:rsid w:val="0E7B0A75"/>
    <w:rsid w:val="0FD50659"/>
    <w:rsid w:val="0FED02DB"/>
    <w:rsid w:val="11D14E7D"/>
    <w:rsid w:val="12A367ED"/>
    <w:rsid w:val="14291F27"/>
    <w:rsid w:val="144641F2"/>
    <w:rsid w:val="14E8107C"/>
    <w:rsid w:val="154B6D8C"/>
    <w:rsid w:val="15BB5FEB"/>
    <w:rsid w:val="16194510"/>
    <w:rsid w:val="187F5CF4"/>
    <w:rsid w:val="198F7ACB"/>
    <w:rsid w:val="1ACD301F"/>
    <w:rsid w:val="1B0F7EBC"/>
    <w:rsid w:val="1B17349C"/>
    <w:rsid w:val="1B9969DF"/>
    <w:rsid w:val="1C3E1334"/>
    <w:rsid w:val="1C7A05BE"/>
    <w:rsid w:val="1DF64520"/>
    <w:rsid w:val="1EA9518B"/>
    <w:rsid w:val="1EE95587"/>
    <w:rsid w:val="229434A3"/>
    <w:rsid w:val="23B32608"/>
    <w:rsid w:val="23FF75FB"/>
    <w:rsid w:val="24B70E08"/>
    <w:rsid w:val="259A75DB"/>
    <w:rsid w:val="25B67503"/>
    <w:rsid w:val="25D2070A"/>
    <w:rsid w:val="25E1501D"/>
    <w:rsid w:val="25FC28AD"/>
    <w:rsid w:val="262424BC"/>
    <w:rsid w:val="26B66697"/>
    <w:rsid w:val="29104DBC"/>
    <w:rsid w:val="29BE7276"/>
    <w:rsid w:val="29C0782D"/>
    <w:rsid w:val="2AD61967"/>
    <w:rsid w:val="2B564354"/>
    <w:rsid w:val="2B6909BB"/>
    <w:rsid w:val="2BEA603F"/>
    <w:rsid w:val="2D1C7470"/>
    <w:rsid w:val="2D285E15"/>
    <w:rsid w:val="2D8240DF"/>
    <w:rsid w:val="2DCE1C54"/>
    <w:rsid w:val="2F504FEB"/>
    <w:rsid w:val="30083291"/>
    <w:rsid w:val="310B5831"/>
    <w:rsid w:val="326C0551"/>
    <w:rsid w:val="33597E3C"/>
    <w:rsid w:val="33CE4B42"/>
    <w:rsid w:val="340C5F43"/>
    <w:rsid w:val="342650B6"/>
    <w:rsid w:val="34C41B45"/>
    <w:rsid w:val="3547178A"/>
    <w:rsid w:val="37C8622A"/>
    <w:rsid w:val="38036A00"/>
    <w:rsid w:val="38084878"/>
    <w:rsid w:val="39027D32"/>
    <w:rsid w:val="3A7E085A"/>
    <w:rsid w:val="3ADB44C6"/>
    <w:rsid w:val="3B1D688D"/>
    <w:rsid w:val="3BD84C10"/>
    <w:rsid w:val="3C6923E4"/>
    <w:rsid w:val="3D1912D6"/>
    <w:rsid w:val="3D495D88"/>
    <w:rsid w:val="3E3A1504"/>
    <w:rsid w:val="3E4F1453"/>
    <w:rsid w:val="3EBF32D1"/>
    <w:rsid w:val="3F5F268D"/>
    <w:rsid w:val="3FEB18D8"/>
    <w:rsid w:val="412546F1"/>
    <w:rsid w:val="4192291B"/>
    <w:rsid w:val="43C5095E"/>
    <w:rsid w:val="44C85ABB"/>
    <w:rsid w:val="45F60406"/>
    <w:rsid w:val="464472EE"/>
    <w:rsid w:val="464C04FA"/>
    <w:rsid w:val="47EC1AC1"/>
    <w:rsid w:val="493016D7"/>
    <w:rsid w:val="49855FD9"/>
    <w:rsid w:val="4AC76815"/>
    <w:rsid w:val="4BB919CD"/>
    <w:rsid w:val="4D7471F9"/>
    <w:rsid w:val="4DAC2D37"/>
    <w:rsid w:val="4F8B2322"/>
    <w:rsid w:val="500707B0"/>
    <w:rsid w:val="508D27A6"/>
    <w:rsid w:val="50AF4E94"/>
    <w:rsid w:val="51A258E6"/>
    <w:rsid w:val="51BC1787"/>
    <w:rsid w:val="51D215A9"/>
    <w:rsid w:val="52171E30"/>
    <w:rsid w:val="531D5224"/>
    <w:rsid w:val="53B7619E"/>
    <w:rsid w:val="54046D5C"/>
    <w:rsid w:val="54204D29"/>
    <w:rsid w:val="556C5FEF"/>
    <w:rsid w:val="56FA7783"/>
    <w:rsid w:val="57644A52"/>
    <w:rsid w:val="578D70AE"/>
    <w:rsid w:val="57B974E6"/>
    <w:rsid w:val="57E767A6"/>
    <w:rsid w:val="58CF5213"/>
    <w:rsid w:val="5B696330"/>
    <w:rsid w:val="5BD90156"/>
    <w:rsid w:val="5C074CC3"/>
    <w:rsid w:val="5CC76201"/>
    <w:rsid w:val="5D301FF8"/>
    <w:rsid w:val="5D573A29"/>
    <w:rsid w:val="5F322057"/>
    <w:rsid w:val="5F5B298C"/>
    <w:rsid w:val="6042276E"/>
    <w:rsid w:val="60561D75"/>
    <w:rsid w:val="606D766C"/>
    <w:rsid w:val="614A21D9"/>
    <w:rsid w:val="622C2343"/>
    <w:rsid w:val="631A5BD7"/>
    <w:rsid w:val="642A7243"/>
    <w:rsid w:val="644A1063"/>
    <w:rsid w:val="667363D4"/>
    <w:rsid w:val="67D90079"/>
    <w:rsid w:val="69631BC4"/>
    <w:rsid w:val="697D65C5"/>
    <w:rsid w:val="69AA4EE0"/>
    <w:rsid w:val="69DB153D"/>
    <w:rsid w:val="6A420CB3"/>
    <w:rsid w:val="6A7343B6"/>
    <w:rsid w:val="6C3A254B"/>
    <w:rsid w:val="6C7019FC"/>
    <w:rsid w:val="6CC83FFB"/>
    <w:rsid w:val="6D033DF9"/>
    <w:rsid w:val="6F3B64CA"/>
    <w:rsid w:val="6F96218E"/>
    <w:rsid w:val="6FF46C64"/>
    <w:rsid w:val="705453E4"/>
    <w:rsid w:val="71C31235"/>
    <w:rsid w:val="734A37EF"/>
    <w:rsid w:val="7467450E"/>
    <w:rsid w:val="76E574A5"/>
    <w:rsid w:val="776E39F1"/>
    <w:rsid w:val="794964C4"/>
    <w:rsid w:val="79CE18DD"/>
    <w:rsid w:val="7A7210FD"/>
    <w:rsid w:val="7B462A9E"/>
    <w:rsid w:val="7C776EA4"/>
    <w:rsid w:val="7C952363"/>
    <w:rsid w:val="7D3B79D2"/>
    <w:rsid w:val="7EAD3051"/>
    <w:rsid w:val="7EF214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3"/>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4">
    <w:name w:val="heading 2"/>
    <w:basedOn w:val="1"/>
    <w:next w:val="3"/>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22"/>
    <w:qFormat/>
    <w:uiPriority w:val="99"/>
    <w:pPr>
      <w:shd w:val="clear" w:color="auto" w:fill="FFFFFF"/>
      <w:spacing w:after="0" w:line="548" w:lineRule="exact"/>
      <w:jc w:val="distribute"/>
    </w:pPr>
    <w:rPr>
      <w:rFonts w:ascii="宋体" w:eastAsia="宋体" w:cs="宋体"/>
      <w:spacing w:val="20"/>
      <w:sz w:val="26"/>
      <w:szCs w:val="26"/>
    </w:rPr>
  </w:style>
  <w:style w:type="paragraph" w:styleId="5">
    <w:name w:val="Date"/>
    <w:basedOn w:val="1"/>
    <w:next w:val="1"/>
    <w:link w:val="19"/>
    <w:semiHidden/>
    <w:unhideWhenUsed/>
    <w:qFormat/>
    <w:uiPriority w:val="99"/>
    <w:pPr>
      <w:ind w:left="100" w:leftChars="2500"/>
    </w:pPr>
  </w:style>
  <w:style w:type="paragraph" w:styleId="6">
    <w:name w:val="footer"/>
    <w:basedOn w:val="1"/>
    <w:link w:val="13"/>
    <w:unhideWhenUsed/>
    <w:qFormat/>
    <w:uiPriority w:val="99"/>
    <w:pPr>
      <w:tabs>
        <w:tab w:val="center" w:pos="4153"/>
        <w:tab w:val="right" w:pos="8306"/>
      </w:tabs>
      <w:snapToGrid w:val="0"/>
      <w:spacing w:line="240" w:lineRule="auto"/>
    </w:pPr>
    <w:rPr>
      <w:sz w:val="18"/>
      <w:szCs w:val="18"/>
    </w:rPr>
  </w:style>
  <w:style w:type="paragraph" w:styleId="7">
    <w:name w:val="header"/>
    <w:basedOn w:val="1"/>
    <w:link w:val="12"/>
    <w:unhideWhenUsed/>
    <w:qFormat/>
    <w:uiPriority w:val="99"/>
    <w:pPr>
      <w:tabs>
        <w:tab w:val="center" w:pos="4153"/>
        <w:tab w:val="right" w:pos="8306"/>
      </w:tabs>
      <w:snapToGrid w:val="0"/>
      <w:spacing w:line="240" w:lineRule="auto"/>
      <w:jc w:val="center"/>
    </w:pPr>
    <w:rPr>
      <w:sz w:val="18"/>
      <w:szCs w:val="18"/>
    </w:rPr>
  </w:style>
  <w:style w:type="table" w:styleId="9">
    <w:name w:val="Table Grid"/>
    <w:basedOn w:val="8"/>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1">
    <w:name w:val="Strong"/>
    <w:basedOn w:val="10"/>
    <w:qFormat/>
    <w:uiPriority w:val="22"/>
    <w:rPr>
      <w:b/>
    </w:rPr>
  </w:style>
  <w:style w:type="character" w:customStyle="1" w:styleId="12">
    <w:name w:val="页眉 字符"/>
    <w:basedOn w:val="10"/>
    <w:link w:val="7"/>
    <w:qFormat/>
    <w:uiPriority w:val="99"/>
    <w:rPr>
      <w:sz w:val="18"/>
      <w:szCs w:val="18"/>
    </w:rPr>
  </w:style>
  <w:style w:type="character" w:customStyle="1" w:styleId="13">
    <w:name w:val="页脚 字符"/>
    <w:basedOn w:val="10"/>
    <w:link w:val="6"/>
    <w:qFormat/>
    <w:uiPriority w:val="99"/>
    <w:rPr>
      <w:sz w:val="18"/>
      <w:szCs w:val="18"/>
    </w:rPr>
  </w:style>
  <w:style w:type="character" w:customStyle="1" w:styleId="14">
    <w:name w:val="Body text (2)_"/>
    <w:basedOn w:val="10"/>
    <w:link w:val="15"/>
    <w:qFormat/>
    <w:uiPriority w:val="99"/>
    <w:rPr>
      <w:rFonts w:ascii="宋体" w:eastAsia="宋体" w:cs="宋体"/>
      <w:sz w:val="36"/>
      <w:szCs w:val="36"/>
      <w:shd w:val="clear" w:color="auto" w:fill="FFFFFF"/>
    </w:rPr>
  </w:style>
  <w:style w:type="paragraph" w:customStyle="1" w:styleId="15">
    <w:name w:val="Body text (2)1"/>
    <w:basedOn w:val="1"/>
    <w:link w:val="14"/>
    <w:qFormat/>
    <w:uiPriority w:val="99"/>
    <w:pPr>
      <w:shd w:val="clear" w:color="auto" w:fill="FFFFFF"/>
      <w:spacing w:after="1500" w:line="240" w:lineRule="atLeast"/>
    </w:pPr>
    <w:rPr>
      <w:rFonts w:ascii="宋体" w:eastAsia="宋体" w:cs="宋体"/>
      <w:sz w:val="36"/>
      <w:szCs w:val="36"/>
    </w:rPr>
  </w:style>
  <w:style w:type="character" w:customStyle="1" w:styleId="16">
    <w:name w:val="Body text (2)"/>
    <w:basedOn w:val="14"/>
    <w:qFormat/>
    <w:uiPriority w:val="99"/>
    <w:rPr>
      <w:rFonts w:ascii="宋体" w:eastAsia="宋体" w:cs="宋体"/>
      <w:sz w:val="36"/>
      <w:szCs w:val="36"/>
      <w:shd w:val="clear" w:color="auto" w:fill="FFFFFF"/>
    </w:rPr>
  </w:style>
  <w:style w:type="character" w:customStyle="1" w:styleId="17">
    <w:name w:val="Body text (2) + Spacing 0 pt1"/>
    <w:basedOn w:val="14"/>
    <w:qFormat/>
    <w:uiPriority w:val="99"/>
    <w:rPr>
      <w:rFonts w:ascii="宋体" w:eastAsia="宋体" w:cs="宋体"/>
      <w:spacing w:val="-10"/>
      <w:sz w:val="36"/>
      <w:szCs w:val="36"/>
      <w:shd w:val="clear" w:color="auto" w:fill="FFFFFF"/>
    </w:rPr>
  </w:style>
  <w:style w:type="character" w:customStyle="1" w:styleId="18">
    <w:name w:val="Body text (2) + Spacing 0 pt"/>
    <w:basedOn w:val="14"/>
    <w:qFormat/>
    <w:uiPriority w:val="99"/>
    <w:rPr>
      <w:rFonts w:ascii="宋体" w:eastAsia="宋体" w:cs="宋体"/>
      <w:spacing w:val="-10"/>
      <w:sz w:val="36"/>
      <w:szCs w:val="36"/>
      <w:shd w:val="clear" w:color="auto" w:fill="FFFFFF"/>
      <w:lang w:val="en-US" w:eastAsia="en-US"/>
    </w:rPr>
  </w:style>
  <w:style w:type="character" w:customStyle="1" w:styleId="19">
    <w:name w:val="日期 字符"/>
    <w:basedOn w:val="10"/>
    <w:link w:val="5"/>
    <w:semiHidden/>
    <w:qFormat/>
    <w:uiPriority w:val="99"/>
  </w:style>
  <w:style w:type="character" w:customStyle="1" w:styleId="20">
    <w:name w:val="Body text (5)_"/>
    <w:basedOn w:val="10"/>
    <w:link w:val="21"/>
    <w:qFormat/>
    <w:uiPriority w:val="99"/>
    <w:rPr>
      <w:rFonts w:ascii="宋体" w:eastAsia="宋体" w:cs="宋体"/>
      <w:sz w:val="26"/>
      <w:szCs w:val="26"/>
      <w:shd w:val="clear" w:color="auto" w:fill="FFFFFF"/>
      <w:lang w:eastAsia="en-US"/>
    </w:rPr>
  </w:style>
  <w:style w:type="paragraph" w:customStyle="1" w:styleId="21">
    <w:name w:val="Body text (5)"/>
    <w:basedOn w:val="1"/>
    <w:link w:val="20"/>
    <w:qFormat/>
    <w:uiPriority w:val="99"/>
    <w:pPr>
      <w:shd w:val="clear" w:color="auto" w:fill="FFFFFF"/>
      <w:spacing w:before="240" w:after="240" w:line="240" w:lineRule="atLeast"/>
      <w:ind w:firstLine="600"/>
      <w:jc w:val="both"/>
    </w:pPr>
    <w:rPr>
      <w:rFonts w:ascii="宋体" w:eastAsia="宋体" w:cs="宋体"/>
      <w:sz w:val="26"/>
      <w:szCs w:val="26"/>
      <w:lang w:eastAsia="en-US"/>
    </w:rPr>
  </w:style>
  <w:style w:type="character" w:customStyle="1" w:styleId="22">
    <w:name w:val="正文文本 字符1"/>
    <w:basedOn w:val="10"/>
    <w:link w:val="3"/>
    <w:qFormat/>
    <w:uiPriority w:val="99"/>
    <w:rPr>
      <w:rFonts w:ascii="宋体" w:eastAsia="宋体" w:cs="宋体"/>
      <w:spacing w:val="20"/>
      <w:sz w:val="26"/>
      <w:szCs w:val="26"/>
      <w:shd w:val="clear" w:color="auto" w:fill="FFFFFF"/>
    </w:rPr>
  </w:style>
  <w:style w:type="character" w:customStyle="1" w:styleId="23">
    <w:name w:val="Body text + Malgun Gothic"/>
    <w:basedOn w:val="22"/>
    <w:qFormat/>
    <w:uiPriority w:val="99"/>
    <w:rPr>
      <w:rFonts w:ascii="Malgun Gothic" w:eastAsia="Malgun Gothic" w:cs="Malgun Gothic"/>
      <w:spacing w:val="0"/>
      <w:w w:val="80"/>
      <w:sz w:val="37"/>
      <w:szCs w:val="37"/>
      <w:shd w:val="clear" w:color="auto" w:fill="FFFFFF"/>
      <w:lang w:val="en-US" w:eastAsia="en-US"/>
    </w:rPr>
  </w:style>
  <w:style w:type="character" w:customStyle="1" w:styleId="24">
    <w:name w:val="Body text + Spacing 0 pt"/>
    <w:basedOn w:val="22"/>
    <w:qFormat/>
    <w:uiPriority w:val="99"/>
    <w:rPr>
      <w:rFonts w:ascii="宋体" w:eastAsia="宋体" w:cs="宋体"/>
      <w:spacing w:val="0"/>
      <w:sz w:val="26"/>
      <w:szCs w:val="26"/>
      <w:shd w:val="clear" w:color="auto" w:fill="FFFFFF"/>
    </w:rPr>
  </w:style>
  <w:style w:type="character" w:customStyle="1" w:styleId="25">
    <w:name w:val="Body text (5) + Spacing 1 pt"/>
    <w:basedOn w:val="20"/>
    <w:qFormat/>
    <w:uiPriority w:val="99"/>
    <w:rPr>
      <w:rFonts w:ascii="宋体" w:eastAsia="宋体" w:cs="宋体"/>
      <w:spacing w:val="20"/>
      <w:sz w:val="26"/>
      <w:szCs w:val="26"/>
      <w:shd w:val="clear" w:color="auto" w:fill="FFFFFF"/>
      <w:lang w:eastAsia="en-US"/>
    </w:rPr>
  </w:style>
  <w:style w:type="character" w:customStyle="1" w:styleId="26">
    <w:name w:val="正文文本 字符"/>
    <w:basedOn w:val="10"/>
    <w:semiHidden/>
    <w:qFormat/>
    <w:uiPriority w:val="99"/>
  </w:style>
  <w:style w:type="character" w:customStyle="1" w:styleId="27">
    <w:name w:val="Body text (6)_"/>
    <w:basedOn w:val="10"/>
    <w:link w:val="28"/>
    <w:qFormat/>
    <w:uiPriority w:val="99"/>
    <w:rPr>
      <w:rFonts w:ascii="宋体" w:eastAsia="宋体" w:cs="宋体"/>
      <w:spacing w:val="20"/>
      <w:sz w:val="26"/>
      <w:szCs w:val="26"/>
      <w:shd w:val="clear" w:color="auto" w:fill="FFFFFF"/>
    </w:rPr>
  </w:style>
  <w:style w:type="paragraph" w:customStyle="1" w:styleId="28">
    <w:name w:val="Body text (6)"/>
    <w:basedOn w:val="1"/>
    <w:link w:val="27"/>
    <w:qFormat/>
    <w:uiPriority w:val="99"/>
    <w:pPr>
      <w:shd w:val="clear" w:color="auto" w:fill="FFFFFF"/>
      <w:spacing w:before="240" w:after="0" w:line="240" w:lineRule="atLeast"/>
      <w:jc w:val="distribute"/>
    </w:pPr>
    <w:rPr>
      <w:rFonts w:ascii="宋体" w:eastAsia="宋体" w:cs="宋体"/>
      <w:spacing w:val="20"/>
      <w:sz w:val="26"/>
      <w:szCs w:val="26"/>
    </w:rPr>
  </w:style>
  <w:style w:type="character" w:customStyle="1" w:styleId="29">
    <w:name w:val="Body text (6) + Spacing 0 pt"/>
    <w:basedOn w:val="27"/>
    <w:qFormat/>
    <w:uiPriority w:val="99"/>
    <w:rPr>
      <w:rFonts w:ascii="宋体" w:eastAsia="宋体" w:cs="宋体"/>
      <w:spacing w:val="0"/>
      <w:sz w:val="26"/>
      <w:szCs w:val="26"/>
      <w:shd w:val="clear" w:color="auto" w:fill="FFFFFF"/>
      <w:lang w:val="en-US" w:eastAsia="en-US"/>
    </w:rPr>
  </w:style>
  <w:style w:type="character" w:customStyle="1" w:styleId="30">
    <w:name w:val="Body text (9)_"/>
    <w:basedOn w:val="10"/>
    <w:link w:val="31"/>
    <w:qFormat/>
    <w:uiPriority w:val="99"/>
    <w:rPr>
      <w:rFonts w:ascii="宋体" w:eastAsia="宋体" w:cs="宋体"/>
      <w:b/>
      <w:bCs/>
      <w:sz w:val="27"/>
      <w:szCs w:val="27"/>
      <w:shd w:val="clear" w:color="auto" w:fill="FFFFFF"/>
    </w:rPr>
  </w:style>
  <w:style w:type="paragraph" w:customStyle="1" w:styleId="31">
    <w:name w:val="Body text (9)"/>
    <w:basedOn w:val="1"/>
    <w:link w:val="30"/>
    <w:qFormat/>
    <w:uiPriority w:val="99"/>
    <w:pPr>
      <w:shd w:val="clear" w:color="auto" w:fill="FFFFFF"/>
      <w:spacing w:after="240" w:line="240" w:lineRule="atLeast"/>
      <w:ind w:firstLine="600"/>
      <w:jc w:val="distribute"/>
    </w:pPr>
    <w:rPr>
      <w:rFonts w:ascii="宋体" w:eastAsia="宋体" w:cs="宋体"/>
      <w:b/>
      <w:bCs/>
      <w:sz w:val="27"/>
      <w:szCs w:val="27"/>
    </w:rPr>
  </w:style>
  <w:style w:type="character" w:customStyle="1" w:styleId="32">
    <w:name w:val="Body text (9) + Not Bold"/>
    <w:basedOn w:val="30"/>
    <w:qFormat/>
    <w:uiPriority w:val="99"/>
    <w:rPr>
      <w:rFonts w:ascii="宋体" w:eastAsia="宋体" w:cs="宋体"/>
      <w:b w:val="0"/>
      <w:bCs w:val="0"/>
      <w:sz w:val="27"/>
      <w:szCs w:val="27"/>
      <w:shd w:val="clear" w:color="auto" w:fill="FFFFFF"/>
    </w:rPr>
  </w:style>
  <w:style w:type="character" w:customStyle="1" w:styleId="33">
    <w:name w:val="Body text + Malgun Gothic1"/>
    <w:basedOn w:val="22"/>
    <w:qFormat/>
    <w:uiPriority w:val="99"/>
    <w:rPr>
      <w:rFonts w:ascii="Malgun Gothic" w:eastAsia="Malgun Gothic" w:cs="Malgun Gothic"/>
      <w:spacing w:val="0"/>
      <w:w w:val="80"/>
      <w:sz w:val="37"/>
      <w:szCs w:val="37"/>
      <w:shd w:val="clear" w:color="auto" w:fill="FFFFFF"/>
    </w:rPr>
  </w:style>
  <w:style w:type="character" w:customStyle="1" w:styleId="34">
    <w:name w:val="Body text (10)_"/>
    <w:basedOn w:val="10"/>
    <w:link w:val="35"/>
    <w:qFormat/>
    <w:uiPriority w:val="99"/>
    <w:rPr>
      <w:rFonts w:ascii="宋体" w:eastAsia="宋体" w:cs="宋体"/>
      <w:sz w:val="26"/>
      <w:szCs w:val="26"/>
      <w:shd w:val="clear" w:color="auto" w:fill="FFFFFF"/>
      <w:lang w:eastAsia="en-US"/>
    </w:rPr>
  </w:style>
  <w:style w:type="paragraph" w:customStyle="1" w:styleId="35">
    <w:name w:val="Body text (10)"/>
    <w:basedOn w:val="1"/>
    <w:link w:val="34"/>
    <w:qFormat/>
    <w:uiPriority w:val="99"/>
    <w:pPr>
      <w:shd w:val="clear" w:color="auto" w:fill="FFFFFF"/>
      <w:spacing w:before="240" w:after="0" w:line="568" w:lineRule="exact"/>
      <w:ind w:firstLine="600"/>
      <w:jc w:val="both"/>
    </w:pPr>
    <w:rPr>
      <w:rFonts w:ascii="宋体" w:eastAsia="宋体" w:cs="宋体"/>
      <w:sz w:val="26"/>
      <w:szCs w:val="26"/>
      <w:lang w:eastAsia="en-US"/>
    </w:rPr>
  </w:style>
  <w:style w:type="character" w:customStyle="1" w:styleId="36">
    <w:name w:val="Body text (10) + Spacing 1 pt"/>
    <w:basedOn w:val="34"/>
    <w:qFormat/>
    <w:uiPriority w:val="99"/>
    <w:rPr>
      <w:rFonts w:ascii="宋体" w:eastAsia="宋体" w:cs="宋体"/>
      <w:spacing w:val="20"/>
      <w:sz w:val="26"/>
      <w:szCs w:val="26"/>
      <w:shd w:val="clear" w:color="auto" w:fill="FFFFFF"/>
      <w:lang w:eastAsia="en-US"/>
    </w:rPr>
  </w:style>
  <w:style w:type="character" w:customStyle="1" w:styleId="37">
    <w:name w:val="Body text (10) + 12.5 pt"/>
    <w:basedOn w:val="34"/>
    <w:qFormat/>
    <w:uiPriority w:val="99"/>
    <w:rPr>
      <w:rFonts w:ascii="宋体" w:eastAsia="宋体" w:cs="宋体"/>
      <w:sz w:val="25"/>
      <w:szCs w:val="25"/>
      <w:shd w:val="clear" w:color="auto" w:fill="FFFFFF"/>
      <w:lang w:eastAsia="en-US"/>
    </w:rPr>
  </w:style>
  <w:style w:type="character" w:customStyle="1" w:styleId="38">
    <w:name w:val="Body text (9) + Bookman Old Style"/>
    <w:basedOn w:val="30"/>
    <w:qFormat/>
    <w:uiPriority w:val="99"/>
    <w:rPr>
      <w:rFonts w:ascii="Bookman Old Style" w:hAnsi="Bookman Old Style" w:eastAsia="宋体" w:cs="Bookman Old Style"/>
      <w:sz w:val="24"/>
      <w:szCs w:val="24"/>
      <w:shd w:val="clear" w:color="auto" w:fill="FFFFFF"/>
    </w:rPr>
  </w:style>
  <w:style w:type="paragraph" w:customStyle="1" w:styleId="39">
    <w:name w:val="First Paragraph"/>
    <w:basedOn w:val="3"/>
    <w:next w:val="3"/>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47</Pages>
  <Words>27915</Words>
  <Characters>28928</Characters>
  <Lines>7</Lines>
  <Paragraphs>2</Paragraphs>
  <TotalTime>1</TotalTime>
  <ScaleCrop>false</ScaleCrop>
  <LinksUpToDate>false</LinksUpToDate>
  <CharactersWithSpaces>29426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2024-03-10T16:05:00Z</dcterms:created>
  <dc:creator>Zhenyun Liu</dc:creator>
  <cp:lastModifiedBy>不要说话</cp:lastModifiedBy>
  <dcterms:modified xsi:type="dcterms:W3CDTF">2026-04-24T08:19:48Z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37B8B2558F4B4A4E9FA3FEFC405F8035_13</vt:lpwstr>
  </property>
  <property fmtid="{D5CDD505-2E9C-101B-9397-08002B2CF9AE}" pid="4" name="KSOTemplateDocerSaveRecord">
    <vt:lpwstr>eyJoZGlkIjoiNTU0ZmIwYTQ3NzlmZGUxZmU3Zjk0M2IyZTNmM2IxNjAiLCJ1c2VySWQiOiI0OTM4MzEzMjIifQ==</vt:lpwstr>
  </property>
</Properties>
</file>