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B28C885">
      <w:pPr>
        <w:jc w:val="center"/>
        <w:rPr>
          <w:rFonts w:hint="eastAsia" w:ascii="宋体" w:hAnsi="宋体" w:eastAsia="宋体" w:cs="宋体"/>
        </w:rPr>
      </w:pPr>
      <w:bookmarkStart w:id="0" w:name="三期整合付款节点"/>
      <w:r>
        <w:rPr>
          <w:rFonts w:hint="eastAsia" w:ascii="宋体" w:hAnsi="宋体" w:eastAsia="宋体" w:cs="宋体"/>
        </w:rPr>
        <w:t>三期整合付款节点</w:t>
      </w:r>
    </w:p>
    <w:p w14:paraId="447D99AB">
      <w:pPr>
        <w:jc w:val="both"/>
        <w:rPr>
          <w:rFonts w:hint="eastAsia" w:ascii="宋体" w:hAnsi="宋体" w:eastAsia="宋体" w:cs="宋体"/>
        </w:rPr>
      </w:pPr>
      <w:r>
        <w:rPr>
          <w:rFonts w:hint="eastAsia" w:ascii="宋体" w:hAnsi="宋体" w:eastAsia="宋体" w:cs="宋体"/>
        </w:rPr>
        <w:t>一、付款条款</w:t>
      </w:r>
    </w:p>
    <w:p w14:paraId="64D45D50">
      <w:pPr>
        <w:jc w:val="both"/>
        <w:rPr>
          <w:rFonts w:hint="eastAsia" w:ascii="宋体" w:hAnsi="宋体" w:eastAsia="宋体" w:cs="宋体"/>
        </w:rPr>
      </w:pPr>
      <w:r>
        <w:rPr>
          <w:rFonts w:hint="eastAsia" w:ascii="宋体" w:hAnsi="宋体" w:eastAsia="宋体" w:cs="宋体"/>
        </w:rPr>
        <w:t>（1）本项目包含 PECMS（对内+对外PC）模块三期优化改造、经营管理分析模块开发、APP端功能三期优化改造、安全管理模块三期优化改造 四部分内容。前述四部分的阶段性交付内容作为各阶段验收依据。乙方应按照本条约定完成各阶段全部交付内容，并提交对应阶段测试验收报告、缺陷清单、整改闭环记录及甲方要求的其他验收资料。任一系统或模块对应阶段交付内容未完成、未达到约定标准、未完成整改闭环或未提交完整验收资料的，均视为该阶段整体付款条件未成就。</w:t>
      </w:r>
    </w:p>
    <w:p w14:paraId="0B8E88CD">
      <w:pPr>
        <w:jc w:val="both"/>
        <w:rPr>
          <w:rFonts w:hint="eastAsia" w:ascii="宋体" w:hAnsi="宋体" w:eastAsia="宋体" w:cs="宋体"/>
        </w:rPr>
      </w:pPr>
      <w:r>
        <w:rPr>
          <w:rFonts w:hint="eastAsia" w:ascii="宋体" w:hAnsi="宋体" w:eastAsia="宋体" w:cs="宋体"/>
        </w:rPr>
        <w:t>（2）本项目第一阶段按照项目实施进度、阶段性交付成果及验收文件进行付款。乙方完成 PECMS（对内+对外PC）模块三期优化改造 中任务派遣单、驻厂交底、数据分析等核心业务链路优化，完成安全交底集成、总监代表变更、派单人员变更、派单全周期变更追溯、驻厂/巡检页签改造、制造厂模糊搜索、打卡位置校验等功能开发；完成 经营管理分析模块开发 中领导管理大屏、合同台账管理、项目收入管理等经营主链路功能建设，重点实现合同台账同步与账号绑定、合同类型及收入计算逻辑重构、当月确认产值填报、收入纠错、历史查阅及科研经营月报基础数据归集等功能开发；完成 APP端功能三期优化改造 中 APP 消息通知、未读消息角标、待办角标及多平台未读消息汇总提醒等基础提醒能力建设；完成 安全管理模块三期优化改造 中实时地图与全员打卡总览、地图派单动态过滤、出差标识展示、遮罩层统计联动、泛微考勤数据同步及执行部人员动态台账等核心功能开发，并提交覆盖本阶段全部交付内容的阶段测试验收报告、阶段缺陷清单、整改闭环记录及甲方要求的其他验收资料后，经甲方确认，甲方支付本项目合同总价的 35%。</w:t>
      </w:r>
    </w:p>
    <w:p w14:paraId="1E83CD49">
      <w:pPr>
        <w:jc w:val="both"/>
        <w:rPr>
          <w:rFonts w:hint="eastAsia" w:ascii="宋体" w:hAnsi="宋体" w:eastAsia="宋体" w:cs="宋体"/>
        </w:rPr>
      </w:pPr>
      <w:r>
        <w:rPr>
          <w:rFonts w:hint="eastAsia" w:ascii="宋体" w:hAnsi="宋体" w:eastAsia="宋体" w:cs="宋体"/>
        </w:rPr>
        <w:t>（3）本项目第二阶段按照项目实施进度、阶段性交付成果及验收文件进行付款。乙方完成 PECMS（对内+对外PC）模块三期优化改造 中监理日志、监理周报、监理文件、监理报告关联表单、导出审批、技术协议核查表、细则复制、文件考核与升版、签字版大纲、预检验会议、预评价/后评价上传、PDF导出及项目归档等功能开发、优化及联调工作；完成 经营管理分析模块开发 中执行管理、工时记录、监理人员动态、开票明细管理、回款明细管理、开票/回款提醒设置等经营过程管控功能建设，重点实现执行进度跟踪、工时归集与核验、开票回款台账、预估填报、提醒催办及历史追溯等功能开发；完成 APP端功能三期优化改造 中消息分类配置、锁屏消息内容查看及按消息类型跳转办理、查看、学习、考试等功能开发，并完成与 PECMS、安全管理平台、综合管理平台消息的联动适配；完成 安全管理模块三期优化改造 中培训考试中的人员性质管理、考试/培训类型树形分类、角色与类型权限分配、统计报表权限控制等功能开发，并提交覆盖本阶段全部交付内容的阶段测试验收报告、阶段缺陷清单、整改闭环记录及甲方要求的其他验收资料后，经甲方确认，甲方支付本项目合同总价的 30%。</w:t>
      </w:r>
    </w:p>
    <w:p w14:paraId="7C24F806">
      <w:pPr>
        <w:jc w:val="both"/>
        <w:rPr>
          <w:rFonts w:hint="eastAsia" w:ascii="宋体" w:hAnsi="宋体" w:eastAsia="宋体" w:cs="宋体"/>
        </w:rPr>
      </w:pPr>
      <w:r>
        <w:rPr>
          <w:rFonts w:hint="eastAsia" w:ascii="宋体" w:hAnsi="宋体" w:eastAsia="宋体" w:cs="宋体"/>
        </w:rPr>
        <w:t>（4）本项目第三阶段按照项目实施进度、阶段性交付成果及验收文件进行付款。乙方完成 PECMS（对内+对外PC）模块三期优化改造 中全局消息及 APP 推送适配、项目管理与项目转交、材料库与知识资料库、派单变更历史管理、用户及合同基础数据扩展、供应商与技术服务人员考勤及成本管理、对外检验主管及业主资料库功能建设，以及经甲方最终确认的开放接口方案开发与联调工作，并提交完整测试验收报告、源码（含注释）、数据库脚本、接口文档、部署说明、系统运维手册、用户操作手册、培训资料及问题整改闭环记录；完成 经营管理分析模块开发 中动态成本核算管理、利润管理、经营数据量化、项目经理权限分配、全局导出及列设置、科研经营月报正式页面、系统架构适配及跨系统数据同步联调工作，并提交完整测试验收报告、源码（含注释）、数据库脚本、接口文档、系统架构说明、部署说明、系统运维手册、用户操作手册、培训资料及问题整改闭环记录；完成 APP端功能三期优化改造 中 PECMS 待办/已办列表流程名称展示、任务派遣单移动端适配、总监代表变更、我的派单编辑、驳回后重新提交等功能开发，并实现与 PC 端业务逻辑及审批流程保持一致，同时提交完整测试验收报告、二次开发源码（含明确注释）、接口文档、安装部署说明、移动端使用手册、兼容性测试材料及问题整改闭环记录；完成 安全管理模块三期优化改造 中培训考试完成时效与催办规则、逾期自动判定、不合格留痕、培训材料阅读页面缩放优化、用户管理及通讯录筛选增强等功能优化及联调工作，并提交完整测试验收报告、源码（含清晰注释）、数据库脚本、接口文档、部署说明、系统运维手册、用户使用手册、培训资料及问题整改闭环记录后，经甲方确认，甲方支付本项目合同总价的 30%。</w:t>
      </w:r>
    </w:p>
    <w:p w14:paraId="74C35D84">
      <w:pPr>
        <w:jc w:val="both"/>
        <w:rPr>
          <w:rFonts w:hint="eastAsia" w:ascii="宋体" w:hAnsi="宋体" w:eastAsia="宋体" w:cs="宋体"/>
        </w:rPr>
      </w:pPr>
      <w:r>
        <w:rPr>
          <w:rFonts w:hint="eastAsia" w:ascii="宋体" w:hAnsi="宋体" w:eastAsia="宋体" w:cs="宋体"/>
        </w:rPr>
        <w:t>（5）本项目合同总价剩余 5% 作为本项目质保金暂不支付。系统上线、功能提测、版本发布或甲方安排试用，仅表明乙方已进入相应实施、测试或试运行阶段，不当然视为甲方已完成验收，亦不当然构成乙方对应阶段付款条件已经成就。乙方应就每一阶段交付内容分别完成相应功能开发、测试整改、分批上线部署、稳定运行观察及问题复核，并达到该阶段约定的验收标准、稳定运行要求及缺陷数量要求后，方可触发对应阶段付款节点。质保期或维护期届满后，甲方根据本项目整体履约情况、考核情况及扣款结算情况，统一结算并支付剩余质保金。</w:t>
      </w:r>
    </w:p>
    <w:p w14:paraId="7D967636">
      <w:pPr>
        <w:jc w:val="both"/>
        <w:rPr>
          <w:rFonts w:hint="eastAsia" w:ascii="宋体" w:hAnsi="宋体" w:eastAsia="宋体" w:cs="宋体"/>
        </w:rPr>
      </w:pPr>
      <w:r>
        <w:rPr>
          <w:rFonts w:hint="eastAsia" w:ascii="宋体" w:hAnsi="宋体" w:eastAsia="宋体" w:cs="宋体"/>
        </w:rPr>
        <w:t>二、扣款条款</w:t>
      </w:r>
    </w:p>
    <w:p w14:paraId="0E4825D0">
      <w:pPr>
        <w:jc w:val="both"/>
        <w:rPr>
          <w:rFonts w:hint="eastAsia" w:ascii="宋体" w:hAnsi="宋体" w:eastAsia="宋体" w:cs="宋体"/>
        </w:rPr>
      </w:pPr>
      <w:r>
        <w:rPr>
          <w:rFonts w:hint="eastAsia" w:ascii="宋体" w:hAnsi="宋体" w:eastAsia="宋体" w:cs="宋体"/>
        </w:rPr>
        <w:t>（1）扣款适用原则如下：</w:t>
      </w:r>
      <w:r>
        <w:rPr>
          <w:rFonts w:hint="eastAsia" w:ascii="宋体" w:hAnsi="宋体" w:eastAsia="宋体" w:cs="宋体"/>
        </w:rPr>
        <w:br w:type="textWrapping"/>
      </w:r>
      <w:r>
        <w:rPr>
          <w:rFonts w:hint="eastAsia" w:ascii="宋体" w:hAnsi="宋体" w:eastAsia="宋体" w:cs="宋体"/>
        </w:rPr>
        <w:t xml:space="preserve"> </w:t>
      </w:r>
      <w:r>
        <w:rPr>
          <w:rFonts w:hint="eastAsia" w:ascii="宋体" w:hAnsi="宋体" w:eastAsia="宋体" w:cs="宋体"/>
          <w:lang w:val="en-US" w:eastAsia="zh-CN"/>
        </w:rPr>
        <w:t xml:space="preserve">   </w:t>
      </w:r>
      <w:r>
        <w:rPr>
          <w:rFonts w:hint="eastAsia" w:ascii="宋体" w:hAnsi="宋体" w:eastAsia="宋体" w:cs="宋体"/>
        </w:rPr>
        <w:t>本项目采取整体付款方式，但对于能够对应至特定系统、模块或功能点的违约、扣款、退款、赔偿及责任承担事项，甲方有权按照合同报价清单中对应系统、模块或功能点载明的金额确定责任计价基础并据此扣减；合同报价清单未细化至具体功能点的，以对应系统或模块报价金额作为计价基础。</w:t>
      </w:r>
      <w:r>
        <w:rPr>
          <w:rFonts w:hint="eastAsia" w:ascii="宋体" w:hAnsi="宋体" w:eastAsia="宋体" w:cs="宋体"/>
        </w:rPr>
        <w:br w:type="textWrapping"/>
      </w:r>
      <w:r>
        <w:rPr>
          <w:rFonts w:hint="eastAsia" w:ascii="宋体" w:hAnsi="宋体" w:eastAsia="宋体" w:cs="宋体"/>
        </w:rPr>
        <w:t xml:space="preserve"> </w:t>
      </w:r>
      <w:r>
        <w:rPr>
          <w:rFonts w:hint="eastAsia" w:ascii="宋体" w:hAnsi="宋体" w:eastAsia="宋体" w:cs="宋体"/>
          <w:lang w:val="en-US" w:eastAsia="zh-CN"/>
        </w:rPr>
        <w:t xml:space="preserve">   </w:t>
      </w:r>
      <w:r>
        <w:rPr>
          <w:rFonts w:hint="eastAsia" w:ascii="宋体" w:hAnsi="宋体" w:eastAsia="宋体" w:cs="宋体"/>
        </w:rPr>
        <w:t>发生扣款事项时，甲方有权优先自本项目未付款项中扣减；本项目未付款项不足覆盖的，甲方有权继续自本项目质保金中扣减；如仍不足以覆盖的，甲方有权要求乙方另行补足。</w:t>
      </w:r>
      <w:r>
        <w:rPr>
          <w:rFonts w:hint="eastAsia" w:ascii="宋体" w:hAnsi="宋体" w:eastAsia="宋体" w:cs="宋体"/>
        </w:rPr>
        <w:br w:type="textWrapping"/>
      </w:r>
      <w:r>
        <w:rPr>
          <w:rFonts w:hint="eastAsia" w:ascii="宋体" w:hAnsi="宋体" w:eastAsia="宋体" w:cs="宋体"/>
        </w:rPr>
        <w:t xml:space="preserve"> </w:t>
      </w:r>
      <w:r>
        <w:rPr>
          <w:rFonts w:hint="eastAsia" w:ascii="宋体" w:hAnsi="宋体" w:eastAsia="宋体" w:cs="宋体"/>
          <w:lang w:val="en-US" w:eastAsia="zh-CN"/>
        </w:rPr>
        <w:t xml:space="preserve">   </w:t>
      </w:r>
      <w:r>
        <w:rPr>
          <w:rFonts w:hint="eastAsia" w:ascii="宋体" w:hAnsi="宋体" w:eastAsia="宋体" w:cs="宋体"/>
        </w:rPr>
        <w:t>涉及全项目共性服务、驻场保障、统一运维、培训答疑、现网支撑等事项的，甲方有权根据问题实际影响范围、责任归属及涉及功能点确定责任对应系统或模块并在相应计价基础范围内扣减；无法细化至单一系统或模块的，甲方有权在相关系统或模块间分摊扣减，或直接自本项目未付款项及本项目质保金中统筹扣减。</w:t>
      </w:r>
      <w:r>
        <w:rPr>
          <w:rFonts w:hint="eastAsia" w:ascii="宋体" w:hAnsi="宋体" w:eastAsia="宋体" w:cs="宋体"/>
        </w:rPr>
        <w:br w:type="textWrapping"/>
      </w:r>
      <w:r>
        <w:rPr>
          <w:rFonts w:hint="eastAsia" w:ascii="宋体" w:hAnsi="宋体" w:eastAsia="宋体" w:cs="宋体"/>
          <w:lang w:val="en-US" w:eastAsia="zh-CN"/>
        </w:rPr>
        <w:t xml:space="preserve">    </w:t>
      </w:r>
      <w:r>
        <w:rPr>
          <w:rFonts w:hint="eastAsia" w:ascii="宋体" w:hAnsi="宋体" w:eastAsia="宋体" w:cs="宋体"/>
        </w:rPr>
        <w:t>乙方依据合同、谈判文件、响应文件及承诺文件应承担的违约金、赔偿责任、服务扣减及其他应付费用，甲方均有权直接从本项目未付款项或本项目质保金中扣除；扣除后仍不足以弥补甲方损失的，乙方仍应继续承担相应责任。</w:t>
      </w:r>
    </w:p>
    <w:p w14:paraId="67701600">
      <w:pPr>
        <w:jc w:val="both"/>
        <w:rPr>
          <w:rFonts w:hint="eastAsia" w:ascii="宋体" w:hAnsi="宋体" w:eastAsia="宋体" w:cs="宋体"/>
        </w:rPr>
      </w:pPr>
      <w:r>
        <w:rPr>
          <w:rFonts w:hint="eastAsia" w:ascii="宋体" w:hAnsi="宋体" w:eastAsia="宋体" w:cs="宋体"/>
        </w:rPr>
        <w:t>（2）进度及验收环节扣款标准如下：</w:t>
      </w:r>
      <w:r>
        <w:rPr>
          <w:rFonts w:hint="eastAsia" w:ascii="宋体" w:hAnsi="宋体" w:eastAsia="宋体" w:cs="宋体"/>
        </w:rPr>
        <w:br w:type="textWrapping"/>
      </w:r>
      <w:r>
        <w:rPr>
          <w:rFonts w:hint="eastAsia" w:ascii="宋体" w:hAnsi="宋体" w:eastAsia="宋体" w:cs="宋体"/>
        </w:rPr>
        <w:t xml:space="preserve"> </w:t>
      </w:r>
      <w:r>
        <w:rPr>
          <w:rFonts w:hint="eastAsia" w:ascii="宋体" w:hAnsi="宋体" w:eastAsia="宋体" w:cs="宋体"/>
          <w:lang w:val="en-US" w:eastAsia="zh-CN"/>
        </w:rPr>
        <w:t xml:space="preserve">  </w:t>
      </w:r>
      <w:r>
        <w:rPr>
          <w:rFonts w:hint="eastAsia" w:ascii="宋体" w:hAnsi="宋体" w:eastAsia="宋体" w:cs="宋体"/>
        </w:rPr>
        <w:t>由于乙方原因导致任一系统或模块，或者导致本项目整体在初验、移交、试运行、终验等任一阶段工作迟延的，每迟延1日，按责任对应系统或模块分项报价金额的 1% 支付违约金；迟延不足1日按1日计算。无法细化至单一系统或模块的，甲方有权根据实际影响范围确定对应计价基础。</w:t>
      </w:r>
      <w:r>
        <w:rPr>
          <w:rFonts w:hint="eastAsia" w:ascii="宋体" w:hAnsi="宋体" w:eastAsia="宋体" w:cs="宋体"/>
        </w:rPr>
        <w:br w:type="textWrapping"/>
      </w:r>
      <w:r>
        <w:rPr>
          <w:rFonts w:hint="eastAsia" w:ascii="宋体" w:hAnsi="宋体" w:eastAsia="宋体" w:cs="宋体"/>
        </w:rPr>
        <w:t xml:space="preserve"> </w:t>
      </w:r>
      <w:r>
        <w:rPr>
          <w:rFonts w:hint="eastAsia" w:ascii="宋体" w:hAnsi="宋体" w:eastAsia="宋体" w:cs="宋体"/>
          <w:lang w:val="en-US" w:eastAsia="zh-CN"/>
        </w:rPr>
        <w:t xml:space="preserve">   </w:t>
      </w:r>
      <w:r>
        <w:rPr>
          <w:rFonts w:hint="eastAsia" w:ascii="宋体" w:hAnsi="宋体" w:eastAsia="宋体" w:cs="宋体"/>
        </w:rPr>
        <w:t>任一系统或模块初验不合格，经乙方整改后仍在甲方要求期限内不能达到约定标准的，乙方应退还甲方已支付款项中与该不合格系统或模块及相关阶段交付内容对应的部分，并按责任对应系统或模块分项报价金额的 10% 向甲方支付违约金；甲方有权解除对应系统或模块部分或整体合同。</w:t>
      </w:r>
      <w:r>
        <w:rPr>
          <w:rFonts w:hint="eastAsia" w:ascii="宋体" w:hAnsi="宋体" w:eastAsia="宋体" w:cs="宋体"/>
        </w:rPr>
        <w:br w:type="textWrapping"/>
      </w:r>
      <w:r>
        <w:rPr>
          <w:rFonts w:hint="eastAsia" w:ascii="宋体" w:hAnsi="宋体" w:eastAsia="宋体" w:cs="宋体"/>
        </w:rPr>
        <w:t xml:space="preserve"> </w:t>
      </w:r>
      <w:r>
        <w:rPr>
          <w:rFonts w:hint="eastAsia" w:ascii="宋体" w:hAnsi="宋体" w:eastAsia="宋体" w:cs="宋体"/>
          <w:lang w:val="en-US" w:eastAsia="zh-CN"/>
        </w:rPr>
        <w:t xml:space="preserve">   </w:t>
      </w:r>
      <w:r>
        <w:rPr>
          <w:rFonts w:hint="eastAsia" w:ascii="宋体" w:hAnsi="宋体" w:eastAsia="宋体" w:cs="宋体"/>
        </w:rPr>
        <w:t>任一系统或模块试运行期间因乙方原因不能达到约定标准，且超过约定试运行整改期限后仍不能达标的，乙方应退还甲方已支付款项中与该不合格系统或模块及相关阶段交付内容对应的部分，并按责任对应系统或模块分项报价金额的 10% 向甲方支付违约金；甲方有权解除对应系统或模块部分或整体合同。</w:t>
      </w:r>
      <w:r>
        <w:rPr>
          <w:rFonts w:hint="eastAsia" w:ascii="宋体" w:hAnsi="宋体" w:eastAsia="宋体" w:cs="宋体"/>
        </w:rPr>
        <w:br w:type="textWrapping"/>
      </w:r>
      <w:r>
        <w:rPr>
          <w:rFonts w:hint="eastAsia" w:ascii="宋体" w:hAnsi="宋体" w:eastAsia="宋体" w:cs="宋体"/>
        </w:rPr>
        <w:t xml:space="preserve"> </w:t>
      </w:r>
      <w:r>
        <w:rPr>
          <w:rFonts w:hint="eastAsia" w:ascii="宋体" w:hAnsi="宋体" w:eastAsia="宋体" w:cs="宋体"/>
          <w:lang w:val="en-US" w:eastAsia="zh-CN"/>
        </w:rPr>
        <w:t xml:space="preserve">   </w:t>
      </w:r>
      <w:r>
        <w:rPr>
          <w:rFonts w:hint="eastAsia" w:ascii="宋体" w:hAnsi="宋体" w:eastAsia="宋体" w:cs="宋体"/>
        </w:rPr>
        <w:t>任一系统或模块终验不合格，经再次整改后仍不能达到约定标准的，乙方应退还甲方已支付款项中与该不合格系统或模块及相关阶段交付内容对应的部分，并按责任对应系统或模块分项报价金额的 10% 向甲方支付违约金；甲方有权解除对应系统或模块部分或整体合同。</w:t>
      </w:r>
    </w:p>
    <w:p w14:paraId="5AC2337C">
      <w:pPr>
        <w:jc w:val="both"/>
        <w:rPr>
          <w:rFonts w:hint="eastAsia" w:ascii="宋体" w:hAnsi="宋体" w:eastAsia="宋体" w:cs="宋体"/>
        </w:rPr>
      </w:pPr>
      <w:r>
        <w:rPr>
          <w:rFonts w:hint="eastAsia" w:ascii="宋体" w:hAnsi="宋体" w:eastAsia="宋体" w:cs="宋体"/>
        </w:rPr>
        <w:t>（3）服务响应及缺陷修复环节扣款标准如下：</w:t>
      </w:r>
      <w:r>
        <w:rPr>
          <w:rFonts w:hint="eastAsia" w:ascii="宋体" w:hAnsi="宋体" w:eastAsia="宋体" w:cs="宋体"/>
        </w:rPr>
        <w:br w:type="textWrapping"/>
      </w:r>
      <w:r>
        <w:rPr>
          <w:rFonts w:hint="eastAsia" w:ascii="宋体" w:hAnsi="宋体" w:eastAsia="宋体" w:cs="宋体"/>
        </w:rPr>
        <w:t xml:space="preserve"> </w:t>
      </w:r>
      <w:r>
        <w:rPr>
          <w:rFonts w:hint="eastAsia" w:ascii="宋体" w:hAnsi="宋体" w:eastAsia="宋体" w:cs="宋体"/>
          <w:lang w:val="en-US" w:eastAsia="zh-CN"/>
        </w:rPr>
        <w:t xml:space="preserve">   </w:t>
      </w:r>
      <w:r>
        <w:rPr>
          <w:rFonts w:hint="eastAsia" w:ascii="宋体" w:hAnsi="宋体" w:eastAsia="宋体" w:cs="宋体"/>
        </w:rPr>
        <w:t>本项目不仅包含新功能开发，还包含现网维护工作。乙方应对甲方反馈问题在 2小时 内响应并提出解决方案，24小时 内完成修复；对于复杂、难以在短时间内解决的缺陷，应及时提出处理建议和替代方案，并在 7个工作日 内解决。若乙方未在约定时间内对甲方反馈缺陷进行响应并优先提出解决方案的，每延迟响应 1小时，按责任对应系统或模块分项报价金额的 0.1‰ 扣减。</w:t>
      </w:r>
      <w:r>
        <w:rPr>
          <w:rFonts w:hint="eastAsia" w:ascii="宋体" w:hAnsi="宋体" w:eastAsia="宋体" w:cs="宋体"/>
        </w:rPr>
        <w:br w:type="textWrapping"/>
      </w:r>
      <w:r>
        <w:rPr>
          <w:rFonts w:hint="eastAsia" w:ascii="宋体" w:hAnsi="宋体" w:eastAsia="宋体" w:cs="宋体"/>
        </w:rPr>
        <w:t xml:space="preserve"> </w:t>
      </w:r>
      <w:r>
        <w:rPr>
          <w:rFonts w:hint="eastAsia" w:ascii="宋体" w:hAnsi="宋体" w:eastAsia="宋体" w:cs="宋体"/>
          <w:lang w:val="en-US" w:eastAsia="zh-CN"/>
        </w:rPr>
        <w:t xml:space="preserve">   </w:t>
      </w:r>
      <w:r>
        <w:rPr>
          <w:rFonts w:hint="eastAsia" w:ascii="宋体" w:hAnsi="宋体" w:eastAsia="宋体" w:cs="宋体"/>
        </w:rPr>
        <w:t>保修期内应用软件出现问题时，乙方响应时间不得超过 2小时，故障修复时间不得超过 24小时；未按合同规定及时提供服务的，每迟延 1次，按责任对应系统或模块分项报价金额的 5% 扣减。</w:t>
      </w:r>
      <w:r>
        <w:rPr>
          <w:rFonts w:hint="eastAsia" w:ascii="宋体" w:hAnsi="宋体" w:eastAsia="宋体" w:cs="宋体"/>
        </w:rPr>
        <w:br w:type="textWrapping"/>
      </w:r>
      <w:r>
        <w:rPr>
          <w:rFonts w:hint="eastAsia" w:ascii="宋体" w:hAnsi="宋体" w:eastAsia="宋体" w:cs="宋体"/>
        </w:rPr>
        <w:t xml:space="preserve"> </w:t>
      </w:r>
      <w:r>
        <w:rPr>
          <w:rFonts w:hint="eastAsia" w:ascii="宋体" w:hAnsi="宋体" w:eastAsia="宋体" w:cs="宋体"/>
          <w:lang w:val="en-US" w:eastAsia="zh-CN"/>
        </w:rPr>
        <w:t xml:space="preserve">   </w:t>
      </w:r>
      <w:r>
        <w:rPr>
          <w:rFonts w:hint="eastAsia" w:ascii="宋体" w:hAnsi="宋体" w:eastAsia="宋体" w:cs="宋体"/>
        </w:rPr>
        <w:t>对于重大问题、系统瘫痪、严重影响业务运行的问题，乙方未及时提供临时解决方案、替代方案或同档次替代措施，致使甲方业务中断或受损的，甲方除有权按照本条扣减外，还有权另行追究损失赔偿责任。</w:t>
      </w:r>
    </w:p>
    <w:p w14:paraId="582A961C">
      <w:pPr>
        <w:jc w:val="both"/>
        <w:rPr>
          <w:rFonts w:hint="eastAsia" w:ascii="宋体" w:hAnsi="宋体" w:eastAsia="宋体" w:cs="宋体"/>
        </w:rPr>
      </w:pPr>
      <w:r>
        <w:rPr>
          <w:rFonts w:hint="eastAsia" w:ascii="宋体" w:hAnsi="宋体" w:eastAsia="宋体" w:cs="宋体"/>
        </w:rPr>
        <w:t>（4）驻场及人员保障环节扣款标准如下：</w:t>
      </w:r>
      <w:r>
        <w:rPr>
          <w:rFonts w:hint="eastAsia" w:ascii="宋体" w:hAnsi="宋体" w:eastAsia="宋体" w:cs="宋体"/>
        </w:rPr>
        <w:br w:type="textWrapping"/>
      </w:r>
      <w:r>
        <w:rPr>
          <w:rFonts w:hint="eastAsia" w:ascii="宋体" w:hAnsi="宋体" w:eastAsia="宋体" w:cs="宋体"/>
        </w:rPr>
        <w:t xml:space="preserve"> </w:t>
      </w:r>
      <w:r>
        <w:rPr>
          <w:rFonts w:hint="eastAsia" w:ascii="宋体" w:hAnsi="宋体" w:eastAsia="宋体" w:cs="宋体"/>
          <w:lang w:val="en-US" w:eastAsia="zh-CN"/>
        </w:rPr>
        <w:t xml:space="preserve">   </w:t>
      </w:r>
      <w:r>
        <w:rPr>
          <w:rFonts w:hint="eastAsia" w:ascii="宋体" w:hAnsi="宋体" w:eastAsia="宋体" w:cs="宋体"/>
        </w:rPr>
        <w:t>乙方未按约定时间安排人员进场驻场的，每延迟 1个工作日，按本项目质保金的 5% 扣减。</w:t>
      </w:r>
      <w:r>
        <w:rPr>
          <w:rFonts w:hint="eastAsia" w:ascii="宋体" w:hAnsi="宋体" w:eastAsia="宋体" w:cs="宋体"/>
        </w:rPr>
        <w:br w:type="textWrapping"/>
      </w:r>
      <w:r>
        <w:rPr>
          <w:rFonts w:hint="eastAsia" w:ascii="宋体" w:hAnsi="宋体" w:eastAsia="宋体" w:cs="宋体"/>
        </w:rPr>
        <w:t xml:space="preserve"> </w:t>
      </w:r>
      <w:r>
        <w:rPr>
          <w:rFonts w:hint="eastAsia" w:ascii="宋体" w:hAnsi="宋体" w:eastAsia="宋体" w:cs="宋体"/>
          <w:lang w:val="en-US" w:eastAsia="zh-CN"/>
        </w:rPr>
        <w:t xml:space="preserve">   </w:t>
      </w:r>
      <w:r>
        <w:rPr>
          <w:rFonts w:hint="eastAsia" w:ascii="宋体" w:hAnsi="宋体" w:eastAsia="宋体" w:cs="宋体"/>
        </w:rPr>
        <w:t>驻场人员数量、现场办公时长或资源投入未达到谈判文件、合同条款或乙方承诺标准，影响项目进度或验收的，每少 1人 或每少 1个工作日，按本项目质保金的 2% 扣减。</w:t>
      </w:r>
      <w:r>
        <w:rPr>
          <w:rFonts w:hint="eastAsia" w:ascii="宋体" w:hAnsi="宋体" w:eastAsia="宋体" w:cs="宋体"/>
        </w:rPr>
        <w:br w:type="textWrapping"/>
      </w:r>
      <w:r>
        <w:rPr>
          <w:rFonts w:hint="eastAsia" w:ascii="宋体" w:hAnsi="宋体" w:eastAsia="宋体" w:cs="宋体"/>
        </w:rPr>
        <w:t xml:space="preserve"> </w:t>
      </w:r>
      <w:r>
        <w:rPr>
          <w:rFonts w:hint="eastAsia" w:ascii="宋体" w:hAnsi="宋体" w:eastAsia="宋体" w:cs="宋体"/>
          <w:lang w:val="en-US" w:eastAsia="zh-CN"/>
        </w:rPr>
        <w:t xml:space="preserve">   </w:t>
      </w:r>
      <w:r>
        <w:rPr>
          <w:rFonts w:hint="eastAsia" w:ascii="宋体" w:hAnsi="宋体" w:eastAsia="宋体" w:cs="宋体"/>
        </w:rPr>
        <w:t>未经甲方书面同意擅自更换项目经理、系统架构师、核心开发、测试、运维人员，每发生 1次，按本项目质保金的 10% 扣减；情节严重的，甲方有权解除合同并另行追究违约责任。</w:t>
      </w:r>
    </w:p>
    <w:p w14:paraId="2582BFEF">
      <w:pPr>
        <w:jc w:val="both"/>
        <w:rPr>
          <w:rFonts w:hint="eastAsia" w:ascii="宋体" w:hAnsi="宋体" w:eastAsia="宋体" w:cs="宋体"/>
        </w:rPr>
      </w:pPr>
      <w:r>
        <w:rPr>
          <w:rFonts w:hint="eastAsia" w:ascii="宋体" w:hAnsi="宋体" w:eastAsia="宋体" w:cs="宋体"/>
        </w:rPr>
        <w:t>（5）运维知识梳理、Bug记录及整改闭环环节扣款标准如下：</w:t>
      </w:r>
      <w:r>
        <w:rPr>
          <w:rFonts w:hint="eastAsia" w:ascii="宋体" w:hAnsi="宋体" w:eastAsia="宋体" w:cs="宋体"/>
        </w:rPr>
        <w:br w:type="textWrapping"/>
      </w:r>
      <w:r>
        <w:rPr>
          <w:rFonts w:hint="eastAsia" w:ascii="宋体" w:hAnsi="宋体" w:eastAsia="宋体" w:cs="宋体"/>
        </w:rPr>
        <w:t xml:space="preserve"> </w:t>
      </w:r>
      <w:r>
        <w:rPr>
          <w:rFonts w:hint="eastAsia" w:ascii="宋体" w:hAnsi="宋体" w:eastAsia="宋体" w:cs="宋体"/>
          <w:lang w:val="en-US" w:eastAsia="zh-CN"/>
        </w:rPr>
        <w:t xml:space="preserve">   </w:t>
      </w:r>
      <w:r>
        <w:rPr>
          <w:rFonts w:hint="eastAsia" w:ascii="宋体" w:hAnsi="宋体" w:eastAsia="宋体" w:cs="宋体"/>
        </w:rPr>
        <w:t>乙方应建立并持续更新本项目运维知识库。运维知识库至少应包括系统架构、部署方式、环境配置、数据库说明、接口清单、日志说明、巡检要点、备份恢复方案、常见问题及处理 SOP、版本发布记录、培训材料等内容。未按甲方要求完成初始梳理搭建的，经甲方书面催告后 3个工作日 内仍未完成的，按责任对应系统或模块分项报价金额的 20% 扣减。</w:t>
      </w:r>
      <w:r>
        <w:rPr>
          <w:rFonts w:hint="eastAsia" w:ascii="宋体" w:hAnsi="宋体" w:eastAsia="宋体" w:cs="宋体"/>
        </w:rPr>
        <w:br w:type="textWrapping"/>
      </w:r>
      <w:r>
        <w:rPr>
          <w:rFonts w:hint="eastAsia" w:ascii="宋体" w:hAnsi="宋体" w:eastAsia="宋体" w:cs="宋体"/>
        </w:rPr>
        <w:t xml:space="preserve"> </w:t>
      </w:r>
      <w:r>
        <w:rPr>
          <w:rFonts w:hint="eastAsia" w:ascii="宋体" w:hAnsi="宋体" w:eastAsia="宋体" w:cs="宋体"/>
          <w:lang w:val="en-US" w:eastAsia="zh-CN"/>
        </w:rPr>
        <w:t xml:space="preserve">   </w:t>
      </w:r>
      <w:r>
        <w:rPr>
          <w:rFonts w:hint="eastAsia" w:ascii="宋体" w:hAnsi="宋体" w:eastAsia="宋体" w:cs="宋体"/>
        </w:rPr>
        <w:t>运维知识库未按月更新，或更新内容明显不完整，不能满足甲方运维、验收、交接或追溯需要的，经甲方书面催告后 3个工作日 内仍未整改的，每发生 1次，按责任对应系统或模块分项报价金额的 5% 扣减。</w:t>
      </w:r>
      <w:r>
        <w:rPr>
          <w:rFonts w:hint="eastAsia" w:ascii="宋体" w:hAnsi="宋体" w:eastAsia="宋体" w:cs="宋体"/>
        </w:rPr>
        <w:br w:type="textWrapping"/>
      </w:r>
      <w:r>
        <w:rPr>
          <w:rFonts w:hint="eastAsia" w:ascii="宋体" w:hAnsi="宋体" w:eastAsia="宋体" w:cs="宋体"/>
        </w:rPr>
        <w:t xml:space="preserve"> </w:t>
      </w:r>
      <w:r>
        <w:rPr>
          <w:rFonts w:hint="eastAsia" w:ascii="宋体" w:hAnsi="宋体" w:eastAsia="宋体" w:cs="宋体"/>
          <w:lang w:val="en-US" w:eastAsia="zh-CN"/>
        </w:rPr>
        <w:t xml:space="preserve">   </w:t>
      </w:r>
      <w:r>
        <w:rPr>
          <w:rFonts w:hint="eastAsia" w:ascii="宋体" w:hAnsi="宋体" w:eastAsia="宋体" w:cs="宋体"/>
        </w:rPr>
        <w:t>乙方应对每一个 Bug、缺陷、故障、现网问题及整改事项建立处理台账并持续更新，记录内容至少应包括问题来源、发现时间、问题级别、责任人、响应时间、处置过程、临时方案、根因分析、修复版本、验证结果及关闭确认。未建立记录、记录缺失、记录不完整，或者经甲方催告后 2个工作日 内仍未补齐的，每项按责任对应系统或模块分项报价金额的 2% 扣减。</w:t>
      </w:r>
      <w:r>
        <w:rPr>
          <w:rFonts w:hint="eastAsia" w:ascii="宋体" w:hAnsi="宋体" w:eastAsia="宋体" w:cs="宋体"/>
        </w:rPr>
        <w:br w:type="textWrapping"/>
      </w:r>
      <w:r>
        <w:rPr>
          <w:rFonts w:hint="eastAsia" w:ascii="宋体" w:hAnsi="宋体" w:eastAsia="宋体" w:cs="宋体"/>
        </w:rPr>
        <w:t xml:space="preserve"> </w:t>
      </w:r>
      <w:r>
        <w:rPr>
          <w:rFonts w:hint="eastAsia" w:ascii="宋体" w:hAnsi="宋体" w:eastAsia="宋体" w:cs="宋体"/>
          <w:lang w:val="en-US" w:eastAsia="zh-CN"/>
        </w:rPr>
        <w:t xml:space="preserve">   </w:t>
      </w:r>
      <w:r>
        <w:rPr>
          <w:rFonts w:hint="eastAsia" w:ascii="宋体" w:hAnsi="宋体" w:eastAsia="宋体" w:cs="宋体"/>
        </w:rPr>
        <w:t>阶段性缺陷清单、整改闭环记录、版本发布记录、巡检报告、问题复核记录未按要求提交，或提交内容无法支撑验收、复核及责任追溯的，每缺少 1项 按责任对应系统或模块分项报价金额的 5% 扣减。</w:t>
      </w:r>
      <w:r>
        <w:rPr>
          <w:rFonts w:hint="eastAsia" w:ascii="宋体" w:hAnsi="宋体" w:eastAsia="宋体" w:cs="宋体"/>
        </w:rPr>
        <w:br w:type="textWrapping"/>
      </w:r>
      <w:r>
        <w:rPr>
          <w:rFonts w:hint="eastAsia" w:ascii="宋体" w:hAnsi="宋体" w:eastAsia="宋体" w:cs="宋体"/>
        </w:rPr>
        <w:t xml:space="preserve"> </w:t>
      </w:r>
      <w:r>
        <w:rPr>
          <w:rFonts w:hint="eastAsia" w:ascii="宋体" w:hAnsi="宋体" w:eastAsia="宋体" w:cs="宋体"/>
          <w:lang w:val="en-US" w:eastAsia="zh-CN"/>
        </w:rPr>
        <w:t xml:space="preserve">   </w:t>
      </w:r>
      <w:r>
        <w:rPr>
          <w:rFonts w:hint="eastAsia" w:ascii="宋体" w:hAnsi="宋体" w:eastAsia="宋体" w:cs="宋体"/>
        </w:rPr>
        <w:t>因运维知识库、Bug台账、整改闭环记录或版本记录缺失，导致甲方无法完成验收、复核、运维接管或责任追溯的，每发生 1次，按责任对应系统或模块分项报价金额的 10% 扣减。</w:t>
      </w:r>
    </w:p>
    <w:p w14:paraId="69AABB2D">
      <w:pPr>
        <w:jc w:val="both"/>
        <w:rPr>
          <w:rFonts w:hint="eastAsia" w:ascii="宋体" w:hAnsi="宋体" w:eastAsia="宋体" w:cs="宋体"/>
        </w:rPr>
      </w:pPr>
      <w:r>
        <w:rPr>
          <w:rFonts w:hint="eastAsia" w:ascii="宋体" w:hAnsi="宋体" w:eastAsia="宋体" w:cs="宋体"/>
        </w:rPr>
        <w:t>（6）培训、知识转移及资料移交环节扣款标准如下：</w:t>
      </w:r>
      <w:r>
        <w:rPr>
          <w:rFonts w:hint="eastAsia" w:ascii="宋体" w:hAnsi="宋体" w:eastAsia="宋体" w:cs="宋体"/>
        </w:rPr>
        <w:br w:type="textWrapping"/>
      </w:r>
      <w:r>
        <w:rPr>
          <w:rFonts w:hint="eastAsia" w:ascii="宋体" w:hAnsi="宋体" w:eastAsia="宋体" w:cs="宋体"/>
        </w:rPr>
        <w:t xml:space="preserve"> </w:t>
      </w:r>
      <w:r>
        <w:rPr>
          <w:rFonts w:hint="eastAsia" w:ascii="宋体" w:hAnsi="宋体" w:eastAsia="宋体" w:cs="宋体"/>
          <w:lang w:val="en-US" w:eastAsia="zh-CN"/>
        </w:rPr>
        <w:t xml:space="preserve">   </w:t>
      </w:r>
      <w:r>
        <w:rPr>
          <w:rFonts w:hint="eastAsia" w:ascii="宋体" w:hAnsi="宋体" w:eastAsia="宋体" w:cs="宋体"/>
        </w:rPr>
        <w:t>未按约定完成用户培训、运维培训、技术答疑、知识转移的，每发生 1次，按责任对应系统或模块分项报价金额的 10% 扣减。</w:t>
      </w:r>
      <w:r>
        <w:rPr>
          <w:rFonts w:hint="eastAsia" w:ascii="宋体" w:hAnsi="宋体" w:eastAsia="宋体" w:cs="宋体"/>
        </w:rPr>
        <w:br w:type="textWrapping"/>
      </w:r>
      <w:r>
        <w:rPr>
          <w:rFonts w:hint="eastAsia" w:ascii="宋体" w:hAnsi="宋体" w:eastAsia="宋体" w:cs="宋体"/>
        </w:rPr>
        <w:t xml:space="preserve"> </w:t>
      </w:r>
      <w:r>
        <w:rPr>
          <w:rFonts w:hint="eastAsia" w:ascii="宋体" w:hAnsi="宋体" w:eastAsia="宋体" w:cs="宋体"/>
          <w:lang w:val="en-US" w:eastAsia="zh-CN"/>
        </w:rPr>
        <w:t xml:space="preserve">   </w:t>
      </w:r>
      <w:r>
        <w:rPr>
          <w:rFonts w:hint="eastAsia" w:ascii="宋体" w:hAnsi="宋体" w:eastAsia="宋体" w:cs="宋体"/>
        </w:rPr>
        <w:t>已开展培训但未提交培训课件、签到记录、培训纪要、操作指引、问答记录或其他培训支撑材料的，每缺少 1项 按责任对应系统或模块分项报价金额的 3% 扣减。</w:t>
      </w:r>
      <w:r>
        <w:rPr>
          <w:rFonts w:hint="eastAsia" w:ascii="宋体" w:hAnsi="宋体" w:eastAsia="宋体" w:cs="宋体"/>
        </w:rPr>
        <w:br w:type="textWrapping"/>
      </w:r>
      <w:r>
        <w:rPr>
          <w:rFonts w:hint="eastAsia" w:ascii="宋体" w:hAnsi="宋体" w:eastAsia="宋体" w:cs="宋体"/>
        </w:rPr>
        <w:t xml:space="preserve"> </w:t>
      </w:r>
      <w:r>
        <w:rPr>
          <w:rFonts w:hint="eastAsia" w:ascii="宋体" w:hAnsi="宋体" w:eastAsia="宋体" w:cs="宋体"/>
          <w:lang w:val="en-US" w:eastAsia="zh-CN"/>
        </w:rPr>
        <w:t xml:space="preserve">   </w:t>
      </w:r>
      <w:r>
        <w:rPr>
          <w:rFonts w:hint="eastAsia" w:ascii="宋体" w:hAnsi="宋体" w:eastAsia="宋体" w:cs="宋体"/>
        </w:rPr>
        <w:t>未按约定提交测试报告、代码扫描报告、兼容性测试报告、性能测试报告、运维手册、用户手册、部署说明或其他约定验收支撑材料的，每缺少 1项 按责任对应系统或模块分项报价金额的 5% 扣减。</w:t>
      </w:r>
    </w:p>
    <w:p w14:paraId="0C28CBF5">
      <w:pPr>
        <w:jc w:val="both"/>
        <w:rPr>
          <w:rFonts w:hint="eastAsia" w:ascii="宋体" w:hAnsi="宋体" w:eastAsia="宋体" w:cs="宋体"/>
        </w:rPr>
      </w:pPr>
      <w:r>
        <w:rPr>
          <w:rFonts w:hint="eastAsia" w:ascii="宋体" w:hAnsi="宋体" w:eastAsia="宋体" w:cs="宋体"/>
        </w:rPr>
        <w:t>（7）安全、合规及兜底义务环节扣款标准如下：</w:t>
      </w:r>
      <w:r>
        <w:rPr>
          <w:rFonts w:hint="eastAsia" w:ascii="宋体" w:hAnsi="宋体" w:eastAsia="宋体" w:cs="宋体"/>
        </w:rPr>
        <w:br w:type="textWrapping"/>
      </w:r>
      <w:r>
        <w:rPr>
          <w:rFonts w:hint="eastAsia" w:ascii="宋体" w:hAnsi="宋体" w:eastAsia="宋体" w:cs="宋体"/>
        </w:rPr>
        <w:t xml:space="preserve"> </w:t>
      </w:r>
      <w:r>
        <w:rPr>
          <w:rFonts w:hint="eastAsia" w:ascii="宋体" w:hAnsi="宋体" w:eastAsia="宋体" w:cs="宋体"/>
          <w:lang w:val="en-US" w:eastAsia="zh-CN"/>
        </w:rPr>
        <w:t xml:space="preserve">   </w:t>
      </w:r>
      <w:r>
        <w:rPr>
          <w:rFonts w:hint="eastAsia" w:ascii="宋体" w:hAnsi="宋体" w:eastAsia="宋体" w:cs="宋体"/>
        </w:rPr>
        <w:t>未按约定配合完成漏洞整改、安全加固、等保配合、数据恢复演练、日志留存、备份恢复验证等事项的，每发生 1次，按责任对应系统或模块分项报价金额的 10% 扣减。</w:t>
      </w:r>
      <w:r>
        <w:rPr>
          <w:rFonts w:hint="eastAsia" w:ascii="宋体" w:hAnsi="宋体" w:eastAsia="宋体" w:cs="宋体"/>
        </w:rPr>
        <w:br w:type="textWrapping"/>
      </w:r>
      <w:r>
        <w:rPr>
          <w:rFonts w:hint="eastAsia" w:ascii="宋体" w:hAnsi="宋体" w:eastAsia="宋体" w:cs="宋体"/>
        </w:rPr>
        <w:t xml:space="preserve"> </w:t>
      </w:r>
      <w:r>
        <w:rPr>
          <w:rFonts w:hint="eastAsia" w:ascii="宋体" w:hAnsi="宋体" w:eastAsia="宋体" w:cs="宋体"/>
          <w:lang w:val="en-US" w:eastAsia="zh-CN"/>
        </w:rPr>
        <w:t xml:space="preserve">   </w:t>
      </w:r>
      <w:r>
        <w:rPr>
          <w:rFonts w:hint="eastAsia" w:ascii="宋体" w:hAnsi="宋体" w:eastAsia="宋体" w:cs="宋体"/>
        </w:rPr>
        <w:t>对于属于合同约定功能实现、Bug修复、缺陷整改、兼容性处理、安全加固、性能优化、配置调整、数据修复以及保障系统正常、安全、稳定运行所必需的事项，乙方拒绝履行、拖延履行或主张另行收费的，每发生 1次，按责任对应系统或模块分项报价金额的 10% 扣减；甲方并有权要求乙方继续履行，不足部分另行追偿。</w:t>
      </w:r>
    </w:p>
    <w:p w14:paraId="7504BF26">
      <w:pPr>
        <w:jc w:val="both"/>
        <w:rPr>
          <w:rFonts w:hint="eastAsia" w:ascii="宋体" w:hAnsi="宋体" w:eastAsia="宋体" w:cs="宋体"/>
        </w:rPr>
      </w:pPr>
      <w:r>
        <w:rPr>
          <w:rFonts w:hint="eastAsia" w:ascii="宋体" w:hAnsi="宋体" w:eastAsia="宋体" w:cs="宋体"/>
        </w:rPr>
        <w:t>（8）发票及其他扣款标准如下：</w:t>
      </w:r>
      <w:r>
        <w:rPr>
          <w:rFonts w:hint="eastAsia" w:ascii="宋体" w:hAnsi="宋体" w:eastAsia="宋体" w:cs="宋体"/>
        </w:rPr>
        <w:br w:type="textWrapping"/>
      </w:r>
      <w:r>
        <w:rPr>
          <w:rFonts w:hint="eastAsia" w:ascii="宋体" w:hAnsi="宋体" w:eastAsia="宋体" w:cs="宋体"/>
        </w:rPr>
        <w:t xml:space="preserve"> </w:t>
      </w:r>
      <w:r>
        <w:rPr>
          <w:rFonts w:hint="eastAsia" w:ascii="宋体" w:hAnsi="宋体" w:eastAsia="宋体" w:cs="宋体"/>
          <w:lang w:val="en-US" w:eastAsia="zh-CN"/>
        </w:rPr>
        <w:t xml:space="preserve">   </w:t>
      </w:r>
      <w:r>
        <w:rPr>
          <w:rFonts w:hint="eastAsia" w:ascii="宋体" w:hAnsi="宋体" w:eastAsia="宋体" w:cs="宋体"/>
        </w:rPr>
        <w:t>乙方开具的增值税专用发票逾期送达的，每逾期 1日，按逾期送达发票金额的 千分之三 支付违约金。</w:t>
      </w:r>
      <w:r>
        <w:rPr>
          <w:rFonts w:hint="eastAsia" w:ascii="宋体" w:hAnsi="宋体" w:eastAsia="宋体" w:cs="宋体"/>
        </w:rPr>
        <w:br w:type="textWrapping"/>
      </w:r>
      <w:r>
        <w:rPr>
          <w:rFonts w:hint="eastAsia" w:ascii="宋体" w:hAnsi="宋体" w:eastAsia="宋体" w:cs="宋体"/>
        </w:rPr>
        <w:t xml:space="preserve"> </w:t>
      </w:r>
      <w:r>
        <w:rPr>
          <w:rFonts w:hint="eastAsia" w:ascii="宋体" w:hAnsi="宋体" w:eastAsia="宋体" w:cs="宋体"/>
          <w:lang w:val="en-US" w:eastAsia="zh-CN"/>
        </w:rPr>
        <w:t xml:space="preserve">   </w:t>
      </w:r>
      <w:r>
        <w:rPr>
          <w:rFonts w:hint="eastAsia" w:ascii="宋体" w:hAnsi="宋体" w:eastAsia="宋体" w:cs="宋体"/>
        </w:rPr>
        <w:t>乙方提供的增值税专用发票不符合法律法规要求或不能实现税款抵扣的，甲方有权按合同约定退回并要求更换；无法更换的，甲方有权要求乙方支付发票金额 5% 的违约金，并赔偿由此造成的损失。</w:t>
      </w:r>
      <w:r>
        <w:rPr>
          <w:rFonts w:hint="eastAsia" w:ascii="宋体" w:hAnsi="宋体" w:eastAsia="宋体" w:cs="宋体"/>
        </w:rPr>
        <w:br w:type="textWrapping"/>
      </w:r>
      <w:r>
        <w:rPr>
          <w:rFonts w:hint="eastAsia" w:ascii="宋体" w:hAnsi="宋体" w:eastAsia="宋体" w:cs="宋体"/>
        </w:rPr>
        <w:t>（9）扣款汇总规则如下</w:t>
      </w:r>
      <w:bookmarkStart w:id="1" w:name="_GoBack"/>
      <w:bookmarkEnd w:id="1"/>
      <w:r>
        <w:rPr>
          <w:rFonts w:hint="eastAsia" w:ascii="宋体" w:hAnsi="宋体" w:eastAsia="宋体" w:cs="宋体"/>
        </w:rPr>
        <w:br w:type="textWrapping"/>
      </w:r>
      <w:r>
        <w:rPr>
          <w:rFonts w:hint="eastAsia" w:ascii="宋体" w:hAnsi="宋体" w:eastAsia="宋体" w:cs="宋体"/>
        </w:rPr>
        <w:t>同一事项同时触发多个扣款情形的，甲方有权择重扣减或合并扣减。</w:t>
      </w:r>
      <w:r>
        <w:rPr>
          <w:rFonts w:hint="eastAsia" w:ascii="宋体" w:hAnsi="宋体" w:eastAsia="宋体" w:cs="宋体"/>
        </w:rPr>
        <w:br w:type="textWrapping"/>
      </w:r>
      <w:r>
        <w:rPr>
          <w:rFonts w:hint="eastAsia" w:ascii="宋体" w:hAnsi="宋体" w:eastAsia="宋体" w:cs="宋体"/>
        </w:rPr>
        <w:t>发生扣款事项时，甲方有权优先自本项目未付款项中扣减；未付款项不足以覆盖的，甲方有权继续自本项目质保金中扣减；如仍不足以覆盖的，乙方应在收到甲方通知后于甲方要求期限内另行支付。对于能够明确责任归属的事项，甲方有权根据责任对应系统或模块的分项报价金额、问题影响范围及应承担责任比例，对扣减金额进行归集和测算。前述扣款不影响甲方依据合同约定继续主张违约金、赔偿责任及其他权利。</w:t>
      </w:r>
    </w:p>
    <w:p w14:paraId="20527161">
      <w:pPr>
        <w:jc w:val="both"/>
        <w:rPr>
          <w:rFonts w:hint="eastAsia" w:ascii="宋体" w:hAnsi="宋体" w:eastAsia="宋体" w:cs="宋体"/>
        </w:rPr>
      </w:pPr>
      <w:r>
        <w:rPr>
          <w:rFonts w:hint="eastAsia" w:ascii="宋体" w:hAnsi="宋体" w:eastAsia="宋体" w:cs="宋体"/>
        </w:rPr>
        <w:t>甲方依据本条扣减相关款项后，乙方如有异议，应在接到甲方通知后 5日 内提出；逾期未提出的，视为认可。</w:t>
      </w:r>
    </w:p>
    <w:p w14:paraId="50C57B4D">
      <w:pPr>
        <w:jc w:val="both"/>
        <w:rPr>
          <w:rFonts w:hint="eastAsia" w:ascii="宋体" w:hAnsi="宋体" w:eastAsia="宋体" w:cs="宋体"/>
        </w:rPr>
      </w:pPr>
      <w:r>
        <w:rPr>
          <w:rFonts w:hint="eastAsia" w:ascii="宋体" w:hAnsi="宋体" w:eastAsia="宋体" w:cs="宋体"/>
        </w:rPr>
        <w:t>每次付款前，乙方均应向甲方开具合法有效的增值税专用发票。</w:t>
      </w:r>
    </w:p>
    <w:p w14:paraId="23817C0D">
      <w:pPr>
        <w:jc w:val="both"/>
        <w:rPr>
          <w:rFonts w:hint="eastAsia" w:ascii="宋体" w:hAnsi="宋体" w:eastAsia="宋体" w:cs="宋体"/>
        </w:rPr>
      </w:pPr>
      <w:r>
        <w:rPr>
          <w:rFonts w:hint="eastAsia" w:ascii="宋体" w:hAnsi="宋体" w:eastAsia="宋体" w:cs="宋体"/>
        </w:rPr>
        <w:t>三、质保金管理条款</w:t>
      </w:r>
    </w:p>
    <w:p w14:paraId="5F03A710">
      <w:pPr>
        <w:jc w:val="both"/>
        <w:rPr>
          <w:rFonts w:hint="eastAsia" w:ascii="宋体" w:hAnsi="宋体" w:eastAsia="宋体" w:cs="宋体"/>
        </w:rPr>
      </w:pPr>
      <w:r>
        <w:rPr>
          <w:rFonts w:hint="eastAsia" w:ascii="宋体" w:hAnsi="宋体" w:eastAsia="宋体" w:cs="宋体"/>
        </w:rPr>
        <w:t>（1）质保金形成。本项目合同总价按照本合同约定的付款节点支付至 95% 后，剩余合同总价的 5% 作为本项目质保金暂不支付，由甲方统一留存管理，不再按单个系统或模块分别形成质保留存款。本条所称质保金，系本项目合同价款中的留存款，并非乙方另行向甲方支付的保证金或押金。甲方可根据系统或模块责任归属情况，对质保金扣减事项建立内部归集台账，但乙方不得据此主张本项目质保金应按系统或模块分别返还。</w:t>
      </w:r>
    </w:p>
    <w:p w14:paraId="3A0F3AA2">
      <w:pPr>
        <w:jc w:val="both"/>
        <w:rPr>
          <w:rFonts w:hint="eastAsia" w:ascii="宋体" w:hAnsi="宋体" w:eastAsia="宋体" w:cs="宋体"/>
        </w:rPr>
      </w:pPr>
      <w:r>
        <w:rPr>
          <w:rFonts w:hint="eastAsia" w:ascii="宋体" w:hAnsi="宋体" w:eastAsia="宋体" w:cs="宋体"/>
        </w:rPr>
        <w:t>（2）质保金用途。质保金用于保障乙方继续履行质保期或维护期内的缺陷修复、故障处理、系统优化、运行维护、驻场支持、培训答疑、知识转移、资料补齐、安全整改、整改闭环及其他合同、谈判文件、响应文件、承诺文件约定的义务。质保金被留存、扣减、结算或者支付的，不影响乙方继续承担交付成果质量责任、服务责任、保密责任、知识产权责任及其他违约责任。</w:t>
      </w:r>
    </w:p>
    <w:p w14:paraId="30EF0291">
      <w:pPr>
        <w:jc w:val="both"/>
        <w:rPr>
          <w:rFonts w:hint="eastAsia" w:ascii="宋体" w:hAnsi="宋体" w:eastAsia="宋体" w:cs="宋体"/>
        </w:rPr>
      </w:pPr>
      <w:r>
        <w:rPr>
          <w:rFonts w:hint="eastAsia" w:ascii="宋体" w:hAnsi="宋体" w:eastAsia="宋体" w:cs="宋体"/>
        </w:rPr>
        <w:t>（3）质保金管理。甲方对本项目质保金统一管理，并可根据系统或模块责任归属建立内部责任归集台账。在质保金结算条件成就前，乙方不得主张提前支付全部或部分质保金，不得要求将质保金冲抵其他款项，也不得以部分系统或模块已完成验收、双方对部分事项仍有争议等为由单独主张返还。除双方另有明确书面约定外，质保金留存期间不计利息。</w:t>
      </w:r>
    </w:p>
    <w:p w14:paraId="42AABAE0">
      <w:pPr>
        <w:jc w:val="both"/>
        <w:rPr>
          <w:rFonts w:hint="eastAsia" w:ascii="宋体" w:hAnsi="宋体" w:eastAsia="宋体" w:cs="宋体"/>
        </w:rPr>
      </w:pPr>
      <w:r>
        <w:rPr>
          <w:rFonts w:hint="eastAsia" w:ascii="宋体" w:hAnsi="宋体" w:eastAsia="宋体" w:cs="宋体"/>
        </w:rPr>
        <w:t>（4）质保金扣减。发生本合同约定的扣款、违约、赔偿、代履行、第三方修复、整改、运维、培训、资料补齐、安全合规等应由乙方承担的费用或责任时，甲方有权按照本合同扣款条款约定优先自本项目未付款项中扣减；本项目未付款项不足的，自本项目质保金中扣减；如仍不足以覆盖的，乙方应在收到甲方通知后于甲方要求期限内另行支付。对于能够明确责任归属的事项，甲方有权按责任对应系统或模块进行归集、测算和内部台账管理。甲方扣减质保金后，仍有权要求乙方继续履行修复、整改、交付、培训、运维及其他合同义务。</w:t>
      </w:r>
    </w:p>
    <w:p w14:paraId="6A83A8E5">
      <w:pPr>
        <w:jc w:val="both"/>
        <w:rPr>
          <w:rFonts w:hint="eastAsia" w:ascii="宋体" w:hAnsi="宋体" w:eastAsia="宋体" w:cs="宋体"/>
        </w:rPr>
      </w:pPr>
      <w:r>
        <w:rPr>
          <w:rFonts w:hint="eastAsia" w:ascii="宋体" w:hAnsi="宋体" w:eastAsia="宋体" w:cs="宋体"/>
        </w:rPr>
        <w:t>（5）质保金结算条件。本项目质保金应在本合同约定的质保期或维护期届满后统一结算；前述质保期或维护期，系指自项目开发结束并进入乙方承诺的免费运维阶段之日起连续计算的 十二个自然月。结算前乙方应同时满足下列条件：1. 自项目开发结束并进入免费运维阶段之日起，乙方承诺的免费运维期限已连续满十二个自然月；2. 本项目各系统或模块均已完成合同约定的验收并满足相应稳定运行要求；3. 质保期或维护期内发现的 Bug、缺陷、故障、整改事项及遗留问题均已完成闭环处理并经甲方确认；4. 运维知识库、测试报告、缺陷清单、整改闭环记录、版本发布记录、源代码、数据库脚本、部署说明、接口文档、操作手册、培训材料及其他应移交资料均已完整提交并经甲方确认；5. 不存在尚未扣减、尚未结清或尚待核定的违约金、赔偿金、代履行费用及其他应由乙方承担的费用；6. 乙方已完成合同约定及甲方要求的培训、知识转移、驻场配合、答疑支持、运维保障及其他附随义务。</w:t>
      </w:r>
    </w:p>
    <w:p w14:paraId="1452BE90">
      <w:pPr>
        <w:jc w:val="both"/>
        <w:rPr>
          <w:rFonts w:hint="eastAsia" w:ascii="宋体" w:hAnsi="宋体" w:eastAsia="宋体" w:cs="宋体"/>
        </w:rPr>
      </w:pPr>
      <w:r>
        <w:rPr>
          <w:rFonts w:hint="eastAsia" w:ascii="宋体" w:hAnsi="宋体" w:eastAsia="宋体" w:cs="宋体"/>
        </w:rPr>
        <w:t>（6）质保金支付。乙方满足前款约定条件后，可向甲方提交质保金结算申请、合法有效发票及甲方要求的其他结算资料。甲方完成审核并与乙方确认结算结果后，于 30个工作日 内支付剩余质保金。质保金经扣减后仍有余额的，甲方仅支付扣减后的剩余部分；质保金已被全部扣减或抵扣完毕的，甲方不再支付。</w:t>
      </w:r>
    </w:p>
    <w:p w14:paraId="54CF7ADE">
      <w:pPr>
        <w:jc w:val="both"/>
        <w:rPr>
          <w:rFonts w:hint="eastAsia" w:ascii="宋体" w:hAnsi="宋体" w:eastAsia="宋体" w:cs="宋体"/>
        </w:rPr>
      </w:pPr>
      <w:r>
        <w:rPr>
          <w:rFonts w:hint="eastAsia" w:ascii="宋体" w:hAnsi="宋体" w:eastAsia="宋体" w:cs="宋体"/>
        </w:rPr>
        <w:t>（7）不足追偿及责任保留。质保金不足以覆盖乙方应承担的违约金、赔偿金、修复费用、代履行费用或其他损失的，甲方有权继续向乙方追偿。质保金支付完毕后，不视为甲方放弃依据本合同及相关法律法规向乙方主张质量责任、保密责任、知识产权责任、损害赔偿及其他违约责任的权利。</w:t>
      </w:r>
    </w:p>
    <w:bookmarkEnd w:id="0"/>
    <w:sectPr>
      <w:footnotePr>
        <w:numRestart w:val="eachSect"/>
      </w:footnote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ptos">
    <w:altName w:val="Segoe Print"/>
    <w:panose1 w:val="020B0004020202020204"/>
    <w:charset w:val="00"/>
    <w:family w:val="swiss"/>
    <w:pitch w:val="default"/>
    <w:sig w:usb0="00000000" w:usb1="00000000" w:usb2="00000000" w:usb3="00000000" w:csb0="0000019F" w:csb1="00000000"/>
  </w:font>
  <w:font w:name="Segoe Print">
    <w:panose1 w:val="02000600000000000000"/>
    <w:charset w:val="00"/>
    <w:family w:val="auto"/>
    <w:pitch w:val="default"/>
    <w:sig w:usb0="0000028F" w:usb1="00000000" w:usb2="00000000" w:usb3="00000000" w:csb0="2000009F" w:csb1="47010000"/>
  </w:font>
  <w:font w:name="等线">
    <w:panose1 w:val="02010600030101010101"/>
    <w:charset w:val="86"/>
    <w:family w:val="auto"/>
    <w:pitch w:val="default"/>
    <w:sig w:usb0="A00002BF" w:usb1="38CF7CFA" w:usb2="00000016" w:usb3="00000000" w:csb0="0004000F" w:csb1="00000000"/>
  </w:font>
  <w:font w:name="Aptos Display">
    <w:altName w:val="Segoe Print"/>
    <w:panose1 w:val="020B0004020202020204"/>
    <w:charset w:val="00"/>
    <w:family w:val="swiss"/>
    <w:pitch w:val="default"/>
    <w:sig w:usb0="00000000" w:usb1="00000000" w:usb2="00000000" w:usb3="00000000" w:csb0="0000019F" w:csb1="00000000"/>
  </w:font>
  <w:font w:name="等线 Light">
    <w:panose1 w:val="02010600030101010101"/>
    <w:charset w:val="86"/>
    <w:family w:val="auto"/>
    <w:pitch w:val="default"/>
    <w:sig w:usb0="A00002BF" w:usb1="38CF7CFA" w:usb2="00000016" w:usb3="00000000" w:csb0="0004000F" w:csb1="00000000"/>
  </w:font>
  <w:font w:name="Consolas">
    <w:panose1 w:val="020B0609020204030204"/>
    <w:charset w:val="00"/>
    <w:family w:val="auto"/>
    <w:pitch w:val="default"/>
    <w:sig w:usb0="E00006FF" w:usb1="0000FCFF" w:usb2="00000001" w:usb3="00000000" w:csb0="6000019F" w:csb1="DFD7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0"/>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numRestart w:val="eachSect"/>
    <w:footnote w:id="0"/>
    <w:footnote w:id="1"/>
  </w:footnotePr>
  <w:compat>
    <w:useFELayout/>
    <w:splitPgBreakAndParaMark/>
    <w:compatSetting w:name="compatibilityMode" w:uri="http://schemas.microsoft.com/office/word" w:val="12"/>
  </w:compat>
  <w:rsids>
    <w:rsidRoot w:val="00000000"/>
    <w:rsid w:val="0842480A"/>
    <w:rsid w:val="1B32483C"/>
    <w:rsid w:val="1E605592"/>
    <w:rsid w:val="1ED51262"/>
    <w:rsid w:val="72137C5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EastAsia" w:cstheme="minorBidi"/>
      <w:sz w:val="24"/>
      <w:szCs w:val="24"/>
      <w:lang w:val="en-US" w:eastAsia="zh-CN" w:bidi="ar-SA"/>
    </w:rPr>
  </w:style>
  <w:style w:type="paragraph" w:styleId="2">
    <w:name w:val="heading 1"/>
    <w:basedOn w:val="1"/>
    <w:next w:val="3"/>
    <w:link w:val="31"/>
    <w:qFormat/>
    <w:uiPriority w:val="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4">
    <w:name w:val="heading 2"/>
    <w:basedOn w:val="1"/>
    <w:next w:val="3"/>
    <w:link w:val="32"/>
    <w:semiHidden/>
    <w:unhideWhenUsed/>
    <w:qFormat/>
    <w:uiPriority w:val="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5">
    <w:name w:val="heading 3"/>
    <w:basedOn w:val="1"/>
    <w:next w:val="3"/>
    <w:link w:val="33"/>
    <w:semiHidden/>
    <w:unhideWhenUsed/>
    <w:qFormat/>
    <w:uiPriority w:val="9"/>
    <w:pPr>
      <w:keepNext/>
      <w:keepLines/>
      <w:spacing w:before="160" w:after="80"/>
      <w:outlineLvl w:val="2"/>
    </w:pPr>
    <w:rPr>
      <w:rFonts w:eastAsiaTheme="majorEastAsia" w:cstheme="majorBidi"/>
      <w:color w:val="0F4761" w:themeColor="accent1" w:themeShade="BF"/>
      <w:sz w:val="28"/>
      <w:szCs w:val="28"/>
    </w:rPr>
  </w:style>
  <w:style w:type="paragraph" w:styleId="6">
    <w:name w:val="heading 4"/>
    <w:basedOn w:val="1"/>
    <w:next w:val="3"/>
    <w:link w:val="34"/>
    <w:semiHidden/>
    <w:unhideWhenUsed/>
    <w:qFormat/>
    <w:uiPriority w:val="9"/>
    <w:pPr>
      <w:keepNext/>
      <w:keepLines/>
      <w:spacing w:before="80" w:after="40"/>
      <w:outlineLvl w:val="3"/>
    </w:pPr>
    <w:rPr>
      <w:rFonts w:eastAsiaTheme="majorEastAsia" w:cstheme="majorBidi"/>
      <w:i/>
      <w:iCs/>
      <w:color w:val="0F4761" w:themeColor="accent1" w:themeShade="BF"/>
    </w:rPr>
  </w:style>
  <w:style w:type="paragraph" w:styleId="7">
    <w:name w:val="heading 5"/>
    <w:basedOn w:val="1"/>
    <w:next w:val="3"/>
    <w:link w:val="35"/>
    <w:semiHidden/>
    <w:unhideWhenUsed/>
    <w:qFormat/>
    <w:uiPriority w:val="9"/>
    <w:pPr>
      <w:keepNext/>
      <w:keepLines/>
      <w:spacing w:before="80" w:after="40"/>
      <w:outlineLvl w:val="4"/>
    </w:pPr>
    <w:rPr>
      <w:rFonts w:eastAsiaTheme="majorEastAsia" w:cstheme="majorBidi"/>
      <w:color w:val="0F4761" w:themeColor="accent1" w:themeShade="BF"/>
    </w:rPr>
  </w:style>
  <w:style w:type="paragraph" w:styleId="8">
    <w:name w:val="heading 6"/>
    <w:basedOn w:val="1"/>
    <w:next w:val="3"/>
    <w:link w:val="36"/>
    <w:semiHidden/>
    <w:unhideWhenUsed/>
    <w:qFormat/>
    <w:uiPriority w:val="9"/>
    <w:pPr>
      <w:keepNext/>
      <w:keepLines/>
      <w:spacing w:before="40" w:after="0"/>
      <w:outlineLvl w:val="5"/>
    </w:pPr>
    <w:rPr>
      <w:rFonts w:eastAsiaTheme="majorEastAsia" w:cstheme="majorBidi"/>
      <w:i/>
      <w:iCs/>
      <w:color w:val="585858" w:themeColor="text1" w:themeTint="A6"/>
    </w:rPr>
  </w:style>
  <w:style w:type="paragraph" w:styleId="9">
    <w:name w:val="heading 7"/>
    <w:basedOn w:val="1"/>
    <w:next w:val="3"/>
    <w:link w:val="37"/>
    <w:semiHidden/>
    <w:unhideWhenUsed/>
    <w:qFormat/>
    <w:uiPriority w:val="9"/>
    <w:pPr>
      <w:keepNext/>
      <w:keepLines/>
      <w:spacing w:before="40" w:after="0"/>
      <w:outlineLvl w:val="6"/>
    </w:pPr>
    <w:rPr>
      <w:rFonts w:eastAsiaTheme="majorEastAsia" w:cstheme="majorBidi"/>
      <w:color w:val="585858" w:themeColor="text1" w:themeTint="A6"/>
    </w:rPr>
  </w:style>
  <w:style w:type="paragraph" w:styleId="10">
    <w:name w:val="heading 8"/>
    <w:basedOn w:val="1"/>
    <w:next w:val="3"/>
    <w:link w:val="38"/>
    <w:semiHidden/>
    <w:unhideWhenUsed/>
    <w:qFormat/>
    <w:uiPriority w:val="9"/>
    <w:pPr>
      <w:keepNext/>
      <w:keepLines/>
      <w:spacing w:after="0"/>
      <w:outlineLvl w:val="7"/>
    </w:pPr>
    <w:rPr>
      <w:rFonts w:eastAsiaTheme="majorEastAsia" w:cstheme="majorBidi"/>
      <w:i/>
      <w:iCs/>
      <w:color w:val="262626" w:themeColor="text1" w:themeTint="D8"/>
    </w:rPr>
  </w:style>
  <w:style w:type="paragraph" w:styleId="11">
    <w:name w:val="heading 9"/>
    <w:basedOn w:val="1"/>
    <w:next w:val="3"/>
    <w:link w:val="39"/>
    <w:semiHidden/>
    <w:unhideWhenUsed/>
    <w:qFormat/>
    <w:uiPriority w:val="9"/>
    <w:pPr>
      <w:keepNext/>
      <w:keepLines/>
      <w:spacing w:after="0"/>
      <w:outlineLvl w:val="8"/>
    </w:pPr>
    <w:rPr>
      <w:rFonts w:eastAsiaTheme="majorEastAsia" w:cstheme="majorBidi"/>
      <w:color w:val="262626" w:themeColor="text1" w:themeTint="D8"/>
    </w:rPr>
  </w:style>
  <w:style w:type="character" w:default="1" w:styleId="19">
    <w:name w:val="Default Paragraph Font"/>
    <w:semiHidden/>
    <w:unhideWhenUsed/>
    <w:qFormat/>
    <w:uiPriority w:val="0"/>
  </w:style>
  <w:style w:type="table" w:default="1" w:styleId="18">
    <w:name w:val="Normal Table"/>
    <w:uiPriority w:val="0"/>
    <w:tblPr>
      <w:tblCellMar>
        <w:top w:w="0" w:type="dxa"/>
        <w:left w:w="108" w:type="dxa"/>
        <w:bottom w:w="0" w:type="dxa"/>
        <w:right w:w="108" w:type="dxa"/>
      </w:tblCellMar>
    </w:tblPr>
  </w:style>
  <w:style w:type="paragraph" w:styleId="3">
    <w:name w:val="Body Text"/>
    <w:basedOn w:val="1"/>
    <w:link w:val="21"/>
    <w:qFormat/>
    <w:uiPriority w:val="0"/>
    <w:pPr>
      <w:spacing w:before="180" w:after="180"/>
    </w:pPr>
  </w:style>
  <w:style w:type="paragraph" w:styleId="12">
    <w:name w:val="caption"/>
    <w:basedOn w:val="1"/>
    <w:qFormat/>
    <w:uiPriority w:val="0"/>
    <w:pPr>
      <w:spacing w:before="0" w:after="120"/>
    </w:pPr>
    <w:rPr>
      <w:i/>
    </w:rPr>
  </w:style>
  <w:style w:type="paragraph" w:styleId="13">
    <w:name w:val="Block Text"/>
    <w:basedOn w:val="3"/>
    <w:next w:val="3"/>
    <w:unhideWhenUsed/>
    <w:qFormat/>
    <w:uiPriority w:val="9"/>
    <w:pPr>
      <w:spacing w:before="100" w:after="100"/>
      <w:ind w:left="480" w:right="480" w:firstLine="0"/>
    </w:pPr>
  </w:style>
  <w:style w:type="paragraph" w:styleId="14">
    <w:name w:val="Date"/>
    <w:basedOn w:val="15"/>
    <w:next w:val="3"/>
    <w:qFormat/>
    <w:uiPriority w:val="0"/>
    <w:pPr>
      <w:keepNext/>
      <w:keepLines/>
    </w:pPr>
    <w:rPr>
      <w:sz w:val="24"/>
      <w:szCs w:val="24"/>
    </w:rPr>
  </w:style>
  <w:style w:type="paragraph" w:styleId="15">
    <w:name w:val="Title"/>
    <w:basedOn w:val="1"/>
    <w:next w:val="3"/>
    <w:link w:val="25"/>
    <w:qFormat/>
    <w:uiPriority w:val="10"/>
    <w:pPr>
      <w:spacing w:after="80" w:line="240" w:lineRule="auto"/>
      <w:contextualSpacing/>
      <w:jc w:val="center"/>
    </w:pPr>
    <w:rPr>
      <w:rFonts w:asciiTheme="majorHAnsi" w:hAnsiTheme="majorHAnsi" w:eastAsiaTheme="majorEastAsia" w:cstheme="majorBidi"/>
      <w:sz w:val="56"/>
      <w:szCs w:val="56"/>
    </w:rPr>
  </w:style>
  <w:style w:type="paragraph" w:styleId="16">
    <w:name w:val="Subtitle"/>
    <w:basedOn w:val="15"/>
    <w:next w:val="3"/>
    <w:link w:val="26"/>
    <w:qFormat/>
    <w:uiPriority w:val="11"/>
    <w:rPr>
      <w:rFonts w:eastAsiaTheme="majorEastAsia" w:cstheme="majorBidi"/>
      <w:spacing w:val="15"/>
      <w:sz w:val="28"/>
      <w:szCs w:val="28"/>
    </w:rPr>
  </w:style>
  <w:style w:type="paragraph" w:styleId="17">
    <w:name w:val="footnote text"/>
    <w:basedOn w:val="1"/>
    <w:unhideWhenUsed/>
    <w:qFormat/>
    <w:uiPriority w:val="9"/>
  </w:style>
  <w:style w:type="character" w:styleId="20">
    <w:name w:val="Hyperlink"/>
    <w:basedOn w:val="21"/>
    <w:qFormat/>
    <w:uiPriority w:val="0"/>
    <w:rPr>
      <w:color w:val="156082" w:themeColor="accent1"/>
    </w:rPr>
  </w:style>
  <w:style w:type="character" w:customStyle="1" w:styleId="21">
    <w:name w:val="Body Text Char"/>
    <w:basedOn w:val="19"/>
    <w:link w:val="3"/>
    <w:qFormat/>
    <w:uiPriority w:val="0"/>
  </w:style>
  <w:style w:type="character" w:styleId="22">
    <w:name w:val="footnote reference"/>
    <w:basedOn w:val="21"/>
    <w:qFormat/>
    <w:uiPriority w:val="0"/>
    <w:rPr>
      <w:vertAlign w:val="superscript"/>
    </w:r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character" w:customStyle="1" w:styleId="25">
    <w:name w:val="Title Char"/>
    <w:basedOn w:val="19"/>
    <w:link w:val="15"/>
    <w:uiPriority w:val="10"/>
    <w:rPr>
      <w:rFonts w:asciiTheme="majorHAnsi" w:hAnsiTheme="majorHAnsi" w:eastAsiaTheme="majorEastAsia" w:cstheme="majorBidi"/>
      <w:sz w:val="56"/>
      <w:szCs w:val="56"/>
    </w:rPr>
  </w:style>
  <w:style w:type="character" w:customStyle="1" w:styleId="26">
    <w:name w:val="Subtitle Char"/>
    <w:basedOn w:val="19"/>
    <w:link w:val="16"/>
    <w:qFormat/>
    <w:uiPriority w:val="11"/>
    <w:rPr>
      <w:rFonts w:eastAsiaTheme="majorEastAsia" w:cstheme="majorBidi"/>
      <w:color w:val="585858" w:themeColor="text1" w:themeTint="A6"/>
      <w:spacing w:val="15"/>
      <w:sz w:val="28"/>
      <w:szCs w:val="28"/>
    </w:rPr>
  </w:style>
  <w:style w:type="paragraph" w:customStyle="1" w:styleId="27">
    <w:name w:val="Author"/>
    <w:basedOn w:val="15"/>
    <w:next w:val="3"/>
    <w:qFormat/>
    <w:uiPriority w:val="0"/>
    <w:pPr>
      <w:keepNext/>
      <w:keepLines/>
    </w:pPr>
    <w:rPr>
      <w:sz w:val="24"/>
      <w:szCs w:val="24"/>
    </w:rPr>
  </w:style>
  <w:style w:type="paragraph" w:customStyle="1" w:styleId="28">
    <w:name w:val="Abstract Title"/>
    <w:basedOn w:val="1"/>
    <w:next w:val="29"/>
    <w:qFormat/>
    <w:uiPriority w:val="0"/>
    <w:pPr>
      <w:keepNext/>
      <w:keepLines/>
      <w:spacing w:before="300" w:after="0"/>
      <w:jc w:val="center"/>
    </w:pPr>
    <w:rPr>
      <w:b/>
      <w:sz w:val="20"/>
      <w:szCs w:val="20"/>
    </w:rPr>
  </w:style>
  <w:style w:type="paragraph" w:customStyle="1" w:styleId="29">
    <w:name w:val="Abstract"/>
    <w:basedOn w:val="1"/>
    <w:next w:val="3"/>
    <w:qFormat/>
    <w:uiPriority w:val="0"/>
    <w:pPr>
      <w:keepNext/>
      <w:keepLines/>
      <w:spacing w:before="100" w:after="300"/>
    </w:pPr>
    <w:rPr>
      <w:sz w:val="20"/>
      <w:szCs w:val="20"/>
    </w:rPr>
  </w:style>
  <w:style w:type="paragraph" w:customStyle="1" w:styleId="30">
    <w:name w:val="Bibliography"/>
    <w:basedOn w:val="1"/>
    <w:qFormat/>
    <w:uiPriority w:val="0"/>
  </w:style>
  <w:style w:type="character" w:customStyle="1" w:styleId="31">
    <w:name w:val="Heading 1 Char"/>
    <w:basedOn w:val="19"/>
    <w:link w:val="2"/>
    <w:qFormat/>
    <w:uiPriority w:val="9"/>
    <w:rPr>
      <w:rFonts w:asciiTheme="majorHAnsi" w:hAnsiTheme="majorHAnsi" w:eastAsiaTheme="majorEastAsia" w:cstheme="majorBidi"/>
      <w:color w:val="0F4761" w:themeColor="accent1" w:themeShade="BF"/>
      <w:sz w:val="40"/>
      <w:szCs w:val="40"/>
    </w:rPr>
  </w:style>
  <w:style w:type="character" w:customStyle="1" w:styleId="32">
    <w:name w:val="Heading 2 Char"/>
    <w:basedOn w:val="19"/>
    <w:link w:val="4"/>
    <w:semiHidden/>
    <w:uiPriority w:val="9"/>
    <w:rPr>
      <w:rFonts w:asciiTheme="majorHAnsi" w:hAnsiTheme="majorHAnsi" w:eastAsiaTheme="majorEastAsia" w:cstheme="majorBidi"/>
      <w:color w:val="0F4761" w:themeColor="accent1" w:themeShade="BF"/>
      <w:sz w:val="32"/>
      <w:szCs w:val="32"/>
    </w:rPr>
  </w:style>
  <w:style w:type="character" w:customStyle="1" w:styleId="33">
    <w:name w:val="Heading 3 Char"/>
    <w:basedOn w:val="19"/>
    <w:link w:val="5"/>
    <w:semiHidden/>
    <w:uiPriority w:val="9"/>
    <w:rPr>
      <w:rFonts w:eastAsiaTheme="majorEastAsia" w:cstheme="majorBidi"/>
      <w:color w:val="0F4761" w:themeColor="accent1" w:themeShade="BF"/>
      <w:sz w:val="28"/>
      <w:szCs w:val="28"/>
    </w:rPr>
  </w:style>
  <w:style w:type="character" w:customStyle="1" w:styleId="34">
    <w:name w:val="Heading 4 Char"/>
    <w:basedOn w:val="19"/>
    <w:link w:val="6"/>
    <w:semiHidden/>
    <w:qFormat/>
    <w:uiPriority w:val="9"/>
    <w:rPr>
      <w:rFonts w:eastAsiaTheme="majorEastAsia" w:cstheme="majorBidi"/>
      <w:i/>
      <w:iCs/>
      <w:color w:val="0F4761" w:themeColor="accent1" w:themeShade="BF"/>
    </w:rPr>
  </w:style>
  <w:style w:type="character" w:customStyle="1" w:styleId="35">
    <w:name w:val="Heading 5 Char"/>
    <w:basedOn w:val="19"/>
    <w:link w:val="7"/>
    <w:semiHidden/>
    <w:qFormat/>
    <w:uiPriority w:val="9"/>
    <w:rPr>
      <w:rFonts w:eastAsiaTheme="majorEastAsia" w:cstheme="majorBidi"/>
      <w:color w:val="0F4761" w:themeColor="accent1" w:themeShade="BF"/>
    </w:rPr>
  </w:style>
  <w:style w:type="character" w:customStyle="1" w:styleId="36">
    <w:name w:val="Heading 6 Char"/>
    <w:basedOn w:val="19"/>
    <w:link w:val="8"/>
    <w:semiHidden/>
    <w:qFormat/>
    <w:uiPriority w:val="9"/>
    <w:rPr>
      <w:rFonts w:eastAsiaTheme="majorEastAsia" w:cstheme="majorBidi"/>
      <w:i/>
      <w:iCs/>
      <w:color w:val="585858" w:themeColor="text1" w:themeTint="A6"/>
    </w:rPr>
  </w:style>
  <w:style w:type="character" w:customStyle="1" w:styleId="37">
    <w:name w:val="Heading 7 Char"/>
    <w:basedOn w:val="19"/>
    <w:link w:val="9"/>
    <w:semiHidden/>
    <w:uiPriority w:val="9"/>
    <w:rPr>
      <w:rFonts w:eastAsiaTheme="majorEastAsia" w:cstheme="majorBidi"/>
      <w:color w:val="585858" w:themeColor="text1" w:themeTint="A6"/>
    </w:rPr>
  </w:style>
  <w:style w:type="character" w:customStyle="1" w:styleId="38">
    <w:name w:val="Heading 8 Char"/>
    <w:basedOn w:val="19"/>
    <w:link w:val="10"/>
    <w:semiHidden/>
    <w:qFormat/>
    <w:uiPriority w:val="9"/>
    <w:rPr>
      <w:rFonts w:eastAsiaTheme="majorEastAsia" w:cstheme="majorBidi"/>
      <w:i/>
      <w:iCs/>
      <w:color w:val="262626" w:themeColor="text1" w:themeTint="D8"/>
    </w:rPr>
  </w:style>
  <w:style w:type="character" w:customStyle="1" w:styleId="39">
    <w:name w:val="Heading 9 Char"/>
    <w:basedOn w:val="19"/>
    <w:link w:val="11"/>
    <w:semiHidden/>
    <w:qFormat/>
    <w:uiPriority w:val="9"/>
    <w:rPr>
      <w:rFonts w:eastAsiaTheme="majorEastAsia" w:cstheme="majorBidi"/>
      <w:color w:val="262626" w:themeColor="text1" w:themeTint="D8"/>
    </w:rPr>
  </w:style>
  <w:style w:type="paragraph" w:customStyle="1" w:styleId="40">
    <w:name w:val="Footnote Block Text"/>
    <w:basedOn w:val="17"/>
    <w:next w:val="17"/>
    <w:unhideWhenUsed/>
    <w:qFormat/>
    <w:uiPriority w:val="9"/>
    <w:pPr>
      <w:spacing w:before="100" w:after="100"/>
      <w:ind w:left="480" w:right="480" w:firstLine="0"/>
    </w:pPr>
  </w:style>
  <w:style w:type="table" w:customStyle="1" w:styleId="41">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42">
    <w:name w:val="Definition Term"/>
    <w:basedOn w:val="1"/>
    <w:next w:val="43"/>
    <w:uiPriority w:val="0"/>
    <w:pPr>
      <w:keepNext/>
      <w:keepLines/>
      <w:spacing w:after="0"/>
    </w:pPr>
    <w:rPr>
      <w:b/>
    </w:rPr>
  </w:style>
  <w:style w:type="paragraph" w:customStyle="1" w:styleId="43">
    <w:name w:val="Definition"/>
    <w:basedOn w:val="1"/>
    <w:qFormat/>
    <w:uiPriority w:val="0"/>
  </w:style>
  <w:style w:type="paragraph" w:customStyle="1" w:styleId="44">
    <w:name w:val="Table Caption"/>
    <w:basedOn w:val="12"/>
    <w:qFormat/>
    <w:uiPriority w:val="0"/>
    <w:pPr>
      <w:keepNext/>
    </w:pPr>
  </w:style>
  <w:style w:type="paragraph" w:customStyle="1" w:styleId="45">
    <w:name w:val="Image Caption"/>
    <w:basedOn w:val="12"/>
    <w:qFormat/>
    <w:uiPriority w:val="0"/>
  </w:style>
  <w:style w:type="paragraph" w:customStyle="1" w:styleId="46">
    <w:name w:val="Figure"/>
    <w:basedOn w:val="1"/>
    <w:qFormat/>
    <w:uiPriority w:val="0"/>
  </w:style>
  <w:style w:type="paragraph" w:customStyle="1" w:styleId="47">
    <w:name w:val="Captioned Figure"/>
    <w:basedOn w:val="46"/>
    <w:qFormat/>
    <w:uiPriority w:val="0"/>
    <w:pPr>
      <w:keepNext/>
    </w:pPr>
  </w:style>
  <w:style w:type="character" w:customStyle="1" w:styleId="48">
    <w:name w:val="Verbatim Char"/>
    <w:basedOn w:val="21"/>
    <w:link w:val="49"/>
    <w:qFormat/>
    <w:uiPriority w:val="0"/>
    <w:rPr>
      <w:rFonts w:ascii="Consolas" w:hAnsi="Consolas"/>
      <w:sz w:val="22"/>
    </w:rPr>
  </w:style>
  <w:style w:type="paragraph" w:customStyle="1" w:styleId="49">
    <w:name w:val="Source Code"/>
    <w:basedOn w:val="1"/>
    <w:link w:val="48"/>
    <w:qFormat/>
    <w:uiPriority w:val="0"/>
    <w:pPr>
      <w:wordWrap w:val="0"/>
    </w:pPr>
  </w:style>
  <w:style w:type="character" w:customStyle="1" w:styleId="50">
    <w:name w:val="Section Number"/>
    <w:basedOn w:val="21"/>
    <w:qFormat/>
    <w:uiPriority w:val="0"/>
  </w:style>
  <w:style w:type="paragraph" w:customStyle="1" w:styleId="51">
    <w:name w:val="TOC Heading"/>
    <w:basedOn w:val="2"/>
    <w:next w:val="3"/>
    <w:unhideWhenUsed/>
    <w:qFormat/>
    <w:uiPriority w:val="39"/>
    <w:pPr>
      <w:spacing w:before="240" w:line="259" w:lineRule="auto"/>
      <w:outlineLvl w:val="9"/>
    </w:pPr>
    <w:rPr>
      <w:rFonts w:asciiTheme="majorHAnsi" w:hAnsiTheme="majorHAnsi" w:eastAsiaTheme="majorEastAsia" w:cstheme="majorBidi"/>
      <w:color w:val="0F4761" w:themeColor="accent1" w:themeShade="BF"/>
    </w:rPr>
  </w:style>
  <w:style w:type="character" w:customStyle="1" w:styleId="52">
    <w:name w:val="KeywordTok"/>
    <w:basedOn w:val="48"/>
    <w:qFormat/>
    <w:uiPriority w:val="0"/>
    <w:rPr>
      <w:b/>
      <w:color w:val="007020"/>
    </w:rPr>
  </w:style>
  <w:style w:type="character" w:customStyle="1" w:styleId="53">
    <w:name w:val="DataTypeTok"/>
    <w:basedOn w:val="48"/>
    <w:qFormat/>
    <w:uiPriority w:val="0"/>
    <w:rPr>
      <w:color w:val="902000"/>
    </w:rPr>
  </w:style>
  <w:style w:type="character" w:customStyle="1" w:styleId="54">
    <w:name w:val="DecValTok"/>
    <w:basedOn w:val="48"/>
    <w:qFormat/>
    <w:uiPriority w:val="0"/>
    <w:rPr>
      <w:color w:val="40A070"/>
    </w:rPr>
  </w:style>
  <w:style w:type="character" w:customStyle="1" w:styleId="55">
    <w:name w:val="BaseNTok"/>
    <w:basedOn w:val="48"/>
    <w:qFormat/>
    <w:uiPriority w:val="0"/>
    <w:rPr>
      <w:color w:val="40A070"/>
    </w:rPr>
  </w:style>
  <w:style w:type="character" w:customStyle="1" w:styleId="56">
    <w:name w:val="FloatTok"/>
    <w:basedOn w:val="48"/>
    <w:qFormat/>
    <w:uiPriority w:val="0"/>
    <w:rPr>
      <w:color w:val="40A070"/>
    </w:rPr>
  </w:style>
  <w:style w:type="character" w:customStyle="1" w:styleId="57">
    <w:name w:val="ConstantTok"/>
    <w:basedOn w:val="48"/>
    <w:qFormat/>
    <w:uiPriority w:val="0"/>
    <w:rPr>
      <w:color w:val="880000"/>
    </w:rPr>
  </w:style>
  <w:style w:type="character" w:customStyle="1" w:styleId="58">
    <w:name w:val="CharTok"/>
    <w:basedOn w:val="48"/>
    <w:qFormat/>
    <w:uiPriority w:val="0"/>
    <w:rPr>
      <w:color w:val="4070A0"/>
    </w:rPr>
  </w:style>
  <w:style w:type="character" w:customStyle="1" w:styleId="59">
    <w:name w:val="SpecialCharTok"/>
    <w:basedOn w:val="48"/>
    <w:qFormat/>
    <w:uiPriority w:val="0"/>
    <w:rPr>
      <w:color w:val="4070A0"/>
    </w:rPr>
  </w:style>
  <w:style w:type="character" w:customStyle="1" w:styleId="60">
    <w:name w:val="StringTok"/>
    <w:basedOn w:val="48"/>
    <w:qFormat/>
    <w:uiPriority w:val="0"/>
    <w:rPr>
      <w:color w:val="4070A0"/>
    </w:rPr>
  </w:style>
  <w:style w:type="character" w:customStyle="1" w:styleId="61">
    <w:name w:val="VerbatimStringTok"/>
    <w:basedOn w:val="48"/>
    <w:qFormat/>
    <w:uiPriority w:val="0"/>
    <w:rPr>
      <w:color w:val="4070A0"/>
    </w:rPr>
  </w:style>
  <w:style w:type="character" w:customStyle="1" w:styleId="62">
    <w:name w:val="SpecialStringTok"/>
    <w:basedOn w:val="48"/>
    <w:qFormat/>
    <w:uiPriority w:val="0"/>
    <w:rPr>
      <w:color w:val="BB6688"/>
    </w:rPr>
  </w:style>
  <w:style w:type="character" w:customStyle="1" w:styleId="63">
    <w:name w:val="ImportTok"/>
    <w:basedOn w:val="48"/>
    <w:qFormat/>
    <w:uiPriority w:val="0"/>
    <w:rPr>
      <w:b/>
      <w:color w:val="008000"/>
    </w:rPr>
  </w:style>
  <w:style w:type="character" w:customStyle="1" w:styleId="64">
    <w:name w:val="CommentTok"/>
    <w:basedOn w:val="48"/>
    <w:qFormat/>
    <w:uiPriority w:val="0"/>
    <w:rPr>
      <w:i/>
      <w:color w:val="60A0B0"/>
    </w:rPr>
  </w:style>
  <w:style w:type="character" w:customStyle="1" w:styleId="65">
    <w:name w:val="DocumentationTok"/>
    <w:basedOn w:val="48"/>
    <w:qFormat/>
    <w:uiPriority w:val="0"/>
    <w:rPr>
      <w:i/>
      <w:color w:val="BA2121"/>
    </w:rPr>
  </w:style>
  <w:style w:type="character" w:customStyle="1" w:styleId="66">
    <w:name w:val="AnnotationTok"/>
    <w:basedOn w:val="48"/>
    <w:qFormat/>
    <w:uiPriority w:val="0"/>
    <w:rPr>
      <w:b/>
      <w:i/>
      <w:color w:val="60A0B0"/>
    </w:rPr>
  </w:style>
  <w:style w:type="character" w:customStyle="1" w:styleId="67">
    <w:name w:val="CommentVarTok"/>
    <w:basedOn w:val="48"/>
    <w:qFormat/>
    <w:uiPriority w:val="0"/>
    <w:rPr>
      <w:b/>
      <w:i/>
      <w:color w:val="60A0B0"/>
    </w:rPr>
  </w:style>
  <w:style w:type="character" w:customStyle="1" w:styleId="68">
    <w:name w:val="OtherTok"/>
    <w:basedOn w:val="48"/>
    <w:qFormat/>
    <w:uiPriority w:val="0"/>
    <w:rPr>
      <w:color w:val="007020"/>
    </w:rPr>
  </w:style>
  <w:style w:type="character" w:customStyle="1" w:styleId="69">
    <w:name w:val="FunctionTok"/>
    <w:basedOn w:val="48"/>
    <w:qFormat/>
    <w:uiPriority w:val="0"/>
    <w:rPr>
      <w:color w:val="06287E"/>
    </w:rPr>
  </w:style>
  <w:style w:type="character" w:customStyle="1" w:styleId="70">
    <w:name w:val="VariableTok"/>
    <w:basedOn w:val="48"/>
    <w:qFormat/>
    <w:uiPriority w:val="0"/>
    <w:rPr>
      <w:color w:val="19177C"/>
    </w:rPr>
  </w:style>
  <w:style w:type="character" w:customStyle="1" w:styleId="71">
    <w:name w:val="ControlFlowTok"/>
    <w:basedOn w:val="48"/>
    <w:qFormat/>
    <w:uiPriority w:val="0"/>
    <w:rPr>
      <w:b/>
      <w:color w:val="007020"/>
    </w:rPr>
  </w:style>
  <w:style w:type="character" w:customStyle="1" w:styleId="72">
    <w:name w:val="OperatorTok"/>
    <w:basedOn w:val="48"/>
    <w:qFormat/>
    <w:uiPriority w:val="0"/>
    <w:rPr>
      <w:color w:val="666666"/>
    </w:rPr>
  </w:style>
  <w:style w:type="character" w:customStyle="1" w:styleId="73">
    <w:name w:val="BuiltInTok"/>
    <w:basedOn w:val="48"/>
    <w:qFormat/>
    <w:uiPriority w:val="0"/>
    <w:rPr>
      <w:color w:val="008000"/>
    </w:rPr>
  </w:style>
  <w:style w:type="character" w:customStyle="1" w:styleId="74">
    <w:name w:val="ExtensionTok"/>
    <w:basedOn w:val="48"/>
    <w:qFormat/>
    <w:uiPriority w:val="0"/>
  </w:style>
  <w:style w:type="character" w:customStyle="1" w:styleId="75">
    <w:name w:val="PreprocessorTok"/>
    <w:basedOn w:val="48"/>
    <w:qFormat/>
    <w:uiPriority w:val="0"/>
    <w:rPr>
      <w:color w:val="BC7A00"/>
    </w:rPr>
  </w:style>
  <w:style w:type="character" w:customStyle="1" w:styleId="76">
    <w:name w:val="AttributeTok"/>
    <w:basedOn w:val="48"/>
    <w:qFormat/>
    <w:uiPriority w:val="0"/>
    <w:rPr>
      <w:color w:val="7D9029"/>
    </w:rPr>
  </w:style>
  <w:style w:type="character" w:customStyle="1" w:styleId="77">
    <w:name w:val="RegionMarkerTok"/>
    <w:basedOn w:val="48"/>
    <w:qFormat/>
    <w:uiPriority w:val="0"/>
  </w:style>
  <w:style w:type="character" w:customStyle="1" w:styleId="78">
    <w:name w:val="InformationTok"/>
    <w:basedOn w:val="48"/>
    <w:qFormat/>
    <w:uiPriority w:val="0"/>
    <w:rPr>
      <w:b/>
      <w:i/>
      <w:color w:val="60A0B0"/>
    </w:rPr>
  </w:style>
  <w:style w:type="character" w:customStyle="1" w:styleId="79">
    <w:name w:val="WarningTok"/>
    <w:basedOn w:val="48"/>
    <w:qFormat/>
    <w:uiPriority w:val="0"/>
    <w:rPr>
      <w:b/>
      <w:i/>
      <w:color w:val="60A0B0"/>
    </w:rPr>
  </w:style>
  <w:style w:type="character" w:customStyle="1" w:styleId="80">
    <w:name w:val="AlertTok"/>
    <w:basedOn w:val="48"/>
    <w:qFormat/>
    <w:uiPriority w:val="0"/>
    <w:rPr>
      <w:b/>
      <w:color w:val="FF0000"/>
    </w:rPr>
  </w:style>
  <w:style w:type="character" w:customStyle="1" w:styleId="81">
    <w:name w:val="ErrorTok"/>
    <w:basedOn w:val="48"/>
    <w:qFormat/>
    <w:uiPriority w:val="0"/>
    <w:rPr>
      <w:b/>
      <w:color w:val="FF0000"/>
    </w:rPr>
  </w:style>
  <w:style w:type="character" w:customStyle="1" w:styleId="82">
    <w:name w:val="NormalTok"/>
    <w:basedOn w:val="48"/>
    <w:qFormat/>
    <w:uiPriority w:val="0"/>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6583</Words>
  <Characters>6687</Characters>
  <Lines>12</Lines>
  <Paragraphs>8</Paragraphs>
  <TotalTime>9</TotalTime>
  <ScaleCrop>false</ScaleCrop>
  <LinksUpToDate>false</LinksUpToDate>
  <CharactersWithSpaces>6938</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2026-04-22T05:52:00Z</dcterms:created>
  <dc:creator>不要说话</dc:creator>
  <cp:lastModifiedBy>不要说话</cp:lastModifiedBy>
  <dcterms:modified xsi:type="dcterms:W3CDTF">2026-04-24T05:54:57Z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eyJoZGlkIjoiMjlmM2ExZTYwMDJiNjkxMjgwZmEyM2Y5Nzk3NDc5OGMiLCJ1c2VySWQiOiIyNDI2MzU0MTMifQ==</vt:lpwstr>
  </property>
  <property fmtid="{D5CDD505-2E9C-101B-9397-08002B2CF9AE}" pid="3" name="KSOProductBuildVer">
    <vt:lpwstr>2052-12.1.0.25865</vt:lpwstr>
  </property>
  <property fmtid="{D5CDD505-2E9C-101B-9397-08002B2CF9AE}" pid="4" name="ICV">
    <vt:lpwstr>D4E57F2E48BC4A1C9CA65EAC84A7FAB8_12</vt:lpwstr>
  </property>
</Properties>
</file>