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3"/>
        <w:gridCol w:w="1524"/>
        <w:gridCol w:w="5790"/>
        <w:gridCol w:w="1381"/>
        <w:gridCol w:w="1409"/>
        <w:gridCol w:w="963"/>
        <w:gridCol w:w="1028"/>
      </w:tblGrid>
      <w:tr w14:paraId="5A523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8" w:type="dxa"/>
            <w:gridSpan w:val="7"/>
            <w:vAlign w:val="center"/>
          </w:tcPr>
          <w:p w14:paraId="7B840E64">
            <w:pPr>
              <w:spacing w:before="0" w:after="0" w:line="264" w:lineRule="auto"/>
              <w:jc w:val="center"/>
              <w:rPr>
                <w:rFonts w:hint="eastAsia" w:ascii="仿宋" w:hAnsi="仿宋" w:eastAsia="仿宋" w:cs="仿宋"/>
                <w:sz w:val="20"/>
                <w:szCs w:val="20"/>
              </w:rPr>
            </w:pPr>
            <w:bookmarkStart w:id="0" w:name="_GoBack"/>
            <w:r>
              <w:rPr>
                <w:rFonts w:hint="eastAsia" w:ascii="仿宋" w:hAnsi="仿宋" w:eastAsia="仿宋" w:cs="仿宋"/>
                <w:b w:val="0"/>
                <w:sz w:val="20"/>
                <w:szCs w:val="20"/>
              </w:rPr>
              <w:t>报价明细表</w:t>
            </w:r>
          </w:p>
        </w:tc>
      </w:tr>
      <w:tr w14:paraId="4B941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7" w:type="dxa"/>
            <w:gridSpan w:val="2"/>
            <w:vAlign w:val="center"/>
          </w:tcPr>
          <w:p w14:paraId="75DB3A0A">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工作量构成：</w:t>
            </w:r>
          </w:p>
        </w:tc>
        <w:tc>
          <w:tcPr>
            <w:tcW w:w="10571" w:type="dxa"/>
            <w:gridSpan w:val="5"/>
            <w:vAlign w:val="center"/>
          </w:tcPr>
          <w:p w14:paraId="1C8D082E">
            <w:pPr>
              <w:spacing w:before="0" w:after="0" w:line="264" w:lineRule="auto"/>
              <w:jc w:val="center"/>
              <w:rPr>
                <w:rFonts w:hint="eastAsia" w:ascii="仿宋" w:hAnsi="仿宋" w:eastAsia="仿宋" w:cs="仿宋"/>
                <w:sz w:val="20"/>
                <w:szCs w:val="20"/>
              </w:rPr>
            </w:pPr>
            <w:r>
              <w:rPr>
                <w:rFonts w:hint="eastAsia" w:ascii="仿宋" w:hAnsi="仿宋" w:eastAsia="仿宋" w:cs="仿宋"/>
                <w:b/>
                <w:bCs/>
                <w:sz w:val="20"/>
                <w:szCs w:val="20"/>
              </w:rPr>
              <w:t>PECMS模块（对内+对外）</w:t>
            </w:r>
          </w:p>
        </w:tc>
      </w:tr>
      <w:tr w14:paraId="6081A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13" w:type="dxa"/>
            <w:vAlign w:val="center"/>
          </w:tcPr>
          <w:p w14:paraId="2114899B">
            <w:pPr>
              <w:spacing w:before="0" w:after="0" w:line="264" w:lineRule="auto"/>
              <w:jc w:val="both"/>
              <w:rPr>
                <w:rFonts w:hint="eastAsia" w:ascii="仿宋" w:hAnsi="仿宋" w:eastAsia="仿宋" w:cs="仿宋"/>
                <w:sz w:val="20"/>
                <w:szCs w:val="20"/>
              </w:rPr>
            </w:pPr>
            <w:r>
              <w:rPr>
                <w:rFonts w:hint="eastAsia" w:ascii="仿宋" w:hAnsi="仿宋" w:eastAsia="仿宋" w:cs="仿宋"/>
                <w:b w:val="0"/>
                <w:sz w:val="20"/>
                <w:szCs w:val="20"/>
              </w:rPr>
              <w:t>序号</w:t>
            </w:r>
          </w:p>
        </w:tc>
        <w:tc>
          <w:tcPr>
            <w:tcW w:w="1524" w:type="dxa"/>
            <w:vAlign w:val="center"/>
          </w:tcPr>
          <w:p w14:paraId="4B4F8EF2">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功能模块</w:t>
            </w:r>
          </w:p>
        </w:tc>
        <w:tc>
          <w:tcPr>
            <w:tcW w:w="5790" w:type="dxa"/>
            <w:vAlign w:val="center"/>
          </w:tcPr>
          <w:p w14:paraId="078B95CA">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功能点描述</w:t>
            </w:r>
          </w:p>
        </w:tc>
        <w:tc>
          <w:tcPr>
            <w:tcW w:w="1381" w:type="dxa"/>
            <w:vAlign w:val="center"/>
          </w:tcPr>
          <w:p w14:paraId="282F6A61">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人工日/数</w:t>
            </w:r>
          </w:p>
          <w:p w14:paraId="54E9B81C">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量</w:t>
            </w:r>
          </w:p>
        </w:tc>
        <w:tc>
          <w:tcPr>
            <w:tcW w:w="1409" w:type="dxa"/>
            <w:vAlign w:val="center"/>
          </w:tcPr>
          <w:p w14:paraId="4198249F">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单价（元）</w:t>
            </w:r>
          </w:p>
        </w:tc>
        <w:tc>
          <w:tcPr>
            <w:tcW w:w="963" w:type="dxa"/>
            <w:vAlign w:val="center"/>
          </w:tcPr>
          <w:p w14:paraId="56BB1C16">
            <w:pPr>
              <w:spacing w:before="0" w:after="0" w:line="264" w:lineRule="auto"/>
              <w:jc w:val="both"/>
              <w:rPr>
                <w:rFonts w:hint="eastAsia" w:ascii="仿宋" w:hAnsi="仿宋" w:eastAsia="仿宋" w:cs="仿宋"/>
                <w:sz w:val="20"/>
                <w:szCs w:val="20"/>
              </w:rPr>
            </w:pPr>
            <w:r>
              <w:rPr>
                <w:rFonts w:hint="eastAsia" w:ascii="仿宋" w:hAnsi="仿宋" w:eastAsia="仿宋" w:cs="仿宋"/>
                <w:b w:val="0"/>
                <w:sz w:val="20"/>
                <w:szCs w:val="20"/>
                <w:lang w:val="en-US" w:eastAsia="zh-CN"/>
              </w:rPr>
              <w:t>小</w:t>
            </w:r>
            <w:r>
              <w:rPr>
                <w:rFonts w:hint="eastAsia" w:ascii="仿宋" w:hAnsi="仿宋" w:eastAsia="仿宋" w:cs="仿宋"/>
                <w:b w:val="0"/>
                <w:sz w:val="20"/>
                <w:szCs w:val="20"/>
              </w:rPr>
              <w:t>计（元）</w:t>
            </w:r>
          </w:p>
        </w:tc>
        <w:tc>
          <w:tcPr>
            <w:tcW w:w="1028" w:type="dxa"/>
            <w:vAlign w:val="center"/>
          </w:tcPr>
          <w:p w14:paraId="0596961C">
            <w:pPr>
              <w:spacing w:before="0" w:after="0" w:line="264" w:lineRule="auto"/>
              <w:jc w:val="both"/>
              <w:rPr>
                <w:rFonts w:hint="eastAsia" w:ascii="仿宋" w:hAnsi="仿宋" w:eastAsia="仿宋" w:cs="仿宋"/>
                <w:sz w:val="20"/>
                <w:szCs w:val="20"/>
              </w:rPr>
            </w:pPr>
            <w:r>
              <w:rPr>
                <w:rFonts w:hint="eastAsia" w:ascii="仿宋" w:hAnsi="仿宋" w:eastAsia="仿宋" w:cs="仿宋"/>
                <w:b w:val="0"/>
                <w:sz w:val="20"/>
                <w:szCs w:val="20"/>
              </w:rPr>
              <w:t>备注</w:t>
            </w:r>
          </w:p>
        </w:tc>
      </w:tr>
      <w:tr w14:paraId="3A915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3EB7B88A">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1</w:t>
            </w:r>
          </w:p>
        </w:tc>
        <w:tc>
          <w:tcPr>
            <w:tcW w:w="1524" w:type="dxa"/>
            <w:vMerge w:val="restart"/>
            <w:vAlign w:val="center"/>
          </w:tcPr>
          <w:p w14:paraId="27FBAAF8">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派遣单</w:t>
            </w:r>
          </w:p>
        </w:tc>
        <w:tc>
          <w:tcPr>
            <w:tcW w:w="5790" w:type="dxa"/>
            <w:vAlign w:val="center"/>
          </w:tcPr>
          <w:p w14:paraId="7431E6D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项目总监/总监代表/监理人员/项目业主-我的项目-任务派遣单、项目管理-全部项目-任务派遣单页面结构改造，增加驻厂、巡检tab切(类似交底菜单)，原有页面功能不做改变，驻厂按钮：录入细则、文档目录、数据填报、任务交底、打卡信息、人员交接等；巡检：任务交底、人员交接等，增加制造厂搜索筛选支持模糊搜索。</w:t>
            </w:r>
          </w:p>
        </w:tc>
        <w:tc>
          <w:tcPr>
            <w:tcW w:w="1381" w:type="dxa"/>
            <w:vAlign w:val="center"/>
          </w:tcPr>
          <w:p w14:paraId="58433F91">
            <w:pPr>
              <w:spacing w:before="0" w:after="0" w:line="264" w:lineRule="auto"/>
              <w:jc w:val="center"/>
              <w:rPr>
                <w:rFonts w:hint="eastAsia" w:ascii="仿宋" w:hAnsi="仿宋" w:eastAsia="仿宋" w:cs="仿宋"/>
                <w:sz w:val="20"/>
                <w:szCs w:val="20"/>
              </w:rPr>
            </w:pPr>
          </w:p>
        </w:tc>
        <w:tc>
          <w:tcPr>
            <w:tcW w:w="1409" w:type="dxa"/>
            <w:vAlign w:val="center"/>
          </w:tcPr>
          <w:p w14:paraId="7F946119">
            <w:pPr>
              <w:spacing w:before="0" w:after="0" w:line="264" w:lineRule="auto"/>
              <w:jc w:val="center"/>
              <w:rPr>
                <w:rFonts w:hint="eastAsia" w:ascii="仿宋" w:hAnsi="仿宋" w:eastAsia="仿宋" w:cs="仿宋"/>
                <w:sz w:val="20"/>
                <w:szCs w:val="20"/>
              </w:rPr>
            </w:pPr>
          </w:p>
        </w:tc>
        <w:tc>
          <w:tcPr>
            <w:tcW w:w="963" w:type="dxa"/>
            <w:vMerge w:val="restart"/>
            <w:vAlign w:val="center"/>
          </w:tcPr>
          <w:p w14:paraId="78C17803">
            <w:pPr>
              <w:spacing w:before="0" w:after="0" w:line="264" w:lineRule="auto"/>
              <w:jc w:val="center"/>
              <w:rPr>
                <w:rFonts w:hint="eastAsia" w:ascii="仿宋" w:hAnsi="仿宋" w:eastAsia="仿宋" w:cs="仿宋"/>
                <w:sz w:val="20"/>
                <w:szCs w:val="20"/>
              </w:rPr>
            </w:pPr>
          </w:p>
        </w:tc>
        <w:tc>
          <w:tcPr>
            <w:tcW w:w="1028" w:type="dxa"/>
            <w:vMerge w:val="restart"/>
            <w:vAlign w:val="center"/>
          </w:tcPr>
          <w:p w14:paraId="32581C93">
            <w:pPr>
              <w:spacing w:before="0" w:after="0" w:line="264" w:lineRule="auto"/>
              <w:jc w:val="center"/>
              <w:rPr>
                <w:rFonts w:hint="eastAsia" w:ascii="仿宋" w:hAnsi="仿宋" w:eastAsia="仿宋" w:cs="仿宋"/>
                <w:sz w:val="20"/>
                <w:szCs w:val="20"/>
              </w:rPr>
            </w:pPr>
          </w:p>
        </w:tc>
      </w:tr>
      <w:tr w14:paraId="6E485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7A498892">
            <w:pPr>
              <w:spacing w:after="0" w:line="240" w:lineRule="auto"/>
              <w:rPr>
                <w:rFonts w:hint="eastAsia" w:ascii="仿宋" w:hAnsi="仿宋" w:eastAsia="仿宋" w:cs="仿宋"/>
                <w:sz w:val="20"/>
                <w:szCs w:val="20"/>
              </w:rPr>
            </w:pPr>
          </w:p>
        </w:tc>
        <w:tc>
          <w:tcPr>
            <w:tcW w:w="1524" w:type="dxa"/>
            <w:vMerge w:val="continue"/>
          </w:tcPr>
          <w:p w14:paraId="4456166B">
            <w:pPr>
              <w:spacing w:after="0" w:line="240" w:lineRule="auto"/>
              <w:rPr>
                <w:rFonts w:hint="eastAsia" w:ascii="仿宋" w:hAnsi="仿宋" w:eastAsia="仿宋" w:cs="仿宋"/>
                <w:sz w:val="20"/>
                <w:szCs w:val="20"/>
              </w:rPr>
            </w:pPr>
          </w:p>
        </w:tc>
        <w:tc>
          <w:tcPr>
            <w:tcW w:w="5790" w:type="dxa"/>
            <w:vAlign w:val="center"/>
          </w:tcPr>
          <w:p w14:paraId="0674FDD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监造任务派遣单增加安环部安全交底，使用现有安全文件管理功能。在派单审批通过后自动发送当前年度的安全文件(数据+PC站内消息通知)。项目总监/总监代表/监理人员/项目业主-我的项目-任务派遣单、项目管理-全部项目-任务派遣单页面增加安全交底按钮，点击按钮可查看当前派单的安全文件。</w:t>
            </w:r>
          </w:p>
        </w:tc>
        <w:tc>
          <w:tcPr>
            <w:tcW w:w="1381" w:type="dxa"/>
            <w:vAlign w:val="center"/>
          </w:tcPr>
          <w:p w14:paraId="31ACC6F3">
            <w:pPr>
              <w:spacing w:before="0" w:after="0" w:line="264" w:lineRule="auto"/>
              <w:jc w:val="center"/>
              <w:rPr>
                <w:rFonts w:hint="eastAsia" w:ascii="仿宋" w:hAnsi="仿宋" w:eastAsia="仿宋" w:cs="仿宋"/>
                <w:sz w:val="20"/>
                <w:szCs w:val="20"/>
              </w:rPr>
            </w:pPr>
          </w:p>
        </w:tc>
        <w:tc>
          <w:tcPr>
            <w:tcW w:w="1409" w:type="dxa"/>
            <w:vAlign w:val="center"/>
          </w:tcPr>
          <w:p w14:paraId="0CD6F9A9">
            <w:pPr>
              <w:spacing w:before="0" w:after="0" w:line="264" w:lineRule="auto"/>
              <w:jc w:val="center"/>
              <w:rPr>
                <w:rFonts w:hint="eastAsia" w:ascii="仿宋" w:hAnsi="仿宋" w:eastAsia="仿宋" w:cs="仿宋"/>
                <w:sz w:val="20"/>
                <w:szCs w:val="20"/>
              </w:rPr>
            </w:pPr>
          </w:p>
        </w:tc>
        <w:tc>
          <w:tcPr>
            <w:tcW w:w="963" w:type="dxa"/>
            <w:vMerge w:val="continue"/>
          </w:tcPr>
          <w:p w14:paraId="11F4BD09">
            <w:pPr>
              <w:spacing w:after="0" w:line="240" w:lineRule="auto"/>
              <w:rPr>
                <w:rFonts w:hint="eastAsia" w:ascii="仿宋" w:hAnsi="仿宋" w:eastAsia="仿宋" w:cs="仿宋"/>
                <w:sz w:val="20"/>
                <w:szCs w:val="20"/>
              </w:rPr>
            </w:pPr>
          </w:p>
        </w:tc>
        <w:tc>
          <w:tcPr>
            <w:tcW w:w="1028" w:type="dxa"/>
            <w:vMerge w:val="continue"/>
          </w:tcPr>
          <w:p w14:paraId="7A4AA8A4">
            <w:pPr>
              <w:spacing w:after="0" w:line="240" w:lineRule="auto"/>
              <w:rPr>
                <w:rFonts w:hint="eastAsia" w:ascii="仿宋" w:hAnsi="仿宋" w:eastAsia="仿宋" w:cs="仿宋"/>
                <w:sz w:val="20"/>
                <w:szCs w:val="20"/>
              </w:rPr>
            </w:pPr>
          </w:p>
        </w:tc>
      </w:tr>
      <w:tr w14:paraId="2FE95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285F5895">
            <w:pPr>
              <w:spacing w:after="0" w:line="240" w:lineRule="auto"/>
              <w:rPr>
                <w:rFonts w:hint="eastAsia" w:ascii="仿宋" w:hAnsi="仿宋" w:eastAsia="仿宋" w:cs="仿宋"/>
                <w:sz w:val="20"/>
                <w:szCs w:val="20"/>
              </w:rPr>
            </w:pPr>
          </w:p>
        </w:tc>
        <w:tc>
          <w:tcPr>
            <w:tcW w:w="1524" w:type="dxa"/>
            <w:vMerge w:val="continue"/>
          </w:tcPr>
          <w:p w14:paraId="6C9902E1">
            <w:pPr>
              <w:spacing w:after="0" w:line="240" w:lineRule="auto"/>
              <w:rPr>
                <w:rFonts w:hint="eastAsia" w:ascii="仿宋" w:hAnsi="仿宋" w:eastAsia="仿宋" w:cs="仿宋"/>
                <w:sz w:val="20"/>
                <w:szCs w:val="20"/>
              </w:rPr>
            </w:pPr>
          </w:p>
        </w:tc>
        <w:tc>
          <w:tcPr>
            <w:tcW w:w="5790" w:type="dxa"/>
            <w:vAlign w:val="center"/>
          </w:tcPr>
          <w:p w14:paraId="2D76012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总监代表我的派单页面增加编辑、驳回重新提交按钮，允许总监代表进行编辑后重新提交；监理人员我的派单顶部增加数据填报按钮；监理人员我的派单操作栏下增加数据填报中日志（编辑）、周报（列表）、细则（列表）快捷入口。</w:t>
            </w:r>
          </w:p>
        </w:tc>
        <w:tc>
          <w:tcPr>
            <w:tcW w:w="1381" w:type="dxa"/>
            <w:vAlign w:val="center"/>
          </w:tcPr>
          <w:p w14:paraId="19878EFF">
            <w:pPr>
              <w:spacing w:before="0" w:after="0" w:line="264" w:lineRule="auto"/>
              <w:jc w:val="center"/>
              <w:rPr>
                <w:rFonts w:hint="eastAsia" w:ascii="仿宋" w:hAnsi="仿宋" w:eastAsia="仿宋" w:cs="仿宋"/>
                <w:sz w:val="20"/>
                <w:szCs w:val="20"/>
              </w:rPr>
            </w:pPr>
          </w:p>
        </w:tc>
        <w:tc>
          <w:tcPr>
            <w:tcW w:w="1409" w:type="dxa"/>
            <w:vAlign w:val="center"/>
          </w:tcPr>
          <w:p w14:paraId="645E7E81">
            <w:pPr>
              <w:spacing w:before="0" w:after="0" w:line="264" w:lineRule="auto"/>
              <w:jc w:val="center"/>
              <w:rPr>
                <w:rFonts w:hint="eastAsia" w:ascii="仿宋" w:hAnsi="仿宋" w:eastAsia="仿宋" w:cs="仿宋"/>
                <w:sz w:val="20"/>
                <w:szCs w:val="20"/>
              </w:rPr>
            </w:pPr>
          </w:p>
        </w:tc>
        <w:tc>
          <w:tcPr>
            <w:tcW w:w="963" w:type="dxa"/>
            <w:vMerge w:val="continue"/>
          </w:tcPr>
          <w:p w14:paraId="1F746EBF">
            <w:pPr>
              <w:spacing w:after="0" w:line="240" w:lineRule="auto"/>
              <w:rPr>
                <w:rFonts w:hint="eastAsia" w:ascii="仿宋" w:hAnsi="仿宋" w:eastAsia="仿宋" w:cs="仿宋"/>
                <w:sz w:val="20"/>
                <w:szCs w:val="20"/>
              </w:rPr>
            </w:pPr>
          </w:p>
        </w:tc>
        <w:tc>
          <w:tcPr>
            <w:tcW w:w="1028" w:type="dxa"/>
            <w:vMerge w:val="continue"/>
          </w:tcPr>
          <w:p w14:paraId="142BE4FE">
            <w:pPr>
              <w:spacing w:after="0" w:line="240" w:lineRule="auto"/>
              <w:rPr>
                <w:rFonts w:hint="eastAsia" w:ascii="仿宋" w:hAnsi="仿宋" w:eastAsia="仿宋" w:cs="仿宋"/>
                <w:sz w:val="20"/>
                <w:szCs w:val="20"/>
              </w:rPr>
            </w:pPr>
          </w:p>
        </w:tc>
      </w:tr>
      <w:tr w14:paraId="17D7D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Align w:val="center"/>
          </w:tcPr>
          <w:p w14:paraId="73C0CE08">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2</w:t>
            </w:r>
          </w:p>
        </w:tc>
        <w:tc>
          <w:tcPr>
            <w:tcW w:w="1524" w:type="dxa"/>
            <w:vAlign w:val="center"/>
          </w:tcPr>
          <w:p w14:paraId="57E45E81">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驻厂交底</w:t>
            </w:r>
          </w:p>
        </w:tc>
        <w:tc>
          <w:tcPr>
            <w:tcW w:w="5790" w:type="dxa"/>
            <w:vAlign w:val="center"/>
          </w:tcPr>
          <w:p w14:paraId="59F1289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设备清单中'是否大件吊装设备'调整为'特殊设备'，原选项'是'='大件吊装设备'、增加选项“长周期设备”、”既是长周期又是大件吊装设备“，保留'否'，单选，支持设备类型字典配置。</w:t>
            </w:r>
          </w:p>
        </w:tc>
        <w:tc>
          <w:tcPr>
            <w:tcW w:w="1381" w:type="dxa"/>
            <w:vAlign w:val="center"/>
          </w:tcPr>
          <w:p w14:paraId="36FAE22A">
            <w:pPr>
              <w:spacing w:before="0" w:after="0" w:line="264" w:lineRule="auto"/>
              <w:jc w:val="center"/>
              <w:rPr>
                <w:rFonts w:hint="eastAsia" w:ascii="仿宋" w:hAnsi="仿宋" w:eastAsia="仿宋" w:cs="仿宋"/>
                <w:sz w:val="20"/>
                <w:szCs w:val="20"/>
              </w:rPr>
            </w:pPr>
          </w:p>
        </w:tc>
        <w:tc>
          <w:tcPr>
            <w:tcW w:w="1409" w:type="dxa"/>
            <w:vAlign w:val="center"/>
          </w:tcPr>
          <w:p w14:paraId="3C19CCE2">
            <w:pPr>
              <w:spacing w:before="0" w:after="0" w:line="264" w:lineRule="auto"/>
              <w:jc w:val="center"/>
              <w:rPr>
                <w:rFonts w:hint="eastAsia" w:ascii="仿宋" w:hAnsi="仿宋" w:eastAsia="仿宋" w:cs="仿宋"/>
                <w:sz w:val="20"/>
                <w:szCs w:val="20"/>
              </w:rPr>
            </w:pPr>
          </w:p>
        </w:tc>
        <w:tc>
          <w:tcPr>
            <w:tcW w:w="963" w:type="dxa"/>
            <w:vAlign w:val="center"/>
          </w:tcPr>
          <w:p w14:paraId="6D359DBE">
            <w:pPr>
              <w:spacing w:before="0" w:after="0" w:line="264" w:lineRule="auto"/>
              <w:jc w:val="center"/>
              <w:rPr>
                <w:rFonts w:hint="eastAsia" w:ascii="仿宋" w:hAnsi="仿宋" w:eastAsia="仿宋" w:cs="仿宋"/>
                <w:sz w:val="20"/>
                <w:szCs w:val="20"/>
              </w:rPr>
            </w:pPr>
          </w:p>
        </w:tc>
        <w:tc>
          <w:tcPr>
            <w:tcW w:w="1028" w:type="dxa"/>
            <w:vAlign w:val="center"/>
          </w:tcPr>
          <w:p w14:paraId="5A3E735F">
            <w:pPr>
              <w:spacing w:before="0" w:after="0" w:line="264" w:lineRule="auto"/>
              <w:jc w:val="center"/>
              <w:rPr>
                <w:rFonts w:hint="eastAsia" w:ascii="仿宋" w:hAnsi="仿宋" w:eastAsia="仿宋" w:cs="仿宋"/>
                <w:sz w:val="20"/>
                <w:szCs w:val="20"/>
              </w:rPr>
            </w:pPr>
          </w:p>
        </w:tc>
      </w:tr>
      <w:tr w14:paraId="02B7F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Align w:val="center"/>
          </w:tcPr>
          <w:p w14:paraId="48813EED">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3</w:t>
            </w:r>
          </w:p>
        </w:tc>
        <w:tc>
          <w:tcPr>
            <w:tcW w:w="1524" w:type="dxa"/>
            <w:vAlign w:val="center"/>
          </w:tcPr>
          <w:p w14:paraId="2A6CA04B">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数据分析</w:t>
            </w:r>
          </w:p>
        </w:tc>
        <w:tc>
          <w:tcPr>
            <w:tcW w:w="5790" w:type="dxa"/>
            <w:vAlign w:val="center"/>
          </w:tcPr>
          <w:p w14:paraId="7C51712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1.原数据分析页面增加筛选条件：派单编号、监造方式；</w:t>
            </w:r>
          </w:p>
          <w:p w14:paraId="0A23727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原数据分析页面中原'是否大件吊装设备'调整为'特殊设备'(原选项'是'='大件吊装设备'、'否'保留，增加’长周期设备‘、”既是长周期又是大件吊装设备“)，原筛选条件与统计图表均需进行修改，统计图表体现仅长周期设备、仅大件吊装设备，既是长周期又是大件吊装设备，非特殊设备数量，依据字典配置可以对应显示统计报表。</w:t>
            </w:r>
          </w:p>
          <w:p w14:paraId="419F583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增加设备状态excel导出，导出列包括序号、项目名称、装置分类、委托方、制造厂、派单编号、监造方式、设备类型、特殊设备、设备名称、设备位号、生产令号、数量、合同交货期、计划交货期、进度百分比、工作量评价、进度评价等，上述支持按照页面上部筛选项导出。</w:t>
            </w:r>
          </w:p>
        </w:tc>
        <w:tc>
          <w:tcPr>
            <w:tcW w:w="1381" w:type="dxa"/>
            <w:vAlign w:val="center"/>
          </w:tcPr>
          <w:p w14:paraId="0A939A4C">
            <w:pPr>
              <w:spacing w:before="0" w:after="0" w:line="264" w:lineRule="auto"/>
              <w:jc w:val="center"/>
              <w:rPr>
                <w:rFonts w:hint="eastAsia" w:ascii="仿宋" w:hAnsi="仿宋" w:eastAsia="仿宋" w:cs="仿宋"/>
                <w:sz w:val="20"/>
                <w:szCs w:val="20"/>
              </w:rPr>
            </w:pPr>
          </w:p>
        </w:tc>
        <w:tc>
          <w:tcPr>
            <w:tcW w:w="1409" w:type="dxa"/>
            <w:vAlign w:val="center"/>
          </w:tcPr>
          <w:p w14:paraId="4AC0BF84">
            <w:pPr>
              <w:spacing w:before="0" w:after="0" w:line="264" w:lineRule="auto"/>
              <w:jc w:val="center"/>
              <w:rPr>
                <w:rFonts w:hint="eastAsia" w:ascii="仿宋" w:hAnsi="仿宋" w:eastAsia="仿宋" w:cs="仿宋"/>
                <w:sz w:val="20"/>
                <w:szCs w:val="20"/>
              </w:rPr>
            </w:pPr>
          </w:p>
        </w:tc>
        <w:tc>
          <w:tcPr>
            <w:tcW w:w="963" w:type="dxa"/>
            <w:vAlign w:val="center"/>
          </w:tcPr>
          <w:p w14:paraId="6492BC1C">
            <w:pPr>
              <w:spacing w:before="0" w:after="0" w:line="264" w:lineRule="auto"/>
              <w:jc w:val="center"/>
              <w:rPr>
                <w:rFonts w:hint="eastAsia" w:ascii="仿宋" w:hAnsi="仿宋" w:eastAsia="仿宋" w:cs="仿宋"/>
                <w:sz w:val="20"/>
                <w:szCs w:val="20"/>
              </w:rPr>
            </w:pPr>
          </w:p>
        </w:tc>
        <w:tc>
          <w:tcPr>
            <w:tcW w:w="1028" w:type="dxa"/>
            <w:vAlign w:val="center"/>
          </w:tcPr>
          <w:p w14:paraId="5F68CEBB">
            <w:pPr>
              <w:spacing w:before="0" w:after="0" w:line="264" w:lineRule="auto"/>
              <w:jc w:val="center"/>
              <w:rPr>
                <w:rFonts w:hint="eastAsia" w:ascii="仿宋" w:hAnsi="仿宋" w:eastAsia="仿宋" w:cs="仿宋"/>
                <w:sz w:val="20"/>
                <w:szCs w:val="20"/>
              </w:rPr>
            </w:pPr>
          </w:p>
        </w:tc>
      </w:tr>
      <w:tr w14:paraId="2E86E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6208BD76">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4</w:t>
            </w:r>
          </w:p>
        </w:tc>
        <w:tc>
          <w:tcPr>
            <w:tcW w:w="1524" w:type="dxa"/>
            <w:vMerge w:val="restart"/>
            <w:vAlign w:val="center"/>
          </w:tcPr>
          <w:p w14:paraId="30ACA04E">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监理日志</w:t>
            </w:r>
          </w:p>
        </w:tc>
        <w:tc>
          <w:tcPr>
            <w:tcW w:w="5790" w:type="dxa"/>
            <w:vAlign w:val="center"/>
          </w:tcPr>
          <w:p w14:paraId="430A9EC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日志上传图片后，默认使用图片原始文件名，用户可以对图片进行重命名。</w:t>
            </w:r>
          </w:p>
        </w:tc>
        <w:tc>
          <w:tcPr>
            <w:tcW w:w="1381" w:type="dxa"/>
            <w:vAlign w:val="center"/>
          </w:tcPr>
          <w:p w14:paraId="2F78E696">
            <w:pPr>
              <w:spacing w:before="0" w:after="0" w:line="264" w:lineRule="auto"/>
              <w:jc w:val="center"/>
              <w:rPr>
                <w:rFonts w:hint="eastAsia" w:ascii="仿宋" w:hAnsi="仿宋" w:eastAsia="仿宋" w:cs="仿宋"/>
                <w:sz w:val="20"/>
                <w:szCs w:val="20"/>
              </w:rPr>
            </w:pPr>
          </w:p>
        </w:tc>
        <w:tc>
          <w:tcPr>
            <w:tcW w:w="1409" w:type="dxa"/>
            <w:vAlign w:val="center"/>
          </w:tcPr>
          <w:p w14:paraId="585DCEA6">
            <w:pPr>
              <w:spacing w:before="0" w:after="0" w:line="264" w:lineRule="auto"/>
              <w:jc w:val="center"/>
              <w:rPr>
                <w:rFonts w:hint="eastAsia" w:ascii="仿宋" w:hAnsi="仿宋" w:eastAsia="仿宋" w:cs="仿宋"/>
                <w:sz w:val="20"/>
                <w:szCs w:val="20"/>
              </w:rPr>
            </w:pPr>
          </w:p>
        </w:tc>
        <w:tc>
          <w:tcPr>
            <w:tcW w:w="963" w:type="dxa"/>
            <w:vMerge w:val="restart"/>
            <w:vAlign w:val="center"/>
          </w:tcPr>
          <w:p w14:paraId="3230961B">
            <w:pPr>
              <w:spacing w:before="0" w:after="0" w:line="264" w:lineRule="auto"/>
              <w:jc w:val="center"/>
              <w:rPr>
                <w:rFonts w:hint="eastAsia" w:ascii="仿宋" w:hAnsi="仿宋" w:eastAsia="仿宋" w:cs="仿宋"/>
                <w:sz w:val="20"/>
                <w:szCs w:val="20"/>
              </w:rPr>
            </w:pPr>
          </w:p>
        </w:tc>
        <w:tc>
          <w:tcPr>
            <w:tcW w:w="1028" w:type="dxa"/>
            <w:vMerge w:val="restart"/>
            <w:vAlign w:val="center"/>
          </w:tcPr>
          <w:p w14:paraId="45F05063">
            <w:pPr>
              <w:spacing w:before="0" w:after="0" w:line="264" w:lineRule="auto"/>
              <w:jc w:val="center"/>
              <w:rPr>
                <w:rFonts w:hint="eastAsia" w:ascii="仿宋" w:hAnsi="仿宋" w:eastAsia="仿宋" w:cs="仿宋"/>
                <w:sz w:val="20"/>
                <w:szCs w:val="20"/>
              </w:rPr>
            </w:pPr>
          </w:p>
        </w:tc>
      </w:tr>
      <w:tr w14:paraId="1F175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7B8FA66D">
            <w:pPr>
              <w:spacing w:after="0" w:line="240" w:lineRule="auto"/>
              <w:rPr>
                <w:rFonts w:hint="eastAsia" w:ascii="仿宋" w:hAnsi="仿宋" w:eastAsia="仿宋" w:cs="仿宋"/>
                <w:sz w:val="20"/>
                <w:szCs w:val="20"/>
              </w:rPr>
            </w:pPr>
          </w:p>
        </w:tc>
        <w:tc>
          <w:tcPr>
            <w:tcW w:w="1524" w:type="dxa"/>
            <w:vMerge w:val="continue"/>
          </w:tcPr>
          <w:p w14:paraId="339D5161">
            <w:pPr>
              <w:spacing w:after="0" w:line="240" w:lineRule="auto"/>
              <w:rPr>
                <w:rFonts w:hint="eastAsia" w:ascii="仿宋" w:hAnsi="仿宋" w:eastAsia="仿宋" w:cs="仿宋"/>
                <w:sz w:val="20"/>
                <w:szCs w:val="20"/>
              </w:rPr>
            </w:pPr>
          </w:p>
        </w:tc>
        <w:tc>
          <w:tcPr>
            <w:tcW w:w="5790" w:type="dxa"/>
            <w:vAlign w:val="center"/>
          </w:tcPr>
          <w:p w14:paraId="5465D8F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监理日志导出，勾选导出是否含照片功能，包括日志详情及日志批量导出。</w:t>
            </w:r>
          </w:p>
        </w:tc>
        <w:tc>
          <w:tcPr>
            <w:tcW w:w="1381" w:type="dxa"/>
            <w:vAlign w:val="center"/>
          </w:tcPr>
          <w:p w14:paraId="1F3FE9A1">
            <w:pPr>
              <w:spacing w:before="0" w:after="0" w:line="264" w:lineRule="auto"/>
              <w:jc w:val="center"/>
              <w:rPr>
                <w:rFonts w:hint="eastAsia" w:ascii="仿宋" w:hAnsi="仿宋" w:eastAsia="仿宋" w:cs="仿宋"/>
                <w:sz w:val="20"/>
                <w:szCs w:val="20"/>
              </w:rPr>
            </w:pPr>
          </w:p>
        </w:tc>
        <w:tc>
          <w:tcPr>
            <w:tcW w:w="1409" w:type="dxa"/>
            <w:vAlign w:val="center"/>
          </w:tcPr>
          <w:p w14:paraId="044E40E7">
            <w:pPr>
              <w:spacing w:before="0" w:after="0" w:line="264" w:lineRule="auto"/>
              <w:jc w:val="center"/>
              <w:rPr>
                <w:rFonts w:hint="eastAsia" w:ascii="仿宋" w:hAnsi="仿宋" w:eastAsia="仿宋" w:cs="仿宋"/>
                <w:sz w:val="20"/>
                <w:szCs w:val="20"/>
              </w:rPr>
            </w:pPr>
          </w:p>
        </w:tc>
        <w:tc>
          <w:tcPr>
            <w:tcW w:w="963" w:type="dxa"/>
            <w:vMerge w:val="continue"/>
          </w:tcPr>
          <w:p w14:paraId="42F01429">
            <w:pPr>
              <w:spacing w:after="0" w:line="240" w:lineRule="auto"/>
              <w:rPr>
                <w:rFonts w:hint="eastAsia" w:ascii="仿宋" w:hAnsi="仿宋" w:eastAsia="仿宋" w:cs="仿宋"/>
                <w:sz w:val="20"/>
                <w:szCs w:val="20"/>
              </w:rPr>
            </w:pPr>
          </w:p>
        </w:tc>
        <w:tc>
          <w:tcPr>
            <w:tcW w:w="1028" w:type="dxa"/>
            <w:vMerge w:val="continue"/>
          </w:tcPr>
          <w:p w14:paraId="3DAB92D9">
            <w:pPr>
              <w:spacing w:after="0" w:line="240" w:lineRule="auto"/>
              <w:rPr>
                <w:rFonts w:hint="eastAsia" w:ascii="仿宋" w:hAnsi="仿宋" w:eastAsia="仿宋" w:cs="仿宋"/>
                <w:sz w:val="20"/>
                <w:szCs w:val="20"/>
              </w:rPr>
            </w:pPr>
          </w:p>
        </w:tc>
      </w:tr>
      <w:tr w14:paraId="715C3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122C16A0">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5</w:t>
            </w:r>
          </w:p>
        </w:tc>
        <w:tc>
          <w:tcPr>
            <w:tcW w:w="1524" w:type="dxa"/>
            <w:vMerge w:val="restart"/>
            <w:vAlign w:val="center"/>
          </w:tcPr>
          <w:p w14:paraId="04C33560">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监理文件</w:t>
            </w:r>
          </w:p>
        </w:tc>
        <w:tc>
          <w:tcPr>
            <w:tcW w:w="5790" w:type="dxa"/>
            <w:vAlign w:val="center"/>
          </w:tcPr>
          <w:p w14:paraId="02BF804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由我的项目→驻厂监造页面列表上方增加监理周报快捷入口按钮，增加制造厂筛选；点击监理周报进入该项目监理周报列表，查询条件：项目名称、项目编号、派单编号、监理编号、制造厂、总监代表、监理人员、时间范围，支持批量导出。涉及对应角色。</w:t>
            </w:r>
          </w:p>
        </w:tc>
        <w:tc>
          <w:tcPr>
            <w:tcW w:w="1381" w:type="dxa"/>
            <w:vAlign w:val="center"/>
          </w:tcPr>
          <w:p w14:paraId="5EC52883">
            <w:pPr>
              <w:spacing w:before="0" w:after="0" w:line="264" w:lineRule="auto"/>
              <w:jc w:val="center"/>
              <w:rPr>
                <w:rFonts w:hint="eastAsia" w:ascii="仿宋" w:hAnsi="仿宋" w:eastAsia="仿宋" w:cs="仿宋"/>
                <w:sz w:val="20"/>
                <w:szCs w:val="20"/>
              </w:rPr>
            </w:pPr>
          </w:p>
        </w:tc>
        <w:tc>
          <w:tcPr>
            <w:tcW w:w="1409" w:type="dxa"/>
            <w:vAlign w:val="center"/>
          </w:tcPr>
          <w:p w14:paraId="7D595BCB">
            <w:pPr>
              <w:spacing w:before="0" w:after="0" w:line="264" w:lineRule="auto"/>
              <w:jc w:val="center"/>
              <w:rPr>
                <w:rFonts w:hint="eastAsia" w:ascii="仿宋" w:hAnsi="仿宋" w:eastAsia="仿宋" w:cs="仿宋"/>
                <w:sz w:val="20"/>
                <w:szCs w:val="20"/>
              </w:rPr>
            </w:pPr>
          </w:p>
        </w:tc>
        <w:tc>
          <w:tcPr>
            <w:tcW w:w="963" w:type="dxa"/>
            <w:vMerge w:val="restart"/>
            <w:vAlign w:val="center"/>
          </w:tcPr>
          <w:p w14:paraId="068FF0E2">
            <w:pPr>
              <w:spacing w:before="0" w:after="0" w:line="264" w:lineRule="auto"/>
              <w:jc w:val="center"/>
              <w:rPr>
                <w:rFonts w:hint="eastAsia" w:ascii="仿宋" w:hAnsi="仿宋" w:eastAsia="仿宋" w:cs="仿宋"/>
                <w:sz w:val="20"/>
                <w:szCs w:val="20"/>
              </w:rPr>
            </w:pPr>
          </w:p>
        </w:tc>
        <w:tc>
          <w:tcPr>
            <w:tcW w:w="1028" w:type="dxa"/>
            <w:vMerge w:val="restart"/>
            <w:vAlign w:val="center"/>
          </w:tcPr>
          <w:p w14:paraId="3560D083">
            <w:pPr>
              <w:spacing w:before="0" w:after="0" w:line="264" w:lineRule="auto"/>
              <w:jc w:val="center"/>
              <w:rPr>
                <w:rFonts w:hint="eastAsia" w:ascii="仿宋" w:hAnsi="仿宋" w:eastAsia="仿宋" w:cs="仿宋"/>
                <w:sz w:val="20"/>
                <w:szCs w:val="20"/>
              </w:rPr>
            </w:pPr>
          </w:p>
        </w:tc>
      </w:tr>
      <w:tr w14:paraId="65078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06F56E69">
            <w:pPr>
              <w:spacing w:after="0" w:line="240" w:lineRule="auto"/>
              <w:rPr>
                <w:rFonts w:hint="eastAsia" w:ascii="仿宋" w:hAnsi="仿宋" w:eastAsia="仿宋" w:cs="仿宋"/>
                <w:sz w:val="20"/>
                <w:szCs w:val="20"/>
              </w:rPr>
            </w:pPr>
          </w:p>
        </w:tc>
        <w:tc>
          <w:tcPr>
            <w:tcW w:w="1524" w:type="dxa"/>
            <w:vMerge w:val="continue"/>
          </w:tcPr>
          <w:p w14:paraId="51C608A0">
            <w:pPr>
              <w:spacing w:after="0" w:line="240" w:lineRule="auto"/>
              <w:rPr>
                <w:rFonts w:hint="eastAsia" w:ascii="仿宋" w:hAnsi="仿宋" w:eastAsia="仿宋" w:cs="仿宋"/>
                <w:sz w:val="20"/>
                <w:szCs w:val="20"/>
              </w:rPr>
            </w:pPr>
          </w:p>
        </w:tc>
        <w:tc>
          <w:tcPr>
            <w:tcW w:w="5790" w:type="dxa"/>
            <w:vAlign w:val="center"/>
          </w:tcPr>
          <w:p w14:paraId="4D5422E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监理报告固化：增加监理报告关联表单管理模块，管理员可进入关联表单列表页面：</w:t>
            </w:r>
          </w:p>
          <w:p w14:paraId="31B0ED0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创建监理报告关联表单配置，创建页面至少包括1）文件名称（必填）文本录入，排序（必填）文本录入；2）设备类型选择（必选项）：可从已存在设备类型列表中，单选/多选目标设备类型；支持按设备类型名称/编码搜索筛选，快速定位；3）双区域选择关联表单（必选项）：「已选表单库」：默认显示所选设备类型关联的细则表单（设备多选时，取并集）,支持单选/多选表单移入「可选表单库」；「可选表单库」：显示所有未默认选中的表单，支持单选/多选表单移入「已选表单库」；支持按表单名称搜索筛选，支持单选/多选表单排序；4）点击保存，保存成功后提示，失败要有对应提示，点击关闭按钮，关闭当前页面。</w:t>
            </w:r>
          </w:p>
          <w:p w14:paraId="45DEC1D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2.关联表单列表页面找到要编辑关联表单配置进行编辑操作，可对已创建的监理报告关联表单相关内容调整表单配置并保存修改，失败要有对应提示，点击关闭按钮，关闭当前页面。</w:t>
            </w:r>
          </w:p>
          <w:p w14:paraId="37326E7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关联列表展示核心字段：配置ID、文件名称、设备类型名称、关联表单名称（按排序展示）太多可以用省略号替代、配置人、配置时间、排序、操作（编辑/详情/删除）；支持按文件名称、设备类型、关联表单名称、配置时间、配置人筛选；点击配置ID可以查看详情，详情内容至少包括文件名称、设备类型、关联表单、配置人、配置时间。</w:t>
            </w:r>
          </w:p>
          <w:p w14:paraId="1DD49AB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操作日志：记录所有创建/编辑/删除操作：操作人、操作时间、操作类型（创建/编辑/删除）、涉及设备类型、涉及表单、调整前后的变化；日志列表支持按操作人、操作时间、设备类型筛选。</w:t>
            </w:r>
          </w:p>
          <w:p w14:paraId="50BAF0F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4.规则同一设备类型仅允许存在一条有效的默认表单关联规则，重复创建时提示“该设备类型已配置默认表单，是否覆盖原有配置“？</w:t>
            </w:r>
          </w:p>
          <w:p w14:paraId="38E696E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管理员创建时配置的表单顺序，将作为用户端加载默认表单的展示顺序，用户可在报告创建时调整；选择多个设备类型创建时，若其中某设备类型已有关联规则，默认覆盖原有规则（可选择“仅新增未配置的设备类型”）；保存配置时若数据库异常（如部分设备类型配置失败），系统自动回滚所有操作，提示“配置失败：XX原因，请重新尝试”。</w:t>
            </w:r>
          </w:p>
          <w:p w14:paraId="36621CD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普通用户无关联管理权限，仅使用配置后的默认规则，监理人员监理报告创建页面中【已选表单】默认展示细则表单和监理报告关联表单的交集、【未选表单】默认展示表单为细则表单中”默认展示细则表单和监理报告关联表单的交集“之外的表单。</w:t>
            </w:r>
          </w:p>
        </w:tc>
        <w:tc>
          <w:tcPr>
            <w:tcW w:w="1381" w:type="dxa"/>
            <w:vAlign w:val="center"/>
          </w:tcPr>
          <w:p w14:paraId="05AB90C3">
            <w:pPr>
              <w:spacing w:before="0" w:after="0" w:line="264" w:lineRule="auto"/>
              <w:jc w:val="center"/>
              <w:rPr>
                <w:rFonts w:hint="eastAsia" w:ascii="仿宋" w:hAnsi="仿宋" w:eastAsia="仿宋" w:cs="仿宋"/>
                <w:sz w:val="20"/>
                <w:szCs w:val="20"/>
              </w:rPr>
            </w:pPr>
          </w:p>
        </w:tc>
        <w:tc>
          <w:tcPr>
            <w:tcW w:w="1409" w:type="dxa"/>
            <w:vAlign w:val="center"/>
          </w:tcPr>
          <w:p w14:paraId="41019DA6">
            <w:pPr>
              <w:spacing w:before="0" w:after="0" w:line="264" w:lineRule="auto"/>
              <w:jc w:val="center"/>
              <w:rPr>
                <w:rFonts w:hint="eastAsia" w:ascii="仿宋" w:hAnsi="仿宋" w:eastAsia="仿宋" w:cs="仿宋"/>
                <w:sz w:val="20"/>
                <w:szCs w:val="20"/>
              </w:rPr>
            </w:pPr>
          </w:p>
        </w:tc>
        <w:tc>
          <w:tcPr>
            <w:tcW w:w="963" w:type="dxa"/>
            <w:vMerge w:val="continue"/>
          </w:tcPr>
          <w:p w14:paraId="0C05D089">
            <w:pPr>
              <w:spacing w:after="0" w:line="240" w:lineRule="auto"/>
              <w:rPr>
                <w:rFonts w:hint="eastAsia" w:ascii="仿宋" w:hAnsi="仿宋" w:eastAsia="仿宋" w:cs="仿宋"/>
                <w:sz w:val="20"/>
                <w:szCs w:val="20"/>
              </w:rPr>
            </w:pPr>
          </w:p>
        </w:tc>
        <w:tc>
          <w:tcPr>
            <w:tcW w:w="1028" w:type="dxa"/>
            <w:vMerge w:val="continue"/>
          </w:tcPr>
          <w:p w14:paraId="31DACB0F">
            <w:pPr>
              <w:spacing w:after="0" w:line="240" w:lineRule="auto"/>
              <w:rPr>
                <w:rFonts w:hint="eastAsia" w:ascii="仿宋" w:hAnsi="仿宋" w:eastAsia="仿宋" w:cs="仿宋"/>
                <w:sz w:val="20"/>
                <w:szCs w:val="20"/>
              </w:rPr>
            </w:pPr>
          </w:p>
        </w:tc>
      </w:tr>
      <w:tr w14:paraId="3B09D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24A78C35">
            <w:pPr>
              <w:spacing w:after="0" w:line="240" w:lineRule="auto"/>
              <w:rPr>
                <w:rFonts w:hint="eastAsia" w:ascii="仿宋" w:hAnsi="仿宋" w:eastAsia="仿宋" w:cs="仿宋"/>
                <w:sz w:val="20"/>
                <w:szCs w:val="20"/>
              </w:rPr>
            </w:pPr>
          </w:p>
        </w:tc>
        <w:tc>
          <w:tcPr>
            <w:tcW w:w="1524" w:type="dxa"/>
            <w:vMerge w:val="continue"/>
          </w:tcPr>
          <w:p w14:paraId="2A7AB4F9">
            <w:pPr>
              <w:spacing w:after="0" w:line="240" w:lineRule="auto"/>
              <w:rPr>
                <w:rFonts w:hint="eastAsia" w:ascii="仿宋" w:hAnsi="仿宋" w:eastAsia="仿宋" w:cs="仿宋"/>
                <w:sz w:val="20"/>
                <w:szCs w:val="20"/>
              </w:rPr>
            </w:pPr>
          </w:p>
        </w:tc>
        <w:tc>
          <w:tcPr>
            <w:tcW w:w="5790" w:type="dxa"/>
            <w:vAlign w:val="center"/>
          </w:tcPr>
          <w:p w14:paraId="0BB0D27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监理大纲、监理细则、监理报告导出审批：</w:t>
            </w:r>
          </w:p>
          <w:p w14:paraId="706077D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监理人员在我的项目→驻厂监造下仅可对单个驻厂派单发起/撤回/编辑监理文件导出申请，导出申页面自动加载项目名称、委托方、制造厂、导出申请编号：派单编号-DCSQ-001...，每次仅选择一种文件类型（监理大纲 / 监理细则 / 监理报告），自动加载数据填报模块的最新版本文件及文档目录模块全部历史文档，可按文件名称、设备名称、设备位号、生产令号检索，支持勾选1个或者多个文件/版本，勾选内容为本次申请导出范围，提交总监代表审批。</w:t>
            </w:r>
          </w:p>
          <w:p w14:paraId="4928EB7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总监代表审批时列表展示信息：相关信息（项目名称-委托方-制造厂-文件类型-导出申请编号）、任务名称、流程名称、发起人、开始时间等并支持搜索筛选，操作包括流程查看及审批操作按钮，审批操作页面可查看项目名称、委托方、制造厂、派单编号、导出申请编号、文件类型、发起人、发起时间、勾选文件与版本明细，填写审批意见可上传附件，包含审批、退回、流程跟踪、关闭按钮。</w:t>
            </w:r>
          </w:p>
          <w:p w14:paraId="1B59FF0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3.审批通过后，监理人员可导出文件，单个文件最多导出 3 次，导出次数达到3次后该审批单立即失效，再次导出需重新发起审批，驳回后可调整后重新提交，审批通过不可删除，驳回以及暂存状态的申请可删除；监理人员列表展示页面：上方自动加载项目名称、委托方、制造厂、派单编号，列表展示导出申请编号、文件类型、设备名称/设备位号/生产令号（这三者字数过多可以用省略号）、发起人、发起时间、审批人、审批时间、状态（待提交、待审批、已通过、已驳回、已导出）、导出失效时间、操作列，支持除操作列除外的筛选，支持点击导出申请编号可查看详情参照审批页面内容，点击操作列流程图可以查看系统全程记录申请、审批、导出及失效的日志，至少包括勾选了哪些文件、哪些版本审批人、审批意见、导出人、导出时间、导出次数、失效时间。</w:t>
            </w:r>
          </w:p>
          <w:p w14:paraId="2E7E6A1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项目总监/总监代表列表我的项目→驻厂监造可以选择派单点击导出申请对应展示页面：上方自动加载项目名称、委托方、制造厂、派单编号，列表展示导出申请编号、派单编号文件类型、设备名称/设备位号/生产令号（这三者字数过多可以用省略号）、发起人、发起时间、审批人、审批时间、状态（待提交、待审批、已通过、已驳回、已导出）、导出失效时间、操作列，支持除操作列除外的筛选=，支持点击导出申请编号可查看详情参照审批页面内容，点击操作列流程图可以查看系统全程记录申请、审批、导出及失效的日志，至少包括勾选了哪些文件、哪些版本审批人、审批意见、导出人、导出时间、导出次数、失效时间。</w:t>
            </w:r>
          </w:p>
        </w:tc>
        <w:tc>
          <w:tcPr>
            <w:tcW w:w="1381" w:type="dxa"/>
            <w:vAlign w:val="center"/>
          </w:tcPr>
          <w:p w14:paraId="1C4A6681">
            <w:pPr>
              <w:spacing w:before="0" w:after="0" w:line="264" w:lineRule="auto"/>
              <w:jc w:val="center"/>
              <w:rPr>
                <w:rFonts w:hint="eastAsia" w:ascii="仿宋" w:hAnsi="仿宋" w:eastAsia="仿宋" w:cs="仿宋"/>
                <w:sz w:val="20"/>
                <w:szCs w:val="20"/>
              </w:rPr>
            </w:pPr>
          </w:p>
        </w:tc>
        <w:tc>
          <w:tcPr>
            <w:tcW w:w="1409" w:type="dxa"/>
            <w:vAlign w:val="center"/>
          </w:tcPr>
          <w:p w14:paraId="63E2AA1B">
            <w:pPr>
              <w:spacing w:before="0" w:after="0" w:line="264" w:lineRule="auto"/>
              <w:jc w:val="center"/>
              <w:rPr>
                <w:rFonts w:hint="eastAsia" w:ascii="仿宋" w:hAnsi="仿宋" w:eastAsia="仿宋" w:cs="仿宋"/>
                <w:sz w:val="20"/>
                <w:szCs w:val="20"/>
              </w:rPr>
            </w:pPr>
          </w:p>
        </w:tc>
        <w:tc>
          <w:tcPr>
            <w:tcW w:w="963" w:type="dxa"/>
            <w:vMerge w:val="continue"/>
          </w:tcPr>
          <w:p w14:paraId="46873A77">
            <w:pPr>
              <w:spacing w:after="0" w:line="240" w:lineRule="auto"/>
              <w:rPr>
                <w:rFonts w:hint="eastAsia" w:ascii="仿宋" w:hAnsi="仿宋" w:eastAsia="仿宋" w:cs="仿宋"/>
                <w:sz w:val="20"/>
                <w:szCs w:val="20"/>
              </w:rPr>
            </w:pPr>
          </w:p>
        </w:tc>
        <w:tc>
          <w:tcPr>
            <w:tcW w:w="1028" w:type="dxa"/>
            <w:vMerge w:val="continue"/>
          </w:tcPr>
          <w:p w14:paraId="7A7BDFBE">
            <w:pPr>
              <w:spacing w:after="0" w:line="240" w:lineRule="auto"/>
              <w:rPr>
                <w:rFonts w:hint="eastAsia" w:ascii="仿宋" w:hAnsi="仿宋" w:eastAsia="仿宋" w:cs="仿宋"/>
                <w:sz w:val="20"/>
                <w:szCs w:val="20"/>
              </w:rPr>
            </w:pPr>
          </w:p>
        </w:tc>
      </w:tr>
      <w:tr w14:paraId="1C733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31530718">
            <w:pPr>
              <w:spacing w:after="0" w:line="240" w:lineRule="auto"/>
              <w:rPr>
                <w:rFonts w:hint="eastAsia" w:ascii="仿宋" w:hAnsi="仿宋" w:eastAsia="仿宋" w:cs="仿宋"/>
                <w:sz w:val="20"/>
                <w:szCs w:val="20"/>
              </w:rPr>
            </w:pPr>
          </w:p>
        </w:tc>
        <w:tc>
          <w:tcPr>
            <w:tcW w:w="1524" w:type="dxa"/>
            <w:vMerge w:val="continue"/>
          </w:tcPr>
          <w:p w14:paraId="37A9649A">
            <w:pPr>
              <w:spacing w:after="0" w:line="240" w:lineRule="auto"/>
              <w:rPr>
                <w:rFonts w:hint="eastAsia" w:ascii="仿宋" w:hAnsi="仿宋" w:eastAsia="仿宋" w:cs="仿宋"/>
                <w:sz w:val="20"/>
                <w:szCs w:val="20"/>
              </w:rPr>
            </w:pPr>
          </w:p>
        </w:tc>
        <w:tc>
          <w:tcPr>
            <w:tcW w:w="5790" w:type="dxa"/>
            <w:vAlign w:val="center"/>
          </w:tcPr>
          <w:p w14:paraId="3245D1D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"技术协议核查表"在监理细则、监理日志、监理日/周/月报、监理报告模块的开发含填报（含导入）、升版、查看、抓取、导出等，逻辑按照现有“喷砂、喷涂检查见证记录表”做全套。</w:t>
            </w:r>
          </w:p>
        </w:tc>
        <w:tc>
          <w:tcPr>
            <w:tcW w:w="1381" w:type="dxa"/>
            <w:vAlign w:val="center"/>
          </w:tcPr>
          <w:p w14:paraId="2D779E51">
            <w:pPr>
              <w:spacing w:before="0" w:after="0" w:line="264" w:lineRule="auto"/>
              <w:jc w:val="center"/>
              <w:rPr>
                <w:rFonts w:hint="eastAsia" w:ascii="仿宋" w:hAnsi="仿宋" w:eastAsia="仿宋" w:cs="仿宋"/>
                <w:sz w:val="20"/>
                <w:szCs w:val="20"/>
              </w:rPr>
            </w:pPr>
          </w:p>
        </w:tc>
        <w:tc>
          <w:tcPr>
            <w:tcW w:w="1409" w:type="dxa"/>
            <w:vAlign w:val="center"/>
          </w:tcPr>
          <w:p w14:paraId="2E69B43F">
            <w:pPr>
              <w:spacing w:before="0" w:after="0" w:line="264" w:lineRule="auto"/>
              <w:jc w:val="center"/>
              <w:rPr>
                <w:rFonts w:hint="eastAsia" w:ascii="仿宋" w:hAnsi="仿宋" w:eastAsia="仿宋" w:cs="仿宋"/>
                <w:sz w:val="20"/>
                <w:szCs w:val="20"/>
              </w:rPr>
            </w:pPr>
          </w:p>
        </w:tc>
        <w:tc>
          <w:tcPr>
            <w:tcW w:w="963" w:type="dxa"/>
            <w:vMerge w:val="continue"/>
          </w:tcPr>
          <w:p w14:paraId="1529B328">
            <w:pPr>
              <w:spacing w:after="0" w:line="240" w:lineRule="auto"/>
              <w:rPr>
                <w:rFonts w:hint="eastAsia" w:ascii="仿宋" w:hAnsi="仿宋" w:eastAsia="仿宋" w:cs="仿宋"/>
                <w:sz w:val="20"/>
                <w:szCs w:val="20"/>
              </w:rPr>
            </w:pPr>
          </w:p>
        </w:tc>
        <w:tc>
          <w:tcPr>
            <w:tcW w:w="1028" w:type="dxa"/>
            <w:vMerge w:val="continue"/>
          </w:tcPr>
          <w:p w14:paraId="2843EC99">
            <w:pPr>
              <w:spacing w:after="0" w:line="240" w:lineRule="auto"/>
              <w:rPr>
                <w:rFonts w:hint="eastAsia" w:ascii="仿宋" w:hAnsi="仿宋" w:eastAsia="仿宋" w:cs="仿宋"/>
                <w:sz w:val="20"/>
                <w:szCs w:val="20"/>
              </w:rPr>
            </w:pPr>
          </w:p>
        </w:tc>
      </w:tr>
      <w:tr w14:paraId="26652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35DA12E0">
            <w:pPr>
              <w:spacing w:after="0" w:line="240" w:lineRule="auto"/>
              <w:rPr>
                <w:rFonts w:hint="eastAsia" w:ascii="仿宋" w:hAnsi="仿宋" w:eastAsia="仿宋" w:cs="仿宋"/>
                <w:sz w:val="20"/>
                <w:szCs w:val="20"/>
              </w:rPr>
            </w:pPr>
          </w:p>
        </w:tc>
        <w:tc>
          <w:tcPr>
            <w:tcW w:w="1524" w:type="dxa"/>
            <w:vMerge w:val="continue"/>
          </w:tcPr>
          <w:p w14:paraId="2F2F1AF4">
            <w:pPr>
              <w:spacing w:after="0" w:line="240" w:lineRule="auto"/>
              <w:rPr>
                <w:rFonts w:hint="eastAsia" w:ascii="仿宋" w:hAnsi="仿宋" w:eastAsia="仿宋" w:cs="仿宋"/>
                <w:sz w:val="20"/>
                <w:szCs w:val="20"/>
              </w:rPr>
            </w:pPr>
          </w:p>
        </w:tc>
        <w:tc>
          <w:tcPr>
            <w:tcW w:w="5790" w:type="dxa"/>
            <w:vAlign w:val="center"/>
          </w:tcPr>
          <w:p w14:paraId="14E6875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监理人员在文档目录模块创建细则旁边增加复制按钮，仅细则编制人在目标设备无细则且必选表单无填报时，支持同类型设备当前账户下跨派单复制审批通过最新版本细则；仅复制细则必选表单及控制要点对应空白表，不复制实际填报数据，避免细则未审批就已存在真实业务数据。与源设备完全独立，可编辑、提交审批；系统留痕：复制人、复制时间、源设备 ID、源派单文件编号。</w:t>
            </w:r>
          </w:p>
        </w:tc>
        <w:tc>
          <w:tcPr>
            <w:tcW w:w="1381" w:type="dxa"/>
            <w:vAlign w:val="center"/>
          </w:tcPr>
          <w:p w14:paraId="40BE42F0">
            <w:pPr>
              <w:spacing w:before="0" w:after="0" w:line="264" w:lineRule="auto"/>
              <w:jc w:val="center"/>
              <w:rPr>
                <w:rFonts w:hint="eastAsia" w:ascii="仿宋" w:hAnsi="仿宋" w:eastAsia="仿宋" w:cs="仿宋"/>
                <w:sz w:val="20"/>
                <w:szCs w:val="20"/>
              </w:rPr>
            </w:pPr>
          </w:p>
        </w:tc>
        <w:tc>
          <w:tcPr>
            <w:tcW w:w="1409" w:type="dxa"/>
            <w:vAlign w:val="center"/>
          </w:tcPr>
          <w:p w14:paraId="42E66CE2">
            <w:pPr>
              <w:spacing w:before="0" w:after="0" w:line="264" w:lineRule="auto"/>
              <w:jc w:val="center"/>
              <w:rPr>
                <w:rFonts w:hint="eastAsia" w:ascii="仿宋" w:hAnsi="仿宋" w:eastAsia="仿宋" w:cs="仿宋"/>
                <w:sz w:val="20"/>
                <w:szCs w:val="20"/>
              </w:rPr>
            </w:pPr>
          </w:p>
        </w:tc>
        <w:tc>
          <w:tcPr>
            <w:tcW w:w="963" w:type="dxa"/>
            <w:vMerge w:val="continue"/>
          </w:tcPr>
          <w:p w14:paraId="2E193865">
            <w:pPr>
              <w:spacing w:after="0" w:line="240" w:lineRule="auto"/>
              <w:rPr>
                <w:rFonts w:hint="eastAsia" w:ascii="仿宋" w:hAnsi="仿宋" w:eastAsia="仿宋" w:cs="仿宋"/>
                <w:sz w:val="20"/>
                <w:szCs w:val="20"/>
              </w:rPr>
            </w:pPr>
          </w:p>
        </w:tc>
        <w:tc>
          <w:tcPr>
            <w:tcW w:w="1028" w:type="dxa"/>
            <w:vMerge w:val="continue"/>
          </w:tcPr>
          <w:p w14:paraId="720391CD">
            <w:pPr>
              <w:spacing w:after="0" w:line="240" w:lineRule="auto"/>
              <w:rPr>
                <w:rFonts w:hint="eastAsia" w:ascii="仿宋" w:hAnsi="仿宋" w:eastAsia="仿宋" w:cs="仿宋"/>
                <w:sz w:val="20"/>
                <w:szCs w:val="20"/>
              </w:rPr>
            </w:pPr>
          </w:p>
        </w:tc>
      </w:tr>
      <w:tr w14:paraId="2E0F9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4449B266">
            <w:pPr>
              <w:spacing w:after="0" w:line="240" w:lineRule="auto"/>
              <w:rPr>
                <w:rFonts w:hint="eastAsia" w:ascii="仿宋" w:hAnsi="仿宋" w:eastAsia="仿宋" w:cs="仿宋"/>
                <w:sz w:val="20"/>
                <w:szCs w:val="20"/>
              </w:rPr>
            </w:pPr>
          </w:p>
        </w:tc>
        <w:tc>
          <w:tcPr>
            <w:tcW w:w="1524" w:type="dxa"/>
            <w:vMerge w:val="continue"/>
          </w:tcPr>
          <w:p w14:paraId="4DB24EB2">
            <w:pPr>
              <w:spacing w:after="0" w:line="240" w:lineRule="auto"/>
              <w:rPr>
                <w:rFonts w:hint="eastAsia" w:ascii="仿宋" w:hAnsi="仿宋" w:eastAsia="仿宋" w:cs="仿宋"/>
                <w:sz w:val="20"/>
                <w:szCs w:val="20"/>
              </w:rPr>
            </w:pPr>
          </w:p>
        </w:tc>
        <w:tc>
          <w:tcPr>
            <w:tcW w:w="5790" w:type="dxa"/>
            <w:vAlign w:val="center"/>
          </w:tcPr>
          <w:p w14:paraId="0A59E43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监理大纲、监理细则、监理报告模块按模块合并报表清单内容进行审批（开发工作量较大，30人*天）</w:t>
            </w:r>
          </w:p>
        </w:tc>
        <w:tc>
          <w:tcPr>
            <w:tcW w:w="1381" w:type="dxa"/>
            <w:vAlign w:val="center"/>
          </w:tcPr>
          <w:p w14:paraId="431CFCCB">
            <w:pPr>
              <w:spacing w:before="0" w:after="0" w:line="264" w:lineRule="auto"/>
              <w:jc w:val="center"/>
              <w:rPr>
                <w:rFonts w:hint="eastAsia" w:ascii="仿宋" w:hAnsi="仿宋" w:eastAsia="仿宋" w:cs="仿宋"/>
                <w:sz w:val="20"/>
                <w:szCs w:val="20"/>
              </w:rPr>
            </w:pPr>
          </w:p>
        </w:tc>
        <w:tc>
          <w:tcPr>
            <w:tcW w:w="1409" w:type="dxa"/>
            <w:vAlign w:val="center"/>
          </w:tcPr>
          <w:p w14:paraId="334A447E">
            <w:pPr>
              <w:spacing w:before="0" w:after="0" w:line="264" w:lineRule="auto"/>
              <w:jc w:val="center"/>
              <w:rPr>
                <w:rFonts w:hint="eastAsia" w:ascii="仿宋" w:hAnsi="仿宋" w:eastAsia="仿宋" w:cs="仿宋"/>
                <w:sz w:val="20"/>
                <w:szCs w:val="20"/>
              </w:rPr>
            </w:pPr>
          </w:p>
        </w:tc>
        <w:tc>
          <w:tcPr>
            <w:tcW w:w="963" w:type="dxa"/>
            <w:vMerge w:val="continue"/>
          </w:tcPr>
          <w:p w14:paraId="600FE4B3">
            <w:pPr>
              <w:spacing w:after="0" w:line="240" w:lineRule="auto"/>
              <w:rPr>
                <w:rFonts w:hint="eastAsia" w:ascii="仿宋" w:hAnsi="仿宋" w:eastAsia="仿宋" w:cs="仿宋"/>
                <w:sz w:val="20"/>
                <w:szCs w:val="20"/>
              </w:rPr>
            </w:pPr>
          </w:p>
        </w:tc>
        <w:tc>
          <w:tcPr>
            <w:tcW w:w="1028" w:type="dxa"/>
            <w:vMerge w:val="continue"/>
          </w:tcPr>
          <w:p w14:paraId="19512B8C">
            <w:pPr>
              <w:spacing w:after="0" w:line="240" w:lineRule="auto"/>
              <w:rPr>
                <w:rFonts w:hint="eastAsia" w:ascii="仿宋" w:hAnsi="仿宋" w:eastAsia="仿宋" w:cs="仿宋"/>
                <w:sz w:val="20"/>
                <w:szCs w:val="20"/>
              </w:rPr>
            </w:pPr>
          </w:p>
        </w:tc>
      </w:tr>
      <w:tr w14:paraId="496D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2CA7260D">
            <w:pPr>
              <w:spacing w:after="0" w:line="240" w:lineRule="auto"/>
              <w:rPr>
                <w:rFonts w:hint="eastAsia" w:ascii="仿宋" w:hAnsi="仿宋" w:eastAsia="仿宋" w:cs="仿宋"/>
                <w:sz w:val="20"/>
                <w:szCs w:val="20"/>
              </w:rPr>
            </w:pPr>
          </w:p>
        </w:tc>
        <w:tc>
          <w:tcPr>
            <w:tcW w:w="1524" w:type="dxa"/>
            <w:vMerge w:val="continue"/>
          </w:tcPr>
          <w:p w14:paraId="08E87E9F">
            <w:pPr>
              <w:spacing w:after="0" w:line="240" w:lineRule="auto"/>
              <w:rPr>
                <w:rFonts w:hint="eastAsia" w:ascii="仿宋" w:hAnsi="仿宋" w:eastAsia="仿宋" w:cs="仿宋"/>
                <w:sz w:val="20"/>
                <w:szCs w:val="20"/>
              </w:rPr>
            </w:pPr>
          </w:p>
        </w:tc>
        <w:tc>
          <w:tcPr>
            <w:tcW w:w="5790" w:type="dxa"/>
            <w:vAlign w:val="center"/>
          </w:tcPr>
          <w:p w14:paraId="584A197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设备细则填报完成方可创建该设备监理报告；监理细则填报完成、放行申请审批通过、所有异常问题关闭方可创建该设备放行单；设备放行单开具后，方可创建监理总结。(怎么判定这个细则是填报完成的？将控制要点每条检验内容对应表单的每行，每周填报勾选，判定控制要点全部勾完了，就判定这个细则填报完成允许发起放行申请了。)细则填报完成判定规则：增加监理主要质量控制要点勾选表，表展示内容与现有查看表一致，用户勾选每一行时检查对应报表是否已填报，已填报则允许打勾，未填报提示未填报。细则升版时，监理主要质量控制要点中已被打勾部分标记灰色且不允许进行修改。</w:t>
            </w:r>
          </w:p>
        </w:tc>
        <w:tc>
          <w:tcPr>
            <w:tcW w:w="1381" w:type="dxa"/>
            <w:vAlign w:val="center"/>
          </w:tcPr>
          <w:p w14:paraId="50382624">
            <w:pPr>
              <w:spacing w:before="0" w:after="0" w:line="264" w:lineRule="auto"/>
              <w:jc w:val="center"/>
              <w:rPr>
                <w:rFonts w:hint="eastAsia" w:ascii="仿宋" w:hAnsi="仿宋" w:eastAsia="仿宋" w:cs="仿宋"/>
                <w:sz w:val="20"/>
                <w:szCs w:val="20"/>
              </w:rPr>
            </w:pPr>
          </w:p>
        </w:tc>
        <w:tc>
          <w:tcPr>
            <w:tcW w:w="1409" w:type="dxa"/>
            <w:vAlign w:val="center"/>
          </w:tcPr>
          <w:p w14:paraId="437DF9B1">
            <w:pPr>
              <w:spacing w:before="0" w:after="0" w:line="264" w:lineRule="auto"/>
              <w:jc w:val="center"/>
              <w:rPr>
                <w:rFonts w:hint="eastAsia" w:ascii="仿宋" w:hAnsi="仿宋" w:eastAsia="仿宋" w:cs="仿宋"/>
                <w:sz w:val="20"/>
                <w:szCs w:val="20"/>
              </w:rPr>
            </w:pPr>
          </w:p>
        </w:tc>
        <w:tc>
          <w:tcPr>
            <w:tcW w:w="963" w:type="dxa"/>
            <w:vMerge w:val="continue"/>
          </w:tcPr>
          <w:p w14:paraId="7D31DBBC">
            <w:pPr>
              <w:spacing w:after="0" w:line="240" w:lineRule="auto"/>
              <w:rPr>
                <w:rFonts w:hint="eastAsia" w:ascii="仿宋" w:hAnsi="仿宋" w:eastAsia="仿宋" w:cs="仿宋"/>
                <w:sz w:val="20"/>
                <w:szCs w:val="20"/>
              </w:rPr>
            </w:pPr>
          </w:p>
        </w:tc>
        <w:tc>
          <w:tcPr>
            <w:tcW w:w="1028" w:type="dxa"/>
            <w:vMerge w:val="continue"/>
          </w:tcPr>
          <w:p w14:paraId="30ACC8F9">
            <w:pPr>
              <w:spacing w:after="0" w:line="240" w:lineRule="auto"/>
              <w:rPr>
                <w:rFonts w:hint="eastAsia" w:ascii="仿宋" w:hAnsi="仿宋" w:eastAsia="仿宋" w:cs="仿宋"/>
                <w:sz w:val="20"/>
                <w:szCs w:val="20"/>
              </w:rPr>
            </w:pPr>
          </w:p>
        </w:tc>
      </w:tr>
      <w:tr w14:paraId="6D2B5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29AA21ED">
            <w:pPr>
              <w:spacing w:after="0" w:line="240" w:lineRule="auto"/>
              <w:rPr>
                <w:rFonts w:hint="eastAsia" w:ascii="仿宋" w:hAnsi="仿宋" w:eastAsia="仿宋" w:cs="仿宋"/>
                <w:sz w:val="20"/>
                <w:szCs w:val="20"/>
              </w:rPr>
            </w:pPr>
          </w:p>
        </w:tc>
        <w:tc>
          <w:tcPr>
            <w:tcW w:w="1524" w:type="dxa"/>
            <w:vMerge w:val="continue"/>
          </w:tcPr>
          <w:p w14:paraId="0630D0DD">
            <w:pPr>
              <w:spacing w:after="0" w:line="240" w:lineRule="auto"/>
              <w:rPr>
                <w:rFonts w:hint="eastAsia" w:ascii="仿宋" w:hAnsi="仿宋" w:eastAsia="仿宋" w:cs="仿宋"/>
                <w:sz w:val="20"/>
                <w:szCs w:val="20"/>
              </w:rPr>
            </w:pPr>
          </w:p>
        </w:tc>
        <w:tc>
          <w:tcPr>
            <w:tcW w:w="5790" w:type="dxa"/>
            <w:vAlign w:val="center"/>
          </w:tcPr>
          <w:p w14:paraId="374B91F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平台监理文件(大纲、细则、周报、日志、放行单等)页眉调整，总监任命/变更通知书、总监代表任命/变更通知书、任务派遣单、监理大纲、监理细则、监理日志、监理日/周/月报、监理通知单、重大问题提报单、放行单、监理报告、监理总结导出支持PDF格式。</w:t>
            </w:r>
          </w:p>
        </w:tc>
        <w:tc>
          <w:tcPr>
            <w:tcW w:w="1381" w:type="dxa"/>
            <w:vAlign w:val="center"/>
          </w:tcPr>
          <w:p w14:paraId="4C523B0B">
            <w:pPr>
              <w:spacing w:before="0" w:after="0" w:line="264" w:lineRule="auto"/>
              <w:jc w:val="center"/>
              <w:rPr>
                <w:rFonts w:hint="eastAsia" w:ascii="仿宋" w:hAnsi="仿宋" w:eastAsia="仿宋" w:cs="仿宋"/>
                <w:sz w:val="20"/>
                <w:szCs w:val="20"/>
              </w:rPr>
            </w:pPr>
          </w:p>
        </w:tc>
        <w:tc>
          <w:tcPr>
            <w:tcW w:w="1409" w:type="dxa"/>
            <w:vAlign w:val="center"/>
          </w:tcPr>
          <w:p w14:paraId="6ADAEC49">
            <w:pPr>
              <w:spacing w:before="0" w:after="0" w:line="264" w:lineRule="auto"/>
              <w:jc w:val="center"/>
              <w:rPr>
                <w:rFonts w:hint="eastAsia" w:ascii="仿宋" w:hAnsi="仿宋" w:eastAsia="仿宋" w:cs="仿宋"/>
                <w:sz w:val="20"/>
                <w:szCs w:val="20"/>
              </w:rPr>
            </w:pPr>
          </w:p>
        </w:tc>
        <w:tc>
          <w:tcPr>
            <w:tcW w:w="963" w:type="dxa"/>
            <w:vMerge w:val="continue"/>
          </w:tcPr>
          <w:p w14:paraId="0AE18DDA">
            <w:pPr>
              <w:spacing w:after="0" w:line="240" w:lineRule="auto"/>
              <w:rPr>
                <w:rFonts w:hint="eastAsia" w:ascii="仿宋" w:hAnsi="仿宋" w:eastAsia="仿宋" w:cs="仿宋"/>
                <w:sz w:val="20"/>
                <w:szCs w:val="20"/>
              </w:rPr>
            </w:pPr>
          </w:p>
        </w:tc>
        <w:tc>
          <w:tcPr>
            <w:tcW w:w="1028" w:type="dxa"/>
            <w:vMerge w:val="continue"/>
          </w:tcPr>
          <w:p w14:paraId="3A0661CC">
            <w:pPr>
              <w:spacing w:after="0" w:line="240" w:lineRule="auto"/>
              <w:rPr>
                <w:rFonts w:hint="eastAsia" w:ascii="仿宋" w:hAnsi="仿宋" w:eastAsia="仿宋" w:cs="仿宋"/>
                <w:sz w:val="20"/>
                <w:szCs w:val="20"/>
              </w:rPr>
            </w:pPr>
          </w:p>
        </w:tc>
      </w:tr>
      <w:tr w14:paraId="37266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6C0D9B02">
            <w:pPr>
              <w:spacing w:after="0" w:line="240" w:lineRule="auto"/>
              <w:rPr>
                <w:rFonts w:hint="eastAsia" w:ascii="仿宋" w:hAnsi="仿宋" w:eastAsia="仿宋" w:cs="仿宋"/>
                <w:sz w:val="20"/>
                <w:szCs w:val="20"/>
              </w:rPr>
            </w:pPr>
          </w:p>
        </w:tc>
        <w:tc>
          <w:tcPr>
            <w:tcW w:w="1524" w:type="dxa"/>
            <w:vMerge w:val="continue"/>
          </w:tcPr>
          <w:p w14:paraId="5B713158">
            <w:pPr>
              <w:spacing w:after="0" w:line="240" w:lineRule="auto"/>
              <w:rPr>
                <w:rFonts w:hint="eastAsia" w:ascii="仿宋" w:hAnsi="仿宋" w:eastAsia="仿宋" w:cs="仿宋"/>
                <w:sz w:val="20"/>
                <w:szCs w:val="20"/>
              </w:rPr>
            </w:pPr>
          </w:p>
        </w:tc>
        <w:tc>
          <w:tcPr>
            <w:tcW w:w="5790" w:type="dxa"/>
            <w:vAlign w:val="center"/>
          </w:tcPr>
          <w:p w14:paraId="4B49B27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签字版大纲上传：监理人员数据填报页面，总监代表、总监查看页面选择监理大纲增加上传按钮，点击上传按钮上传，页面内容包括：自动带出文件名称、设备名称、设备位号、生产令号，文本内容填报、附件（至少包括文件名称、文件大小、上传进度、信息、操作：预览、下载、删除，支持PDF、图片、压缩包等多个附件上传）、上传时间、上传人员，保存（操作后可继续编辑、删除、提交）、提交（操作后不可编辑、删除、可升版、可查看、下载预览）、关闭按钮（关闭当前页面，未保存提示），列表页面展示文件名称、设备名称、设备位号、生产令号、上传人员、上传时间、状态（暂存、已提交、已升版）、操作，点击文件名称可以查看详情，操作包括下载（下载附件）、编辑（仅暂存状态可以编辑）、删除（仅本人暂存可以删除）、升版（已提交数据可以升版填写升版原因、升版后生成新版本）、历史（查看、下载该文件所有的历史版本），其他角色仅下载、历史、详情可看（提交后），编辑、升版、删除无权限，同1设备不允许重复创建多条记录。</w:t>
            </w:r>
          </w:p>
        </w:tc>
        <w:tc>
          <w:tcPr>
            <w:tcW w:w="1381" w:type="dxa"/>
            <w:vAlign w:val="center"/>
          </w:tcPr>
          <w:p w14:paraId="59E5AF2C">
            <w:pPr>
              <w:spacing w:before="0" w:after="0" w:line="264" w:lineRule="auto"/>
              <w:jc w:val="center"/>
              <w:rPr>
                <w:rFonts w:hint="eastAsia" w:ascii="仿宋" w:hAnsi="仿宋" w:eastAsia="仿宋" w:cs="仿宋"/>
                <w:sz w:val="20"/>
                <w:szCs w:val="20"/>
              </w:rPr>
            </w:pPr>
          </w:p>
        </w:tc>
        <w:tc>
          <w:tcPr>
            <w:tcW w:w="1409" w:type="dxa"/>
            <w:vAlign w:val="center"/>
          </w:tcPr>
          <w:p w14:paraId="5C1E0225">
            <w:pPr>
              <w:spacing w:before="0" w:after="0" w:line="264" w:lineRule="auto"/>
              <w:jc w:val="center"/>
              <w:rPr>
                <w:rFonts w:hint="eastAsia" w:ascii="仿宋" w:hAnsi="仿宋" w:eastAsia="仿宋" w:cs="仿宋"/>
                <w:sz w:val="20"/>
                <w:szCs w:val="20"/>
              </w:rPr>
            </w:pPr>
          </w:p>
        </w:tc>
        <w:tc>
          <w:tcPr>
            <w:tcW w:w="963" w:type="dxa"/>
            <w:vMerge w:val="continue"/>
          </w:tcPr>
          <w:p w14:paraId="5C5A5C96">
            <w:pPr>
              <w:spacing w:after="0" w:line="240" w:lineRule="auto"/>
              <w:rPr>
                <w:rFonts w:hint="eastAsia" w:ascii="仿宋" w:hAnsi="仿宋" w:eastAsia="仿宋" w:cs="仿宋"/>
                <w:sz w:val="20"/>
                <w:szCs w:val="20"/>
              </w:rPr>
            </w:pPr>
          </w:p>
        </w:tc>
        <w:tc>
          <w:tcPr>
            <w:tcW w:w="1028" w:type="dxa"/>
            <w:vMerge w:val="continue"/>
          </w:tcPr>
          <w:p w14:paraId="6ADAD3A2">
            <w:pPr>
              <w:spacing w:after="0" w:line="240" w:lineRule="auto"/>
              <w:rPr>
                <w:rFonts w:hint="eastAsia" w:ascii="仿宋" w:hAnsi="仿宋" w:eastAsia="仿宋" w:cs="仿宋"/>
                <w:sz w:val="20"/>
                <w:szCs w:val="20"/>
              </w:rPr>
            </w:pPr>
          </w:p>
        </w:tc>
      </w:tr>
      <w:tr w14:paraId="52A15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51A54A16">
            <w:pPr>
              <w:spacing w:after="0" w:line="240" w:lineRule="auto"/>
              <w:rPr>
                <w:rFonts w:hint="eastAsia" w:ascii="仿宋" w:hAnsi="仿宋" w:eastAsia="仿宋" w:cs="仿宋"/>
                <w:sz w:val="20"/>
                <w:szCs w:val="20"/>
              </w:rPr>
            </w:pPr>
          </w:p>
        </w:tc>
        <w:tc>
          <w:tcPr>
            <w:tcW w:w="1524" w:type="dxa"/>
            <w:vMerge w:val="continue"/>
          </w:tcPr>
          <w:p w14:paraId="693C9EFD">
            <w:pPr>
              <w:spacing w:after="0" w:line="240" w:lineRule="auto"/>
              <w:rPr>
                <w:rFonts w:hint="eastAsia" w:ascii="仿宋" w:hAnsi="仿宋" w:eastAsia="仿宋" w:cs="仿宋"/>
                <w:sz w:val="20"/>
                <w:szCs w:val="20"/>
              </w:rPr>
            </w:pPr>
          </w:p>
        </w:tc>
        <w:tc>
          <w:tcPr>
            <w:tcW w:w="5790" w:type="dxa"/>
            <w:vAlign w:val="center"/>
          </w:tcPr>
          <w:p w14:paraId="5927C94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预检验会议上传：监理人员数据填报页面，总监代表、总监查看页面选择监理大纲增加上传按钮，点击上传按钮上传，页面内容包括：自动带出项目名称、制造厂、派单编号，文件名称、序号填报，文本内容填报、附件（至少包括文件名称、文件大小、上传进度、信息、操作：预览、下载、删除，支持PDF、图片、压缩包等多个附件上传）、上传时间、上传人员，保存（操作后可继续编辑、删除、提交）、提交（操作后不可编辑、删除、可升版、可查看、下载预览）、关闭按钮（关闭当前页面，未保存提示），列表页面上方展示项目名称、制造厂、派单编号，下方列表展示文件名称、上传人员、上传时间、状态（暂存、已提交、已升版）、操作，点击文件名称可以查看详情，操作包括下载（下载附件）、编辑（仅暂存状态可以编辑）、删除（仅本人暂存可以删除）、升版（已提交数据可以升版填写升版原因、升版后生成新版本）、历史（查看、下载该文件所有的历史版本），其他角色仅下载、历史、详情可看（提交后），编辑、升版、删除无权限。</w:t>
            </w:r>
          </w:p>
        </w:tc>
        <w:tc>
          <w:tcPr>
            <w:tcW w:w="1381" w:type="dxa"/>
            <w:vAlign w:val="center"/>
          </w:tcPr>
          <w:p w14:paraId="46F1233F">
            <w:pPr>
              <w:spacing w:before="0" w:after="0" w:line="264" w:lineRule="auto"/>
              <w:jc w:val="center"/>
              <w:rPr>
                <w:rFonts w:hint="eastAsia" w:ascii="仿宋" w:hAnsi="仿宋" w:eastAsia="仿宋" w:cs="仿宋"/>
                <w:sz w:val="20"/>
                <w:szCs w:val="20"/>
              </w:rPr>
            </w:pPr>
          </w:p>
        </w:tc>
        <w:tc>
          <w:tcPr>
            <w:tcW w:w="1409" w:type="dxa"/>
            <w:vAlign w:val="center"/>
          </w:tcPr>
          <w:p w14:paraId="20111BC5">
            <w:pPr>
              <w:spacing w:before="0" w:after="0" w:line="264" w:lineRule="auto"/>
              <w:jc w:val="center"/>
              <w:rPr>
                <w:rFonts w:hint="eastAsia" w:ascii="仿宋" w:hAnsi="仿宋" w:eastAsia="仿宋" w:cs="仿宋"/>
                <w:sz w:val="20"/>
                <w:szCs w:val="20"/>
              </w:rPr>
            </w:pPr>
          </w:p>
        </w:tc>
        <w:tc>
          <w:tcPr>
            <w:tcW w:w="963" w:type="dxa"/>
            <w:vMerge w:val="continue"/>
          </w:tcPr>
          <w:p w14:paraId="648C0339">
            <w:pPr>
              <w:spacing w:after="0" w:line="240" w:lineRule="auto"/>
              <w:rPr>
                <w:rFonts w:hint="eastAsia" w:ascii="仿宋" w:hAnsi="仿宋" w:eastAsia="仿宋" w:cs="仿宋"/>
                <w:sz w:val="20"/>
                <w:szCs w:val="20"/>
              </w:rPr>
            </w:pPr>
          </w:p>
        </w:tc>
        <w:tc>
          <w:tcPr>
            <w:tcW w:w="1028" w:type="dxa"/>
            <w:vMerge w:val="continue"/>
          </w:tcPr>
          <w:p w14:paraId="06A5D383">
            <w:pPr>
              <w:spacing w:after="0" w:line="240" w:lineRule="auto"/>
              <w:rPr>
                <w:rFonts w:hint="eastAsia" w:ascii="仿宋" w:hAnsi="仿宋" w:eastAsia="仿宋" w:cs="仿宋"/>
                <w:sz w:val="20"/>
                <w:szCs w:val="20"/>
              </w:rPr>
            </w:pPr>
          </w:p>
        </w:tc>
      </w:tr>
      <w:tr w14:paraId="1AF70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64BE8F99">
            <w:pPr>
              <w:spacing w:after="0" w:line="240" w:lineRule="auto"/>
              <w:rPr>
                <w:rFonts w:hint="eastAsia" w:ascii="仿宋" w:hAnsi="仿宋" w:eastAsia="仿宋" w:cs="仿宋"/>
                <w:sz w:val="20"/>
                <w:szCs w:val="20"/>
              </w:rPr>
            </w:pPr>
          </w:p>
        </w:tc>
        <w:tc>
          <w:tcPr>
            <w:tcW w:w="1524" w:type="dxa"/>
            <w:vMerge w:val="continue"/>
          </w:tcPr>
          <w:p w14:paraId="5298AFF0">
            <w:pPr>
              <w:spacing w:after="0" w:line="240" w:lineRule="auto"/>
              <w:rPr>
                <w:rFonts w:hint="eastAsia" w:ascii="仿宋" w:hAnsi="仿宋" w:eastAsia="仿宋" w:cs="仿宋"/>
                <w:sz w:val="20"/>
                <w:szCs w:val="20"/>
              </w:rPr>
            </w:pPr>
          </w:p>
        </w:tc>
        <w:tc>
          <w:tcPr>
            <w:tcW w:w="5790" w:type="dxa"/>
            <w:vAlign w:val="center"/>
          </w:tcPr>
          <w:p w14:paraId="5D17AE7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预评价/后评价上传：监理人员数据填报页面，总监代表、总监查看页面选择监理大纲增加上传按钮，点击上传按钮上传，页面内容包括：自动带出项目名称、制造厂、派单编号，文件名称、排序填报，评价简述填报，评价等级选择（字典配置），页面可以自带公司要求的预评价/后评价模板（管理员配置参考模板，用户可以下载填报后再上传）附件（至少包括文件名称、文件大小、上传进度、信息、操作：预览、下载、删除，支持PDF、图片、压缩包等多个附件上传）、上传时间、上传人员，保存（操作后可继续编辑、删除、提交）、提交（操作后不可编辑、删除、可升版、可查看、下载预览）、关闭按钮（关闭当前页面，未保存提示），列表页面上方展示项目名称、制造厂、派单编号，列表展示文件名称、评价等级、上传人员、上传时间、状态（暂存、已提交、已升版）、操作，点击文件名称可以查看详情，操作包括下载（下载附件）、编辑（仅暂存状态可以编辑）、删除（仅本人暂存可以删除）、升版（已提交数据可以升版填写升版原因、升版后生成新版本）、历史（查看、下载该文件所有的历史版本），其他角色仅下载、历史、详情可看（提交后），编辑、升版、删除无权限。</w:t>
            </w:r>
          </w:p>
        </w:tc>
        <w:tc>
          <w:tcPr>
            <w:tcW w:w="1381" w:type="dxa"/>
            <w:vAlign w:val="center"/>
          </w:tcPr>
          <w:p w14:paraId="5D827069">
            <w:pPr>
              <w:spacing w:before="0" w:after="0" w:line="264" w:lineRule="auto"/>
              <w:jc w:val="center"/>
              <w:rPr>
                <w:rFonts w:hint="eastAsia" w:ascii="仿宋" w:hAnsi="仿宋" w:eastAsia="仿宋" w:cs="仿宋"/>
                <w:sz w:val="20"/>
                <w:szCs w:val="20"/>
              </w:rPr>
            </w:pPr>
          </w:p>
        </w:tc>
        <w:tc>
          <w:tcPr>
            <w:tcW w:w="1409" w:type="dxa"/>
            <w:vAlign w:val="center"/>
          </w:tcPr>
          <w:p w14:paraId="79614F11">
            <w:pPr>
              <w:spacing w:before="0" w:after="0" w:line="264" w:lineRule="auto"/>
              <w:jc w:val="center"/>
              <w:rPr>
                <w:rFonts w:hint="eastAsia" w:ascii="仿宋" w:hAnsi="仿宋" w:eastAsia="仿宋" w:cs="仿宋"/>
                <w:sz w:val="20"/>
                <w:szCs w:val="20"/>
              </w:rPr>
            </w:pPr>
          </w:p>
        </w:tc>
        <w:tc>
          <w:tcPr>
            <w:tcW w:w="963" w:type="dxa"/>
            <w:vMerge w:val="continue"/>
          </w:tcPr>
          <w:p w14:paraId="0F5301F2">
            <w:pPr>
              <w:spacing w:after="0" w:line="240" w:lineRule="auto"/>
              <w:rPr>
                <w:rFonts w:hint="eastAsia" w:ascii="仿宋" w:hAnsi="仿宋" w:eastAsia="仿宋" w:cs="仿宋"/>
                <w:sz w:val="20"/>
                <w:szCs w:val="20"/>
              </w:rPr>
            </w:pPr>
          </w:p>
        </w:tc>
        <w:tc>
          <w:tcPr>
            <w:tcW w:w="1028" w:type="dxa"/>
            <w:vMerge w:val="continue"/>
          </w:tcPr>
          <w:p w14:paraId="781247E6">
            <w:pPr>
              <w:spacing w:after="0" w:line="240" w:lineRule="auto"/>
              <w:rPr>
                <w:rFonts w:hint="eastAsia" w:ascii="仿宋" w:hAnsi="仿宋" w:eastAsia="仿宋" w:cs="仿宋"/>
                <w:sz w:val="20"/>
                <w:szCs w:val="20"/>
              </w:rPr>
            </w:pPr>
          </w:p>
        </w:tc>
      </w:tr>
      <w:tr w14:paraId="60C42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2AA99808">
            <w:pPr>
              <w:spacing w:after="0" w:line="240" w:lineRule="auto"/>
              <w:rPr>
                <w:rFonts w:hint="eastAsia" w:ascii="仿宋" w:hAnsi="仿宋" w:eastAsia="仿宋" w:cs="仿宋"/>
                <w:sz w:val="20"/>
                <w:szCs w:val="20"/>
              </w:rPr>
            </w:pPr>
          </w:p>
        </w:tc>
        <w:tc>
          <w:tcPr>
            <w:tcW w:w="1524" w:type="dxa"/>
            <w:vMerge w:val="continue"/>
          </w:tcPr>
          <w:p w14:paraId="64FAA8C7">
            <w:pPr>
              <w:spacing w:after="0" w:line="240" w:lineRule="auto"/>
              <w:rPr>
                <w:rFonts w:hint="eastAsia" w:ascii="仿宋" w:hAnsi="仿宋" w:eastAsia="仿宋" w:cs="仿宋"/>
                <w:sz w:val="20"/>
                <w:szCs w:val="20"/>
              </w:rPr>
            </w:pPr>
          </w:p>
        </w:tc>
        <w:tc>
          <w:tcPr>
            <w:tcW w:w="5790" w:type="dxa"/>
            <w:vAlign w:val="center"/>
          </w:tcPr>
          <w:p w14:paraId="55A5951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耐压/泄漏试验见证记录表细则填报表取消图片上传入口，对应的细则查看、细则导出、细则历史版本查看、细则历史版本导出、周报查看、周报导出、日志查看、日志导出、监理报告查看、监理报告导出、监理报告历史版本查看、监理报告历史版本导出表增加判断逻辑，对于已上传过图片的数据，仍进行图片展示，对于未上传图片的数据，不再显示图片区域。</w:t>
            </w:r>
          </w:p>
        </w:tc>
        <w:tc>
          <w:tcPr>
            <w:tcW w:w="1381" w:type="dxa"/>
            <w:vAlign w:val="center"/>
          </w:tcPr>
          <w:p w14:paraId="195D2B06">
            <w:pPr>
              <w:spacing w:before="0" w:after="0" w:line="264" w:lineRule="auto"/>
              <w:jc w:val="center"/>
              <w:rPr>
                <w:rFonts w:hint="eastAsia" w:ascii="仿宋" w:hAnsi="仿宋" w:eastAsia="仿宋" w:cs="仿宋"/>
                <w:sz w:val="20"/>
                <w:szCs w:val="20"/>
              </w:rPr>
            </w:pPr>
          </w:p>
        </w:tc>
        <w:tc>
          <w:tcPr>
            <w:tcW w:w="1409" w:type="dxa"/>
            <w:vAlign w:val="center"/>
          </w:tcPr>
          <w:p w14:paraId="0E57F832">
            <w:pPr>
              <w:spacing w:before="0" w:after="0" w:line="264" w:lineRule="auto"/>
              <w:jc w:val="center"/>
              <w:rPr>
                <w:rFonts w:hint="eastAsia" w:ascii="仿宋" w:hAnsi="仿宋" w:eastAsia="仿宋" w:cs="仿宋"/>
                <w:sz w:val="20"/>
                <w:szCs w:val="20"/>
              </w:rPr>
            </w:pPr>
          </w:p>
        </w:tc>
        <w:tc>
          <w:tcPr>
            <w:tcW w:w="963" w:type="dxa"/>
            <w:vMerge w:val="continue"/>
          </w:tcPr>
          <w:p w14:paraId="4B40D58E">
            <w:pPr>
              <w:spacing w:after="0" w:line="240" w:lineRule="auto"/>
              <w:rPr>
                <w:rFonts w:hint="eastAsia" w:ascii="仿宋" w:hAnsi="仿宋" w:eastAsia="仿宋" w:cs="仿宋"/>
                <w:sz w:val="20"/>
                <w:szCs w:val="20"/>
              </w:rPr>
            </w:pPr>
          </w:p>
        </w:tc>
        <w:tc>
          <w:tcPr>
            <w:tcW w:w="1028" w:type="dxa"/>
            <w:vMerge w:val="continue"/>
          </w:tcPr>
          <w:p w14:paraId="46CEAD17">
            <w:pPr>
              <w:spacing w:after="0" w:line="240" w:lineRule="auto"/>
              <w:rPr>
                <w:rFonts w:hint="eastAsia" w:ascii="仿宋" w:hAnsi="仿宋" w:eastAsia="仿宋" w:cs="仿宋"/>
                <w:sz w:val="20"/>
                <w:szCs w:val="20"/>
              </w:rPr>
            </w:pPr>
          </w:p>
        </w:tc>
      </w:tr>
      <w:tr w14:paraId="29EE7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1277359D">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6</w:t>
            </w:r>
          </w:p>
        </w:tc>
        <w:tc>
          <w:tcPr>
            <w:tcW w:w="1524" w:type="dxa"/>
            <w:vMerge w:val="restart"/>
            <w:vAlign w:val="center"/>
          </w:tcPr>
          <w:p w14:paraId="7E3DC743">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监理周报</w:t>
            </w:r>
          </w:p>
        </w:tc>
        <w:tc>
          <w:tcPr>
            <w:tcW w:w="5790" w:type="dxa"/>
            <w:vAlign w:val="center"/>
          </w:tcPr>
          <w:p w14:paraId="14C7799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周报格式修改</w:t>
            </w:r>
          </w:p>
          <w:p w14:paraId="5984242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1.表头部分设置字体为非加粗；</w:t>
            </w:r>
          </w:p>
          <w:p w14:paraId="3119717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2.A项'计划交货期'改为'工厂计划交货期'</w:t>
            </w:r>
          </w:p>
          <w:p w14:paraId="08B6DD9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3.设备进度情况列宽调整</w:t>
            </w:r>
          </w:p>
          <w:p w14:paraId="74EE44C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4.I项照片宽度调整为8cm,6cm</w:t>
            </w:r>
          </w:p>
          <w:p w14:paraId="55F88F5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5.B、C区域内容在平台录入模板，用户可进行编辑，原报表内容作为附件展示在文末；</w:t>
            </w:r>
          </w:p>
          <w:p w14:paraId="42E79E1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6.E区域综述内容在平台录入模板，可编辑；本周设备检验情况按设备从本周填报情况抓取报表名称，可编辑；原报表内容作为附件展示在文末；</w:t>
            </w:r>
          </w:p>
        </w:tc>
        <w:tc>
          <w:tcPr>
            <w:tcW w:w="1381" w:type="dxa"/>
            <w:vAlign w:val="center"/>
          </w:tcPr>
          <w:p w14:paraId="4B613CF5">
            <w:pPr>
              <w:spacing w:before="0" w:after="0" w:line="264" w:lineRule="auto"/>
              <w:jc w:val="center"/>
              <w:rPr>
                <w:rFonts w:hint="eastAsia" w:ascii="仿宋" w:hAnsi="仿宋" w:eastAsia="仿宋" w:cs="仿宋"/>
                <w:sz w:val="20"/>
                <w:szCs w:val="20"/>
              </w:rPr>
            </w:pPr>
          </w:p>
        </w:tc>
        <w:tc>
          <w:tcPr>
            <w:tcW w:w="1409" w:type="dxa"/>
            <w:vAlign w:val="center"/>
          </w:tcPr>
          <w:p w14:paraId="72DC8ACE">
            <w:pPr>
              <w:spacing w:before="0" w:after="0" w:line="264" w:lineRule="auto"/>
              <w:jc w:val="center"/>
              <w:rPr>
                <w:rFonts w:hint="eastAsia" w:ascii="仿宋" w:hAnsi="仿宋" w:eastAsia="仿宋" w:cs="仿宋"/>
                <w:sz w:val="20"/>
                <w:szCs w:val="20"/>
              </w:rPr>
            </w:pPr>
          </w:p>
        </w:tc>
        <w:tc>
          <w:tcPr>
            <w:tcW w:w="963" w:type="dxa"/>
            <w:vMerge w:val="restart"/>
            <w:vAlign w:val="center"/>
          </w:tcPr>
          <w:p w14:paraId="1621AD1F">
            <w:pPr>
              <w:spacing w:before="0" w:after="0" w:line="264" w:lineRule="auto"/>
              <w:jc w:val="center"/>
              <w:rPr>
                <w:rFonts w:hint="eastAsia" w:ascii="仿宋" w:hAnsi="仿宋" w:eastAsia="仿宋" w:cs="仿宋"/>
                <w:sz w:val="20"/>
                <w:szCs w:val="20"/>
              </w:rPr>
            </w:pPr>
          </w:p>
        </w:tc>
        <w:tc>
          <w:tcPr>
            <w:tcW w:w="1028" w:type="dxa"/>
            <w:vMerge w:val="restart"/>
            <w:vAlign w:val="center"/>
          </w:tcPr>
          <w:p w14:paraId="6776812B">
            <w:pPr>
              <w:spacing w:before="0" w:after="0" w:line="264" w:lineRule="auto"/>
              <w:jc w:val="center"/>
              <w:rPr>
                <w:rFonts w:hint="eastAsia" w:ascii="仿宋" w:hAnsi="仿宋" w:eastAsia="仿宋" w:cs="仿宋"/>
                <w:sz w:val="20"/>
                <w:szCs w:val="20"/>
              </w:rPr>
            </w:pPr>
          </w:p>
        </w:tc>
      </w:tr>
      <w:tr w14:paraId="09D34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12F8DF25">
            <w:pPr>
              <w:spacing w:after="0" w:line="240" w:lineRule="auto"/>
              <w:rPr>
                <w:rFonts w:hint="eastAsia" w:ascii="仿宋" w:hAnsi="仿宋" w:eastAsia="仿宋" w:cs="仿宋"/>
                <w:sz w:val="20"/>
                <w:szCs w:val="20"/>
              </w:rPr>
            </w:pPr>
          </w:p>
        </w:tc>
        <w:tc>
          <w:tcPr>
            <w:tcW w:w="1524" w:type="dxa"/>
            <w:vMerge w:val="continue"/>
          </w:tcPr>
          <w:p w14:paraId="53B1B7ED">
            <w:pPr>
              <w:spacing w:after="0" w:line="240" w:lineRule="auto"/>
              <w:rPr>
                <w:rFonts w:hint="eastAsia" w:ascii="仿宋" w:hAnsi="仿宋" w:eastAsia="仿宋" w:cs="仿宋"/>
                <w:sz w:val="20"/>
                <w:szCs w:val="20"/>
              </w:rPr>
            </w:pPr>
          </w:p>
        </w:tc>
        <w:tc>
          <w:tcPr>
            <w:tcW w:w="5790" w:type="dxa"/>
            <w:vAlign w:val="center"/>
          </w:tcPr>
          <w:p w14:paraId="30A3C0F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周报编辑页面，照片部分抓取日期范围内最后一天的进度照片+日期范围内所有检验照片；用户可选择性删除照片，删除后可再次添加。</w:t>
            </w:r>
          </w:p>
        </w:tc>
        <w:tc>
          <w:tcPr>
            <w:tcW w:w="1381" w:type="dxa"/>
            <w:vAlign w:val="center"/>
          </w:tcPr>
          <w:p w14:paraId="0CF9FBE4">
            <w:pPr>
              <w:spacing w:before="0" w:after="0" w:line="264" w:lineRule="auto"/>
              <w:jc w:val="center"/>
              <w:rPr>
                <w:rFonts w:hint="eastAsia" w:ascii="仿宋" w:hAnsi="仿宋" w:eastAsia="仿宋" w:cs="仿宋"/>
                <w:sz w:val="20"/>
                <w:szCs w:val="20"/>
              </w:rPr>
            </w:pPr>
          </w:p>
        </w:tc>
        <w:tc>
          <w:tcPr>
            <w:tcW w:w="1409" w:type="dxa"/>
            <w:vAlign w:val="center"/>
          </w:tcPr>
          <w:p w14:paraId="2BF2DD69">
            <w:pPr>
              <w:spacing w:before="0" w:after="0" w:line="264" w:lineRule="auto"/>
              <w:jc w:val="center"/>
              <w:rPr>
                <w:rFonts w:hint="eastAsia" w:ascii="仿宋" w:hAnsi="仿宋" w:eastAsia="仿宋" w:cs="仿宋"/>
                <w:sz w:val="20"/>
                <w:szCs w:val="20"/>
              </w:rPr>
            </w:pPr>
          </w:p>
        </w:tc>
        <w:tc>
          <w:tcPr>
            <w:tcW w:w="963" w:type="dxa"/>
            <w:vMerge w:val="continue"/>
          </w:tcPr>
          <w:p w14:paraId="1FE6D72A">
            <w:pPr>
              <w:spacing w:after="0" w:line="240" w:lineRule="auto"/>
              <w:rPr>
                <w:rFonts w:hint="eastAsia" w:ascii="仿宋" w:hAnsi="仿宋" w:eastAsia="仿宋" w:cs="仿宋"/>
                <w:sz w:val="20"/>
                <w:szCs w:val="20"/>
              </w:rPr>
            </w:pPr>
          </w:p>
        </w:tc>
        <w:tc>
          <w:tcPr>
            <w:tcW w:w="1028" w:type="dxa"/>
            <w:vMerge w:val="continue"/>
          </w:tcPr>
          <w:p w14:paraId="3E081220">
            <w:pPr>
              <w:spacing w:after="0" w:line="240" w:lineRule="auto"/>
              <w:rPr>
                <w:rFonts w:hint="eastAsia" w:ascii="仿宋" w:hAnsi="仿宋" w:eastAsia="仿宋" w:cs="仿宋"/>
                <w:sz w:val="20"/>
                <w:szCs w:val="20"/>
              </w:rPr>
            </w:pPr>
          </w:p>
        </w:tc>
      </w:tr>
      <w:tr w14:paraId="0549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Align w:val="center"/>
          </w:tcPr>
          <w:p w14:paraId="370145A6">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7</w:t>
            </w:r>
          </w:p>
        </w:tc>
        <w:tc>
          <w:tcPr>
            <w:tcW w:w="1524" w:type="dxa"/>
            <w:vAlign w:val="center"/>
          </w:tcPr>
          <w:p w14:paraId="28906601">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文件考核与升版</w:t>
            </w:r>
          </w:p>
        </w:tc>
        <w:tc>
          <w:tcPr>
            <w:tcW w:w="5790" w:type="dxa"/>
            <w:vAlign w:val="center"/>
          </w:tcPr>
          <w:p w14:paraId="4FF889E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质量部文件考核功能及升版</w:t>
            </w:r>
          </w:p>
          <w:p w14:paraId="39BB05B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一级页面以派单为维度展示派单信息(字段包含项目编号、项目名称、监理编号、派单编号、委托单位、制造单位、监理人员、总监代表、项目总监、最新考核时间、最新考核等级)，列表操作栏包含'考核记录'和'查看'按钮；页面筛选条件：按项目编号、项目名称、派单编号、监理编号、委托单位、制造单位、监理人员、总监代表、最新考核时间、最新考核等级筛选。</w:t>
            </w:r>
          </w:p>
          <w:p w14:paraId="75458DD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点击一级页面考核记录按钮可查看此派单的所有历史考核记录，页面包含新增、文档目录、查看数据按钮。点击新增可创建考核，填写考核结果说明、考核等级、上传附件；点击文档目录、数据填报按钮可进行相应数据查看。</w:t>
            </w:r>
          </w:p>
          <w:p w14:paraId="5E3F19F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3.点击一级页面派单编号可以进入派单详情页面。</w:t>
            </w:r>
          </w:p>
        </w:tc>
        <w:tc>
          <w:tcPr>
            <w:tcW w:w="1381" w:type="dxa"/>
            <w:vAlign w:val="center"/>
          </w:tcPr>
          <w:p w14:paraId="433AD62C">
            <w:pPr>
              <w:spacing w:before="0" w:after="0" w:line="264" w:lineRule="auto"/>
              <w:jc w:val="center"/>
              <w:rPr>
                <w:rFonts w:hint="eastAsia" w:ascii="仿宋" w:hAnsi="仿宋" w:eastAsia="仿宋" w:cs="仿宋"/>
                <w:sz w:val="20"/>
                <w:szCs w:val="20"/>
              </w:rPr>
            </w:pPr>
          </w:p>
        </w:tc>
        <w:tc>
          <w:tcPr>
            <w:tcW w:w="1409" w:type="dxa"/>
            <w:vAlign w:val="center"/>
          </w:tcPr>
          <w:p w14:paraId="371B88F2">
            <w:pPr>
              <w:spacing w:before="0" w:after="0" w:line="264" w:lineRule="auto"/>
              <w:jc w:val="center"/>
              <w:rPr>
                <w:rFonts w:hint="eastAsia" w:ascii="仿宋" w:hAnsi="仿宋" w:eastAsia="仿宋" w:cs="仿宋"/>
                <w:sz w:val="20"/>
                <w:szCs w:val="20"/>
              </w:rPr>
            </w:pPr>
          </w:p>
        </w:tc>
        <w:tc>
          <w:tcPr>
            <w:tcW w:w="963" w:type="dxa"/>
            <w:vAlign w:val="center"/>
          </w:tcPr>
          <w:p w14:paraId="0C18CC5F">
            <w:pPr>
              <w:spacing w:before="0" w:after="0" w:line="264" w:lineRule="auto"/>
              <w:jc w:val="center"/>
              <w:rPr>
                <w:rFonts w:hint="eastAsia" w:ascii="仿宋" w:hAnsi="仿宋" w:eastAsia="仿宋" w:cs="仿宋"/>
                <w:sz w:val="20"/>
                <w:szCs w:val="20"/>
              </w:rPr>
            </w:pPr>
          </w:p>
        </w:tc>
        <w:tc>
          <w:tcPr>
            <w:tcW w:w="1028" w:type="dxa"/>
            <w:vAlign w:val="center"/>
          </w:tcPr>
          <w:p w14:paraId="5FAB3A50">
            <w:pPr>
              <w:spacing w:before="0" w:after="0" w:line="264" w:lineRule="auto"/>
              <w:jc w:val="center"/>
              <w:rPr>
                <w:rFonts w:hint="eastAsia" w:ascii="仿宋" w:hAnsi="仿宋" w:eastAsia="仿宋" w:cs="仿宋"/>
                <w:sz w:val="20"/>
                <w:szCs w:val="20"/>
              </w:rPr>
            </w:pPr>
          </w:p>
        </w:tc>
      </w:tr>
      <w:tr w14:paraId="6FF07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Align w:val="center"/>
          </w:tcPr>
          <w:p w14:paraId="1E74501F">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8</w:t>
            </w:r>
          </w:p>
        </w:tc>
        <w:tc>
          <w:tcPr>
            <w:tcW w:w="1524" w:type="dxa"/>
            <w:vAlign w:val="center"/>
          </w:tcPr>
          <w:p w14:paraId="00AE34BC">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全局消息功能</w:t>
            </w:r>
          </w:p>
        </w:tc>
        <w:tc>
          <w:tcPr>
            <w:tcW w:w="5790" w:type="dxa"/>
            <w:vAlign w:val="center"/>
          </w:tcPr>
          <w:p w14:paraId="784FFAE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右上角小铃铛点击“查看全部信息”，打开全部信息页面，页面展示用户全部消息列表，对于待办消息类跳转到相应审批页面，可以直接进行审批，平台右上角小铃铛数量随着查看后消失更新，下拉列表数据仅展示未读消息。查询速度≤3S</w:t>
            </w:r>
          </w:p>
        </w:tc>
        <w:tc>
          <w:tcPr>
            <w:tcW w:w="1381" w:type="dxa"/>
            <w:vAlign w:val="center"/>
          </w:tcPr>
          <w:p w14:paraId="3F2A7718">
            <w:pPr>
              <w:spacing w:before="0" w:after="0" w:line="264" w:lineRule="auto"/>
              <w:jc w:val="center"/>
              <w:rPr>
                <w:rFonts w:hint="eastAsia" w:ascii="仿宋" w:hAnsi="仿宋" w:eastAsia="仿宋" w:cs="仿宋"/>
                <w:sz w:val="20"/>
                <w:szCs w:val="20"/>
              </w:rPr>
            </w:pPr>
          </w:p>
        </w:tc>
        <w:tc>
          <w:tcPr>
            <w:tcW w:w="1409" w:type="dxa"/>
            <w:vAlign w:val="center"/>
          </w:tcPr>
          <w:p w14:paraId="6983CA55">
            <w:pPr>
              <w:spacing w:before="0" w:after="0" w:line="264" w:lineRule="auto"/>
              <w:jc w:val="center"/>
              <w:rPr>
                <w:rFonts w:hint="eastAsia" w:ascii="仿宋" w:hAnsi="仿宋" w:eastAsia="仿宋" w:cs="仿宋"/>
                <w:sz w:val="20"/>
                <w:szCs w:val="20"/>
              </w:rPr>
            </w:pPr>
          </w:p>
        </w:tc>
        <w:tc>
          <w:tcPr>
            <w:tcW w:w="963" w:type="dxa"/>
            <w:vAlign w:val="center"/>
          </w:tcPr>
          <w:p w14:paraId="60215A8E">
            <w:pPr>
              <w:spacing w:before="0" w:after="0" w:line="264" w:lineRule="auto"/>
              <w:jc w:val="center"/>
              <w:rPr>
                <w:rFonts w:hint="eastAsia" w:ascii="仿宋" w:hAnsi="仿宋" w:eastAsia="仿宋" w:cs="仿宋"/>
                <w:sz w:val="20"/>
                <w:szCs w:val="20"/>
              </w:rPr>
            </w:pPr>
          </w:p>
        </w:tc>
        <w:tc>
          <w:tcPr>
            <w:tcW w:w="1028" w:type="dxa"/>
            <w:vAlign w:val="center"/>
          </w:tcPr>
          <w:p w14:paraId="361B255A">
            <w:pPr>
              <w:spacing w:before="0" w:after="0" w:line="264" w:lineRule="auto"/>
              <w:jc w:val="center"/>
              <w:rPr>
                <w:rFonts w:hint="eastAsia" w:ascii="仿宋" w:hAnsi="仿宋" w:eastAsia="仿宋" w:cs="仿宋"/>
                <w:sz w:val="20"/>
                <w:szCs w:val="20"/>
              </w:rPr>
            </w:pPr>
          </w:p>
        </w:tc>
      </w:tr>
      <w:tr w14:paraId="2608D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5EB45F82">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9</w:t>
            </w:r>
          </w:p>
        </w:tc>
        <w:tc>
          <w:tcPr>
            <w:tcW w:w="1524" w:type="dxa"/>
            <w:vMerge w:val="restart"/>
            <w:vAlign w:val="center"/>
          </w:tcPr>
          <w:p w14:paraId="5FD992C4">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项目管理</w:t>
            </w:r>
          </w:p>
        </w:tc>
        <w:tc>
          <w:tcPr>
            <w:tcW w:w="5790" w:type="dxa"/>
            <w:vAlign w:val="center"/>
          </w:tcPr>
          <w:p w14:paraId="6408BCA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增加项目管理员角色，可查看项目管理-项目管理菜单下所有项目数据，页面增加驻厂监造/巡检监造按钮；点击按钮可查看任务派遣单驻厂监造/巡检监造页面，包含文档目录、查看数据、数据分析按钮，增加项目转交审批流程，由项目管理员发起项目转交申请，填写移交原因并上传附件，经原项目经理项目创建人(负责人) A、接收项目经理项目创建人(负责人) B依次审批通过后，系统自动将项目及下属所有派单的负责人项目创建人(负责人)从 A 变更为 B，历史数据保留，权限同步切换，全程可追溯。</w:t>
            </w:r>
          </w:p>
        </w:tc>
        <w:tc>
          <w:tcPr>
            <w:tcW w:w="1381" w:type="dxa"/>
            <w:vAlign w:val="center"/>
          </w:tcPr>
          <w:p w14:paraId="30669C37">
            <w:pPr>
              <w:spacing w:before="0" w:after="0" w:line="264" w:lineRule="auto"/>
              <w:jc w:val="center"/>
              <w:rPr>
                <w:rFonts w:hint="eastAsia" w:ascii="仿宋" w:hAnsi="仿宋" w:eastAsia="仿宋" w:cs="仿宋"/>
                <w:sz w:val="20"/>
                <w:szCs w:val="20"/>
              </w:rPr>
            </w:pPr>
          </w:p>
        </w:tc>
        <w:tc>
          <w:tcPr>
            <w:tcW w:w="1409" w:type="dxa"/>
            <w:vAlign w:val="center"/>
          </w:tcPr>
          <w:p w14:paraId="29777E7F">
            <w:pPr>
              <w:spacing w:before="0" w:after="0" w:line="264" w:lineRule="auto"/>
              <w:jc w:val="center"/>
              <w:rPr>
                <w:rFonts w:hint="eastAsia" w:ascii="仿宋" w:hAnsi="仿宋" w:eastAsia="仿宋" w:cs="仿宋"/>
                <w:sz w:val="20"/>
                <w:szCs w:val="20"/>
              </w:rPr>
            </w:pPr>
          </w:p>
        </w:tc>
        <w:tc>
          <w:tcPr>
            <w:tcW w:w="963" w:type="dxa"/>
            <w:vMerge w:val="restart"/>
            <w:vAlign w:val="center"/>
          </w:tcPr>
          <w:p w14:paraId="233D4AEA">
            <w:pPr>
              <w:spacing w:before="0" w:after="0" w:line="264" w:lineRule="auto"/>
              <w:jc w:val="center"/>
              <w:rPr>
                <w:rFonts w:hint="eastAsia" w:ascii="仿宋" w:hAnsi="仿宋" w:eastAsia="仿宋" w:cs="仿宋"/>
                <w:sz w:val="20"/>
                <w:szCs w:val="20"/>
              </w:rPr>
            </w:pPr>
          </w:p>
        </w:tc>
        <w:tc>
          <w:tcPr>
            <w:tcW w:w="1028" w:type="dxa"/>
            <w:vMerge w:val="restart"/>
            <w:vAlign w:val="center"/>
          </w:tcPr>
          <w:p w14:paraId="64CE7387">
            <w:pPr>
              <w:spacing w:before="0" w:after="0" w:line="264" w:lineRule="auto"/>
              <w:jc w:val="center"/>
              <w:rPr>
                <w:rFonts w:hint="eastAsia" w:ascii="仿宋" w:hAnsi="仿宋" w:eastAsia="仿宋" w:cs="仿宋"/>
                <w:sz w:val="20"/>
                <w:szCs w:val="20"/>
              </w:rPr>
            </w:pPr>
          </w:p>
        </w:tc>
      </w:tr>
      <w:tr w14:paraId="599EA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54D87B89">
            <w:pPr>
              <w:spacing w:after="0" w:line="240" w:lineRule="auto"/>
              <w:rPr>
                <w:rFonts w:hint="eastAsia" w:ascii="仿宋" w:hAnsi="仿宋" w:eastAsia="仿宋" w:cs="仿宋"/>
                <w:sz w:val="20"/>
                <w:szCs w:val="20"/>
              </w:rPr>
            </w:pPr>
          </w:p>
        </w:tc>
        <w:tc>
          <w:tcPr>
            <w:tcW w:w="1524" w:type="dxa"/>
            <w:vMerge w:val="continue"/>
          </w:tcPr>
          <w:p w14:paraId="78845719">
            <w:pPr>
              <w:spacing w:after="0" w:line="240" w:lineRule="auto"/>
              <w:rPr>
                <w:rFonts w:hint="eastAsia" w:ascii="仿宋" w:hAnsi="仿宋" w:eastAsia="仿宋" w:cs="仿宋"/>
                <w:sz w:val="20"/>
                <w:szCs w:val="20"/>
              </w:rPr>
            </w:pPr>
          </w:p>
        </w:tc>
        <w:tc>
          <w:tcPr>
            <w:tcW w:w="5790" w:type="dxa"/>
            <w:vAlign w:val="center"/>
          </w:tcPr>
          <w:p w14:paraId="1C1C915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项目状态：未开始（无派单或者所有派单未开始，系统判定不可修改）、进行中（至少有1个派单进行中判定，系统判定不可修改）、已完成（增加项目内派单已完成项目创建人可手动选已完成，已完成则总监代表在该项目下不可发起派单，在已归档前，已完成可以撤销，撤销后总监代表可在该项目下发起派单，已完成撤销后项目状态由系统判定）、已归档（增加判定项目状态是已完成&amp;再判定项目下所有派单为已归档，满足以上两条时项目创建人可手动选择归档状态。）</w:t>
            </w:r>
          </w:p>
        </w:tc>
        <w:tc>
          <w:tcPr>
            <w:tcW w:w="1381" w:type="dxa"/>
            <w:vAlign w:val="center"/>
          </w:tcPr>
          <w:p w14:paraId="25A3417A">
            <w:pPr>
              <w:spacing w:before="0" w:after="0" w:line="264" w:lineRule="auto"/>
              <w:jc w:val="center"/>
              <w:rPr>
                <w:rFonts w:hint="eastAsia" w:ascii="仿宋" w:hAnsi="仿宋" w:eastAsia="仿宋" w:cs="仿宋"/>
                <w:sz w:val="20"/>
                <w:szCs w:val="20"/>
              </w:rPr>
            </w:pPr>
          </w:p>
        </w:tc>
        <w:tc>
          <w:tcPr>
            <w:tcW w:w="1409" w:type="dxa"/>
            <w:vAlign w:val="center"/>
          </w:tcPr>
          <w:p w14:paraId="2693EE48">
            <w:pPr>
              <w:spacing w:before="0" w:after="0" w:line="264" w:lineRule="auto"/>
              <w:jc w:val="center"/>
              <w:rPr>
                <w:rFonts w:hint="eastAsia" w:ascii="仿宋" w:hAnsi="仿宋" w:eastAsia="仿宋" w:cs="仿宋"/>
                <w:sz w:val="20"/>
                <w:szCs w:val="20"/>
              </w:rPr>
            </w:pPr>
          </w:p>
        </w:tc>
        <w:tc>
          <w:tcPr>
            <w:tcW w:w="963" w:type="dxa"/>
            <w:vMerge w:val="continue"/>
          </w:tcPr>
          <w:p w14:paraId="11DF77A7">
            <w:pPr>
              <w:spacing w:after="0" w:line="240" w:lineRule="auto"/>
              <w:rPr>
                <w:rFonts w:hint="eastAsia" w:ascii="仿宋" w:hAnsi="仿宋" w:eastAsia="仿宋" w:cs="仿宋"/>
                <w:sz w:val="20"/>
                <w:szCs w:val="20"/>
              </w:rPr>
            </w:pPr>
          </w:p>
        </w:tc>
        <w:tc>
          <w:tcPr>
            <w:tcW w:w="1028" w:type="dxa"/>
            <w:vMerge w:val="continue"/>
          </w:tcPr>
          <w:p w14:paraId="6D2F6D0D">
            <w:pPr>
              <w:spacing w:after="0" w:line="240" w:lineRule="auto"/>
              <w:rPr>
                <w:rFonts w:hint="eastAsia" w:ascii="仿宋" w:hAnsi="仿宋" w:eastAsia="仿宋" w:cs="仿宋"/>
                <w:sz w:val="20"/>
                <w:szCs w:val="20"/>
              </w:rPr>
            </w:pPr>
          </w:p>
        </w:tc>
      </w:tr>
      <w:tr w14:paraId="539D0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Align w:val="center"/>
          </w:tcPr>
          <w:p w14:paraId="17AE61C3">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10</w:t>
            </w:r>
          </w:p>
        </w:tc>
        <w:tc>
          <w:tcPr>
            <w:tcW w:w="1524" w:type="dxa"/>
            <w:vAlign w:val="center"/>
          </w:tcPr>
          <w:p w14:paraId="1CA4979C">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材料库</w:t>
            </w:r>
          </w:p>
        </w:tc>
        <w:tc>
          <w:tcPr>
            <w:tcW w:w="5790" w:type="dxa"/>
            <w:vAlign w:val="center"/>
          </w:tcPr>
          <w:p w14:paraId="5A38802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1.库→标准→检验项目→牌号，不允许在材料库重复建库，不允许在当前库下重复建标准，不允许在当前标准下重复创建检验项目，不允许在当前检验项目下重复创建牌号。</w:t>
            </w:r>
          </w:p>
          <w:p w14:paraId="1E4A78C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2.允许用户新增库、标准、检验项目、牌号临时入库，未被引用且为该用户创建的则可以被该用户删除、修改，被引用且为该用户创建的则允许修改，不允许删除。</w:t>
            </w:r>
          </w:p>
          <w:p w14:paraId="2625414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库→标准→检验项目→牌号增加创建人、创建时间显示，增加非管理员创建的库→标准→检验项目→牌号审阅按钮并实现筛选，便于对其他用户录入数据修正，修正后系统引用位置对应修改，对于无法修正的数据做标记不允许用户再引用。</w:t>
            </w:r>
          </w:p>
          <w:p w14:paraId="58198EF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4.过期标准做作废标记，不可引用（细则，主要原材料、材料不超过10个）</w:t>
            </w:r>
          </w:p>
        </w:tc>
        <w:tc>
          <w:tcPr>
            <w:tcW w:w="1381" w:type="dxa"/>
            <w:vAlign w:val="center"/>
          </w:tcPr>
          <w:p w14:paraId="12723736">
            <w:pPr>
              <w:spacing w:before="0" w:after="0" w:line="264" w:lineRule="auto"/>
              <w:jc w:val="center"/>
              <w:rPr>
                <w:rFonts w:hint="eastAsia" w:ascii="仿宋" w:hAnsi="仿宋" w:eastAsia="仿宋" w:cs="仿宋"/>
                <w:sz w:val="20"/>
                <w:szCs w:val="20"/>
              </w:rPr>
            </w:pPr>
          </w:p>
        </w:tc>
        <w:tc>
          <w:tcPr>
            <w:tcW w:w="1409" w:type="dxa"/>
            <w:vAlign w:val="center"/>
          </w:tcPr>
          <w:p w14:paraId="1B4D5A66">
            <w:pPr>
              <w:spacing w:before="0" w:after="0" w:line="264" w:lineRule="auto"/>
              <w:jc w:val="center"/>
              <w:rPr>
                <w:rFonts w:hint="eastAsia" w:ascii="仿宋" w:hAnsi="仿宋" w:eastAsia="仿宋" w:cs="仿宋"/>
                <w:sz w:val="20"/>
                <w:szCs w:val="20"/>
              </w:rPr>
            </w:pPr>
          </w:p>
        </w:tc>
        <w:tc>
          <w:tcPr>
            <w:tcW w:w="963" w:type="dxa"/>
            <w:vAlign w:val="center"/>
          </w:tcPr>
          <w:p w14:paraId="5F773309">
            <w:pPr>
              <w:spacing w:before="0" w:after="0" w:line="264" w:lineRule="auto"/>
              <w:jc w:val="center"/>
              <w:rPr>
                <w:rFonts w:hint="eastAsia" w:ascii="仿宋" w:hAnsi="仿宋" w:eastAsia="仿宋" w:cs="仿宋"/>
                <w:sz w:val="20"/>
                <w:szCs w:val="20"/>
              </w:rPr>
            </w:pPr>
          </w:p>
        </w:tc>
        <w:tc>
          <w:tcPr>
            <w:tcW w:w="1028" w:type="dxa"/>
            <w:vAlign w:val="center"/>
          </w:tcPr>
          <w:p w14:paraId="7129D6F7">
            <w:pPr>
              <w:spacing w:before="0" w:after="0" w:line="264" w:lineRule="auto"/>
              <w:jc w:val="center"/>
              <w:rPr>
                <w:rFonts w:hint="eastAsia" w:ascii="仿宋" w:hAnsi="仿宋" w:eastAsia="仿宋" w:cs="仿宋"/>
                <w:sz w:val="20"/>
                <w:szCs w:val="20"/>
              </w:rPr>
            </w:pPr>
          </w:p>
        </w:tc>
      </w:tr>
      <w:tr w14:paraId="1C62A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Align w:val="center"/>
          </w:tcPr>
          <w:p w14:paraId="45A1B771">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11</w:t>
            </w:r>
          </w:p>
        </w:tc>
        <w:tc>
          <w:tcPr>
            <w:tcW w:w="1524" w:type="dxa"/>
            <w:vAlign w:val="center"/>
          </w:tcPr>
          <w:p w14:paraId="28A397BF">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知识资料库</w:t>
            </w:r>
          </w:p>
        </w:tc>
        <w:tc>
          <w:tcPr>
            <w:tcW w:w="5790" w:type="dxa"/>
            <w:vAlign w:val="center"/>
          </w:tcPr>
          <w:p w14:paraId="2403F0E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标准下载按钮隐藏，资料库管理员对知识资料库左侧树增加增、删、改、查功能，知识资料库增加标准预览加水印功能,水印内容：仅供内部查阅，不得扩散</w:t>
            </w:r>
          </w:p>
        </w:tc>
        <w:tc>
          <w:tcPr>
            <w:tcW w:w="1381" w:type="dxa"/>
            <w:vAlign w:val="center"/>
          </w:tcPr>
          <w:p w14:paraId="6973B72E">
            <w:pPr>
              <w:spacing w:before="0" w:after="0" w:line="264" w:lineRule="auto"/>
              <w:jc w:val="center"/>
              <w:rPr>
                <w:rFonts w:hint="eastAsia" w:ascii="仿宋" w:hAnsi="仿宋" w:eastAsia="仿宋" w:cs="仿宋"/>
                <w:sz w:val="20"/>
                <w:szCs w:val="20"/>
              </w:rPr>
            </w:pPr>
          </w:p>
        </w:tc>
        <w:tc>
          <w:tcPr>
            <w:tcW w:w="1409" w:type="dxa"/>
            <w:vAlign w:val="center"/>
          </w:tcPr>
          <w:p w14:paraId="71E01AB6">
            <w:pPr>
              <w:spacing w:before="0" w:after="0" w:line="264" w:lineRule="auto"/>
              <w:jc w:val="center"/>
              <w:rPr>
                <w:rFonts w:hint="eastAsia" w:ascii="仿宋" w:hAnsi="仿宋" w:eastAsia="仿宋" w:cs="仿宋"/>
                <w:sz w:val="20"/>
                <w:szCs w:val="20"/>
              </w:rPr>
            </w:pPr>
          </w:p>
        </w:tc>
        <w:tc>
          <w:tcPr>
            <w:tcW w:w="963" w:type="dxa"/>
            <w:vAlign w:val="center"/>
          </w:tcPr>
          <w:p w14:paraId="125ACFC2">
            <w:pPr>
              <w:spacing w:before="0" w:after="0" w:line="264" w:lineRule="auto"/>
              <w:jc w:val="center"/>
              <w:rPr>
                <w:rFonts w:hint="eastAsia" w:ascii="仿宋" w:hAnsi="仿宋" w:eastAsia="仿宋" w:cs="仿宋"/>
                <w:sz w:val="20"/>
                <w:szCs w:val="20"/>
              </w:rPr>
            </w:pPr>
          </w:p>
        </w:tc>
        <w:tc>
          <w:tcPr>
            <w:tcW w:w="1028" w:type="dxa"/>
            <w:vAlign w:val="center"/>
          </w:tcPr>
          <w:p w14:paraId="4548450C">
            <w:pPr>
              <w:spacing w:before="0" w:after="0" w:line="264" w:lineRule="auto"/>
              <w:jc w:val="center"/>
              <w:rPr>
                <w:rFonts w:hint="eastAsia" w:ascii="仿宋" w:hAnsi="仿宋" w:eastAsia="仿宋" w:cs="仿宋"/>
                <w:sz w:val="20"/>
                <w:szCs w:val="20"/>
              </w:rPr>
            </w:pPr>
          </w:p>
        </w:tc>
      </w:tr>
      <w:tr w14:paraId="14EDC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100299E1">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12</w:t>
            </w:r>
          </w:p>
        </w:tc>
        <w:tc>
          <w:tcPr>
            <w:tcW w:w="1524" w:type="dxa"/>
            <w:vMerge w:val="restart"/>
            <w:vAlign w:val="center"/>
          </w:tcPr>
          <w:p w14:paraId="12C8BC08">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项目归档</w:t>
            </w:r>
          </w:p>
        </w:tc>
        <w:tc>
          <w:tcPr>
            <w:tcW w:w="5790" w:type="dxa"/>
            <w:vAlign w:val="center"/>
          </w:tcPr>
          <w:p w14:paraId="4ABFF29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增加项目归档菜单：</w:t>
            </w:r>
          </w:p>
          <w:p w14:paraId="6E4A72A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针对结束监造、放行单100%派单：</w:t>
            </w:r>
          </w:p>
          <w:p w14:paraId="04484E3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设备监理报告&amp;监理放行单&amp;监理总结审批完成，7天后每天提醒监理人员发起项目归档申请。</w:t>
            </w:r>
          </w:p>
          <w:p w14:paraId="5F3E2E0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针对派单终止的派单：</w:t>
            </w:r>
          </w:p>
          <w:p w14:paraId="6A4F7A8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不做限制，派单终止7天后每天提醒监理人员发起归档申请，提醒监理人员派单内所有流程通过审批（暂存除外）。</w:t>
            </w:r>
          </w:p>
          <w:p w14:paraId="0CCC0E6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总监代表审批、总监审批、档案管理审批，审批过程中文件目录、增加总监任命、变更书、总监代表任命、变更书、任务派遣单及变更在审批过程中的可查看；审批后，将按项目按模块转PDF或者压缩包按照派单维度移动到项目归档中，区域经理、总监代表、档案管理对已归档派单打分，增加档案管理对派单的查看，支持执行部、项目部等领导层对项目归档资料及打分情况的查看。归档申请需要填写哪些内容，流程节点如何。</w:t>
            </w:r>
          </w:p>
        </w:tc>
        <w:tc>
          <w:tcPr>
            <w:tcW w:w="1381" w:type="dxa"/>
            <w:vAlign w:val="center"/>
          </w:tcPr>
          <w:p w14:paraId="15C9C651">
            <w:pPr>
              <w:spacing w:before="0" w:after="0" w:line="264" w:lineRule="auto"/>
              <w:jc w:val="center"/>
              <w:rPr>
                <w:rFonts w:hint="eastAsia" w:ascii="仿宋" w:hAnsi="仿宋" w:eastAsia="仿宋" w:cs="仿宋"/>
                <w:sz w:val="20"/>
                <w:szCs w:val="20"/>
              </w:rPr>
            </w:pPr>
          </w:p>
        </w:tc>
        <w:tc>
          <w:tcPr>
            <w:tcW w:w="1409" w:type="dxa"/>
            <w:vAlign w:val="center"/>
          </w:tcPr>
          <w:p w14:paraId="5185F443">
            <w:pPr>
              <w:spacing w:before="0" w:after="0" w:line="264" w:lineRule="auto"/>
              <w:jc w:val="center"/>
              <w:rPr>
                <w:rFonts w:hint="eastAsia" w:ascii="仿宋" w:hAnsi="仿宋" w:eastAsia="仿宋" w:cs="仿宋"/>
                <w:sz w:val="20"/>
                <w:szCs w:val="20"/>
              </w:rPr>
            </w:pPr>
          </w:p>
        </w:tc>
        <w:tc>
          <w:tcPr>
            <w:tcW w:w="963" w:type="dxa"/>
            <w:vMerge w:val="restart"/>
            <w:vAlign w:val="center"/>
          </w:tcPr>
          <w:p w14:paraId="49BB1696">
            <w:pPr>
              <w:spacing w:before="0" w:after="0" w:line="264" w:lineRule="auto"/>
              <w:jc w:val="center"/>
              <w:rPr>
                <w:rFonts w:hint="eastAsia" w:ascii="仿宋" w:hAnsi="仿宋" w:eastAsia="仿宋" w:cs="仿宋"/>
                <w:sz w:val="20"/>
                <w:szCs w:val="20"/>
              </w:rPr>
            </w:pPr>
          </w:p>
        </w:tc>
        <w:tc>
          <w:tcPr>
            <w:tcW w:w="1028" w:type="dxa"/>
            <w:vMerge w:val="restart"/>
            <w:vAlign w:val="center"/>
          </w:tcPr>
          <w:p w14:paraId="1DC5F411">
            <w:pPr>
              <w:spacing w:before="0" w:after="0" w:line="264" w:lineRule="auto"/>
              <w:jc w:val="center"/>
              <w:rPr>
                <w:rFonts w:hint="eastAsia" w:ascii="仿宋" w:hAnsi="仿宋" w:eastAsia="仿宋" w:cs="仿宋"/>
                <w:sz w:val="20"/>
                <w:szCs w:val="20"/>
              </w:rPr>
            </w:pPr>
          </w:p>
        </w:tc>
      </w:tr>
      <w:tr w14:paraId="7E6ED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45110810">
            <w:pPr>
              <w:spacing w:after="0" w:line="240" w:lineRule="auto"/>
              <w:rPr>
                <w:rFonts w:hint="eastAsia" w:ascii="仿宋" w:hAnsi="仿宋" w:eastAsia="仿宋" w:cs="仿宋"/>
                <w:sz w:val="20"/>
                <w:szCs w:val="20"/>
              </w:rPr>
            </w:pPr>
          </w:p>
        </w:tc>
        <w:tc>
          <w:tcPr>
            <w:tcW w:w="1524" w:type="dxa"/>
            <w:vMerge w:val="continue"/>
          </w:tcPr>
          <w:p w14:paraId="2990635A">
            <w:pPr>
              <w:spacing w:after="0" w:line="240" w:lineRule="auto"/>
              <w:rPr>
                <w:rFonts w:hint="eastAsia" w:ascii="仿宋" w:hAnsi="仿宋" w:eastAsia="仿宋" w:cs="仿宋"/>
                <w:sz w:val="20"/>
                <w:szCs w:val="20"/>
              </w:rPr>
            </w:pPr>
          </w:p>
        </w:tc>
        <w:tc>
          <w:tcPr>
            <w:tcW w:w="5790" w:type="dxa"/>
            <w:vAlign w:val="center"/>
          </w:tcPr>
          <w:p w14:paraId="7D9E65F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撤销项目归档由监理人员发起、总监代表、总监审批，审批通过后将移动到我的项目中展示、填报</w:t>
            </w:r>
          </w:p>
        </w:tc>
        <w:tc>
          <w:tcPr>
            <w:tcW w:w="1381" w:type="dxa"/>
            <w:vAlign w:val="center"/>
          </w:tcPr>
          <w:p w14:paraId="4347E801">
            <w:pPr>
              <w:spacing w:before="0" w:after="0" w:line="264" w:lineRule="auto"/>
              <w:jc w:val="center"/>
              <w:rPr>
                <w:rFonts w:hint="eastAsia" w:ascii="仿宋" w:hAnsi="仿宋" w:eastAsia="仿宋" w:cs="仿宋"/>
                <w:sz w:val="20"/>
                <w:szCs w:val="20"/>
              </w:rPr>
            </w:pPr>
          </w:p>
        </w:tc>
        <w:tc>
          <w:tcPr>
            <w:tcW w:w="1409" w:type="dxa"/>
            <w:vAlign w:val="center"/>
          </w:tcPr>
          <w:p w14:paraId="5AE28908">
            <w:pPr>
              <w:spacing w:before="0" w:after="0" w:line="264" w:lineRule="auto"/>
              <w:jc w:val="center"/>
              <w:rPr>
                <w:rFonts w:hint="eastAsia" w:ascii="仿宋" w:hAnsi="仿宋" w:eastAsia="仿宋" w:cs="仿宋"/>
                <w:sz w:val="20"/>
                <w:szCs w:val="20"/>
              </w:rPr>
            </w:pPr>
          </w:p>
        </w:tc>
        <w:tc>
          <w:tcPr>
            <w:tcW w:w="963" w:type="dxa"/>
            <w:vMerge w:val="continue"/>
          </w:tcPr>
          <w:p w14:paraId="3C995003">
            <w:pPr>
              <w:spacing w:after="0" w:line="240" w:lineRule="auto"/>
              <w:rPr>
                <w:rFonts w:hint="eastAsia" w:ascii="仿宋" w:hAnsi="仿宋" w:eastAsia="仿宋" w:cs="仿宋"/>
                <w:sz w:val="20"/>
                <w:szCs w:val="20"/>
              </w:rPr>
            </w:pPr>
          </w:p>
        </w:tc>
        <w:tc>
          <w:tcPr>
            <w:tcW w:w="1028" w:type="dxa"/>
            <w:vMerge w:val="continue"/>
          </w:tcPr>
          <w:p w14:paraId="3F54E7EA">
            <w:pPr>
              <w:spacing w:after="0" w:line="240" w:lineRule="auto"/>
              <w:rPr>
                <w:rFonts w:hint="eastAsia" w:ascii="仿宋" w:hAnsi="仿宋" w:eastAsia="仿宋" w:cs="仿宋"/>
                <w:sz w:val="20"/>
                <w:szCs w:val="20"/>
              </w:rPr>
            </w:pPr>
          </w:p>
        </w:tc>
      </w:tr>
      <w:tr w14:paraId="2595C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0FF9D8F2">
            <w:pPr>
              <w:spacing w:after="0" w:line="240" w:lineRule="auto"/>
              <w:rPr>
                <w:rFonts w:hint="eastAsia" w:ascii="仿宋" w:hAnsi="仿宋" w:eastAsia="仿宋" w:cs="仿宋"/>
                <w:sz w:val="20"/>
                <w:szCs w:val="20"/>
              </w:rPr>
            </w:pPr>
          </w:p>
        </w:tc>
        <w:tc>
          <w:tcPr>
            <w:tcW w:w="1524" w:type="dxa"/>
            <w:vMerge w:val="continue"/>
          </w:tcPr>
          <w:p w14:paraId="245624B1">
            <w:pPr>
              <w:spacing w:after="0" w:line="240" w:lineRule="auto"/>
              <w:rPr>
                <w:rFonts w:hint="eastAsia" w:ascii="仿宋" w:hAnsi="仿宋" w:eastAsia="仿宋" w:cs="仿宋"/>
                <w:sz w:val="20"/>
                <w:szCs w:val="20"/>
              </w:rPr>
            </w:pPr>
          </w:p>
        </w:tc>
        <w:tc>
          <w:tcPr>
            <w:tcW w:w="5790" w:type="dxa"/>
            <w:vAlign w:val="center"/>
          </w:tcPr>
          <w:p w14:paraId="6D3F19B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支持多级用户权限管理，包括管理员、监理人员、总监代表、项目总监、管理层等角色。查询、导出速度≤3S</w:t>
            </w:r>
          </w:p>
        </w:tc>
        <w:tc>
          <w:tcPr>
            <w:tcW w:w="1381" w:type="dxa"/>
            <w:vAlign w:val="center"/>
          </w:tcPr>
          <w:p w14:paraId="4826B414">
            <w:pPr>
              <w:spacing w:before="0" w:after="0" w:line="264" w:lineRule="auto"/>
              <w:jc w:val="center"/>
              <w:rPr>
                <w:rFonts w:hint="eastAsia" w:ascii="仿宋" w:hAnsi="仿宋" w:eastAsia="仿宋" w:cs="仿宋"/>
                <w:sz w:val="20"/>
                <w:szCs w:val="20"/>
              </w:rPr>
            </w:pPr>
          </w:p>
        </w:tc>
        <w:tc>
          <w:tcPr>
            <w:tcW w:w="1409" w:type="dxa"/>
            <w:vAlign w:val="center"/>
          </w:tcPr>
          <w:p w14:paraId="1E258645">
            <w:pPr>
              <w:spacing w:before="0" w:after="0" w:line="264" w:lineRule="auto"/>
              <w:jc w:val="center"/>
              <w:rPr>
                <w:rFonts w:hint="eastAsia" w:ascii="仿宋" w:hAnsi="仿宋" w:eastAsia="仿宋" w:cs="仿宋"/>
                <w:sz w:val="20"/>
                <w:szCs w:val="20"/>
              </w:rPr>
            </w:pPr>
          </w:p>
        </w:tc>
        <w:tc>
          <w:tcPr>
            <w:tcW w:w="963" w:type="dxa"/>
            <w:vMerge w:val="continue"/>
          </w:tcPr>
          <w:p w14:paraId="0BEE8EC6">
            <w:pPr>
              <w:spacing w:after="0" w:line="240" w:lineRule="auto"/>
              <w:rPr>
                <w:rFonts w:hint="eastAsia" w:ascii="仿宋" w:hAnsi="仿宋" w:eastAsia="仿宋" w:cs="仿宋"/>
                <w:sz w:val="20"/>
                <w:szCs w:val="20"/>
              </w:rPr>
            </w:pPr>
          </w:p>
        </w:tc>
        <w:tc>
          <w:tcPr>
            <w:tcW w:w="1028" w:type="dxa"/>
            <w:vMerge w:val="continue"/>
          </w:tcPr>
          <w:p w14:paraId="74E49A73">
            <w:pPr>
              <w:spacing w:after="0" w:line="240" w:lineRule="auto"/>
              <w:rPr>
                <w:rFonts w:hint="eastAsia" w:ascii="仿宋" w:hAnsi="仿宋" w:eastAsia="仿宋" w:cs="仿宋"/>
                <w:sz w:val="20"/>
                <w:szCs w:val="20"/>
              </w:rPr>
            </w:pPr>
          </w:p>
        </w:tc>
      </w:tr>
      <w:tr w14:paraId="4DEAF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7" w:type="dxa"/>
            <w:gridSpan w:val="2"/>
            <w:vAlign w:val="center"/>
          </w:tcPr>
          <w:p w14:paraId="7BA386E6">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工作量构成：</w:t>
            </w:r>
          </w:p>
        </w:tc>
        <w:tc>
          <w:tcPr>
            <w:tcW w:w="10571" w:type="dxa"/>
            <w:gridSpan w:val="5"/>
            <w:vAlign w:val="center"/>
          </w:tcPr>
          <w:p w14:paraId="6ED6046C">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PECMS模块（对内）</w:t>
            </w:r>
          </w:p>
        </w:tc>
      </w:tr>
      <w:tr w14:paraId="68CF0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Align w:val="center"/>
          </w:tcPr>
          <w:p w14:paraId="0C13C27F">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序</w:t>
            </w:r>
          </w:p>
          <w:p w14:paraId="627A6B8B">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号</w:t>
            </w:r>
          </w:p>
        </w:tc>
        <w:tc>
          <w:tcPr>
            <w:tcW w:w="1524" w:type="dxa"/>
            <w:vAlign w:val="center"/>
          </w:tcPr>
          <w:p w14:paraId="2B247B45">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功能模块</w:t>
            </w:r>
          </w:p>
        </w:tc>
        <w:tc>
          <w:tcPr>
            <w:tcW w:w="5790" w:type="dxa"/>
            <w:vAlign w:val="center"/>
          </w:tcPr>
          <w:p w14:paraId="573DE5E1">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功能点描述</w:t>
            </w:r>
          </w:p>
        </w:tc>
        <w:tc>
          <w:tcPr>
            <w:tcW w:w="1381" w:type="dxa"/>
            <w:vAlign w:val="center"/>
          </w:tcPr>
          <w:p w14:paraId="4018F734">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人工日/数</w:t>
            </w:r>
          </w:p>
          <w:p w14:paraId="73BEAC6E">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量</w:t>
            </w:r>
          </w:p>
        </w:tc>
        <w:tc>
          <w:tcPr>
            <w:tcW w:w="1409" w:type="dxa"/>
            <w:vAlign w:val="center"/>
          </w:tcPr>
          <w:p w14:paraId="1ACE91AF">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单价（元）</w:t>
            </w:r>
          </w:p>
        </w:tc>
        <w:tc>
          <w:tcPr>
            <w:tcW w:w="963" w:type="dxa"/>
            <w:vAlign w:val="center"/>
          </w:tcPr>
          <w:p w14:paraId="65DD21AA">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小计</w:t>
            </w:r>
          </w:p>
          <w:p w14:paraId="062316CE">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（元）</w:t>
            </w:r>
          </w:p>
        </w:tc>
        <w:tc>
          <w:tcPr>
            <w:tcW w:w="1028" w:type="dxa"/>
            <w:vAlign w:val="center"/>
          </w:tcPr>
          <w:p w14:paraId="2B56C68F">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备</w:t>
            </w:r>
          </w:p>
          <w:p w14:paraId="5A566706">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注</w:t>
            </w:r>
          </w:p>
        </w:tc>
      </w:tr>
      <w:tr w14:paraId="7427C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1CA6ECB2">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1</w:t>
            </w:r>
          </w:p>
        </w:tc>
        <w:tc>
          <w:tcPr>
            <w:tcW w:w="1524" w:type="dxa"/>
            <w:vMerge w:val="restart"/>
            <w:vAlign w:val="center"/>
          </w:tcPr>
          <w:p w14:paraId="3254CD11">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派遣单</w:t>
            </w:r>
          </w:p>
        </w:tc>
        <w:tc>
          <w:tcPr>
            <w:tcW w:w="5790" w:type="dxa"/>
            <w:vAlign w:val="center"/>
          </w:tcPr>
          <w:p w14:paraId="5C165D7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总监代表变更，由总监理工程师在我的派单列表页面选择派单发起总监代表变更，现有派单页面展示总监代表改为原总监代表，增加选择新总监代表及手机号，变更原因：文本录入，生效时间，上传附件支持PDF、WORD、图片等，分别由原总监代表、新总监代表审批，提交派单状态为进行中，生效时间之前发起的派单涉及审批可由原总监代表审批，生效时间之后的派单涉及审批可由新总监代表审批，区域经理/技术服务/执行部对这个变更可见，本功能参照现有任务派遣单派遣人员变更来做。</w:t>
            </w:r>
          </w:p>
        </w:tc>
        <w:tc>
          <w:tcPr>
            <w:tcW w:w="1381" w:type="dxa"/>
            <w:vAlign w:val="center"/>
          </w:tcPr>
          <w:p w14:paraId="0F1877AE">
            <w:pPr>
              <w:spacing w:before="0" w:after="0" w:line="264" w:lineRule="auto"/>
              <w:jc w:val="center"/>
              <w:rPr>
                <w:rFonts w:hint="eastAsia" w:ascii="仿宋" w:hAnsi="仿宋" w:eastAsia="仿宋" w:cs="仿宋"/>
                <w:sz w:val="20"/>
                <w:szCs w:val="20"/>
              </w:rPr>
            </w:pPr>
          </w:p>
        </w:tc>
        <w:tc>
          <w:tcPr>
            <w:tcW w:w="1409" w:type="dxa"/>
            <w:vAlign w:val="center"/>
          </w:tcPr>
          <w:p w14:paraId="213BDCF2">
            <w:pPr>
              <w:spacing w:before="0" w:after="0" w:line="264" w:lineRule="auto"/>
              <w:jc w:val="center"/>
              <w:rPr>
                <w:rFonts w:hint="eastAsia" w:ascii="仿宋" w:hAnsi="仿宋" w:eastAsia="仿宋" w:cs="仿宋"/>
                <w:sz w:val="20"/>
                <w:szCs w:val="20"/>
              </w:rPr>
            </w:pPr>
          </w:p>
        </w:tc>
        <w:tc>
          <w:tcPr>
            <w:tcW w:w="963" w:type="dxa"/>
            <w:vMerge w:val="restart"/>
            <w:vAlign w:val="center"/>
          </w:tcPr>
          <w:p w14:paraId="11E5C0BB">
            <w:pPr>
              <w:spacing w:before="0" w:after="0" w:line="264" w:lineRule="auto"/>
              <w:jc w:val="center"/>
              <w:rPr>
                <w:rFonts w:hint="eastAsia" w:ascii="仿宋" w:hAnsi="仿宋" w:eastAsia="仿宋" w:cs="仿宋"/>
                <w:sz w:val="20"/>
                <w:szCs w:val="20"/>
              </w:rPr>
            </w:pPr>
          </w:p>
        </w:tc>
        <w:tc>
          <w:tcPr>
            <w:tcW w:w="1028" w:type="dxa"/>
            <w:vMerge w:val="restart"/>
            <w:vAlign w:val="center"/>
          </w:tcPr>
          <w:p w14:paraId="449C5E2D">
            <w:pPr>
              <w:spacing w:before="0" w:after="0" w:line="264" w:lineRule="auto"/>
              <w:jc w:val="center"/>
              <w:rPr>
                <w:rFonts w:hint="eastAsia" w:ascii="仿宋" w:hAnsi="仿宋" w:eastAsia="仿宋" w:cs="仿宋"/>
                <w:sz w:val="20"/>
                <w:szCs w:val="20"/>
              </w:rPr>
            </w:pPr>
          </w:p>
        </w:tc>
      </w:tr>
      <w:tr w14:paraId="49BBE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108DF897">
            <w:pPr>
              <w:spacing w:after="0" w:line="240" w:lineRule="auto"/>
              <w:rPr>
                <w:rFonts w:hint="eastAsia" w:ascii="仿宋" w:hAnsi="仿宋" w:eastAsia="仿宋" w:cs="仿宋"/>
                <w:sz w:val="20"/>
                <w:szCs w:val="20"/>
              </w:rPr>
            </w:pPr>
          </w:p>
        </w:tc>
        <w:tc>
          <w:tcPr>
            <w:tcW w:w="1524" w:type="dxa"/>
            <w:vMerge w:val="continue"/>
          </w:tcPr>
          <w:p w14:paraId="5EAC8047">
            <w:pPr>
              <w:spacing w:after="0" w:line="240" w:lineRule="auto"/>
              <w:rPr>
                <w:rFonts w:hint="eastAsia" w:ascii="仿宋" w:hAnsi="仿宋" w:eastAsia="仿宋" w:cs="仿宋"/>
                <w:sz w:val="20"/>
                <w:szCs w:val="20"/>
              </w:rPr>
            </w:pPr>
          </w:p>
        </w:tc>
        <w:tc>
          <w:tcPr>
            <w:tcW w:w="5790" w:type="dxa"/>
            <w:vAlign w:val="center"/>
          </w:tcPr>
          <w:p w14:paraId="0EC086A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增加派单人员变更功能，需选择新的派遣人员(必选)、辅助人员(必选)，填写变更原因(必填)；流程由区域经理|技术服务选择自己监管的派单进行发起、经总监代表审批；流程审批通过后需由原派遣人员发起人员交接流程，人员交接审批通过后，派单数据权限由原派遣人转交至新派遣人。支持角色：监理人员、区域经理、技术服务、执行部、总监代表、总监</w:t>
            </w:r>
          </w:p>
        </w:tc>
        <w:tc>
          <w:tcPr>
            <w:tcW w:w="1381" w:type="dxa"/>
            <w:vAlign w:val="center"/>
          </w:tcPr>
          <w:p w14:paraId="605D9627">
            <w:pPr>
              <w:spacing w:before="0" w:after="0" w:line="264" w:lineRule="auto"/>
              <w:jc w:val="center"/>
              <w:rPr>
                <w:rFonts w:hint="eastAsia" w:ascii="仿宋" w:hAnsi="仿宋" w:eastAsia="仿宋" w:cs="仿宋"/>
                <w:sz w:val="20"/>
                <w:szCs w:val="20"/>
              </w:rPr>
            </w:pPr>
          </w:p>
        </w:tc>
        <w:tc>
          <w:tcPr>
            <w:tcW w:w="1409" w:type="dxa"/>
            <w:vAlign w:val="center"/>
          </w:tcPr>
          <w:p w14:paraId="721AFE79">
            <w:pPr>
              <w:spacing w:before="0" w:after="0" w:line="264" w:lineRule="auto"/>
              <w:jc w:val="center"/>
              <w:rPr>
                <w:rFonts w:hint="eastAsia" w:ascii="仿宋" w:hAnsi="仿宋" w:eastAsia="仿宋" w:cs="仿宋"/>
                <w:sz w:val="20"/>
                <w:szCs w:val="20"/>
              </w:rPr>
            </w:pPr>
          </w:p>
        </w:tc>
        <w:tc>
          <w:tcPr>
            <w:tcW w:w="963" w:type="dxa"/>
            <w:vMerge w:val="continue"/>
          </w:tcPr>
          <w:p w14:paraId="2828E122">
            <w:pPr>
              <w:spacing w:after="0" w:line="240" w:lineRule="auto"/>
              <w:rPr>
                <w:rFonts w:hint="eastAsia" w:ascii="仿宋" w:hAnsi="仿宋" w:eastAsia="仿宋" w:cs="仿宋"/>
                <w:sz w:val="20"/>
                <w:szCs w:val="20"/>
              </w:rPr>
            </w:pPr>
          </w:p>
        </w:tc>
        <w:tc>
          <w:tcPr>
            <w:tcW w:w="1028" w:type="dxa"/>
            <w:vMerge w:val="continue"/>
          </w:tcPr>
          <w:p w14:paraId="470D3708">
            <w:pPr>
              <w:spacing w:after="0" w:line="240" w:lineRule="auto"/>
              <w:rPr>
                <w:rFonts w:hint="eastAsia" w:ascii="仿宋" w:hAnsi="仿宋" w:eastAsia="仿宋" w:cs="仿宋"/>
                <w:sz w:val="20"/>
                <w:szCs w:val="20"/>
              </w:rPr>
            </w:pPr>
          </w:p>
        </w:tc>
      </w:tr>
      <w:tr w14:paraId="1CF3B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73EDD01E">
            <w:pPr>
              <w:spacing w:after="0" w:line="240" w:lineRule="auto"/>
              <w:rPr>
                <w:rFonts w:hint="eastAsia" w:ascii="仿宋" w:hAnsi="仿宋" w:eastAsia="仿宋" w:cs="仿宋"/>
                <w:sz w:val="20"/>
                <w:szCs w:val="20"/>
              </w:rPr>
            </w:pPr>
          </w:p>
        </w:tc>
        <w:tc>
          <w:tcPr>
            <w:tcW w:w="1524" w:type="dxa"/>
            <w:vMerge w:val="continue"/>
          </w:tcPr>
          <w:p w14:paraId="4B97CEB1">
            <w:pPr>
              <w:spacing w:after="0" w:line="240" w:lineRule="auto"/>
              <w:rPr>
                <w:rFonts w:hint="eastAsia" w:ascii="仿宋" w:hAnsi="仿宋" w:eastAsia="仿宋" w:cs="仿宋"/>
                <w:sz w:val="20"/>
                <w:szCs w:val="20"/>
              </w:rPr>
            </w:pPr>
          </w:p>
        </w:tc>
        <w:tc>
          <w:tcPr>
            <w:tcW w:w="5790" w:type="dxa"/>
            <w:vAlign w:val="center"/>
          </w:tcPr>
          <w:p w14:paraId="6C13035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监理人员/区域经理/技术服务/执行部/总监代表/项目总监-我的派单列表页面增加派单全周期人员变更按钮，在列表勾选一个派单后点击按钮可查看派单全周期产生的人员变更情况(需明确人员参与派单的具体时间段；包含派单其他信息变更、派单重启、派单人员变更流程导致的人员变更)，查看内容包含原派遣人员、原辅助人员，新派遣人员、新辅助人员、人员变更审批通过时间。点击每个变更数据，可下钻至人员变更的原始数据，包含派单其他信息变更、派单重启、派单人员变更信息</w:t>
            </w:r>
          </w:p>
        </w:tc>
        <w:tc>
          <w:tcPr>
            <w:tcW w:w="1381" w:type="dxa"/>
            <w:vAlign w:val="center"/>
          </w:tcPr>
          <w:p w14:paraId="4554A86A">
            <w:pPr>
              <w:spacing w:before="0" w:after="0" w:line="264" w:lineRule="auto"/>
              <w:jc w:val="center"/>
              <w:rPr>
                <w:rFonts w:hint="eastAsia" w:ascii="仿宋" w:hAnsi="仿宋" w:eastAsia="仿宋" w:cs="仿宋"/>
                <w:sz w:val="20"/>
                <w:szCs w:val="20"/>
              </w:rPr>
            </w:pPr>
          </w:p>
        </w:tc>
        <w:tc>
          <w:tcPr>
            <w:tcW w:w="1409" w:type="dxa"/>
            <w:vAlign w:val="center"/>
          </w:tcPr>
          <w:p w14:paraId="25EE3081">
            <w:pPr>
              <w:spacing w:before="0" w:after="0" w:line="264" w:lineRule="auto"/>
              <w:jc w:val="center"/>
              <w:rPr>
                <w:rFonts w:hint="eastAsia" w:ascii="仿宋" w:hAnsi="仿宋" w:eastAsia="仿宋" w:cs="仿宋"/>
                <w:sz w:val="20"/>
                <w:szCs w:val="20"/>
              </w:rPr>
            </w:pPr>
          </w:p>
        </w:tc>
        <w:tc>
          <w:tcPr>
            <w:tcW w:w="963" w:type="dxa"/>
            <w:vMerge w:val="continue"/>
          </w:tcPr>
          <w:p w14:paraId="121E1F92">
            <w:pPr>
              <w:spacing w:after="0" w:line="240" w:lineRule="auto"/>
              <w:rPr>
                <w:rFonts w:hint="eastAsia" w:ascii="仿宋" w:hAnsi="仿宋" w:eastAsia="仿宋" w:cs="仿宋"/>
                <w:sz w:val="20"/>
                <w:szCs w:val="20"/>
              </w:rPr>
            </w:pPr>
          </w:p>
        </w:tc>
        <w:tc>
          <w:tcPr>
            <w:tcW w:w="1028" w:type="dxa"/>
            <w:vMerge w:val="continue"/>
          </w:tcPr>
          <w:p w14:paraId="24D930ED">
            <w:pPr>
              <w:spacing w:after="0" w:line="240" w:lineRule="auto"/>
              <w:rPr>
                <w:rFonts w:hint="eastAsia" w:ascii="仿宋" w:hAnsi="仿宋" w:eastAsia="仿宋" w:cs="仿宋"/>
                <w:sz w:val="20"/>
                <w:szCs w:val="20"/>
              </w:rPr>
            </w:pPr>
          </w:p>
        </w:tc>
      </w:tr>
      <w:tr w14:paraId="30154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096B5972">
            <w:pPr>
              <w:spacing w:after="0" w:line="240" w:lineRule="auto"/>
              <w:rPr>
                <w:rFonts w:hint="eastAsia" w:ascii="仿宋" w:hAnsi="仿宋" w:eastAsia="仿宋" w:cs="仿宋"/>
                <w:sz w:val="20"/>
                <w:szCs w:val="20"/>
              </w:rPr>
            </w:pPr>
          </w:p>
        </w:tc>
        <w:tc>
          <w:tcPr>
            <w:tcW w:w="1524" w:type="dxa"/>
            <w:vMerge w:val="continue"/>
          </w:tcPr>
          <w:p w14:paraId="2ECDB8A5">
            <w:pPr>
              <w:spacing w:after="0" w:line="240" w:lineRule="auto"/>
              <w:rPr>
                <w:rFonts w:hint="eastAsia" w:ascii="仿宋" w:hAnsi="仿宋" w:eastAsia="仿宋" w:cs="仿宋"/>
                <w:sz w:val="20"/>
                <w:szCs w:val="20"/>
              </w:rPr>
            </w:pPr>
          </w:p>
        </w:tc>
        <w:tc>
          <w:tcPr>
            <w:tcW w:w="5790" w:type="dxa"/>
            <w:vAlign w:val="center"/>
          </w:tcPr>
          <w:p w14:paraId="74F872E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综合管理平台的打卡勾选派单时，增加用户当前位置与派单位置校验功能，需与至少一个派单地址在同区内才允许打卡。</w:t>
            </w:r>
          </w:p>
        </w:tc>
        <w:tc>
          <w:tcPr>
            <w:tcW w:w="1381" w:type="dxa"/>
            <w:vAlign w:val="center"/>
          </w:tcPr>
          <w:p w14:paraId="5A888F24">
            <w:pPr>
              <w:spacing w:before="0" w:after="0" w:line="264" w:lineRule="auto"/>
              <w:jc w:val="center"/>
              <w:rPr>
                <w:rFonts w:hint="eastAsia" w:ascii="仿宋" w:hAnsi="仿宋" w:eastAsia="仿宋" w:cs="仿宋"/>
                <w:sz w:val="20"/>
                <w:szCs w:val="20"/>
              </w:rPr>
            </w:pPr>
          </w:p>
        </w:tc>
        <w:tc>
          <w:tcPr>
            <w:tcW w:w="1409" w:type="dxa"/>
            <w:vAlign w:val="center"/>
          </w:tcPr>
          <w:p w14:paraId="7A368D69">
            <w:pPr>
              <w:spacing w:before="0" w:after="0" w:line="264" w:lineRule="auto"/>
              <w:jc w:val="center"/>
              <w:rPr>
                <w:rFonts w:hint="eastAsia" w:ascii="仿宋" w:hAnsi="仿宋" w:eastAsia="仿宋" w:cs="仿宋"/>
                <w:sz w:val="20"/>
                <w:szCs w:val="20"/>
              </w:rPr>
            </w:pPr>
          </w:p>
        </w:tc>
        <w:tc>
          <w:tcPr>
            <w:tcW w:w="963" w:type="dxa"/>
            <w:vMerge w:val="continue"/>
          </w:tcPr>
          <w:p w14:paraId="1A8DF0C4">
            <w:pPr>
              <w:spacing w:after="0" w:line="240" w:lineRule="auto"/>
              <w:rPr>
                <w:rFonts w:hint="eastAsia" w:ascii="仿宋" w:hAnsi="仿宋" w:eastAsia="仿宋" w:cs="仿宋"/>
                <w:sz w:val="20"/>
                <w:szCs w:val="20"/>
              </w:rPr>
            </w:pPr>
          </w:p>
        </w:tc>
        <w:tc>
          <w:tcPr>
            <w:tcW w:w="1028" w:type="dxa"/>
            <w:vMerge w:val="continue"/>
          </w:tcPr>
          <w:p w14:paraId="77096D9B">
            <w:pPr>
              <w:spacing w:after="0" w:line="240" w:lineRule="auto"/>
              <w:rPr>
                <w:rFonts w:hint="eastAsia" w:ascii="仿宋" w:hAnsi="仿宋" w:eastAsia="仿宋" w:cs="仿宋"/>
                <w:sz w:val="20"/>
                <w:szCs w:val="20"/>
              </w:rPr>
            </w:pPr>
          </w:p>
        </w:tc>
      </w:tr>
      <w:tr w14:paraId="29708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0C5EA61A">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2</w:t>
            </w:r>
          </w:p>
        </w:tc>
        <w:tc>
          <w:tcPr>
            <w:tcW w:w="1524" w:type="dxa"/>
            <w:vMerge w:val="restart"/>
            <w:vAlign w:val="center"/>
          </w:tcPr>
          <w:p w14:paraId="22C4319C">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全局消息功能</w:t>
            </w:r>
          </w:p>
        </w:tc>
        <w:tc>
          <w:tcPr>
            <w:tcW w:w="5790" w:type="dxa"/>
            <w:vAlign w:val="center"/>
          </w:tcPr>
          <w:p w14:paraId="3E69D94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系统消息集成app消息推送；增加消息类型管理，app用户可设置需要通知的消息类型，按需推送</w:t>
            </w:r>
          </w:p>
        </w:tc>
        <w:tc>
          <w:tcPr>
            <w:tcW w:w="1381" w:type="dxa"/>
            <w:vAlign w:val="center"/>
          </w:tcPr>
          <w:p w14:paraId="4A033C19">
            <w:pPr>
              <w:spacing w:before="0" w:after="0" w:line="264" w:lineRule="auto"/>
              <w:jc w:val="center"/>
              <w:rPr>
                <w:rFonts w:hint="eastAsia" w:ascii="仿宋" w:hAnsi="仿宋" w:eastAsia="仿宋" w:cs="仿宋"/>
                <w:sz w:val="20"/>
                <w:szCs w:val="20"/>
              </w:rPr>
            </w:pPr>
          </w:p>
        </w:tc>
        <w:tc>
          <w:tcPr>
            <w:tcW w:w="1409" w:type="dxa"/>
            <w:vAlign w:val="center"/>
          </w:tcPr>
          <w:p w14:paraId="0FC7749A">
            <w:pPr>
              <w:spacing w:before="0" w:after="0" w:line="264" w:lineRule="auto"/>
              <w:jc w:val="center"/>
              <w:rPr>
                <w:rFonts w:hint="eastAsia" w:ascii="仿宋" w:hAnsi="仿宋" w:eastAsia="仿宋" w:cs="仿宋"/>
                <w:sz w:val="20"/>
                <w:szCs w:val="20"/>
              </w:rPr>
            </w:pPr>
          </w:p>
        </w:tc>
        <w:tc>
          <w:tcPr>
            <w:tcW w:w="963" w:type="dxa"/>
            <w:vMerge w:val="restart"/>
            <w:vAlign w:val="center"/>
          </w:tcPr>
          <w:p w14:paraId="25F7B5E7">
            <w:pPr>
              <w:spacing w:before="0" w:after="0" w:line="264" w:lineRule="auto"/>
              <w:jc w:val="center"/>
              <w:rPr>
                <w:rFonts w:hint="eastAsia" w:ascii="仿宋" w:hAnsi="仿宋" w:eastAsia="仿宋" w:cs="仿宋"/>
                <w:sz w:val="20"/>
                <w:szCs w:val="20"/>
              </w:rPr>
            </w:pPr>
          </w:p>
        </w:tc>
        <w:tc>
          <w:tcPr>
            <w:tcW w:w="1028" w:type="dxa"/>
            <w:vMerge w:val="restart"/>
            <w:vAlign w:val="center"/>
          </w:tcPr>
          <w:p w14:paraId="5345C061">
            <w:pPr>
              <w:spacing w:before="0" w:after="0" w:line="264" w:lineRule="auto"/>
              <w:jc w:val="center"/>
              <w:rPr>
                <w:rFonts w:hint="eastAsia" w:ascii="仿宋" w:hAnsi="仿宋" w:eastAsia="仿宋" w:cs="仿宋"/>
                <w:sz w:val="20"/>
                <w:szCs w:val="20"/>
              </w:rPr>
            </w:pPr>
          </w:p>
        </w:tc>
      </w:tr>
      <w:tr w14:paraId="2166A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44DA318E">
            <w:pPr>
              <w:spacing w:after="0" w:line="240" w:lineRule="auto"/>
              <w:rPr>
                <w:rFonts w:hint="eastAsia" w:ascii="仿宋" w:hAnsi="仿宋" w:eastAsia="仿宋" w:cs="仿宋"/>
                <w:sz w:val="20"/>
                <w:szCs w:val="20"/>
              </w:rPr>
            </w:pPr>
          </w:p>
        </w:tc>
        <w:tc>
          <w:tcPr>
            <w:tcW w:w="1524" w:type="dxa"/>
            <w:vMerge w:val="continue"/>
          </w:tcPr>
          <w:p w14:paraId="2B6BD2BA">
            <w:pPr>
              <w:spacing w:after="0" w:line="240" w:lineRule="auto"/>
              <w:rPr>
                <w:rFonts w:hint="eastAsia" w:ascii="仿宋" w:hAnsi="仿宋" w:eastAsia="仿宋" w:cs="仿宋"/>
                <w:sz w:val="20"/>
                <w:szCs w:val="20"/>
              </w:rPr>
            </w:pPr>
          </w:p>
        </w:tc>
        <w:tc>
          <w:tcPr>
            <w:tcW w:w="5790" w:type="dxa"/>
            <w:vAlign w:val="center"/>
          </w:tcPr>
          <w:p w14:paraId="12C3D33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pecms、安全平台、综合管理平台增加门户消息接口调用，将消息内容、消息类型等信息推送至门户，由门户统一进行app消息推送(不含泛微二开部分工作量)</w:t>
            </w:r>
          </w:p>
        </w:tc>
        <w:tc>
          <w:tcPr>
            <w:tcW w:w="1381" w:type="dxa"/>
            <w:vAlign w:val="center"/>
          </w:tcPr>
          <w:p w14:paraId="34F6ACF1">
            <w:pPr>
              <w:spacing w:before="0" w:after="0" w:line="264" w:lineRule="auto"/>
              <w:jc w:val="center"/>
              <w:rPr>
                <w:rFonts w:hint="eastAsia" w:ascii="仿宋" w:hAnsi="仿宋" w:eastAsia="仿宋" w:cs="仿宋"/>
                <w:sz w:val="20"/>
                <w:szCs w:val="20"/>
              </w:rPr>
            </w:pPr>
          </w:p>
        </w:tc>
        <w:tc>
          <w:tcPr>
            <w:tcW w:w="1409" w:type="dxa"/>
            <w:vAlign w:val="center"/>
          </w:tcPr>
          <w:p w14:paraId="4883C417">
            <w:pPr>
              <w:spacing w:before="0" w:after="0" w:line="264" w:lineRule="auto"/>
              <w:jc w:val="center"/>
              <w:rPr>
                <w:rFonts w:hint="eastAsia" w:ascii="仿宋" w:hAnsi="仿宋" w:eastAsia="仿宋" w:cs="仿宋"/>
                <w:sz w:val="20"/>
                <w:szCs w:val="20"/>
              </w:rPr>
            </w:pPr>
          </w:p>
        </w:tc>
        <w:tc>
          <w:tcPr>
            <w:tcW w:w="963" w:type="dxa"/>
            <w:vMerge w:val="continue"/>
          </w:tcPr>
          <w:p w14:paraId="0CD7A0D9">
            <w:pPr>
              <w:spacing w:after="0" w:line="240" w:lineRule="auto"/>
              <w:rPr>
                <w:rFonts w:hint="eastAsia" w:ascii="仿宋" w:hAnsi="仿宋" w:eastAsia="仿宋" w:cs="仿宋"/>
                <w:sz w:val="20"/>
                <w:szCs w:val="20"/>
              </w:rPr>
            </w:pPr>
          </w:p>
        </w:tc>
        <w:tc>
          <w:tcPr>
            <w:tcW w:w="1028" w:type="dxa"/>
            <w:vMerge w:val="continue"/>
          </w:tcPr>
          <w:p w14:paraId="2C5BEB99">
            <w:pPr>
              <w:spacing w:after="0" w:line="240" w:lineRule="auto"/>
              <w:rPr>
                <w:rFonts w:hint="eastAsia" w:ascii="仿宋" w:hAnsi="仿宋" w:eastAsia="仿宋" w:cs="仿宋"/>
                <w:sz w:val="20"/>
                <w:szCs w:val="20"/>
              </w:rPr>
            </w:pPr>
          </w:p>
        </w:tc>
      </w:tr>
      <w:tr w14:paraId="62C2F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Align w:val="center"/>
          </w:tcPr>
          <w:p w14:paraId="28A7B5DD">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3</w:t>
            </w:r>
          </w:p>
        </w:tc>
        <w:tc>
          <w:tcPr>
            <w:tcW w:w="1524" w:type="dxa"/>
            <w:vAlign w:val="center"/>
          </w:tcPr>
          <w:p w14:paraId="2F0AB6AF">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派单变更历史管理</w:t>
            </w:r>
          </w:p>
        </w:tc>
        <w:tc>
          <w:tcPr>
            <w:tcW w:w="5790" w:type="dxa"/>
            <w:vAlign w:val="center"/>
          </w:tcPr>
          <w:p w14:paraId="2175ACB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增加派单变更(其他信息变更、合同号变更、派单重启)信息监听，包含合同号变更、人员变更、计划时间变更</w:t>
            </w:r>
          </w:p>
        </w:tc>
        <w:tc>
          <w:tcPr>
            <w:tcW w:w="1381" w:type="dxa"/>
            <w:vAlign w:val="center"/>
          </w:tcPr>
          <w:p w14:paraId="168F22C1">
            <w:pPr>
              <w:spacing w:before="0" w:after="0" w:line="264" w:lineRule="auto"/>
              <w:jc w:val="center"/>
              <w:rPr>
                <w:rFonts w:hint="eastAsia" w:ascii="仿宋" w:hAnsi="仿宋" w:eastAsia="仿宋" w:cs="仿宋"/>
                <w:sz w:val="20"/>
                <w:szCs w:val="20"/>
              </w:rPr>
            </w:pPr>
          </w:p>
        </w:tc>
        <w:tc>
          <w:tcPr>
            <w:tcW w:w="1409" w:type="dxa"/>
            <w:vAlign w:val="center"/>
          </w:tcPr>
          <w:p w14:paraId="664BFC34">
            <w:pPr>
              <w:spacing w:before="0" w:after="0" w:line="264" w:lineRule="auto"/>
              <w:jc w:val="center"/>
              <w:rPr>
                <w:rFonts w:hint="eastAsia" w:ascii="仿宋" w:hAnsi="仿宋" w:eastAsia="仿宋" w:cs="仿宋"/>
                <w:sz w:val="20"/>
                <w:szCs w:val="20"/>
              </w:rPr>
            </w:pPr>
          </w:p>
        </w:tc>
        <w:tc>
          <w:tcPr>
            <w:tcW w:w="963" w:type="dxa"/>
            <w:vAlign w:val="center"/>
          </w:tcPr>
          <w:p w14:paraId="2E92DA0D">
            <w:pPr>
              <w:spacing w:before="0" w:after="0" w:line="264" w:lineRule="auto"/>
              <w:jc w:val="center"/>
              <w:rPr>
                <w:rFonts w:hint="eastAsia" w:ascii="仿宋" w:hAnsi="仿宋" w:eastAsia="仿宋" w:cs="仿宋"/>
                <w:sz w:val="20"/>
                <w:szCs w:val="20"/>
              </w:rPr>
            </w:pPr>
          </w:p>
        </w:tc>
        <w:tc>
          <w:tcPr>
            <w:tcW w:w="1028" w:type="dxa"/>
            <w:vAlign w:val="center"/>
          </w:tcPr>
          <w:p w14:paraId="63C26B1A">
            <w:pPr>
              <w:spacing w:before="0" w:after="0" w:line="264" w:lineRule="auto"/>
              <w:jc w:val="center"/>
              <w:rPr>
                <w:rFonts w:hint="eastAsia" w:ascii="仿宋" w:hAnsi="仿宋" w:eastAsia="仿宋" w:cs="仿宋"/>
                <w:sz w:val="20"/>
                <w:szCs w:val="20"/>
              </w:rPr>
            </w:pPr>
          </w:p>
        </w:tc>
      </w:tr>
      <w:tr w14:paraId="3B0DF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Align w:val="center"/>
          </w:tcPr>
          <w:p w14:paraId="1B5D77C0">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4</w:t>
            </w:r>
          </w:p>
        </w:tc>
        <w:tc>
          <w:tcPr>
            <w:tcW w:w="1524" w:type="dxa"/>
            <w:vAlign w:val="center"/>
          </w:tcPr>
          <w:p w14:paraId="13414EF3">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用户管理</w:t>
            </w:r>
          </w:p>
        </w:tc>
        <w:tc>
          <w:tcPr>
            <w:tcW w:w="5790" w:type="dxa"/>
            <w:vAlign w:val="center"/>
          </w:tcPr>
          <w:p w14:paraId="370D5E9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增加上级ERP唯一标识字段，新增、修改时需维护</w:t>
            </w:r>
          </w:p>
        </w:tc>
        <w:tc>
          <w:tcPr>
            <w:tcW w:w="1381" w:type="dxa"/>
            <w:vAlign w:val="center"/>
          </w:tcPr>
          <w:p w14:paraId="162CF9D1">
            <w:pPr>
              <w:spacing w:before="0" w:after="0" w:line="264" w:lineRule="auto"/>
              <w:jc w:val="center"/>
              <w:rPr>
                <w:rFonts w:hint="eastAsia" w:ascii="仿宋" w:hAnsi="仿宋" w:eastAsia="仿宋" w:cs="仿宋"/>
                <w:sz w:val="20"/>
                <w:szCs w:val="20"/>
              </w:rPr>
            </w:pPr>
          </w:p>
        </w:tc>
        <w:tc>
          <w:tcPr>
            <w:tcW w:w="1409" w:type="dxa"/>
            <w:vAlign w:val="center"/>
          </w:tcPr>
          <w:p w14:paraId="1B023542">
            <w:pPr>
              <w:spacing w:before="0" w:after="0" w:line="264" w:lineRule="auto"/>
              <w:jc w:val="center"/>
              <w:rPr>
                <w:rFonts w:hint="eastAsia" w:ascii="仿宋" w:hAnsi="仿宋" w:eastAsia="仿宋" w:cs="仿宋"/>
                <w:sz w:val="20"/>
                <w:szCs w:val="20"/>
              </w:rPr>
            </w:pPr>
          </w:p>
        </w:tc>
        <w:tc>
          <w:tcPr>
            <w:tcW w:w="963" w:type="dxa"/>
            <w:vAlign w:val="center"/>
          </w:tcPr>
          <w:p w14:paraId="4742AC69">
            <w:pPr>
              <w:spacing w:before="0" w:after="0" w:line="264" w:lineRule="auto"/>
              <w:jc w:val="center"/>
              <w:rPr>
                <w:rFonts w:hint="eastAsia" w:ascii="仿宋" w:hAnsi="仿宋" w:eastAsia="仿宋" w:cs="仿宋"/>
                <w:sz w:val="20"/>
                <w:szCs w:val="20"/>
              </w:rPr>
            </w:pPr>
          </w:p>
        </w:tc>
        <w:tc>
          <w:tcPr>
            <w:tcW w:w="1028" w:type="dxa"/>
            <w:vAlign w:val="center"/>
          </w:tcPr>
          <w:p w14:paraId="24D82AFC">
            <w:pPr>
              <w:spacing w:before="0" w:after="0" w:line="264" w:lineRule="auto"/>
              <w:jc w:val="center"/>
              <w:rPr>
                <w:rFonts w:hint="eastAsia" w:ascii="仿宋" w:hAnsi="仿宋" w:eastAsia="仿宋" w:cs="仿宋"/>
                <w:sz w:val="20"/>
                <w:szCs w:val="20"/>
              </w:rPr>
            </w:pPr>
          </w:p>
        </w:tc>
      </w:tr>
      <w:tr w14:paraId="4B4AB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Align w:val="center"/>
          </w:tcPr>
          <w:p w14:paraId="063F6792">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5</w:t>
            </w:r>
          </w:p>
        </w:tc>
        <w:tc>
          <w:tcPr>
            <w:tcW w:w="1524" w:type="dxa"/>
            <w:vAlign w:val="center"/>
          </w:tcPr>
          <w:p w14:paraId="666C7EDE">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供应商与技术服务人员管理</w:t>
            </w:r>
          </w:p>
        </w:tc>
        <w:tc>
          <w:tcPr>
            <w:tcW w:w="5790" w:type="dxa"/>
            <w:vAlign w:val="center"/>
          </w:tcPr>
          <w:p w14:paraId="1356984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平台增加供应商角色，管理员可为拥有供应商角色的用户分配技术服务人员(可选数据来源于技术服务部门)</w:t>
            </w:r>
          </w:p>
        </w:tc>
        <w:tc>
          <w:tcPr>
            <w:tcW w:w="1381" w:type="dxa"/>
            <w:vAlign w:val="center"/>
          </w:tcPr>
          <w:p w14:paraId="6968FEF7">
            <w:pPr>
              <w:spacing w:before="0" w:after="0" w:line="264" w:lineRule="auto"/>
              <w:jc w:val="center"/>
              <w:rPr>
                <w:rFonts w:hint="eastAsia" w:ascii="仿宋" w:hAnsi="仿宋" w:eastAsia="仿宋" w:cs="仿宋"/>
                <w:sz w:val="20"/>
                <w:szCs w:val="20"/>
              </w:rPr>
            </w:pPr>
          </w:p>
        </w:tc>
        <w:tc>
          <w:tcPr>
            <w:tcW w:w="1409" w:type="dxa"/>
            <w:vAlign w:val="center"/>
          </w:tcPr>
          <w:p w14:paraId="5EF9A0F8">
            <w:pPr>
              <w:spacing w:before="0" w:after="0" w:line="264" w:lineRule="auto"/>
              <w:jc w:val="center"/>
              <w:rPr>
                <w:rFonts w:hint="eastAsia" w:ascii="仿宋" w:hAnsi="仿宋" w:eastAsia="仿宋" w:cs="仿宋"/>
                <w:sz w:val="20"/>
                <w:szCs w:val="20"/>
              </w:rPr>
            </w:pPr>
          </w:p>
        </w:tc>
        <w:tc>
          <w:tcPr>
            <w:tcW w:w="963" w:type="dxa"/>
            <w:vAlign w:val="center"/>
          </w:tcPr>
          <w:p w14:paraId="45136330">
            <w:pPr>
              <w:spacing w:before="0" w:after="0" w:line="264" w:lineRule="auto"/>
              <w:jc w:val="center"/>
              <w:rPr>
                <w:rFonts w:hint="eastAsia" w:ascii="仿宋" w:hAnsi="仿宋" w:eastAsia="仿宋" w:cs="仿宋"/>
                <w:sz w:val="20"/>
                <w:szCs w:val="20"/>
              </w:rPr>
            </w:pPr>
          </w:p>
        </w:tc>
        <w:tc>
          <w:tcPr>
            <w:tcW w:w="1028" w:type="dxa"/>
            <w:vAlign w:val="center"/>
          </w:tcPr>
          <w:p w14:paraId="295AC6AB">
            <w:pPr>
              <w:spacing w:before="0" w:after="0" w:line="264" w:lineRule="auto"/>
              <w:jc w:val="center"/>
              <w:rPr>
                <w:rFonts w:hint="eastAsia" w:ascii="仿宋" w:hAnsi="仿宋" w:eastAsia="仿宋" w:cs="仿宋"/>
                <w:sz w:val="20"/>
                <w:szCs w:val="20"/>
              </w:rPr>
            </w:pPr>
          </w:p>
        </w:tc>
      </w:tr>
      <w:tr w14:paraId="4A914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Align w:val="center"/>
          </w:tcPr>
          <w:p w14:paraId="63F9DE8C">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6</w:t>
            </w:r>
          </w:p>
        </w:tc>
        <w:tc>
          <w:tcPr>
            <w:tcW w:w="1524" w:type="dxa"/>
            <w:vAlign w:val="center"/>
          </w:tcPr>
          <w:p w14:paraId="6B97FDC1">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技术服务人员考勤管理</w:t>
            </w:r>
          </w:p>
        </w:tc>
        <w:tc>
          <w:tcPr>
            <w:tcW w:w="5790" w:type="dxa"/>
            <w:vAlign w:val="center"/>
          </w:tcPr>
          <w:p w14:paraId="2EDA424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不同供应商账号登录后，可查看分配给自己的技术服务人员以及人员参与派单的明细，提供人员与派单明细导出功能(导出模板待提供)，供应商可在导出的excel中进行考勤填报，填报后将考勤数据导入平台，提供批量提交审批按钮，供应商可勾选多条数据进行提交，提交时系统校验考勤数据与技术服务人员参与派单时间是否冲突，冲突则做出提示并且不允许提交数据，不冲突则提交流程至总监代表、技术服务管理者角色处审批。平台提供填报按钮，点击填报按钮可对某一条技术服务人员参与的派单进行考勤填报，填报后可保存或提交数据。针对审批通过的数据，技术服务管理者角色可进行修改。</w:t>
            </w:r>
          </w:p>
          <w:p w14:paraId="22E8389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需增加查看菜单支持供应商、总监代表、技术服务角色查看权限内的数据。</w:t>
            </w:r>
          </w:p>
        </w:tc>
        <w:tc>
          <w:tcPr>
            <w:tcW w:w="1381" w:type="dxa"/>
            <w:vAlign w:val="center"/>
          </w:tcPr>
          <w:p w14:paraId="59185DC5">
            <w:pPr>
              <w:spacing w:before="0" w:after="0" w:line="264" w:lineRule="auto"/>
              <w:jc w:val="center"/>
              <w:rPr>
                <w:rFonts w:hint="eastAsia" w:ascii="仿宋" w:hAnsi="仿宋" w:eastAsia="仿宋" w:cs="仿宋"/>
                <w:sz w:val="20"/>
                <w:szCs w:val="20"/>
              </w:rPr>
            </w:pPr>
          </w:p>
        </w:tc>
        <w:tc>
          <w:tcPr>
            <w:tcW w:w="1409" w:type="dxa"/>
            <w:vAlign w:val="center"/>
          </w:tcPr>
          <w:p w14:paraId="0B6A4D26">
            <w:pPr>
              <w:spacing w:before="0" w:after="0" w:line="264" w:lineRule="auto"/>
              <w:jc w:val="center"/>
              <w:rPr>
                <w:rFonts w:hint="eastAsia" w:ascii="仿宋" w:hAnsi="仿宋" w:eastAsia="仿宋" w:cs="仿宋"/>
                <w:sz w:val="20"/>
                <w:szCs w:val="20"/>
              </w:rPr>
            </w:pPr>
          </w:p>
        </w:tc>
        <w:tc>
          <w:tcPr>
            <w:tcW w:w="963" w:type="dxa"/>
            <w:vAlign w:val="center"/>
          </w:tcPr>
          <w:p w14:paraId="71998BED">
            <w:pPr>
              <w:spacing w:before="0" w:after="0" w:line="264" w:lineRule="auto"/>
              <w:jc w:val="center"/>
              <w:rPr>
                <w:rFonts w:hint="eastAsia" w:ascii="仿宋" w:hAnsi="仿宋" w:eastAsia="仿宋" w:cs="仿宋"/>
                <w:sz w:val="20"/>
                <w:szCs w:val="20"/>
              </w:rPr>
            </w:pPr>
          </w:p>
        </w:tc>
        <w:tc>
          <w:tcPr>
            <w:tcW w:w="1028" w:type="dxa"/>
            <w:vAlign w:val="center"/>
          </w:tcPr>
          <w:p w14:paraId="5A9F66A6">
            <w:pPr>
              <w:spacing w:before="0" w:after="0" w:line="264" w:lineRule="auto"/>
              <w:jc w:val="center"/>
              <w:rPr>
                <w:rFonts w:hint="eastAsia" w:ascii="仿宋" w:hAnsi="仿宋" w:eastAsia="仿宋" w:cs="仿宋"/>
                <w:sz w:val="20"/>
                <w:szCs w:val="20"/>
              </w:rPr>
            </w:pPr>
          </w:p>
        </w:tc>
      </w:tr>
      <w:tr w14:paraId="17333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Align w:val="center"/>
          </w:tcPr>
          <w:p w14:paraId="28918924">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7</w:t>
            </w:r>
          </w:p>
        </w:tc>
        <w:tc>
          <w:tcPr>
            <w:tcW w:w="1524" w:type="dxa"/>
            <w:vAlign w:val="center"/>
          </w:tcPr>
          <w:p w14:paraId="277CD925">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技术服务人员成本管理</w:t>
            </w:r>
          </w:p>
        </w:tc>
        <w:tc>
          <w:tcPr>
            <w:tcW w:w="5790" w:type="dxa"/>
            <w:vAlign w:val="center"/>
          </w:tcPr>
          <w:p w14:paraId="749BB42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技术服务人员的每月成本由供应商按每人每月xx成本进行填报。提供导出功能，导出人员清单excel后，供应商可在excel中进行成本填报，填报后将excel导入平台完成本月成本填报。填报后批量提交至技术服务管理者处审批。(这里审批后是否允许修改？)</w:t>
            </w:r>
          </w:p>
          <w:p w14:paraId="46C509A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需增加查看菜单支持供应商、技术服务角色查看权限内的数据。</w:t>
            </w:r>
          </w:p>
        </w:tc>
        <w:tc>
          <w:tcPr>
            <w:tcW w:w="1381" w:type="dxa"/>
            <w:vAlign w:val="center"/>
          </w:tcPr>
          <w:p w14:paraId="46A8682C">
            <w:pPr>
              <w:spacing w:before="0" w:after="0" w:line="264" w:lineRule="auto"/>
              <w:jc w:val="center"/>
              <w:rPr>
                <w:rFonts w:hint="eastAsia" w:ascii="仿宋" w:hAnsi="仿宋" w:eastAsia="仿宋" w:cs="仿宋"/>
                <w:sz w:val="20"/>
                <w:szCs w:val="20"/>
              </w:rPr>
            </w:pPr>
          </w:p>
        </w:tc>
        <w:tc>
          <w:tcPr>
            <w:tcW w:w="1409" w:type="dxa"/>
            <w:vAlign w:val="center"/>
          </w:tcPr>
          <w:p w14:paraId="41D9BAC3">
            <w:pPr>
              <w:spacing w:before="0" w:after="0" w:line="264" w:lineRule="auto"/>
              <w:jc w:val="center"/>
              <w:rPr>
                <w:rFonts w:hint="eastAsia" w:ascii="仿宋" w:hAnsi="仿宋" w:eastAsia="仿宋" w:cs="仿宋"/>
                <w:sz w:val="20"/>
                <w:szCs w:val="20"/>
              </w:rPr>
            </w:pPr>
          </w:p>
        </w:tc>
        <w:tc>
          <w:tcPr>
            <w:tcW w:w="963" w:type="dxa"/>
            <w:vAlign w:val="center"/>
          </w:tcPr>
          <w:p w14:paraId="3FDD00F4">
            <w:pPr>
              <w:spacing w:before="0" w:after="0" w:line="264" w:lineRule="auto"/>
              <w:jc w:val="center"/>
              <w:rPr>
                <w:rFonts w:hint="eastAsia" w:ascii="仿宋" w:hAnsi="仿宋" w:eastAsia="仿宋" w:cs="仿宋"/>
                <w:sz w:val="20"/>
                <w:szCs w:val="20"/>
              </w:rPr>
            </w:pPr>
          </w:p>
        </w:tc>
        <w:tc>
          <w:tcPr>
            <w:tcW w:w="1028" w:type="dxa"/>
            <w:vAlign w:val="center"/>
          </w:tcPr>
          <w:p w14:paraId="5B3A3C87">
            <w:pPr>
              <w:spacing w:before="0" w:after="0" w:line="264" w:lineRule="auto"/>
              <w:jc w:val="center"/>
              <w:rPr>
                <w:rFonts w:hint="eastAsia" w:ascii="仿宋" w:hAnsi="仿宋" w:eastAsia="仿宋" w:cs="仿宋"/>
                <w:sz w:val="20"/>
                <w:szCs w:val="20"/>
              </w:rPr>
            </w:pPr>
          </w:p>
        </w:tc>
      </w:tr>
      <w:tr w14:paraId="51C10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12AE3581">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8</w:t>
            </w:r>
          </w:p>
        </w:tc>
        <w:tc>
          <w:tcPr>
            <w:tcW w:w="1524" w:type="dxa"/>
            <w:vMerge w:val="restart"/>
            <w:vAlign w:val="center"/>
          </w:tcPr>
          <w:p w14:paraId="20CAC983">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合同管理</w:t>
            </w:r>
          </w:p>
        </w:tc>
        <w:tc>
          <w:tcPr>
            <w:tcW w:w="5790" w:type="dxa"/>
            <w:vAlign w:val="center"/>
          </w:tcPr>
          <w:p w14:paraId="67D9204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合同管理功能增加驻厂监造金额、巡检监造金额、项目经理上级ERP唯一标识字段，用于O&amp;M平台关联人员与计算产值；增加结算方式、结算天数、结算周期(默认月)字段，用于O&amp;M进行结算提醒</w:t>
            </w:r>
          </w:p>
        </w:tc>
        <w:tc>
          <w:tcPr>
            <w:tcW w:w="1381" w:type="dxa"/>
            <w:vAlign w:val="center"/>
          </w:tcPr>
          <w:p w14:paraId="013D0B12">
            <w:pPr>
              <w:spacing w:before="0" w:after="0" w:line="264" w:lineRule="auto"/>
              <w:jc w:val="center"/>
              <w:rPr>
                <w:rFonts w:hint="eastAsia" w:ascii="仿宋" w:hAnsi="仿宋" w:eastAsia="仿宋" w:cs="仿宋"/>
                <w:sz w:val="20"/>
                <w:szCs w:val="20"/>
              </w:rPr>
            </w:pPr>
          </w:p>
        </w:tc>
        <w:tc>
          <w:tcPr>
            <w:tcW w:w="1409" w:type="dxa"/>
            <w:vAlign w:val="center"/>
          </w:tcPr>
          <w:p w14:paraId="21E03038">
            <w:pPr>
              <w:spacing w:before="0" w:after="0" w:line="264" w:lineRule="auto"/>
              <w:jc w:val="center"/>
              <w:rPr>
                <w:rFonts w:hint="eastAsia" w:ascii="仿宋" w:hAnsi="仿宋" w:eastAsia="仿宋" w:cs="仿宋"/>
                <w:sz w:val="20"/>
                <w:szCs w:val="20"/>
              </w:rPr>
            </w:pPr>
          </w:p>
        </w:tc>
        <w:tc>
          <w:tcPr>
            <w:tcW w:w="963" w:type="dxa"/>
            <w:vMerge w:val="restart"/>
            <w:vAlign w:val="center"/>
          </w:tcPr>
          <w:p w14:paraId="3DA5F007">
            <w:pPr>
              <w:spacing w:before="0" w:after="0" w:line="264" w:lineRule="auto"/>
              <w:jc w:val="center"/>
              <w:rPr>
                <w:rFonts w:hint="eastAsia" w:ascii="仿宋" w:hAnsi="仿宋" w:eastAsia="仿宋" w:cs="仿宋"/>
                <w:sz w:val="20"/>
                <w:szCs w:val="20"/>
              </w:rPr>
            </w:pPr>
          </w:p>
        </w:tc>
        <w:tc>
          <w:tcPr>
            <w:tcW w:w="1028" w:type="dxa"/>
            <w:vMerge w:val="restart"/>
            <w:vAlign w:val="center"/>
          </w:tcPr>
          <w:p w14:paraId="79E56A09">
            <w:pPr>
              <w:spacing w:before="0" w:after="0" w:line="264" w:lineRule="auto"/>
              <w:jc w:val="center"/>
              <w:rPr>
                <w:rFonts w:hint="eastAsia" w:ascii="仿宋" w:hAnsi="仿宋" w:eastAsia="仿宋" w:cs="仿宋"/>
                <w:sz w:val="20"/>
                <w:szCs w:val="20"/>
              </w:rPr>
            </w:pPr>
          </w:p>
        </w:tc>
      </w:tr>
      <w:tr w14:paraId="32568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7E6F96E7">
            <w:pPr>
              <w:spacing w:after="0" w:line="240" w:lineRule="auto"/>
              <w:rPr>
                <w:rFonts w:hint="eastAsia" w:ascii="仿宋" w:hAnsi="仿宋" w:eastAsia="仿宋" w:cs="仿宋"/>
                <w:sz w:val="20"/>
                <w:szCs w:val="20"/>
              </w:rPr>
            </w:pPr>
          </w:p>
        </w:tc>
        <w:tc>
          <w:tcPr>
            <w:tcW w:w="1524" w:type="dxa"/>
            <w:vMerge w:val="continue"/>
          </w:tcPr>
          <w:p w14:paraId="37EEB4FC">
            <w:pPr>
              <w:spacing w:after="0" w:line="240" w:lineRule="auto"/>
              <w:rPr>
                <w:rFonts w:hint="eastAsia" w:ascii="仿宋" w:hAnsi="仿宋" w:eastAsia="仿宋" w:cs="仿宋"/>
                <w:sz w:val="20"/>
                <w:szCs w:val="20"/>
              </w:rPr>
            </w:pPr>
          </w:p>
        </w:tc>
        <w:tc>
          <w:tcPr>
            <w:tcW w:w="5790" w:type="dxa"/>
            <w:vAlign w:val="center"/>
          </w:tcPr>
          <w:p w14:paraId="7836326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合同管理历史数据进行拆分清洗，具体拆分规则需明确</w:t>
            </w:r>
          </w:p>
        </w:tc>
        <w:tc>
          <w:tcPr>
            <w:tcW w:w="1381" w:type="dxa"/>
            <w:vAlign w:val="center"/>
          </w:tcPr>
          <w:p w14:paraId="60E32A69">
            <w:pPr>
              <w:spacing w:before="0" w:after="0" w:line="264" w:lineRule="auto"/>
              <w:jc w:val="center"/>
              <w:rPr>
                <w:rFonts w:hint="eastAsia" w:ascii="仿宋" w:hAnsi="仿宋" w:eastAsia="仿宋" w:cs="仿宋"/>
                <w:sz w:val="20"/>
                <w:szCs w:val="20"/>
              </w:rPr>
            </w:pPr>
          </w:p>
        </w:tc>
        <w:tc>
          <w:tcPr>
            <w:tcW w:w="1409" w:type="dxa"/>
            <w:vAlign w:val="center"/>
          </w:tcPr>
          <w:p w14:paraId="09B305FA">
            <w:pPr>
              <w:spacing w:before="0" w:after="0" w:line="264" w:lineRule="auto"/>
              <w:jc w:val="center"/>
              <w:rPr>
                <w:rFonts w:hint="eastAsia" w:ascii="仿宋" w:hAnsi="仿宋" w:eastAsia="仿宋" w:cs="仿宋"/>
                <w:sz w:val="20"/>
                <w:szCs w:val="20"/>
              </w:rPr>
            </w:pPr>
          </w:p>
        </w:tc>
        <w:tc>
          <w:tcPr>
            <w:tcW w:w="963" w:type="dxa"/>
            <w:vMerge w:val="continue"/>
          </w:tcPr>
          <w:p w14:paraId="3D70EAC8">
            <w:pPr>
              <w:spacing w:after="0" w:line="240" w:lineRule="auto"/>
              <w:rPr>
                <w:rFonts w:hint="eastAsia" w:ascii="仿宋" w:hAnsi="仿宋" w:eastAsia="仿宋" w:cs="仿宋"/>
                <w:sz w:val="20"/>
                <w:szCs w:val="20"/>
              </w:rPr>
            </w:pPr>
          </w:p>
        </w:tc>
        <w:tc>
          <w:tcPr>
            <w:tcW w:w="1028" w:type="dxa"/>
            <w:vMerge w:val="continue"/>
          </w:tcPr>
          <w:p w14:paraId="5739B276">
            <w:pPr>
              <w:spacing w:after="0" w:line="240" w:lineRule="auto"/>
              <w:rPr>
                <w:rFonts w:hint="eastAsia" w:ascii="仿宋" w:hAnsi="仿宋" w:eastAsia="仿宋" w:cs="仿宋"/>
                <w:sz w:val="20"/>
                <w:szCs w:val="20"/>
              </w:rPr>
            </w:pPr>
          </w:p>
        </w:tc>
      </w:tr>
      <w:tr w14:paraId="482BF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7" w:type="dxa"/>
            <w:gridSpan w:val="2"/>
            <w:vAlign w:val="center"/>
          </w:tcPr>
          <w:p w14:paraId="626C7A15">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工作量构成：</w:t>
            </w:r>
          </w:p>
        </w:tc>
        <w:tc>
          <w:tcPr>
            <w:tcW w:w="10571" w:type="dxa"/>
            <w:gridSpan w:val="5"/>
            <w:vAlign w:val="center"/>
          </w:tcPr>
          <w:p w14:paraId="4B4A7709">
            <w:pPr>
              <w:spacing w:before="0" w:after="0" w:line="264" w:lineRule="auto"/>
              <w:jc w:val="center"/>
              <w:rPr>
                <w:rFonts w:hint="eastAsia" w:ascii="仿宋" w:hAnsi="仿宋" w:eastAsia="仿宋" w:cs="仿宋"/>
                <w:sz w:val="20"/>
                <w:szCs w:val="20"/>
              </w:rPr>
            </w:pPr>
            <w:r>
              <w:rPr>
                <w:rFonts w:hint="eastAsia" w:ascii="仿宋" w:hAnsi="仿宋" w:eastAsia="仿宋" w:cs="仿宋"/>
                <w:b/>
                <w:bCs/>
                <w:sz w:val="20"/>
                <w:szCs w:val="20"/>
              </w:rPr>
              <w:t>PECMS模块（对外）</w:t>
            </w:r>
          </w:p>
        </w:tc>
      </w:tr>
      <w:tr w14:paraId="1C20D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Align w:val="center"/>
          </w:tcPr>
          <w:p w14:paraId="21A54175">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序</w:t>
            </w:r>
          </w:p>
          <w:p w14:paraId="2D503E31">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号</w:t>
            </w:r>
          </w:p>
        </w:tc>
        <w:tc>
          <w:tcPr>
            <w:tcW w:w="1524" w:type="dxa"/>
            <w:vAlign w:val="center"/>
          </w:tcPr>
          <w:p w14:paraId="52DBB731">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功能模块</w:t>
            </w:r>
          </w:p>
        </w:tc>
        <w:tc>
          <w:tcPr>
            <w:tcW w:w="5790" w:type="dxa"/>
            <w:vAlign w:val="center"/>
          </w:tcPr>
          <w:p w14:paraId="0B09003E">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功能点描述</w:t>
            </w:r>
          </w:p>
        </w:tc>
        <w:tc>
          <w:tcPr>
            <w:tcW w:w="1381" w:type="dxa"/>
            <w:vAlign w:val="center"/>
          </w:tcPr>
          <w:p w14:paraId="599C6395">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人工日/数</w:t>
            </w:r>
          </w:p>
          <w:p w14:paraId="6136DCFE">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量</w:t>
            </w:r>
          </w:p>
        </w:tc>
        <w:tc>
          <w:tcPr>
            <w:tcW w:w="1409" w:type="dxa"/>
            <w:vAlign w:val="center"/>
          </w:tcPr>
          <w:p w14:paraId="1A28E66B">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单价（元）</w:t>
            </w:r>
          </w:p>
        </w:tc>
        <w:tc>
          <w:tcPr>
            <w:tcW w:w="963" w:type="dxa"/>
            <w:vAlign w:val="center"/>
          </w:tcPr>
          <w:p w14:paraId="12B6A966">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小计</w:t>
            </w:r>
          </w:p>
          <w:p w14:paraId="661913C3">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（元）</w:t>
            </w:r>
          </w:p>
        </w:tc>
        <w:tc>
          <w:tcPr>
            <w:tcW w:w="1028" w:type="dxa"/>
            <w:vAlign w:val="center"/>
          </w:tcPr>
          <w:p w14:paraId="2C100E86">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备</w:t>
            </w:r>
          </w:p>
          <w:p w14:paraId="27702908">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注</w:t>
            </w:r>
          </w:p>
        </w:tc>
      </w:tr>
      <w:tr w14:paraId="6ED63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Align w:val="center"/>
          </w:tcPr>
          <w:p w14:paraId="2ADD0DD6">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1</w:t>
            </w:r>
          </w:p>
        </w:tc>
        <w:tc>
          <w:tcPr>
            <w:tcW w:w="1524" w:type="dxa"/>
            <w:vAlign w:val="center"/>
          </w:tcPr>
          <w:p w14:paraId="1AA3C93D">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公司-检验主管</w:t>
            </w:r>
          </w:p>
        </w:tc>
        <w:tc>
          <w:tcPr>
            <w:tcW w:w="5790" w:type="dxa"/>
            <w:vAlign w:val="center"/>
          </w:tcPr>
          <w:p w14:paraId="2F97D1B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公司模块增加检验主管管理功能，可为公司分配对应的检验主管</w:t>
            </w:r>
          </w:p>
        </w:tc>
        <w:tc>
          <w:tcPr>
            <w:tcW w:w="1381" w:type="dxa"/>
            <w:vAlign w:val="center"/>
          </w:tcPr>
          <w:p w14:paraId="6D76454E">
            <w:pPr>
              <w:spacing w:before="0" w:after="0" w:line="264" w:lineRule="auto"/>
              <w:jc w:val="center"/>
              <w:rPr>
                <w:rFonts w:hint="eastAsia" w:ascii="仿宋" w:hAnsi="仿宋" w:eastAsia="仿宋" w:cs="仿宋"/>
                <w:sz w:val="20"/>
                <w:szCs w:val="20"/>
              </w:rPr>
            </w:pPr>
          </w:p>
        </w:tc>
        <w:tc>
          <w:tcPr>
            <w:tcW w:w="1409" w:type="dxa"/>
            <w:vAlign w:val="center"/>
          </w:tcPr>
          <w:p w14:paraId="4442230A">
            <w:pPr>
              <w:spacing w:before="0" w:after="0" w:line="264" w:lineRule="auto"/>
              <w:jc w:val="center"/>
              <w:rPr>
                <w:rFonts w:hint="eastAsia" w:ascii="仿宋" w:hAnsi="仿宋" w:eastAsia="仿宋" w:cs="仿宋"/>
                <w:sz w:val="20"/>
                <w:szCs w:val="20"/>
              </w:rPr>
            </w:pPr>
          </w:p>
        </w:tc>
        <w:tc>
          <w:tcPr>
            <w:tcW w:w="963" w:type="dxa"/>
            <w:vAlign w:val="center"/>
          </w:tcPr>
          <w:p w14:paraId="5A0A1E0D">
            <w:pPr>
              <w:spacing w:before="0" w:after="0" w:line="264" w:lineRule="auto"/>
              <w:jc w:val="center"/>
              <w:rPr>
                <w:rFonts w:hint="eastAsia" w:ascii="仿宋" w:hAnsi="仿宋" w:eastAsia="仿宋" w:cs="仿宋"/>
                <w:sz w:val="20"/>
                <w:szCs w:val="20"/>
              </w:rPr>
            </w:pPr>
          </w:p>
        </w:tc>
        <w:tc>
          <w:tcPr>
            <w:tcW w:w="1028" w:type="dxa"/>
            <w:vAlign w:val="center"/>
          </w:tcPr>
          <w:p w14:paraId="6A4DA62D">
            <w:pPr>
              <w:spacing w:before="0" w:after="0" w:line="264" w:lineRule="auto"/>
              <w:jc w:val="center"/>
              <w:rPr>
                <w:rFonts w:hint="eastAsia" w:ascii="仿宋" w:hAnsi="仿宋" w:eastAsia="仿宋" w:cs="仿宋"/>
                <w:sz w:val="20"/>
                <w:szCs w:val="20"/>
              </w:rPr>
            </w:pPr>
          </w:p>
        </w:tc>
      </w:tr>
      <w:tr w14:paraId="1D992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Align w:val="center"/>
          </w:tcPr>
          <w:p w14:paraId="2F210683">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2</w:t>
            </w:r>
          </w:p>
        </w:tc>
        <w:tc>
          <w:tcPr>
            <w:tcW w:w="1524" w:type="dxa"/>
            <w:vAlign w:val="center"/>
          </w:tcPr>
          <w:p w14:paraId="12C026C3">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业主资料库</w:t>
            </w:r>
          </w:p>
        </w:tc>
        <w:tc>
          <w:tcPr>
            <w:tcW w:w="5790" w:type="dxa"/>
            <w:vAlign w:val="center"/>
          </w:tcPr>
          <w:p w14:paraId="732E7EB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增加业主资料库菜单，该菜单仅展示该检验主管负责的业主资料数据。 - 仅显示原始数据（如业主提交的文本、附件等），不包含“创建派单”按钮。 - 数据列表字段：项目名称、业主信息、提交时间、摘要内容（不可编辑）。</w:t>
            </w:r>
          </w:p>
        </w:tc>
        <w:tc>
          <w:tcPr>
            <w:tcW w:w="1381" w:type="dxa"/>
            <w:vAlign w:val="center"/>
          </w:tcPr>
          <w:p w14:paraId="5C7DCB6E">
            <w:pPr>
              <w:spacing w:before="0" w:after="0" w:line="264" w:lineRule="auto"/>
              <w:jc w:val="center"/>
              <w:rPr>
                <w:rFonts w:hint="eastAsia" w:ascii="仿宋" w:hAnsi="仿宋" w:eastAsia="仿宋" w:cs="仿宋"/>
                <w:sz w:val="20"/>
                <w:szCs w:val="20"/>
              </w:rPr>
            </w:pPr>
          </w:p>
        </w:tc>
        <w:tc>
          <w:tcPr>
            <w:tcW w:w="1409" w:type="dxa"/>
            <w:vAlign w:val="center"/>
          </w:tcPr>
          <w:p w14:paraId="3CA40AA8">
            <w:pPr>
              <w:spacing w:before="0" w:after="0" w:line="264" w:lineRule="auto"/>
              <w:jc w:val="center"/>
              <w:rPr>
                <w:rFonts w:hint="eastAsia" w:ascii="仿宋" w:hAnsi="仿宋" w:eastAsia="仿宋" w:cs="仿宋"/>
                <w:sz w:val="20"/>
                <w:szCs w:val="20"/>
              </w:rPr>
            </w:pPr>
          </w:p>
        </w:tc>
        <w:tc>
          <w:tcPr>
            <w:tcW w:w="963" w:type="dxa"/>
            <w:vAlign w:val="center"/>
          </w:tcPr>
          <w:p w14:paraId="7D2A5997">
            <w:pPr>
              <w:spacing w:before="0" w:after="0" w:line="264" w:lineRule="auto"/>
              <w:jc w:val="center"/>
              <w:rPr>
                <w:rFonts w:hint="eastAsia" w:ascii="仿宋" w:hAnsi="仿宋" w:eastAsia="仿宋" w:cs="仿宋"/>
                <w:sz w:val="20"/>
                <w:szCs w:val="20"/>
              </w:rPr>
            </w:pPr>
          </w:p>
        </w:tc>
        <w:tc>
          <w:tcPr>
            <w:tcW w:w="1028" w:type="dxa"/>
            <w:vAlign w:val="center"/>
          </w:tcPr>
          <w:p w14:paraId="78190068">
            <w:pPr>
              <w:spacing w:before="0" w:after="0" w:line="264" w:lineRule="auto"/>
              <w:jc w:val="center"/>
              <w:rPr>
                <w:rFonts w:hint="eastAsia" w:ascii="仿宋" w:hAnsi="仿宋" w:eastAsia="仿宋" w:cs="仿宋"/>
                <w:sz w:val="20"/>
                <w:szCs w:val="20"/>
              </w:rPr>
            </w:pPr>
          </w:p>
        </w:tc>
      </w:tr>
      <w:tr w14:paraId="69C5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7" w:type="dxa"/>
            <w:gridSpan w:val="2"/>
            <w:vAlign w:val="center"/>
          </w:tcPr>
          <w:p w14:paraId="02C42AE7">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工作量构成：</w:t>
            </w:r>
          </w:p>
        </w:tc>
        <w:tc>
          <w:tcPr>
            <w:tcW w:w="10571" w:type="dxa"/>
            <w:gridSpan w:val="5"/>
            <w:vAlign w:val="center"/>
          </w:tcPr>
          <w:p w14:paraId="48A6AC16">
            <w:pPr>
              <w:spacing w:before="0" w:after="0" w:line="264" w:lineRule="auto"/>
              <w:jc w:val="center"/>
              <w:rPr>
                <w:rFonts w:hint="eastAsia" w:ascii="仿宋" w:hAnsi="仿宋" w:eastAsia="仿宋" w:cs="仿宋"/>
                <w:sz w:val="20"/>
                <w:szCs w:val="20"/>
              </w:rPr>
            </w:pPr>
            <w:r>
              <w:rPr>
                <w:rFonts w:hint="eastAsia" w:ascii="仿宋" w:hAnsi="仿宋" w:eastAsia="仿宋" w:cs="仿宋"/>
                <w:b/>
                <w:bCs/>
                <w:sz w:val="20"/>
                <w:szCs w:val="20"/>
              </w:rPr>
              <w:t>APP端功能优化改造</w:t>
            </w:r>
          </w:p>
        </w:tc>
      </w:tr>
      <w:tr w14:paraId="626FD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Align w:val="center"/>
          </w:tcPr>
          <w:p w14:paraId="7495A895">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序</w:t>
            </w:r>
          </w:p>
          <w:p w14:paraId="29C043EA">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号</w:t>
            </w:r>
          </w:p>
        </w:tc>
        <w:tc>
          <w:tcPr>
            <w:tcW w:w="1524" w:type="dxa"/>
            <w:vAlign w:val="center"/>
          </w:tcPr>
          <w:p w14:paraId="78A6F977">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功能模块</w:t>
            </w:r>
          </w:p>
        </w:tc>
        <w:tc>
          <w:tcPr>
            <w:tcW w:w="5790" w:type="dxa"/>
            <w:vAlign w:val="center"/>
          </w:tcPr>
          <w:p w14:paraId="1908130C">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功能点描述</w:t>
            </w:r>
          </w:p>
        </w:tc>
        <w:tc>
          <w:tcPr>
            <w:tcW w:w="1381" w:type="dxa"/>
            <w:vAlign w:val="center"/>
          </w:tcPr>
          <w:p w14:paraId="279B0ACE">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人工日/数</w:t>
            </w:r>
          </w:p>
          <w:p w14:paraId="38702941">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量</w:t>
            </w:r>
          </w:p>
        </w:tc>
        <w:tc>
          <w:tcPr>
            <w:tcW w:w="1409" w:type="dxa"/>
            <w:vAlign w:val="center"/>
          </w:tcPr>
          <w:p w14:paraId="3C4BB0B4">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单价（元）</w:t>
            </w:r>
          </w:p>
        </w:tc>
        <w:tc>
          <w:tcPr>
            <w:tcW w:w="963" w:type="dxa"/>
            <w:vAlign w:val="center"/>
          </w:tcPr>
          <w:p w14:paraId="36DD87E8">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小计</w:t>
            </w:r>
          </w:p>
          <w:p w14:paraId="19ABFCDE">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（元）</w:t>
            </w:r>
          </w:p>
        </w:tc>
        <w:tc>
          <w:tcPr>
            <w:tcW w:w="1028" w:type="dxa"/>
            <w:vAlign w:val="center"/>
          </w:tcPr>
          <w:p w14:paraId="3D4F819C">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备</w:t>
            </w:r>
          </w:p>
          <w:p w14:paraId="07DE9E07">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注</w:t>
            </w:r>
          </w:p>
        </w:tc>
      </w:tr>
      <w:tr w14:paraId="0F356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61FA9FE7">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1</w:t>
            </w:r>
          </w:p>
        </w:tc>
        <w:tc>
          <w:tcPr>
            <w:tcW w:w="1524" w:type="dxa"/>
            <w:vMerge w:val="restart"/>
            <w:vAlign w:val="center"/>
          </w:tcPr>
          <w:p w14:paraId="428A1101">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全系统-消息通知</w:t>
            </w:r>
          </w:p>
        </w:tc>
        <w:tc>
          <w:tcPr>
            <w:tcW w:w="5790" w:type="dxa"/>
            <w:vAlign w:val="center"/>
          </w:tcPr>
          <w:p w14:paraId="695825B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手机APP目前派单审批或者驳回，发起者这边没有任何提示，建议收到消息时（待办通知、已发起派单的处理结果通知）手机弹出消息提醒，以便及时告知项目经理人员安排结。</w:t>
            </w:r>
          </w:p>
        </w:tc>
        <w:tc>
          <w:tcPr>
            <w:tcW w:w="1381" w:type="dxa"/>
            <w:vAlign w:val="center"/>
          </w:tcPr>
          <w:p w14:paraId="2233D7EB">
            <w:pPr>
              <w:spacing w:before="0" w:after="0" w:line="264" w:lineRule="auto"/>
              <w:jc w:val="center"/>
              <w:rPr>
                <w:rFonts w:hint="eastAsia" w:ascii="仿宋" w:hAnsi="仿宋" w:eastAsia="仿宋" w:cs="仿宋"/>
                <w:sz w:val="20"/>
                <w:szCs w:val="20"/>
              </w:rPr>
            </w:pPr>
          </w:p>
        </w:tc>
        <w:tc>
          <w:tcPr>
            <w:tcW w:w="1409" w:type="dxa"/>
            <w:vAlign w:val="center"/>
          </w:tcPr>
          <w:p w14:paraId="738894FB">
            <w:pPr>
              <w:spacing w:before="0" w:after="0" w:line="264" w:lineRule="auto"/>
              <w:jc w:val="center"/>
              <w:rPr>
                <w:rFonts w:hint="eastAsia" w:ascii="仿宋" w:hAnsi="仿宋" w:eastAsia="仿宋" w:cs="仿宋"/>
                <w:sz w:val="20"/>
                <w:szCs w:val="20"/>
              </w:rPr>
            </w:pPr>
          </w:p>
        </w:tc>
        <w:tc>
          <w:tcPr>
            <w:tcW w:w="963" w:type="dxa"/>
            <w:vMerge w:val="restart"/>
            <w:vAlign w:val="center"/>
          </w:tcPr>
          <w:p w14:paraId="1E02ED08">
            <w:pPr>
              <w:spacing w:before="0" w:after="0" w:line="264" w:lineRule="auto"/>
              <w:jc w:val="center"/>
              <w:rPr>
                <w:rFonts w:hint="eastAsia" w:ascii="仿宋" w:hAnsi="仿宋" w:eastAsia="仿宋" w:cs="仿宋"/>
                <w:sz w:val="20"/>
                <w:szCs w:val="20"/>
              </w:rPr>
            </w:pPr>
          </w:p>
        </w:tc>
        <w:tc>
          <w:tcPr>
            <w:tcW w:w="1028" w:type="dxa"/>
            <w:vMerge w:val="restart"/>
            <w:vAlign w:val="center"/>
          </w:tcPr>
          <w:p w14:paraId="5811CD40">
            <w:pPr>
              <w:spacing w:before="0" w:after="0" w:line="264" w:lineRule="auto"/>
              <w:jc w:val="center"/>
              <w:rPr>
                <w:rFonts w:hint="eastAsia" w:ascii="仿宋" w:hAnsi="仿宋" w:eastAsia="仿宋" w:cs="仿宋"/>
                <w:sz w:val="20"/>
                <w:szCs w:val="20"/>
              </w:rPr>
            </w:pPr>
          </w:p>
        </w:tc>
      </w:tr>
      <w:tr w14:paraId="1088A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7C4B4897">
            <w:pPr>
              <w:spacing w:after="0" w:line="240" w:lineRule="auto"/>
              <w:rPr>
                <w:rFonts w:hint="eastAsia" w:ascii="仿宋" w:hAnsi="仿宋" w:eastAsia="仿宋" w:cs="仿宋"/>
                <w:sz w:val="20"/>
                <w:szCs w:val="20"/>
              </w:rPr>
            </w:pPr>
          </w:p>
        </w:tc>
        <w:tc>
          <w:tcPr>
            <w:tcW w:w="1524" w:type="dxa"/>
            <w:vMerge w:val="continue"/>
          </w:tcPr>
          <w:p w14:paraId="72B9DE40">
            <w:pPr>
              <w:spacing w:after="0" w:line="240" w:lineRule="auto"/>
              <w:rPr>
                <w:rFonts w:hint="eastAsia" w:ascii="仿宋" w:hAnsi="仿宋" w:eastAsia="仿宋" w:cs="仿宋"/>
                <w:sz w:val="20"/>
                <w:szCs w:val="20"/>
              </w:rPr>
            </w:pPr>
          </w:p>
        </w:tc>
        <w:tc>
          <w:tcPr>
            <w:tcW w:w="5790" w:type="dxa"/>
            <w:vAlign w:val="center"/>
          </w:tcPr>
          <w:p w14:paraId="50A1F90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APP角标：显示各平台未读消息数量和。待办菜单角标：显示待办任务数量</w:t>
            </w:r>
          </w:p>
        </w:tc>
        <w:tc>
          <w:tcPr>
            <w:tcW w:w="1381" w:type="dxa"/>
            <w:vAlign w:val="center"/>
          </w:tcPr>
          <w:p w14:paraId="0D4D7DC4">
            <w:pPr>
              <w:spacing w:before="0" w:after="0" w:line="264" w:lineRule="auto"/>
              <w:jc w:val="center"/>
              <w:rPr>
                <w:rFonts w:hint="eastAsia" w:ascii="仿宋" w:hAnsi="仿宋" w:eastAsia="仿宋" w:cs="仿宋"/>
                <w:sz w:val="20"/>
                <w:szCs w:val="20"/>
              </w:rPr>
            </w:pPr>
          </w:p>
        </w:tc>
        <w:tc>
          <w:tcPr>
            <w:tcW w:w="1409" w:type="dxa"/>
            <w:vAlign w:val="center"/>
          </w:tcPr>
          <w:p w14:paraId="3097BF69">
            <w:pPr>
              <w:spacing w:before="0" w:after="0" w:line="264" w:lineRule="auto"/>
              <w:jc w:val="center"/>
              <w:rPr>
                <w:rFonts w:hint="eastAsia" w:ascii="仿宋" w:hAnsi="仿宋" w:eastAsia="仿宋" w:cs="仿宋"/>
                <w:sz w:val="20"/>
                <w:szCs w:val="20"/>
              </w:rPr>
            </w:pPr>
          </w:p>
        </w:tc>
        <w:tc>
          <w:tcPr>
            <w:tcW w:w="963" w:type="dxa"/>
            <w:vMerge w:val="continue"/>
          </w:tcPr>
          <w:p w14:paraId="5F5910D5">
            <w:pPr>
              <w:spacing w:after="0" w:line="240" w:lineRule="auto"/>
              <w:rPr>
                <w:rFonts w:hint="eastAsia" w:ascii="仿宋" w:hAnsi="仿宋" w:eastAsia="仿宋" w:cs="仿宋"/>
                <w:sz w:val="20"/>
                <w:szCs w:val="20"/>
              </w:rPr>
            </w:pPr>
          </w:p>
        </w:tc>
        <w:tc>
          <w:tcPr>
            <w:tcW w:w="1028" w:type="dxa"/>
            <w:vMerge w:val="continue"/>
          </w:tcPr>
          <w:p w14:paraId="71CBA4D5">
            <w:pPr>
              <w:spacing w:after="0" w:line="240" w:lineRule="auto"/>
              <w:rPr>
                <w:rFonts w:hint="eastAsia" w:ascii="仿宋" w:hAnsi="仿宋" w:eastAsia="仿宋" w:cs="仿宋"/>
                <w:sz w:val="20"/>
                <w:szCs w:val="20"/>
              </w:rPr>
            </w:pPr>
          </w:p>
        </w:tc>
      </w:tr>
      <w:tr w14:paraId="647B4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4BEDA8D1">
            <w:pPr>
              <w:spacing w:after="0" w:line="240" w:lineRule="auto"/>
              <w:rPr>
                <w:rFonts w:hint="eastAsia" w:ascii="仿宋" w:hAnsi="仿宋" w:eastAsia="仿宋" w:cs="仿宋"/>
                <w:sz w:val="20"/>
                <w:szCs w:val="20"/>
              </w:rPr>
            </w:pPr>
          </w:p>
        </w:tc>
        <w:tc>
          <w:tcPr>
            <w:tcW w:w="1524" w:type="dxa"/>
            <w:vMerge w:val="continue"/>
          </w:tcPr>
          <w:p w14:paraId="37640278">
            <w:pPr>
              <w:spacing w:after="0" w:line="240" w:lineRule="auto"/>
              <w:rPr>
                <w:rFonts w:hint="eastAsia" w:ascii="仿宋" w:hAnsi="仿宋" w:eastAsia="仿宋" w:cs="仿宋"/>
                <w:sz w:val="20"/>
                <w:szCs w:val="20"/>
              </w:rPr>
            </w:pPr>
          </w:p>
        </w:tc>
        <w:tc>
          <w:tcPr>
            <w:tcW w:w="5790" w:type="dxa"/>
            <w:vAlign w:val="center"/>
          </w:tcPr>
          <w:p w14:paraId="5C19ABF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对消息进行分类，app用户可以对各平台消息分类进行选择，角标数量根据用户选择的分类进行合计展示</w:t>
            </w:r>
          </w:p>
        </w:tc>
        <w:tc>
          <w:tcPr>
            <w:tcW w:w="1381" w:type="dxa"/>
            <w:vAlign w:val="center"/>
          </w:tcPr>
          <w:p w14:paraId="6494AB2C">
            <w:pPr>
              <w:spacing w:before="0" w:after="0" w:line="264" w:lineRule="auto"/>
              <w:jc w:val="center"/>
              <w:rPr>
                <w:rFonts w:hint="eastAsia" w:ascii="仿宋" w:hAnsi="仿宋" w:eastAsia="仿宋" w:cs="仿宋"/>
                <w:sz w:val="20"/>
                <w:szCs w:val="20"/>
              </w:rPr>
            </w:pPr>
          </w:p>
        </w:tc>
        <w:tc>
          <w:tcPr>
            <w:tcW w:w="1409" w:type="dxa"/>
            <w:vAlign w:val="center"/>
          </w:tcPr>
          <w:p w14:paraId="04DE2565">
            <w:pPr>
              <w:spacing w:before="0" w:after="0" w:line="264" w:lineRule="auto"/>
              <w:jc w:val="center"/>
              <w:rPr>
                <w:rFonts w:hint="eastAsia" w:ascii="仿宋" w:hAnsi="仿宋" w:eastAsia="仿宋" w:cs="仿宋"/>
                <w:sz w:val="20"/>
                <w:szCs w:val="20"/>
              </w:rPr>
            </w:pPr>
          </w:p>
        </w:tc>
        <w:tc>
          <w:tcPr>
            <w:tcW w:w="963" w:type="dxa"/>
            <w:vMerge w:val="continue"/>
          </w:tcPr>
          <w:p w14:paraId="2B38B9C2">
            <w:pPr>
              <w:spacing w:after="0" w:line="240" w:lineRule="auto"/>
              <w:rPr>
                <w:rFonts w:hint="eastAsia" w:ascii="仿宋" w:hAnsi="仿宋" w:eastAsia="仿宋" w:cs="仿宋"/>
                <w:sz w:val="20"/>
                <w:szCs w:val="20"/>
              </w:rPr>
            </w:pPr>
          </w:p>
        </w:tc>
        <w:tc>
          <w:tcPr>
            <w:tcW w:w="1028" w:type="dxa"/>
            <w:vMerge w:val="continue"/>
          </w:tcPr>
          <w:p w14:paraId="477FCB54">
            <w:pPr>
              <w:spacing w:after="0" w:line="240" w:lineRule="auto"/>
              <w:rPr>
                <w:rFonts w:hint="eastAsia" w:ascii="仿宋" w:hAnsi="仿宋" w:eastAsia="仿宋" w:cs="仿宋"/>
                <w:sz w:val="20"/>
                <w:szCs w:val="20"/>
              </w:rPr>
            </w:pPr>
          </w:p>
        </w:tc>
      </w:tr>
      <w:tr w14:paraId="221F4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225C93FC">
            <w:pPr>
              <w:spacing w:after="0" w:line="240" w:lineRule="auto"/>
              <w:rPr>
                <w:rFonts w:hint="eastAsia" w:ascii="仿宋" w:hAnsi="仿宋" w:eastAsia="仿宋" w:cs="仿宋"/>
                <w:sz w:val="20"/>
                <w:szCs w:val="20"/>
              </w:rPr>
            </w:pPr>
          </w:p>
        </w:tc>
        <w:tc>
          <w:tcPr>
            <w:tcW w:w="1524" w:type="dxa"/>
            <w:vMerge w:val="continue"/>
          </w:tcPr>
          <w:p w14:paraId="175A1544">
            <w:pPr>
              <w:spacing w:after="0" w:line="240" w:lineRule="auto"/>
              <w:rPr>
                <w:rFonts w:hint="eastAsia" w:ascii="仿宋" w:hAnsi="仿宋" w:eastAsia="仿宋" w:cs="仿宋"/>
                <w:sz w:val="20"/>
                <w:szCs w:val="20"/>
              </w:rPr>
            </w:pPr>
          </w:p>
        </w:tc>
        <w:tc>
          <w:tcPr>
            <w:tcW w:w="5790" w:type="dxa"/>
            <w:vAlign w:val="center"/>
          </w:tcPr>
          <w:p w14:paraId="759E880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点击锁屏消息时可查看消息完整内容。若为PECMS流程待办通知则提供'去办理'按钮，点击按钮跳转对应业务流程的审批页面；若为PECMS派单审批通过/驳回消息则提供'去查看'按钮，点击按钮跳转至派单详情页面；若为安全平台培训通知消息，则提供'去学习'按钮，点击按钮跳转培训列表；若为安全平台考试通知消息，则提供'去考试'按钮，点击按钮跳转考试列表；若为综合管理平台的消息，则提供'去查看'按钮，点击按钮跳转综合管理平台主页面(不含泛微二开部分工作量)；其余类型的消息暂不提供按钮</w:t>
            </w:r>
          </w:p>
        </w:tc>
        <w:tc>
          <w:tcPr>
            <w:tcW w:w="1381" w:type="dxa"/>
            <w:vAlign w:val="center"/>
          </w:tcPr>
          <w:p w14:paraId="583B1CD7">
            <w:pPr>
              <w:spacing w:before="0" w:after="0" w:line="264" w:lineRule="auto"/>
              <w:jc w:val="center"/>
              <w:rPr>
                <w:rFonts w:hint="eastAsia" w:ascii="仿宋" w:hAnsi="仿宋" w:eastAsia="仿宋" w:cs="仿宋"/>
                <w:sz w:val="20"/>
                <w:szCs w:val="20"/>
              </w:rPr>
            </w:pPr>
          </w:p>
        </w:tc>
        <w:tc>
          <w:tcPr>
            <w:tcW w:w="1409" w:type="dxa"/>
            <w:vAlign w:val="center"/>
          </w:tcPr>
          <w:p w14:paraId="45A27ACF">
            <w:pPr>
              <w:spacing w:before="0" w:after="0" w:line="264" w:lineRule="auto"/>
              <w:jc w:val="center"/>
              <w:rPr>
                <w:rFonts w:hint="eastAsia" w:ascii="仿宋" w:hAnsi="仿宋" w:eastAsia="仿宋" w:cs="仿宋"/>
                <w:sz w:val="20"/>
                <w:szCs w:val="20"/>
              </w:rPr>
            </w:pPr>
          </w:p>
        </w:tc>
        <w:tc>
          <w:tcPr>
            <w:tcW w:w="963" w:type="dxa"/>
            <w:vMerge w:val="continue"/>
          </w:tcPr>
          <w:p w14:paraId="4A8D6688">
            <w:pPr>
              <w:spacing w:after="0" w:line="240" w:lineRule="auto"/>
              <w:rPr>
                <w:rFonts w:hint="eastAsia" w:ascii="仿宋" w:hAnsi="仿宋" w:eastAsia="仿宋" w:cs="仿宋"/>
                <w:sz w:val="20"/>
                <w:szCs w:val="20"/>
              </w:rPr>
            </w:pPr>
          </w:p>
        </w:tc>
        <w:tc>
          <w:tcPr>
            <w:tcW w:w="1028" w:type="dxa"/>
            <w:vMerge w:val="continue"/>
          </w:tcPr>
          <w:p w14:paraId="6512390A">
            <w:pPr>
              <w:spacing w:after="0" w:line="240" w:lineRule="auto"/>
              <w:rPr>
                <w:rFonts w:hint="eastAsia" w:ascii="仿宋" w:hAnsi="仿宋" w:eastAsia="仿宋" w:cs="仿宋"/>
                <w:sz w:val="20"/>
                <w:szCs w:val="20"/>
              </w:rPr>
            </w:pPr>
          </w:p>
        </w:tc>
      </w:tr>
      <w:tr w14:paraId="1ABF2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Align w:val="center"/>
          </w:tcPr>
          <w:p w14:paraId="786B05E0">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2</w:t>
            </w:r>
          </w:p>
        </w:tc>
        <w:tc>
          <w:tcPr>
            <w:tcW w:w="1524" w:type="dxa"/>
            <w:vAlign w:val="center"/>
          </w:tcPr>
          <w:p w14:paraId="176B4E49">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pecms-待办/已办列表</w:t>
            </w:r>
          </w:p>
        </w:tc>
        <w:tc>
          <w:tcPr>
            <w:tcW w:w="5790" w:type="dxa"/>
            <w:vAlign w:val="center"/>
          </w:tcPr>
          <w:p w14:paraId="08CBE59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手机app上的待办任务和已办任务，增加流程名称显示(巡检：巡检交底审批；驻厂：任务交底审批)</w:t>
            </w:r>
          </w:p>
        </w:tc>
        <w:tc>
          <w:tcPr>
            <w:tcW w:w="1381" w:type="dxa"/>
            <w:vAlign w:val="center"/>
          </w:tcPr>
          <w:p w14:paraId="44C16D2A">
            <w:pPr>
              <w:spacing w:before="0" w:after="0" w:line="264" w:lineRule="auto"/>
              <w:jc w:val="center"/>
              <w:rPr>
                <w:rFonts w:hint="eastAsia" w:ascii="仿宋" w:hAnsi="仿宋" w:eastAsia="仿宋" w:cs="仿宋"/>
                <w:sz w:val="20"/>
                <w:szCs w:val="20"/>
              </w:rPr>
            </w:pPr>
          </w:p>
        </w:tc>
        <w:tc>
          <w:tcPr>
            <w:tcW w:w="1409" w:type="dxa"/>
            <w:vAlign w:val="center"/>
          </w:tcPr>
          <w:p w14:paraId="1EC048A2">
            <w:pPr>
              <w:spacing w:before="0" w:after="0" w:line="264" w:lineRule="auto"/>
              <w:jc w:val="center"/>
              <w:rPr>
                <w:rFonts w:hint="eastAsia" w:ascii="仿宋" w:hAnsi="仿宋" w:eastAsia="仿宋" w:cs="仿宋"/>
                <w:sz w:val="20"/>
                <w:szCs w:val="20"/>
              </w:rPr>
            </w:pPr>
          </w:p>
        </w:tc>
        <w:tc>
          <w:tcPr>
            <w:tcW w:w="963" w:type="dxa"/>
            <w:vAlign w:val="center"/>
          </w:tcPr>
          <w:p w14:paraId="45CF5AD3">
            <w:pPr>
              <w:spacing w:before="0" w:after="0" w:line="264" w:lineRule="auto"/>
              <w:jc w:val="center"/>
              <w:rPr>
                <w:rFonts w:hint="eastAsia" w:ascii="仿宋" w:hAnsi="仿宋" w:eastAsia="仿宋" w:cs="仿宋"/>
                <w:sz w:val="20"/>
                <w:szCs w:val="20"/>
              </w:rPr>
            </w:pPr>
          </w:p>
        </w:tc>
        <w:tc>
          <w:tcPr>
            <w:tcW w:w="1028" w:type="dxa"/>
            <w:vAlign w:val="center"/>
          </w:tcPr>
          <w:p w14:paraId="1871A0A9">
            <w:pPr>
              <w:spacing w:before="0" w:after="0" w:line="264" w:lineRule="auto"/>
              <w:jc w:val="center"/>
              <w:rPr>
                <w:rFonts w:hint="eastAsia" w:ascii="仿宋" w:hAnsi="仿宋" w:eastAsia="仿宋" w:cs="仿宋"/>
                <w:sz w:val="20"/>
                <w:szCs w:val="20"/>
              </w:rPr>
            </w:pPr>
          </w:p>
        </w:tc>
      </w:tr>
      <w:tr w14:paraId="3DA05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0BFEB87B">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3</w:t>
            </w:r>
          </w:p>
        </w:tc>
        <w:tc>
          <w:tcPr>
            <w:tcW w:w="1524" w:type="dxa"/>
            <w:vMerge w:val="restart"/>
            <w:vAlign w:val="center"/>
          </w:tcPr>
          <w:p w14:paraId="6F129EF1">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pecms-任务派遣单</w:t>
            </w:r>
          </w:p>
        </w:tc>
        <w:tc>
          <w:tcPr>
            <w:tcW w:w="5790" w:type="dxa"/>
            <w:vAlign w:val="center"/>
          </w:tcPr>
          <w:p w14:paraId="56DC8BF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总监代表变更，由总监理工程师在我的派单列表页面选择派单发起总监代表变更，现有派单页面展示总监代表改为原总监代表，增加选择新总监代表及手机号，变更原因：文本录入，生效时间，上传附件支持PDF、WORD、图片等，分别由原总监代表、新总监代表审批，提交派单状态为进行中，生效时间之前发起的派单涉及审批可由原总监代表审批，生效时间之后的派单涉及审批可由新总监代表审批，区域经理/技术服务/执行部对这个变更可见，本功能参照现有任务派遣单派遣人员变更来做。</w:t>
            </w:r>
          </w:p>
        </w:tc>
        <w:tc>
          <w:tcPr>
            <w:tcW w:w="1381" w:type="dxa"/>
            <w:vAlign w:val="center"/>
          </w:tcPr>
          <w:p w14:paraId="649CD007">
            <w:pPr>
              <w:spacing w:before="0" w:after="0" w:line="264" w:lineRule="auto"/>
              <w:jc w:val="center"/>
              <w:rPr>
                <w:rFonts w:hint="eastAsia" w:ascii="仿宋" w:hAnsi="仿宋" w:eastAsia="仿宋" w:cs="仿宋"/>
                <w:sz w:val="20"/>
                <w:szCs w:val="20"/>
              </w:rPr>
            </w:pPr>
          </w:p>
        </w:tc>
        <w:tc>
          <w:tcPr>
            <w:tcW w:w="1409" w:type="dxa"/>
            <w:vAlign w:val="center"/>
          </w:tcPr>
          <w:p w14:paraId="3DE8B234">
            <w:pPr>
              <w:spacing w:before="0" w:after="0" w:line="264" w:lineRule="auto"/>
              <w:jc w:val="center"/>
              <w:rPr>
                <w:rFonts w:hint="eastAsia" w:ascii="仿宋" w:hAnsi="仿宋" w:eastAsia="仿宋" w:cs="仿宋"/>
                <w:sz w:val="20"/>
                <w:szCs w:val="20"/>
              </w:rPr>
            </w:pPr>
          </w:p>
        </w:tc>
        <w:tc>
          <w:tcPr>
            <w:tcW w:w="963" w:type="dxa"/>
            <w:vMerge w:val="restart"/>
            <w:vAlign w:val="center"/>
          </w:tcPr>
          <w:p w14:paraId="3D53E702">
            <w:pPr>
              <w:spacing w:before="0" w:after="0" w:line="264" w:lineRule="auto"/>
              <w:jc w:val="center"/>
              <w:rPr>
                <w:rFonts w:hint="eastAsia" w:ascii="仿宋" w:hAnsi="仿宋" w:eastAsia="仿宋" w:cs="仿宋"/>
                <w:sz w:val="20"/>
                <w:szCs w:val="20"/>
              </w:rPr>
            </w:pPr>
          </w:p>
        </w:tc>
        <w:tc>
          <w:tcPr>
            <w:tcW w:w="1028" w:type="dxa"/>
            <w:vMerge w:val="restart"/>
            <w:vAlign w:val="center"/>
          </w:tcPr>
          <w:p w14:paraId="4D4D415F">
            <w:pPr>
              <w:spacing w:before="0" w:after="0" w:line="264" w:lineRule="auto"/>
              <w:jc w:val="center"/>
              <w:rPr>
                <w:rFonts w:hint="eastAsia" w:ascii="仿宋" w:hAnsi="仿宋" w:eastAsia="仿宋" w:cs="仿宋"/>
                <w:sz w:val="20"/>
                <w:szCs w:val="20"/>
              </w:rPr>
            </w:pPr>
          </w:p>
        </w:tc>
      </w:tr>
      <w:tr w14:paraId="37953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17190C2E">
            <w:pPr>
              <w:spacing w:after="0" w:line="240" w:lineRule="auto"/>
              <w:rPr>
                <w:rFonts w:hint="eastAsia" w:ascii="仿宋" w:hAnsi="仿宋" w:eastAsia="仿宋" w:cs="仿宋"/>
                <w:sz w:val="20"/>
                <w:szCs w:val="20"/>
              </w:rPr>
            </w:pPr>
          </w:p>
        </w:tc>
        <w:tc>
          <w:tcPr>
            <w:tcW w:w="1524" w:type="dxa"/>
            <w:vMerge w:val="continue"/>
          </w:tcPr>
          <w:p w14:paraId="5BCC9FD5">
            <w:pPr>
              <w:spacing w:after="0" w:line="240" w:lineRule="auto"/>
              <w:rPr>
                <w:rFonts w:hint="eastAsia" w:ascii="仿宋" w:hAnsi="仿宋" w:eastAsia="仿宋" w:cs="仿宋"/>
                <w:sz w:val="20"/>
                <w:szCs w:val="20"/>
              </w:rPr>
            </w:pPr>
          </w:p>
        </w:tc>
        <w:tc>
          <w:tcPr>
            <w:tcW w:w="5790" w:type="dxa"/>
            <w:vAlign w:val="center"/>
          </w:tcPr>
          <w:p w14:paraId="33E2381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总监代表我的派单页面增加编辑、驳回重新提交按钮，允许总监代表进行编辑后重新提交。</w:t>
            </w:r>
          </w:p>
        </w:tc>
        <w:tc>
          <w:tcPr>
            <w:tcW w:w="1381" w:type="dxa"/>
            <w:vAlign w:val="center"/>
          </w:tcPr>
          <w:p w14:paraId="2D46C5D8">
            <w:pPr>
              <w:spacing w:before="0" w:after="0" w:line="264" w:lineRule="auto"/>
              <w:jc w:val="center"/>
              <w:rPr>
                <w:rFonts w:hint="eastAsia" w:ascii="仿宋" w:hAnsi="仿宋" w:eastAsia="仿宋" w:cs="仿宋"/>
                <w:sz w:val="20"/>
                <w:szCs w:val="20"/>
              </w:rPr>
            </w:pPr>
          </w:p>
        </w:tc>
        <w:tc>
          <w:tcPr>
            <w:tcW w:w="1409" w:type="dxa"/>
            <w:vAlign w:val="center"/>
          </w:tcPr>
          <w:p w14:paraId="5B0BCA11">
            <w:pPr>
              <w:spacing w:before="0" w:after="0" w:line="264" w:lineRule="auto"/>
              <w:jc w:val="center"/>
              <w:rPr>
                <w:rFonts w:hint="eastAsia" w:ascii="仿宋" w:hAnsi="仿宋" w:eastAsia="仿宋" w:cs="仿宋"/>
                <w:sz w:val="20"/>
                <w:szCs w:val="20"/>
              </w:rPr>
            </w:pPr>
          </w:p>
        </w:tc>
        <w:tc>
          <w:tcPr>
            <w:tcW w:w="963" w:type="dxa"/>
            <w:vMerge w:val="continue"/>
          </w:tcPr>
          <w:p w14:paraId="5EC05285">
            <w:pPr>
              <w:spacing w:after="0" w:line="240" w:lineRule="auto"/>
              <w:rPr>
                <w:rFonts w:hint="eastAsia" w:ascii="仿宋" w:hAnsi="仿宋" w:eastAsia="仿宋" w:cs="仿宋"/>
                <w:sz w:val="20"/>
                <w:szCs w:val="20"/>
              </w:rPr>
            </w:pPr>
          </w:p>
        </w:tc>
        <w:tc>
          <w:tcPr>
            <w:tcW w:w="1028" w:type="dxa"/>
            <w:vMerge w:val="continue"/>
          </w:tcPr>
          <w:p w14:paraId="5CD59D71">
            <w:pPr>
              <w:spacing w:after="0" w:line="240" w:lineRule="auto"/>
              <w:rPr>
                <w:rFonts w:hint="eastAsia" w:ascii="仿宋" w:hAnsi="仿宋" w:eastAsia="仿宋" w:cs="仿宋"/>
                <w:sz w:val="20"/>
                <w:szCs w:val="20"/>
              </w:rPr>
            </w:pPr>
          </w:p>
        </w:tc>
      </w:tr>
      <w:tr w14:paraId="11002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7" w:type="dxa"/>
            <w:gridSpan w:val="2"/>
            <w:vAlign w:val="center"/>
          </w:tcPr>
          <w:p w14:paraId="4006799E">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工作量构成：</w:t>
            </w:r>
          </w:p>
        </w:tc>
        <w:tc>
          <w:tcPr>
            <w:tcW w:w="10571" w:type="dxa"/>
            <w:gridSpan w:val="5"/>
            <w:vAlign w:val="center"/>
          </w:tcPr>
          <w:p w14:paraId="045FD94D">
            <w:pPr>
              <w:spacing w:before="0" w:after="0" w:line="264" w:lineRule="auto"/>
              <w:jc w:val="center"/>
              <w:rPr>
                <w:rFonts w:hint="eastAsia" w:ascii="仿宋" w:hAnsi="仿宋" w:eastAsia="仿宋" w:cs="仿宋"/>
                <w:sz w:val="20"/>
                <w:szCs w:val="20"/>
                <w:lang w:val="en-US" w:eastAsia="zh-CN"/>
              </w:rPr>
            </w:pPr>
            <w:r>
              <w:rPr>
                <w:rFonts w:hint="eastAsia" w:ascii="仿宋" w:hAnsi="仿宋" w:eastAsia="仿宋" w:cs="仿宋"/>
                <w:b/>
                <w:bCs/>
                <w:sz w:val="20"/>
                <w:szCs w:val="20"/>
              </w:rPr>
              <w:t>安全管理</w:t>
            </w:r>
            <w:r>
              <w:rPr>
                <w:rFonts w:hint="eastAsia" w:ascii="仿宋" w:hAnsi="仿宋" w:eastAsia="仿宋" w:cs="仿宋"/>
                <w:b/>
                <w:bCs/>
                <w:sz w:val="20"/>
                <w:szCs w:val="20"/>
                <w:lang w:val="en-US" w:eastAsia="zh-CN"/>
              </w:rPr>
              <w:t>模块</w:t>
            </w:r>
          </w:p>
        </w:tc>
      </w:tr>
      <w:tr w14:paraId="2ED02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Align w:val="center"/>
          </w:tcPr>
          <w:p w14:paraId="01936F57">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序号</w:t>
            </w:r>
          </w:p>
        </w:tc>
        <w:tc>
          <w:tcPr>
            <w:tcW w:w="1524" w:type="dxa"/>
            <w:vAlign w:val="center"/>
          </w:tcPr>
          <w:p w14:paraId="635F4804">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功能模块</w:t>
            </w:r>
          </w:p>
        </w:tc>
        <w:tc>
          <w:tcPr>
            <w:tcW w:w="5790" w:type="dxa"/>
            <w:vAlign w:val="center"/>
          </w:tcPr>
          <w:p w14:paraId="536D3732">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功能点描述</w:t>
            </w:r>
          </w:p>
        </w:tc>
        <w:tc>
          <w:tcPr>
            <w:tcW w:w="1381" w:type="dxa"/>
            <w:vAlign w:val="center"/>
          </w:tcPr>
          <w:p w14:paraId="5E828CEE">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人工日/数量</w:t>
            </w:r>
          </w:p>
        </w:tc>
        <w:tc>
          <w:tcPr>
            <w:tcW w:w="1409" w:type="dxa"/>
            <w:vAlign w:val="center"/>
          </w:tcPr>
          <w:p w14:paraId="40C2D88A">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单价（元）</w:t>
            </w:r>
          </w:p>
        </w:tc>
        <w:tc>
          <w:tcPr>
            <w:tcW w:w="963" w:type="dxa"/>
            <w:vAlign w:val="center"/>
          </w:tcPr>
          <w:p w14:paraId="3B157D5C">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小计（元）</w:t>
            </w:r>
          </w:p>
        </w:tc>
        <w:tc>
          <w:tcPr>
            <w:tcW w:w="1028" w:type="dxa"/>
            <w:vAlign w:val="center"/>
          </w:tcPr>
          <w:p w14:paraId="74C7DB8F">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备注</w:t>
            </w:r>
          </w:p>
        </w:tc>
      </w:tr>
      <w:tr w14:paraId="10CA9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10DC29BC">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1</w:t>
            </w:r>
          </w:p>
        </w:tc>
        <w:tc>
          <w:tcPr>
            <w:tcW w:w="1524" w:type="dxa"/>
            <w:vMerge w:val="restart"/>
            <w:vAlign w:val="center"/>
          </w:tcPr>
          <w:p w14:paraId="6DDCE926">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地图人员实时菜单</w:t>
            </w:r>
          </w:p>
        </w:tc>
        <w:tc>
          <w:tcPr>
            <w:tcW w:w="5790" w:type="dxa"/>
            <w:vAlign w:val="center"/>
          </w:tcPr>
          <w:p w14:paraId="5CBAEFB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实时地图与全员打卡总览</w:t>
            </w:r>
          </w:p>
          <w:p w14:paraId="7933301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业务目标</w:t>
            </w:r>
          </w:p>
          <w:p w14:paraId="7906164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在现有监理人员打卡定位能力基础上，扩展为面向全员的实时地图监控能力，实现人员位置、打卡性质、出差流程、统计面板的统一展示与联动。并保留现有搜索功能，以适应新的列表数据。</w:t>
            </w:r>
          </w:p>
          <w:p w14:paraId="4560B76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功能范围</w:t>
            </w:r>
          </w:p>
          <w:p w14:paraId="49ECA33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1.实时地图用于展示全员打卡相关信息，至少包括：</w:t>
            </w:r>
          </w:p>
          <w:p w14:paraId="1385232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o监理人员打卡</w:t>
            </w:r>
          </w:p>
          <w:p w14:paraId="4FDDCC7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o外勤人员打卡</w:t>
            </w:r>
          </w:p>
          <w:p w14:paraId="32DCF86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o本部人员打卡</w:t>
            </w:r>
          </w:p>
          <w:p w14:paraId="284BC94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2.地图标点按基础打卡类型区分展示方式；出差状态作为附加属性展示，不替代基础类型。</w:t>
            </w:r>
          </w:p>
          <w:p w14:paraId="7C293B6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3.若人员存在有效出差申请，地图标点需增加出差标识。</w:t>
            </w:r>
          </w:p>
          <w:p w14:paraId="1BD6429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4.点击地图标点后：</w:t>
            </w:r>
          </w:p>
          <w:p w14:paraId="4EF1847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o展示当前打卡人员的当前位置明细</w:t>
            </w:r>
          </w:p>
          <w:p w14:paraId="08216C3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o外勤人员展示打卡备注</w:t>
            </w:r>
          </w:p>
          <w:p w14:paraId="5811F21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o出差/外勤人员展示关联流程表单内容</w:t>
            </w:r>
          </w:p>
          <w:p w14:paraId="3F54231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5.页面底部提供与地图联动的人员统计与明细列表，默认展示全部人员。</w:t>
            </w:r>
          </w:p>
          <w:p w14:paraId="5F27ED4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6.地图标点、统计数字、底部明细表三者必须保持口径一致。</w:t>
            </w:r>
          </w:p>
          <w:p w14:paraId="3BB6D36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权限规则</w:t>
            </w:r>
          </w:p>
          <w:p w14:paraId="69F2CB6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1.新增“地图查看管理员”权限。</w:t>
            </w:r>
          </w:p>
          <w:p w14:paraId="2C7BF00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2.区域经理仅可查看自己管辖人员的地图打卡信息。</w:t>
            </w:r>
          </w:p>
          <w:p w14:paraId="567F733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3.除区域经理外，其余有权限角色默认可查看全员打卡信息。</w:t>
            </w:r>
          </w:p>
          <w:p w14:paraId="3598D5E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统计规则</w:t>
            </w:r>
          </w:p>
          <w:p w14:paraId="521B0DB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1.统计口径默认包含全部人员。</w:t>
            </w:r>
          </w:p>
          <w:p w14:paraId="48C9923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2.统计项至少包括：应打卡人数、实际打卡人数、未打卡人数、请假人数、出差人数。</w:t>
            </w:r>
          </w:p>
          <w:p w14:paraId="3CC21C2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3.正式、方胜、劳务统一统计，不做单独拆分。</w:t>
            </w:r>
          </w:p>
          <w:p w14:paraId="76A9E4D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4.技术服务人员不纳入该实时地图展示范围。</w:t>
            </w:r>
          </w:p>
          <w:p w14:paraId="582A2FB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数据规则</w:t>
            </w:r>
          </w:p>
          <w:p w14:paraId="632627D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1.出差信息作为打卡记录的附属属性关联，不与派单并列统计。</w:t>
            </w:r>
          </w:p>
          <w:p w14:paraId="225304E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2.系统初始视图默认为“全部人员、全口径统计、全量地图标点”。</w:t>
            </w:r>
          </w:p>
          <w:p w14:paraId="0FDBACB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3.相关页面效果可参考现有 html 原型。</w:t>
            </w:r>
          </w:p>
        </w:tc>
        <w:tc>
          <w:tcPr>
            <w:tcW w:w="1381" w:type="dxa"/>
            <w:vAlign w:val="center"/>
          </w:tcPr>
          <w:p w14:paraId="7104260F">
            <w:pPr>
              <w:spacing w:before="0" w:after="0" w:line="264" w:lineRule="auto"/>
              <w:jc w:val="center"/>
              <w:rPr>
                <w:rFonts w:hint="eastAsia" w:ascii="仿宋" w:hAnsi="仿宋" w:eastAsia="仿宋" w:cs="仿宋"/>
                <w:sz w:val="20"/>
                <w:szCs w:val="20"/>
              </w:rPr>
            </w:pPr>
          </w:p>
        </w:tc>
        <w:tc>
          <w:tcPr>
            <w:tcW w:w="1409" w:type="dxa"/>
            <w:vAlign w:val="center"/>
          </w:tcPr>
          <w:p w14:paraId="10CE9F96">
            <w:pPr>
              <w:spacing w:before="0" w:after="0" w:line="264" w:lineRule="auto"/>
              <w:jc w:val="center"/>
              <w:rPr>
                <w:rFonts w:hint="eastAsia" w:ascii="仿宋" w:hAnsi="仿宋" w:eastAsia="仿宋" w:cs="仿宋"/>
                <w:sz w:val="20"/>
                <w:szCs w:val="20"/>
              </w:rPr>
            </w:pPr>
          </w:p>
        </w:tc>
        <w:tc>
          <w:tcPr>
            <w:tcW w:w="963" w:type="dxa"/>
            <w:vMerge w:val="restart"/>
            <w:vAlign w:val="center"/>
          </w:tcPr>
          <w:p w14:paraId="0A1AEAC1">
            <w:pPr>
              <w:spacing w:before="0" w:after="0" w:line="264" w:lineRule="auto"/>
              <w:jc w:val="center"/>
              <w:rPr>
                <w:rFonts w:hint="eastAsia" w:ascii="仿宋" w:hAnsi="仿宋" w:eastAsia="仿宋" w:cs="仿宋"/>
                <w:sz w:val="20"/>
                <w:szCs w:val="20"/>
              </w:rPr>
            </w:pPr>
          </w:p>
        </w:tc>
        <w:tc>
          <w:tcPr>
            <w:tcW w:w="1028" w:type="dxa"/>
            <w:vMerge w:val="restart"/>
            <w:vAlign w:val="center"/>
          </w:tcPr>
          <w:p w14:paraId="05629356">
            <w:pPr>
              <w:spacing w:before="0" w:after="0" w:line="264" w:lineRule="auto"/>
              <w:jc w:val="center"/>
              <w:rPr>
                <w:rFonts w:hint="eastAsia" w:ascii="仿宋" w:hAnsi="仿宋" w:eastAsia="仿宋" w:cs="仿宋"/>
                <w:sz w:val="20"/>
                <w:szCs w:val="20"/>
              </w:rPr>
            </w:pPr>
          </w:p>
        </w:tc>
      </w:tr>
      <w:tr w14:paraId="56ABC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25BC7653">
            <w:pPr>
              <w:spacing w:after="0" w:line="240" w:lineRule="auto"/>
              <w:rPr>
                <w:rFonts w:hint="eastAsia" w:ascii="仿宋" w:hAnsi="仿宋" w:eastAsia="仿宋" w:cs="仿宋"/>
                <w:sz w:val="20"/>
                <w:szCs w:val="20"/>
              </w:rPr>
            </w:pPr>
          </w:p>
        </w:tc>
        <w:tc>
          <w:tcPr>
            <w:tcW w:w="1524" w:type="dxa"/>
            <w:vMerge w:val="continue"/>
          </w:tcPr>
          <w:p w14:paraId="68F0A469">
            <w:pPr>
              <w:spacing w:after="0" w:line="240" w:lineRule="auto"/>
              <w:rPr>
                <w:rFonts w:hint="eastAsia" w:ascii="仿宋" w:hAnsi="仿宋" w:eastAsia="仿宋" w:cs="仿宋"/>
                <w:sz w:val="20"/>
                <w:szCs w:val="20"/>
              </w:rPr>
            </w:pPr>
          </w:p>
        </w:tc>
        <w:tc>
          <w:tcPr>
            <w:tcW w:w="5790" w:type="dxa"/>
            <w:vAlign w:val="center"/>
          </w:tcPr>
          <w:p w14:paraId="6305D76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泛微考勤数据通过接口、定时任务同步至pecms平台(不含泛微二开部分工作量)</w:t>
            </w:r>
          </w:p>
        </w:tc>
        <w:tc>
          <w:tcPr>
            <w:tcW w:w="1381" w:type="dxa"/>
            <w:vAlign w:val="center"/>
          </w:tcPr>
          <w:p w14:paraId="1A8A8F58">
            <w:pPr>
              <w:spacing w:before="0" w:after="0" w:line="264" w:lineRule="auto"/>
              <w:jc w:val="center"/>
              <w:rPr>
                <w:rFonts w:hint="eastAsia" w:ascii="仿宋" w:hAnsi="仿宋" w:eastAsia="仿宋" w:cs="仿宋"/>
                <w:sz w:val="20"/>
                <w:szCs w:val="20"/>
              </w:rPr>
            </w:pPr>
          </w:p>
        </w:tc>
        <w:tc>
          <w:tcPr>
            <w:tcW w:w="1409" w:type="dxa"/>
            <w:vAlign w:val="center"/>
          </w:tcPr>
          <w:p w14:paraId="3C2D9941">
            <w:pPr>
              <w:spacing w:before="0" w:after="0" w:line="264" w:lineRule="auto"/>
              <w:jc w:val="center"/>
              <w:rPr>
                <w:rFonts w:hint="eastAsia" w:ascii="仿宋" w:hAnsi="仿宋" w:eastAsia="仿宋" w:cs="仿宋"/>
                <w:sz w:val="20"/>
                <w:szCs w:val="20"/>
              </w:rPr>
            </w:pPr>
          </w:p>
        </w:tc>
        <w:tc>
          <w:tcPr>
            <w:tcW w:w="963" w:type="dxa"/>
            <w:vMerge w:val="continue"/>
          </w:tcPr>
          <w:p w14:paraId="3BABC651">
            <w:pPr>
              <w:spacing w:after="0" w:line="240" w:lineRule="auto"/>
              <w:rPr>
                <w:rFonts w:hint="eastAsia" w:ascii="仿宋" w:hAnsi="仿宋" w:eastAsia="仿宋" w:cs="仿宋"/>
                <w:sz w:val="20"/>
                <w:szCs w:val="20"/>
              </w:rPr>
            </w:pPr>
          </w:p>
        </w:tc>
        <w:tc>
          <w:tcPr>
            <w:tcW w:w="1028" w:type="dxa"/>
            <w:vMerge w:val="continue"/>
          </w:tcPr>
          <w:p w14:paraId="71B2D4BF">
            <w:pPr>
              <w:spacing w:after="0" w:line="240" w:lineRule="auto"/>
              <w:rPr>
                <w:rFonts w:hint="eastAsia" w:ascii="仿宋" w:hAnsi="仿宋" w:eastAsia="仿宋" w:cs="仿宋"/>
                <w:sz w:val="20"/>
                <w:szCs w:val="20"/>
              </w:rPr>
            </w:pPr>
          </w:p>
        </w:tc>
      </w:tr>
      <w:tr w14:paraId="00CF5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Align w:val="center"/>
          </w:tcPr>
          <w:p w14:paraId="07EE7C01">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2</w:t>
            </w:r>
          </w:p>
        </w:tc>
        <w:tc>
          <w:tcPr>
            <w:tcW w:w="1524" w:type="dxa"/>
            <w:vAlign w:val="center"/>
          </w:tcPr>
          <w:p w14:paraId="4513146E">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地图人员派单</w:t>
            </w:r>
          </w:p>
        </w:tc>
        <w:tc>
          <w:tcPr>
            <w:tcW w:w="5790" w:type="dxa"/>
            <w:vAlign w:val="center"/>
          </w:tcPr>
          <w:p w14:paraId="5AC9180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标点动态过滤机制：</w:t>
            </w:r>
          </w:p>
          <w:p w14:paraId="1A86BE1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默认显示策略：地图初始化时，仅保留“进行中”和“未开始”状态的标点，其余状态默认隐藏。</w:t>
            </w:r>
          </w:p>
          <w:p w14:paraId="0B2F547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执行状态筛选：增加“执行状态”筛选器，支持用户通过多选/单选实时控制地图标点的显隐，实现标点的动态化视图。</w:t>
            </w:r>
          </w:p>
          <w:p w14:paraId="226E3C4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遮罩层数据同步：界面遮罩层（信息面板）的数据统计口径必须与当前地图展示的标点保持实时一致，确保“所见即所得”。</w:t>
            </w:r>
          </w:p>
        </w:tc>
        <w:tc>
          <w:tcPr>
            <w:tcW w:w="1381" w:type="dxa"/>
            <w:vAlign w:val="center"/>
          </w:tcPr>
          <w:p w14:paraId="79CE24A1">
            <w:pPr>
              <w:spacing w:before="0" w:after="0" w:line="264" w:lineRule="auto"/>
              <w:jc w:val="center"/>
              <w:rPr>
                <w:rFonts w:hint="eastAsia" w:ascii="仿宋" w:hAnsi="仿宋" w:eastAsia="仿宋" w:cs="仿宋"/>
                <w:sz w:val="20"/>
                <w:szCs w:val="20"/>
              </w:rPr>
            </w:pPr>
          </w:p>
        </w:tc>
        <w:tc>
          <w:tcPr>
            <w:tcW w:w="1409" w:type="dxa"/>
            <w:vAlign w:val="center"/>
          </w:tcPr>
          <w:p w14:paraId="4422B04F">
            <w:pPr>
              <w:spacing w:before="0" w:after="0" w:line="264" w:lineRule="auto"/>
              <w:jc w:val="center"/>
              <w:rPr>
                <w:rFonts w:hint="eastAsia" w:ascii="仿宋" w:hAnsi="仿宋" w:eastAsia="仿宋" w:cs="仿宋"/>
                <w:sz w:val="20"/>
                <w:szCs w:val="20"/>
              </w:rPr>
            </w:pPr>
          </w:p>
        </w:tc>
        <w:tc>
          <w:tcPr>
            <w:tcW w:w="963" w:type="dxa"/>
            <w:vAlign w:val="center"/>
          </w:tcPr>
          <w:p w14:paraId="065B7C57">
            <w:pPr>
              <w:spacing w:before="0" w:after="0" w:line="264" w:lineRule="auto"/>
              <w:jc w:val="center"/>
              <w:rPr>
                <w:rFonts w:hint="eastAsia" w:ascii="仿宋" w:hAnsi="仿宋" w:eastAsia="仿宋" w:cs="仿宋"/>
                <w:sz w:val="20"/>
                <w:szCs w:val="20"/>
              </w:rPr>
            </w:pPr>
          </w:p>
        </w:tc>
        <w:tc>
          <w:tcPr>
            <w:tcW w:w="1028" w:type="dxa"/>
            <w:vAlign w:val="center"/>
          </w:tcPr>
          <w:p w14:paraId="7D15AB2C">
            <w:pPr>
              <w:spacing w:before="0" w:after="0" w:line="264" w:lineRule="auto"/>
              <w:jc w:val="center"/>
              <w:rPr>
                <w:rFonts w:hint="eastAsia" w:ascii="仿宋" w:hAnsi="仿宋" w:eastAsia="仿宋" w:cs="仿宋"/>
                <w:sz w:val="20"/>
                <w:szCs w:val="20"/>
              </w:rPr>
            </w:pPr>
          </w:p>
        </w:tc>
      </w:tr>
      <w:tr w14:paraId="00635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2943857A">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3</w:t>
            </w:r>
          </w:p>
        </w:tc>
        <w:tc>
          <w:tcPr>
            <w:tcW w:w="1524" w:type="dxa"/>
            <w:vMerge w:val="restart"/>
            <w:vAlign w:val="center"/>
          </w:tcPr>
          <w:p w14:paraId="5B83DBB7">
            <w:pPr>
              <w:spacing w:before="0" w:after="0" w:line="264" w:lineRule="auto"/>
              <w:jc w:val="center"/>
              <w:rPr>
                <w:rFonts w:hint="eastAsia" w:ascii="仿宋" w:hAnsi="仿宋" w:eastAsia="仿宋" w:cs="仿宋"/>
                <w:b w:val="0"/>
                <w:sz w:val="20"/>
                <w:szCs w:val="20"/>
              </w:rPr>
            </w:pPr>
          </w:p>
          <w:p w14:paraId="6F15C58A">
            <w:pPr>
              <w:spacing w:before="0" w:after="0" w:line="264" w:lineRule="auto"/>
              <w:jc w:val="center"/>
              <w:rPr>
                <w:rFonts w:hint="eastAsia" w:ascii="仿宋" w:hAnsi="仿宋" w:eastAsia="仿宋" w:cs="仿宋"/>
                <w:b w:val="0"/>
                <w:sz w:val="20"/>
                <w:szCs w:val="20"/>
              </w:rPr>
            </w:pPr>
          </w:p>
          <w:p w14:paraId="305D65BC">
            <w:pPr>
              <w:spacing w:before="0" w:after="0" w:line="264" w:lineRule="auto"/>
              <w:jc w:val="center"/>
              <w:rPr>
                <w:rFonts w:hint="eastAsia" w:ascii="仿宋" w:hAnsi="仿宋" w:eastAsia="仿宋" w:cs="仿宋"/>
                <w:b w:val="0"/>
                <w:sz w:val="20"/>
                <w:szCs w:val="20"/>
              </w:rPr>
            </w:pPr>
          </w:p>
          <w:p w14:paraId="1C1B8608">
            <w:pPr>
              <w:spacing w:before="0" w:after="0" w:line="264" w:lineRule="auto"/>
              <w:jc w:val="center"/>
              <w:rPr>
                <w:rFonts w:hint="eastAsia" w:ascii="仿宋" w:hAnsi="仿宋" w:eastAsia="仿宋" w:cs="仿宋"/>
                <w:b w:val="0"/>
                <w:sz w:val="20"/>
                <w:szCs w:val="20"/>
              </w:rPr>
            </w:pPr>
          </w:p>
          <w:p w14:paraId="3BF60382">
            <w:pPr>
              <w:spacing w:before="0" w:after="0" w:line="264" w:lineRule="auto"/>
              <w:jc w:val="center"/>
              <w:rPr>
                <w:rFonts w:hint="eastAsia" w:ascii="仿宋" w:hAnsi="仿宋" w:eastAsia="仿宋" w:cs="仿宋"/>
                <w:b w:val="0"/>
                <w:sz w:val="20"/>
                <w:szCs w:val="20"/>
              </w:rPr>
            </w:pPr>
          </w:p>
          <w:p w14:paraId="315B2EB2">
            <w:pPr>
              <w:spacing w:before="0" w:after="0" w:line="264" w:lineRule="auto"/>
              <w:jc w:val="center"/>
              <w:rPr>
                <w:rFonts w:hint="eastAsia" w:ascii="仿宋" w:hAnsi="仿宋" w:eastAsia="仿宋" w:cs="仿宋"/>
                <w:b w:val="0"/>
                <w:sz w:val="20"/>
                <w:szCs w:val="20"/>
              </w:rPr>
            </w:pPr>
          </w:p>
          <w:p w14:paraId="77FCF1AB">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人员动态信息</w:t>
            </w:r>
          </w:p>
        </w:tc>
        <w:tc>
          <w:tcPr>
            <w:tcW w:w="5790" w:type="dxa"/>
            <w:vAlign w:val="center"/>
          </w:tcPr>
          <w:p w14:paraId="0DA25CA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需求名称</w:t>
            </w:r>
          </w:p>
          <w:p w14:paraId="48DBE1B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执行部人员动态台账</w:t>
            </w:r>
          </w:p>
          <w:p w14:paraId="1879AD7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业务目标</w:t>
            </w:r>
          </w:p>
          <w:p w14:paraId="76FE4A7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以执行部当前线下在线文档为对标对象，在安全平台建设可替代表格操作的动态台账能力，最终取消线下表格。</w:t>
            </w:r>
          </w:p>
          <w:p w14:paraId="2605EE1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数据来源与归属</w:t>
            </w:r>
          </w:p>
          <w:p w14:paraId="7AB6760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1.业务基础数据来源于 PECMS。</w:t>
            </w:r>
          </w:p>
          <w:p w14:paraId="2EF7D1D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2.数据需同步或归集到安全平台后再进行业务操作。</w:t>
            </w:r>
          </w:p>
          <w:p w14:paraId="1EF4A72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3.安全平台上的编辑结果不得反写或影响 PECMS 原始数据。</w:t>
            </w:r>
          </w:p>
          <w:p w14:paraId="0E3C3DD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4.若安全平台存在覆盖记录，展示时以安全平台记录为准。</w:t>
            </w:r>
          </w:p>
          <w:p w14:paraId="74C90C3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功能要求</w:t>
            </w:r>
          </w:p>
          <w:p w14:paraId="16E6F32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1.页面应覆盖执行部当前用于管理各派单执行情况的核心台账场景。</w:t>
            </w:r>
          </w:p>
          <w:p w14:paraId="7883A31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2.列表中所有展示字段均需支持作为筛选条件。</w:t>
            </w:r>
          </w:p>
          <w:p w14:paraId="0970575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3.页面右侧图内标记信息支持在安全管理中直接修改。</w:t>
            </w:r>
          </w:p>
          <w:p w14:paraId="67E2429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4.以下字段支持在安全平台内编辑：</w:t>
            </w:r>
          </w:p>
          <w:p w14:paraId="19CD36D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o派单状态（执行状态）</w:t>
            </w:r>
          </w:p>
          <w:p w14:paraId="44C0A1F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o实际开始时间</w:t>
            </w:r>
          </w:p>
          <w:p w14:paraId="300A0B9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o预计完工时间</w:t>
            </w:r>
          </w:p>
          <w:p w14:paraId="39F17AB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权限要求</w:t>
            </w:r>
          </w:p>
          <w:p w14:paraId="4C8320A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1.数据操作权限统一收口至安全平台。</w:t>
            </w:r>
          </w:p>
          <w:p w14:paraId="6864C93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2.编辑行为仅作用于安全平台侧的业务台账。</w:t>
            </w:r>
          </w:p>
          <w:p w14:paraId="70933E0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功能补充说明</w:t>
            </w:r>
          </w:p>
          <w:p w14:paraId="3B9C1AD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1.页面需提供“派单辅助人员变更”信息的查看入口。</w:t>
            </w:r>
          </w:p>
          <w:p w14:paraId="0F7B2B2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2.通过该入口可查看派单辅助人员的历史变更记录信息。</w:t>
            </w:r>
          </w:p>
        </w:tc>
        <w:tc>
          <w:tcPr>
            <w:tcW w:w="1381" w:type="dxa"/>
            <w:vAlign w:val="center"/>
          </w:tcPr>
          <w:p w14:paraId="4A7E22E2">
            <w:pPr>
              <w:spacing w:before="0" w:after="0" w:line="264" w:lineRule="auto"/>
              <w:jc w:val="center"/>
              <w:rPr>
                <w:rFonts w:hint="eastAsia" w:ascii="仿宋" w:hAnsi="仿宋" w:eastAsia="仿宋" w:cs="仿宋"/>
                <w:sz w:val="20"/>
                <w:szCs w:val="20"/>
              </w:rPr>
            </w:pPr>
          </w:p>
        </w:tc>
        <w:tc>
          <w:tcPr>
            <w:tcW w:w="1409" w:type="dxa"/>
            <w:vAlign w:val="center"/>
          </w:tcPr>
          <w:p w14:paraId="5F62FB5D">
            <w:pPr>
              <w:spacing w:before="0" w:after="0" w:line="264" w:lineRule="auto"/>
              <w:jc w:val="center"/>
              <w:rPr>
                <w:rFonts w:hint="eastAsia" w:ascii="仿宋" w:hAnsi="仿宋" w:eastAsia="仿宋" w:cs="仿宋"/>
                <w:sz w:val="20"/>
                <w:szCs w:val="20"/>
              </w:rPr>
            </w:pPr>
          </w:p>
        </w:tc>
        <w:tc>
          <w:tcPr>
            <w:tcW w:w="963" w:type="dxa"/>
            <w:vMerge w:val="restart"/>
            <w:vAlign w:val="center"/>
          </w:tcPr>
          <w:p w14:paraId="57433C39">
            <w:pPr>
              <w:spacing w:before="0" w:after="0" w:line="264" w:lineRule="auto"/>
              <w:jc w:val="center"/>
              <w:rPr>
                <w:rFonts w:hint="eastAsia" w:ascii="仿宋" w:hAnsi="仿宋" w:eastAsia="仿宋" w:cs="仿宋"/>
                <w:sz w:val="20"/>
                <w:szCs w:val="20"/>
              </w:rPr>
            </w:pPr>
          </w:p>
        </w:tc>
        <w:tc>
          <w:tcPr>
            <w:tcW w:w="1028" w:type="dxa"/>
            <w:vMerge w:val="restart"/>
            <w:vAlign w:val="center"/>
          </w:tcPr>
          <w:p w14:paraId="372944EA">
            <w:pPr>
              <w:spacing w:before="0" w:after="0" w:line="264" w:lineRule="auto"/>
              <w:jc w:val="center"/>
              <w:rPr>
                <w:rFonts w:hint="eastAsia" w:ascii="仿宋" w:hAnsi="仿宋" w:eastAsia="仿宋" w:cs="仿宋"/>
                <w:sz w:val="20"/>
                <w:szCs w:val="20"/>
              </w:rPr>
            </w:pPr>
          </w:p>
        </w:tc>
      </w:tr>
      <w:tr w14:paraId="6FC5B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06536AFE">
            <w:pPr>
              <w:spacing w:after="0" w:line="240" w:lineRule="auto"/>
              <w:rPr>
                <w:rFonts w:hint="eastAsia" w:ascii="仿宋" w:hAnsi="仿宋" w:eastAsia="仿宋" w:cs="仿宋"/>
                <w:sz w:val="20"/>
                <w:szCs w:val="20"/>
              </w:rPr>
            </w:pPr>
          </w:p>
        </w:tc>
        <w:tc>
          <w:tcPr>
            <w:tcW w:w="1524" w:type="dxa"/>
            <w:vMerge w:val="continue"/>
          </w:tcPr>
          <w:p w14:paraId="0ADE70BF">
            <w:pPr>
              <w:spacing w:after="0" w:line="240" w:lineRule="auto"/>
              <w:rPr>
                <w:rFonts w:hint="eastAsia" w:ascii="仿宋" w:hAnsi="仿宋" w:eastAsia="仿宋" w:cs="仿宋"/>
                <w:sz w:val="20"/>
                <w:szCs w:val="20"/>
              </w:rPr>
            </w:pPr>
          </w:p>
        </w:tc>
        <w:tc>
          <w:tcPr>
            <w:tcW w:w="5790" w:type="dxa"/>
            <w:vAlign w:val="center"/>
          </w:tcPr>
          <w:p w14:paraId="5256066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需求名称</w:t>
            </w:r>
          </w:p>
          <w:p w14:paraId="5779331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培训考试中的人员性质管理</w:t>
            </w:r>
          </w:p>
          <w:p w14:paraId="13411C0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功能范围</w:t>
            </w:r>
          </w:p>
          <w:p w14:paraId="5F8C8FA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1.在培训人员列表、考试人员列表中新增“人员性质”字段。</w:t>
            </w:r>
          </w:p>
          <w:p w14:paraId="09ED9D8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2.列表所有展示字段均支持作为搜索条件。</w:t>
            </w:r>
          </w:p>
          <w:p w14:paraId="0A50B07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3.搜索框需按照列表字段进行条件补全。</w:t>
            </w:r>
          </w:p>
          <w:p w14:paraId="32945EB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4.新增“人员性质管理”功能，支持：</w:t>
            </w:r>
          </w:p>
          <w:p w14:paraId="3F801F1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o创建人员性质</w:t>
            </w:r>
          </w:p>
          <w:p w14:paraId="10DA0EB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o批量为人员分配人员性质</w:t>
            </w:r>
          </w:p>
          <w:p w14:paraId="7E71EC4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o在用户管理中维护人员性质</w:t>
            </w:r>
          </w:p>
          <w:p w14:paraId="168FAB9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页面影响范围</w:t>
            </w:r>
          </w:p>
          <w:p w14:paraId="04305AD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1.培训人员列表</w:t>
            </w:r>
          </w:p>
          <w:p w14:paraId="59EF4F8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2.考试人员列表</w:t>
            </w:r>
          </w:p>
          <w:p w14:paraId="78A2498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3.用户管理列表页</w:t>
            </w:r>
          </w:p>
          <w:p w14:paraId="41ECF1A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4.用户管理详情页</w:t>
            </w:r>
          </w:p>
          <w:p w14:paraId="2ACD41C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5.用户新增页</w:t>
            </w:r>
          </w:p>
          <w:p w14:paraId="363077D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6.用户编辑页</w:t>
            </w:r>
          </w:p>
          <w:p w14:paraId="292BEFE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7.人员性质专项管理页</w:t>
            </w:r>
          </w:p>
          <w:p w14:paraId="20DEC41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业务规则</w:t>
            </w:r>
          </w:p>
          <w:p w14:paraId="7A8488A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1.人员性质与人员之间为一对多关系：</w:t>
            </w:r>
          </w:p>
          <w:p w14:paraId="0A1E263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o一个用户只能有一个人员性质</w:t>
            </w:r>
          </w:p>
          <w:p w14:paraId="00B175B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o一个人员性质可绑定多个用户</w:t>
            </w:r>
          </w:p>
          <w:p w14:paraId="455A735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2.用户管理中的人员性质维护交互可参考现有“角色”或“部门选择”方式。</w:t>
            </w:r>
          </w:p>
        </w:tc>
        <w:tc>
          <w:tcPr>
            <w:tcW w:w="1381" w:type="dxa"/>
            <w:vAlign w:val="center"/>
          </w:tcPr>
          <w:p w14:paraId="4690059A">
            <w:pPr>
              <w:spacing w:before="0" w:after="0" w:line="264" w:lineRule="auto"/>
              <w:jc w:val="center"/>
              <w:rPr>
                <w:rFonts w:hint="eastAsia" w:ascii="仿宋" w:hAnsi="仿宋" w:eastAsia="仿宋" w:cs="仿宋"/>
                <w:sz w:val="20"/>
                <w:szCs w:val="20"/>
              </w:rPr>
            </w:pPr>
          </w:p>
        </w:tc>
        <w:tc>
          <w:tcPr>
            <w:tcW w:w="1409" w:type="dxa"/>
            <w:vAlign w:val="center"/>
          </w:tcPr>
          <w:p w14:paraId="29E8FC37">
            <w:pPr>
              <w:spacing w:before="0" w:after="0" w:line="264" w:lineRule="auto"/>
              <w:jc w:val="center"/>
              <w:rPr>
                <w:rFonts w:hint="eastAsia" w:ascii="仿宋" w:hAnsi="仿宋" w:eastAsia="仿宋" w:cs="仿宋"/>
                <w:sz w:val="20"/>
                <w:szCs w:val="20"/>
              </w:rPr>
            </w:pPr>
          </w:p>
        </w:tc>
        <w:tc>
          <w:tcPr>
            <w:tcW w:w="963" w:type="dxa"/>
            <w:vMerge w:val="continue"/>
          </w:tcPr>
          <w:p w14:paraId="3CE87901">
            <w:pPr>
              <w:spacing w:after="0" w:line="240" w:lineRule="auto"/>
              <w:rPr>
                <w:rFonts w:hint="eastAsia" w:ascii="仿宋" w:hAnsi="仿宋" w:eastAsia="仿宋" w:cs="仿宋"/>
                <w:sz w:val="20"/>
                <w:szCs w:val="20"/>
              </w:rPr>
            </w:pPr>
          </w:p>
        </w:tc>
        <w:tc>
          <w:tcPr>
            <w:tcW w:w="1028" w:type="dxa"/>
            <w:vMerge w:val="continue"/>
          </w:tcPr>
          <w:p w14:paraId="28C0C26A">
            <w:pPr>
              <w:spacing w:after="0" w:line="240" w:lineRule="auto"/>
              <w:rPr>
                <w:rFonts w:hint="eastAsia" w:ascii="仿宋" w:hAnsi="仿宋" w:eastAsia="仿宋" w:cs="仿宋"/>
                <w:sz w:val="20"/>
                <w:szCs w:val="20"/>
              </w:rPr>
            </w:pPr>
          </w:p>
        </w:tc>
      </w:tr>
      <w:tr w14:paraId="1811C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0B4FE616">
            <w:pPr>
              <w:spacing w:after="0" w:line="240" w:lineRule="auto"/>
              <w:rPr>
                <w:rFonts w:hint="eastAsia" w:ascii="仿宋" w:hAnsi="仿宋" w:eastAsia="仿宋" w:cs="仿宋"/>
                <w:sz w:val="20"/>
                <w:szCs w:val="20"/>
              </w:rPr>
            </w:pPr>
          </w:p>
        </w:tc>
        <w:tc>
          <w:tcPr>
            <w:tcW w:w="1524" w:type="dxa"/>
            <w:vMerge w:val="continue"/>
          </w:tcPr>
          <w:p w14:paraId="6AD7F96F">
            <w:pPr>
              <w:spacing w:after="0" w:line="240" w:lineRule="auto"/>
              <w:rPr>
                <w:rFonts w:hint="eastAsia" w:ascii="仿宋" w:hAnsi="仿宋" w:eastAsia="仿宋" w:cs="仿宋"/>
                <w:sz w:val="20"/>
                <w:szCs w:val="20"/>
              </w:rPr>
            </w:pPr>
          </w:p>
        </w:tc>
        <w:tc>
          <w:tcPr>
            <w:tcW w:w="5790" w:type="dxa"/>
            <w:vAlign w:val="center"/>
          </w:tcPr>
          <w:p w14:paraId="2DB8DCE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需求名称</w:t>
            </w:r>
          </w:p>
          <w:p w14:paraId="1E49D38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培训考试中的类型分类、权限分配与统计报表权限控制</w:t>
            </w:r>
          </w:p>
          <w:p w14:paraId="6E31312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功能范围</w:t>
            </w:r>
          </w:p>
          <w:p w14:paraId="4CE2AA5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1.将考试/培训类型从当前单级字典升级为树形分类结构。</w:t>
            </w:r>
          </w:p>
          <w:p w14:paraId="0B324FD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2.分类结构至少满足现阶段二级分类需求，并支持后续扩展到不限层级。</w:t>
            </w:r>
          </w:p>
          <w:p w14:paraId="1E87546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3.将考试/培训类型字典独立为单独配置模块。</w:t>
            </w:r>
          </w:p>
          <w:p w14:paraId="57A5E10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4.增加“角色与考试/培训类型”的权限分配能力。</w:t>
            </w:r>
          </w:p>
          <w:p w14:paraId="500F411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权限规则</w:t>
            </w:r>
          </w:p>
          <w:p w14:paraId="42EE29A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1.管理员可查看全部类型及全部数据。</w:t>
            </w:r>
          </w:p>
          <w:p w14:paraId="3CDF33E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2.角色管理员仅可查看其被授权类型范围内的数据。</w:t>
            </w:r>
          </w:p>
          <w:p w14:paraId="63D8CC8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3.一个角色可管理多个一级类型。</w:t>
            </w:r>
          </w:p>
          <w:p w14:paraId="15E9998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4.安环部管理账号默认展示安环部对应分类下的全部内容，该规则支持配置。</w:t>
            </w:r>
          </w:p>
          <w:p w14:paraId="61ACE7B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5.统计报表需按管理账号分配查看权限，admin 账号默认可查看全部统计报表数据。</w:t>
            </w:r>
          </w:p>
          <w:p w14:paraId="19AD600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页面要求</w:t>
            </w:r>
          </w:p>
          <w:p w14:paraId="5D8F3A1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1.考试管理页面和培训管理页面都需按角色权限过滤数据。</w:t>
            </w:r>
          </w:p>
          <w:p w14:paraId="7714F3F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2.类型筛选控件改为树形下拉框。</w:t>
            </w:r>
          </w:p>
          <w:p w14:paraId="3070A9E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3.选择某个类型后，默认展示该类型及其所有子级类型的数据。</w:t>
            </w:r>
          </w:p>
          <w:p w14:paraId="6F3EE55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4.若当前阶段仍保留一级/二级分类的单独展示需求，则树形结构需兼容按层级筛选。</w:t>
            </w:r>
          </w:p>
        </w:tc>
        <w:tc>
          <w:tcPr>
            <w:tcW w:w="1381" w:type="dxa"/>
            <w:vAlign w:val="center"/>
          </w:tcPr>
          <w:p w14:paraId="49F081B2">
            <w:pPr>
              <w:spacing w:before="0" w:after="0" w:line="264" w:lineRule="auto"/>
              <w:jc w:val="center"/>
              <w:rPr>
                <w:rFonts w:hint="eastAsia" w:ascii="仿宋" w:hAnsi="仿宋" w:eastAsia="仿宋" w:cs="仿宋"/>
                <w:sz w:val="20"/>
                <w:szCs w:val="20"/>
              </w:rPr>
            </w:pPr>
          </w:p>
        </w:tc>
        <w:tc>
          <w:tcPr>
            <w:tcW w:w="1409" w:type="dxa"/>
            <w:vAlign w:val="center"/>
          </w:tcPr>
          <w:p w14:paraId="21D42030">
            <w:pPr>
              <w:spacing w:before="0" w:after="0" w:line="264" w:lineRule="auto"/>
              <w:jc w:val="center"/>
              <w:rPr>
                <w:rFonts w:hint="eastAsia" w:ascii="仿宋" w:hAnsi="仿宋" w:eastAsia="仿宋" w:cs="仿宋"/>
                <w:sz w:val="20"/>
                <w:szCs w:val="20"/>
              </w:rPr>
            </w:pPr>
          </w:p>
        </w:tc>
        <w:tc>
          <w:tcPr>
            <w:tcW w:w="963" w:type="dxa"/>
            <w:vMerge w:val="continue"/>
          </w:tcPr>
          <w:p w14:paraId="40CCD092">
            <w:pPr>
              <w:spacing w:after="0" w:line="240" w:lineRule="auto"/>
              <w:rPr>
                <w:rFonts w:hint="eastAsia" w:ascii="仿宋" w:hAnsi="仿宋" w:eastAsia="仿宋" w:cs="仿宋"/>
                <w:sz w:val="20"/>
                <w:szCs w:val="20"/>
              </w:rPr>
            </w:pPr>
          </w:p>
        </w:tc>
        <w:tc>
          <w:tcPr>
            <w:tcW w:w="1028" w:type="dxa"/>
            <w:vMerge w:val="continue"/>
          </w:tcPr>
          <w:p w14:paraId="0BEACA34">
            <w:pPr>
              <w:spacing w:after="0" w:line="240" w:lineRule="auto"/>
              <w:rPr>
                <w:rFonts w:hint="eastAsia" w:ascii="仿宋" w:hAnsi="仿宋" w:eastAsia="仿宋" w:cs="仿宋"/>
                <w:sz w:val="20"/>
                <w:szCs w:val="20"/>
              </w:rPr>
            </w:pPr>
          </w:p>
        </w:tc>
      </w:tr>
      <w:tr w14:paraId="7646B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4E4A4F25">
            <w:pPr>
              <w:spacing w:after="0" w:line="240" w:lineRule="auto"/>
              <w:rPr>
                <w:rFonts w:hint="eastAsia" w:ascii="仿宋" w:hAnsi="仿宋" w:eastAsia="仿宋" w:cs="仿宋"/>
                <w:sz w:val="20"/>
                <w:szCs w:val="20"/>
              </w:rPr>
            </w:pPr>
          </w:p>
        </w:tc>
        <w:tc>
          <w:tcPr>
            <w:tcW w:w="1524" w:type="dxa"/>
            <w:vMerge w:val="continue"/>
          </w:tcPr>
          <w:p w14:paraId="15A875AD">
            <w:pPr>
              <w:spacing w:after="0" w:line="240" w:lineRule="auto"/>
              <w:rPr>
                <w:rFonts w:hint="eastAsia" w:ascii="仿宋" w:hAnsi="仿宋" w:eastAsia="仿宋" w:cs="仿宋"/>
                <w:sz w:val="20"/>
                <w:szCs w:val="20"/>
              </w:rPr>
            </w:pPr>
          </w:p>
        </w:tc>
        <w:tc>
          <w:tcPr>
            <w:tcW w:w="5790" w:type="dxa"/>
            <w:vAlign w:val="center"/>
          </w:tcPr>
          <w:p w14:paraId="4D4E2A7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需求名称</w:t>
            </w:r>
          </w:p>
          <w:p w14:paraId="3A9A1DA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培训考试中的完成时效与催办规则</w:t>
            </w:r>
          </w:p>
          <w:p w14:paraId="1FDD5DE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功能要求</w:t>
            </w:r>
          </w:p>
          <w:p w14:paraId="625A49F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1.培训和考试任务都需增加完成倒计时能力。</w:t>
            </w:r>
          </w:p>
          <w:p w14:paraId="665B595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2.倒计时单位按“天”计算。</w:t>
            </w:r>
          </w:p>
          <w:p w14:paraId="464C609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3.对未完成人员发送邮件督促提醒时，邮件中需展示剩余天数。</w:t>
            </w:r>
          </w:p>
          <w:p w14:paraId="24E3F57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4.倒计时结束后仍未完成的，系统自动判定为“不合格”并记录留痕。</w:t>
            </w:r>
          </w:p>
        </w:tc>
        <w:tc>
          <w:tcPr>
            <w:tcW w:w="1381" w:type="dxa"/>
            <w:vAlign w:val="center"/>
          </w:tcPr>
          <w:p w14:paraId="03EB7DC7">
            <w:pPr>
              <w:spacing w:before="0" w:after="0" w:line="264" w:lineRule="auto"/>
              <w:jc w:val="center"/>
              <w:rPr>
                <w:rFonts w:hint="eastAsia" w:ascii="仿宋" w:hAnsi="仿宋" w:eastAsia="仿宋" w:cs="仿宋"/>
                <w:sz w:val="20"/>
                <w:szCs w:val="20"/>
              </w:rPr>
            </w:pPr>
          </w:p>
        </w:tc>
        <w:tc>
          <w:tcPr>
            <w:tcW w:w="1409" w:type="dxa"/>
            <w:vAlign w:val="center"/>
          </w:tcPr>
          <w:p w14:paraId="5D6EF98B">
            <w:pPr>
              <w:spacing w:before="0" w:after="0" w:line="264" w:lineRule="auto"/>
              <w:jc w:val="center"/>
              <w:rPr>
                <w:rFonts w:hint="eastAsia" w:ascii="仿宋" w:hAnsi="仿宋" w:eastAsia="仿宋" w:cs="仿宋"/>
                <w:sz w:val="20"/>
                <w:szCs w:val="20"/>
              </w:rPr>
            </w:pPr>
          </w:p>
        </w:tc>
        <w:tc>
          <w:tcPr>
            <w:tcW w:w="963" w:type="dxa"/>
            <w:vMerge w:val="continue"/>
          </w:tcPr>
          <w:p w14:paraId="70271CAA">
            <w:pPr>
              <w:spacing w:after="0" w:line="240" w:lineRule="auto"/>
              <w:rPr>
                <w:rFonts w:hint="eastAsia" w:ascii="仿宋" w:hAnsi="仿宋" w:eastAsia="仿宋" w:cs="仿宋"/>
                <w:sz w:val="20"/>
                <w:szCs w:val="20"/>
              </w:rPr>
            </w:pPr>
          </w:p>
        </w:tc>
        <w:tc>
          <w:tcPr>
            <w:tcW w:w="1028" w:type="dxa"/>
            <w:vMerge w:val="continue"/>
          </w:tcPr>
          <w:p w14:paraId="6BACA25C">
            <w:pPr>
              <w:spacing w:after="0" w:line="240" w:lineRule="auto"/>
              <w:rPr>
                <w:rFonts w:hint="eastAsia" w:ascii="仿宋" w:hAnsi="仿宋" w:eastAsia="仿宋" w:cs="仿宋"/>
                <w:sz w:val="20"/>
                <w:szCs w:val="20"/>
              </w:rPr>
            </w:pPr>
          </w:p>
        </w:tc>
      </w:tr>
      <w:tr w14:paraId="491A8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Align w:val="center"/>
          </w:tcPr>
          <w:p w14:paraId="409B2491">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4</w:t>
            </w:r>
          </w:p>
        </w:tc>
        <w:tc>
          <w:tcPr>
            <w:tcW w:w="1524" w:type="dxa"/>
            <w:vAlign w:val="center"/>
          </w:tcPr>
          <w:p w14:paraId="7EC51061">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权限分配</w:t>
            </w:r>
          </w:p>
        </w:tc>
        <w:tc>
          <w:tcPr>
            <w:tcW w:w="5790" w:type="dxa"/>
            <w:vAlign w:val="center"/>
          </w:tcPr>
          <w:p w14:paraId="6A81D6B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1、“统计报表”按照管理账号进行分配，admin账号查看全部</w:t>
            </w:r>
          </w:p>
          <w:p w14:paraId="0062A2B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2、培训材料阅读页面“缩小”功能完善，现在只是针对放大后缩小回原来的大小</w:t>
            </w:r>
          </w:p>
          <w:p w14:paraId="799CC2D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3、系统管理-“用户管理”增加部门、人员性质筛选“通讯录”增加人员性质筛选</w:t>
            </w:r>
          </w:p>
        </w:tc>
        <w:tc>
          <w:tcPr>
            <w:tcW w:w="1381" w:type="dxa"/>
            <w:vAlign w:val="center"/>
          </w:tcPr>
          <w:p w14:paraId="199A8D7D">
            <w:pPr>
              <w:spacing w:before="0" w:after="0" w:line="264" w:lineRule="auto"/>
              <w:jc w:val="center"/>
              <w:rPr>
                <w:rFonts w:hint="eastAsia" w:ascii="仿宋" w:hAnsi="仿宋" w:eastAsia="仿宋" w:cs="仿宋"/>
                <w:sz w:val="20"/>
                <w:szCs w:val="20"/>
              </w:rPr>
            </w:pPr>
          </w:p>
        </w:tc>
        <w:tc>
          <w:tcPr>
            <w:tcW w:w="1409" w:type="dxa"/>
            <w:vAlign w:val="center"/>
          </w:tcPr>
          <w:p w14:paraId="5598E328">
            <w:pPr>
              <w:spacing w:before="0" w:after="0" w:line="264" w:lineRule="auto"/>
              <w:jc w:val="center"/>
              <w:rPr>
                <w:rFonts w:hint="eastAsia" w:ascii="仿宋" w:hAnsi="仿宋" w:eastAsia="仿宋" w:cs="仿宋"/>
                <w:sz w:val="20"/>
                <w:szCs w:val="20"/>
              </w:rPr>
            </w:pPr>
          </w:p>
        </w:tc>
        <w:tc>
          <w:tcPr>
            <w:tcW w:w="963" w:type="dxa"/>
            <w:vAlign w:val="center"/>
          </w:tcPr>
          <w:p w14:paraId="14AE0CC4">
            <w:pPr>
              <w:spacing w:before="0" w:after="0" w:line="264" w:lineRule="auto"/>
              <w:jc w:val="center"/>
              <w:rPr>
                <w:rFonts w:hint="eastAsia" w:ascii="仿宋" w:hAnsi="仿宋" w:eastAsia="仿宋" w:cs="仿宋"/>
                <w:sz w:val="20"/>
                <w:szCs w:val="20"/>
              </w:rPr>
            </w:pPr>
          </w:p>
        </w:tc>
        <w:tc>
          <w:tcPr>
            <w:tcW w:w="1028" w:type="dxa"/>
            <w:vAlign w:val="center"/>
          </w:tcPr>
          <w:p w14:paraId="0CAD2FEA">
            <w:pPr>
              <w:spacing w:before="0" w:after="0" w:line="264" w:lineRule="auto"/>
              <w:jc w:val="center"/>
              <w:rPr>
                <w:rFonts w:hint="eastAsia" w:ascii="仿宋" w:hAnsi="仿宋" w:eastAsia="仿宋" w:cs="仿宋"/>
                <w:sz w:val="20"/>
                <w:szCs w:val="20"/>
              </w:rPr>
            </w:pPr>
          </w:p>
        </w:tc>
      </w:tr>
      <w:tr w14:paraId="30129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7" w:type="dxa"/>
            <w:gridSpan w:val="2"/>
            <w:vAlign w:val="center"/>
          </w:tcPr>
          <w:p w14:paraId="4FACB9B5">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工作量构成：</w:t>
            </w:r>
          </w:p>
        </w:tc>
        <w:tc>
          <w:tcPr>
            <w:tcW w:w="10571" w:type="dxa"/>
            <w:gridSpan w:val="5"/>
            <w:vAlign w:val="center"/>
          </w:tcPr>
          <w:p w14:paraId="3EB15667">
            <w:pPr>
              <w:spacing w:before="0" w:after="0" w:line="264" w:lineRule="auto"/>
              <w:jc w:val="center"/>
              <w:rPr>
                <w:rFonts w:hint="eastAsia" w:ascii="仿宋" w:hAnsi="仿宋" w:eastAsia="仿宋" w:cs="仿宋"/>
                <w:sz w:val="20"/>
                <w:szCs w:val="20"/>
              </w:rPr>
            </w:pPr>
            <w:r>
              <w:rPr>
                <w:rFonts w:hint="eastAsia" w:ascii="仿宋" w:hAnsi="仿宋" w:eastAsia="仿宋" w:cs="仿宋"/>
                <w:b/>
                <w:bCs/>
                <w:sz w:val="20"/>
                <w:szCs w:val="20"/>
              </w:rPr>
              <w:t>执行管理与经营分析</w:t>
            </w:r>
          </w:p>
        </w:tc>
      </w:tr>
      <w:tr w14:paraId="093D5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Align w:val="center"/>
          </w:tcPr>
          <w:p w14:paraId="7426269C">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序号</w:t>
            </w:r>
          </w:p>
        </w:tc>
        <w:tc>
          <w:tcPr>
            <w:tcW w:w="1524" w:type="dxa"/>
            <w:vAlign w:val="center"/>
          </w:tcPr>
          <w:p w14:paraId="7D57D3A4">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功能模块</w:t>
            </w:r>
          </w:p>
        </w:tc>
        <w:tc>
          <w:tcPr>
            <w:tcW w:w="5790" w:type="dxa"/>
            <w:vAlign w:val="center"/>
          </w:tcPr>
          <w:p w14:paraId="6E237BE5">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功能点描述</w:t>
            </w:r>
          </w:p>
        </w:tc>
        <w:tc>
          <w:tcPr>
            <w:tcW w:w="1381" w:type="dxa"/>
            <w:vAlign w:val="center"/>
          </w:tcPr>
          <w:p w14:paraId="045C0559">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人工日/数量</w:t>
            </w:r>
          </w:p>
        </w:tc>
        <w:tc>
          <w:tcPr>
            <w:tcW w:w="1409" w:type="dxa"/>
            <w:vAlign w:val="center"/>
          </w:tcPr>
          <w:p w14:paraId="74D7C5A7">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单价（元）</w:t>
            </w:r>
          </w:p>
        </w:tc>
        <w:tc>
          <w:tcPr>
            <w:tcW w:w="963" w:type="dxa"/>
            <w:vAlign w:val="center"/>
          </w:tcPr>
          <w:p w14:paraId="281EDC53">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小计（元）</w:t>
            </w:r>
          </w:p>
        </w:tc>
        <w:tc>
          <w:tcPr>
            <w:tcW w:w="1028" w:type="dxa"/>
            <w:vAlign w:val="center"/>
          </w:tcPr>
          <w:p w14:paraId="265548E9">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备注</w:t>
            </w:r>
          </w:p>
        </w:tc>
      </w:tr>
      <w:tr w14:paraId="16A34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3BDB57DD">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1</w:t>
            </w:r>
          </w:p>
        </w:tc>
        <w:tc>
          <w:tcPr>
            <w:tcW w:w="1524" w:type="dxa"/>
            <w:vMerge w:val="restart"/>
            <w:vAlign w:val="center"/>
          </w:tcPr>
          <w:p w14:paraId="1827CB57">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领导管理大屏</w:t>
            </w:r>
          </w:p>
        </w:tc>
        <w:tc>
          <w:tcPr>
            <w:tcW w:w="5790" w:type="dxa"/>
            <w:vAlign w:val="center"/>
          </w:tcPr>
          <w:p w14:paraId="53A7587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角色划分</w:t>
            </w:r>
          </w:p>
          <w:p w14:paraId="7EDDB69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汇聚底层所有模块数据，不进行不同角色的数据拆分，按需赋予菜单权限即可查看。</w:t>
            </w:r>
          </w:p>
        </w:tc>
        <w:tc>
          <w:tcPr>
            <w:tcW w:w="1381" w:type="dxa"/>
            <w:vAlign w:val="center"/>
          </w:tcPr>
          <w:p w14:paraId="102C6369">
            <w:pPr>
              <w:spacing w:before="0" w:after="0" w:line="264" w:lineRule="auto"/>
              <w:jc w:val="center"/>
              <w:rPr>
                <w:rFonts w:hint="eastAsia" w:ascii="仿宋" w:hAnsi="仿宋" w:eastAsia="仿宋" w:cs="仿宋"/>
                <w:sz w:val="20"/>
                <w:szCs w:val="20"/>
              </w:rPr>
            </w:pPr>
          </w:p>
        </w:tc>
        <w:tc>
          <w:tcPr>
            <w:tcW w:w="1409" w:type="dxa"/>
            <w:vAlign w:val="center"/>
          </w:tcPr>
          <w:p w14:paraId="2DC60B4C">
            <w:pPr>
              <w:spacing w:before="0" w:after="0" w:line="264" w:lineRule="auto"/>
              <w:jc w:val="center"/>
              <w:rPr>
                <w:rFonts w:hint="eastAsia" w:ascii="仿宋" w:hAnsi="仿宋" w:eastAsia="仿宋" w:cs="仿宋"/>
                <w:sz w:val="20"/>
                <w:szCs w:val="20"/>
              </w:rPr>
            </w:pPr>
          </w:p>
        </w:tc>
        <w:tc>
          <w:tcPr>
            <w:tcW w:w="963" w:type="dxa"/>
            <w:vMerge w:val="restart"/>
            <w:vAlign w:val="center"/>
          </w:tcPr>
          <w:p w14:paraId="7DACCEBD">
            <w:pPr>
              <w:spacing w:before="0" w:after="0" w:line="264" w:lineRule="auto"/>
              <w:jc w:val="center"/>
              <w:rPr>
                <w:rFonts w:hint="eastAsia" w:ascii="仿宋" w:hAnsi="仿宋" w:eastAsia="仿宋" w:cs="仿宋"/>
                <w:sz w:val="20"/>
                <w:szCs w:val="20"/>
              </w:rPr>
            </w:pPr>
          </w:p>
        </w:tc>
        <w:tc>
          <w:tcPr>
            <w:tcW w:w="1028" w:type="dxa"/>
            <w:vMerge w:val="restart"/>
            <w:vAlign w:val="center"/>
          </w:tcPr>
          <w:p w14:paraId="27679679">
            <w:pPr>
              <w:spacing w:before="0" w:after="0" w:line="264" w:lineRule="auto"/>
              <w:jc w:val="center"/>
              <w:rPr>
                <w:rFonts w:hint="eastAsia" w:ascii="仿宋" w:hAnsi="仿宋" w:eastAsia="仿宋" w:cs="仿宋"/>
                <w:sz w:val="20"/>
                <w:szCs w:val="20"/>
              </w:rPr>
            </w:pPr>
          </w:p>
        </w:tc>
      </w:tr>
      <w:tr w14:paraId="24DC4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3B50FF4A">
            <w:pPr>
              <w:spacing w:after="0" w:line="240" w:lineRule="auto"/>
              <w:rPr>
                <w:rFonts w:hint="eastAsia" w:ascii="仿宋" w:hAnsi="仿宋" w:eastAsia="仿宋" w:cs="仿宋"/>
                <w:sz w:val="20"/>
                <w:szCs w:val="20"/>
              </w:rPr>
            </w:pPr>
          </w:p>
        </w:tc>
        <w:tc>
          <w:tcPr>
            <w:tcW w:w="1524" w:type="dxa"/>
            <w:vMerge w:val="continue"/>
          </w:tcPr>
          <w:p w14:paraId="39A1C018">
            <w:pPr>
              <w:spacing w:after="0" w:line="240" w:lineRule="auto"/>
              <w:rPr>
                <w:rFonts w:hint="eastAsia" w:ascii="仿宋" w:hAnsi="仿宋" w:eastAsia="仿宋" w:cs="仿宋"/>
                <w:sz w:val="20"/>
                <w:szCs w:val="20"/>
              </w:rPr>
            </w:pPr>
          </w:p>
        </w:tc>
        <w:tc>
          <w:tcPr>
            <w:tcW w:w="5790" w:type="dxa"/>
            <w:vAlign w:val="center"/>
          </w:tcPr>
          <w:p w14:paraId="115B039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 核心财务统览指标</w:t>
            </w:r>
          </w:p>
          <w:p w14:paraId="7D6C22D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累计合同总额：实时汇总全库非终止状态合同金额总值。</w:t>
            </w:r>
          </w:p>
          <w:p w14:paraId="1759B21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当年累计确认产值：汇总当年全部已录入并确认的产值数据。</w:t>
            </w:r>
          </w:p>
          <w:p w14:paraId="760F411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累计已开票总额：财务已录入系统的发票金额总和。</w:t>
            </w:r>
          </w:p>
          <w:p w14:paraId="2A63A1B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累计实际收款总额：财务复核已到账的收款金额总和。</w:t>
            </w:r>
          </w:p>
          <w:p w14:paraId="06B9A59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综合平均利润率：根据动态成本核算模块生成加权利润占比，并附带环比/同比升跌红绿指示。</w:t>
            </w:r>
          </w:p>
        </w:tc>
        <w:tc>
          <w:tcPr>
            <w:tcW w:w="1381" w:type="dxa"/>
            <w:vAlign w:val="center"/>
          </w:tcPr>
          <w:p w14:paraId="7FF46D0C">
            <w:pPr>
              <w:spacing w:before="0" w:after="0" w:line="264" w:lineRule="auto"/>
              <w:jc w:val="center"/>
              <w:rPr>
                <w:rFonts w:hint="eastAsia" w:ascii="仿宋" w:hAnsi="仿宋" w:eastAsia="仿宋" w:cs="仿宋"/>
                <w:sz w:val="20"/>
                <w:szCs w:val="20"/>
              </w:rPr>
            </w:pPr>
          </w:p>
        </w:tc>
        <w:tc>
          <w:tcPr>
            <w:tcW w:w="1409" w:type="dxa"/>
            <w:vAlign w:val="center"/>
          </w:tcPr>
          <w:p w14:paraId="0C9A598C">
            <w:pPr>
              <w:spacing w:before="0" w:after="0" w:line="264" w:lineRule="auto"/>
              <w:jc w:val="center"/>
              <w:rPr>
                <w:rFonts w:hint="eastAsia" w:ascii="仿宋" w:hAnsi="仿宋" w:eastAsia="仿宋" w:cs="仿宋"/>
                <w:sz w:val="20"/>
                <w:szCs w:val="20"/>
              </w:rPr>
            </w:pPr>
          </w:p>
        </w:tc>
        <w:tc>
          <w:tcPr>
            <w:tcW w:w="963" w:type="dxa"/>
            <w:vMerge w:val="continue"/>
          </w:tcPr>
          <w:p w14:paraId="0C7A8E95">
            <w:pPr>
              <w:spacing w:after="0" w:line="240" w:lineRule="auto"/>
              <w:rPr>
                <w:rFonts w:hint="eastAsia" w:ascii="仿宋" w:hAnsi="仿宋" w:eastAsia="仿宋" w:cs="仿宋"/>
                <w:sz w:val="20"/>
                <w:szCs w:val="20"/>
              </w:rPr>
            </w:pPr>
          </w:p>
        </w:tc>
        <w:tc>
          <w:tcPr>
            <w:tcW w:w="1028" w:type="dxa"/>
            <w:vMerge w:val="continue"/>
          </w:tcPr>
          <w:p w14:paraId="1DD09921">
            <w:pPr>
              <w:spacing w:after="0" w:line="240" w:lineRule="auto"/>
              <w:rPr>
                <w:rFonts w:hint="eastAsia" w:ascii="仿宋" w:hAnsi="仿宋" w:eastAsia="仿宋" w:cs="仿宋"/>
                <w:sz w:val="20"/>
                <w:szCs w:val="20"/>
              </w:rPr>
            </w:pPr>
          </w:p>
        </w:tc>
      </w:tr>
      <w:tr w14:paraId="68514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3BA8B6F4">
            <w:pPr>
              <w:spacing w:after="0" w:line="240" w:lineRule="auto"/>
              <w:rPr>
                <w:rFonts w:hint="eastAsia" w:ascii="仿宋" w:hAnsi="仿宋" w:eastAsia="仿宋" w:cs="仿宋"/>
                <w:sz w:val="20"/>
                <w:szCs w:val="20"/>
              </w:rPr>
            </w:pPr>
          </w:p>
        </w:tc>
        <w:tc>
          <w:tcPr>
            <w:tcW w:w="1524" w:type="dxa"/>
            <w:vMerge w:val="continue"/>
          </w:tcPr>
          <w:p w14:paraId="01258511">
            <w:pPr>
              <w:spacing w:after="0" w:line="240" w:lineRule="auto"/>
              <w:rPr>
                <w:rFonts w:hint="eastAsia" w:ascii="仿宋" w:hAnsi="仿宋" w:eastAsia="仿宋" w:cs="仿宋"/>
                <w:sz w:val="20"/>
                <w:szCs w:val="20"/>
              </w:rPr>
            </w:pPr>
          </w:p>
        </w:tc>
        <w:tc>
          <w:tcPr>
            <w:tcW w:w="5790" w:type="dxa"/>
            <w:vAlign w:val="center"/>
          </w:tcPr>
          <w:p w14:paraId="65A5E14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客户（甲方）健康度漏斗图</w:t>
            </w:r>
          </w:p>
          <w:p w14:paraId="60178C4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分析维度：以"委托方"字段作为纵向主轴，聚合其名下的所有关联合同单据。</w:t>
            </w:r>
          </w:p>
          <w:p w14:paraId="27BD717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四级漏斗层级：</w:t>
            </w:r>
          </w:p>
          <w:p w14:paraId="0729EB1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o【第1级 - 签约层】各甲方名下合同签约总额</w:t>
            </w:r>
          </w:p>
          <w:p w14:paraId="394F31F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o【第2级 - 产值层】已在系统录入并确认的总产值</w:t>
            </w:r>
          </w:p>
          <w:p w14:paraId="419AC9A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o【第3级 - 开票层】已完成开票的总金额</w:t>
            </w:r>
          </w:p>
          <w:p w14:paraId="1B1C451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o【第4级 - 实收层】实际已到账的收款金额</w:t>
            </w:r>
          </w:p>
          <w:p w14:paraId="50301C4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预警逻辑：自动识别并标红展示"开票转化率"或"回款到账率"严重低于正常水位的甲方客户名单。</w:t>
            </w:r>
          </w:p>
        </w:tc>
        <w:tc>
          <w:tcPr>
            <w:tcW w:w="1381" w:type="dxa"/>
            <w:vAlign w:val="center"/>
          </w:tcPr>
          <w:p w14:paraId="03AB8F9E">
            <w:pPr>
              <w:spacing w:before="0" w:after="0" w:line="264" w:lineRule="auto"/>
              <w:jc w:val="center"/>
              <w:rPr>
                <w:rFonts w:hint="eastAsia" w:ascii="仿宋" w:hAnsi="仿宋" w:eastAsia="仿宋" w:cs="仿宋"/>
                <w:sz w:val="20"/>
                <w:szCs w:val="20"/>
              </w:rPr>
            </w:pPr>
          </w:p>
        </w:tc>
        <w:tc>
          <w:tcPr>
            <w:tcW w:w="1409" w:type="dxa"/>
            <w:vAlign w:val="center"/>
          </w:tcPr>
          <w:p w14:paraId="6399B0C9">
            <w:pPr>
              <w:spacing w:before="0" w:after="0" w:line="264" w:lineRule="auto"/>
              <w:jc w:val="center"/>
              <w:rPr>
                <w:rFonts w:hint="eastAsia" w:ascii="仿宋" w:hAnsi="仿宋" w:eastAsia="仿宋" w:cs="仿宋"/>
                <w:sz w:val="20"/>
                <w:szCs w:val="20"/>
              </w:rPr>
            </w:pPr>
          </w:p>
        </w:tc>
        <w:tc>
          <w:tcPr>
            <w:tcW w:w="963" w:type="dxa"/>
            <w:vMerge w:val="continue"/>
          </w:tcPr>
          <w:p w14:paraId="6F8F6FAC">
            <w:pPr>
              <w:spacing w:after="0" w:line="240" w:lineRule="auto"/>
              <w:rPr>
                <w:rFonts w:hint="eastAsia" w:ascii="仿宋" w:hAnsi="仿宋" w:eastAsia="仿宋" w:cs="仿宋"/>
                <w:sz w:val="20"/>
                <w:szCs w:val="20"/>
              </w:rPr>
            </w:pPr>
          </w:p>
        </w:tc>
        <w:tc>
          <w:tcPr>
            <w:tcW w:w="1028" w:type="dxa"/>
            <w:vMerge w:val="continue"/>
          </w:tcPr>
          <w:p w14:paraId="75A634F8">
            <w:pPr>
              <w:spacing w:after="0" w:line="240" w:lineRule="auto"/>
              <w:rPr>
                <w:rFonts w:hint="eastAsia" w:ascii="仿宋" w:hAnsi="仿宋" w:eastAsia="仿宋" w:cs="仿宋"/>
                <w:sz w:val="20"/>
                <w:szCs w:val="20"/>
              </w:rPr>
            </w:pPr>
          </w:p>
        </w:tc>
      </w:tr>
      <w:tr w14:paraId="1EBC9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6F07578A">
            <w:pPr>
              <w:spacing w:after="0" w:line="240" w:lineRule="auto"/>
              <w:rPr>
                <w:rFonts w:hint="eastAsia" w:ascii="仿宋" w:hAnsi="仿宋" w:eastAsia="仿宋" w:cs="仿宋"/>
                <w:sz w:val="20"/>
                <w:szCs w:val="20"/>
              </w:rPr>
            </w:pPr>
          </w:p>
        </w:tc>
        <w:tc>
          <w:tcPr>
            <w:tcW w:w="1524" w:type="dxa"/>
            <w:vMerge w:val="continue"/>
          </w:tcPr>
          <w:p w14:paraId="30C8ACB0">
            <w:pPr>
              <w:spacing w:after="0" w:line="240" w:lineRule="auto"/>
              <w:rPr>
                <w:rFonts w:hint="eastAsia" w:ascii="仿宋" w:hAnsi="仿宋" w:eastAsia="仿宋" w:cs="仿宋"/>
                <w:sz w:val="20"/>
                <w:szCs w:val="20"/>
              </w:rPr>
            </w:pPr>
          </w:p>
        </w:tc>
        <w:tc>
          <w:tcPr>
            <w:tcW w:w="5790" w:type="dxa"/>
            <w:vAlign w:val="center"/>
          </w:tcPr>
          <w:p w14:paraId="1CC3A21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经营资金流趋势剪刀差预警图</w:t>
            </w:r>
          </w:p>
          <w:p w14:paraId="46C0E82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横坐标：过去连续 12 个自然月。</w:t>
            </w:r>
          </w:p>
          <w:p w14:paraId="0ADBAFE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双轨对比曲线：</w:t>
            </w:r>
          </w:p>
          <w:p w14:paraId="4EE7DF1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o【支出曲线】：累计真实已支付成本（人员薪资摊销+差旅+固定运营分摊）</w:t>
            </w:r>
          </w:p>
          <w:p w14:paraId="152DEDC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o【入账曲线】：累计实际到账收款金额</w:t>
            </w:r>
          </w:p>
          <w:p w14:paraId="7B8BA36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剪刀差告警：当支出曲线上穿入账曲线形成倒挂时，该时间区间自动渲染高亮警戒填充色，提示资金链失血风险。</w:t>
            </w:r>
          </w:p>
        </w:tc>
        <w:tc>
          <w:tcPr>
            <w:tcW w:w="1381" w:type="dxa"/>
            <w:vAlign w:val="center"/>
          </w:tcPr>
          <w:p w14:paraId="3E950BBF">
            <w:pPr>
              <w:spacing w:before="0" w:after="0" w:line="264" w:lineRule="auto"/>
              <w:jc w:val="center"/>
              <w:rPr>
                <w:rFonts w:hint="eastAsia" w:ascii="仿宋" w:hAnsi="仿宋" w:eastAsia="仿宋" w:cs="仿宋"/>
                <w:sz w:val="20"/>
                <w:szCs w:val="20"/>
              </w:rPr>
            </w:pPr>
          </w:p>
        </w:tc>
        <w:tc>
          <w:tcPr>
            <w:tcW w:w="1409" w:type="dxa"/>
            <w:vAlign w:val="center"/>
          </w:tcPr>
          <w:p w14:paraId="29728233">
            <w:pPr>
              <w:spacing w:before="0" w:after="0" w:line="264" w:lineRule="auto"/>
              <w:jc w:val="center"/>
              <w:rPr>
                <w:rFonts w:hint="eastAsia" w:ascii="仿宋" w:hAnsi="仿宋" w:eastAsia="仿宋" w:cs="仿宋"/>
                <w:sz w:val="20"/>
                <w:szCs w:val="20"/>
              </w:rPr>
            </w:pPr>
          </w:p>
        </w:tc>
        <w:tc>
          <w:tcPr>
            <w:tcW w:w="963" w:type="dxa"/>
            <w:vMerge w:val="continue"/>
          </w:tcPr>
          <w:p w14:paraId="53AB7A9A">
            <w:pPr>
              <w:spacing w:after="0" w:line="240" w:lineRule="auto"/>
              <w:rPr>
                <w:rFonts w:hint="eastAsia" w:ascii="仿宋" w:hAnsi="仿宋" w:eastAsia="仿宋" w:cs="仿宋"/>
                <w:sz w:val="20"/>
                <w:szCs w:val="20"/>
              </w:rPr>
            </w:pPr>
          </w:p>
        </w:tc>
        <w:tc>
          <w:tcPr>
            <w:tcW w:w="1028" w:type="dxa"/>
            <w:vMerge w:val="continue"/>
          </w:tcPr>
          <w:p w14:paraId="50A41FAE">
            <w:pPr>
              <w:spacing w:after="0" w:line="240" w:lineRule="auto"/>
              <w:rPr>
                <w:rFonts w:hint="eastAsia" w:ascii="仿宋" w:hAnsi="仿宋" w:eastAsia="仿宋" w:cs="仿宋"/>
                <w:sz w:val="20"/>
                <w:szCs w:val="20"/>
              </w:rPr>
            </w:pPr>
          </w:p>
        </w:tc>
      </w:tr>
      <w:tr w14:paraId="6F1B0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183C8817">
            <w:pPr>
              <w:spacing w:after="0" w:line="240" w:lineRule="auto"/>
              <w:rPr>
                <w:rFonts w:hint="eastAsia" w:ascii="仿宋" w:hAnsi="仿宋" w:eastAsia="仿宋" w:cs="仿宋"/>
                <w:sz w:val="20"/>
                <w:szCs w:val="20"/>
              </w:rPr>
            </w:pPr>
          </w:p>
        </w:tc>
        <w:tc>
          <w:tcPr>
            <w:tcW w:w="1524" w:type="dxa"/>
            <w:vMerge w:val="continue"/>
          </w:tcPr>
          <w:p w14:paraId="7384D31C">
            <w:pPr>
              <w:spacing w:after="0" w:line="240" w:lineRule="auto"/>
              <w:rPr>
                <w:rFonts w:hint="eastAsia" w:ascii="仿宋" w:hAnsi="仿宋" w:eastAsia="仿宋" w:cs="仿宋"/>
                <w:sz w:val="20"/>
                <w:szCs w:val="20"/>
              </w:rPr>
            </w:pPr>
          </w:p>
        </w:tc>
        <w:tc>
          <w:tcPr>
            <w:tcW w:w="5790" w:type="dxa"/>
            <w:vAlign w:val="center"/>
          </w:tcPr>
          <w:p w14:paraId="38F4E80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风险雷达与穿透池</w:t>
            </w:r>
          </w:p>
          <w:p w14:paraId="3A675F9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薄利/亏损区：专项展示净利润率触及字典预置底线（如 ≤3%）的项目(合同CI编号)清单。</w:t>
            </w:r>
          </w:p>
          <w:p w14:paraId="4560EB1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应收逾期区：展示已开票但超过合同约定账期仍未收款的逾期项目(合同CI编号)清单。</w:t>
            </w:r>
          </w:p>
          <w:p w14:paraId="28AF44E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执行预警区：联动执行管理模块，展示计划结束时间已过期的派单及负责人。</w:t>
            </w:r>
          </w:p>
          <w:p w14:paraId="3C1D62F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支持点击从大屏直接穿透到对应底单详情页面。</w:t>
            </w:r>
          </w:p>
        </w:tc>
        <w:tc>
          <w:tcPr>
            <w:tcW w:w="1381" w:type="dxa"/>
            <w:vAlign w:val="center"/>
          </w:tcPr>
          <w:p w14:paraId="5F6E91B9">
            <w:pPr>
              <w:spacing w:before="0" w:after="0" w:line="264" w:lineRule="auto"/>
              <w:jc w:val="center"/>
              <w:rPr>
                <w:rFonts w:hint="eastAsia" w:ascii="仿宋" w:hAnsi="仿宋" w:eastAsia="仿宋" w:cs="仿宋"/>
                <w:sz w:val="20"/>
                <w:szCs w:val="20"/>
              </w:rPr>
            </w:pPr>
          </w:p>
        </w:tc>
        <w:tc>
          <w:tcPr>
            <w:tcW w:w="1409" w:type="dxa"/>
            <w:vAlign w:val="center"/>
          </w:tcPr>
          <w:p w14:paraId="102C2023">
            <w:pPr>
              <w:spacing w:before="0" w:after="0" w:line="264" w:lineRule="auto"/>
              <w:jc w:val="center"/>
              <w:rPr>
                <w:rFonts w:hint="eastAsia" w:ascii="仿宋" w:hAnsi="仿宋" w:eastAsia="仿宋" w:cs="仿宋"/>
                <w:sz w:val="20"/>
                <w:szCs w:val="20"/>
              </w:rPr>
            </w:pPr>
          </w:p>
        </w:tc>
        <w:tc>
          <w:tcPr>
            <w:tcW w:w="963" w:type="dxa"/>
            <w:vMerge w:val="continue"/>
          </w:tcPr>
          <w:p w14:paraId="6F091EB0">
            <w:pPr>
              <w:spacing w:after="0" w:line="240" w:lineRule="auto"/>
              <w:rPr>
                <w:rFonts w:hint="eastAsia" w:ascii="仿宋" w:hAnsi="仿宋" w:eastAsia="仿宋" w:cs="仿宋"/>
                <w:sz w:val="20"/>
                <w:szCs w:val="20"/>
              </w:rPr>
            </w:pPr>
          </w:p>
        </w:tc>
        <w:tc>
          <w:tcPr>
            <w:tcW w:w="1028" w:type="dxa"/>
            <w:vMerge w:val="continue"/>
          </w:tcPr>
          <w:p w14:paraId="7D5922AA">
            <w:pPr>
              <w:spacing w:after="0" w:line="240" w:lineRule="auto"/>
              <w:rPr>
                <w:rFonts w:hint="eastAsia" w:ascii="仿宋" w:hAnsi="仿宋" w:eastAsia="仿宋" w:cs="仿宋"/>
                <w:sz w:val="20"/>
                <w:szCs w:val="20"/>
              </w:rPr>
            </w:pPr>
          </w:p>
        </w:tc>
      </w:tr>
      <w:tr w14:paraId="16133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62EFD8B0">
            <w:pPr>
              <w:spacing w:after="0" w:line="240" w:lineRule="auto"/>
              <w:rPr>
                <w:rFonts w:hint="eastAsia" w:ascii="仿宋" w:hAnsi="仿宋" w:eastAsia="仿宋" w:cs="仿宋"/>
                <w:sz w:val="20"/>
                <w:szCs w:val="20"/>
              </w:rPr>
            </w:pPr>
          </w:p>
        </w:tc>
        <w:tc>
          <w:tcPr>
            <w:tcW w:w="1524" w:type="dxa"/>
            <w:vMerge w:val="continue"/>
          </w:tcPr>
          <w:p w14:paraId="392D1EAC">
            <w:pPr>
              <w:spacing w:after="0" w:line="240" w:lineRule="auto"/>
              <w:rPr>
                <w:rFonts w:hint="eastAsia" w:ascii="仿宋" w:hAnsi="仿宋" w:eastAsia="仿宋" w:cs="仿宋"/>
                <w:sz w:val="20"/>
                <w:szCs w:val="20"/>
              </w:rPr>
            </w:pPr>
          </w:p>
        </w:tc>
        <w:tc>
          <w:tcPr>
            <w:tcW w:w="5790" w:type="dxa"/>
            <w:vAlign w:val="center"/>
          </w:tcPr>
          <w:p w14:paraId="791513B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产能闲置率网格</w:t>
            </w:r>
          </w:p>
          <w:p w14:paraId="29D10DF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计算公式：在职人员总数 - 当前正在执行派单中的人员数 = 闲置人员数</w:t>
            </w:r>
          </w:p>
          <w:p w14:paraId="1D22A57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成本透视：将闲置人员人数折算为当期隐性薪资耗损总额，标红展示在大屏中，辅助管理层盘活人力资源。</w:t>
            </w:r>
          </w:p>
        </w:tc>
        <w:tc>
          <w:tcPr>
            <w:tcW w:w="1381" w:type="dxa"/>
            <w:vAlign w:val="center"/>
          </w:tcPr>
          <w:p w14:paraId="1601E321">
            <w:pPr>
              <w:spacing w:before="0" w:after="0" w:line="264" w:lineRule="auto"/>
              <w:jc w:val="center"/>
              <w:rPr>
                <w:rFonts w:hint="eastAsia" w:ascii="仿宋" w:hAnsi="仿宋" w:eastAsia="仿宋" w:cs="仿宋"/>
                <w:sz w:val="20"/>
                <w:szCs w:val="20"/>
              </w:rPr>
            </w:pPr>
          </w:p>
        </w:tc>
        <w:tc>
          <w:tcPr>
            <w:tcW w:w="1409" w:type="dxa"/>
            <w:vAlign w:val="center"/>
          </w:tcPr>
          <w:p w14:paraId="6CBB2B8F">
            <w:pPr>
              <w:spacing w:before="0" w:after="0" w:line="264" w:lineRule="auto"/>
              <w:jc w:val="center"/>
              <w:rPr>
                <w:rFonts w:hint="eastAsia" w:ascii="仿宋" w:hAnsi="仿宋" w:eastAsia="仿宋" w:cs="仿宋"/>
                <w:sz w:val="20"/>
                <w:szCs w:val="20"/>
              </w:rPr>
            </w:pPr>
          </w:p>
        </w:tc>
        <w:tc>
          <w:tcPr>
            <w:tcW w:w="963" w:type="dxa"/>
            <w:vMerge w:val="continue"/>
          </w:tcPr>
          <w:p w14:paraId="19B30754">
            <w:pPr>
              <w:spacing w:after="0" w:line="240" w:lineRule="auto"/>
              <w:rPr>
                <w:rFonts w:hint="eastAsia" w:ascii="仿宋" w:hAnsi="仿宋" w:eastAsia="仿宋" w:cs="仿宋"/>
                <w:sz w:val="20"/>
                <w:szCs w:val="20"/>
              </w:rPr>
            </w:pPr>
          </w:p>
        </w:tc>
        <w:tc>
          <w:tcPr>
            <w:tcW w:w="1028" w:type="dxa"/>
            <w:vMerge w:val="continue"/>
          </w:tcPr>
          <w:p w14:paraId="424431C9">
            <w:pPr>
              <w:spacing w:after="0" w:line="240" w:lineRule="auto"/>
              <w:rPr>
                <w:rFonts w:hint="eastAsia" w:ascii="仿宋" w:hAnsi="仿宋" w:eastAsia="仿宋" w:cs="仿宋"/>
                <w:sz w:val="20"/>
                <w:szCs w:val="20"/>
              </w:rPr>
            </w:pPr>
          </w:p>
        </w:tc>
      </w:tr>
      <w:tr w14:paraId="5F0B4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4BD82DB7">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2</w:t>
            </w:r>
          </w:p>
        </w:tc>
        <w:tc>
          <w:tcPr>
            <w:tcW w:w="1524" w:type="dxa"/>
            <w:vMerge w:val="restart"/>
            <w:vAlign w:val="center"/>
          </w:tcPr>
          <w:p w14:paraId="106AF537">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合同台账管理</w:t>
            </w:r>
          </w:p>
        </w:tc>
        <w:tc>
          <w:tcPr>
            <w:tcW w:w="5790" w:type="dxa"/>
            <w:vAlign w:val="center"/>
          </w:tcPr>
          <w:p w14:paraId="0BBBF85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 角色划分</w:t>
            </w:r>
          </w:p>
          <w:p w14:paraId="124FAB7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项目总监：查看当前用户监管的项目下派单选用的合同号(CI编号)数据</w:t>
            </w:r>
          </w:p>
          <w:p w14:paraId="0865532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项目经理：查看分配给当前用户的合同号(CI编号)数据</w:t>
            </w:r>
          </w:p>
          <w:p w14:paraId="5CC4594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总监代表：查看当前用户负责的派单选用的合同号(CI编号)数据</w:t>
            </w:r>
          </w:p>
          <w:p w14:paraId="7AB4AB6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财务、领导层、管理员：查看所有数据</w:t>
            </w:r>
          </w:p>
          <w:p w14:paraId="64315AD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&gt; 【项目经理变更继承规则】</w:t>
            </w:r>
          </w:p>
          <w:p w14:paraId="06CCA8C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当 PECMS 中某合同的项目经理发生变更时（如从甲变更为乙）：</w:t>
            </w:r>
          </w:p>
          <w:p w14:paraId="65F2EE1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甲在 O&amp;M 中失去该合同的访问权限</w:t>
            </w:r>
          </w:p>
          <w:p w14:paraId="6C2AB24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乙在 O&amp;M 中接管该合同，可查看甲历史填报的全部数据</w:t>
            </w:r>
          </w:p>
          <w:p w14:paraId="4258D8C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历史数据中的"填报人"字段仍显示甲（不改写历史记录，保证审计完整性）</w:t>
            </w:r>
          </w:p>
          <w:p w14:paraId="0163822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后续由乙继续查看与填报</w:t>
            </w:r>
          </w:p>
        </w:tc>
        <w:tc>
          <w:tcPr>
            <w:tcW w:w="1381" w:type="dxa"/>
            <w:vAlign w:val="center"/>
          </w:tcPr>
          <w:p w14:paraId="675E244E">
            <w:pPr>
              <w:spacing w:before="0" w:after="0" w:line="264" w:lineRule="auto"/>
              <w:jc w:val="center"/>
              <w:rPr>
                <w:rFonts w:hint="eastAsia" w:ascii="仿宋" w:hAnsi="仿宋" w:eastAsia="仿宋" w:cs="仿宋"/>
                <w:sz w:val="20"/>
                <w:szCs w:val="20"/>
              </w:rPr>
            </w:pPr>
          </w:p>
        </w:tc>
        <w:tc>
          <w:tcPr>
            <w:tcW w:w="1409" w:type="dxa"/>
            <w:vAlign w:val="center"/>
          </w:tcPr>
          <w:p w14:paraId="77EAFE20">
            <w:pPr>
              <w:spacing w:before="0" w:after="0" w:line="264" w:lineRule="auto"/>
              <w:jc w:val="center"/>
              <w:rPr>
                <w:rFonts w:hint="eastAsia" w:ascii="仿宋" w:hAnsi="仿宋" w:eastAsia="仿宋" w:cs="仿宋"/>
                <w:sz w:val="20"/>
                <w:szCs w:val="20"/>
              </w:rPr>
            </w:pPr>
          </w:p>
        </w:tc>
        <w:tc>
          <w:tcPr>
            <w:tcW w:w="963" w:type="dxa"/>
            <w:vMerge w:val="restart"/>
            <w:vAlign w:val="center"/>
          </w:tcPr>
          <w:p w14:paraId="5E5FE57E">
            <w:pPr>
              <w:spacing w:before="0" w:after="0" w:line="264" w:lineRule="auto"/>
              <w:jc w:val="center"/>
              <w:rPr>
                <w:rFonts w:hint="eastAsia" w:ascii="仿宋" w:hAnsi="仿宋" w:eastAsia="仿宋" w:cs="仿宋"/>
                <w:sz w:val="20"/>
                <w:szCs w:val="20"/>
              </w:rPr>
            </w:pPr>
          </w:p>
        </w:tc>
        <w:tc>
          <w:tcPr>
            <w:tcW w:w="1028" w:type="dxa"/>
            <w:vMerge w:val="restart"/>
            <w:vAlign w:val="center"/>
          </w:tcPr>
          <w:p w14:paraId="4FEA2618">
            <w:pPr>
              <w:spacing w:before="0" w:after="0" w:line="264" w:lineRule="auto"/>
              <w:jc w:val="center"/>
              <w:rPr>
                <w:rFonts w:hint="eastAsia" w:ascii="仿宋" w:hAnsi="仿宋" w:eastAsia="仿宋" w:cs="仿宋"/>
                <w:sz w:val="20"/>
                <w:szCs w:val="20"/>
              </w:rPr>
            </w:pPr>
          </w:p>
        </w:tc>
      </w:tr>
      <w:tr w14:paraId="6EDBF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53782912">
            <w:pPr>
              <w:spacing w:after="0" w:line="240" w:lineRule="auto"/>
              <w:rPr>
                <w:rFonts w:hint="eastAsia" w:ascii="仿宋" w:hAnsi="仿宋" w:eastAsia="仿宋" w:cs="仿宋"/>
                <w:sz w:val="20"/>
                <w:szCs w:val="20"/>
              </w:rPr>
            </w:pPr>
          </w:p>
        </w:tc>
        <w:tc>
          <w:tcPr>
            <w:tcW w:w="1524" w:type="dxa"/>
            <w:vMerge w:val="continue"/>
          </w:tcPr>
          <w:p w14:paraId="10E30DC6">
            <w:pPr>
              <w:spacing w:after="0" w:line="240" w:lineRule="auto"/>
              <w:rPr>
                <w:rFonts w:hint="eastAsia" w:ascii="仿宋" w:hAnsi="仿宋" w:eastAsia="仿宋" w:cs="仿宋"/>
                <w:sz w:val="20"/>
                <w:szCs w:val="20"/>
              </w:rPr>
            </w:pPr>
          </w:p>
        </w:tc>
        <w:tc>
          <w:tcPr>
            <w:tcW w:w="5790" w:type="dxa"/>
            <w:vAlign w:val="center"/>
          </w:tcPr>
          <w:p w14:paraId="5A437C8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1.2 数据展示及各角色操作权限</w:t>
            </w:r>
          </w:p>
          <w:p w14:paraId="3CA8928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数据来源：合同信息列表数据从 PECMS 中同步获取，以列表形式展示。</w:t>
            </w:r>
          </w:p>
          <w:p w14:paraId="66C7E52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展示字段：合同编号、合同名称、设备名称、委托方、制造方、监造金额、预给号时间、项目经理、合同签订时间、合同原件返回情况时间、合同起始日期、合同终止日期、委托方联系人、合同类型、合同形式、ERP录入情况、上级单位ERP唯一标识、合同特殊情况备注、供公司平台项目编号、供公司平台项目名称。</w:t>
            </w:r>
          </w:p>
          <w:p w14:paraId="121E9702">
            <w:pPr>
              <w:spacing w:before="0" w:after="0" w:line="264" w:lineRule="auto"/>
              <w:jc w:val="left"/>
              <w:rPr>
                <w:rFonts w:hint="eastAsia" w:ascii="仿宋" w:hAnsi="仿宋" w:eastAsia="仿宋" w:cs="仿宋"/>
                <w:b w:val="0"/>
                <w:sz w:val="20"/>
                <w:szCs w:val="20"/>
              </w:rPr>
            </w:pPr>
            <w:r>
              <w:rPr>
                <w:rFonts w:hint="eastAsia" w:ascii="仿宋" w:hAnsi="仿宋" w:eastAsia="仿宋" w:cs="仿宋"/>
                <w:b w:val="0"/>
                <w:sz w:val="20"/>
                <w:szCs w:val="20"/>
              </w:rPr>
              <w:t>&gt; 【合同类型说明】</w:t>
            </w:r>
          </w:p>
          <w:p w14:paraId="4F8C42F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开口合同：参与产值/收入/成本计算；系统自动按工时×合同单价计算当月计划产值</w:t>
            </w:r>
          </w:p>
          <w:p w14:paraId="63AB5BA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总价合同：参与产值/收入/成本计算；当月计划产值默认为0，由项目经理手动按月填报确认产值</w:t>
            </w:r>
          </w:p>
          <w:p w14:paraId="5253CDC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框架协议合同：仅在合同台账记录展示，不进入项目收入台账，不参与任何产值、收入、成本计算</w:t>
            </w:r>
          </w:p>
          <w:p w14:paraId="7EBF1422">
            <w:pPr>
              <w:spacing w:before="0" w:after="0" w:line="264" w:lineRule="auto"/>
              <w:jc w:val="left"/>
              <w:rPr>
                <w:rFonts w:hint="eastAsia" w:ascii="仿宋" w:hAnsi="仿宋" w:eastAsia="仿宋" w:cs="仿宋"/>
                <w:b w:val="0"/>
                <w:sz w:val="20"/>
                <w:szCs w:val="20"/>
              </w:rPr>
            </w:pPr>
            <w:r>
              <w:rPr>
                <w:rFonts w:hint="eastAsia" w:ascii="仿宋" w:hAnsi="仿宋" w:eastAsia="仿宋" w:cs="仿宋"/>
                <w:b w:val="0"/>
                <w:sz w:val="20"/>
                <w:szCs w:val="20"/>
              </w:rPr>
              <w:t>&gt; 【PECMS数据同步与账号绑定机制】</w:t>
            </w:r>
          </w:p>
          <w:p w14:paraId="16B2FD1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PECMS 合同台账同步至 O&amp;M 时，"项目经理"字段在 PECMS 中原为纯文字姓名</w:t>
            </w:r>
          </w:p>
          <w:p w14:paraId="5EB7515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PECMS 在 user 表中新增字段"上级单位ERP唯一标识"，存储每个用户在上级ERP系统中的唯一ID</w:t>
            </w:r>
          </w:p>
          <w:p w14:paraId="3B3C47E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O&amp;M 同步数据时，根据该唯一标识在 O&amp;M 用户表中匹配对应账号并完成绑定</w:t>
            </w:r>
          </w:p>
          <w:p w14:paraId="50909A2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页面显示：账号对应的用户姓名（人可读）</w:t>
            </w:r>
          </w:p>
          <w:p w14:paraId="54D2A4E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底层存储：O&amp;M 系统账号ID（供权限系统识别）</w:t>
            </w:r>
          </w:p>
          <w:p w14:paraId="1CDAD6A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若无法匹配到账号：回退显示原始文字姓名，并在系统中标记为"待绑定"状态</w:t>
            </w:r>
          </w:p>
          <w:p w14:paraId="3547295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此绑定机制是 O&amp;M 权限系统正确识别项目经理身份的基础前提，需在联调阶段提前完成</w:t>
            </w:r>
          </w:p>
          <w:p w14:paraId="11A7847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增加开票提醒功能，发送邮件至项目经理邮箱</w:t>
            </w:r>
          </w:p>
          <w:p w14:paraId="29F181C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总价合同：合同结束后提醒，合同下所有派单都是结束状态才是合同的结束</w:t>
            </w:r>
          </w:p>
          <w:p w14:paraId="167A961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开口合同：根据台账中的提醒周期，和单位，在适当时间进行提醒</w:t>
            </w:r>
          </w:p>
        </w:tc>
        <w:tc>
          <w:tcPr>
            <w:tcW w:w="1381" w:type="dxa"/>
            <w:vAlign w:val="center"/>
          </w:tcPr>
          <w:p w14:paraId="0FC224E6">
            <w:pPr>
              <w:spacing w:before="0" w:after="0" w:line="264" w:lineRule="auto"/>
              <w:jc w:val="center"/>
              <w:rPr>
                <w:rFonts w:hint="eastAsia" w:ascii="仿宋" w:hAnsi="仿宋" w:eastAsia="仿宋" w:cs="仿宋"/>
                <w:sz w:val="20"/>
                <w:szCs w:val="20"/>
              </w:rPr>
            </w:pPr>
          </w:p>
        </w:tc>
        <w:tc>
          <w:tcPr>
            <w:tcW w:w="1409" w:type="dxa"/>
            <w:vAlign w:val="center"/>
          </w:tcPr>
          <w:p w14:paraId="242BF161">
            <w:pPr>
              <w:spacing w:before="0" w:after="0" w:line="264" w:lineRule="auto"/>
              <w:jc w:val="center"/>
              <w:rPr>
                <w:rFonts w:hint="eastAsia" w:ascii="仿宋" w:hAnsi="仿宋" w:eastAsia="仿宋" w:cs="仿宋"/>
                <w:sz w:val="20"/>
                <w:szCs w:val="20"/>
              </w:rPr>
            </w:pPr>
          </w:p>
        </w:tc>
        <w:tc>
          <w:tcPr>
            <w:tcW w:w="963" w:type="dxa"/>
            <w:vMerge w:val="continue"/>
          </w:tcPr>
          <w:p w14:paraId="424863AC">
            <w:pPr>
              <w:spacing w:after="0" w:line="240" w:lineRule="auto"/>
              <w:rPr>
                <w:rFonts w:hint="eastAsia" w:ascii="仿宋" w:hAnsi="仿宋" w:eastAsia="仿宋" w:cs="仿宋"/>
                <w:sz w:val="20"/>
                <w:szCs w:val="20"/>
              </w:rPr>
            </w:pPr>
          </w:p>
        </w:tc>
        <w:tc>
          <w:tcPr>
            <w:tcW w:w="1028" w:type="dxa"/>
            <w:vMerge w:val="continue"/>
          </w:tcPr>
          <w:p w14:paraId="4FE565AB">
            <w:pPr>
              <w:spacing w:after="0" w:line="240" w:lineRule="auto"/>
              <w:rPr>
                <w:rFonts w:hint="eastAsia" w:ascii="仿宋" w:hAnsi="仿宋" w:eastAsia="仿宋" w:cs="仿宋"/>
                <w:sz w:val="20"/>
                <w:szCs w:val="20"/>
              </w:rPr>
            </w:pPr>
          </w:p>
        </w:tc>
      </w:tr>
      <w:tr w14:paraId="1974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198F4C1F">
            <w:pPr>
              <w:spacing w:after="0" w:line="240" w:lineRule="auto"/>
              <w:rPr>
                <w:rFonts w:hint="eastAsia" w:ascii="仿宋" w:hAnsi="仿宋" w:eastAsia="仿宋" w:cs="仿宋"/>
                <w:sz w:val="20"/>
                <w:szCs w:val="20"/>
              </w:rPr>
            </w:pPr>
          </w:p>
        </w:tc>
        <w:tc>
          <w:tcPr>
            <w:tcW w:w="1524" w:type="dxa"/>
            <w:vMerge w:val="continue"/>
          </w:tcPr>
          <w:p w14:paraId="01A634C9">
            <w:pPr>
              <w:spacing w:after="0" w:line="240" w:lineRule="auto"/>
              <w:rPr>
                <w:rFonts w:hint="eastAsia" w:ascii="仿宋" w:hAnsi="仿宋" w:eastAsia="仿宋" w:cs="仿宋"/>
                <w:sz w:val="20"/>
                <w:szCs w:val="20"/>
              </w:rPr>
            </w:pPr>
          </w:p>
        </w:tc>
        <w:tc>
          <w:tcPr>
            <w:tcW w:w="5790" w:type="dxa"/>
            <w:vAlign w:val="center"/>
          </w:tcPr>
          <w:p w14:paraId="23EF2E1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1.3 数据列操作按钮</w:t>
            </w:r>
          </w:p>
          <w:p w14:paraId="5D7D825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完成"按钮：当【实收金额】与【合同金额】在系统设置的精准小数位数误差阈值内一致时，展示"完成"按钮。点击弹出确认弹窗，确认后修改合同状态为"已完成"。是否达到一致的精度门限，支持在系统设置中配置小数点精确位数，避免因极小数位差异导致无法完成。</w:t>
            </w:r>
          </w:p>
          <w:p w14:paraId="57CA559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"终止"按钮：除状态为"已终止"的数据外，其余均展示终止按钮，点击后修改合同状态为"已终止"。</w:t>
            </w:r>
          </w:p>
          <w:p w14:paraId="5C7F07A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取消终止"按钮：状态为"已终止"的数据展示"取消终止"按钮，点击后弹出含必填字段弹窗：【终止原因】（文本必填）、【预估恢复时间】（日期必填）、确定/取消按钮。点击确定后调用接口发起审批流程；流程发起后，"取消终止"按钮改为显示"取消终止申请"，点击展示申请内容和审批状态信息。</w:t>
            </w:r>
          </w:p>
          <w:p w14:paraId="0FDE393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"编辑"按钮：每个合同默认每月产值计算天数为26，增加编辑入口对合同的天数进行修改</w:t>
            </w:r>
          </w:p>
        </w:tc>
        <w:tc>
          <w:tcPr>
            <w:tcW w:w="1381" w:type="dxa"/>
            <w:vAlign w:val="center"/>
          </w:tcPr>
          <w:p w14:paraId="7EA91989">
            <w:pPr>
              <w:spacing w:before="0" w:after="0" w:line="264" w:lineRule="auto"/>
              <w:jc w:val="center"/>
              <w:rPr>
                <w:rFonts w:hint="eastAsia" w:ascii="仿宋" w:hAnsi="仿宋" w:eastAsia="仿宋" w:cs="仿宋"/>
                <w:sz w:val="20"/>
                <w:szCs w:val="20"/>
              </w:rPr>
            </w:pPr>
          </w:p>
        </w:tc>
        <w:tc>
          <w:tcPr>
            <w:tcW w:w="1409" w:type="dxa"/>
            <w:vAlign w:val="center"/>
          </w:tcPr>
          <w:p w14:paraId="793BDBF7">
            <w:pPr>
              <w:spacing w:before="0" w:after="0" w:line="264" w:lineRule="auto"/>
              <w:jc w:val="center"/>
              <w:rPr>
                <w:rFonts w:hint="eastAsia" w:ascii="仿宋" w:hAnsi="仿宋" w:eastAsia="仿宋" w:cs="仿宋"/>
                <w:sz w:val="20"/>
                <w:szCs w:val="20"/>
              </w:rPr>
            </w:pPr>
          </w:p>
        </w:tc>
        <w:tc>
          <w:tcPr>
            <w:tcW w:w="963" w:type="dxa"/>
            <w:vMerge w:val="continue"/>
          </w:tcPr>
          <w:p w14:paraId="4AE4BC5D">
            <w:pPr>
              <w:spacing w:after="0" w:line="240" w:lineRule="auto"/>
              <w:rPr>
                <w:rFonts w:hint="eastAsia" w:ascii="仿宋" w:hAnsi="仿宋" w:eastAsia="仿宋" w:cs="仿宋"/>
                <w:sz w:val="20"/>
                <w:szCs w:val="20"/>
              </w:rPr>
            </w:pPr>
          </w:p>
        </w:tc>
        <w:tc>
          <w:tcPr>
            <w:tcW w:w="1028" w:type="dxa"/>
            <w:vMerge w:val="continue"/>
          </w:tcPr>
          <w:p w14:paraId="7E7F8CCC">
            <w:pPr>
              <w:spacing w:after="0" w:line="240" w:lineRule="auto"/>
              <w:rPr>
                <w:rFonts w:hint="eastAsia" w:ascii="仿宋" w:hAnsi="仿宋" w:eastAsia="仿宋" w:cs="仿宋"/>
                <w:sz w:val="20"/>
                <w:szCs w:val="20"/>
              </w:rPr>
            </w:pPr>
          </w:p>
        </w:tc>
      </w:tr>
      <w:tr w14:paraId="77031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6069591B">
            <w:pPr>
              <w:spacing w:after="0" w:line="240" w:lineRule="auto"/>
              <w:rPr>
                <w:rFonts w:hint="eastAsia" w:ascii="仿宋" w:hAnsi="仿宋" w:eastAsia="仿宋" w:cs="仿宋"/>
                <w:sz w:val="20"/>
                <w:szCs w:val="20"/>
              </w:rPr>
            </w:pPr>
          </w:p>
        </w:tc>
        <w:tc>
          <w:tcPr>
            <w:tcW w:w="1524" w:type="dxa"/>
            <w:vMerge w:val="continue"/>
          </w:tcPr>
          <w:p w14:paraId="3D7AB468">
            <w:pPr>
              <w:spacing w:after="0" w:line="240" w:lineRule="auto"/>
              <w:rPr>
                <w:rFonts w:hint="eastAsia" w:ascii="仿宋" w:hAnsi="仿宋" w:eastAsia="仿宋" w:cs="仿宋"/>
                <w:sz w:val="20"/>
                <w:szCs w:val="20"/>
              </w:rPr>
            </w:pPr>
          </w:p>
        </w:tc>
        <w:tc>
          <w:tcPr>
            <w:tcW w:w="5790" w:type="dxa"/>
            <w:vAlign w:val="center"/>
          </w:tcPr>
          <w:p w14:paraId="10D852F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1.4 详情查看</w:t>
            </w:r>
          </w:p>
          <w:p w14:paraId="0E818B0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弹窗展示当前选中合同的相关信息（包含列表所有字段），同时若有取消终止申请，展示申请的所有信息：发起人、提出时间、审批状态。</w:t>
            </w:r>
          </w:p>
        </w:tc>
        <w:tc>
          <w:tcPr>
            <w:tcW w:w="1381" w:type="dxa"/>
            <w:vAlign w:val="center"/>
          </w:tcPr>
          <w:p w14:paraId="0D0A96ED">
            <w:pPr>
              <w:spacing w:before="0" w:after="0" w:line="264" w:lineRule="auto"/>
              <w:jc w:val="center"/>
              <w:rPr>
                <w:rFonts w:hint="eastAsia" w:ascii="仿宋" w:hAnsi="仿宋" w:eastAsia="仿宋" w:cs="仿宋"/>
                <w:sz w:val="20"/>
                <w:szCs w:val="20"/>
              </w:rPr>
            </w:pPr>
          </w:p>
        </w:tc>
        <w:tc>
          <w:tcPr>
            <w:tcW w:w="1409" w:type="dxa"/>
            <w:vAlign w:val="center"/>
          </w:tcPr>
          <w:p w14:paraId="6B2D6818">
            <w:pPr>
              <w:spacing w:before="0" w:after="0" w:line="264" w:lineRule="auto"/>
              <w:jc w:val="center"/>
              <w:rPr>
                <w:rFonts w:hint="eastAsia" w:ascii="仿宋" w:hAnsi="仿宋" w:eastAsia="仿宋" w:cs="仿宋"/>
                <w:sz w:val="20"/>
                <w:szCs w:val="20"/>
              </w:rPr>
            </w:pPr>
          </w:p>
        </w:tc>
        <w:tc>
          <w:tcPr>
            <w:tcW w:w="963" w:type="dxa"/>
            <w:vMerge w:val="continue"/>
          </w:tcPr>
          <w:p w14:paraId="0B2F23C2">
            <w:pPr>
              <w:spacing w:after="0" w:line="240" w:lineRule="auto"/>
              <w:rPr>
                <w:rFonts w:hint="eastAsia" w:ascii="仿宋" w:hAnsi="仿宋" w:eastAsia="仿宋" w:cs="仿宋"/>
                <w:sz w:val="20"/>
                <w:szCs w:val="20"/>
              </w:rPr>
            </w:pPr>
          </w:p>
        </w:tc>
        <w:tc>
          <w:tcPr>
            <w:tcW w:w="1028" w:type="dxa"/>
            <w:vMerge w:val="continue"/>
          </w:tcPr>
          <w:p w14:paraId="66FEDC2C">
            <w:pPr>
              <w:spacing w:after="0" w:line="240" w:lineRule="auto"/>
              <w:rPr>
                <w:rFonts w:hint="eastAsia" w:ascii="仿宋" w:hAnsi="仿宋" w:eastAsia="仿宋" w:cs="仿宋"/>
                <w:sz w:val="20"/>
                <w:szCs w:val="20"/>
              </w:rPr>
            </w:pPr>
          </w:p>
        </w:tc>
      </w:tr>
      <w:tr w14:paraId="3799A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2896C127">
            <w:pPr>
              <w:spacing w:after="0" w:line="240" w:lineRule="auto"/>
              <w:rPr>
                <w:rFonts w:hint="eastAsia" w:ascii="仿宋" w:hAnsi="仿宋" w:eastAsia="仿宋" w:cs="仿宋"/>
                <w:sz w:val="20"/>
                <w:szCs w:val="20"/>
              </w:rPr>
            </w:pPr>
          </w:p>
        </w:tc>
        <w:tc>
          <w:tcPr>
            <w:tcW w:w="1524" w:type="dxa"/>
            <w:vMerge w:val="continue"/>
          </w:tcPr>
          <w:p w14:paraId="5D519B5E">
            <w:pPr>
              <w:spacing w:after="0" w:line="240" w:lineRule="auto"/>
              <w:rPr>
                <w:rFonts w:hint="eastAsia" w:ascii="仿宋" w:hAnsi="仿宋" w:eastAsia="仿宋" w:cs="仿宋"/>
                <w:sz w:val="20"/>
                <w:szCs w:val="20"/>
              </w:rPr>
            </w:pPr>
          </w:p>
        </w:tc>
        <w:tc>
          <w:tcPr>
            <w:tcW w:w="5790" w:type="dxa"/>
            <w:vAlign w:val="center"/>
          </w:tcPr>
          <w:p w14:paraId="77D7A01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1.5 查询筛选条件</w:t>
            </w:r>
          </w:p>
          <w:p w14:paraId="70262AA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查询条件只会比 PECMS 合同管理更多，不照搬 PECMS，以 O&amp;M 系统自身的合同台账展示字段为准，全部字段均作搜索条件。</w:t>
            </w:r>
          </w:p>
          <w:p w14:paraId="0EA36E9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提供高级查询构造器弹窗（用户自选字段并输入条件进行组合查询），支持多条件关联查询。</w:t>
            </w:r>
          </w:p>
          <w:p w14:paraId="56EDA81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按钮：查询、高级查询、重置。</w:t>
            </w:r>
          </w:p>
          <w:p w14:paraId="3EDD6A1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支持按筛选条件结果导出（格式支持 Excel；支持自定义勾选导出列）</w:t>
            </w:r>
          </w:p>
        </w:tc>
        <w:tc>
          <w:tcPr>
            <w:tcW w:w="1381" w:type="dxa"/>
            <w:vAlign w:val="center"/>
          </w:tcPr>
          <w:p w14:paraId="65B6A3D6">
            <w:pPr>
              <w:spacing w:before="0" w:after="0" w:line="264" w:lineRule="auto"/>
              <w:jc w:val="center"/>
              <w:rPr>
                <w:rFonts w:hint="eastAsia" w:ascii="仿宋" w:hAnsi="仿宋" w:eastAsia="仿宋" w:cs="仿宋"/>
                <w:sz w:val="20"/>
                <w:szCs w:val="20"/>
              </w:rPr>
            </w:pPr>
          </w:p>
        </w:tc>
        <w:tc>
          <w:tcPr>
            <w:tcW w:w="1409" w:type="dxa"/>
            <w:vAlign w:val="center"/>
          </w:tcPr>
          <w:p w14:paraId="4AF08060">
            <w:pPr>
              <w:spacing w:before="0" w:after="0" w:line="264" w:lineRule="auto"/>
              <w:jc w:val="center"/>
              <w:rPr>
                <w:rFonts w:hint="eastAsia" w:ascii="仿宋" w:hAnsi="仿宋" w:eastAsia="仿宋" w:cs="仿宋"/>
                <w:sz w:val="20"/>
                <w:szCs w:val="20"/>
              </w:rPr>
            </w:pPr>
          </w:p>
        </w:tc>
        <w:tc>
          <w:tcPr>
            <w:tcW w:w="963" w:type="dxa"/>
            <w:vMerge w:val="continue"/>
          </w:tcPr>
          <w:p w14:paraId="62B93477">
            <w:pPr>
              <w:spacing w:after="0" w:line="240" w:lineRule="auto"/>
              <w:rPr>
                <w:rFonts w:hint="eastAsia" w:ascii="仿宋" w:hAnsi="仿宋" w:eastAsia="仿宋" w:cs="仿宋"/>
                <w:sz w:val="20"/>
                <w:szCs w:val="20"/>
              </w:rPr>
            </w:pPr>
          </w:p>
        </w:tc>
        <w:tc>
          <w:tcPr>
            <w:tcW w:w="1028" w:type="dxa"/>
            <w:vMerge w:val="continue"/>
          </w:tcPr>
          <w:p w14:paraId="48750F1A">
            <w:pPr>
              <w:spacing w:after="0" w:line="240" w:lineRule="auto"/>
              <w:rPr>
                <w:rFonts w:hint="eastAsia" w:ascii="仿宋" w:hAnsi="仿宋" w:eastAsia="仿宋" w:cs="仿宋"/>
                <w:sz w:val="20"/>
                <w:szCs w:val="20"/>
              </w:rPr>
            </w:pPr>
          </w:p>
        </w:tc>
      </w:tr>
      <w:tr w14:paraId="46060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524E4F83">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3</w:t>
            </w:r>
          </w:p>
        </w:tc>
        <w:tc>
          <w:tcPr>
            <w:tcW w:w="1524" w:type="dxa"/>
            <w:vMerge w:val="restart"/>
            <w:vAlign w:val="center"/>
          </w:tcPr>
          <w:p w14:paraId="4469C59F">
            <w:pPr>
              <w:spacing w:before="0" w:after="0" w:line="264" w:lineRule="auto"/>
              <w:jc w:val="center"/>
              <w:rPr>
                <w:rFonts w:hint="eastAsia" w:ascii="仿宋" w:hAnsi="仿宋" w:eastAsia="仿宋" w:cs="仿宋"/>
                <w:b w:val="0"/>
                <w:sz w:val="20"/>
                <w:szCs w:val="20"/>
              </w:rPr>
            </w:pPr>
          </w:p>
          <w:p w14:paraId="652F8F60">
            <w:pPr>
              <w:spacing w:before="0" w:after="0" w:line="264" w:lineRule="auto"/>
              <w:jc w:val="center"/>
              <w:rPr>
                <w:rFonts w:hint="eastAsia" w:ascii="仿宋" w:hAnsi="仿宋" w:eastAsia="仿宋" w:cs="仿宋"/>
                <w:b w:val="0"/>
                <w:sz w:val="20"/>
                <w:szCs w:val="20"/>
              </w:rPr>
            </w:pPr>
          </w:p>
          <w:p w14:paraId="01BE2123">
            <w:pPr>
              <w:spacing w:before="0" w:after="0" w:line="264" w:lineRule="auto"/>
              <w:jc w:val="center"/>
              <w:rPr>
                <w:rFonts w:hint="eastAsia" w:ascii="仿宋" w:hAnsi="仿宋" w:eastAsia="仿宋" w:cs="仿宋"/>
                <w:b w:val="0"/>
                <w:sz w:val="20"/>
                <w:szCs w:val="20"/>
              </w:rPr>
            </w:pPr>
          </w:p>
          <w:p w14:paraId="3B45BD80">
            <w:pPr>
              <w:spacing w:before="0" w:after="0" w:line="264" w:lineRule="auto"/>
              <w:jc w:val="center"/>
              <w:rPr>
                <w:rFonts w:hint="eastAsia" w:ascii="仿宋" w:hAnsi="仿宋" w:eastAsia="仿宋" w:cs="仿宋"/>
                <w:b w:val="0"/>
                <w:sz w:val="20"/>
                <w:szCs w:val="20"/>
              </w:rPr>
            </w:pPr>
          </w:p>
          <w:p w14:paraId="2FDCF504">
            <w:pPr>
              <w:spacing w:before="0" w:after="0" w:line="264" w:lineRule="auto"/>
              <w:jc w:val="center"/>
              <w:rPr>
                <w:rFonts w:hint="eastAsia" w:ascii="仿宋" w:hAnsi="仿宋" w:eastAsia="仿宋" w:cs="仿宋"/>
                <w:b w:val="0"/>
                <w:sz w:val="20"/>
                <w:szCs w:val="20"/>
              </w:rPr>
            </w:pPr>
          </w:p>
          <w:p w14:paraId="28C9B4D3">
            <w:pPr>
              <w:spacing w:before="0" w:after="0" w:line="264" w:lineRule="auto"/>
              <w:jc w:val="center"/>
              <w:rPr>
                <w:rFonts w:hint="eastAsia" w:ascii="仿宋" w:hAnsi="仿宋" w:eastAsia="仿宋" w:cs="仿宋"/>
                <w:b w:val="0"/>
                <w:sz w:val="20"/>
                <w:szCs w:val="20"/>
              </w:rPr>
            </w:pPr>
          </w:p>
          <w:p w14:paraId="02E0BA0B">
            <w:pPr>
              <w:spacing w:before="0" w:after="0" w:line="264" w:lineRule="auto"/>
              <w:jc w:val="center"/>
              <w:rPr>
                <w:rFonts w:hint="eastAsia" w:ascii="仿宋" w:hAnsi="仿宋" w:eastAsia="仿宋" w:cs="仿宋"/>
                <w:b w:val="0"/>
                <w:sz w:val="20"/>
                <w:szCs w:val="20"/>
              </w:rPr>
            </w:pPr>
          </w:p>
          <w:p w14:paraId="5592A001">
            <w:pPr>
              <w:spacing w:before="0" w:after="0" w:line="264" w:lineRule="auto"/>
              <w:jc w:val="center"/>
              <w:rPr>
                <w:rFonts w:hint="eastAsia" w:ascii="仿宋" w:hAnsi="仿宋" w:eastAsia="仿宋" w:cs="仿宋"/>
                <w:b w:val="0"/>
                <w:sz w:val="20"/>
                <w:szCs w:val="20"/>
              </w:rPr>
            </w:pPr>
          </w:p>
          <w:p w14:paraId="6C893214">
            <w:pPr>
              <w:spacing w:before="0" w:after="0" w:line="264" w:lineRule="auto"/>
              <w:jc w:val="center"/>
              <w:rPr>
                <w:rFonts w:hint="eastAsia" w:ascii="仿宋" w:hAnsi="仿宋" w:eastAsia="仿宋" w:cs="仿宋"/>
                <w:b w:val="0"/>
                <w:sz w:val="20"/>
                <w:szCs w:val="20"/>
              </w:rPr>
            </w:pPr>
          </w:p>
          <w:p w14:paraId="0AD040FA">
            <w:pPr>
              <w:spacing w:before="0" w:after="0" w:line="264" w:lineRule="auto"/>
              <w:jc w:val="center"/>
              <w:rPr>
                <w:rFonts w:hint="eastAsia" w:ascii="仿宋" w:hAnsi="仿宋" w:eastAsia="仿宋" w:cs="仿宋"/>
                <w:b w:val="0"/>
                <w:sz w:val="20"/>
                <w:szCs w:val="20"/>
              </w:rPr>
            </w:pPr>
          </w:p>
          <w:p w14:paraId="3932EE74">
            <w:pPr>
              <w:spacing w:before="0" w:after="0" w:line="264" w:lineRule="auto"/>
              <w:jc w:val="center"/>
              <w:rPr>
                <w:rFonts w:hint="eastAsia" w:ascii="仿宋" w:hAnsi="仿宋" w:eastAsia="仿宋" w:cs="仿宋"/>
                <w:b w:val="0"/>
                <w:sz w:val="20"/>
                <w:szCs w:val="20"/>
              </w:rPr>
            </w:pPr>
          </w:p>
          <w:p w14:paraId="21DA7C29">
            <w:pPr>
              <w:spacing w:before="0" w:after="0" w:line="264" w:lineRule="auto"/>
              <w:jc w:val="center"/>
              <w:rPr>
                <w:rFonts w:hint="eastAsia" w:ascii="仿宋" w:hAnsi="仿宋" w:eastAsia="仿宋" w:cs="仿宋"/>
                <w:b w:val="0"/>
                <w:sz w:val="20"/>
                <w:szCs w:val="20"/>
              </w:rPr>
            </w:pPr>
          </w:p>
          <w:p w14:paraId="0E46BBC6">
            <w:pPr>
              <w:spacing w:before="0" w:after="0" w:line="264" w:lineRule="auto"/>
              <w:jc w:val="center"/>
              <w:rPr>
                <w:rFonts w:hint="eastAsia" w:ascii="仿宋" w:hAnsi="仿宋" w:eastAsia="仿宋" w:cs="仿宋"/>
                <w:b w:val="0"/>
                <w:sz w:val="20"/>
                <w:szCs w:val="20"/>
              </w:rPr>
            </w:pPr>
          </w:p>
          <w:p w14:paraId="4B6DEFB1">
            <w:pPr>
              <w:spacing w:before="0" w:after="0" w:line="264" w:lineRule="auto"/>
              <w:jc w:val="center"/>
              <w:rPr>
                <w:rFonts w:hint="eastAsia" w:ascii="仿宋" w:hAnsi="仿宋" w:eastAsia="仿宋" w:cs="仿宋"/>
                <w:b w:val="0"/>
                <w:sz w:val="20"/>
                <w:szCs w:val="20"/>
              </w:rPr>
            </w:pPr>
          </w:p>
          <w:p w14:paraId="7DB5852B">
            <w:pPr>
              <w:spacing w:before="0" w:after="0" w:line="264" w:lineRule="auto"/>
              <w:jc w:val="center"/>
              <w:rPr>
                <w:rFonts w:hint="eastAsia" w:ascii="仿宋" w:hAnsi="仿宋" w:eastAsia="仿宋" w:cs="仿宋"/>
                <w:b w:val="0"/>
                <w:sz w:val="20"/>
                <w:szCs w:val="20"/>
              </w:rPr>
            </w:pPr>
          </w:p>
          <w:p w14:paraId="6D45B7E6">
            <w:pPr>
              <w:spacing w:before="0" w:after="0" w:line="264" w:lineRule="auto"/>
              <w:jc w:val="center"/>
              <w:rPr>
                <w:rFonts w:hint="eastAsia" w:ascii="仿宋" w:hAnsi="仿宋" w:eastAsia="仿宋" w:cs="仿宋"/>
                <w:b w:val="0"/>
                <w:sz w:val="20"/>
                <w:szCs w:val="20"/>
              </w:rPr>
            </w:pPr>
          </w:p>
          <w:p w14:paraId="27BE36C6">
            <w:pPr>
              <w:spacing w:before="0" w:after="0" w:line="264" w:lineRule="auto"/>
              <w:jc w:val="center"/>
              <w:rPr>
                <w:rFonts w:hint="eastAsia" w:ascii="仿宋" w:hAnsi="仿宋" w:eastAsia="仿宋" w:cs="仿宋"/>
                <w:b w:val="0"/>
                <w:sz w:val="20"/>
                <w:szCs w:val="20"/>
              </w:rPr>
            </w:pPr>
          </w:p>
          <w:p w14:paraId="7F64D651">
            <w:pPr>
              <w:spacing w:before="0" w:after="0" w:line="264" w:lineRule="auto"/>
              <w:jc w:val="center"/>
              <w:rPr>
                <w:rFonts w:hint="eastAsia" w:ascii="仿宋" w:hAnsi="仿宋" w:eastAsia="仿宋" w:cs="仿宋"/>
                <w:b w:val="0"/>
                <w:sz w:val="20"/>
                <w:szCs w:val="20"/>
              </w:rPr>
            </w:pPr>
          </w:p>
          <w:p w14:paraId="3FC0ED7D">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项目收入管理</w:t>
            </w:r>
          </w:p>
        </w:tc>
        <w:tc>
          <w:tcPr>
            <w:tcW w:w="5790" w:type="dxa"/>
            <w:vAlign w:val="center"/>
          </w:tcPr>
          <w:p w14:paraId="5EC49E2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2.1 角色划分</w:t>
            </w:r>
          </w:p>
          <w:p w14:paraId="2329A9D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项目总监：查看当前用户监管的项目下派单选用的合同号(CI编号)的收入信息</w:t>
            </w:r>
          </w:p>
          <w:p w14:paraId="12F6C59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项目经理：查看分配给当前用户的合同号(CI编号)的收入信息</w:t>
            </w:r>
          </w:p>
          <w:p w14:paraId="0076802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总监代表：查看当前用户负责的派单选用的合同号(CI编号)的收入信息</w:t>
            </w:r>
          </w:p>
          <w:p w14:paraId="7899623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财务、领导层、管理员：查看所有数据</w:t>
            </w:r>
          </w:p>
          <w:p w14:paraId="6C957BD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关键权限规定：</w:t>
            </w:r>
          </w:p>
          <w:p w14:paraId="35020F5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o"当月确认产值填报"、"当月收入纠正"、"开票信息填报"、"回款信息填报"按钮的操作权限仅限项目经理（总监代表在本模块无任何编辑权限，仅保留查看）。</w:t>
            </w:r>
          </w:p>
          <w:p w14:paraId="376030E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o上述四个按钮的权限均设置为系统可配置项，由管理员在后台调整。</w:t>
            </w:r>
          </w:p>
          <w:p w14:paraId="2AEC964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o注意：项目收入台账仅展示"开口合同"和"总价合同"数据，框架协议合同不进入本台账。</w:t>
            </w:r>
          </w:p>
        </w:tc>
        <w:tc>
          <w:tcPr>
            <w:tcW w:w="1381" w:type="dxa"/>
            <w:vAlign w:val="center"/>
          </w:tcPr>
          <w:p w14:paraId="36C5EEF3">
            <w:pPr>
              <w:spacing w:before="0" w:after="0" w:line="264" w:lineRule="auto"/>
              <w:jc w:val="center"/>
              <w:rPr>
                <w:rFonts w:hint="eastAsia" w:ascii="仿宋" w:hAnsi="仿宋" w:eastAsia="仿宋" w:cs="仿宋"/>
                <w:sz w:val="20"/>
                <w:szCs w:val="20"/>
              </w:rPr>
            </w:pPr>
          </w:p>
        </w:tc>
        <w:tc>
          <w:tcPr>
            <w:tcW w:w="1409" w:type="dxa"/>
            <w:vAlign w:val="center"/>
          </w:tcPr>
          <w:p w14:paraId="35B5EE54">
            <w:pPr>
              <w:spacing w:before="0" w:after="0" w:line="264" w:lineRule="auto"/>
              <w:jc w:val="center"/>
              <w:rPr>
                <w:rFonts w:hint="eastAsia" w:ascii="仿宋" w:hAnsi="仿宋" w:eastAsia="仿宋" w:cs="仿宋"/>
                <w:sz w:val="20"/>
                <w:szCs w:val="20"/>
              </w:rPr>
            </w:pPr>
          </w:p>
        </w:tc>
        <w:tc>
          <w:tcPr>
            <w:tcW w:w="963" w:type="dxa"/>
            <w:vMerge w:val="restart"/>
            <w:vAlign w:val="center"/>
          </w:tcPr>
          <w:p w14:paraId="343F980F">
            <w:pPr>
              <w:spacing w:before="0" w:after="0" w:line="264" w:lineRule="auto"/>
              <w:jc w:val="center"/>
              <w:rPr>
                <w:rFonts w:hint="eastAsia" w:ascii="仿宋" w:hAnsi="仿宋" w:eastAsia="仿宋" w:cs="仿宋"/>
                <w:sz w:val="20"/>
                <w:szCs w:val="20"/>
              </w:rPr>
            </w:pPr>
          </w:p>
        </w:tc>
        <w:tc>
          <w:tcPr>
            <w:tcW w:w="1028" w:type="dxa"/>
            <w:vMerge w:val="restart"/>
            <w:vAlign w:val="center"/>
          </w:tcPr>
          <w:p w14:paraId="34674FAC">
            <w:pPr>
              <w:spacing w:before="0" w:after="0" w:line="264" w:lineRule="auto"/>
              <w:jc w:val="center"/>
              <w:rPr>
                <w:rFonts w:hint="eastAsia" w:ascii="仿宋" w:hAnsi="仿宋" w:eastAsia="仿宋" w:cs="仿宋"/>
                <w:sz w:val="20"/>
                <w:szCs w:val="20"/>
              </w:rPr>
            </w:pPr>
          </w:p>
        </w:tc>
      </w:tr>
      <w:tr w14:paraId="7A5FF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7DD7C781">
            <w:pPr>
              <w:spacing w:after="0" w:line="240" w:lineRule="auto"/>
              <w:rPr>
                <w:rFonts w:hint="eastAsia" w:ascii="仿宋" w:hAnsi="仿宋" w:eastAsia="仿宋" w:cs="仿宋"/>
                <w:sz w:val="20"/>
                <w:szCs w:val="20"/>
              </w:rPr>
            </w:pPr>
          </w:p>
        </w:tc>
        <w:tc>
          <w:tcPr>
            <w:tcW w:w="1524" w:type="dxa"/>
            <w:vMerge w:val="continue"/>
          </w:tcPr>
          <w:p w14:paraId="5F9FB47F">
            <w:pPr>
              <w:spacing w:after="0" w:line="240" w:lineRule="auto"/>
              <w:rPr>
                <w:rFonts w:hint="eastAsia" w:ascii="仿宋" w:hAnsi="仿宋" w:eastAsia="仿宋" w:cs="仿宋"/>
                <w:sz w:val="20"/>
                <w:szCs w:val="20"/>
              </w:rPr>
            </w:pPr>
          </w:p>
        </w:tc>
        <w:tc>
          <w:tcPr>
            <w:tcW w:w="5790" w:type="dxa"/>
            <w:vAlign w:val="center"/>
          </w:tcPr>
          <w:p w14:paraId="3722188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2.2 项目收入信息展示</w:t>
            </w:r>
          </w:p>
          <w:p w14:paraId="19F929D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以列表形式展示所有合同下项目收入的数据信息（仅含开口合同和总价合同，框架协议合同不显示）。</w:t>
            </w:r>
          </w:p>
          <w:p w14:paraId="57A23DA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列表字段：合同编号、合同名称、委托方、项目经理、合同类型、合同金额、出勤总产值、当月出勤产值、总产值(元)、当月计划产值(元/月)、已报产值、当月确认产值(元)、当月确认产值最新填报时间、当月收入最新纠正时间、已报收入、纠正剩余额度（新增）、当月收入、开票状态、计划开票时间、未开票原因、最新开票时间、开票总金额(元)、最新收款时间、收款总金额(元)、备注。</w:t>
            </w:r>
          </w:p>
          <w:p w14:paraId="78377F4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排序支持：所有涉及数字、金额、日期的列表头均支持正/逆向点击排序。</w:t>
            </w:r>
          </w:p>
          <w:p w14:paraId="1DCDE09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已报收入悬浮明细：鼠标悬停在"已报收入"数字上时，弹出明细组成说明（开票金额合计 + 纠正剩余额度来源），以便溯源查核。</w:t>
            </w:r>
          </w:p>
        </w:tc>
        <w:tc>
          <w:tcPr>
            <w:tcW w:w="1381" w:type="dxa"/>
            <w:vAlign w:val="center"/>
          </w:tcPr>
          <w:p w14:paraId="091B0A28">
            <w:pPr>
              <w:spacing w:before="0" w:after="0" w:line="264" w:lineRule="auto"/>
              <w:jc w:val="center"/>
              <w:rPr>
                <w:rFonts w:hint="eastAsia" w:ascii="仿宋" w:hAnsi="仿宋" w:eastAsia="仿宋" w:cs="仿宋"/>
                <w:sz w:val="20"/>
                <w:szCs w:val="20"/>
              </w:rPr>
            </w:pPr>
          </w:p>
        </w:tc>
        <w:tc>
          <w:tcPr>
            <w:tcW w:w="1409" w:type="dxa"/>
            <w:vAlign w:val="center"/>
          </w:tcPr>
          <w:p w14:paraId="5EFDAE8F">
            <w:pPr>
              <w:spacing w:before="0" w:after="0" w:line="264" w:lineRule="auto"/>
              <w:jc w:val="center"/>
              <w:rPr>
                <w:rFonts w:hint="eastAsia" w:ascii="仿宋" w:hAnsi="仿宋" w:eastAsia="仿宋" w:cs="仿宋"/>
                <w:sz w:val="20"/>
                <w:szCs w:val="20"/>
              </w:rPr>
            </w:pPr>
          </w:p>
        </w:tc>
        <w:tc>
          <w:tcPr>
            <w:tcW w:w="963" w:type="dxa"/>
            <w:vMerge w:val="continue"/>
          </w:tcPr>
          <w:p w14:paraId="4F7AEBF4">
            <w:pPr>
              <w:spacing w:after="0" w:line="240" w:lineRule="auto"/>
              <w:rPr>
                <w:rFonts w:hint="eastAsia" w:ascii="仿宋" w:hAnsi="仿宋" w:eastAsia="仿宋" w:cs="仿宋"/>
                <w:sz w:val="20"/>
                <w:szCs w:val="20"/>
              </w:rPr>
            </w:pPr>
          </w:p>
        </w:tc>
        <w:tc>
          <w:tcPr>
            <w:tcW w:w="1028" w:type="dxa"/>
            <w:vMerge w:val="continue"/>
          </w:tcPr>
          <w:p w14:paraId="45052F02">
            <w:pPr>
              <w:spacing w:after="0" w:line="240" w:lineRule="auto"/>
              <w:rPr>
                <w:rFonts w:hint="eastAsia" w:ascii="仿宋" w:hAnsi="仿宋" w:eastAsia="仿宋" w:cs="仿宋"/>
                <w:sz w:val="20"/>
                <w:szCs w:val="20"/>
              </w:rPr>
            </w:pPr>
          </w:p>
        </w:tc>
      </w:tr>
      <w:tr w14:paraId="00457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0CFF70A6">
            <w:pPr>
              <w:spacing w:after="0" w:line="240" w:lineRule="auto"/>
              <w:rPr>
                <w:rFonts w:hint="eastAsia" w:ascii="仿宋" w:hAnsi="仿宋" w:eastAsia="仿宋" w:cs="仿宋"/>
                <w:sz w:val="20"/>
                <w:szCs w:val="20"/>
              </w:rPr>
            </w:pPr>
          </w:p>
        </w:tc>
        <w:tc>
          <w:tcPr>
            <w:tcW w:w="1524" w:type="dxa"/>
            <w:vMerge w:val="continue"/>
          </w:tcPr>
          <w:p w14:paraId="172E134F">
            <w:pPr>
              <w:spacing w:after="0" w:line="240" w:lineRule="auto"/>
              <w:rPr>
                <w:rFonts w:hint="eastAsia" w:ascii="仿宋" w:hAnsi="仿宋" w:eastAsia="仿宋" w:cs="仿宋"/>
                <w:sz w:val="20"/>
                <w:szCs w:val="20"/>
              </w:rPr>
            </w:pPr>
          </w:p>
        </w:tc>
        <w:tc>
          <w:tcPr>
            <w:tcW w:w="5790" w:type="dxa"/>
            <w:vAlign w:val="center"/>
          </w:tcPr>
          <w:p w14:paraId="32C5A5E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2.3 查询时筛选条件</w:t>
            </w:r>
          </w:p>
          <w:p w14:paraId="60B4A01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合同名称、委托方（含委托方类别判断：中石化、中石油等）、项目经理、合同类型、开票状态、计划开票时间、实际开票时间、实际回款时间、开票总金额、收款总金额、产值、已报产值（具体在执行过程中可在列表字段范围内增减）。</w:t>
            </w:r>
          </w:p>
          <w:p w14:paraId="27383A2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支持按筛选条件结果进行全数据自定义列导出。</w:t>
            </w:r>
          </w:p>
        </w:tc>
        <w:tc>
          <w:tcPr>
            <w:tcW w:w="1381" w:type="dxa"/>
            <w:vAlign w:val="center"/>
          </w:tcPr>
          <w:p w14:paraId="0DEA00D6">
            <w:pPr>
              <w:spacing w:before="0" w:after="0" w:line="264" w:lineRule="auto"/>
              <w:jc w:val="center"/>
              <w:rPr>
                <w:rFonts w:hint="eastAsia" w:ascii="仿宋" w:hAnsi="仿宋" w:eastAsia="仿宋" w:cs="仿宋"/>
                <w:sz w:val="20"/>
                <w:szCs w:val="20"/>
              </w:rPr>
            </w:pPr>
          </w:p>
        </w:tc>
        <w:tc>
          <w:tcPr>
            <w:tcW w:w="1409" w:type="dxa"/>
            <w:vAlign w:val="center"/>
          </w:tcPr>
          <w:p w14:paraId="0C6C182D">
            <w:pPr>
              <w:spacing w:before="0" w:after="0" w:line="264" w:lineRule="auto"/>
              <w:jc w:val="center"/>
              <w:rPr>
                <w:rFonts w:hint="eastAsia" w:ascii="仿宋" w:hAnsi="仿宋" w:eastAsia="仿宋" w:cs="仿宋"/>
                <w:sz w:val="20"/>
                <w:szCs w:val="20"/>
              </w:rPr>
            </w:pPr>
          </w:p>
        </w:tc>
        <w:tc>
          <w:tcPr>
            <w:tcW w:w="963" w:type="dxa"/>
            <w:vMerge w:val="continue"/>
          </w:tcPr>
          <w:p w14:paraId="398D4BEF">
            <w:pPr>
              <w:spacing w:after="0" w:line="240" w:lineRule="auto"/>
              <w:rPr>
                <w:rFonts w:hint="eastAsia" w:ascii="仿宋" w:hAnsi="仿宋" w:eastAsia="仿宋" w:cs="仿宋"/>
                <w:sz w:val="20"/>
                <w:szCs w:val="20"/>
              </w:rPr>
            </w:pPr>
          </w:p>
        </w:tc>
        <w:tc>
          <w:tcPr>
            <w:tcW w:w="1028" w:type="dxa"/>
            <w:vMerge w:val="continue"/>
          </w:tcPr>
          <w:p w14:paraId="3A366FDB">
            <w:pPr>
              <w:spacing w:after="0" w:line="240" w:lineRule="auto"/>
              <w:rPr>
                <w:rFonts w:hint="eastAsia" w:ascii="仿宋" w:hAnsi="仿宋" w:eastAsia="仿宋" w:cs="仿宋"/>
                <w:sz w:val="20"/>
                <w:szCs w:val="20"/>
              </w:rPr>
            </w:pPr>
          </w:p>
        </w:tc>
      </w:tr>
      <w:tr w14:paraId="330C4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3834C2AA">
            <w:pPr>
              <w:spacing w:after="0" w:line="240" w:lineRule="auto"/>
              <w:rPr>
                <w:rFonts w:hint="eastAsia" w:ascii="仿宋" w:hAnsi="仿宋" w:eastAsia="仿宋" w:cs="仿宋"/>
                <w:sz w:val="20"/>
                <w:szCs w:val="20"/>
              </w:rPr>
            </w:pPr>
          </w:p>
        </w:tc>
        <w:tc>
          <w:tcPr>
            <w:tcW w:w="1524" w:type="dxa"/>
            <w:vMerge w:val="continue"/>
          </w:tcPr>
          <w:p w14:paraId="528C3E98">
            <w:pPr>
              <w:spacing w:after="0" w:line="240" w:lineRule="auto"/>
              <w:rPr>
                <w:rFonts w:hint="eastAsia" w:ascii="仿宋" w:hAnsi="仿宋" w:eastAsia="仿宋" w:cs="仿宋"/>
                <w:sz w:val="20"/>
                <w:szCs w:val="20"/>
              </w:rPr>
            </w:pPr>
          </w:p>
        </w:tc>
        <w:tc>
          <w:tcPr>
            <w:tcW w:w="5790" w:type="dxa"/>
            <w:vAlign w:val="center"/>
          </w:tcPr>
          <w:p w14:paraId="568F7150">
            <w:pPr>
              <w:spacing w:before="0" w:after="0" w:line="264" w:lineRule="auto"/>
              <w:jc w:val="left"/>
              <w:rPr>
                <w:rFonts w:hint="eastAsia" w:ascii="仿宋" w:hAnsi="仿宋" w:eastAsia="仿宋" w:cs="仿宋"/>
                <w:b w:val="0"/>
                <w:sz w:val="20"/>
                <w:szCs w:val="20"/>
              </w:rPr>
            </w:pPr>
            <w:r>
              <w:rPr>
                <w:rFonts w:hint="eastAsia" w:ascii="仿宋" w:hAnsi="仿宋" w:eastAsia="仿宋" w:cs="仿宋"/>
                <w:b w:val="0"/>
                <w:sz w:val="20"/>
                <w:szCs w:val="20"/>
              </w:rPr>
              <w:t>2.4 计算逻辑</w:t>
            </w:r>
          </w:p>
          <w:p w14:paraId="5E6AB36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【合同类型与计算参与规则】</w:t>
            </w:r>
          </w:p>
          <w:p w14:paraId="6AA1692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开口合同：参与所有产值/收入计算，系统自动按工时×合同单价计算当月计划产值</w:t>
            </w:r>
          </w:p>
          <w:p w14:paraId="3DDC921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总价合同：参与产值/收入计算，当月计划产值默认为0</w:t>
            </w:r>
          </w:p>
          <w:p w14:paraId="0247D63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框架协议合同：不参与任何计算，不在收入台账中显示</w:t>
            </w:r>
          </w:p>
          <w:p w14:paraId="68C2E2C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【出勤总产值规则】开口合同：出勤总产值=历史出勤产值和(不含当月)；总价合同：无</w:t>
            </w:r>
          </w:p>
          <w:p w14:paraId="7E7FB44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【当月出勤产值规则】总价合同：无；</w:t>
            </w:r>
          </w:p>
          <w:p w14:paraId="197763E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开口合同：系统自动计算=固定天数×单价</w:t>
            </w:r>
          </w:p>
          <w:p w14:paraId="33F5301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固定天数为每月固定天数，计算天数的开始日期为派单实际开始日期；</w:t>
            </w:r>
          </w:p>
          <w:p w14:paraId="23DE675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增加是否排除法定节假日的开关，开启则固定天数=本月剩余天数-法定节假日，关闭则固定天数=本月剩余天数；例如派单实际开始时间为2026.3.15，开启排除开关，则固定天数为12；关闭开关则固定天数为16</w:t>
            </w:r>
          </w:p>
          <w:p w14:paraId="4CB8A4B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【总产值规则】</w:t>
            </w:r>
          </w:p>
          <w:p w14:paraId="0526C32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开口合同：总产值 = 已报产值 + 当月确认产值</w:t>
            </w:r>
          </w:p>
          <w:p w14:paraId="7A6B009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总价合同：总产值 = 已报产值 + 当月确认产值（当月计划产值=0，不参与计算）</w:t>
            </w:r>
          </w:p>
          <w:p w14:paraId="42FA005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【已报产值规则】</w:t>
            </w:r>
          </w:p>
          <w:p w14:paraId="1172A74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已报产值 = 历史各月当月确认产值的累加合计（不含本月当月确认产值）</w:t>
            </w:r>
          </w:p>
          <w:p w14:paraId="13485F0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【当月计划产值规则】</w:t>
            </w:r>
          </w:p>
          <w:p w14:paraId="4B9361D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开口合同：系统自动计算 = 合同单价 × 当月实际产生工时</w:t>
            </w:r>
          </w:p>
          <w:p w14:paraId="457D377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o点击列表中该金额数字，弹出"计算过程明细"弹窗，展示由哪些工时数据组成及逐步计算过程，供项目经理核查</w:t>
            </w:r>
          </w:p>
          <w:p w14:paraId="19E7711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o每月系统计算记录留存，全程可追溯</w:t>
            </w:r>
          </w:p>
          <w:p w14:paraId="6C41F02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总价合同：= 0（无系统计算值，无参考意义，不显示）</w:t>
            </w:r>
          </w:p>
          <w:p w14:paraId="28DF3CF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【当月确认产值规则】</w:t>
            </w:r>
          </w:p>
          <w:p w14:paraId="20AE274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开口合同：</w:t>
            </w:r>
          </w:p>
          <w:p w14:paraId="5F27226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o弹窗默认填入系统计算的当月计划产值，项目经理可修改</w:t>
            </w:r>
          </w:p>
          <w:p w14:paraId="6C54D0B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o触发审批条件：当月确认产值 &lt; 当月计划产值 × 字典配置阈值% → 触发"产值过低审批流"（不阻断提交，但需在审批单中填写：① 产值过低原因（必填文本）② 证明材料附件（必填上传））</w:t>
            </w:r>
          </w:p>
          <w:p w14:paraId="0E3B802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o确认产值高于计划产值：无需审批，直接生效</w:t>
            </w:r>
          </w:p>
          <w:p w14:paraId="64300A4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总价合同：</w:t>
            </w:r>
          </w:p>
          <w:p w14:paraId="1373693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o项目经理直接手动填报（无系统计算参考值，无审批校验）</w:t>
            </w:r>
          </w:p>
          <w:p w14:paraId="6F4C190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项目结束自动补齐产值机制（2026.03.11新增/修正）：总价合同的总产值上限必然且等同于合同约定的总金额。若项目完结时，历史按月填报累计的【已报产值】小于合同总金额，系统将自动计算差额=合同金额 - 已报产值，并自动生成一笔类型为【系统补齐】的产值过账记录，将该合同总产值强行拉平至合同总额。</w:t>
            </w:r>
          </w:p>
          <w:p w14:paraId="166372F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填报记录留存：系统计算值、人工填报值、系统补齐值均按月留存历史，全程可追溯查阅</w:t>
            </w:r>
          </w:p>
          <w:p w14:paraId="4E443D2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【已报收入规则】</w:t>
            </w:r>
          </w:p>
          <w:p w14:paraId="3A02F0A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基础值：已报收入 = 累计开票总金额</w:t>
            </w:r>
          </w:p>
          <w:p w14:paraId="2CCBA43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若存在纠正金额：已报收入 = 累计开票总金额 + 纠正剩余额度</w:t>
            </w:r>
          </w:p>
          <w:p w14:paraId="0713064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【当月收入定义】</w:t>
            </w:r>
          </w:p>
          <w:p w14:paraId="457EB9B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当月收入 = 当月开票金额</w:t>
            </w:r>
          </w:p>
          <w:p w14:paraId="0EF79B8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【纠正剩余额度规则】</w:t>
            </w:r>
          </w:p>
          <w:p w14:paraId="3C8B982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初始值 = 收入纠正操作时填入的纠正金额</w:t>
            </w:r>
          </w:p>
          <w:p w14:paraId="782AA24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每次新增开票：该笔开票金额优先抵扣纠正剩余额度</w:t>
            </w:r>
          </w:p>
          <w:p w14:paraId="116EBAC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纠正剩余额度归零后：已报收入回到纯开票金额模式</w:t>
            </w:r>
          </w:p>
          <w:p w14:paraId="64E396A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示例：初始开票50万 + 纠正30万 → 已报收入=80万，纠正剩余额度=30万；下次再开票20万 → 已报收入仍=80万，纠正剩余额度=10万</w:t>
            </w:r>
          </w:p>
          <w:p w14:paraId="0651520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【开票状态规则】</w:t>
            </w:r>
          </w:p>
          <w:p w14:paraId="39F26B8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开口合同：固定显示字典配置的文字标签（默认值："人工时定期据实结算"，支持后台字典修改）</w:t>
            </w:r>
          </w:p>
          <w:p w14:paraId="55C36F1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总价合同：系统自动判定"未开票"（实际开票金额=0）/ "部分开票"（0 &lt; 实际开票金额 &lt; 合同金额）/ "全部开票"（实际开票金额=合同金额）</w:t>
            </w:r>
          </w:p>
          <w:p w14:paraId="4DEAAE6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【各字段数据来源】</w:t>
            </w:r>
          </w:p>
          <w:p w14:paraId="1C33ACD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开票总金额：来源于开票明细管理，根据合同编号汇总金额</w:t>
            </w:r>
          </w:p>
          <w:p w14:paraId="0819277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最新开票时间：同步开票管理中发票最后一次上传时填写的开票时间</w:t>
            </w:r>
          </w:p>
          <w:p w14:paraId="55739CB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收款总金额：来源于回款管理，根据合同编号汇总回款金额</w:t>
            </w:r>
          </w:p>
          <w:p w14:paraId="2DD4539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最新收款时间：同步回款单中的最新时间</w:t>
            </w:r>
          </w:p>
          <w:p w14:paraId="460F42F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合同金额：同步 PECMS 中合同的监造金额</w:t>
            </w:r>
          </w:p>
        </w:tc>
        <w:tc>
          <w:tcPr>
            <w:tcW w:w="1381" w:type="dxa"/>
            <w:vAlign w:val="center"/>
          </w:tcPr>
          <w:p w14:paraId="29816212">
            <w:pPr>
              <w:spacing w:before="0" w:after="0" w:line="264" w:lineRule="auto"/>
              <w:jc w:val="center"/>
              <w:rPr>
                <w:rFonts w:hint="eastAsia" w:ascii="仿宋" w:hAnsi="仿宋" w:eastAsia="仿宋" w:cs="仿宋"/>
                <w:sz w:val="20"/>
                <w:szCs w:val="20"/>
              </w:rPr>
            </w:pPr>
          </w:p>
        </w:tc>
        <w:tc>
          <w:tcPr>
            <w:tcW w:w="1409" w:type="dxa"/>
            <w:vAlign w:val="center"/>
          </w:tcPr>
          <w:p w14:paraId="6162F61B">
            <w:pPr>
              <w:spacing w:before="0" w:after="0" w:line="264" w:lineRule="auto"/>
              <w:jc w:val="center"/>
              <w:rPr>
                <w:rFonts w:hint="eastAsia" w:ascii="仿宋" w:hAnsi="仿宋" w:eastAsia="仿宋" w:cs="仿宋"/>
                <w:sz w:val="20"/>
                <w:szCs w:val="20"/>
              </w:rPr>
            </w:pPr>
          </w:p>
        </w:tc>
        <w:tc>
          <w:tcPr>
            <w:tcW w:w="963" w:type="dxa"/>
            <w:vMerge w:val="continue"/>
          </w:tcPr>
          <w:p w14:paraId="76B2FB12">
            <w:pPr>
              <w:spacing w:after="0" w:line="240" w:lineRule="auto"/>
              <w:rPr>
                <w:rFonts w:hint="eastAsia" w:ascii="仿宋" w:hAnsi="仿宋" w:eastAsia="仿宋" w:cs="仿宋"/>
                <w:sz w:val="20"/>
                <w:szCs w:val="20"/>
              </w:rPr>
            </w:pPr>
          </w:p>
        </w:tc>
        <w:tc>
          <w:tcPr>
            <w:tcW w:w="1028" w:type="dxa"/>
            <w:vMerge w:val="continue"/>
          </w:tcPr>
          <w:p w14:paraId="5463887D">
            <w:pPr>
              <w:spacing w:after="0" w:line="240" w:lineRule="auto"/>
              <w:rPr>
                <w:rFonts w:hint="eastAsia" w:ascii="仿宋" w:hAnsi="仿宋" w:eastAsia="仿宋" w:cs="仿宋"/>
                <w:sz w:val="20"/>
                <w:szCs w:val="20"/>
              </w:rPr>
            </w:pPr>
          </w:p>
        </w:tc>
      </w:tr>
      <w:tr w14:paraId="761E9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4B601C08">
            <w:pPr>
              <w:spacing w:after="0" w:line="240" w:lineRule="auto"/>
              <w:rPr>
                <w:rFonts w:hint="eastAsia" w:ascii="仿宋" w:hAnsi="仿宋" w:eastAsia="仿宋" w:cs="仿宋"/>
                <w:sz w:val="20"/>
                <w:szCs w:val="20"/>
              </w:rPr>
            </w:pPr>
          </w:p>
        </w:tc>
        <w:tc>
          <w:tcPr>
            <w:tcW w:w="1524" w:type="dxa"/>
            <w:vMerge w:val="continue"/>
          </w:tcPr>
          <w:p w14:paraId="6FD0B5D2">
            <w:pPr>
              <w:spacing w:after="0" w:line="240" w:lineRule="auto"/>
              <w:rPr>
                <w:rFonts w:hint="eastAsia" w:ascii="仿宋" w:hAnsi="仿宋" w:eastAsia="仿宋" w:cs="仿宋"/>
                <w:sz w:val="20"/>
                <w:szCs w:val="20"/>
              </w:rPr>
            </w:pPr>
          </w:p>
        </w:tc>
        <w:tc>
          <w:tcPr>
            <w:tcW w:w="5790" w:type="dxa"/>
            <w:vAlign w:val="center"/>
          </w:tcPr>
          <w:p w14:paraId="157EF77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2.5 表格操作栏按钮</w:t>
            </w:r>
          </w:p>
          <w:p w14:paraId="007D49A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（1）当月确认产值填报</w:t>
            </w:r>
          </w:p>
          <w:p w14:paraId="3A35059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点击弹窗展示以下字段：</w:t>
            </w:r>
          </w:p>
          <w:p w14:paraId="2035FB7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【只读字段】</w:t>
            </w:r>
          </w:p>
          <w:p w14:paraId="20567D8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w:t>
            </w:r>
          </w:p>
          <w:p w14:paraId="375109E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合同类型（开口合同 / 总价合同）</w:t>
            </w:r>
          </w:p>
          <w:p w14:paraId="41D2F4B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合同金额</w:t>
            </w:r>
          </w:p>
          <w:p w14:paraId="79B56E2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已报产值（历史累计各月确认产值，不含当月）</w:t>
            </w:r>
          </w:p>
          <w:p w14:paraId="6017850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时间区间起始（合同起始日期）</w:t>
            </w:r>
          </w:p>
          <w:p w14:paraId="7D5ACB0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时间区间终止（合同结束日期）</w:t>
            </w:r>
          </w:p>
          <w:p w14:paraId="002B7F3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系统计算值（开口合同=系统算出的当月计划产值；总价合同=空不显示）</w:t>
            </w:r>
          </w:p>
          <w:p w14:paraId="0605931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【可编辑字段】</w:t>
            </w:r>
          </w:p>
          <w:p w14:paraId="56AA03A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当月确认产值（必填）</w:t>
            </w:r>
          </w:p>
          <w:p w14:paraId="5A59498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o开口合同：默认值 = 系统计算值，项目经理可修改</w:t>
            </w:r>
          </w:p>
          <w:p w14:paraId="31DB22F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o总价合同：默认值 = 0，项目经理直接手填</w:t>
            </w:r>
          </w:p>
          <w:p w14:paraId="1AD78A6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备注（选填）</w:t>
            </w:r>
          </w:p>
          <w:p w14:paraId="4A8AE1E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o供填写本次产值填报的相关说明。</w:t>
            </w:r>
          </w:p>
          <w:p w14:paraId="6ABA46D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【校验规则】</w:t>
            </w:r>
          </w:p>
          <w:p w14:paraId="4453E65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开口合同：当月确认产值 &lt; 当月计划产值 × 字典配置阈值% → 触发"产值过低审批流"（不阻断提交）；审批单必填：① 产值过低原因（必填文本）② 证明材料附件（必填上传）</w:t>
            </w:r>
          </w:p>
          <w:p w14:paraId="36BCE7D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总价合同：由于采用项目结束时系统自动兜底补齐差额的机制（当产值小于合同金额时自动补齐至合同额），故纯手动填报阶段无校验拦截，直接提交。</w:t>
            </w:r>
          </w:p>
          <w:p w14:paraId="0569281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废弃说明（2026.03.11再次确认）：彻底废弃所有关于“产值超过合同总额”的超额审批机制。无论是开口合同还是总价合同，均无此拦截点。</w:t>
            </w:r>
          </w:p>
          <w:p w14:paraId="5990604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【按钮】取消 / 暂存 / 提交</w:t>
            </w:r>
          </w:p>
          <w:p w14:paraId="15358BB4">
            <w:pPr>
              <w:numPr>
                <w:ilvl w:val="0"/>
                <w:numId w:val="7"/>
              </w:numPr>
              <w:spacing w:before="0" w:after="0" w:line="264" w:lineRule="auto"/>
              <w:jc w:val="left"/>
              <w:rPr>
                <w:rFonts w:hint="eastAsia" w:ascii="仿宋" w:hAnsi="仿宋" w:eastAsia="仿宋" w:cs="仿宋"/>
                <w:b w:val="0"/>
                <w:sz w:val="20"/>
                <w:szCs w:val="20"/>
              </w:rPr>
            </w:pPr>
            <w:r>
              <w:rPr>
                <w:rFonts w:hint="eastAsia" w:ascii="仿宋" w:hAnsi="仿宋" w:eastAsia="仿宋" w:cs="仿宋"/>
                <w:b w:val="0"/>
                <w:sz w:val="20"/>
                <w:szCs w:val="20"/>
              </w:rPr>
              <w:t>当月收入纠错</w:t>
            </w:r>
          </w:p>
          <w:p w14:paraId="7FB0C774">
            <w:pPr>
              <w:numPr>
                <w:numId w:val="0"/>
              </w:num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点击弹窗展示：当月收入列表（含合同编号、合同名称、当月计划产值、当月收入、已抵充金额、剩余可撤金额），支持查询筛选和分页。</w:t>
            </w:r>
          </w:p>
          <w:p w14:paraId="471FC8F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可自由选择被纠错合同，选择后填入纠错金额，弹窗下方实时汇总填写金额。</w:t>
            </w:r>
          </w:p>
          <w:p w14:paraId="2526228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纠错操作记录：操作人（自动带出）、操作时间（自动带出）、纠错金额（必填）、备注（选填，多行文本，供填写相关说明）。</w:t>
            </w:r>
          </w:p>
          <w:p w14:paraId="5B35481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纠错金额生效后，对应合同编号下的纠错剩余额度增加，已报收入随之增加；后续每次开票优先抵冲纠错剩余额度。</w:t>
            </w:r>
          </w:p>
          <w:p w14:paraId="4A093A7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撤回剩余：可撤回未被抵充的金额，撤回后立即生效，无需审批。点击"撤回剩余"按钮后弹窗确认，填写撤回原因后提交。</w:t>
            </w:r>
          </w:p>
          <w:p w14:paraId="1435F37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系统冲销：已抵充金额由系统自动检测并冲销，生成红字记录。系统行为，不需要人工操作，在历史记录中显示为"系统冲销"，操作人为"系统自动"。</w:t>
            </w:r>
          </w:p>
          <w:p w14:paraId="19A631C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弹窗按钮：取消（关闭弹窗）、提交纠错（数据立即生效，不需走审批流）。</w:t>
            </w:r>
          </w:p>
          <w:p w14:paraId="6D90DAB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（3）预计开票填报</w:t>
            </w:r>
          </w:p>
          <w:p w14:paraId="0F098DF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仅限编辑新增：计划开票时间、未开票原因、备注。</w:t>
            </w:r>
          </w:p>
          <w:p w14:paraId="2118533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需生成历史记录，历史记录中支持查询和分页。</w:t>
            </w:r>
          </w:p>
          <w:p w14:paraId="71F8F76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（4）预计回款填报</w:t>
            </w:r>
          </w:p>
          <w:p w14:paraId="4DC2E88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仅限编辑新增：计划回款时间、计划回款金额、最新收款时间、收款总金额、备注。</w:t>
            </w:r>
          </w:p>
          <w:p w14:paraId="7D3EDD0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供项目经理填报自己名下合同编号的回款信息，供管理层全面排查查看。</w:t>
            </w:r>
          </w:p>
          <w:p w14:paraId="67641183">
            <w:pPr>
              <w:numPr>
                <w:ilvl w:val="0"/>
                <w:numId w:val="8"/>
              </w:numPr>
              <w:spacing w:before="0" w:after="0" w:line="264" w:lineRule="auto"/>
              <w:jc w:val="left"/>
              <w:rPr>
                <w:rFonts w:hint="eastAsia" w:ascii="仿宋" w:hAnsi="仿宋" w:eastAsia="仿宋" w:cs="仿宋"/>
                <w:b w:val="0"/>
                <w:sz w:val="20"/>
                <w:szCs w:val="20"/>
              </w:rPr>
            </w:pPr>
            <w:r>
              <w:rPr>
                <w:rFonts w:hint="eastAsia" w:ascii="仿宋" w:hAnsi="仿宋" w:eastAsia="仿宋" w:cs="仿宋"/>
                <w:b w:val="0"/>
                <w:sz w:val="20"/>
                <w:szCs w:val="20"/>
              </w:rPr>
              <w:t>历史记录</w:t>
            </w:r>
          </w:p>
          <w:p w14:paraId="2A9055D3">
            <w:pPr>
              <w:numPr>
                <w:numId w:val="0"/>
              </w:num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点击打开当前合同的历史填报数据弹窗，采用 85vh 高度 x 最大 1450px 宽度的全屏级自适应架构包裹，确保多维表格排布不受局部挤压变形。含以下5个 Tab：</w:t>
            </w:r>
          </w:p>
          <w:p w14:paraId="27BFFA1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oTab1 - 当月确认产值快照：彻底剥离无关的"合同编号"全局搜索项（立足单合同内复盘）。顶级配备时间区间、操作人、类型过滤以及精确/清空查询组件。</w:t>
            </w:r>
          </w:p>
          <w:p w14:paraId="2DCAA31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oTab2 - 纠正财务流水：剥离无关的大范围检索词，增强单据状态(生效/作废)的精准筛选。展示该合同历次纠偏记录，包括：新增纠错、系统抵充、撤回剩余、系统冲销四种操作类型。</w:t>
            </w:r>
          </w:p>
          <w:p w14:paraId="7C13342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oTab3 - 开票记录查询：增设了操作人员、发票号的精确穿透搜索，以及"全部/全额/部分开票"状态下拉筛。</w:t>
            </w:r>
          </w:p>
          <w:p w14:paraId="1D10708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oTab4 - 回款历史查询：针对业财对账需求，增设极其贴合业务的 [最小金额] - [最大金额] 区间范围过滤检索定位。</w:t>
            </w:r>
          </w:p>
          <w:p w14:paraId="69823A5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oTab5 - 开票/回款管控台账（原填报历史核心升级）：</w:t>
            </w:r>
          </w:p>
          <w:p w14:paraId="73EA613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Master-Detail 主从联动结构（左看右展）：左侧展示全部项目经理对于开票和回款的预估填报快照清单，增加唯一编号字段展示(不可编辑)对于已填写的预计开票/回款数据，若无法按计划执行可进行数据修改，修改内容待补充，修改后触发审批流。右侧打造隐藏式抽屉（自带独立关闭销毁触发器），用于点击某一行后滑出展示动态细节。</w:t>
            </w:r>
          </w:p>
          <w:p w14:paraId="061E54E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搜索维度配齐：配备完整的 填报内容摘要(模糊输入) + 填报类型下拉(开票/回款) + 时间区间选择 + 最新审批状态(待审批/已同意/已驳回/无) 横向表单检索。</w:t>
            </w:r>
          </w:p>
          <w:p w14:paraId="4455818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独立纠偏流转审计轴：点击右侧抽屉，可追踪从该历史预估节点延伸出的所有「申请延期/纠正」的反复审批拉扯历程；含审批节点、异常归类标签(由数据字典独立驱动)、审批附言、以及各阶段不同颜色高亮的状态印章。</w:t>
            </w:r>
          </w:p>
          <w:p w14:paraId="753CC12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所有 Tab 均支持多种排序方式，默认按时间倒序排列。受底部统管防穿模 Flex 机制保护，且提供自定义页码导航控件。</w:t>
            </w:r>
          </w:p>
          <w:p w14:paraId="050B30C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（6）全局历史查阅池（为领导层独立开放）</w:t>
            </w:r>
          </w:p>
          <w:p w14:paraId="536A5D6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在系统顶层设立独立的全局历史查阅页面，不受合同编号辖区限制。</w:t>
            </w:r>
          </w:p>
          <w:p w14:paraId="030DF10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汇聚公司历史全量确认产值记录与收入纠正记录，提供多维度组合筛选（合同编号、人员、时间段、类型、金额区间等），支持各种排序方式，直接服务高管决策。</w:t>
            </w:r>
          </w:p>
          <w:p w14:paraId="7C36960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（7）查看按钮</w:t>
            </w:r>
          </w:p>
          <w:p w14:paraId="2B558CE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点击后在同一平台内跳转至"执行管理"页面，根据当前行的合同编号自动过滤展示对应执行数据（禁止跳转 PECMS 系统）。</w:t>
            </w:r>
          </w:p>
          <w:p w14:paraId="16E572D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（8）补录按钮：产值填报页面增加检查规则，若历史月份未填报产值，则提供补录按钮，可对合同产值进行填报</w:t>
            </w:r>
          </w:p>
        </w:tc>
        <w:tc>
          <w:tcPr>
            <w:tcW w:w="1381" w:type="dxa"/>
            <w:vAlign w:val="center"/>
          </w:tcPr>
          <w:p w14:paraId="00043A96">
            <w:pPr>
              <w:spacing w:before="0" w:after="0" w:line="264" w:lineRule="auto"/>
              <w:jc w:val="center"/>
              <w:rPr>
                <w:rFonts w:hint="eastAsia" w:ascii="仿宋" w:hAnsi="仿宋" w:eastAsia="仿宋" w:cs="仿宋"/>
                <w:sz w:val="20"/>
                <w:szCs w:val="20"/>
              </w:rPr>
            </w:pPr>
          </w:p>
        </w:tc>
        <w:tc>
          <w:tcPr>
            <w:tcW w:w="1409" w:type="dxa"/>
            <w:vAlign w:val="center"/>
          </w:tcPr>
          <w:p w14:paraId="56EE8F1C">
            <w:pPr>
              <w:spacing w:before="0" w:after="0" w:line="264" w:lineRule="auto"/>
              <w:jc w:val="center"/>
              <w:rPr>
                <w:rFonts w:hint="eastAsia" w:ascii="仿宋" w:hAnsi="仿宋" w:eastAsia="仿宋" w:cs="仿宋"/>
                <w:sz w:val="20"/>
                <w:szCs w:val="20"/>
              </w:rPr>
            </w:pPr>
          </w:p>
        </w:tc>
        <w:tc>
          <w:tcPr>
            <w:tcW w:w="963" w:type="dxa"/>
            <w:vMerge w:val="continue"/>
          </w:tcPr>
          <w:p w14:paraId="79578174">
            <w:pPr>
              <w:spacing w:after="0" w:line="240" w:lineRule="auto"/>
              <w:rPr>
                <w:rFonts w:hint="eastAsia" w:ascii="仿宋" w:hAnsi="仿宋" w:eastAsia="仿宋" w:cs="仿宋"/>
                <w:sz w:val="20"/>
                <w:szCs w:val="20"/>
              </w:rPr>
            </w:pPr>
          </w:p>
        </w:tc>
        <w:tc>
          <w:tcPr>
            <w:tcW w:w="1028" w:type="dxa"/>
            <w:vMerge w:val="continue"/>
          </w:tcPr>
          <w:p w14:paraId="6FC1CFE7">
            <w:pPr>
              <w:spacing w:after="0" w:line="240" w:lineRule="auto"/>
              <w:rPr>
                <w:rFonts w:hint="eastAsia" w:ascii="仿宋" w:hAnsi="仿宋" w:eastAsia="仿宋" w:cs="仿宋"/>
                <w:sz w:val="20"/>
                <w:szCs w:val="20"/>
              </w:rPr>
            </w:pPr>
          </w:p>
        </w:tc>
      </w:tr>
      <w:tr w14:paraId="05949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58C8B2E6">
            <w:pPr>
              <w:spacing w:after="0" w:line="240" w:lineRule="auto"/>
              <w:rPr>
                <w:rFonts w:hint="eastAsia" w:ascii="仿宋" w:hAnsi="仿宋" w:eastAsia="仿宋" w:cs="仿宋"/>
                <w:sz w:val="20"/>
                <w:szCs w:val="20"/>
              </w:rPr>
            </w:pPr>
          </w:p>
        </w:tc>
        <w:tc>
          <w:tcPr>
            <w:tcW w:w="1524" w:type="dxa"/>
            <w:vMerge w:val="continue"/>
          </w:tcPr>
          <w:p w14:paraId="25E11042">
            <w:pPr>
              <w:spacing w:after="0" w:line="240" w:lineRule="auto"/>
              <w:rPr>
                <w:rFonts w:hint="eastAsia" w:ascii="仿宋" w:hAnsi="仿宋" w:eastAsia="仿宋" w:cs="仿宋"/>
                <w:sz w:val="20"/>
                <w:szCs w:val="20"/>
              </w:rPr>
            </w:pPr>
          </w:p>
        </w:tc>
        <w:tc>
          <w:tcPr>
            <w:tcW w:w="5790" w:type="dxa"/>
            <w:vAlign w:val="center"/>
          </w:tcPr>
          <w:p w14:paraId="33DBD9B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2.6 合同状态联动</w:t>
            </w:r>
          </w:p>
          <w:p w14:paraId="1E67175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合同状态变更为"已完成"时（需人为点击确认操作，非自动触发），若已报收入未达合同金额，系统自动补齐已报收入，生成一条类型为"系统补齐"的历史记录，同时提供补齐记录的独立查看入口。</w:t>
            </w:r>
          </w:p>
          <w:p w14:paraId="61E3988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所有有计算公式的页面均要展示当前页面涉及的计算公式面板，默认收起状态，可点击展开查看。</w:t>
            </w:r>
          </w:p>
        </w:tc>
        <w:tc>
          <w:tcPr>
            <w:tcW w:w="1381" w:type="dxa"/>
            <w:vAlign w:val="center"/>
          </w:tcPr>
          <w:p w14:paraId="224BC69C">
            <w:pPr>
              <w:spacing w:before="0" w:after="0" w:line="264" w:lineRule="auto"/>
              <w:jc w:val="center"/>
              <w:rPr>
                <w:rFonts w:hint="eastAsia" w:ascii="仿宋" w:hAnsi="仿宋" w:eastAsia="仿宋" w:cs="仿宋"/>
                <w:sz w:val="20"/>
                <w:szCs w:val="20"/>
              </w:rPr>
            </w:pPr>
          </w:p>
        </w:tc>
        <w:tc>
          <w:tcPr>
            <w:tcW w:w="1409" w:type="dxa"/>
            <w:vAlign w:val="center"/>
          </w:tcPr>
          <w:p w14:paraId="20888EAA">
            <w:pPr>
              <w:spacing w:before="0" w:after="0" w:line="264" w:lineRule="auto"/>
              <w:jc w:val="center"/>
              <w:rPr>
                <w:rFonts w:hint="eastAsia" w:ascii="仿宋" w:hAnsi="仿宋" w:eastAsia="仿宋" w:cs="仿宋"/>
                <w:sz w:val="20"/>
                <w:szCs w:val="20"/>
              </w:rPr>
            </w:pPr>
          </w:p>
        </w:tc>
        <w:tc>
          <w:tcPr>
            <w:tcW w:w="963" w:type="dxa"/>
            <w:vMerge w:val="continue"/>
          </w:tcPr>
          <w:p w14:paraId="2501A93D">
            <w:pPr>
              <w:spacing w:after="0" w:line="240" w:lineRule="auto"/>
              <w:rPr>
                <w:rFonts w:hint="eastAsia" w:ascii="仿宋" w:hAnsi="仿宋" w:eastAsia="仿宋" w:cs="仿宋"/>
                <w:sz w:val="20"/>
                <w:szCs w:val="20"/>
              </w:rPr>
            </w:pPr>
          </w:p>
        </w:tc>
        <w:tc>
          <w:tcPr>
            <w:tcW w:w="1028" w:type="dxa"/>
            <w:vMerge w:val="continue"/>
          </w:tcPr>
          <w:p w14:paraId="68198795">
            <w:pPr>
              <w:spacing w:after="0" w:line="240" w:lineRule="auto"/>
              <w:rPr>
                <w:rFonts w:hint="eastAsia" w:ascii="仿宋" w:hAnsi="仿宋" w:eastAsia="仿宋" w:cs="仿宋"/>
                <w:sz w:val="20"/>
                <w:szCs w:val="20"/>
              </w:rPr>
            </w:pPr>
          </w:p>
        </w:tc>
      </w:tr>
      <w:tr w14:paraId="622D2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46D7B4D1">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4</w:t>
            </w:r>
          </w:p>
        </w:tc>
        <w:tc>
          <w:tcPr>
            <w:tcW w:w="1524" w:type="dxa"/>
            <w:vMerge w:val="restart"/>
            <w:vAlign w:val="center"/>
          </w:tcPr>
          <w:p w14:paraId="7F30263F">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3.执行管理</w:t>
            </w:r>
          </w:p>
        </w:tc>
        <w:tc>
          <w:tcPr>
            <w:tcW w:w="5790" w:type="dxa"/>
            <w:vAlign w:val="center"/>
          </w:tcPr>
          <w:p w14:paraId="0F26335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3.1 角色划分</w:t>
            </w:r>
          </w:p>
          <w:p w14:paraId="791FB91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项目总监：查看当前用户监管的项目下派单的信息</w:t>
            </w:r>
          </w:p>
          <w:p w14:paraId="7774C58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总监代表：查看当前用户负责的派单信息</w:t>
            </w:r>
          </w:p>
          <w:p w14:paraId="356FC60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项目经理：查看分配给当前用户的合同号(CI编号)相关的派单信息</w:t>
            </w:r>
          </w:p>
          <w:p w14:paraId="0EA9DCC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领导层、管理员：查看所有数据</w:t>
            </w:r>
          </w:p>
          <w:p w14:paraId="3805AF2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此部分查看等角色权限需设置为可配置项。</w:t>
            </w:r>
          </w:p>
        </w:tc>
        <w:tc>
          <w:tcPr>
            <w:tcW w:w="1381" w:type="dxa"/>
            <w:vAlign w:val="center"/>
          </w:tcPr>
          <w:p w14:paraId="6AC36622">
            <w:pPr>
              <w:spacing w:before="0" w:after="0" w:line="264" w:lineRule="auto"/>
              <w:jc w:val="center"/>
              <w:rPr>
                <w:rFonts w:hint="eastAsia" w:ascii="仿宋" w:hAnsi="仿宋" w:eastAsia="仿宋" w:cs="仿宋"/>
                <w:sz w:val="20"/>
                <w:szCs w:val="20"/>
              </w:rPr>
            </w:pPr>
          </w:p>
        </w:tc>
        <w:tc>
          <w:tcPr>
            <w:tcW w:w="1409" w:type="dxa"/>
            <w:vAlign w:val="center"/>
          </w:tcPr>
          <w:p w14:paraId="75C39990">
            <w:pPr>
              <w:spacing w:before="0" w:after="0" w:line="264" w:lineRule="auto"/>
              <w:jc w:val="center"/>
              <w:rPr>
                <w:rFonts w:hint="eastAsia" w:ascii="仿宋" w:hAnsi="仿宋" w:eastAsia="仿宋" w:cs="仿宋"/>
                <w:sz w:val="20"/>
                <w:szCs w:val="20"/>
              </w:rPr>
            </w:pPr>
          </w:p>
        </w:tc>
        <w:tc>
          <w:tcPr>
            <w:tcW w:w="963" w:type="dxa"/>
            <w:vMerge w:val="restart"/>
            <w:vAlign w:val="center"/>
          </w:tcPr>
          <w:p w14:paraId="26085335">
            <w:pPr>
              <w:spacing w:before="0" w:after="0" w:line="264" w:lineRule="auto"/>
              <w:jc w:val="center"/>
              <w:rPr>
                <w:rFonts w:hint="eastAsia" w:ascii="仿宋" w:hAnsi="仿宋" w:eastAsia="仿宋" w:cs="仿宋"/>
                <w:sz w:val="20"/>
                <w:szCs w:val="20"/>
              </w:rPr>
            </w:pPr>
          </w:p>
        </w:tc>
        <w:tc>
          <w:tcPr>
            <w:tcW w:w="1028" w:type="dxa"/>
            <w:vMerge w:val="restart"/>
            <w:vAlign w:val="center"/>
          </w:tcPr>
          <w:p w14:paraId="51C34D7D">
            <w:pPr>
              <w:spacing w:before="0" w:after="0" w:line="264" w:lineRule="auto"/>
              <w:jc w:val="center"/>
              <w:rPr>
                <w:rFonts w:hint="eastAsia" w:ascii="仿宋" w:hAnsi="仿宋" w:eastAsia="仿宋" w:cs="仿宋"/>
                <w:sz w:val="20"/>
                <w:szCs w:val="20"/>
              </w:rPr>
            </w:pPr>
          </w:p>
        </w:tc>
      </w:tr>
      <w:tr w14:paraId="14D9C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12C24BC8">
            <w:pPr>
              <w:spacing w:after="0" w:line="240" w:lineRule="auto"/>
              <w:rPr>
                <w:rFonts w:hint="eastAsia" w:ascii="仿宋" w:hAnsi="仿宋" w:eastAsia="仿宋" w:cs="仿宋"/>
                <w:sz w:val="20"/>
                <w:szCs w:val="20"/>
              </w:rPr>
            </w:pPr>
          </w:p>
        </w:tc>
        <w:tc>
          <w:tcPr>
            <w:tcW w:w="1524" w:type="dxa"/>
            <w:vMerge w:val="continue"/>
          </w:tcPr>
          <w:p w14:paraId="232B40D0">
            <w:pPr>
              <w:spacing w:after="0" w:line="240" w:lineRule="auto"/>
              <w:rPr>
                <w:rFonts w:hint="eastAsia" w:ascii="仿宋" w:hAnsi="仿宋" w:eastAsia="仿宋" w:cs="仿宋"/>
                <w:sz w:val="20"/>
                <w:szCs w:val="20"/>
              </w:rPr>
            </w:pPr>
          </w:p>
        </w:tc>
        <w:tc>
          <w:tcPr>
            <w:tcW w:w="5790" w:type="dxa"/>
            <w:vAlign w:val="center"/>
          </w:tcPr>
          <w:p w14:paraId="0E9C43E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3.2 执行管理信息展示字段</w:t>
            </w:r>
          </w:p>
          <w:p w14:paraId="1B085F4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数据来源及计算规则如下：</w:t>
            </w:r>
          </w:p>
          <w:p w14:paraId="3413082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合同编号：来源 PECMS 平台合同管理</w:t>
            </w:r>
          </w:p>
          <w:p w14:paraId="3C69630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项目经理：来源 PECMS 平台合同管理</w:t>
            </w:r>
          </w:p>
          <w:p w14:paraId="294EB48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区域经理：显示该合同关联的区域经理姓名。在表格中作为独立列展示，位于"项目经理"列之后。字段内容为纯文本，显示区域经理的真实姓名（如"张经理"）。当合同未分配区域经理时，该列显示"—"占位符。该字段来源于PECMS平台合同管理模块中的区域经理分配信息。</w:t>
            </w:r>
          </w:p>
          <w:p w14:paraId="4F37707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项目编号：派单关联的关联项目编号</w:t>
            </w:r>
          </w:p>
          <w:p w14:paraId="032D81D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项目名称：派单关联的关联项目名称</w:t>
            </w:r>
          </w:p>
          <w:p w14:paraId="4B7A228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项目总监：项目编号关联总监，显示姓名</w:t>
            </w:r>
          </w:p>
          <w:p w14:paraId="44CA8D9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派单编号：通过合同编号关联的派单编号</w:t>
            </w:r>
          </w:p>
          <w:p w14:paraId="0E7035C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总监代表：派单编号关联代表</w:t>
            </w:r>
          </w:p>
          <w:p w14:paraId="0E88C22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总产值：</w:t>
            </w:r>
          </w:p>
          <w:p w14:paraId="6CECD6D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o开口合同：总产值 = 每日产值累加（合同单价 × 实际产生的工时）</w:t>
            </w:r>
          </w:p>
          <w:p w14:paraId="50C7CEF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o总价合同：总产值 = 每日产值累加（合同单价 × 实际产生的工时）</w:t>
            </w:r>
          </w:p>
          <w:p w14:paraId="7A23098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o总价合同（项目未结束）：（已报收入 ÷ 合同编号下所有工时）× 派单实际工时</w:t>
            </w:r>
          </w:p>
          <w:p w14:paraId="6EA3B4A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o总价合同（项目结束）：总收入 ÷ 合同编号下所有工时 × 派单实际工时</w:t>
            </w:r>
          </w:p>
          <w:p w14:paraId="0FEA833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当月计划产值：</w:t>
            </w:r>
          </w:p>
          <w:p w14:paraId="2396148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o开口合同：派单当月实际产生的工时 × 合同单价或固定天数×单价</w:t>
            </w:r>
          </w:p>
          <w:p w14:paraId="05E4D4F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o总价合同：派单当月实际产生的工时 × 合同单价</w:t>
            </w:r>
          </w:p>
          <w:p w14:paraId="054D5F9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o总价合同（项目未结束）：（已报收入 ÷ 合同编号下所有工时）× 派单当月工时</w:t>
            </w:r>
          </w:p>
          <w:p w14:paraId="37EACA5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o总价合同（项目结束）：总收入 ÷ 合同编号下所有工时 × 派单当月工时</w:t>
            </w:r>
          </w:p>
          <w:p w14:paraId="3934A47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制造厂：显示派单关联的制造厂全称。在表格中作为独立列展示，字段内容为制造厂的完整企业名称（如"东方锅炉有限公司"、"哈尔滨锅炉厂有限责任公司"）。该字段通过派单编号关联获取，数据来源于PECMS平台派单管理中的制造厂信息。当派单未关联制造厂时，该列显示"—"占位符。</w:t>
            </w:r>
          </w:p>
          <w:p w14:paraId="0DE2809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派遣人员：派单关联人员，显示姓名</w:t>
            </w:r>
          </w:p>
          <w:p w14:paraId="1C5A270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辅助人员：派单关联的辅助人员（可多人）</w:t>
            </w:r>
          </w:p>
          <w:p w14:paraId="39306D9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监造方式：驻厂 / 巡检，图标或文字标识</w:t>
            </w:r>
          </w:p>
          <w:p w14:paraId="32017DC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计划开始时间：派单中计划开始时间</w:t>
            </w:r>
          </w:p>
          <w:p w14:paraId="031B4EC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计划结束时间：显示时间，当前时间 &gt; 计划结束时间时该列文字标红，并在列中标注超期天数（如"超期15天"）；列表头提供超期天数由多到少的排序按钮。</w:t>
            </w:r>
          </w:p>
          <w:p w14:paraId="53CA6FD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实际开始时间：驻厂=监理人员首次填写日志的时间；巡检=监理人员首次签到时间</w:t>
            </w:r>
          </w:p>
          <w:p w14:paraId="7DE8CAD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实际结束时间：驻厂=监造结束申请中填写的结束时间；巡检=监理人员末次签到时间</w:t>
            </w:r>
          </w:p>
          <w:p w14:paraId="779385B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项目执行状态（四色灯，支持字典配置颜色）：</w:t>
            </w:r>
          </w:p>
          <w:p w14:paraId="06B65B1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o灰色：未开始（当前时间 ≤ 实际开始时间 或 无实际开始时间）</w:t>
            </w:r>
          </w:p>
          <w:p w14:paraId="684B778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o蓝色：进行中（实际开始时间 ≤ 当前时间 &lt; 实际结束时间）</w:t>
            </w:r>
          </w:p>
          <w:p w14:paraId="25131F0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o绿色：已完成（当前时间 ≥ 实际结束时间）</w:t>
            </w:r>
          </w:p>
          <w:p w14:paraId="4838EC6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o红色/橙色（新增）：执行中但计划结束时间已过，标超期警戒状态</w:t>
            </w:r>
          </w:p>
          <w:p w14:paraId="3D89071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o此处颜色可以在字典中进行设置调整</w:t>
            </w:r>
          </w:p>
          <w:p w14:paraId="67492CE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用工时间：显示派单的实际用工天数，根据派单执行状态动态计算：</w:t>
            </w:r>
          </w:p>
          <w:p w14:paraId="2D6008D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o未开始状态：当派单尚未开始执行（无实际开始时间）时，该列显示"/"占位符，表示暂无用工数据</w:t>
            </w:r>
          </w:p>
          <w:p w14:paraId="0481379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o进行中状态：当派单正在执行时，系统自动计算当前时间与派单实际开始时间的差值，以天为单位显示（如"30天"、"15天"）。计算公式：当前日期 - 实际开始日期</w:t>
            </w:r>
          </w:p>
          <w:p w14:paraId="7B302CF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o已完成状态：当派单已结束时，显示从实际开始到监造结束的总用工天数。计算公式：监造结束时间 - 实际开始时间</w:t>
            </w:r>
          </w:p>
          <w:p w14:paraId="66E61A0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该字段为只读字段，数值由系统自动计算生成，不支持手动编辑。</w:t>
            </w:r>
          </w:p>
          <w:p w14:paraId="7609178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是否使用监造平台：PECMS 平台获取</w:t>
            </w:r>
          </w:p>
          <w:p w14:paraId="05717A7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不使用监造平台说明：PECMS 平台获取</w:t>
            </w:r>
          </w:p>
          <w:p w14:paraId="55C1EF7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是否中石化项目：根据 PECMS 平台派单中委托方判断</w:t>
            </w:r>
          </w:p>
          <w:p w14:paraId="713E56C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设备材料名称：PECMS 平台获取</w:t>
            </w:r>
          </w:p>
          <w:p w14:paraId="13F2BAF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设备数量：PECMS 平台获取</w:t>
            </w:r>
          </w:p>
          <w:p w14:paraId="601B8E1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大纲是否已编制审核：驻厂=依据交底中设备对应的监造大纲是否齐全并全部审批通过；巡检=无数据</w:t>
            </w:r>
          </w:p>
          <w:p w14:paraId="65F020C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细则是否已编制审核：驻厂=依据交底中监理实施细则是否齐全并全部审批通过；巡检=无数据</w:t>
            </w:r>
          </w:p>
          <w:p w14:paraId="71C296A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风险评估报告风险等级：驻厂=依据风险评估报告等级；巡检=无数据</w:t>
            </w:r>
          </w:p>
          <w:p w14:paraId="0F8CE28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技术协议等依据性文件现场监理人员是否已拿到：驻厂=依据驻厂交底申请中"设备技术协议、框架协议、项目统一规定"栏打勾拿到；巡检=无数据</w:t>
            </w:r>
          </w:p>
          <w:p w14:paraId="154830B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监理工程师替换交接申请是否有：驻厂=存在审批通过的人员交接申请则认为有；巡检=无数据</w:t>
            </w:r>
          </w:p>
          <w:p w14:paraId="353D9E4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ITP 是否已确认并发给委托方确认：驻厂=依据检验计划上传功能；巡检=无数据</w:t>
            </w:r>
          </w:p>
          <w:p w14:paraId="7AD64A8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预检会是否召开并有会议纪要：驻厂=依据预检验会议上传功能；巡检=无数据</w:t>
            </w:r>
          </w:p>
          <w:p w14:paraId="75D817F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派单变更状态（已确认新增）：联动 PECMS 历史记录表，若派单发生变更（如换人、改时间），填注变更概要；若无变更则显示"/"，支持点击查看变更明细。</w:t>
            </w:r>
          </w:p>
        </w:tc>
        <w:tc>
          <w:tcPr>
            <w:tcW w:w="1381" w:type="dxa"/>
            <w:vAlign w:val="center"/>
          </w:tcPr>
          <w:p w14:paraId="605981C3">
            <w:pPr>
              <w:spacing w:before="0" w:after="0" w:line="264" w:lineRule="auto"/>
              <w:jc w:val="center"/>
              <w:rPr>
                <w:rFonts w:hint="eastAsia" w:ascii="仿宋" w:hAnsi="仿宋" w:eastAsia="仿宋" w:cs="仿宋"/>
                <w:sz w:val="20"/>
                <w:szCs w:val="20"/>
              </w:rPr>
            </w:pPr>
          </w:p>
        </w:tc>
        <w:tc>
          <w:tcPr>
            <w:tcW w:w="1409" w:type="dxa"/>
            <w:vAlign w:val="center"/>
          </w:tcPr>
          <w:p w14:paraId="11B9D1E6">
            <w:pPr>
              <w:spacing w:before="0" w:after="0" w:line="264" w:lineRule="auto"/>
              <w:jc w:val="center"/>
              <w:rPr>
                <w:rFonts w:hint="eastAsia" w:ascii="仿宋" w:hAnsi="仿宋" w:eastAsia="仿宋" w:cs="仿宋"/>
                <w:sz w:val="20"/>
                <w:szCs w:val="20"/>
              </w:rPr>
            </w:pPr>
          </w:p>
        </w:tc>
        <w:tc>
          <w:tcPr>
            <w:tcW w:w="963" w:type="dxa"/>
            <w:vMerge w:val="continue"/>
          </w:tcPr>
          <w:p w14:paraId="4D45D932">
            <w:pPr>
              <w:spacing w:after="0" w:line="240" w:lineRule="auto"/>
              <w:rPr>
                <w:rFonts w:hint="eastAsia" w:ascii="仿宋" w:hAnsi="仿宋" w:eastAsia="仿宋" w:cs="仿宋"/>
                <w:sz w:val="20"/>
                <w:szCs w:val="20"/>
              </w:rPr>
            </w:pPr>
          </w:p>
        </w:tc>
        <w:tc>
          <w:tcPr>
            <w:tcW w:w="1028" w:type="dxa"/>
            <w:vMerge w:val="continue"/>
          </w:tcPr>
          <w:p w14:paraId="4AE96EC5">
            <w:pPr>
              <w:spacing w:after="0" w:line="240" w:lineRule="auto"/>
              <w:rPr>
                <w:rFonts w:hint="eastAsia" w:ascii="仿宋" w:hAnsi="仿宋" w:eastAsia="仿宋" w:cs="仿宋"/>
                <w:sz w:val="20"/>
                <w:szCs w:val="20"/>
              </w:rPr>
            </w:pPr>
          </w:p>
        </w:tc>
      </w:tr>
      <w:tr w14:paraId="27E2C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6A41684D">
            <w:pPr>
              <w:spacing w:after="0" w:line="240" w:lineRule="auto"/>
              <w:rPr>
                <w:rFonts w:hint="eastAsia" w:ascii="仿宋" w:hAnsi="仿宋" w:eastAsia="仿宋" w:cs="仿宋"/>
                <w:sz w:val="20"/>
                <w:szCs w:val="20"/>
              </w:rPr>
            </w:pPr>
          </w:p>
        </w:tc>
        <w:tc>
          <w:tcPr>
            <w:tcW w:w="1524" w:type="dxa"/>
            <w:vMerge w:val="continue"/>
          </w:tcPr>
          <w:p w14:paraId="50623135">
            <w:pPr>
              <w:spacing w:after="0" w:line="240" w:lineRule="auto"/>
              <w:rPr>
                <w:rFonts w:hint="eastAsia" w:ascii="仿宋" w:hAnsi="仿宋" w:eastAsia="仿宋" w:cs="仿宋"/>
                <w:sz w:val="20"/>
                <w:szCs w:val="20"/>
              </w:rPr>
            </w:pPr>
          </w:p>
        </w:tc>
        <w:tc>
          <w:tcPr>
            <w:tcW w:w="5790" w:type="dxa"/>
            <w:vAlign w:val="center"/>
          </w:tcPr>
          <w:p w14:paraId="3D1F3FD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3.3 表格操作按钮</w:t>
            </w:r>
          </w:p>
          <w:p w14:paraId="200F10B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编辑：点击打开弹框，可修改以下字段（其余 PECMS 同步字段只读）：大纲是否已编制审核、细则是否已编制审核、风险评估报告风险等级、技术协议等依据性文件现场监理人员是否已拿到、监理工程师替换交接申请是否有、ITP是否已确认并发给委托方确认、预检会是否召开并有会议纪要、备注。</w:t>
            </w:r>
          </w:p>
          <w:p w14:paraId="6F47543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非 PECMS 项目技术文件缺失标红警示（已确认）：判定标准为该派单"是否上平台"字段为否，或上的平台非 PECMS。对于此类非三方项目，上述 7 项技术文件字段如有任何一项为空/未填写，对应列强制标红显示，并不阻止操作，仅提醒管理层核实并补录。</w:t>
            </w:r>
          </w:p>
          <w:p w14:paraId="5F80934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合同编号点击交互：用户点击表格中的合同编号单元格后，在当前页面弹出模态对话框展示该合同的详细信息，不跳转至PECMS系统。</w:t>
            </w:r>
          </w:p>
          <w:p w14:paraId="5A51263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弹窗布局：</w:t>
            </w:r>
          </w:p>
          <w:p w14:paraId="60DB31A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o弹窗宽度约800px，居中显示，背景半透明遮罩层</w:t>
            </w:r>
          </w:p>
          <w:p w14:paraId="2A95B38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o弹窗标题栏显示"合同详情 - [合同编号]"，右上角提供关闭按钮（×图标）</w:t>
            </w:r>
          </w:p>
          <w:p w14:paraId="43952EF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o内容区域采用双列布局，左右两列各占50%宽度，列间距20px</w:t>
            </w:r>
          </w:p>
          <w:p w14:paraId="2CDD6CC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展示字段（共22个）：</w:t>
            </w:r>
          </w:p>
          <w:p w14:paraId="3FC26DF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左列：监理编号、项目名称、委托方、监造厂家、项目总监、项目经理、派遣人员、计划开始时间、实际开始时间、是否使用监造平台、风险等级、是否召开预检会</w:t>
            </w:r>
          </w:p>
          <w:p w14:paraId="6A0BBA6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右列：派遣单单号、项目编号、制造方、监造设备、总监代表、主要监理人员、辅助监理人员、计划结束时间、实际结束时间、监造平台名称、预检会时间</w:t>
            </w:r>
          </w:p>
          <w:p w14:paraId="62E9554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字段样式：每个字段采用"标签：值"的形式展示，标签文字为灰色（#666），值文字为黑色（#333），字段间垂直间距12px。</w:t>
            </w:r>
          </w:p>
          <w:p w14:paraId="1DAB9DD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交互行为：点击遮罩层或关闭按钮可关闭弹窗，支持ESC键快捷关闭。</w:t>
            </w:r>
          </w:p>
          <w:p w14:paraId="304F866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列设置按钮（已确认新增）：</w:t>
            </w:r>
          </w:p>
          <w:p w14:paraId="578168A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按钮位置：位于筛选区域右侧，与"查询"、"重置"、"导出"按钮并排显示，按钮文字为"列设置"，图标为齿轮或列表图标。</w:t>
            </w:r>
          </w:p>
          <w:p w14:paraId="4201CF9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点击交互：点击按钮后弹出下拉面板（宽度约300px），面板内展示所有可配置列的复选框列表。每个复选框前显示列名称，勾选表示显示该列，取消勾选表示隐藏该列。</w:t>
            </w:r>
          </w:p>
          <w:p w14:paraId="6B07DE4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固定列规则：前3列（#、合同编号、项目经理）和最右侧的操作列为固定列，在列设置面板中显示为灰色禁用状态，不可取消勾选，确保这些关键列始终可见。</w:t>
            </w:r>
          </w:p>
          <w:p w14:paraId="762D28C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横向滚动行为：当表格宽度超出容器时，用户横向滚动表格内容，固定的前3列始终停留在左侧可见区域，操作列始终停留在右侧可见区域，中间的可配置列随滚动条移动。第3列（项目经理）右侧添加垂直阴影效果（box-shadow），视觉上区分固定列与滚动列的边界。</w:t>
            </w:r>
          </w:p>
          <w:p w14:paraId="2276F40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保存设置：用户调整列可见性后，设置自动保存至浏览器本地存储（localStorage），下次打开页面时自动恢复用户的列设置偏好。</w:t>
            </w:r>
          </w:p>
          <w:p w14:paraId="21D6484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超期天数排序按钮（已确认新增）：</w:t>
            </w:r>
          </w:p>
          <w:p w14:paraId="1FF5710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按钮位置：位于"计划结束"列的表头单元格内，列名称"计划结束"右侧显示排序图标（上下箭头或排序符号）。</w:t>
            </w:r>
          </w:p>
          <w:p w14:paraId="4EA6A5F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排序逻辑：点击排序按钮后，系统计算每个派单的超期天数（当前日期 - 计划结束日期），按超期天数降序排列表格数据。超期天数最多的派单排在最前面，未超期的派单排在后面。</w:t>
            </w:r>
          </w:p>
          <w:p w14:paraId="69A1776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视觉反馈：</w:t>
            </w:r>
          </w:p>
          <w:p w14:paraId="0C3D06E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o点击后排序图标变为"向下箭头"，表示降序排列状态</w:t>
            </w:r>
          </w:p>
          <w:p w14:paraId="6370A16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o再次点击可切换为升序排列（向上箭头），或取消排序恢复默认顺序</w:t>
            </w:r>
          </w:p>
          <w:p w14:paraId="1F85F9A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o当前排序列的表头背景色变为浅蓝色（#e3f2fd），提示用户当前按哪一列排序</w:t>
            </w:r>
          </w:p>
          <w:p w14:paraId="75484B5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超期标识：对于已超期的派单，"计划结束"列的日期文字标红显示，并在日期后方添加超期天数标注（如"2026-02-28 超期15天"），红色文字提醒用户关注超期项目。</w:t>
            </w:r>
          </w:p>
        </w:tc>
        <w:tc>
          <w:tcPr>
            <w:tcW w:w="1381" w:type="dxa"/>
            <w:vAlign w:val="center"/>
          </w:tcPr>
          <w:p w14:paraId="78E217C6">
            <w:pPr>
              <w:spacing w:before="0" w:after="0" w:line="264" w:lineRule="auto"/>
              <w:jc w:val="center"/>
              <w:rPr>
                <w:rFonts w:hint="eastAsia" w:ascii="仿宋" w:hAnsi="仿宋" w:eastAsia="仿宋" w:cs="仿宋"/>
                <w:sz w:val="20"/>
                <w:szCs w:val="20"/>
              </w:rPr>
            </w:pPr>
          </w:p>
        </w:tc>
        <w:tc>
          <w:tcPr>
            <w:tcW w:w="1409" w:type="dxa"/>
            <w:vAlign w:val="center"/>
          </w:tcPr>
          <w:p w14:paraId="6055B940">
            <w:pPr>
              <w:spacing w:before="0" w:after="0" w:line="264" w:lineRule="auto"/>
              <w:jc w:val="center"/>
              <w:rPr>
                <w:rFonts w:hint="eastAsia" w:ascii="仿宋" w:hAnsi="仿宋" w:eastAsia="仿宋" w:cs="仿宋"/>
                <w:sz w:val="20"/>
                <w:szCs w:val="20"/>
              </w:rPr>
            </w:pPr>
          </w:p>
        </w:tc>
        <w:tc>
          <w:tcPr>
            <w:tcW w:w="963" w:type="dxa"/>
            <w:vMerge w:val="continue"/>
          </w:tcPr>
          <w:p w14:paraId="11B5DD84">
            <w:pPr>
              <w:spacing w:after="0" w:line="240" w:lineRule="auto"/>
              <w:rPr>
                <w:rFonts w:hint="eastAsia" w:ascii="仿宋" w:hAnsi="仿宋" w:eastAsia="仿宋" w:cs="仿宋"/>
                <w:sz w:val="20"/>
                <w:szCs w:val="20"/>
              </w:rPr>
            </w:pPr>
          </w:p>
        </w:tc>
        <w:tc>
          <w:tcPr>
            <w:tcW w:w="1028" w:type="dxa"/>
            <w:vMerge w:val="continue"/>
          </w:tcPr>
          <w:p w14:paraId="00364719">
            <w:pPr>
              <w:spacing w:after="0" w:line="240" w:lineRule="auto"/>
              <w:rPr>
                <w:rFonts w:hint="eastAsia" w:ascii="仿宋" w:hAnsi="仿宋" w:eastAsia="仿宋" w:cs="仿宋"/>
                <w:sz w:val="20"/>
                <w:szCs w:val="20"/>
              </w:rPr>
            </w:pPr>
          </w:p>
        </w:tc>
      </w:tr>
      <w:tr w14:paraId="46FE6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032BE7C2">
            <w:pPr>
              <w:spacing w:after="0" w:line="240" w:lineRule="auto"/>
              <w:rPr>
                <w:rFonts w:hint="eastAsia" w:ascii="仿宋" w:hAnsi="仿宋" w:eastAsia="仿宋" w:cs="仿宋"/>
                <w:sz w:val="20"/>
                <w:szCs w:val="20"/>
              </w:rPr>
            </w:pPr>
          </w:p>
        </w:tc>
        <w:tc>
          <w:tcPr>
            <w:tcW w:w="1524" w:type="dxa"/>
            <w:vMerge w:val="continue"/>
          </w:tcPr>
          <w:p w14:paraId="2D13050E">
            <w:pPr>
              <w:spacing w:after="0" w:line="240" w:lineRule="auto"/>
              <w:rPr>
                <w:rFonts w:hint="eastAsia" w:ascii="仿宋" w:hAnsi="仿宋" w:eastAsia="仿宋" w:cs="仿宋"/>
                <w:sz w:val="20"/>
                <w:szCs w:val="20"/>
              </w:rPr>
            </w:pPr>
          </w:p>
        </w:tc>
        <w:tc>
          <w:tcPr>
            <w:tcW w:w="5790" w:type="dxa"/>
            <w:vAlign w:val="center"/>
          </w:tcPr>
          <w:p w14:paraId="1AB2E64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3.4 查询筛选条件</w:t>
            </w:r>
          </w:p>
          <w:p w14:paraId="4A394B1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执行管理页面顶部提供筛选区域，采用两行布局，用户可通过多个维度快速筛选派单数据。</w:t>
            </w:r>
          </w:p>
          <w:p w14:paraId="7BEF8E9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筛选区域整体布局：</w:t>
            </w:r>
          </w:p>
          <w:p w14:paraId="1921B91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筛选区域位于页面标题下方，表格上方，背景色为浅灰色（#f5f5f5），内边距16px</w:t>
            </w:r>
          </w:p>
          <w:p w14:paraId="15D388A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采用两行布局，每行包含多个筛选字段，字段之间水平排列，间距12px</w:t>
            </w:r>
          </w:p>
          <w:p w14:paraId="7BBEB37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每个筛选字段由"标签 + 输入框/下拉框"组成，标签宽度80px，输入框宽度根据字段类型调整（普通输入框180px，日期选择器200px）</w:t>
            </w:r>
          </w:p>
          <w:p w14:paraId="58305FB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第一行筛选条件（8个字段）：</w:t>
            </w:r>
          </w:p>
          <w:p w14:paraId="43FE879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1.当前角色：下拉选择框，宽度150px，选项包括：全部、项目经理、管理员、领导等。默认根据登录用户角色自动选中</w:t>
            </w:r>
          </w:p>
          <w:p w14:paraId="0FC92A6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2.合同编号：文本输入框，支持模糊搜索，占位符文字"请输入合同编号"</w:t>
            </w:r>
          </w:p>
          <w:p w14:paraId="62771FE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3.项目经理：文本输入框，支持模糊搜索，占位符文字"请输入负责人姓名"</w:t>
            </w:r>
          </w:p>
          <w:p w14:paraId="58AF5A8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4.区域经理：文本输入框，支持多值搜索（详见下方多值搜索规则），占位符文字"支持多人搜索，如：张经理、李经理"</w:t>
            </w:r>
          </w:p>
          <w:p w14:paraId="69C62F7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5.项目编号：文本输入框，支持模糊搜索</w:t>
            </w:r>
          </w:p>
          <w:p w14:paraId="72E5D21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6.派单编号：文本输入框，支持精确或模糊搜索</w:t>
            </w:r>
          </w:p>
          <w:p w14:paraId="2433083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7.监造方式：下拉选择框，选项：全部、驻厂、巡检</w:t>
            </w:r>
          </w:p>
          <w:p w14:paraId="600C69E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8.执行状态：下拉选择框，选项：全部、未开始、进行中、已完成、超期</w:t>
            </w:r>
          </w:p>
          <w:p w14:paraId="1A5818F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第二行筛选条件（6个字段，已确认新增）：</w:t>
            </w:r>
          </w:p>
          <w:p w14:paraId="300C70E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1.项目总监：文本输入框，支持模糊搜索</w:t>
            </w:r>
          </w:p>
          <w:p w14:paraId="6B2897B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2.总监代表：文本输入框，支持模糊搜索</w:t>
            </w:r>
          </w:p>
          <w:p w14:paraId="290D7D4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3.制造厂：文本输入框，支持模糊搜索制造厂名称</w:t>
            </w:r>
          </w:p>
          <w:p w14:paraId="343D175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4.计划开始时间：日期范围选择器，包含"开始日期"和"结束日期"两个日期输入框，支持日历弹窗选择</w:t>
            </w:r>
          </w:p>
          <w:p w14:paraId="54EC66C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5.计划结束时间：日期范围选择器，同上</w:t>
            </w:r>
          </w:p>
          <w:p w14:paraId="0BA4CED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6.是否使用监造平台：下拉选择框，选项：全部、是、否</w:t>
            </w:r>
          </w:p>
          <w:p w14:paraId="32CE564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筛选区域按钮（第二行右侧）：</w:t>
            </w:r>
          </w:p>
          <w:p w14:paraId="165FCED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查询按钮：蓝色主按钮，宽度80px，文字"查询"，点击后根据筛选条件过滤表格数据</w:t>
            </w:r>
          </w:p>
          <w:p w14:paraId="56393E8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重置按钮：灰色次要按钮，宽度80px，文字"重置"，点击后清空所有筛选条件，恢复默认状态</w:t>
            </w:r>
          </w:p>
          <w:p w14:paraId="50902A2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导出按钮：绿色按钮，宽度80px，文字"导出"，点击后导出当前筛选结果（支持Excel格式）</w:t>
            </w:r>
          </w:p>
          <w:p w14:paraId="0441BA9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列设置按钮：灰色按钮，宽度100px，文字"列设置"，图标为齿轮，点击后弹出列可见性配置面板</w:t>
            </w:r>
          </w:p>
          <w:p w14:paraId="1D06965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多值搜索规则（区域经理字段专用）：</w:t>
            </w:r>
          </w:p>
          <w:p w14:paraId="3698E56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用户可在"区域经理"输入框中输入多个经理姓名，使用顿号（、）或逗号（,）分隔</w:t>
            </w:r>
          </w:p>
          <w:p w14:paraId="10649E2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示例输入："张经理、李经理、王经理" 或 "张经理,李经理,王经理"</w:t>
            </w:r>
          </w:p>
          <w:p w14:paraId="08A2536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系统自动解析输入内容，提取所有经理姓名，执行OR逻辑查询（即返回区域经理为张经理 OR 李经理 OR 王经理的所有合同数据）</w:t>
            </w:r>
          </w:p>
          <w:p w14:paraId="0A4ED96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输入框右侧显示提示图标（?），鼠标悬停时显示tooltip："支持多人搜索，用顿号或逗号分隔"</w:t>
            </w:r>
          </w:p>
        </w:tc>
        <w:tc>
          <w:tcPr>
            <w:tcW w:w="1381" w:type="dxa"/>
            <w:vAlign w:val="center"/>
          </w:tcPr>
          <w:p w14:paraId="3AF234BC">
            <w:pPr>
              <w:spacing w:before="0" w:after="0" w:line="264" w:lineRule="auto"/>
              <w:jc w:val="center"/>
              <w:rPr>
                <w:rFonts w:hint="eastAsia" w:ascii="仿宋" w:hAnsi="仿宋" w:eastAsia="仿宋" w:cs="仿宋"/>
                <w:sz w:val="20"/>
                <w:szCs w:val="20"/>
              </w:rPr>
            </w:pPr>
          </w:p>
        </w:tc>
        <w:tc>
          <w:tcPr>
            <w:tcW w:w="1409" w:type="dxa"/>
            <w:vAlign w:val="center"/>
          </w:tcPr>
          <w:p w14:paraId="5AE85EBB">
            <w:pPr>
              <w:spacing w:before="0" w:after="0" w:line="264" w:lineRule="auto"/>
              <w:jc w:val="center"/>
              <w:rPr>
                <w:rFonts w:hint="eastAsia" w:ascii="仿宋" w:hAnsi="仿宋" w:eastAsia="仿宋" w:cs="仿宋"/>
                <w:sz w:val="20"/>
                <w:szCs w:val="20"/>
              </w:rPr>
            </w:pPr>
          </w:p>
        </w:tc>
        <w:tc>
          <w:tcPr>
            <w:tcW w:w="963" w:type="dxa"/>
            <w:vMerge w:val="continue"/>
          </w:tcPr>
          <w:p w14:paraId="17DFD4B0">
            <w:pPr>
              <w:spacing w:after="0" w:line="240" w:lineRule="auto"/>
              <w:rPr>
                <w:rFonts w:hint="eastAsia" w:ascii="仿宋" w:hAnsi="仿宋" w:eastAsia="仿宋" w:cs="仿宋"/>
                <w:sz w:val="20"/>
                <w:szCs w:val="20"/>
              </w:rPr>
            </w:pPr>
          </w:p>
        </w:tc>
        <w:tc>
          <w:tcPr>
            <w:tcW w:w="1028" w:type="dxa"/>
            <w:vMerge w:val="continue"/>
          </w:tcPr>
          <w:p w14:paraId="13BF9908">
            <w:pPr>
              <w:spacing w:after="0" w:line="240" w:lineRule="auto"/>
              <w:rPr>
                <w:rFonts w:hint="eastAsia" w:ascii="仿宋" w:hAnsi="仿宋" w:eastAsia="仿宋" w:cs="仿宋"/>
                <w:sz w:val="20"/>
                <w:szCs w:val="20"/>
              </w:rPr>
            </w:pPr>
          </w:p>
        </w:tc>
      </w:tr>
      <w:tr w14:paraId="154E5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68A83C94">
            <w:pPr>
              <w:spacing w:after="0" w:line="240" w:lineRule="auto"/>
              <w:rPr>
                <w:rFonts w:hint="eastAsia" w:ascii="仿宋" w:hAnsi="仿宋" w:eastAsia="仿宋" w:cs="仿宋"/>
                <w:sz w:val="20"/>
                <w:szCs w:val="20"/>
              </w:rPr>
            </w:pPr>
          </w:p>
        </w:tc>
        <w:tc>
          <w:tcPr>
            <w:tcW w:w="1524" w:type="dxa"/>
            <w:vMerge w:val="continue"/>
          </w:tcPr>
          <w:p w14:paraId="27D86FDF">
            <w:pPr>
              <w:spacing w:after="0" w:line="240" w:lineRule="auto"/>
              <w:rPr>
                <w:rFonts w:hint="eastAsia" w:ascii="仿宋" w:hAnsi="仿宋" w:eastAsia="仿宋" w:cs="仿宋"/>
                <w:sz w:val="20"/>
                <w:szCs w:val="20"/>
              </w:rPr>
            </w:pPr>
          </w:p>
        </w:tc>
        <w:tc>
          <w:tcPr>
            <w:tcW w:w="5790" w:type="dxa"/>
            <w:vAlign w:val="center"/>
          </w:tcPr>
          <w:p w14:paraId="5033ABB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3.5 权限规则</w:t>
            </w:r>
          </w:p>
          <w:p w14:paraId="26E8B89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执行管理模块根据用户角色自动过滤可见数据，确保用户只能查看权限范围内的合同和派单信息。</w:t>
            </w:r>
          </w:p>
          <w:p w14:paraId="0F83D97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角色权限定义：</w:t>
            </w:r>
          </w:p>
          <w:p w14:paraId="0B19CE2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1.项目经理角色：</w:t>
            </w:r>
          </w:p>
          <w:p w14:paraId="5F50065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o数据范围：登录后只能查看"项目经理"字段为当前用户姓名的合同及其关联的派单数据</w:t>
            </w:r>
          </w:p>
          <w:p w14:paraId="7F105BC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o过滤逻辑：系统自动在后台添加过滤条件 WHERE 项目经理 = 当前登录用户姓名</w:t>
            </w:r>
          </w:p>
          <w:p w14:paraId="07553E3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o界面表现：用户看到的表格中只显示自己负责的合同，无法通过筛选条件查看其他负责人的数据</w:t>
            </w:r>
          </w:p>
          <w:p w14:paraId="70D288A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o操作权限：可编辑自己负责合同下的派单信息（通过"编辑"按钮）</w:t>
            </w:r>
          </w:p>
          <w:p w14:paraId="2087894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2.管理员/领导角色：</w:t>
            </w:r>
          </w:p>
          <w:p w14:paraId="4BD939A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o数据范围：可以查看系统中所有合同和派单数据，无数据过滤限制</w:t>
            </w:r>
          </w:p>
          <w:p w14:paraId="2C398C9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o过滤逻辑：不添加任何后台过滤条件，返回全量数据</w:t>
            </w:r>
          </w:p>
          <w:p w14:paraId="0BE4E0B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o界面表现：用户可通过筛选条件自由查询任意项目经理、区域经理、项目总监的数据</w:t>
            </w:r>
          </w:p>
          <w:p w14:paraId="011A4DF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o操作权限：可编辑所有派单信息，具有最高数据访问和操作权限</w:t>
            </w:r>
          </w:p>
          <w:p w14:paraId="6E88F30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3.前端演示模式：</w:t>
            </w:r>
          </w:p>
          <w:p w14:paraId="46DA805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o为便于演示和测试，页面顶部筛选区域提供"当前角色"下拉选择器</w:t>
            </w:r>
          </w:p>
          <w:p w14:paraId="5A34228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o用户可手动切换角色（项目经理、管理员、领导等），系统根据选中角色动态过滤表格数据</w:t>
            </w:r>
          </w:p>
          <w:p w14:paraId="5A0032B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o实际生产环境中，该角色选择器应隐藏或移除，系统根据登录用户的真实角色（从用户会话或权限系统获取）自动应用数据过滤规则</w:t>
            </w:r>
          </w:p>
          <w:p w14:paraId="2767999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o角色切换后，表格数据自动刷新，显示该角色权限范围内的数据</w:t>
            </w:r>
          </w:p>
          <w:p w14:paraId="5B6C335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权限校验时机：</w:t>
            </w:r>
          </w:p>
          <w:p w14:paraId="407329A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页面加载时：根据登录用户角色初始化数据过滤</w:t>
            </w:r>
          </w:p>
          <w:p w14:paraId="51189A6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筛选查询时：在用户点击"查询"按钮后，后台同时应用角色权限过滤和用户输入的筛选条件</w:t>
            </w:r>
          </w:p>
          <w:p w14:paraId="04EA5B5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数据导出时：导出的数据同样受角色权限限制，只导出用户可见范围内的数据</w:t>
            </w:r>
          </w:p>
        </w:tc>
        <w:tc>
          <w:tcPr>
            <w:tcW w:w="1381" w:type="dxa"/>
            <w:vAlign w:val="center"/>
          </w:tcPr>
          <w:p w14:paraId="25D1F38B">
            <w:pPr>
              <w:spacing w:before="0" w:after="0" w:line="264" w:lineRule="auto"/>
              <w:jc w:val="center"/>
              <w:rPr>
                <w:rFonts w:hint="eastAsia" w:ascii="仿宋" w:hAnsi="仿宋" w:eastAsia="仿宋" w:cs="仿宋"/>
                <w:sz w:val="20"/>
                <w:szCs w:val="20"/>
              </w:rPr>
            </w:pPr>
          </w:p>
        </w:tc>
        <w:tc>
          <w:tcPr>
            <w:tcW w:w="1409" w:type="dxa"/>
            <w:vAlign w:val="center"/>
          </w:tcPr>
          <w:p w14:paraId="106A1A46">
            <w:pPr>
              <w:spacing w:before="0" w:after="0" w:line="264" w:lineRule="auto"/>
              <w:jc w:val="center"/>
              <w:rPr>
                <w:rFonts w:hint="eastAsia" w:ascii="仿宋" w:hAnsi="仿宋" w:eastAsia="仿宋" w:cs="仿宋"/>
                <w:sz w:val="20"/>
                <w:szCs w:val="20"/>
              </w:rPr>
            </w:pPr>
          </w:p>
        </w:tc>
        <w:tc>
          <w:tcPr>
            <w:tcW w:w="963" w:type="dxa"/>
            <w:vMerge w:val="continue"/>
          </w:tcPr>
          <w:p w14:paraId="58D7761E">
            <w:pPr>
              <w:spacing w:after="0" w:line="240" w:lineRule="auto"/>
              <w:rPr>
                <w:rFonts w:hint="eastAsia" w:ascii="仿宋" w:hAnsi="仿宋" w:eastAsia="仿宋" w:cs="仿宋"/>
                <w:sz w:val="20"/>
                <w:szCs w:val="20"/>
              </w:rPr>
            </w:pPr>
          </w:p>
        </w:tc>
        <w:tc>
          <w:tcPr>
            <w:tcW w:w="1028" w:type="dxa"/>
            <w:vMerge w:val="continue"/>
          </w:tcPr>
          <w:p w14:paraId="037A5588">
            <w:pPr>
              <w:spacing w:after="0" w:line="240" w:lineRule="auto"/>
              <w:rPr>
                <w:rFonts w:hint="eastAsia" w:ascii="仿宋" w:hAnsi="仿宋" w:eastAsia="仿宋" w:cs="仿宋"/>
                <w:sz w:val="20"/>
                <w:szCs w:val="20"/>
              </w:rPr>
            </w:pPr>
          </w:p>
        </w:tc>
      </w:tr>
      <w:tr w14:paraId="68F43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45B70F03">
            <w:pPr>
              <w:spacing w:after="0" w:line="240" w:lineRule="auto"/>
              <w:rPr>
                <w:rFonts w:hint="eastAsia" w:ascii="仿宋" w:hAnsi="仿宋" w:eastAsia="仿宋" w:cs="仿宋"/>
                <w:sz w:val="20"/>
                <w:szCs w:val="20"/>
              </w:rPr>
            </w:pPr>
          </w:p>
        </w:tc>
        <w:tc>
          <w:tcPr>
            <w:tcW w:w="1524" w:type="dxa"/>
            <w:vMerge w:val="continue"/>
          </w:tcPr>
          <w:p w14:paraId="5C1736DF">
            <w:pPr>
              <w:spacing w:after="0" w:line="240" w:lineRule="auto"/>
              <w:rPr>
                <w:rFonts w:hint="eastAsia" w:ascii="仿宋" w:hAnsi="仿宋" w:eastAsia="仿宋" w:cs="仿宋"/>
                <w:sz w:val="20"/>
                <w:szCs w:val="20"/>
              </w:rPr>
            </w:pPr>
          </w:p>
        </w:tc>
        <w:tc>
          <w:tcPr>
            <w:tcW w:w="5790" w:type="dxa"/>
            <w:vAlign w:val="center"/>
          </w:tcPr>
          <w:p w14:paraId="3A68E60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3.6 界面交互</w:t>
            </w:r>
          </w:p>
          <w:p w14:paraId="0B9BDC2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执行管理模块提供多种交互优化，提升大数据量场景下的用户体验。</w:t>
            </w:r>
          </w:p>
          <w:p w14:paraId="0765100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 前3列固定：</w:t>
            </w:r>
          </w:p>
          <w:p w14:paraId="6D4F294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固定列范围：表格的前3列（#、合同编号、项目经理）使用CSS sticky定位，在用户横向滚动表格时始终固定在左侧可见区域</w:t>
            </w:r>
          </w:p>
          <w:p w14:paraId="27B50C6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视觉分隔：第3列（项目经理）的右侧边缘添加垂直阴影效果（box-shadow: 2px 0 4px rgba(0,0,0,0.1)），视觉上明确区分固定列与可滚动列的边界</w:t>
            </w:r>
          </w:p>
          <w:p w14:paraId="7A47D30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滚动行为：当用户向右滚动表格内容时，前3列保持静止，第4列及之后的列随滚动条移动。滚动到最右侧时，固定列的阴影效果依然存在</w:t>
            </w:r>
          </w:p>
          <w:p w14:paraId="1F2DD4B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响应式处理：在小屏幕设备上（宽度&lt;1200px），固定列功能自动禁用，避免固定列占用过多屏幕空间</w:t>
            </w:r>
          </w:p>
          <w:p w14:paraId="2061B71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 操作列固定：</w:t>
            </w:r>
          </w:p>
          <w:p w14:paraId="00A4A50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固定位置：表格最右侧的"操作"列使用sticky定位固定在右侧，横向滚动时始终可见</w:t>
            </w:r>
          </w:p>
          <w:p w14:paraId="31CF5CA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视觉分隔：操作列左侧边缘添加垂直阴影效果（box-shadow: -2px 0 4px rgba(0,0,0,0.1)），与可滚动列区分</w:t>
            </w:r>
          </w:p>
          <w:p w14:paraId="59BCF74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按钮布局：操作列内包含"编辑"按钮，按钮宽度60px，蓝色主按钮样式，点击后弹出编辑弹窗</w:t>
            </w:r>
          </w:p>
          <w:p w14:paraId="1AEE5C4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 列可见性设置：</w:t>
            </w:r>
          </w:p>
          <w:p w14:paraId="0B1A340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设置入口：用户点击筛选区域的"列设置"按钮，弹出列配置面板</w:t>
            </w:r>
          </w:p>
          <w:p w14:paraId="71CADA4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配置面板：下拉面板宽度300px，最大高度400px，超出时显示垂直滚动条。面板内列出所有可配置列，每列一个复选框</w:t>
            </w:r>
          </w:p>
          <w:p w14:paraId="03A69E6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固定列限制：前3列（#、合同编号、项目经理）和操作列在面板中显示为灰色禁用状态，复选框不可取消勾选</w:t>
            </w:r>
          </w:p>
          <w:p w14:paraId="70B07C8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即时生效：用户勾选/取消勾选某列后，表格立即刷新，显示/隐藏对应列，无需点击"确定"按钮</w:t>
            </w:r>
          </w:p>
          <w:p w14:paraId="1979631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设置持久化：用户的列可见性配置保存至浏览器localStorage，下次打开页面时自动恢复</w:t>
            </w:r>
          </w:p>
          <w:p w14:paraId="6813245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 方案C展开/收起功能：</w:t>
            </w:r>
          </w:p>
          <w:p w14:paraId="26C928D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适用场景：仅在"方案C - 分组展示"模式下生效，该模式采用合同-派单层级结构展示数据</w:t>
            </w:r>
          </w:p>
          <w:p w14:paraId="0C50E7D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展开/收起按钮：每个合同标题行的最左侧（#列）显示展开/收起图标按钮</w:t>
            </w:r>
          </w:p>
          <w:p w14:paraId="6B6916A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o展开状态：显示向下箭头图标（▼），点击后收起该合同下的派单列表</w:t>
            </w:r>
          </w:p>
          <w:p w14:paraId="1B1BFD9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o收起状态：显示向右箭头图标（▶），点击后展开该合同下的派单列表</w:t>
            </w:r>
          </w:p>
          <w:p w14:paraId="459E6C4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默认状态：页面初次加载时，所有合同默认为展开状态，用户可看到所有派单数据</w:t>
            </w:r>
          </w:p>
          <w:p w14:paraId="27AC9F1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交互反馈：点击按钮后，图标旋转动画（0.2s过渡），派单行平滑展开/收起（高度动画）</w:t>
            </w:r>
          </w:p>
          <w:p w14:paraId="6ABFB7B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状态记忆：用户的展开/收起状态保存至sessionStorage，刷新页面后保持当前状态</w:t>
            </w:r>
          </w:p>
          <w:p w14:paraId="39B07FF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 方案C浮动滚动条：</w:t>
            </w:r>
          </w:p>
          <w:p w14:paraId="6125676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触发条件：当方案C表格的实际宽度超出容器宽度时，自动在浏览器窗口底部显示浮动滚动条</w:t>
            </w:r>
          </w:p>
          <w:p w14:paraId="01B3F8E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滚动条样式：</w:t>
            </w:r>
          </w:p>
          <w:p w14:paraId="425D208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o位置：固定在浏览器窗口底部（position: fixed; bottom: 0），z-index: 9999确保始终在最上层</w:t>
            </w:r>
          </w:p>
          <w:p w14:paraId="2AF7933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o宽度和位置：滚动条的left和width动态计算，与方案C表格容器的位置和宽度完全对齐</w:t>
            </w:r>
          </w:p>
          <w:p w14:paraId="22326C3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o高度：17px，背景色为浅灰色（#f5f5f5），顶部边框为蓝色（2px solid #1976d2）</w:t>
            </w:r>
          </w:p>
          <w:p w14:paraId="2851107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双向同步：</w:t>
            </w:r>
          </w:p>
          <w:p w14:paraId="0B1C0C1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o用户拖动浮动滚动条时，方案C表格同步横向滚动</w:t>
            </w:r>
          </w:p>
          <w:p w14:paraId="5BD23F1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o用户直接滚动方案C表格时，浮动滚动条同步移动</w:t>
            </w:r>
          </w:p>
          <w:p w14:paraId="618D620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显示/隐藏逻辑：</w:t>
            </w:r>
          </w:p>
          <w:p w14:paraId="2E7F1FD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o仅在方案C标签页激活时显示浮动滚动条</w:t>
            </w:r>
          </w:p>
          <w:p w14:paraId="3E6E925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o切换到其他方案（方案A、方案B、原列表）时，浮动滚动条自动隐藏</w:t>
            </w:r>
          </w:p>
          <w:p w14:paraId="5E46838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o当表格宽度小于容器宽度（无需横向滚动）时，浮动滚动条自动隐藏</w:t>
            </w:r>
          </w:p>
          <w:p w14:paraId="1DF24D2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响应式更新：窗口大小改变时，浮动滚动条的位置和宽度自动重新计算，确保始终与表格对齐</w:t>
            </w:r>
          </w:p>
          <w:p w14:paraId="7DAD53E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 完整分页控件：</w:t>
            </w:r>
          </w:p>
          <w:p w14:paraId="4D02A01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分页位置：位于表格底部，右对齐显示</w:t>
            </w:r>
          </w:p>
          <w:p w14:paraId="20A1B3F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分页信息：左侧显示统计信息"共X 个合同，Y 个派单"，文字颜色为灰色（#666）</w:t>
            </w:r>
          </w:p>
          <w:p w14:paraId="74B4591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分页按钮：</w:t>
            </w:r>
          </w:p>
          <w:p w14:paraId="7E0F22F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o上一页按钮：文字"上一页"，灰色边框按钮，当前为第1页时禁用（灰色不可点击）</w:t>
            </w:r>
          </w:p>
          <w:p w14:paraId="4647123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o页码按钮：显示页码数字（1、2、3...），每个页码一个按钮，当前页按钮为蓝色背景高亮显示，其他页码为白色背景</w:t>
            </w:r>
          </w:p>
          <w:p w14:paraId="57F958A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o下一页按钮：文字"下一页"，灰色边框按钮，当前为最后一页时禁用</w:t>
            </w:r>
          </w:p>
          <w:p w14:paraId="3CF2F38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页码显示规则：</w:t>
            </w:r>
          </w:p>
          <w:p w14:paraId="0BAD8DE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o总页数≤7页：显示所有页码按钮</w:t>
            </w:r>
          </w:p>
          <w:p w14:paraId="6F27658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o总页数&gt;7页：显示首页、末页、当前页及其前后各2页，中间用省略号（...）表示</w:t>
            </w:r>
          </w:p>
          <w:p w14:paraId="7D2D0E6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o示例：1 ... 4 5 [6] 7 8 ... 20（当前在第6页，共20页）</w:t>
            </w:r>
          </w:p>
          <w:p w14:paraId="4F076DC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点击交互：点击页码按钮后，表格数据切换到对应页，当前页按钮高亮，URL参数同步更新（如?page=2）</w:t>
            </w:r>
          </w:p>
        </w:tc>
        <w:tc>
          <w:tcPr>
            <w:tcW w:w="1381" w:type="dxa"/>
            <w:vAlign w:val="center"/>
          </w:tcPr>
          <w:p w14:paraId="1668FB73">
            <w:pPr>
              <w:spacing w:before="0" w:after="0" w:line="264" w:lineRule="auto"/>
              <w:jc w:val="center"/>
              <w:rPr>
                <w:rFonts w:hint="eastAsia" w:ascii="仿宋" w:hAnsi="仿宋" w:eastAsia="仿宋" w:cs="仿宋"/>
                <w:sz w:val="20"/>
                <w:szCs w:val="20"/>
              </w:rPr>
            </w:pPr>
          </w:p>
        </w:tc>
        <w:tc>
          <w:tcPr>
            <w:tcW w:w="1409" w:type="dxa"/>
            <w:vAlign w:val="center"/>
          </w:tcPr>
          <w:p w14:paraId="3F1152EB">
            <w:pPr>
              <w:spacing w:before="0" w:after="0" w:line="264" w:lineRule="auto"/>
              <w:jc w:val="center"/>
              <w:rPr>
                <w:rFonts w:hint="eastAsia" w:ascii="仿宋" w:hAnsi="仿宋" w:eastAsia="仿宋" w:cs="仿宋"/>
                <w:sz w:val="20"/>
                <w:szCs w:val="20"/>
              </w:rPr>
            </w:pPr>
          </w:p>
        </w:tc>
        <w:tc>
          <w:tcPr>
            <w:tcW w:w="963" w:type="dxa"/>
            <w:vMerge w:val="continue"/>
          </w:tcPr>
          <w:p w14:paraId="06252CC9">
            <w:pPr>
              <w:spacing w:after="0" w:line="240" w:lineRule="auto"/>
              <w:rPr>
                <w:rFonts w:hint="eastAsia" w:ascii="仿宋" w:hAnsi="仿宋" w:eastAsia="仿宋" w:cs="仿宋"/>
                <w:sz w:val="20"/>
                <w:szCs w:val="20"/>
              </w:rPr>
            </w:pPr>
          </w:p>
        </w:tc>
        <w:tc>
          <w:tcPr>
            <w:tcW w:w="1028" w:type="dxa"/>
            <w:vMerge w:val="continue"/>
          </w:tcPr>
          <w:p w14:paraId="6E46A0ED">
            <w:pPr>
              <w:spacing w:after="0" w:line="240" w:lineRule="auto"/>
              <w:rPr>
                <w:rFonts w:hint="eastAsia" w:ascii="仿宋" w:hAnsi="仿宋" w:eastAsia="仿宋" w:cs="仿宋"/>
                <w:sz w:val="20"/>
                <w:szCs w:val="20"/>
              </w:rPr>
            </w:pPr>
          </w:p>
        </w:tc>
      </w:tr>
      <w:tr w14:paraId="0F6A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3F36A06A">
            <w:pPr>
              <w:spacing w:after="0" w:line="240" w:lineRule="auto"/>
              <w:rPr>
                <w:rFonts w:hint="eastAsia" w:ascii="仿宋" w:hAnsi="仿宋" w:eastAsia="仿宋" w:cs="仿宋"/>
                <w:sz w:val="20"/>
                <w:szCs w:val="20"/>
              </w:rPr>
            </w:pPr>
          </w:p>
        </w:tc>
        <w:tc>
          <w:tcPr>
            <w:tcW w:w="1524" w:type="dxa"/>
            <w:vMerge w:val="continue"/>
          </w:tcPr>
          <w:p w14:paraId="17D5C49D">
            <w:pPr>
              <w:spacing w:after="0" w:line="240" w:lineRule="auto"/>
              <w:rPr>
                <w:rFonts w:hint="eastAsia" w:ascii="仿宋" w:hAnsi="仿宋" w:eastAsia="仿宋" w:cs="仿宋"/>
                <w:sz w:val="20"/>
                <w:szCs w:val="20"/>
              </w:rPr>
            </w:pPr>
          </w:p>
        </w:tc>
        <w:tc>
          <w:tcPr>
            <w:tcW w:w="5790" w:type="dxa"/>
            <w:vAlign w:val="center"/>
          </w:tcPr>
          <w:p w14:paraId="416E541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增加每月按合同(CI编号)进行产值、成本数据的导入与录入，用于未上平台的合同参与产值与成本统计。对于有CI编号的情况，可按月录入产值与成本的结果数据。</w:t>
            </w:r>
          </w:p>
        </w:tc>
        <w:tc>
          <w:tcPr>
            <w:tcW w:w="1381" w:type="dxa"/>
            <w:vAlign w:val="center"/>
          </w:tcPr>
          <w:p w14:paraId="4E7A9C13">
            <w:pPr>
              <w:spacing w:before="0" w:after="0" w:line="264" w:lineRule="auto"/>
              <w:jc w:val="center"/>
              <w:rPr>
                <w:rFonts w:hint="eastAsia" w:ascii="仿宋" w:hAnsi="仿宋" w:eastAsia="仿宋" w:cs="仿宋"/>
                <w:sz w:val="20"/>
                <w:szCs w:val="20"/>
              </w:rPr>
            </w:pPr>
          </w:p>
        </w:tc>
        <w:tc>
          <w:tcPr>
            <w:tcW w:w="1409" w:type="dxa"/>
            <w:vAlign w:val="center"/>
          </w:tcPr>
          <w:p w14:paraId="2498559C">
            <w:pPr>
              <w:spacing w:before="0" w:after="0" w:line="264" w:lineRule="auto"/>
              <w:jc w:val="center"/>
              <w:rPr>
                <w:rFonts w:hint="eastAsia" w:ascii="仿宋" w:hAnsi="仿宋" w:eastAsia="仿宋" w:cs="仿宋"/>
                <w:sz w:val="20"/>
                <w:szCs w:val="20"/>
              </w:rPr>
            </w:pPr>
          </w:p>
        </w:tc>
        <w:tc>
          <w:tcPr>
            <w:tcW w:w="963" w:type="dxa"/>
            <w:vMerge w:val="continue"/>
          </w:tcPr>
          <w:p w14:paraId="71D6E597">
            <w:pPr>
              <w:spacing w:after="0" w:line="240" w:lineRule="auto"/>
              <w:rPr>
                <w:rFonts w:hint="eastAsia" w:ascii="仿宋" w:hAnsi="仿宋" w:eastAsia="仿宋" w:cs="仿宋"/>
                <w:sz w:val="20"/>
                <w:szCs w:val="20"/>
              </w:rPr>
            </w:pPr>
          </w:p>
        </w:tc>
        <w:tc>
          <w:tcPr>
            <w:tcW w:w="1028" w:type="dxa"/>
            <w:vMerge w:val="continue"/>
          </w:tcPr>
          <w:p w14:paraId="3B237E39">
            <w:pPr>
              <w:spacing w:after="0" w:line="240" w:lineRule="auto"/>
              <w:rPr>
                <w:rFonts w:hint="eastAsia" w:ascii="仿宋" w:hAnsi="仿宋" w:eastAsia="仿宋" w:cs="仿宋"/>
                <w:sz w:val="20"/>
                <w:szCs w:val="20"/>
              </w:rPr>
            </w:pPr>
          </w:p>
        </w:tc>
      </w:tr>
      <w:tr w14:paraId="1D574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39EC64A1">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5</w:t>
            </w:r>
          </w:p>
        </w:tc>
        <w:tc>
          <w:tcPr>
            <w:tcW w:w="1524" w:type="dxa"/>
            <w:vMerge w:val="restart"/>
            <w:vAlign w:val="center"/>
          </w:tcPr>
          <w:p w14:paraId="2ED2EE68">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4.工时记录（以合同号为维度）</w:t>
            </w:r>
          </w:p>
        </w:tc>
        <w:tc>
          <w:tcPr>
            <w:tcW w:w="5790" w:type="dxa"/>
            <w:vAlign w:val="center"/>
          </w:tcPr>
          <w:p w14:paraId="3B373F6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4.1 支持角色</w:t>
            </w:r>
          </w:p>
          <w:p w14:paraId="217AD6A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系统根据当前登录用户所属角色，自动赋予对应的数据查看权限范围。不同角色登录后，页面展示的合同数据范围不同。</w:t>
            </w:r>
          </w:p>
          <w:p w14:paraId="104054B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项目总监：查看当前用户监管的项目下合同号(CI编号)的工时信息</w:t>
            </w:r>
          </w:p>
          <w:p w14:paraId="06F6FA4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项目经理：查看当前用户有权限的合同号(CI编号)的工时信息</w:t>
            </w:r>
          </w:p>
          <w:p w14:paraId="3F0E9AC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总监代表：查看当前用户作为总监代表的派单的工时信息</w:t>
            </w:r>
          </w:p>
          <w:p w14:paraId="556604F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领导层、管理员：查看所有派单的工时信息</w:t>
            </w:r>
          </w:p>
        </w:tc>
        <w:tc>
          <w:tcPr>
            <w:tcW w:w="1381" w:type="dxa"/>
            <w:vAlign w:val="center"/>
          </w:tcPr>
          <w:p w14:paraId="4C166011">
            <w:pPr>
              <w:spacing w:before="0" w:after="0" w:line="264" w:lineRule="auto"/>
              <w:jc w:val="center"/>
              <w:rPr>
                <w:rFonts w:hint="eastAsia" w:ascii="仿宋" w:hAnsi="仿宋" w:eastAsia="仿宋" w:cs="仿宋"/>
                <w:sz w:val="20"/>
                <w:szCs w:val="20"/>
              </w:rPr>
            </w:pPr>
          </w:p>
        </w:tc>
        <w:tc>
          <w:tcPr>
            <w:tcW w:w="1409" w:type="dxa"/>
            <w:vAlign w:val="center"/>
          </w:tcPr>
          <w:p w14:paraId="74091FDB">
            <w:pPr>
              <w:spacing w:before="0" w:after="0" w:line="264" w:lineRule="auto"/>
              <w:jc w:val="center"/>
              <w:rPr>
                <w:rFonts w:hint="eastAsia" w:ascii="仿宋" w:hAnsi="仿宋" w:eastAsia="仿宋" w:cs="仿宋"/>
                <w:sz w:val="20"/>
                <w:szCs w:val="20"/>
              </w:rPr>
            </w:pPr>
          </w:p>
        </w:tc>
        <w:tc>
          <w:tcPr>
            <w:tcW w:w="963" w:type="dxa"/>
            <w:vMerge w:val="restart"/>
            <w:vAlign w:val="center"/>
          </w:tcPr>
          <w:p w14:paraId="709777EA">
            <w:pPr>
              <w:spacing w:before="0" w:after="0" w:line="264" w:lineRule="auto"/>
              <w:jc w:val="center"/>
              <w:rPr>
                <w:rFonts w:hint="eastAsia" w:ascii="仿宋" w:hAnsi="仿宋" w:eastAsia="仿宋" w:cs="仿宋"/>
                <w:sz w:val="20"/>
                <w:szCs w:val="20"/>
              </w:rPr>
            </w:pPr>
          </w:p>
        </w:tc>
        <w:tc>
          <w:tcPr>
            <w:tcW w:w="1028" w:type="dxa"/>
            <w:vMerge w:val="restart"/>
            <w:vAlign w:val="center"/>
          </w:tcPr>
          <w:p w14:paraId="0FB5139F">
            <w:pPr>
              <w:spacing w:before="0" w:after="0" w:line="264" w:lineRule="auto"/>
              <w:jc w:val="center"/>
              <w:rPr>
                <w:rFonts w:hint="eastAsia" w:ascii="仿宋" w:hAnsi="仿宋" w:eastAsia="仿宋" w:cs="仿宋"/>
                <w:sz w:val="20"/>
                <w:szCs w:val="20"/>
              </w:rPr>
            </w:pPr>
          </w:p>
        </w:tc>
      </w:tr>
      <w:tr w14:paraId="1C021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5DAC9186">
            <w:pPr>
              <w:spacing w:after="0" w:line="240" w:lineRule="auto"/>
              <w:rPr>
                <w:rFonts w:hint="eastAsia" w:ascii="仿宋" w:hAnsi="仿宋" w:eastAsia="仿宋" w:cs="仿宋"/>
                <w:sz w:val="20"/>
                <w:szCs w:val="20"/>
              </w:rPr>
            </w:pPr>
          </w:p>
        </w:tc>
        <w:tc>
          <w:tcPr>
            <w:tcW w:w="1524" w:type="dxa"/>
            <w:vMerge w:val="continue"/>
          </w:tcPr>
          <w:p w14:paraId="69057859">
            <w:pPr>
              <w:spacing w:after="0" w:line="240" w:lineRule="auto"/>
              <w:rPr>
                <w:rFonts w:hint="eastAsia" w:ascii="仿宋" w:hAnsi="仿宋" w:eastAsia="仿宋" w:cs="仿宋"/>
                <w:sz w:val="20"/>
                <w:szCs w:val="20"/>
              </w:rPr>
            </w:pPr>
          </w:p>
        </w:tc>
        <w:tc>
          <w:tcPr>
            <w:tcW w:w="5790" w:type="dxa"/>
            <w:vAlign w:val="center"/>
          </w:tcPr>
          <w:p w14:paraId="10A49B4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4.2 工时信息展示字段（一级列表）</w:t>
            </w:r>
          </w:p>
          <w:p w14:paraId="5974192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合同编号、合同名称、委托方、制造厂、监造金额、项目经理、合同签订时间、合同起始时间、合同终止日期、合同形式、工时。</w:t>
            </w:r>
          </w:p>
          <w:p w14:paraId="73E7CE8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合同形式以彩色标签展示（开口合同为蓝色标签、总价合同为绿色标签）；工时数值加粗右对齐显示。</w:t>
            </w:r>
          </w:p>
          <w:p w14:paraId="3BC725F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表格下方配置分页组件：左侧显示总记录数及每页条数选择器（支持10/20/50条/页）；中间为翻页按钮（上一页/当前页码/下一页，当前页高亮）；右侧提供前往指定页码输入框。</w:t>
            </w:r>
          </w:p>
        </w:tc>
        <w:tc>
          <w:tcPr>
            <w:tcW w:w="1381" w:type="dxa"/>
            <w:vAlign w:val="center"/>
          </w:tcPr>
          <w:p w14:paraId="334CD4C5">
            <w:pPr>
              <w:spacing w:before="0" w:after="0" w:line="264" w:lineRule="auto"/>
              <w:jc w:val="center"/>
              <w:rPr>
                <w:rFonts w:hint="eastAsia" w:ascii="仿宋" w:hAnsi="仿宋" w:eastAsia="仿宋" w:cs="仿宋"/>
                <w:sz w:val="20"/>
                <w:szCs w:val="20"/>
              </w:rPr>
            </w:pPr>
          </w:p>
        </w:tc>
        <w:tc>
          <w:tcPr>
            <w:tcW w:w="1409" w:type="dxa"/>
            <w:vAlign w:val="center"/>
          </w:tcPr>
          <w:p w14:paraId="5E934DD7">
            <w:pPr>
              <w:spacing w:before="0" w:after="0" w:line="264" w:lineRule="auto"/>
              <w:jc w:val="center"/>
              <w:rPr>
                <w:rFonts w:hint="eastAsia" w:ascii="仿宋" w:hAnsi="仿宋" w:eastAsia="仿宋" w:cs="仿宋"/>
                <w:sz w:val="20"/>
                <w:szCs w:val="20"/>
              </w:rPr>
            </w:pPr>
          </w:p>
        </w:tc>
        <w:tc>
          <w:tcPr>
            <w:tcW w:w="963" w:type="dxa"/>
            <w:vMerge w:val="continue"/>
          </w:tcPr>
          <w:p w14:paraId="40407DD6">
            <w:pPr>
              <w:spacing w:after="0" w:line="240" w:lineRule="auto"/>
              <w:rPr>
                <w:rFonts w:hint="eastAsia" w:ascii="仿宋" w:hAnsi="仿宋" w:eastAsia="仿宋" w:cs="仿宋"/>
                <w:sz w:val="20"/>
                <w:szCs w:val="20"/>
              </w:rPr>
            </w:pPr>
          </w:p>
        </w:tc>
        <w:tc>
          <w:tcPr>
            <w:tcW w:w="1028" w:type="dxa"/>
            <w:vMerge w:val="continue"/>
          </w:tcPr>
          <w:p w14:paraId="1C27565B">
            <w:pPr>
              <w:spacing w:after="0" w:line="240" w:lineRule="auto"/>
              <w:rPr>
                <w:rFonts w:hint="eastAsia" w:ascii="仿宋" w:hAnsi="仿宋" w:eastAsia="仿宋" w:cs="仿宋"/>
                <w:sz w:val="20"/>
                <w:szCs w:val="20"/>
              </w:rPr>
            </w:pPr>
          </w:p>
        </w:tc>
      </w:tr>
      <w:tr w14:paraId="37AFC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5C7D43E0">
            <w:pPr>
              <w:spacing w:after="0" w:line="240" w:lineRule="auto"/>
              <w:rPr>
                <w:rFonts w:hint="eastAsia" w:ascii="仿宋" w:hAnsi="仿宋" w:eastAsia="仿宋" w:cs="仿宋"/>
                <w:sz w:val="20"/>
                <w:szCs w:val="20"/>
              </w:rPr>
            </w:pPr>
          </w:p>
        </w:tc>
        <w:tc>
          <w:tcPr>
            <w:tcW w:w="1524" w:type="dxa"/>
            <w:vMerge w:val="continue"/>
          </w:tcPr>
          <w:p w14:paraId="405F14D0">
            <w:pPr>
              <w:spacing w:after="0" w:line="240" w:lineRule="auto"/>
              <w:rPr>
                <w:rFonts w:hint="eastAsia" w:ascii="仿宋" w:hAnsi="仿宋" w:eastAsia="仿宋" w:cs="仿宋"/>
                <w:sz w:val="20"/>
                <w:szCs w:val="20"/>
              </w:rPr>
            </w:pPr>
          </w:p>
        </w:tc>
        <w:tc>
          <w:tcPr>
            <w:tcW w:w="5790" w:type="dxa"/>
            <w:vAlign w:val="center"/>
          </w:tcPr>
          <w:p w14:paraId="041820A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4.3 查询时筛选条件</w:t>
            </w:r>
          </w:p>
          <w:p w14:paraId="6E2AEC1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筛选面板分为常规筛选和高级筛选两部分。</w:t>
            </w:r>
          </w:p>
          <w:p w14:paraId="1DBF68F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常规筛选（默认展示，共6项）：合同编号（文本模糊搜索）、合同名称（文本模糊搜索）、委托方（文本模糊搜索）、制造厂（文本模糊搜索）、项目经理（文本模糊搜索）、合同形式（下拉选择：全部/开口合同/总价合同/框架协议合同）。</w:t>
            </w:r>
          </w:p>
          <w:p w14:paraId="21B980B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高级筛选（默认折叠，点击"高级查询"按钮展开，共4项）：监造金额范围（输入最小值和最大值）、合同签订时间（日期选择器）、合同起始日期（日期选择器）、合同终止日期（日期选择器）。</w:t>
            </w:r>
          </w:p>
          <w:p w14:paraId="59CB490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筛选区域操作按钮：查询（触发关联查询刷新列表）、重置（清空所有条件恢复默认）、高级查询（展开/折叠高级筛选行）、导出（导出当前列表数据）。</w:t>
            </w:r>
          </w:p>
        </w:tc>
        <w:tc>
          <w:tcPr>
            <w:tcW w:w="1381" w:type="dxa"/>
            <w:vAlign w:val="center"/>
          </w:tcPr>
          <w:p w14:paraId="19E1FDD8">
            <w:pPr>
              <w:spacing w:before="0" w:after="0" w:line="264" w:lineRule="auto"/>
              <w:jc w:val="center"/>
              <w:rPr>
                <w:rFonts w:hint="eastAsia" w:ascii="仿宋" w:hAnsi="仿宋" w:eastAsia="仿宋" w:cs="仿宋"/>
                <w:sz w:val="20"/>
                <w:szCs w:val="20"/>
              </w:rPr>
            </w:pPr>
          </w:p>
        </w:tc>
        <w:tc>
          <w:tcPr>
            <w:tcW w:w="1409" w:type="dxa"/>
            <w:vAlign w:val="center"/>
          </w:tcPr>
          <w:p w14:paraId="4DC9C0C0">
            <w:pPr>
              <w:spacing w:before="0" w:after="0" w:line="264" w:lineRule="auto"/>
              <w:jc w:val="center"/>
              <w:rPr>
                <w:rFonts w:hint="eastAsia" w:ascii="仿宋" w:hAnsi="仿宋" w:eastAsia="仿宋" w:cs="仿宋"/>
                <w:sz w:val="20"/>
                <w:szCs w:val="20"/>
              </w:rPr>
            </w:pPr>
          </w:p>
        </w:tc>
        <w:tc>
          <w:tcPr>
            <w:tcW w:w="963" w:type="dxa"/>
            <w:vMerge w:val="continue"/>
          </w:tcPr>
          <w:p w14:paraId="6C3B1F0E">
            <w:pPr>
              <w:spacing w:after="0" w:line="240" w:lineRule="auto"/>
              <w:rPr>
                <w:rFonts w:hint="eastAsia" w:ascii="仿宋" w:hAnsi="仿宋" w:eastAsia="仿宋" w:cs="仿宋"/>
                <w:sz w:val="20"/>
                <w:szCs w:val="20"/>
              </w:rPr>
            </w:pPr>
          </w:p>
        </w:tc>
        <w:tc>
          <w:tcPr>
            <w:tcW w:w="1028" w:type="dxa"/>
            <w:vMerge w:val="continue"/>
          </w:tcPr>
          <w:p w14:paraId="12E16A6F">
            <w:pPr>
              <w:spacing w:after="0" w:line="240" w:lineRule="auto"/>
              <w:rPr>
                <w:rFonts w:hint="eastAsia" w:ascii="仿宋" w:hAnsi="仿宋" w:eastAsia="仿宋" w:cs="仿宋"/>
                <w:sz w:val="20"/>
                <w:szCs w:val="20"/>
              </w:rPr>
            </w:pPr>
          </w:p>
        </w:tc>
      </w:tr>
      <w:tr w14:paraId="2FC7B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7302049F">
            <w:pPr>
              <w:spacing w:after="0" w:line="240" w:lineRule="auto"/>
              <w:rPr>
                <w:rFonts w:hint="eastAsia" w:ascii="仿宋" w:hAnsi="仿宋" w:eastAsia="仿宋" w:cs="仿宋"/>
                <w:sz w:val="20"/>
                <w:szCs w:val="20"/>
              </w:rPr>
            </w:pPr>
          </w:p>
        </w:tc>
        <w:tc>
          <w:tcPr>
            <w:tcW w:w="1524" w:type="dxa"/>
            <w:vMerge w:val="continue"/>
          </w:tcPr>
          <w:p w14:paraId="31FAF6F1">
            <w:pPr>
              <w:spacing w:after="0" w:line="240" w:lineRule="auto"/>
              <w:rPr>
                <w:rFonts w:hint="eastAsia" w:ascii="仿宋" w:hAnsi="仿宋" w:eastAsia="仿宋" w:cs="仿宋"/>
                <w:sz w:val="20"/>
                <w:szCs w:val="20"/>
              </w:rPr>
            </w:pPr>
          </w:p>
        </w:tc>
        <w:tc>
          <w:tcPr>
            <w:tcW w:w="5790" w:type="dxa"/>
            <w:vAlign w:val="center"/>
          </w:tcPr>
          <w:p w14:paraId="118BED6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4.4 列表操作栏按钮</w:t>
            </w:r>
          </w:p>
          <w:p w14:paraId="1CD48E0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查看：点击查看按钮，打开二级派单列表页面。</w:t>
            </w:r>
          </w:p>
        </w:tc>
        <w:tc>
          <w:tcPr>
            <w:tcW w:w="1381" w:type="dxa"/>
            <w:vAlign w:val="center"/>
          </w:tcPr>
          <w:p w14:paraId="55CF6C60">
            <w:pPr>
              <w:spacing w:before="0" w:after="0" w:line="264" w:lineRule="auto"/>
              <w:jc w:val="center"/>
              <w:rPr>
                <w:rFonts w:hint="eastAsia" w:ascii="仿宋" w:hAnsi="仿宋" w:eastAsia="仿宋" w:cs="仿宋"/>
                <w:sz w:val="20"/>
                <w:szCs w:val="20"/>
              </w:rPr>
            </w:pPr>
          </w:p>
        </w:tc>
        <w:tc>
          <w:tcPr>
            <w:tcW w:w="1409" w:type="dxa"/>
            <w:vAlign w:val="center"/>
          </w:tcPr>
          <w:p w14:paraId="34E437A6">
            <w:pPr>
              <w:spacing w:before="0" w:after="0" w:line="264" w:lineRule="auto"/>
              <w:jc w:val="center"/>
              <w:rPr>
                <w:rFonts w:hint="eastAsia" w:ascii="仿宋" w:hAnsi="仿宋" w:eastAsia="仿宋" w:cs="仿宋"/>
                <w:sz w:val="20"/>
                <w:szCs w:val="20"/>
              </w:rPr>
            </w:pPr>
          </w:p>
        </w:tc>
        <w:tc>
          <w:tcPr>
            <w:tcW w:w="963" w:type="dxa"/>
            <w:vMerge w:val="continue"/>
          </w:tcPr>
          <w:p w14:paraId="39F27164">
            <w:pPr>
              <w:spacing w:after="0" w:line="240" w:lineRule="auto"/>
              <w:rPr>
                <w:rFonts w:hint="eastAsia" w:ascii="仿宋" w:hAnsi="仿宋" w:eastAsia="仿宋" w:cs="仿宋"/>
                <w:sz w:val="20"/>
                <w:szCs w:val="20"/>
              </w:rPr>
            </w:pPr>
          </w:p>
        </w:tc>
        <w:tc>
          <w:tcPr>
            <w:tcW w:w="1028" w:type="dxa"/>
            <w:vMerge w:val="continue"/>
          </w:tcPr>
          <w:p w14:paraId="5AD976FE">
            <w:pPr>
              <w:spacing w:after="0" w:line="240" w:lineRule="auto"/>
              <w:rPr>
                <w:rFonts w:hint="eastAsia" w:ascii="仿宋" w:hAnsi="仿宋" w:eastAsia="仿宋" w:cs="仿宋"/>
                <w:sz w:val="20"/>
                <w:szCs w:val="20"/>
              </w:rPr>
            </w:pPr>
          </w:p>
        </w:tc>
      </w:tr>
      <w:tr w14:paraId="5CB74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79150F56">
            <w:pPr>
              <w:spacing w:after="0" w:line="240" w:lineRule="auto"/>
              <w:rPr>
                <w:rFonts w:hint="eastAsia" w:ascii="仿宋" w:hAnsi="仿宋" w:eastAsia="仿宋" w:cs="仿宋"/>
                <w:sz w:val="20"/>
                <w:szCs w:val="20"/>
              </w:rPr>
            </w:pPr>
          </w:p>
        </w:tc>
        <w:tc>
          <w:tcPr>
            <w:tcW w:w="1524" w:type="dxa"/>
            <w:vMerge w:val="continue"/>
          </w:tcPr>
          <w:p w14:paraId="31AF359E">
            <w:pPr>
              <w:spacing w:after="0" w:line="240" w:lineRule="auto"/>
              <w:rPr>
                <w:rFonts w:hint="eastAsia" w:ascii="仿宋" w:hAnsi="仿宋" w:eastAsia="仿宋" w:cs="仿宋"/>
                <w:sz w:val="20"/>
                <w:szCs w:val="20"/>
              </w:rPr>
            </w:pPr>
          </w:p>
        </w:tc>
        <w:tc>
          <w:tcPr>
            <w:tcW w:w="5790" w:type="dxa"/>
            <w:vAlign w:val="center"/>
          </w:tcPr>
          <w:p w14:paraId="7EC02DB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4.5 二级页面：派单列表（根据选择的合同号，展示所有使用该合同号的派单）</w:t>
            </w:r>
          </w:p>
          <w:p w14:paraId="0F8E297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合同摘要卡片区域：弹窗顶部横向排列4张渐变色卡片，分别显示：合同编号（蓝色卡片）、合同名称（绿色卡片）、派单数量（橙色卡片）、累计工时天数（紫色卡片）。卡片内容根据当前选中合同动态填充。</w:t>
            </w:r>
          </w:p>
          <w:p w14:paraId="52B0C12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统计汇总区域：合同摘要下方横向排列4个统计项，分别显示：驻厂派单数量、巡检派单数量、即将超期派单数量、涉及辅助人员总人数。</w:t>
            </w:r>
          </w:p>
          <w:p w14:paraId="471E638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查询时筛选条件：筛选条件面板标题说明文本框支持多值复合查询（用顿号或逗号分隔可同时匹配多个值）。共13个筛选项：派单编号（多值文本）、监造形式（下拉：全部/驻厂/巡检）、辅助人员（多值文本）、区域经理（多值文本）、制造厂（多值文本）、总监代表（多值文本）、派单状态（下拉：全部/进行中/已完成/待派遣/异常超期）、计划开始时间范围、计划结束时间范围、发起时间范围、监造结束时间范围、剩余时间天数范围（数值区间）、工时区间天数（数值区间）。</w:t>
            </w:r>
          </w:p>
          <w:p w14:paraId="7CBD6DB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筛选区域按钮：查询（关联查询）、重置。</w:t>
            </w:r>
          </w:p>
          <w:p w14:paraId="38C814A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展示字段：派单编号、监造形式（驻厂/巡检彩色标签）、辅助人员（多个，每个姓名为可点击蓝色链接，多人换行显示）、区域经理、制造厂、总监代表、计划开始时间、计划结束时间（超期时以红色加粗文字并附⚠️图标显示）、发起时间、派单状态（彩色状态标签）、监造结束时间、剩余时间（即将超期时以橙色加粗文字显示）、工时。</w:t>
            </w:r>
          </w:p>
          <w:p w14:paraId="4E9C4CA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表格底部合计行：表格末尾设有合计行，显示本页所有派单的工时汇总数。</w:t>
            </w:r>
          </w:p>
          <w:p w14:paraId="15CD6E3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功能：提供三种导出方式：导出汇总+明细（Excel，Sheet1为派单列表汇总，Sheet2为各派单辅助人员工时明细）、导出人员工时明细（Excel，按人员维度展开每人一行，含派单编号、姓名、每日打卡、工时小计）、导出列表数据（CSV，仅当前列表信息，适合二次加工）。</w:t>
            </w:r>
          </w:p>
          <w:p w14:paraId="32DFB9D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进入三级页面方式：直接点击辅助人员列中某人员的姓名链接，即可穿透进入该人员的打卡记录与日历详情弹窗，无独立操作列查看按钮。</w:t>
            </w:r>
          </w:p>
        </w:tc>
        <w:tc>
          <w:tcPr>
            <w:tcW w:w="1381" w:type="dxa"/>
            <w:vAlign w:val="center"/>
          </w:tcPr>
          <w:p w14:paraId="1EAE0523">
            <w:pPr>
              <w:spacing w:before="0" w:after="0" w:line="264" w:lineRule="auto"/>
              <w:jc w:val="center"/>
              <w:rPr>
                <w:rFonts w:hint="eastAsia" w:ascii="仿宋" w:hAnsi="仿宋" w:eastAsia="仿宋" w:cs="仿宋"/>
                <w:sz w:val="20"/>
                <w:szCs w:val="20"/>
              </w:rPr>
            </w:pPr>
          </w:p>
        </w:tc>
        <w:tc>
          <w:tcPr>
            <w:tcW w:w="1409" w:type="dxa"/>
            <w:vAlign w:val="center"/>
          </w:tcPr>
          <w:p w14:paraId="05E9296E">
            <w:pPr>
              <w:spacing w:before="0" w:after="0" w:line="264" w:lineRule="auto"/>
              <w:jc w:val="center"/>
              <w:rPr>
                <w:rFonts w:hint="eastAsia" w:ascii="仿宋" w:hAnsi="仿宋" w:eastAsia="仿宋" w:cs="仿宋"/>
                <w:sz w:val="20"/>
                <w:szCs w:val="20"/>
              </w:rPr>
            </w:pPr>
          </w:p>
        </w:tc>
        <w:tc>
          <w:tcPr>
            <w:tcW w:w="963" w:type="dxa"/>
            <w:vMerge w:val="continue"/>
          </w:tcPr>
          <w:p w14:paraId="65C6069F">
            <w:pPr>
              <w:spacing w:after="0" w:line="240" w:lineRule="auto"/>
              <w:rPr>
                <w:rFonts w:hint="eastAsia" w:ascii="仿宋" w:hAnsi="仿宋" w:eastAsia="仿宋" w:cs="仿宋"/>
                <w:sz w:val="20"/>
                <w:szCs w:val="20"/>
              </w:rPr>
            </w:pPr>
          </w:p>
        </w:tc>
        <w:tc>
          <w:tcPr>
            <w:tcW w:w="1028" w:type="dxa"/>
            <w:vMerge w:val="continue"/>
          </w:tcPr>
          <w:p w14:paraId="7A5414D2">
            <w:pPr>
              <w:spacing w:after="0" w:line="240" w:lineRule="auto"/>
              <w:rPr>
                <w:rFonts w:hint="eastAsia" w:ascii="仿宋" w:hAnsi="仿宋" w:eastAsia="仿宋" w:cs="仿宋"/>
                <w:sz w:val="20"/>
                <w:szCs w:val="20"/>
              </w:rPr>
            </w:pPr>
          </w:p>
        </w:tc>
      </w:tr>
      <w:tr w14:paraId="4F366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321AB96A">
            <w:pPr>
              <w:spacing w:after="0" w:line="240" w:lineRule="auto"/>
              <w:rPr>
                <w:rFonts w:hint="eastAsia" w:ascii="仿宋" w:hAnsi="仿宋" w:eastAsia="仿宋" w:cs="仿宋"/>
                <w:sz w:val="20"/>
                <w:szCs w:val="20"/>
              </w:rPr>
            </w:pPr>
          </w:p>
        </w:tc>
        <w:tc>
          <w:tcPr>
            <w:tcW w:w="1524" w:type="dxa"/>
            <w:vMerge w:val="continue"/>
          </w:tcPr>
          <w:p w14:paraId="078334FC">
            <w:pPr>
              <w:spacing w:after="0" w:line="240" w:lineRule="auto"/>
              <w:rPr>
                <w:rFonts w:hint="eastAsia" w:ascii="仿宋" w:hAnsi="仿宋" w:eastAsia="仿宋" w:cs="仿宋"/>
                <w:sz w:val="20"/>
                <w:szCs w:val="20"/>
              </w:rPr>
            </w:pPr>
          </w:p>
        </w:tc>
        <w:tc>
          <w:tcPr>
            <w:tcW w:w="5790" w:type="dxa"/>
            <w:vAlign w:val="center"/>
          </w:tcPr>
          <w:p w14:paraId="72A49C8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4.6 三级页面：辅助人员工时记录</w:t>
            </w:r>
          </w:p>
          <w:p w14:paraId="333DF55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在二级派单列表中点击某辅助人员姓名后，弹出该人员的打卡记录与日历弹窗。</w:t>
            </w:r>
          </w:p>
          <w:p w14:paraId="7D1FBCF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人员信息摘要区域：弹窗顶部展示人员基本信息摘要卡片，包含：姓名、所属派单、本月出勤天数、本月休息天数、异常记录天数。其中出勤、休息、异常三张卡片支持点击操作，点击后自动筛选下方打卡列表中对应类型的记录。</w:t>
            </w:r>
          </w:p>
          <w:p w14:paraId="20A8C2A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筛选条件区域：提供日期范围（开始日期和结束日期两个日期选择器）、打卡类型（下拉选择：全部/监理打卡/出勤打卡/外勤打卡/休息/请假/未打卡）两个筛选条件。操作按钮：查询、重置。</w:t>
            </w:r>
          </w:p>
          <w:p w14:paraId="2F3CD19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主体内容区域：采用左右双列布局。</w:t>
            </w:r>
          </w:p>
          <w:p w14:paraId="038868E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左侧为打卡记录明细列表，展示字段包含：日期、上班时间、下班时间、打卡类型、状态、工时。点击列表中任意一行，在列表下方展开该条记录的详细信息，详情内容根据打卡类型不同而不同：监理打卡显示打卡地址、关联派单信息；外勤打卡显示外勤申请单信息；请假显示请假申请单信息；未打卡显示异常提示信息；休息显示休息说明。</w:t>
            </w:r>
          </w:p>
          <w:p w14:paraId="2527941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右侧为工时日历，以月为单位展示该人员的工作日分布。有工作的日期着色显示（单派单为浅蓝色，多派单为深蓝色，颜色随派单数量增加而加深），休息日无背景色。鼠标悬停日期时弹出提示，显示当天所有关联派单编号。点击日历中有工作的日期后，在日历下方展开派单信息区域，列出该日关联的所有派单编号；点击派单编号后，关闭当前弹窗并返回至对应派单的二级页面查看派单详情。</w:t>
            </w:r>
          </w:p>
          <w:p w14:paraId="00B1295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返回操作：弹窗内提供"返回派单列表"按钮，点击后关闭当前弹窗，系统自动重新打开原合同的二级派单列表弹窗，用户可继续查看同一合同下的其他派单或人员信息，无需从一级页面重新进入。</w:t>
            </w:r>
          </w:p>
          <w:p w14:paraId="136645E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工时手动调整弹窗（已确认）：提供工时调整入口，弹窗中可看到该人员在多个派单下的工时情况（成本维度和产值维度均显示），在总工时不变的前提下，手动调整各个派单分配的工时数，以便后续精确计算各派单成本和产值。</w:t>
            </w:r>
          </w:p>
        </w:tc>
        <w:tc>
          <w:tcPr>
            <w:tcW w:w="1381" w:type="dxa"/>
            <w:vAlign w:val="center"/>
          </w:tcPr>
          <w:p w14:paraId="60E63245">
            <w:pPr>
              <w:spacing w:before="0" w:after="0" w:line="264" w:lineRule="auto"/>
              <w:jc w:val="center"/>
              <w:rPr>
                <w:rFonts w:hint="eastAsia" w:ascii="仿宋" w:hAnsi="仿宋" w:eastAsia="仿宋" w:cs="仿宋"/>
                <w:sz w:val="20"/>
                <w:szCs w:val="20"/>
              </w:rPr>
            </w:pPr>
          </w:p>
        </w:tc>
        <w:tc>
          <w:tcPr>
            <w:tcW w:w="1409" w:type="dxa"/>
            <w:vAlign w:val="center"/>
          </w:tcPr>
          <w:p w14:paraId="193544D2">
            <w:pPr>
              <w:spacing w:before="0" w:after="0" w:line="264" w:lineRule="auto"/>
              <w:jc w:val="center"/>
              <w:rPr>
                <w:rFonts w:hint="eastAsia" w:ascii="仿宋" w:hAnsi="仿宋" w:eastAsia="仿宋" w:cs="仿宋"/>
                <w:sz w:val="20"/>
                <w:szCs w:val="20"/>
              </w:rPr>
            </w:pPr>
          </w:p>
        </w:tc>
        <w:tc>
          <w:tcPr>
            <w:tcW w:w="963" w:type="dxa"/>
            <w:vMerge w:val="continue"/>
          </w:tcPr>
          <w:p w14:paraId="2D9325C9">
            <w:pPr>
              <w:spacing w:after="0" w:line="240" w:lineRule="auto"/>
              <w:rPr>
                <w:rFonts w:hint="eastAsia" w:ascii="仿宋" w:hAnsi="仿宋" w:eastAsia="仿宋" w:cs="仿宋"/>
                <w:sz w:val="20"/>
                <w:szCs w:val="20"/>
              </w:rPr>
            </w:pPr>
          </w:p>
        </w:tc>
        <w:tc>
          <w:tcPr>
            <w:tcW w:w="1028" w:type="dxa"/>
            <w:vMerge w:val="continue"/>
          </w:tcPr>
          <w:p w14:paraId="05FED6F4">
            <w:pPr>
              <w:spacing w:after="0" w:line="240" w:lineRule="auto"/>
              <w:rPr>
                <w:rFonts w:hint="eastAsia" w:ascii="仿宋" w:hAnsi="仿宋" w:eastAsia="仿宋" w:cs="仿宋"/>
                <w:sz w:val="20"/>
                <w:szCs w:val="20"/>
              </w:rPr>
            </w:pPr>
          </w:p>
        </w:tc>
      </w:tr>
      <w:tr w14:paraId="74758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49EA7F31">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6</w:t>
            </w:r>
          </w:p>
        </w:tc>
        <w:tc>
          <w:tcPr>
            <w:tcW w:w="1524" w:type="dxa"/>
            <w:vMerge w:val="restart"/>
            <w:vAlign w:val="center"/>
          </w:tcPr>
          <w:p w14:paraId="7C9DC480">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5.监理人员动态</w:t>
            </w:r>
          </w:p>
        </w:tc>
        <w:tc>
          <w:tcPr>
            <w:tcW w:w="5790" w:type="dxa"/>
            <w:vAlign w:val="center"/>
          </w:tcPr>
          <w:p w14:paraId="2D6E2C2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5.1 支持角色</w:t>
            </w:r>
          </w:p>
          <w:p w14:paraId="12BAFBE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项目总监：查看当前用户监管项目下辅助人员信息</w:t>
            </w:r>
          </w:p>
          <w:p w14:paraId="03907AB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项目经理：查看当前用户有权限的合同号(CI编号)相关的辅助人员信息</w:t>
            </w:r>
          </w:p>
          <w:p w14:paraId="11CBCE9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总监代表：查看当前用户监管的派单的辅助人员信息</w:t>
            </w:r>
          </w:p>
          <w:p w14:paraId="6606063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领导层、管理员：查看所有辅助人员信息</w:t>
            </w:r>
          </w:p>
          <w:p w14:paraId="37C6E2A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以上角色为系统初始化默认配置，不代表固定不可变更，可在权限管理中进行角色配置调整。</w:t>
            </w:r>
          </w:p>
        </w:tc>
        <w:tc>
          <w:tcPr>
            <w:tcW w:w="1381" w:type="dxa"/>
            <w:vAlign w:val="center"/>
          </w:tcPr>
          <w:p w14:paraId="3D5B744A">
            <w:pPr>
              <w:spacing w:before="0" w:after="0" w:line="264" w:lineRule="auto"/>
              <w:jc w:val="center"/>
              <w:rPr>
                <w:rFonts w:hint="eastAsia" w:ascii="仿宋" w:hAnsi="仿宋" w:eastAsia="仿宋" w:cs="仿宋"/>
                <w:sz w:val="20"/>
                <w:szCs w:val="20"/>
              </w:rPr>
            </w:pPr>
          </w:p>
        </w:tc>
        <w:tc>
          <w:tcPr>
            <w:tcW w:w="1409" w:type="dxa"/>
            <w:vAlign w:val="center"/>
          </w:tcPr>
          <w:p w14:paraId="52563B3C">
            <w:pPr>
              <w:spacing w:before="0" w:after="0" w:line="264" w:lineRule="auto"/>
              <w:jc w:val="center"/>
              <w:rPr>
                <w:rFonts w:hint="eastAsia" w:ascii="仿宋" w:hAnsi="仿宋" w:eastAsia="仿宋" w:cs="仿宋"/>
                <w:sz w:val="20"/>
                <w:szCs w:val="20"/>
              </w:rPr>
            </w:pPr>
          </w:p>
        </w:tc>
        <w:tc>
          <w:tcPr>
            <w:tcW w:w="963" w:type="dxa"/>
            <w:vMerge w:val="restart"/>
            <w:vAlign w:val="center"/>
          </w:tcPr>
          <w:p w14:paraId="3315B966">
            <w:pPr>
              <w:spacing w:before="0" w:after="0" w:line="264" w:lineRule="auto"/>
              <w:jc w:val="center"/>
              <w:rPr>
                <w:rFonts w:hint="eastAsia" w:ascii="仿宋" w:hAnsi="仿宋" w:eastAsia="仿宋" w:cs="仿宋"/>
                <w:sz w:val="20"/>
                <w:szCs w:val="20"/>
              </w:rPr>
            </w:pPr>
          </w:p>
        </w:tc>
        <w:tc>
          <w:tcPr>
            <w:tcW w:w="1028" w:type="dxa"/>
            <w:vMerge w:val="restart"/>
            <w:vAlign w:val="center"/>
          </w:tcPr>
          <w:p w14:paraId="32D90875">
            <w:pPr>
              <w:spacing w:before="0" w:after="0" w:line="264" w:lineRule="auto"/>
              <w:jc w:val="center"/>
              <w:rPr>
                <w:rFonts w:hint="eastAsia" w:ascii="仿宋" w:hAnsi="仿宋" w:eastAsia="仿宋" w:cs="仿宋"/>
                <w:sz w:val="20"/>
                <w:szCs w:val="20"/>
              </w:rPr>
            </w:pPr>
          </w:p>
        </w:tc>
      </w:tr>
      <w:tr w14:paraId="4D51C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20EBA6CA">
            <w:pPr>
              <w:spacing w:after="0" w:line="240" w:lineRule="auto"/>
              <w:rPr>
                <w:rFonts w:hint="eastAsia" w:ascii="仿宋" w:hAnsi="仿宋" w:eastAsia="仿宋" w:cs="仿宋"/>
                <w:sz w:val="20"/>
                <w:szCs w:val="20"/>
              </w:rPr>
            </w:pPr>
          </w:p>
        </w:tc>
        <w:tc>
          <w:tcPr>
            <w:tcW w:w="1524" w:type="dxa"/>
            <w:vMerge w:val="continue"/>
          </w:tcPr>
          <w:p w14:paraId="55B43D26">
            <w:pPr>
              <w:spacing w:after="0" w:line="240" w:lineRule="auto"/>
              <w:rPr>
                <w:rFonts w:hint="eastAsia" w:ascii="仿宋" w:hAnsi="仿宋" w:eastAsia="仿宋" w:cs="仿宋"/>
                <w:sz w:val="20"/>
                <w:szCs w:val="20"/>
              </w:rPr>
            </w:pPr>
          </w:p>
        </w:tc>
        <w:tc>
          <w:tcPr>
            <w:tcW w:w="5790" w:type="dxa"/>
            <w:vAlign w:val="center"/>
          </w:tcPr>
          <w:p w14:paraId="674C65E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5.2 监理人员动态信息展示字段</w:t>
            </w:r>
          </w:p>
          <w:p w14:paraId="4C96212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姓名、性别、民族、政治面貌、文化程度、身份证、出生年月、年龄、入职日期、毕业院校、专业、职称、监理师证书。</w:t>
            </w:r>
          </w:p>
        </w:tc>
        <w:tc>
          <w:tcPr>
            <w:tcW w:w="1381" w:type="dxa"/>
            <w:vAlign w:val="center"/>
          </w:tcPr>
          <w:p w14:paraId="3250D088">
            <w:pPr>
              <w:spacing w:before="0" w:after="0" w:line="264" w:lineRule="auto"/>
              <w:jc w:val="center"/>
              <w:rPr>
                <w:rFonts w:hint="eastAsia" w:ascii="仿宋" w:hAnsi="仿宋" w:eastAsia="仿宋" w:cs="仿宋"/>
                <w:sz w:val="20"/>
                <w:szCs w:val="20"/>
              </w:rPr>
            </w:pPr>
          </w:p>
        </w:tc>
        <w:tc>
          <w:tcPr>
            <w:tcW w:w="1409" w:type="dxa"/>
            <w:vAlign w:val="center"/>
          </w:tcPr>
          <w:p w14:paraId="6AF6DD57">
            <w:pPr>
              <w:spacing w:before="0" w:after="0" w:line="264" w:lineRule="auto"/>
              <w:jc w:val="center"/>
              <w:rPr>
                <w:rFonts w:hint="eastAsia" w:ascii="仿宋" w:hAnsi="仿宋" w:eastAsia="仿宋" w:cs="仿宋"/>
                <w:sz w:val="20"/>
                <w:szCs w:val="20"/>
              </w:rPr>
            </w:pPr>
          </w:p>
        </w:tc>
        <w:tc>
          <w:tcPr>
            <w:tcW w:w="963" w:type="dxa"/>
            <w:vMerge w:val="continue"/>
          </w:tcPr>
          <w:p w14:paraId="525617DF">
            <w:pPr>
              <w:spacing w:after="0" w:line="240" w:lineRule="auto"/>
              <w:rPr>
                <w:rFonts w:hint="eastAsia" w:ascii="仿宋" w:hAnsi="仿宋" w:eastAsia="仿宋" w:cs="仿宋"/>
                <w:sz w:val="20"/>
                <w:szCs w:val="20"/>
              </w:rPr>
            </w:pPr>
          </w:p>
        </w:tc>
        <w:tc>
          <w:tcPr>
            <w:tcW w:w="1028" w:type="dxa"/>
            <w:vMerge w:val="continue"/>
          </w:tcPr>
          <w:p w14:paraId="7F81349D">
            <w:pPr>
              <w:spacing w:after="0" w:line="240" w:lineRule="auto"/>
              <w:rPr>
                <w:rFonts w:hint="eastAsia" w:ascii="仿宋" w:hAnsi="仿宋" w:eastAsia="仿宋" w:cs="仿宋"/>
                <w:sz w:val="20"/>
                <w:szCs w:val="20"/>
              </w:rPr>
            </w:pPr>
          </w:p>
        </w:tc>
      </w:tr>
      <w:tr w14:paraId="65F68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35071AD7">
            <w:pPr>
              <w:spacing w:after="0" w:line="240" w:lineRule="auto"/>
              <w:rPr>
                <w:rFonts w:hint="eastAsia" w:ascii="仿宋" w:hAnsi="仿宋" w:eastAsia="仿宋" w:cs="仿宋"/>
                <w:sz w:val="20"/>
                <w:szCs w:val="20"/>
              </w:rPr>
            </w:pPr>
          </w:p>
        </w:tc>
        <w:tc>
          <w:tcPr>
            <w:tcW w:w="1524" w:type="dxa"/>
            <w:vMerge w:val="continue"/>
          </w:tcPr>
          <w:p w14:paraId="493D0EE9">
            <w:pPr>
              <w:spacing w:after="0" w:line="240" w:lineRule="auto"/>
              <w:rPr>
                <w:rFonts w:hint="eastAsia" w:ascii="仿宋" w:hAnsi="仿宋" w:eastAsia="仿宋" w:cs="仿宋"/>
                <w:sz w:val="20"/>
                <w:szCs w:val="20"/>
              </w:rPr>
            </w:pPr>
          </w:p>
        </w:tc>
        <w:tc>
          <w:tcPr>
            <w:tcW w:w="5790" w:type="dxa"/>
            <w:vAlign w:val="center"/>
          </w:tcPr>
          <w:p w14:paraId="6F650DF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5.3 查询时筛选条件</w:t>
            </w:r>
          </w:p>
          <w:p w14:paraId="4648F34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页面标题栏右侧提供角色选择下拉框，标签显示"当前角色："，下拉选项包含全部支持角色（默认选中"项目经理"）。用户切换角色后，页面动态刷新，仅显示该角色权限范围内的人员信息。</w:t>
            </w:r>
          </w:p>
          <w:p w14:paraId="4973C40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筛选面板中，筛选条件分三行排列：</w:t>
            </w:r>
          </w:p>
          <w:p w14:paraId="6B079C0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第一行：姓名（文本输入框）、性别（下拉选择：全部/男/女）、民族（文本输入框）、政治面貌（下拉选择：全部/党员/团员/群众）、文化程度（下拉选择：全部/本科/硕士/博士/大专）、职称（文本输入框）。</w:t>
            </w:r>
          </w:p>
          <w:p w14:paraId="18A950B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第二行：出生年月(起)（月份选择器）、出生年月(止)（月份选择器）、年龄(最小)（数字输入框）、年龄(最大)（数字输入框）、入职日期(起)（日期选择器）、入职日期(止)（日期选择器）。</w:t>
            </w:r>
          </w:p>
          <w:p w14:paraId="2020B79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第三行：毕业院校（文本输入框）、专业（文本输入框）、监理师证书（文本输入框）。</w:t>
            </w:r>
          </w:p>
          <w:p w14:paraId="3E371C4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其中"出生年月"、"年龄"、"入职日期"三个字段支持范围查询，用户可分别输入起始值与结束值（或最小值与最大值），系统筛选出在该范围内的人员记录。例如可查询"年龄在30-40岁之间"或"入职日期在2018年1月至2020年12月之间"的人员。</w:t>
            </w:r>
          </w:p>
          <w:p w14:paraId="5FF1D4C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区域按钮：查询、重置、导出。点击导出按钮后，系统将当前筛选条件下的人员信息列表导出为Excel文件，导出字段包含：序号、姓名、性别、民族、政治面貌、文化程度、身份证号、出生年月、年龄、入职日期、毕业院校、专业、职称、监理师证书。</w:t>
            </w:r>
          </w:p>
        </w:tc>
        <w:tc>
          <w:tcPr>
            <w:tcW w:w="1381" w:type="dxa"/>
            <w:vAlign w:val="center"/>
          </w:tcPr>
          <w:p w14:paraId="5FB61CA9">
            <w:pPr>
              <w:spacing w:before="0" w:after="0" w:line="264" w:lineRule="auto"/>
              <w:jc w:val="center"/>
              <w:rPr>
                <w:rFonts w:hint="eastAsia" w:ascii="仿宋" w:hAnsi="仿宋" w:eastAsia="仿宋" w:cs="仿宋"/>
                <w:sz w:val="20"/>
                <w:szCs w:val="20"/>
              </w:rPr>
            </w:pPr>
          </w:p>
        </w:tc>
        <w:tc>
          <w:tcPr>
            <w:tcW w:w="1409" w:type="dxa"/>
            <w:vAlign w:val="center"/>
          </w:tcPr>
          <w:p w14:paraId="17F48A07">
            <w:pPr>
              <w:spacing w:before="0" w:after="0" w:line="264" w:lineRule="auto"/>
              <w:jc w:val="center"/>
              <w:rPr>
                <w:rFonts w:hint="eastAsia" w:ascii="仿宋" w:hAnsi="仿宋" w:eastAsia="仿宋" w:cs="仿宋"/>
                <w:sz w:val="20"/>
                <w:szCs w:val="20"/>
              </w:rPr>
            </w:pPr>
          </w:p>
        </w:tc>
        <w:tc>
          <w:tcPr>
            <w:tcW w:w="963" w:type="dxa"/>
            <w:vMerge w:val="continue"/>
          </w:tcPr>
          <w:p w14:paraId="7E64DE3A">
            <w:pPr>
              <w:spacing w:after="0" w:line="240" w:lineRule="auto"/>
              <w:rPr>
                <w:rFonts w:hint="eastAsia" w:ascii="仿宋" w:hAnsi="仿宋" w:eastAsia="仿宋" w:cs="仿宋"/>
                <w:sz w:val="20"/>
                <w:szCs w:val="20"/>
              </w:rPr>
            </w:pPr>
          </w:p>
        </w:tc>
        <w:tc>
          <w:tcPr>
            <w:tcW w:w="1028" w:type="dxa"/>
            <w:vMerge w:val="continue"/>
          </w:tcPr>
          <w:p w14:paraId="4CA6D0DE">
            <w:pPr>
              <w:spacing w:after="0" w:line="240" w:lineRule="auto"/>
              <w:rPr>
                <w:rFonts w:hint="eastAsia" w:ascii="仿宋" w:hAnsi="仿宋" w:eastAsia="仿宋" w:cs="仿宋"/>
                <w:sz w:val="20"/>
                <w:szCs w:val="20"/>
              </w:rPr>
            </w:pPr>
          </w:p>
        </w:tc>
      </w:tr>
      <w:tr w14:paraId="690A3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58E7BFB9">
            <w:pPr>
              <w:spacing w:after="0" w:line="240" w:lineRule="auto"/>
              <w:rPr>
                <w:rFonts w:hint="eastAsia" w:ascii="仿宋" w:hAnsi="仿宋" w:eastAsia="仿宋" w:cs="仿宋"/>
                <w:sz w:val="20"/>
                <w:szCs w:val="20"/>
              </w:rPr>
            </w:pPr>
          </w:p>
        </w:tc>
        <w:tc>
          <w:tcPr>
            <w:tcW w:w="1524" w:type="dxa"/>
            <w:vMerge w:val="continue"/>
          </w:tcPr>
          <w:p w14:paraId="478D6ED0">
            <w:pPr>
              <w:spacing w:after="0" w:line="240" w:lineRule="auto"/>
              <w:rPr>
                <w:rFonts w:hint="eastAsia" w:ascii="仿宋" w:hAnsi="仿宋" w:eastAsia="仿宋" w:cs="仿宋"/>
                <w:sz w:val="20"/>
                <w:szCs w:val="20"/>
              </w:rPr>
            </w:pPr>
          </w:p>
        </w:tc>
        <w:tc>
          <w:tcPr>
            <w:tcW w:w="5790" w:type="dxa"/>
            <w:vAlign w:val="center"/>
          </w:tcPr>
          <w:p w14:paraId="36DE4C0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5.4 操作栏按钮</w:t>
            </w:r>
          </w:p>
          <w:p w14:paraId="5737D8E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查看派单按钮：点击可进入二级派单列表页面，以人为维度汇总当前所选人员名下的所有派单信息。弹窗标题格式为"派单汇总 - [人员姓名]"，例如"派单汇总 - 张三"。按钮文字"查看派单"明确传达了点击后的操作内容，让用户清楚知道点击后会看到该人员的派单信息。</w:t>
            </w:r>
          </w:p>
        </w:tc>
        <w:tc>
          <w:tcPr>
            <w:tcW w:w="1381" w:type="dxa"/>
            <w:vAlign w:val="center"/>
          </w:tcPr>
          <w:p w14:paraId="1F3DBEAA">
            <w:pPr>
              <w:spacing w:before="0" w:after="0" w:line="264" w:lineRule="auto"/>
              <w:jc w:val="center"/>
              <w:rPr>
                <w:rFonts w:hint="eastAsia" w:ascii="仿宋" w:hAnsi="仿宋" w:eastAsia="仿宋" w:cs="仿宋"/>
                <w:sz w:val="20"/>
                <w:szCs w:val="20"/>
              </w:rPr>
            </w:pPr>
          </w:p>
        </w:tc>
        <w:tc>
          <w:tcPr>
            <w:tcW w:w="1409" w:type="dxa"/>
            <w:vAlign w:val="center"/>
          </w:tcPr>
          <w:p w14:paraId="739E0AC5">
            <w:pPr>
              <w:spacing w:before="0" w:after="0" w:line="264" w:lineRule="auto"/>
              <w:jc w:val="center"/>
              <w:rPr>
                <w:rFonts w:hint="eastAsia" w:ascii="仿宋" w:hAnsi="仿宋" w:eastAsia="仿宋" w:cs="仿宋"/>
                <w:sz w:val="20"/>
                <w:szCs w:val="20"/>
              </w:rPr>
            </w:pPr>
          </w:p>
        </w:tc>
        <w:tc>
          <w:tcPr>
            <w:tcW w:w="963" w:type="dxa"/>
            <w:vMerge w:val="continue"/>
          </w:tcPr>
          <w:p w14:paraId="1C54B7C4">
            <w:pPr>
              <w:spacing w:after="0" w:line="240" w:lineRule="auto"/>
              <w:rPr>
                <w:rFonts w:hint="eastAsia" w:ascii="仿宋" w:hAnsi="仿宋" w:eastAsia="仿宋" w:cs="仿宋"/>
                <w:sz w:val="20"/>
                <w:szCs w:val="20"/>
              </w:rPr>
            </w:pPr>
          </w:p>
        </w:tc>
        <w:tc>
          <w:tcPr>
            <w:tcW w:w="1028" w:type="dxa"/>
            <w:vMerge w:val="continue"/>
          </w:tcPr>
          <w:p w14:paraId="0B250819">
            <w:pPr>
              <w:spacing w:after="0" w:line="240" w:lineRule="auto"/>
              <w:rPr>
                <w:rFonts w:hint="eastAsia" w:ascii="仿宋" w:hAnsi="仿宋" w:eastAsia="仿宋" w:cs="仿宋"/>
                <w:sz w:val="20"/>
                <w:szCs w:val="20"/>
              </w:rPr>
            </w:pPr>
          </w:p>
        </w:tc>
      </w:tr>
      <w:tr w14:paraId="5E793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06A8E6A7">
            <w:pPr>
              <w:spacing w:after="0" w:line="240" w:lineRule="auto"/>
              <w:rPr>
                <w:rFonts w:hint="eastAsia" w:ascii="仿宋" w:hAnsi="仿宋" w:eastAsia="仿宋" w:cs="仿宋"/>
                <w:sz w:val="20"/>
                <w:szCs w:val="20"/>
              </w:rPr>
            </w:pPr>
          </w:p>
        </w:tc>
        <w:tc>
          <w:tcPr>
            <w:tcW w:w="1524" w:type="dxa"/>
            <w:vMerge w:val="continue"/>
          </w:tcPr>
          <w:p w14:paraId="350A6F60">
            <w:pPr>
              <w:spacing w:after="0" w:line="240" w:lineRule="auto"/>
              <w:rPr>
                <w:rFonts w:hint="eastAsia" w:ascii="仿宋" w:hAnsi="仿宋" w:eastAsia="仿宋" w:cs="仿宋"/>
                <w:sz w:val="20"/>
                <w:szCs w:val="20"/>
              </w:rPr>
            </w:pPr>
          </w:p>
        </w:tc>
        <w:tc>
          <w:tcPr>
            <w:tcW w:w="5790" w:type="dxa"/>
            <w:vAlign w:val="center"/>
          </w:tcPr>
          <w:p w14:paraId="7FAF526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5.5 二级页面（以人员为维度的派单列表）</w:t>
            </w:r>
          </w:p>
          <w:p w14:paraId="183EADD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用户在一级页面点击某个人员的"查看派单"按钮后，系统打开一个宽屏弹窗，标题显示为"派单汇总 - [人员姓名]"。</w:t>
            </w:r>
          </w:p>
          <w:p w14:paraId="507ACF6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信息字段展示：派单编号、监造形式、辅助人员、制造厂、总监代表、计划开始时间、计划结束时间、发起时间、派单状态、监造结束时间、剩余时间、工时。</w:t>
            </w:r>
          </w:p>
          <w:p w14:paraId="66B9416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筛选条件：筛选区域提供18个筛选条件，分三行排列：</w:t>
            </w:r>
          </w:p>
          <w:p w14:paraId="4B46EA8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第一行（基础筛选）：派单编号（文本输入框）、监造形式（下拉选择：全部/驻厂/巡检）、辅助人员（文本输入框）、制造厂（文本输入框）、总监代表（文本输入框）、派单状态（下拉选择：全部/进行中/已完成/待派遣）。</w:t>
            </w:r>
          </w:p>
          <w:p w14:paraId="5C3F239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第二行（时间范围筛选）：计划开始(起)（日期选择器）、计划开始(止)（日期选择器）、计划结束(起)（日期选择器）、计划结束(止)（日期选择器）、发起时间(起)（日期选择器）、发起时间(止)（日期选择器）。</w:t>
            </w:r>
          </w:p>
          <w:p w14:paraId="42B360F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第三行（扩展范围筛选）：监造结束(起)（日期选择器）、监造结束(止)（日期选择器）、剩余天数(最小)（数字输入框，单位：天）、剩余天数(最大)（数字输入框，单位：天）、工时(最小)（数字输入框，单位：天）、工时(最大)（数字输入框，单位：天）。</w:t>
            </w:r>
          </w:p>
          <w:p w14:paraId="34BB8FE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按钮：查询、重置、导出。点击导出按钮后，系统将当前筛选结果的派单列表导出为Excel文件，导出字段包含：派单编号、监造形式、辅助人员、制造厂、总监代表、计划开始、计划结束、发起时间、派单状态、监造结束、剩余时间、工时。</w:t>
            </w:r>
          </w:p>
          <w:p w14:paraId="319A53D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同时保留区域经理筛选字段。</w:t>
            </w:r>
          </w:p>
          <w:p w14:paraId="6D7AFB3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表格栏操作按钮：查看按钮，点击后打开三级弹窗。</w:t>
            </w:r>
          </w:p>
        </w:tc>
        <w:tc>
          <w:tcPr>
            <w:tcW w:w="1381" w:type="dxa"/>
            <w:vAlign w:val="center"/>
          </w:tcPr>
          <w:p w14:paraId="44420682">
            <w:pPr>
              <w:spacing w:before="0" w:after="0" w:line="264" w:lineRule="auto"/>
              <w:jc w:val="center"/>
              <w:rPr>
                <w:rFonts w:hint="eastAsia" w:ascii="仿宋" w:hAnsi="仿宋" w:eastAsia="仿宋" w:cs="仿宋"/>
                <w:sz w:val="20"/>
                <w:szCs w:val="20"/>
              </w:rPr>
            </w:pPr>
          </w:p>
        </w:tc>
        <w:tc>
          <w:tcPr>
            <w:tcW w:w="1409" w:type="dxa"/>
            <w:vAlign w:val="center"/>
          </w:tcPr>
          <w:p w14:paraId="4F5B7D54">
            <w:pPr>
              <w:spacing w:before="0" w:after="0" w:line="264" w:lineRule="auto"/>
              <w:jc w:val="center"/>
              <w:rPr>
                <w:rFonts w:hint="eastAsia" w:ascii="仿宋" w:hAnsi="仿宋" w:eastAsia="仿宋" w:cs="仿宋"/>
                <w:sz w:val="20"/>
                <w:szCs w:val="20"/>
              </w:rPr>
            </w:pPr>
          </w:p>
        </w:tc>
        <w:tc>
          <w:tcPr>
            <w:tcW w:w="963" w:type="dxa"/>
            <w:vMerge w:val="continue"/>
          </w:tcPr>
          <w:p w14:paraId="1D8BDE0F">
            <w:pPr>
              <w:spacing w:after="0" w:line="240" w:lineRule="auto"/>
              <w:rPr>
                <w:rFonts w:hint="eastAsia" w:ascii="仿宋" w:hAnsi="仿宋" w:eastAsia="仿宋" w:cs="仿宋"/>
                <w:sz w:val="20"/>
                <w:szCs w:val="20"/>
              </w:rPr>
            </w:pPr>
          </w:p>
        </w:tc>
        <w:tc>
          <w:tcPr>
            <w:tcW w:w="1028" w:type="dxa"/>
            <w:vMerge w:val="continue"/>
          </w:tcPr>
          <w:p w14:paraId="38C633DF">
            <w:pPr>
              <w:spacing w:after="0" w:line="240" w:lineRule="auto"/>
              <w:rPr>
                <w:rFonts w:hint="eastAsia" w:ascii="仿宋" w:hAnsi="仿宋" w:eastAsia="仿宋" w:cs="仿宋"/>
                <w:sz w:val="20"/>
                <w:szCs w:val="20"/>
              </w:rPr>
            </w:pPr>
          </w:p>
        </w:tc>
      </w:tr>
      <w:tr w14:paraId="69868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31E99338">
            <w:pPr>
              <w:spacing w:after="0" w:line="240" w:lineRule="auto"/>
              <w:rPr>
                <w:rFonts w:hint="eastAsia" w:ascii="仿宋" w:hAnsi="仿宋" w:eastAsia="仿宋" w:cs="仿宋"/>
                <w:sz w:val="20"/>
                <w:szCs w:val="20"/>
              </w:rPr>
            </w:pPr>
          </w:p>
        </w:tc>
        <w:tc>
          <w:tcPr>
            <w:tcW w:w="1524" w:type="dxa"/>
            <w:vMerge w:val="continue"/>
          </w:tcPr>
          <w:p w14:paraId="6159820A">
            <w:pPr>
              <w:spacing w:after="0" w:line="240" w:lineRule="auto"/>
              <w:rPr>
                <w:rFonts w:hint="eastAsia" w:ascii="仿宋" w:hAnsi="仿宋" w:eastAsia="仿宋" w:cs="仿宋"/>
                <w:sz w:val="20"/>
                <w:szCs w:val="20"/>
              </w:rPr>
            </w:pPr>
          </w:p>
        </w:tc>
        <w:tc>
          <w:tcPr>
            <w:tcW w:w="5790" w:type="dxa"/>
            <w:vAlign w:val="center"/>
          </w:tcPr>
          <w:p w14:paraId="6A47ADD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5.6 三级页面（辅助人员工时明细）</w:t>
            </w:r>
          </w:p>
          <w:p w14:paraId="513C3CC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人员切换按钮组：弹窗内容最顶部，横向排列同一派单下所有辅助人员的切换按钮，左侧有"辅助人员："灰色标签，右侧为人员姓名按钮列表。当前查看的人员按钮显示为蓝色实心样式，其余人员按钮显示为灰色边框空心样式。点击其他人员按钮后，弹窗立即刷新显示该人员的数据，弹窗标题随之更新为新人员的姓名与派单编号。</w:t>
            </w:r>
          </w:p>
          <w:p w14:paraId="5AF4C8C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人员信息摘要卡片：人员切换按钮组下方，横向排列5张渐变色信息卡片（5列等宽网格布局）：第1张（浅蓝色）显示人员姓名；第2张（浅紫色）显示派单编号；第3张（浅绿色）显示本月出勤天数，点击后自动将打卡类型筛选框切换为"监理打卡"；第4张（浅橙色）显示本月休息天数，点击后筛选框切换为"休息"；第5张（浅粉色）显示异常记录天数，点击后筛选框切换为"未打卡"。后三张卡片鼠标悬停时显示手型光标和对应的筛选提示tooltip。</w:t>
            </w:r>
          </w:p>
          <w:p w14:paraId="305243B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字段展示：姓名、日期、上班时间、下班时间、打卡类型、签到状态、工时。</w:t>
            </w:r>
          </w:p>
          <w:p w14:paraId="4462C60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条件：摘要卡片下方为筛选面板（浅灰色背景），4列等宽横向排列：第1列"开始日期"（日期选择器）、第2列"结束日期"（日期选择器，与第1列组合构成日期范围查询）、第3列"打卡类型"（下拉选择框，选项：全部、监理打卡、出勤打卡、外勤打卡、休息、请假、未打卡，默认选中"全部"）、第4列操作按钮（蓝色"查询"按钮 + 灰色边框"重置"按钮）。</w:t>
            </w:r>
          </w:p>
          <w:p w14:paraId="052E0B9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打卡记录列表：筛选面板下方，页面分为左右等宽双栏布局（左侧打卡记录列表，右侧工时日历）。打卡记录列表带圆角卡片外框，表头包含6列：日期、上班、下班、打卡类型、状态、工时。列表最大高度400px，超出时纵向滚动。表格行根据打卡类型显示不同背景色：休息日行为淡黄色（#fffbeb）、请假行为淡橙色（#fff3e0）、未打卡行为淡红色（#ffebee）、正常打卡行为白色。"打卡类型"列与"状态"列均使用彩色标签展示：监理打卡为蓝色、出勤打卡为青色、外勤打卡为紫色、休息为灰色/橙色、请假为橙色、未打卡及异常为红色。每行带手型光标，点击任意行展开下方打卡详细信息区域。列表底部提供分页功能，左侧显示总条数，右侧有上一页、页码、下一页按钮。</w:t>
            </w:r>
          </w:p>
          <w:p w14:paraId="7A39292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打卡详细信息：点击列表任意行后，双栏布局下方展开详情区域（默认隐藏），浅灰色背景带圆角卡片外框，标题"📍 打卡详细信息"。详情内容根据打卡类型分6种情况展示：</w:t>
            </w:r>
          </w:p>
          <w:p w14:paraId="00BD1AA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监理打卡：两列网格展示打卡日期、打卡类型蓝色标签、上班打卡时间（含正常/迟到标识）、下班打卡时间（含正常/早退标识）、打卡地址、派单地址、备注；下方浅蓝色信息块显示关联派单信息（派单编号、制造厂、监造形式）。</w:t>
            </w:r>
          </w:p>
          <w:p w14:paraId="06D7E89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出勤打卡：两列网格展示打卡日期、打卡类型青色标签、上下班时间、打卡地址、地理围栏验证结果（"✓ 在围栏内"）、备注。</w:t>
            </w:r>
          </w:p>
          <w:p w14:paraId="3951CCB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外勤打卡：两列网格展示打卡日期、打卡类型紫色标签、上下班时间、打卡地址、备注；下方浅紫色信息块显示外勤申请信息（申请单号、外勤地点、外勤事由、审批状态）。</w:t>
            </w:r>
          </w:p>
          <w:p w14:paraId="0D03BA1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请假：两列网格展示日期、请假橙色标签；下方浅橙色信息块显示请假申请信息（申请单号、请假类型、请假时间、请假事由、审批状态、审批人）。</w:t>
            </w:r>
          </w:p>
          <w:p w14:paraId="0C0713D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休息：展示日期、休息日灰色标签、灰色小字说明"周末休息，无需打卡"。</w:t>
            </w:r>
          </w:p>
          <w:p w14:paraId="398B495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未打卡：两列网格展示日期、未打卡红色标签；下方浅红色信息块显示"⚠️ 异常信息"及提示"该日期应打卡但未打卡，请及时补卡或说明原因"。</w:t>
            </w:r>
          </w:p>
          <w:p w14:paraId="6E2E957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工时日历：默认展示当前月份，以7列网格日历形式展示该人员在该派单下的工作日期（第一行为星期标题：一二三四五六日）。日期格子规则：仅关联1个派单的工作日显示浅蓝色背景，关联2个及以上派单的工作日显示较深蓝色背景，休息日或无工作日期显示透明背景无交互。每天若存在派单签到记录增加标记，一天存在多个派单签到记录时颜色随派单数增加加深，鼠标悬停时展示当前选中日期的所有派单编号。日历下方显示图例说明（浅蓝色=单派单、深蓝色=多派单、浅灰色=休息日）。点击有工作的日期后，在图例下方展开"日期派单信息"区域（浅蓝色背景#f0f9ff，带圆角边框），标题显示"📅 [点击日期] 派单信息"，内容逐行列出该日期关联的所有派单编号（蓝色加粗可点击链接样式）。用户点击某个派单编号链接后，系统关闭当前三级弹窗，并打开该人员的二级派单汇总弹窗。点击具体派单编号可跳转到当前菜单中对应派单的二级页面。</w:t>
            </w:r>
          </w:p>
        </w:tc>
        <w:tc>
          <w:tcPr>
            <w:tcW w:w="1381" w:type="dxa"/>
            <w:vAlign w:val="center"/>
          </w:tcPr>
          <w:p w14:paraId="0913CDEE">
            <w:pPr>
              <w:spacing w:before="0" w:after="0" w:line="264" w:lineRule="auto"/>
              <w:jc w:val="center"/>
              <w:rPr>
                <w:rFonts w:hint="eastAsia" w:ascii="仿宋" w:hAnsi="仿宋" w:eastAsia="仿宋" w:cs="仿宋"/>
                <w:sz w:val="20"/>
                <w:szCs w:val="20"/>
              </w:rPr>
            </w:pPr>
          </w:p>
        </w:tc>
        <w:tc>
          <w:tcPr>
            <w:tcW w:w="1409" w:type="dxa"/>
            <w:vAlign w:val="center"/>
          </w:tcPr>
          <w:p w14:paraId="556C7D93">
            <w:pPr>
              <w:spacing w:before="0" w:after="0" w:line="264" w:lineRule="auto"/>
              <w:jc w:val="center"/>
              <w:rPr>
                <w:rFonts w:hint="eastAsia" w:ascii="仿宋" w:hAnsi="仿宋" w:eastAsia="仿宋" w:cs="仿宋"/>
                <w:sz w:val="20"/>
                <w:szCs w:val="20"/>
              </w:rPr>
            </w:pPr>
          </w:p>
        </w:tc>
        <w:tc>
          <w:tcPr>
            <w:tcW w:w="963" w:type="dxa"/>
            <w:vMerge w:val="continue"/>
          </w:tcPr>
          <w:p w14:paraId="38D134AE">
            <w:pPr>
              <w:spacing w:after="0" w:line="240" w:lineRule="auto"/>
              <w:rPr>
                <w:rFonts w:hint="eastAsia" w:ascii="仿宋" w:hAnsi="仿宋" w:eastAsia="仿宋" w:cs="仿宋"/>
                <w:sz w:val="20"/>
                <w:szCs w:val="20"/>
              </w:rPr>
            </w:pPr>
          </w:p>
        </w:tc>
        <w:tc>
          <w:tcPr>
            <w:tcW w:w="1028" w:type="dxa"/>
            <w:vMerge w:val="continue"/>
          </w:tcPr>
          <w:p w14:paraId="6ADBCAA6">
            <w:pPr>
              <w:spacing w:after="0" w:line="240" w:lineRule="auto"/>
              <w:rPr>
                <w:rFonts w:hint="eastAsia" w:ascii="仿宋" w:hAnsi="仿宋" w:eastAsia="仿宋" w:cs="仿宋"/>
                <w:sz w:val="20"/>
                <w:szCs w:val="20"/>
              </w:rPr>
            </w:pPr>
          </w:p>
        </w:tc>
      </w:tr>
      <w:tr w14:paraId="5588C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222BA502">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7</w:t>
            </w:r>
          </w:p>
        </w:tc>
        <w:tc>
          <w:tcPr>
            <w:tcW w:w="1524" w:type="dxa"/>
            <w:vMerge w:val="restart"/>
            <w:vAlign w:val="center"/>
          </w:tcPr>
          <w:p w14:paraId="4D6767FC">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开票明细管理</w:t>
            </w:r>
          </w:p>
        </w:tc>
        <w:tc>
          <w:tcPr>
            <w:tcW w:w="5790" w:type="dxa"/>
            <w:vAlign w:val="center"/>
          </w:tcPr>
          <w:p w14:paraId="2C995BC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6.1 支持角色</w:t>
            </w:r>
          </w:p>
          <w:p w14:paraId="274EFCA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项目总监：查看当前用户监管项目下开票信息</w:t>
            </w:r>
          </w:p>
          <w:p w14:paraId="015E331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项目经理：查看当前用户有权限的合同号(CI编号)相关的开票信息</w:t>
            </w:r>
          </w:p>
          <w:p w14:paraId="150FF37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项目经理：查看当前用户负责的合同相关的开票信息</w:t>
            </w:r>
          </w:p>
          <w:p w14:paraId="7EEDF0C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财务、领导层、管理员：查看所有开票信息</w:t>
            </w:r>
          </w:p>
          <w:p w14:paraId="49DD5D1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此内容做成权限配置项。</w:t>
            </w:r>
          </w:p>
        </w:tc>
        <w:tc>
          <w:tcPr>
            <w:tcW w:w="1381" w:type="dxa"/>
            <w:vAlign w:val="center"/>
          </w:tcPr>
          <w:p w14:paraId="0E6AF1FE">
            <w:pPr>
              <w:spacing w:before="0" w:after="0" w:line="264" w:lineRule="auto"/>
              <w:jc w:val="center"/>
              <w:rPr>
                <w:rFonts w:hint="eastAsia" w:ascii="仿宋" w:hAnsi="仿宋" w:eastAsia="仿宋" w:cs="仿宋"/>
                <w:sz w:val="20"/>
                <w:szCs w:val="20"/>
              </w:rPr>
            </w:pPr>
          </w:p>
        </w:tc>
        <w:tc>
          <w:tcPr>
            <w:tcW w:w="1409" w:type="dxa"/>
            <w:vAlign w:val="center"/>
          </w:tcPr>
          <w:p w14:paraId="44F557EA">
            <w:pPr>
              <w:spacing w:before="0" w:after="0" w:line="264" w:lineRule="auto"/>
              <w:jc w:val="center"/>
              <w:rPr>
                <w:rFonts w:hint="eastAsia" w:ascii="仿宋" w:hAnsi="仿宋" w:eastAsia="仿宋" w:cs="仿宋"/>
                <w:sz w:val="20"/>
                <w:szCs w:val="20"/>
              </w:rPr>
            </w:pPr>
          </w:p>
        </w:tc>
        <w:tc>
          <w:tcPr>
            <w:tcW w:w="963" w:type="dxa"/>
            <w:vMerge w:val="restart"/>
            <w:vAlign w:val="center"/>
          </w:tcPr>
          <w:p w14:paraId="34FA25F1">
            <w:pPr>
              <w:spacing w:before="0" w:after="0" w:line="264" w:lineRule="auto"/>
              <w:jc w:val="center"/>
              <w:rPr>
                <w:rFonts w:hint="eastAsia" w:ascii="仿宋" w:hAnsi="仿宋" w:eastAsia="仿宋" w:cs="仿宋"/>
                <w:sz w:val="20"/>
                <w:szCs w:val="20"/>
              </w:rPr>
            </w:pPr>
          </w:p>
        </w:tc>
        <w:tc>
          <w:tcPr>
            <w:tcW w:w="1028" w:type="dxa"/>
            <w:vMerge w:val="restart"/>
            <w:vAlign w:val="center"/>
          </w:tcPr>
          <w:p w14:paraId="3B5E8E9E">
            <w:pPr>
              <w:spacing w:before="0" w:after="0" w:line="264" w:lineRule="auto"/>
              <w:jc w:val="center"/>
              <w:rPr>
                <w:rFonts w:hint="eastAsia" w:ascii="仿宋" w:hAnsi="仿宋" w:eastAsia="仿宋" w:cs="仿宋"/>
                <w:sz w:val="20"/>
                <w:szCs w:val="20"/>
              </w:rPr>
            </w:pPr>
          </w:p>
        </w:tc>
      </w:tr>
      <w:tr w14:paraId="4E38E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4884DEB8">
            <w:pPr>
              <w:spacing w:after="0" w:line="240" w:lineRule="auto"/>
              <w:rPr>
                <w:rFonts w:hint="eastAsia" w:ascii="仿宋" w:hAnsi="仿宋" w:eastAsia="仿宋" w:cs="仿宋"/>
                <w:sz w:val="20"/>
                <w:szCs w:val="20"/>
              </w:rPr>
            </w:pPr>
          </w:p>
        </w:tc>
        <w:tc>
          <w:tcPr>
            <w:tcW w:w="1524" w:type="dxa"/>
            <w:vMerge w:val="continue"/>
          </w:tcPr>
          <w:p w14:paraId="2599EF23">
            <w:pPr>
              <w:spacing w:after="0" w:line="240" w:lineRule="auto"/>
              <w:rPr>
                <w:rFonts w:hint="eastAsia" w:ascii="仿宋" w:hAnsi="仿宋" w:eastAsia="仿宋" w:cs="仿宋"/>
                <w:sz w:val="20"/>
                <w:szCs w:val="20"/>
              </w:rPr>
            </w:pPr>
          </w:p>
        </w:tc>
        <w:tc>
          <w:tcPr>
            <w:tcW w:w="5790" w:type="dxa"/>
            <w:vAlign w:val="center"/>
          </w:tcPr>
          <w:p w14:paraId="7AE4449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6.2 表头区域按钮</w:t>
            </w:r>
          </w:p>
          <w:p w14:paraId="2402E6C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支持 Excel ，导入模板暂未确定，但导入数据中必须包含合同编号（唯一标识）</w:t>
            </w:r>
          </w:p>
        </w:tc>
        <w:tc>
          <w:tcPr>
            <w:tcW w:w="1381" w:type="dxa"/>
            <w:vAlign w:val="center"/>
          </w:tcPr>
          <w:p w14:paraId="2AB00172">
            <w:pPr>
              <w:spacing w:before="0" w:after="0" w:line="264" w:lineRule="auto"/>
              <w:jc w:val="center"/>
              <w:rPr>
                <w:rFonts w:hint="eastAsia" w:ascii="仿宋" w:hAnsi="仿宋" w:eastAsia="仿宋" w:cs="仿宋"/>
                <w:sz w:val="20"/>
                <w:szCs w:val="20"/>
              </w:rPr>
            </w:pPr>
          </w:p>
        </w:tc>
        <w:tc>
          <w:tcPr>
            <w:tcW w:w="1409" w:type="dxa"/>
            <w:vAlign w:val="center"/>
          </w:tcPr>
          <w:p w14:paraId="6E94FDA3">
            <w:pPr>
              <w:spacing w:before="0" w:after="0" w:line="264" w:lineRule="auto"/>
              <w:jc w:val="center"/>
              <w:rPr>
                <w:rFonts w:hint="eastAsia" w:ascii="仿宋" w:hAnsi="仿宋" w:eastAsia="仿宋" w:cs="仿宋"/>
                <w:sz w:val="20"/>
                <w:szCs w:val="20"/>
              </w:rPr>
            </w:pPr>
          </w:p>
        </w:tc>
        <w:tc>
          <w:tcPr>
            <w:tcW w:w="963" w:type="dxa"/>
            <w:vMerge w:val="continue"/>
          </w:tcPr>
          <w:p w14:paraId="484A127C">
            <w:pPr>
              <w:spacing w:after="0" w:line="240" w:lineRule="auto"/>
              <w:rPr>
                <w:rFonts w:hint="eastAsia" w:ascii="仿宋" w:hAnsi="仿宋" w:eastAsia="仿宋" w:cs="仿宋"/>
                <w:sz w:val="20"/>
                <w:szCs w:val="20"/>
              </w:rPr>
            </w:pPr>
          </w:p>
        </w:tc>
        <w:tc>
          <w:tcPr>
            <w:tcW w:w="1028" w:type="dxa"/>
            <w:vMerge w:val="continue"/>
          </w:tcPr>
          <w:p w14:paraId="18C80150">
            <w:pPr>
              <w:spacing w:after="0" w:line="240" w:lineRule="auto"/>
              <w:rPr>
                <w:rFonts w:hint="eastAsia" w:ascii="仿宋" w:hAnsi="仿宋" w:eastAsia="仿宋" w:cs="仿宋"/>
                <w:sz w:val="20"/>
                <w:szCs w:val="20"/>
              </w:rPr>
            </w:pPr>
          </w:p>
        </w:tc>
      </w:tr>
      <w:tr w14:paraId="07DE1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58D5555E">
            <w:pPr>
              <w:spacing w:after="0" w:line="240" w:lineRule="auto"/>
              <w:rPr>
                <w:rFonts w:hint="eastAsia" w:ascii="仿宋" w:hAnsi="仿宋" w:eastAsia="仿宋" w:cs="仿宋"/>
                <w:sz w:val="20"/>
                <w:szCs w:val="20"/>
              </w:rPr>
            </w:pPr>
          </w:p>
        </w:tc>
        <w:tc>
          <w:tcPr>
            <w:tcW w:w="1524" w:type="dxa"/>
            <w:vMerge w:val="continue"/>
          </w:tcPr>
          <w:p w14:paraId="4C5173EC">
            <w:pPr>
              <w:spacing w:after="0" w:line="240" w:lineRule="auto"/>
              <w:rPr>
                <w:rFonts w:hint="eastAsia" w:ascii="仿宋" w:hAnsi="仿宋" w:eastAsia="仿宋" w:cs="仿宋"/>
                <w:sz w:val="20"/>
                <w:szCs w:val="20"/>
              </w:rPr>
            </w:pPr>
          </w:p>
        </w:tc>
        <w:tc>
          <w:tcPr>
            <w:tcW w:w="5790" w:type="dxa"/>
            <w:vAlign w:val="center"/>
          </w:tcPr>
          <w:p w14:paraId="6303283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6.3 新增按钮</w:t>
            </w:r>
          </w:p>
          <w:p w14:paraId="7F84609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点击后出现弹窗，包含以下输入字段（暂定，后续可调整）：</w:t>
            </w:r>
          </w:p>
          <w:p w14:paraId="67339A5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开票组织（用户输入）、开票客户（用户输入）、开票日期（日期选择）、发票号（用户输入）、币种（下拉选择）、总数量（用户输入）、总金额（用户输入）、预计回款时间（日期输入）、项目经理（用户输入）、合同编号（下拉框选择，必填唯一）、项目名称（根据合同编号自动带出）、凭证号（用户输入）、备注（用户输入）。</w:t>
            </w:r>
          </w:p>
          <w:p w14:paraId="17EFE95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弹窗按钮：</w:t>
            </w:r>
          </w:p>
          <w:p w14:paraId="09517F0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o取消：不存数据，不进行必填校验，数据不生效</w:t>
            </w:r>
          </w:p>
          <w:p w14:paraId="2289956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o保存：暂存数据，不进行必填校验，数据不生效</w:t>
            </w:r>
          </w:p>
          <w:p w14:paraId="1CA996B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o提交：做必填校验，提交后数据直接生效，无需走审批流（流程状态和审批结果字段仅在修改/删除时才触发）</w:t>
            </w:r>
          </w:p>
        </w:tc>
        <w:tc>
          <w:tcPr>
            <w:tcW w:w="1381" w:type="dxa"/>
            <w:vAlign w:val="center"/>
          </w:tcPr>
          <w:p w14:paraId="2019A042">
            <w:pPr>
              <w:spacing w:before="0" w:after="0" w:line="264" w:lineRule="auto"/>
              <w:jc w:val="center"/>
              <w:rPr>
                <w:rFonts w:hint="eastAsia" w:ascii="仿宋" w:hAnsi="仿宋" w:eastAsia="仿宋" w:cs="仿宋"/>
                <w:sz w:val="20"/>
                <w:szCs w:val="20"/>
              </w:rPr>
            </w:pPr>
          </w:p>
        </w:tc>
        <w:tc>
          <w:tcPr>
            <w:tcW w:w="1409" w:type="dxa"/>
            <w:vAlign w:val="center"/>
          </w:tcPr>
          <w:p w14:paraId="4056706F">
            <w:pPr>
              <w:spacing w:before="0" w:after="0" w:line="264" w:lineRule="auto"/>
              <w:jc w:val="center"/>
              <w:rPr>
                <w:rFonts w:hint="eastAsia" w:ascii="仿宋" w:hAnsi="仿宋" w:eastAsia="仿宋" w:cs="仿宋"/>
                <w:sz w:val="20"/>
                <w:szCs w:val="20"/>
              </w:rPr>
            </w:pPr>
          </w:p>
        </w:tc>
        <w:tc>
          <w:tcPr>
            <w:tcW w:w="963" w:type="dxa"/>
            <w:vMerge w:val="continue"/>
          </w:tcPr>
          <w:p w14:paraId="23D47FBA">
            <w:pPr>
              <w:spacing w:after="0" w:line="240" w:lineRule="auto"/>
              <w:rPr>
                <w:rFonts w:hint="eastAsia" w:ascii="仿宋" w:hAnsi="仿宋" w:eastAsia="仿宋" w:cs="仿宋"/>
                <w:sz w:val="20"/>
                <w:szCs w:val="20"/>
              </w:rPr>
            </w:pPr>
          </w:p>
        </w:tc>
        <w:tc>
          <w:tcPr>
            <w:tcW w:w="1028" w:type="dxa"/>
            <w:vMerge w:val="continue"/>
          </w:tcPr>
          <w:p w14:paraId="34A55C5A">
            <w:pPr>
              <w:spacing w:after="0" w:line="240" w:lineRule="auto"/>
              <w:rPr>
                <w:rFonts w:hint="eastAsia" w:ascii="仿宋" w:hAnsi="仿宋" w:eastAsia="仿宋" w:cs="仿宋"/>
                <w:sz w:val="20"/>
                <w:szCs w:val="20"/>
              </w:rPr>
            </w:pPr>
          </w:p>
        </w:tc>
      </w:tr>
      <w:tr w14:paraId="3837C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034BA172">
            <w:pPr>
              <w:spacing w:after="0" w:line="240" w:lineRule="auto"/>
              <w:rPr>
                <w:rFonts w:hint="eastAsia" w:ascii="仿宋" w:hAnsi="仿宋" w:eastAsia="仿宋" w:cs="仿宋"/>
                <w:sz w:val="20"/>
                <w:szCs w:val="20"/>
              </w:rPr>
            </w:pPr>
          </w:p>
        </w:tc>
        <w:tc>
          <w:tcPr>
            <w:tcW w:w="1524" w:type="dxa"/>
            <w:vMerge w:val="continue"/>
          </w:tcPr>
          <w:p w14:paraId="16DE0C3C">
            <w:pPr>
              <w:spacing w:after="0" w:line="240" w:lineRule="auto"/>
              <w:rPr>
                <w:rFonts w:hint="eastAsia" w:ascii="仿宋" w:hAnsi="仿宋" w:eastAsia="仿宋" w:cs="仿宋"/>
                <w:sz w:val="20"/>
                <w:szCs w:val="20"/>
              </w:rPr>
            </w:pPr>
          </w:p>
        </w:tc>
        <w:tc>
          <w:tcPr>
            <w:tcW w:w="5790" w:type="dxa"/>
            <w:vAlign w:val="center"/>
          </w:tcPr>
          <w:p w14:paraId="357DD9A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6.4 开票明细信息展示字段</w:t>
            </w:r>
          </w:p>
          <w:p w14:paraId="1709D72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开票组织、开票客户、开票日期、发票号、币种、总数量、总金额、预计回款时间、项目经理、合同编号、项目名称、凭证号、备注、流程状态、审批结果。</w:t>
            </w:r>
          </w:p>
        </w:tc>
        <w:tc>
          <w:tcPr>
            <w:tcW w:w="1381" w:type="dxa"/>
            <w:vAlign w:val="center"/>
          </w:tcPr>
          <w:p w14:paraId="7068CA77">
            <w:pPr>
              <w:spacing w:before="0" w:after="0" w:line="264" w:lineRule="auto"/>
              <w:jc w:val="center"/>
              <w:rPr>
                <w:rFonts w:hint="eastAsia" w:ascii="仿宋" w:hAnsi="仿宋" w:eastAsia="仿宋" w:cs="仿宋"/>
                <w:sz w:val="20"/>
                <w:szCs w:val="20"/>
              </w:rPr>
            </w:pPr>
          </w:p>
        </w:tc>
        <w:tc>
          <w:tcPr>
            <w:tcW w:w="1409" w:type="dxa"/>
            <w:vAlign w:val="center"/>
          </w:tcPr>
          <w:p w14:paraId="0BF2EB50">
            <w:pPr>
              <w:spacing w:before="0" w:after="0" w:line="264" w:lineRule="auto"/>
              <w:jc w:val="center"/>
              <w:rPr>
                <w:rFonts w:hint="eastAsia" w:ascii="仿宋" w:hAnsi="仿宋" w:eastAsia="仿宋" w:cs="仿宋"/>
                <w:sz w:val="20"/>
                <w:szCs w:val="20"/>
              </w:rPr>
            </w:pPr>
          </w:p>
        </w:tc>
        <w:tc>
          <w:tcPr>
            <w:tcW w:w="963" w:type="dxa"/>
            <w:vMerge w:val="continue"/>
          </w:tcPr>
          <w:p w14:paraId="06A70A9C">
            <w:pPr>
              <w:spacing w:after="0" w:line="240" w:lineRule="auto"/>
              <w:rPr>
                <w:rFonts w:hint="eastAsia" w:ascii="仿宋" w:hAnsi="仿宋" w:eastAsia="仿宋" w:cs="仿宋"/>
                <w:sz w:val="20"/>
                <w:szCs w:val="20"/>
              </w:rPr>
            </w:pPr>
          </w:p>
        </w:tc>
        <w:tc>
          <w:tcPr>
            <w:tcW w:w="1028" w:type="dxa"/>
            <w:vMerge w:val="continue"/>
          </w:tcPr>
          <w:p w14:paraId="6E94D308">
            <w:pPr>
              <w:spacing w:after="0" w:line="240" w:lineRule="auto"/>
              <w:rPr>
                <w:rFonts w:hint="eastAsia" w:ascii="仿宋" w:hAnsi="仿宋" w:eastAsia="仿宋" w:cs="仿宋"/>
                <w:sz w:val="20"/>
                <w:szCs w:val="20"/>
              </w:rPr>
            </w:pPr>
          </w:p>
        </w:tc>
      </w:tr>
      <w:tr w14:paraId="1BAC9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592DEEBA">
            <w:pPr>
              <w:spacing w:after="0" w:line="240" w:lineRule="auto"/>
              <w:rPr>
                <w:rFonts w:hint="eastAsia" w:ascii="仿宋" w:hAnsi="仿宋" w:eastAsia="仿宋" w:cs="仿宋"/>
                <w:sz w:val="20"/>
                <w:szCs w:val="20"/>
              </w:rPr>
            </w:pPr>
          </w:p>
        </w:tc>
        <w:tc>
          <w:tcPr>
            <w:tcW w:w="1524" w:type="dxa"/>
            <w:vMerge w:val="continue"/>
          </w:tcPr>
          <w:p w14:paraId="6456D687">
            <w:pPr>
              <w:spacing w:after="0" w:line="240" w:lineRule="auto"/>
              <w:rPr>
                <w:rFonts w:hint="eastAsia" w:ascii="仿宋" w:hAnsi="仿宋" w:eastAsia="仿宋" w:cs="仿宋"/>
                <w:sz w:val="20"/>
                <w:szCs w:val="20"/>
              </w:rPr>
            </w:pPr>
          </w:p>
        </w:tc>
        <w:tc>
          <w:tcPr>
            <w:tcW w:w="5790" w:type="dxa"/>
            <w:vAlign w:val="center"/>
          </w:tcPr>
          <w:p w14:paraId="39EAD01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6.5 查询时筛选条件（已确认）</w:t>
            </w:r>
          </w:p>
          <w:p w14:paraId="2509AC9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以全部展示列字段为基础，全字段均设置为查询条件（确保不遗漏任何检索维度），支持高级筛选弹窗（用户自选字段+输入值的组合查询构造器，参照门户后台用户管理下"高级筛选"组件适配）。</w:t>
            </w:r>
          </w:p>
          <w:p w14:paraId="23FE789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主要查询字段包括：合同编号、开票时间段、总金额范围+排序、预计回款时间、项目经理、凭证号、审批结果、发票号、开票客户、项目名称等。</w:t>
            </w:r>
          </w:p>
        </w:tc>
        <w:tc>
          <w:tcPr>
            <w:tcW w:w="1381" w:type="dxa"/>
            <w:vAlign w:val="center"/>
          </w:tcPr>
          <w:p w14:paraId="523CB1C5">
            <w:pPr>
              <w:spacing w:before="0" w:after="0" w:line="264" w:lineRule="auto"/>
              <w:jc w:val="center"/>
              <w:rPr>
                <w:rFonts w:hint="eastAsia" w:ascii="仿宋" w:hAnsi="仿宋" w:eastAsia="仿宋" w:cs="仿宋"/>
                <w:sz w:val="20"/>
                <w:szCs w:val="20"/>
              </w:rPr>
            </w:pPr>
          </w:p>
        </w:tc>
        <w:tc>
          <w:tcPr>
            <w:tcW w:w="1409" w:type="dxa"/>
            <w:vAlign w:val="center"/>
          </w:tcPr>
          <w:p w14:paraId="5DBE5404">
            <w:pPr>
              <w:spacing w:before="0" w:after="0" w:line="264" w:lineRule="auto"/>
              <w:jc w:val="center"/>
              <w:rPr>
                <w:rFonts w:hint="eastAsia" w:ascii="仿宋" w:hAnsi="仿宋" w:eastAsia="仿宋" w:cs="仿宋"/>
                <w:sz w:val="20"/>
                <w:szCs w:val="20"/>
              </w:rPr>
            </w:pPr>
          </w:p>
        </w:tc>
        <w:tc>
          <w:tcPr>
            <w:tcW w:w="963" w:type="dxa"/>
            <w:vMerge w:val="continue"/>
          </w:tcPr>
          <w:p w14:paraId="113CAF2C">
            <w:pPr>
              <w:spacing w:after="0" w:line="240" w:lineRule="auto"/>
              <w:rPr>
                <w:rFonts w:hint="eastAsia" w:ascii="仿宋" w:hAnsi="仿宋" w:eastAsia="仿宋" w:cs="仿宋"/>
                <w:sz w:val="20"/>
                <w:szCs w:val="20"/>
              </w:rPr>
            </w:pPr>
          </w:p>
        </w:tc>
        <w:tc>
          <w:tcPr>
            <w:tcW w:w="1028" w:type="dxa"/>
            <w:vMerge w:val="continue"/>
          </w:tcPr>
          <w:p w14:paraId="78CC8926">
            <w:pPr>
              <w:spacing w:after="0" w:line="240" w:lineRule="auto"/>
              <w:rPr>
                <w:rFonts w:hint="eastAsia" w:ascii="仿宋" w:hAnsi="仿宋" w:eastAsia="仿宋" w:cs="仿宋"/>
                <w:sz w:val="20"/>
                <w:szCs w:val="20"/>
              </w:rPr>
            </w:pPr>
          </w:p>
        </w:tc>
      </w:tr>
      <w:tr w14:paraId="556AC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2BDED79C">
            <w:pPr>
              <w:spacing w:after="0" w:line="240" w:lineRule="auto"/>
              <w:rPr>
                <w:rFonts w:hint="eastAsia" w:ascii="仿宋" w:hAnsi="仿宋" w:eastAsia="仿宋" w:cs="仿宋"/>
                <w:sz w:val="20"/>
                <w:szCs w:val="20"/>
              </w:rPr>
            </w:pPr>
          </w:p>
        </w:tc>
        <w:tc>
          <w:tcPr>
            <w:tcW w:w="1524" w:type="dxa"/>
            <w:vMerge w:val="continue"/>
          </w:tcPr>
          <w:p w14:paraId="2AAB0F0D">
            <w:pPr>
              <w:spacing w:after="0" w:line="240" w:lineRule="auto"/>
              <w:rPr>
                <w:rFonts w:hint="eastAsia" w:ascii="仿宋" w:hAnsi="仿宋" w:eastAsia="仿宋" w:cs="仿宋"/>
                <w:sz w:val="20"/>
                <w:szCs w:val="20"/>
              </w:rPr>
            </w:pPr>
          </w:p>
        </w:tc>
        <w:tc>
          <w:tcPr>
            <w:tcW w:w="5790" w:type="dxa"/>
            <w:vAlign w:val="center"/>
          </w:tcPr>
          <w:p w14:paraId="6BFF974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6.6 表格操作栏按钮（已确认）</w:t>
            </w:r>
          </w:p>
          <w:p w14:paraId="0243764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修改：仅暂存数据可修改。打开弹框渲染已填数据，包含保存、提交按钮；提交修改需走审批流。</w:t>
            </w:r>
          </w:p>
          <w:p w14:paraId="7ECE01E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删除：仅暂存和驳回的数据可删除；确认提交后的数据如需删除，需走审批流。点击弹框确认是否删除，确认后触发审批。</w:t>
            </w:r>
          </w:p>
          <w:p w14:paraId="484C7DD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重新提交：仅被驳回的数据可重新提交。点击打开弹框，渲染已填数据，修改后可保存（暂存，不生效）或提交（走审批流）。</w:t>
            </w:r>
          </w:p>
        </w:tc>
        <w:tc>
          <w:tcPr>
            <w:tcW w:w="1381" w:type="dxa"/>
            <w:vAlign w:val="center"/>
          </w:tcPr>
          <w:p w14:paraId="62C39445">
            <w:pPr>
              <w:spacing w:before="0" w:after="0" w:line="264" w:lineRule="auto"/>
              <w:jc w:val="center"/>
              <w:rPr>
                <w:rFonts w:hint="eastAsia" w:ascii="仿宋" w:hAnsi="仿宋" w:eastAsia="仿宋" w:cs="仿宋"/>
                <w:sz w:val="20"/>
                <w:szCs w:val="20"/>
              </w:rPr>
            </w:pPr>
          </w:p>
        </w:tc>
        <w:tc>
          <w:tcPr>
            <w:tcW w:w="1409" w:type="dxa"/>
            <w:vAlign w:val="center"/>
          </w:tcPr>
          <w:p w14:paraId="203ADA01">
            <w:pPr>
              <w:spacing w:before="0" w:after="0" w:line="264" w:lineRule="auto"/>
              <w:jc w:val="center"/>
              <w:rPr>
                <w:rFonts w:hint="eastAsia" w:ascii="仿宋" w:hAnsi="仿宋" w:eastAsia="仿宋" w:cs="仿宋"/>
                <w:sz w:val="20"/>
                <w:szCs w:val="20"/>
              </w:rPr>
            </w:pPr>
          </w:p>
        </w:tc>
        <w:tc>
          <w:tcPr>
            <w:tcW w:w="963" w:type="dxa"/>
            <w:vMerge w:val="continue"/>
          </w:tcPr>
          <w:p w14:paraId="65F6F38C">
            <w:pPr>
              <w:spacing w:after="0" w:line="240" w:lineRule="auto"/>
              <w:rPr>
                <w:rFonts w:hint="eastAsia" w:ascii="仿宋" w:hAnsi="仿宋" w:eastAsia="仿宋" w:cs="仿宋"/>
                <w:sz w:val="20"/>
                <w:szCs w:val="20"/>
              </w:rPr>
            </w:pPr>
          </w:p>
        </w:tc>
        <w:tc>
          <w:tcPr>
            <w:tcW w:w="1028" w:type="dxa"/>
            <w:vMerge w:val="continue"/>
          </w:tcPr>
          <w:p w14:paraId="51676E12">
            <w:pPr>
              <w:spacing w:after="0" w:line="240" w:lineRule="auto"/>
              <w:rPr>
                <w:rFonts w:hint="eastAsia" w:ascii="仿宋" w:hAnsi="仿宋" w:eastAsia="仿宋" w:cs="仿宋"/>
                <w:sz w:val="20"/>
                <w:szCs w:val="20"/>
              </w:rPr>
            </w:pPr>
          </w:p>
        </w:tc>
      </w:tr>
      <w:tr w14:paraId="0722D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011A6FC2">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8</w:t>
            </w:r>
          </w:p>
        </w:tc>
        <w:tc>
          <w:tcPr>
            <w:tcW w:w="1524" w:type="dxa"/>
            <w:vMerge w:val="restart"/>
            <w:vAlign w:val="center"/>
          </w:tcPr>
          <w:p w14:paraId="48BA17FB">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回款明细管理</w:t>
            </w:r>
          </w:p>
        </w:tc>
        <w:tc>
          <w:tcPr>
            <w:tcW w:w="5790" w:type="dxa"/>
            <w:vAlign w:val="center"/>
          </w:tcPr>
          <w:p w14:paraId="633A758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7.1 支持角色</w:t>
            </w:r>
          </w:p>
          <w:p w14:paraId="4221D53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项目总监：查看当前用户监管项目下回款信息</w:t>
            </w:r>
          </w:p>
          <w:p w14:paraId="3900459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项目经理：查看当前用户有权限的合同号(CI编号)相关的回款信息</w:t>
            </w:r>
          </w:p>
          <w:p w14:paraId="7B9B4D0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总监代表：查看当前用户负责的派单的回款信息</w:t>
            </w:r>
          </w:p>
          <w:p w14:paraId="7A72720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项目经理：查看当前用户负责的合同相关的回款信息</w:t>
            </w:r>
          </w:p>
          <w:p w14:paraId="120ADCB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财务、领导层、管理员：查看所有回款信息</w:t>
            </w:r>
          </w:p>
          <w:p w14:paraId="10A884F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此内容做成权限配置项。</w:t>
            </w:r>
          </w:p>
        </w:tc>
        <w:tc>
          <w:tcPr>
            <w:tcW w:w="1381" w:type="dxa"/>
            <w:vAlign w:val="center"/>
          </w:tcPr>
          <w:p w14:paraId="20155EC3">
            <w:pPr>
              <w:spacing w:before="0" w:after="0" w:line="264" w:lineRule="auto"/>
              <w:jc w:val="center"/>
              <w:rPr>
                <w:rFonts w:hint="eastAsia" w:ascii="仿宋" w:hAnsi="仿宋" w:eastAsia="仿宋" w:cs="仿宋"/>
                <w:sz w:val="20"/>
                <w:szCs w:val="20"/>
              </w:rPr>
            </w:pPr>
          </w:p>
        </w:tc>
        <w:tc>
          <w:tcPr>
            <w:tcW w:w="1409" w:type="dxa"/>
            <w:vAlign w:val="center"/>
          </w:tcPr>
          <w:p w14:paraId="089CBF4A">
            <w:pPr>
              <w:spacing w:before="0" w:after="0" w:line="264" w:lineRule="auto"/>
              <w:jc w:val="center"/>
              <w:rPr>
                <w:rFonts w:hint="eastAsia" w:ascii="仿宋" w:hAnsi="仿宋" w:eastAsia="仿宋" w:cs="仿宋"/>
                <w:sz w:val="20"/>
                <w:szCs w:val="20"/>
              </w:rPr>
            </w:pPr>
          </w:p>
        </w:tc>
        <w:tc>
          <w:tcPr>
            <w:tcW w:w="963" w:type="dxa"/>
            <w:vMerge w:val="restart"/>
            <w:vAlign w:val="center"/>
          </w:tcPr>
          <w:p w14:paraId="330069A0">
            <w:pPr>
              <w:spacing w:before="0" w:after="0" w:line="264" w:lineRule="auto"/>
              <w:jc w:val="center"/>
              <w:rPr>
                <w:rFonts w:hint="eastAsia" w:ascii="仿宋" w:hAnsi="仿宋" w:eastAsia="仿宋" w:cs="仿宋"/>
                <w:sz w:val="20"/>
                <w:szCs w:val="20"/>
              </w:rPr>
            </w:pPr>
          </w:p>
        </w:tc>
        <w:tc>
          <w:tcPr>
            <w:tcW w:w="1028" w:type="dxa"/>
            <w:vMerge w:val="restart"/>
            <w:vAlign w:val="center"/>
          </w:tcPr>
          <w:p w14:paraId="36636841">
            <w:pPr>
              <w:spacing w:before="0" w:after="0" w:line="264" w:lineRule="auto"/>
              <w:jc w:val="center"/>
              <w:rPr>
                <w:rFonts w:hint="eastAsia" w:ascii="仿宋" w:hAnsi="仿宋" w:eastAsia="仿宋" w:cs="仿宋"/>
                <w:sz w:val="20"/>
                <w:szCs w:val="20"/>
              </w:rPr>
            </w:pPr>
          </w:p>
        </w:tc>
      </w:tr>
      <w:tr w14:paraId="56B35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4437C26F">
            <w:pPr>
              <w:spacing w:after="0" w:line="240" w:lineRule="auto"/>
              <w:rPr>
                <w:rFonts w:hint="eastAsia" w:ascii="仿宋" w:hAnsi="仿宋" w:eastAsia="仿宋" w:cs="仿宋"/>
                <w:sz w:val="20"/>
                <w:szCs w:val="20"/>
              </w:rPr>
            </w:pPr>
          </w:p>
        </w:tc>
        <w:tc>
          <w:tcPr>
            <w:tcW w:w="1524" w:type="dxa"/>
            <w:vMerge w:val="continue"/>
          </w:tcPr>
          <w:p w14:paraId="41A07D9E">
            <w:pPr>
              <w:spacing w:after="0" w:line="240" w:lineRule="auto"/>
              <w:rPr>
                <w:rFonts w:hint="eastAsia" w:ascii="仿宋" w:hAnsi="仿宋" w:eastAsia="仿宋" w:cs="仿宋"/>
                <w:sz w:val="20"/>
                <w:szCs w:val="20"/>
              </w:rPr>
            </w:pPr>
          </w:p>
        </w:tc>
        <w:tc>
          <w:tcPr>
            <w:tcW w:w="5790" w:type="dxa"/>
            <w:vAlign w:val="center"/>
          </w:tcPr>
          <w:p w14:paraId="2035FD6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7.2 回款明细信息展示（已确认：合并跨模块字段联展）</w:t>
            </w:r>
          </w:p>
          <w:p w14:paraId="0A64F02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每条回款记录的展示行中，除本身回款基本信息外，必须同屏并列展示以下关联项目收入侧的关键财务指标（与产值、收入、开票模块联合关联）：</w:t>
            </w:r>
          </w:p>
          <w:p w14:paraId="0BE2062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o该合同编号下：合同签约总金额</w:t>
            </w:r>
          </w:p>
          <w:p w14:paraId="03A3416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o该合同编号下：累计已报产值</w:t>
            </w:r>
          </w:p>
          <w:p w14:paraId="5E27E0D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o该合同编号下：已报收入（含纠正后）</w:t>
            </w:r>
          </w:p>
          <w:p w14:paraId="675CFDB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o该合同编号下：历史已开票总金额</w:t>
            </w:r>
          </w:p>
          <w:p w14:paraId="3F0ED3F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o待开票缺口（已报收入 - 历史开票总金额）</w:t>
            </w:r>
          </w:p>
          <w:p w14:paraId="5A1CCE7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o未收款余额（已开票总金额 - 已收款总金额）</w:t>
            </w:r>
          </w:p>
          <w:p w14:paraId="1091702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o本次回款/本次开票金额的比率（当次回款兑付率）</w:t>
            </w:r>
          </w:p>
          <w:p w14:paraId="53196BB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o本次回款/合同总金额的比率（总体进度收款完结度）</w:t>
            </w:r>
          </w:p>
          <w:p w14:paraId="2FD4564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基本字段：合同编号、对方单位、项目名称、项目经理、回款金额、回款时间、流程状态、审批结果。</w:t>
            </w:r>
          </w:p>
        </w:tc>
        <w:tc>
          <w:tcPr>
            <w:tcW w:w="1381" w:type="dxa"/>
            <w:vAlign w:val="center"/>
          </w:tcPr>
          <w:p w14:paraId="2F2EF399">
            <w:pPr>
              <w:spacing w:before="0" w:after="0" w:line="264" w:lineRule="auto"/>
              <w:jc w:val="center"/>
              <w:rPr>
                <w:rFonts w:hint="eastAsia" w:ascii="仿宋" w:hAnsi="仿宋" w:eastAsia="仿宋" w:cs="仿宋"/>
                <w:sz w:val="20"/>
                <w:szCs w:val="20"/>
              </w:rPr>
            </w:pPr>
          </w:p>
        </w:tc>
        <w:tc>
          <w:tcPr>
            <w:tcW w:w="1409" w:type="dxa"/>
            <w:vAlign w:val="center"/>
          </w:tcPr>
          <w:p w14:paraId="65FE9BA1">
            <w:pPr>
              <w:spacing w:before="0" w:after="0" w:line="264" w:lineRule="auto"/>
              <w:jc w:val="center"/>
              <w:rPr>
                <w:rFonts w:hint="eastAsia" w:ascii="仿宋" w:hAnsi="仿宋" w:eastAsia="仿宋" w:cs="仿宋"/>
                <w:sz w:val="20"/>
                <w:szCs w:val="20"/>
              </w:rPr>
            </w:pPr>
          </w:p>
        </w:tc>
        <w:tc>
          <w:tcPr>
            <w:tcW w:w="963" w:type="dxa"/>
            <w:vMerge w:val="continue"/>
          </w:tcPr>
          <w:p w14:paraId="665A6E93">
            <w:pPr>
              <w:spacing w:after="0" w:line="240" w:lineRule="auto"/>
              <w:rPr>
                <w:rFonts w:hint="eastAsia" w:ascii="仿宋" w:hAnsi="仿宋" w:eastAsia="仿宋" w:cs="仿宋"/>
                <w:sz w:val="20"/>
                <w:szCs w:val="20"/>
              </w:rPr>
            </w:pPr>
          </w:p>
        </w:tc>
        <w:tc>
          <w:tcPr>
            <w:tcW w:w="1028" w:type="dxa"/>
            <w:vMerge w:val="continue"/>
          </w:tcPr>
          <w:p w14:paraId="6F19D93C">
            <w:pPr>
              <w:spacing w:after="0" w:line="240" w:lineRule="auto"/>
              <w:rPr>
                <w:rFonts w:hint="eastAsia" w:ascii="仿宋" w:hAnsi="仿宋" w:eastAsia="仿宋" w:cs="仿宋"/>
                <w:sz w:val="20"/>
                <w:szCs w:val="20"/>
              </w:rPr>
            </w:pPr>
          </w:p>
        </w:tc>
      </w:tr>
      <w:tr w14:paraId="069C9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765D28BA">
            <w:pPr>
              <w:spacing w:after="0" w:line="240" w:lineRule="auto"/>
              <w:rPr>
                <w:rFonts w:hint="eastAsia" w:ascii="仿宋" w:hAnsi="仿宋" w:eastAsia="仿宋" w:cs="仿宋"/>
                <w:sz w:val="20"/>
                <w:szCs w:val="20"/>
              </w:rPr>
            </w:pPr>
          </w:p>
        </w:tc>
        <w:tc>
          <w:tcPr>
            <w:tcW w:w="1524" w:type="dxa"/>
            <w:vMerge w:val="continue"/>
          </w:tcPr>
          <w:p w14:paraId="3C96C393">
            <w:pPr>
              <w:spacing w:after="0" w:line="240" w:lineRule="auto"/>
              <w:rPr>
                <w:rFonts w:hint="eastAsia" w:ascii="仿宋" w:hAnsi="仿宋" w:eastAsia="仿宋" w:cs="仿宋"/>
                <w:sz w:val="20"/>
                <w:szCs w:val="20"/>
              </w:rPr>
            </w:pPr>
          </w:p>
        </w:tc>
        <w:tc>
          <w:tcPr>
            <w:tcW w:w="5790" w:type="dxa"/>
            <w:vAlign w:val="center"/>
          </w:tcPr>
          <w:p w14:paraId="2A73A05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7.3 查询筛选条件（已确认）</w:t>
            </w:r>
          </w:p>
          <w:p w14:paraId="5030765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采用高级筛选组件（弹窗式，用户自选字段组合查询），同时将关键字段设为常驻快速筛选区。</w:t>
            </w:r>
          </w:p>
          <w:p w14:paraId="18820A8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主要查询字段：合同编号、回款时间段、项目名、项目经理、开票/回款金额区间及排序、审批状态、备注模糊查询。</w:t>
            </w:r>
          </w:p>
          <w:p w14:paraId="426790D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可按：人员维度、时间维度、金额维度、合同维度 进行精细搜索，确保不遗漏任何查询条件。</w:t>
            </w:r>
          </w:p>
          <w:p w14:paraId="066EF3A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筛选区域按钮：查询、重置。</w:t>
            </w:r>
          </w:p>
        </w:tc>
        <w:tc>
          <w:tcPr>
            <w:tcW w:w="1381" w:type="dxa"/>
            <w:vAlign w:val="center"/>
          </w:tcPr>
          <w:p w14:paraId="614A1CED">
            <w:pPr>
              <w:spacing w:before="0" w:after="0" w:line="264" w:lineRule="auto"/>
              <w:jc w:val="center"/>
              <w:rPr>
                <w:rFonts w:hint="eastAsia" w:ascii="仿宋" w:hAnsi="仿宋" w:eastAsia="仿宋" w:cs="仿宋"/>
                <w:sz w:val="20"/>
                <w:szCs w:val="20"/>
              </w:rPr>
            </w:pPr>
          </w:p>
        </w:tc>
        <w:tc>
          <w:tcPr>
            <w:tcW w:w="1409" w:type="dxa"/>
            <w:vAlign w:val="center"/>
          </w:tcPr>
          <w:p w14:paraId="18B46F07">
            <w:pPr>
              <w:spacing w:before="0" w:after="0" w:line="264" w:lineRule="auto"/>
              <w:jc w:val="center"/>
              <w:rPr>
                <w:rFonts w:hint="eastAsia" w:ascii="仿宋" w:hAnsi="仿宋" w:eastAsia="仿宋" w:cs="仿宋"/>
                <w:sz w:val="20"/>
                <w:szCs w:val="20"/>
              </w:rPr>
            </w:pPr>
          </w:p>
        </w:tc>
        <w:tc>
          <w:tcPr>
            <w:tcW w:w="963" w:type="dxa"/>
            <w:vMerge w:val="continue"/>
          </w:tcPr>
          <w:p w14:paraId="2C3D56EA">
            <w:pPr>
              <w:spacing w:after="0" w:line="240" w:lineRule="auto"/>
              <w:rPr>
                <w:rFonts w:hint="eastAsia" w:ascii="仿宋" w:hAnsi="仿宋" w:eastAsia="仿宋" w:cs="仿宋"/>
                <w:sz w:val="20"/>
                <w:szCs w:val="20"/>
              </w:rPr>
            </w:pPr>
          </w:p>
        </w:tc>
        <w:tc>
          <w:tcPr>
            <w:tcW w:w="1028" w:type="dxa"/>
            <w:vMerge w:val="continue"/>
          </w:tcPr>
          <w:p w14:paraId="21596CAB">
            <w:pPr>
              <w:spacing w:after="0" w:line="240" w:lineRule="auto"/>
              <w:rPr>
                <w:rFonts w:hint="eastAsia" w:ascii="仿宋" w:hAnsi="仿宋" w:eastAsia="仿宋" w:cs="仿宋"/>
                <w:sz w:val="20"/>
                <w:szCs w:val="20"/>
              </w:rPr>
            </w:pPr>
          </w:p>
        </w:tc>
      </w:tr>
      <w:tr w14:paraId="6BFF7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150BABF0">
            <w:pPr>
              <w:spacing w:after="0" w:line="240" w:lineRule="auto"/>
              <w:rPr>
                <w:rFonts w:hint="eastAsia" w:ascii="仿宋" w:hAnsi="仿宋" w:eastAsia="仿宋" w:cs="仿宋"/>
                <w:sz w:val="20"/>
                <w:szCs w:val="20"/>
              </w:rPr>
            </w:pPr>
          </w:p>
        </w:tc>
        <w:tc>
          <w:tcPr>
            <w:tcW w:w="1524" w:type="dxa"/>
            <w:vMerge w:val="continue"/>
          </w:tcPr>
          <w:p w14:paraId="1A1A73C9">
            <w:pPr>
              <w:spacing w:after="0" w:line="240" w:lineRule="auto"/>
              <w:rPr>
                <w:rFonts w:hint="eastAsia" w:ascii="仿宋" w:hAnsi="仿宋" w:eastAsia="仿宋" w:cs="仿宋"/>
                <w:sz w:val="20"/>
                <w:szCs w:val="20"/>
              </w:rPr>
            </w:pPr>
          </w:p>
        </w:tc>
        <w:tc>
          <w:tcPr>
            <w:tcW w:w="5790" w:type="dxa"/>
            <w:vAlign w:val="center"/>
          </w:tcPr>
          <w:p w14:paraId="24BF3F6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7.4 表头区域按钮</w:t>
            </w:r>
          </w:p>
          <w:p w14:paraId="23720F7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新增：1.弹框字段包含：合同编号（下拉，必填）、对方单位、项目（合同编号带出）、项目经理（合同编号带出）、回款金额、回款时间、回款凭证（支持 PDF/图片，支持多文件上传，自动压缩保证清晰度，无格式限制）、备注。</w:t>
            </w:r>
          </w:p>
          <w:p w14:paraId="36B354C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用户选择一个合同进行回款数据新增时，系统提供该合同已开票未冲抵的开票记录供用户选择(按开票日期升序排列)；填写回款金额时，自动勾选并冲抵开票列表中的金额，并记录冲抵发票信息；回款金额较大时，可由上至下勾选多个开票信息进行冲抵(遵循先进先出规则)</w:t>
            </w:r>
          </w:p>
          <w:p w14:paraId="5C1AB6E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o弹窗按钮：保存（暂存，不走审批）、提交（新增提交直接入库，无需审批）。</w:t>
            </w:r>
          </w:p>
          <w:p w14:paraId="1426284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汇总（多维度）：点击打开汇总弹窗，支持以下维度进行汇总统计：</w:t>
            </w:r>
          </w:p>
          <w:p w14:paraId="2C88F98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o以项目经理（人）为维度：统计各人的回款总金额、各合同明细，展示个人回款业绩（参考现有汇总按钮但更细化）。</w:t>
            </w:r>
          </w:p>
          <w:p w14:paraId="58A1415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o以合同（合同编号）为维度：统计该合同的回款总额及时间分布。</w:t>
            </w:r>
          </w:p>
          <w:p w14:paraId="6628D5C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o支持指定筛选条件（合同编号、对方单位、项目、项目经理）后执行汇总，以列表形式展示结果。</w:t>
            </w:r>
          </w:p>
          <w:p w14:paraId="3AA6EC3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方案并存说明（2026.03.11确认）：</w:t>
            </w:r>
          </w:p>
          <w:p w14:paraId="6621B82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本弹窗版「多维业绩大盘汇总」为 方案一，§7.6 独立页面版为 方案二。</w:t>
            </w:r>
          </w:p>
          <w:p w14:paraId="35241C4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两者为平级并存的两套方案，功能各有侧重，由使用者按需选择。</w:t>
            </w:r>
          </w:p>
          <w:p w14:paraId="4466DD8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后续将在会议中确认选择其中一套方案实施。</w:t>
            </w:r>
          </w:p>
          <w:p w14:paraId="759594E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 方案一（弹窗版）：回款明细页面内置的快捷汇总入口，不离开当前页面即可查看</w:t>
            </w:r>
          </w:p>
          <w:p w14:paraId="41A4A81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 方案二（独立页面版）：独立菜单页面，含KPI卡片、搜索、穿透抽屉、导出等完整能力</w:t>
            </w:r>
          </w:p>
          <w:p w14:paraId="3A20B53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w:t>
            </w:r>
          </w:p>
          <w:p w14:paraId="4E3B435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弹窗版抽屉交互补充：</w:t>
            </w:r>
          </w:p>
          <w:p w14:paraId="3254211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弹窗中「按项目经理聚合」Tab内点击行或「抽屉详情」按钮时，穿透抽屉以 absolute 定位</w:t>
            </w:r>
          </w:p>
          <w:p w14:paraId="73C7BB1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贴附在弹窗框体（modalBox）的右侧边缘弹出（而非屏幕右侧），宽420px，</w:t>
            </w:r>
          </w:p>
          <w:p w14:paraId="4051A7B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切换到「按合同立项聚合」Tab时自动收起抽屉。</w:t>
            </w:r>
          </w:p>
          <w:p w14:paraId="6A97536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导入：用户导入回款回款数据时，遵循先进先出原则自动冲抵开票数据。</w:t>
            </w:r>
          </w:p>
          <w:p w14:paraId="5824145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查阅水单：查看本合同下所有回款明细记录</w:t>
            </w:r>
          </w:p>
        </w:tc>
        <w:tc>
          <w:tcPr>
            <w:tcW w:w="1381" w:type="dxa"/>
            <w:vAlign w:val="center"/>
          </w:tcPr>
          <w:p w14:paraId="59D0EE90">
            <w:pPr>
              <w:spacing w:before="0" w:after="0" w:line="264" w:lineRule="auto"/>
              <w:jc w:val="center"/>
              <w:rPr>
                <w:rFonts w:hint="eastAsia" w:ascii="仿宋" w:hAnsi="仿宋" w:eastAsia="仿宋" w:cs="仿宋"/>
                <w:sz w:val="20"/>
                <w:szCs w:val="20"/>
              </w:rPr>
            </w:pPr>
          </w:p>
        </w:tc>
        <w:tc>
          <w:tcPr>
            <w:tcW w:w="1409" w:type="dxa"/>
            <w:vAlign w:val="center"/>
          </w:tcPr>
          <w:p w14:paraId="6E3ACEF3">
            <w:pPr>
              <w:spacing w:before="0" w:after="0" w:line="264" w:lineRule="auto"/>
              <w:jc w:val="center"/>
              <w:rPr>
                <w:rFonts w:hint="eastAsia" w:ascii="仿宋" w:hAnsi="仿宋" w:eastAsia="仿宋" w:cs="仿宋"/>
                <w:sz w:val="20"/>
                <w:szCs w:val="20"/>
              </w:rPr>
            </w:pPr>
          </w:p>
        </w:tc>
        <w:tc>
          <w:tcPr>
            <w:tcW w:w="963" w:type="dxa"/>
            <w:vMerge w:val="continue"/>
          </w:tcPr>
          <w:p w14:paraId="4F9F1CDB">
            <w:pPr>
              <w:spacing w:after="0" w:line="240" w:lineRule="auto"/>
              <w:rPr>
                <w:rFonts w:hint="eastAsia" w:ascii="仿宋" w:hAnsi="仿宋" w:eastAsia="仿宋" w:cs="仿宋"/>
                <w:sz w:val="20"/>
                <w:szCs w:val="20"/>
              </w:rPr>
            </w:pPr>
          </w:p>
        </w:tc>
        <w:tc>
          <w:tcPr>
            <w:tcW w:w="1028" w:type="dxa"/>
            <w:vMerge w:val="continue"/>
          </w:tcPr>
          <w:p w14:paraId="2A50A062">
            <w:pPr>
              <w:spacing w:after="0" w:line="240" w:lineRule="auto"/>
              <w:rPr>
                <w:rFonts w:hint="eastAsia" w:ascii="仿宋" w:hAnsi="仿宋" w:eastAsia="仿宋" w:cs="仿宋"/>
                <w:sz w:val="20"/>
                <w:szCs w:val="20"/>
              </w:rPr>
            </w:pPr>
          </w:p>
        </w:tc>
      </w:tr>
      <w:tr w14:paraId="296F9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5C492707">
            <w:pPr>
              <w:spacing w:after="0" w:line="240" w:lineRule="auto"/>
              <w:rPr>
                <w:rFonts w:hint="eastAsia" w:ascii="仿宋" w:hAnsi="仿宋" w:eastAsia="仿宋" w:cs="仿宋"/>
                <w:sz w:val="20"/>
                <w:szCs w:val="20"/>
              </w:rPr>
            </w:pPr>
          </w:p>
        </w:tc>
        <w:tc>
          <w:tcPr>
            <w:tcW w:w="1524" w:type="dxa"/>
            <w:vMerge w:val="continue"/>
          </w:tcPr>
          <w:p w14:paraId="2F7CBB0D">
            <w:pPr>
              <w:spacing w:after="0" w:line="240" w:lineRule="auto"/>
              <w:rPr>
                <w:rFonts w:hint="eastAsia" w:ascii="仿宋" w:hAnsi="仿宋" w:eastAsia="仿宋" w:cs="仿宋"/>
                <w:sz w:val="20"/>
                <w:szCs w:val="20"/>
              </w:rPr>
            </w:pPr>
          </w:p>
        </w:tc>
        <w:tc>
          <w:tcPr>
            <w:tcW w:w="5790" w:type="dxa"/>
            <w:vAlign w:val="center"/>
          </w:tcPr>
          <w:p w14:paraId="1067A08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7.5 表格操作栏按钮（已确认）</w:t>
            </w:r>
          </w:p>
          <w:p w14:paraId="11C4F37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修改：仅暂存数据可修改。修改并提交需走审批流。</w:t>
            </w:r>
          </w:p>
          <w:p w14:paraId="5AD9E3F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删除：仅暂存和驳回的数据可删除。已提交确认的数据如需删除，需走审批流。</w:t>
            </w:r>
          </w:p>
          <w:p w14:paraId="38ECA94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重新提交：仅被驳回的数据可重新提交，走审批流。</w:t>
            </w:r>
          </w:p>
        </w:tc>
        <w:tc>
          <w:tcPr>
            <w:tcW w:w="1381" w:type="dxa"/>
            <w:vAlign w:val="center"/>
          </w:tcPr>
          <w:p w14:paraId="5330C682">
            <w:pPr>
              <w:spacing w:before="0" w:after="0" w:line="264" w:lineRule="auto"/>
              <w:jc w:val="center"/>
              <w:rPr>
                <w:rFonts w:hint="eastAsia" w:ascii="仿宋" w:hAnsi="仿宋" w:eastAsia="仿宋" w:cs="仿宋"/>
                <w:sz w:val="20"/>
                <w:szCs w:val="20"/>
              </w:rPr>
            </w:pPr>
          </w:p>
        </w:tc>
        <w:tc>
          <w:tcPr>
            <w:tcW w:w="1409" w:type="dxa"/>
            <w:vAlign w:val="center"/>
          </w:tcPr>
          <w:p w14:paraId="015F390A">
            <w:pPr>
              <w:spacing w:before="0" w:after="0" w:line="264" w:lineRule="auto"/>
              <w:jc w:val="center"/>
              <w:rPr>
                <w:rFonts w:hint="eastAsia" w:ascii="仿宋" w:hAnsi="仿宋" w:eastAsia="仿宋" w:cs="仿宋"/>
                <w:sz w:val="20"/>
                <w:szCs w:val="20"/>
              </w:rPr>
            </w:pPr>
          </w:p>
        </w:tc>
        <w:tc>
          <w:tcPr>
            <w:tcW w:w="963" w:type="dxa"/>
            <w:vMerge w:val="continue"/>
          </w:tcPr>
          <w:p w14:paraId="0CE841E2">
            <w:pPr>
              <w:spacing w:after="0" w:line="240" w:lineRule="auto"/>
              <w:rPr>
                <w:rFonts w:hint="eastAsia" w:ascii="仿宋" w:hAnsi="仿宋" w:eastAsia="仿宋" w:cs="仿宋"/>
                <w:sz w:val="20"/>
                <w:szCs w:val="20"/>
              </w:rPr>
            </w:pPr>
          </w:p>
        </w:tc>
        <w:tc>
          <w:tcPr>
            <w:tcW w:w="1028" w:type="dxa"/>
            <w:vMerge w:val="continue"/>
          </w:tcPr>
          <w:p w14:paraId="34A9EF08">
            <w:pPr>
              <w:spacing w:after="0" w:line="240" w:lineRule="auto"/>
              <w:rPr>
                <w:rFonts w:hint="eastAsia" w:ascii="仿宋" w:hAnsi="仿宋" w:eastAsia="仿宋" w:cs="仿宋"/>
                <w:sz w:val="20"/>
                <w:szCs w:val="20"/>
              </w:rPr>
            </w:pPr>
          </w:p>
        </w:tc>
      </w:tr>
      <w:tr w14:paraId="3E28C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232D923D">
            <w:pPr>
              <w:spacing w:after="0" w:line="240" w:lineRule="auto"/>
              <w:rPr>
                <w:rFonts w:hint="eastAsia" w:ascii="仿宋" w:hAnsi="仿宋" w:eastAsia="仿宋" w:cs="仿宋"/>
                <w:sz w:val="20"/>
                <w:szCs w:val="20"/>
              </w:rPr>
            </w:pPr>
          </w:p>
        </w:tc>
        <w:tc>
          <w:tcPr>
            <w:tcW w:w="1524" w:type="dxa"/>
            <w:vMerge w:val="continue"/>
          </w:tcPr>
          <w:p w14:paraId="76A083C3">
            <w:pPr>
              <w:spacing w:after="0" w:line="240" w:lineRule="auto"/>
              <w:rPr>
                <w:rFonts w:hint="eastAsia" w:ascii="仿宋" w:hAnsi="仿宋" w:eastAsia="仿宋" w:cs="仿宋"/>
                <w:sz w:val="20"/>
                <w:szCs w:val="20"/>
              </w:rPr>
            </w:pPr>
          </w:p>
        </w:tc>
        <w:tc>
          <w:tcPr>
            <w:tcW w:w="5790" w:type="dxa"/>
            <w:vAlign w:val="center"/>
          </w:tcPr>
          <w:p w14:paraId="75FA544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7.6 平台汇总透视（独立页面）（2026.03.11 完整重写）</w:t>
            </w:r>
          </w:p>
          <w:p w14:paraId="25CD297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此页面为回款明细管理的汇总弹窗功能的独立页面化版本（方案二，与§7.4弹窗版方案一平级并存，待后续会议确认选择其中一套实施）。</w:t>
            </w:r>
          </w:p>
          <w:p w14:paraId="582A91B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菜单位置：回款明细管理 与 提醒设置 之间，作为同级独立菜单项。</w:t>
            </w:r>
          </w:p>
          <w:p w14:paraId="0327E89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（1）页面顶部 —统览卡片区（4个）</w:t>
            </w:r>
          </w:p>
          <w:p w14:paraId="33D0999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卡片 | 数据说明 |</w:t>
            </w:r>
          </w:p>
          <w:p w14:paraId="1256788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w:t>
            </w:r>
          </w:p>
          <w:p w14:paraId="1350324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团队今年总计签约 | 实时汇总当年所有非终止合同的签约总额 |</w:t>
            </w:r>
          </w:p>
          <w:p w14:paraId="53CA764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当年累计开票总额 | 当年已录入系统的发票金额总和 |</w:t>
            </w:r>
          </w:p>
          <w:p w14:paraId="6755791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当年累计真金回笼 | 当年实际到账的回款金额总和 |</w:t>
            </w:r>
          </w:p>
          <w:p w14:paraId="279974B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未收账预警 | 已开票但超期未收回的金额总和（累计开票 - 累计回款） |</w:t>
            </w:r>
          </w:p>
          <w:p w14:paraId="33FF7E5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（2）维度切换 — 双Tab设计</w:t>
            </w:r>
          </w:p>
          <w:p w14:paraId="5E23E08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通过Tab按钮切换两种聚合维度，每个Tab下有独立的搜索栏、数据表和导出按钮。</w:t>
            </w:r>
          </w:p>
          <w:p w14:paraId="303D12D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Tab1：按项目经理聚合</w:t>
            </w:r>
          </w:p>
          <w:p w14:paraId="7EA6D1D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搜索栏：项目经理姓名（模糊匹配）、月份选择、查询/重置/导出按钮</w:t>
            </w:r>
          </w:p>
          <w:p w14:paraId="32E81D0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表格字段：</w:t>
            </w:r>
          </w:p>
          <w:p w14:paraId="5BA2F98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列名 | 说明 |</w:t>
            </w:r>
          </w:p>
          <w:p w14:paraId="5BDF014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w:t>
            </w:r>
          </w:p>
          <w:p w14:paraId="491CAA8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 | 项目经理姓名 |</w:t>
            </w:r>
          </w:p>
          <w:p w14:paraId="09D37E4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管辖合同数 | 该经理名下有效合同总数 |</w:t>
            </w:r>
          </w:p>
          <w:p w14:paraId="4DC5C5F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管辖总金额 | 该经理名下合同签约总额 |</w:t>
            </w:r>
          </w:p>
          <w:p w14:paraId="3F46C94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累计开出票据 | 该经理名下合同的累计开票金额 |</w:t>
            </w:r>
          </w:p>
          <w:p w14:paraId="63658B5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真金回笼款(元) | 该经理名下合同的累计实际回款金额 |</w:t>
            </w:r>
          </w:p>
          <w:p w14:paraId="2E37744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综合兑付率 | 真金回笼款 ÷ 累计开出票据 × 100% |</w:t>
            </w:r>
          </w:p>
          <w:p w14:paraId="6F94B67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未收款坏账额 | 累计开出票据 - 真金回笼款 |</w:t>
            </w:r>
          </w:p>
          <w:p w14:paraId="432F0E8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操作 | 「抽屉详情」按钮，点击打开穿透抽屉 |</w:t>
            </w:r>
          </w:p>
          <w:p w14:paraId="6007996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行点击交互：点击任意行或「抽屉详情」按钮，打开该经理的管辖项目穿透抽屉（详见下方第4点）</w:t>
            </w:r>
          </w:p>
          <w:p w14:paraId="3F3BD6A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Tab2：按合同立项聚合</w:t>
            </w:r>
          </w:p>
          <w:p w14:paraId="381A994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搜索栏：合同编号、对方单位（模糊匹配）、项目经理、查询/重置/导出按钮</w:t>
            </w:r>
          </w:p>
          <w:p w14:paraId="5A4D359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表格字段：</w:t>
            </w:r>
          </w:p>
          <w:p w14:paraId="0862E57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列名 | 说明 |</w:t>
            </w:r>
          </w:p>
          <w:p w14:paraId="73A6935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w:t>
            </w:r>
          </w:p>
          <w:p w14:paraId="43A1520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 | CI编号（可点击跳转合同详情） |</w:t>
            </w:r>
          </w:p>
          <w:p w14:paraId="594B434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对方单位 | 合同甲方名称 |</w:t>
            </w:r>
          </w:p>
          <w:p w14:paraId="20C7C56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 | 合同负责项目经理 |</w:t>
            </w:r>
          </w:p>
          <w:p w14:paraId="17F7ACC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合同规模 | 合同签约金额 |</w:t>
            </w:r>
          </w:p>
          <w:p w14:paraId="2D8630C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累计变现(回款) | 该合同累计实际回款金额 |</w:t>
            </w:r>
          </w:p>
          <w:p w14:paraId="6AA8909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回款笔数 | 该合同下回款记录总条数 |</w:t>
            </w:r>
          </w:p>
          <w:p w14:paraId="4FF4BAE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应开未开(缺口) | 已报收入 - 历史开票总金额 |</w:t>
            </w:r>
          </w:p>
          <w:p w14:paraId="7B46108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结款健康度指示 | 标签：结算完美闭环(绿) / 高风险悬空(橙) |</w:t>
            </w:r>
          </w:p>
          <w:p w14:paraId="427AA6F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（3）Tab切换行为规则</w:t>
            </w:r>
          </w:p>
          <w:p w14:paraId="3855AA2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切换Tab时，自动关闭已打开的穿透抽屉</w:t>
            </w:r>
          </w:p>
          <w:p w14:paraId="73719D3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两个Tab各自保持独立的搜索条件状态</w:t>
            </w:r>
          </w:p>
          <w:p w14:paraId="7D8B3CC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（4）穿透抽屉 — 项目经理管辖明细</w:t>
            </w:r>
          </w:p>
          <w:p w14:paraId="73C7EB7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触发方式：在「按项目经理聚合」Tab中点击行或「抽屉详情」按钮</w:t>
            </w:r>
          </w:p>
          <w:p w14:paraId="4898490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抽屉位置：</w:t>
            </w:r>
          </w:p>
          <w:p w14:paraId="1068EA0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 页面版：固定在屏幕右侧（fixed定位，宽500px）</w:t>
            </w:r>
          </w:p>
          <w:p w14:paraId="49C4822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 弹窗版：贴附在弹窗右边缘（absolute定位，宽420px）</w:t>
            </w:r>
          </w:p>
          <w:p w14:paraId="4E19023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抽屉标题：动态显示「【{项目经理名}】 - 管辖维度项目穿透明细表」</w:t>
            </w:r>
          </w:p>
          <w:p w14:paraId="2EE5578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抽屉内容：搜索栏（合同编号/对方单位 + 状态筛选）+ 明细表格</w:t>
            </w:r>
          </w:p>
          <w:p w14:paraId="668B37F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明细表格字段：合同编号、对方单位、合同规模、累计回款</w:t>
            </w:r>
          </w:p>
          <w:p w14:paraId="40B91A7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关闭方式：点击关闭按钮或切换Tab时自动关闭</w:t>
            </w:r>
          </w:p>
          <w:p w14:paraId="646C5FE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（5）导出功能 — 各Tab专属自定义列</w:t>
            </w:r>
          </w:p>
          <w:p w14:paraId="210E489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每个Tab的搜索栏中配备独立的「📥 导出当前数据」按钮，点击后弹出导出预览弹窗。</w:t>
            </w:r>
          </w:p>
          <w:p w14:paraId="2937BC8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导出弹窗遵循§13全局导出规范（格式自选、列可勾选、数量可控），但各Tab的字段清单池不同：</w:t>
            </w:r>
          </w:p>
          <w:p w14:paraId="32D6078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项目经理维度导出列（7列）：</w:t>
            </w:r>
          </w:p>
          <w:p w14:paraId="60CCD17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项目经理、管辖合同数、管辖总金额、累计开出票据、真金回笼款(元)、综合兑付率、未收款坏账额</w:t>
            </w:r>
          </w:p>
          <w:p w14:paraId="332A6AF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合同维度导出列（8列）：</w:t>
            </w:r>
          </w:p>
          <w:p w14:paraId="09ECD9F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合同编号、对方单位、项目经理、合同规模、累计变现(回款)、回款笔数、应开未开(缺口)、结款健康度指示</w:t>
            </w:r>
          </w:p>
        </w:tc>
        <w:tc>
          <w:tcPr>
            <w:tcW w:w="1381" w:type="dxa"/>
            <w:vAlign w:val="center"/>
          </w:tcPr>
          <w:p w14:paraId="4FB1374F">
            <w:pPr>
              <w:spacing w:before="0" w:after="0" w:line="264" w:lineRule="auto"/>
              <w:jc w:val="center"/>
              <w:rPr>
                <w:rFonts w:hint="eastAsia" w:ascii="仿宋" w:hAnsi="仿宋" w:eastAsia="仿宋" w:cs="仿宋"/>
                <w:sz w:val="20"/>
                <w:szCs w:val="20"/>
              </w:rPr>
            </w:pPr>
          </w:p>
        </w:tc>
        <w:tc>
          <w:tcPr>
            <w:tcW w:w="1409" w:type="dxa"/>
            <w:vAlign w:val="center"/>
          </w:tcPr>
          <w:p w14:paraId="3490C419">
            <w:pPr>
              <w:spacing w:before="0" w:after="0" w:line="264" w:lineRule="auto"/>
              <w:jc w:val="center"/>
              <w:rPr>
                <w:rFonts w:hint="eastAsia" w:ascii="仿宋" w:hAnsi="仿宋" w:eastAsia="仿宋" w:cs="仿宋"/>
                <w:sz w:val="20"/>
                <w:szCs w:val="20"/>
              </w:rPr>
            </w:pPr>
          </w:p>
        </w:tc>
        <w:tc>
          <w:tcPr>
            <w:tcW w:w="963" w:type="dxa"/>
            <w:vMerge w:val="continue"/>
          </w:tcPr>
          <w:p w14:paraId="495CFC2B">
            <w:pPr>
              <w:spacing w:after="0" w:line="240" w:lineRule="auto"/>
              <w:rPr>
                <w:rFonts w:hint="eastAsia" w:ascii="仿宋" w:hAnsi="仿宋" w:eastAsia="仿宋" w:cs="仿宋"/>
                <w:sz w:val="20"/>
                <w:szCs w:val="20"/>
              </w:rPr>
            </w:pPr>
          </w:p>
        </w:tc>
        <w:tc>
          <w:tcPr>
            <w:tcW w:w="1028" w:type="dxa"/>
            <w:vMerge w:val="continue"/>
          </w:tcPr>
          <w:p w14:paraId="695A395D">
            <w:pPr>
              <w:spacing w:after="0" w:line="240" w:lineRule="auto"/>
              <w:rPr>
                <w:rFonts w:hint="eastAsia" w:ascii="仿宋" w:hAnsi="仿宋" w:eastAsia="仿宋" w:cs="仿宋"/>
                <w:sz w:val="20"/>
                <w:szCs w:val="20"/>
              </w:rPr>
            </w:pPr>
          </w:p>
        </w:tc>
      </w:tr>
      <w:tr w14:paraId="2BE7F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4DCA84E8">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9</w:t>
            </w:r>
          </w:p>
        </w:tc>
        <w:tc>
          <w:tcPr>
            <w:tcW w:w="1524" w:type="dxa"/>
            <w:vMerge w:val="restart"/>
            <w:vAlign w:val="center"/>
          </w:tcPr>
          <w:p w14:paraId="63C5AEB4">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开票|回款提醒设置</w:t>
            </w:r>
          </w:p>
        </w:tc>
        <w:tc>
          <w:tcPr>
            <w:tcW w:w="5790" w:type="dxa"/>
            <w:vAlign w:val="center"/>
          </w:tcPr>
          <w:p w14:paraId="623259A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8.1 支持角色</w:t>
            </w:r>
          </w:p>
          <w:p w14:paraId="0BC3813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项目经理：可查看与设置权限内数据</w:t>
            </w:r>
          </w:p>
          <w:p w14:paraId="400A384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财务、管理员：可查看与设置所有数据</w:t>
            </w:r>
          </w:p>
        </w:tc>
        <w:tc>
          <w:tcPr>
            <w:tcW w:w="1381" w:type="dxa"/>
            <w:vAlign w:val="center"/>
          </w:tcPr>
          <w:p w14:paraId="2256A5D4">
            <w:pPr>
              <w:spacing w:before="0" w:after="0" w:line="264" w:lineRule="auto"/>
              <w:jc w:val="center"/>
              <w:rPr>
                <w:rFonts w:hint="eastAsia" w:ascii="仿宋" w:hAnsi="仿宋" w:eastAsia="仿宋" w:cs="仿宋"/>
                <w:sz w:val="20"/>
                <w:szCs w:val="20"/>
              </w:rPr>
            </w:pPr>
          </w:p>
        </w:tc>
        <w:tc>
          <w:tcPr>
            <w:tcW w:w="1409" w:type="dxa"/>
            <w:vAlign w:val="center"/>
          </w:tcPr>
          <w:p w14:paraId="12C78E0D">
            <w:pPr>
              <w:spacing w:before="0" w:after="0" w:line="264" w:lineRule="auto"/>
              <w:jc w:val="center"/>
              <w:rPr>
                <w:rFonts w:hint="eastAsia" w:ascii="仿宋" w:hAnsi="仿宋" w:eastAsia="仿宋" w:cs="仿宋"/>
                <w:sz w:val="20"/>
                <w:szCs w:val="20"/>
              </w:rPr>
            </w:pPr>
          </w:p>
        </w:tc>
        <w:tc>
          <w:tcPr>
            <w:tcW w:w="963" w:type="dxa"/>
            <w:vMerge w:val="restart"/>
            <w:vAlign w:val="center"/>
          </w:tcPr>
          <w:p w14:paraId="2EF6548A">
            <w:pPr>
              <w:spacing w:before="0" w:after="0" w:line="264" w:lineRule="auto"/>
              <w:jc w:val="center"/>
              <w:rPr>
                <w:rFonts w:hint="eastAsia" w:ascii="仿宋" w:hAnsi="仿宋" w:eastAsia="仿宋" w:cs="仿宋"/>
                <w:sz w:val="20"/>
                <w:szCs w:val="20"/>
              </w:rPr>
            </w:pPr>
          </w:p>
        </w:tc>
        <w:tc>
          <w:tcPr>
            <w:tcW w:w="1028" w:type="dxa"/>
            <w:vMerge w:val="restart"/>
            <w:vAlign w:val="center"/>
          </w:tcPr>
          <w:p w14:paraId="4C981C38">
            <w:pPr>
              <w:spacing w:before="0" w:after="0" w:line="264" w:lineRule="auto"/>
              <w:jc w:val="center"/>
              <w:rPr>
                <w:rFonts w:hint="eastAsia" w:ascii="仿宋" w:hAnsi="仿宋" w:eastAsia="仿宋" w:cs="仿宋"/>
                <w:sz w:val="20"/>
                <w:szCs w:val="20"/>
              </w:rPr>
            </w:pPr>
          </w:p>
        </w:tc>
      </w:tr>
      <w:tr w14:paraId="76422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61A6B4C2">
            <w:pPr>
              <w:spacing w:after="0" w:line="240" w:lineRule="auto"/>
              <w:rPr>
                <w:rFonts w:hint="eastAsia" w:ascii="仿宋" w:hAnsi="仿宋" w:eastAsia="仿宋" w:cs="仿宋"/>
                <w:sz w:val="20"/>
                <w:szCs w:val="20"/>
              </w:rPr>
            </w:pPr>
          </w:p>
        </w:tc>
        <w:tc>
          <w:tcPr>
            <w:tcW w:w="1524" w:type="dxa"/>
            <w:vMerge w:val="continue"/>
          </w:tcPr>
          <w:p w14:paraId="604117A9">
            <w:pPr>
              <w:spacing w:after="0" w:line="240" w:lineRule="auto"/>
              <w:rPr>
                <w:rFonts w:hint="eastAsia" w:ascii="仿宋" w:hAnsi="仿宋" w:eastAsia="仿宋" w:cs="仿宋"/>
                <w:sz w:val="20"/>
                <w:szCs w:val="20"/>
              </w:rPr>
            </w:pPr>
          </w:p>
        </w:tc>
        <w:tc>
          <w:tcPr>
            <w:tcW w:w="5790" w:type="dxa"/>
            <w:vAlign w:val="center"/>
          </w:tcPr>
          <w:p w14:paraId="11BF0E1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8.2 信息展示字段</w:t>
            </w:r>
          </w:p>
          <w:p w14:paraId="3473518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合同类型、委托方、合同编号、超期时间、提醒频率、来源（系统/用户设置）、状态。</w:t>
            </w:r>
          </w:p>
        </w:tc>
        <w:tc>
          <w:tcPr>
            <w:tcW w:w="1381" w:type="dxa"/>
            <w:vAlign w:val="center"/>
          </w:tcPr>
          <w:p w14:paraId="5C73CF5E">
            <w:pPr>
              <w:spacing w:before="0" w:after="0" w:line="264" w:lineRule="auto"/>
              <w:jc w:val="center"/>
              <w:rPr>
                <w:rFonts w:hint="eastAsia" w:ascii="仿宋" w:hAnsi="仿宋" w:eastAsia="仿宋" w:cs="仿宋"/>
                <w:sz w:val="20"/>
                <w:szCs w:val="20"/>
              </w:rPr>
            </w:pPr>
          </w:p>
        </w:tc>
        <w:tc>
          <w:tcPr>
            <w:tcW w:w="1409" w:type="dxa"/>
            <w:vAlign w:val="center"/>
          </w:tcPr>
          <w:p w14:paraId="1DE1E52E">
            <w:pPr>
              <w:spacing w:before="0" w:after="0" w:line="264" w:lineRule="auto"/>
              <w:jc w:val="center"/>
              <w:rPr>
                <w:rFonts w:hint="eastAsia" w:ascii="仿宋" w:hAnsi="仿宋" w:eastAsia="仿宋" w:cs="仿宋"/>
                <w:sz w:val="20"/>
                <w:szCs w:val="20"/>
              </w:rPr>
            </w:pPr>
          </w:p>
        </w:tc>
        <w:tc>
          <w:tcPr>
            <w:tcW w:w="963" w:type="dxa"/>
            <w:vMerge w:val="continue"/>
          </w:tcPr>
          <w:p w14:paraId="70CF5D84">
            <w:pPr>
              <w:spacing w:after="0" w:line="240" w:lineRule="auto"/>
              <w:rPr>
                <w:rFonts w:hint="eastAsia" w:ascii="仿宋" w:hAnsi="仿宋" w:eastAsia="仿宋" w:cs="仿宋"/>
                <w:sz w:val="20"/>
                <w:szCs w:val="20"/>
              </w:rPr>
            </w:pPr>
          </w:p>
        </w:tc>
        <w:tc>
          <w:tcPr>
            <w:tcW w:w="1028" w:type="dxa"/>
            <w:vMerge w:val="continue"/>
          </w:tcPr>
          <w:p w14:paraId="5C3BE61A">
            <w:pPr>
              <w:spacing w:after="0" w:line="240" w:lineRule="auto"/>
              <w:rPr>
                <w:rFonts w:hint="eastAsia" w:ascii="仿宋" w:hAnsi="仿宋" w:eastAsia="仿宋" w:cs="仿宋"/>
                <w:sz w:val="20"/>
                <w:szCs w:val="20"/>
              </w:rPr>
            </w:pPr>
          </w:p>
        </w:tc>
      </w:tr>
      <w:tr w14:paraId="4AEF2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065D076A">
            <w:pPr>
              <w:spacing w:after="0" w:line="240" w:lineRule="auto"/>
              <w:rPr>
                <w:rFonts w:hint="eastAsia" w:ascii="仿宋" w:hAnsi="仿宋" w:eastAsia="仿宋" w:cs="仿宋"/>
                <w:sz w:val="20"/>
                <w:szCs w:val="20"/>
              </w:rPr>
            </w:pPr>
          </w:p>
        </w:tc>
        <w:tc>
          <w:tcPr>
            <w:tcW w:w="1524" w:type="dxa"/>
            <w:vMerge w:val="continue"/>
          </w:tcPr>
          <w:p w14:paraId="00E9F016">
            <w:pPr>
              <w:spacing w:after="0" w:line="240" w:lineRule="auto"/>
              <w:rPr>
                <w:rFonts w:hint="eastAsia" w:ascii="仿宋" w:hAnsi="仿宋" w:eastAsia="仿宋" w:cs="仿宋"/>
                <w:sz w:val="20"/>
                <w:szCs w:val="20"/>
              </w:rPr>
            </w:pPr>
          </w:p>
        </w:tc>
        <w:tc>
          <w:tcPr>
            <w:tcW w:w="5790" w:type="dxa"/>
            <w:vAlign w:val="center"/>
          </w:tcPr>
          <w:p w14:paraId="784751B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8.3 查询筛选条件</w:t>
            </w:r>
          </w:p>
          <w:p w14:paraId="09F1CB6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合同编号、合同类型、类型（开票/回款）、超期时间、提醒频率、来源、状态。</w:t>
            </w:r>
          </w:p>
          <w:p w14:paraId="224A15B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筛选区域按钮：查询（按筛选条件查询）、重置（重置为默认规则）。</w:t>
            </w:r>
          </w:p>
        </w:tc>
        <w:tc>
          <w:tcPr>
            <w:tcW w:w="1381" w:type="dxa"/>
            <w:vAlign w:val="center"/>
          </w:tcPr>
          <w:p w14:paraId="58711B30">
            <w:pPr>
              <w:spacing w:before="0" w:after="0" w:line="264" w:lineRule="auto"/>
              <w:jc w:val="center"/>
              <w:rPr>
                <w:rFonts w:hint="eastAsia" w:ascii="仿宋" w:hAnsi="仿宋" w:eastAsia="仿宋" w:cs="仿宋"/>
                <w:sz w:val="20"/>
                <w:szCs w:val="20"/>
              </w:rPr>
            </w:pPr>
          </w:p>
        </w:tc>
        <w:tc>
          <w:tcPr>
            <w:tcW w:w="1409" w:type="dxa"/>
            <w:vAlign w:val="center"/>
          </w:tcPr>
          <w:p w14:paraId="0E69B234">
            <w:pPr>
              <w:spacing w:before="0" w:after="0" w:line="264" w:lineRule="auto"/>
              <w:jc w:val="center"/>
              <w:rPr>
                <w:rFonts w:hint="eastAsia" w:ascii="仿宋" w:hAnsi="仿宋" w:eastAsia="仿宋" w:cs="仿宋"/>
                <w:sz w:val="20"/>
                <w:szCs w:val="20"/>
              </w:rPr>
            </w:pPr>
          </w:p>
        </w:tc>
        <w:tc>
          <w:tcPr>
            <w:tcW w:w="963" w:type="dxa"/>
            <w:vMerge w:val="continue"/>
          </w:tcPr>
          <w:p w14:paraId="0A803BC2">
            <w:pPr>
              <w:spacing w:after="0" w:line="240" w:lineRule="auto"/>
              <w:rPr>
                <w:rFonts w:hint="eastAsia" w:ascii="仿宋" w:hAnsi="仿宋" w:eastAsia="仿宋" w:cs="仿宋"/>
                <w:sz w:val="20"/>
                <w:szCs w:val="20"/>
              </w:rPr>
            </w:pPr>
          </w:p>
        </w:tc>
        <w:tc>
          <w:tcPr>
            <w:tcW w:w="1028" w:type="dxa"/>
            <w:vMerge w:val="continue"/>
          </w:tcPr>
          <w:p w14:paraId="59226BB2">
            <w:pPr>
              <w:spacing w:after="0" w:line="240" w:lineRule="auto"/>
              <w:rPr>
                <w:rFonts w:hint="eastAsia" w:ascii="仿宋" w:hAnsi="仿宋" w:eastAsia="仿宋" w:cs="仿宋"/>
                <w:sz w:val="20"/>
                <w:szCs w:val="20"/>
              </w:rPr>
            </w:pPr>
          </w:p>
        </w:tc>
      </w:tr>
      <w:tr w14:paraId="2B93D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63E3E1FA">
            <w:pPr>
              <w:spacing w:after="0" w:line="240" w:lineRule="auto"/>
              <w:rPr>
                <w:rFonts w:hint="eastAsia" w:ascii="仿宋" w:hAnsi="仿宋" w:eastAsia="仿宋" w:cs="仿宋"/>
                <w:sz w:val="20"/>
                <w:szCs w:val="20"/>
              </w:rPr>
            </w:pPr>
          </w:p>
        </w:tc>
        <w:tc>
          <w:tcPr>
            <w:tcW w:w="1524" w:type="dxa"/>
            <w:vMerge w:val="continue"/>
          </w:tcPr>
          <w:p w14:paraId="602082A8">
            <w:pPr>
              <w:spacing w:after="0" w:line="240" w:lineRule="auto"/>
              <w:rPr>
                <w:rFonts w:hint="eastAsia" w:ascii="仿宋" w:hAnsi="仿宋" w:eastAsia="仿宋" w:cs="仿宋"/>
                <w:sz w:val="20"/>
                <w:szCs w:val="20"/>
              </w:rPr>
            </w:pPr>
          </w:p>
        </w:tc>
        <w:tc>
          <w:tcPr>
            <w:tcW w:w="5790" w:type="dxa"/>
            <w:vAlign w:val="center"/>
          </w:tcPr>
          <w:p w14:paraId="3DAFD41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8.4 表头按钮（已确认）</w:t>
            </w:r>
          </w:p>
          <w:p w14:paraId="1FF758E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新增：弹框字段包含：类型（开票/回款）、合同类型、委托方、合同编号（下拉框选择）、超期时间（可配置天数阈值，到达阈值触发提醒）、提醒频率（单选，字典配置，可选项：每天/每周/每月/自定义天数）、状态（单选）、预警推送群组(来源于字典配置)、推送渠道(站内信-强制开启、工作邮箱、手机短信)。</w:t>
            </w:r>
          </w:p>
          <w:p w14:paraId="050252B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o提醒频率天数做字典设置，支持后台新增/编辑/删除频率选项。</w:t>
            </w:r>
          </w:p>
          <w:p w14:paraId="4234101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o弹窗按钮：取消（关闭）、保存（按设定进行定时提醒，推送通知至项目经理）。</w:t>
            </w:r>
          </w:p>
        </w:tc>
        <w:tc>
          <w:tcPr>
            <w:tcW w:w="1381" w:type="dxa"/>
            <w:vAlign w:val="center"/>
          </w:tcPr>
          <w:p w14:paraId="63BB4262">
            <w:pPr>
              <w:spacing w:before="0" w:after="0" w:line="264" w:lineRule="auto"/>
              <w:jc w:val="center"/>
              <w:rPr>
                <w:rFonts w:hint="eastAsia" w:ascii="仿宋" w:hAnsi="仿宋" w:eastAsia="仿宋" w:cs="仿宋"/>
                <w:sz w:val="20"/>
                <w:szCs w:val="20"/>
              </w:rPr>
            </w:pPr>
          </w:p>
        </w:tc>
        <w:tc>
          <w:tcPr>
            <w:tcW w:w="1409" w:type="dxa"/>
            <w:vAlign w:val="center"/>
          </w:tcPr>
          <w:p w14:paraId="2F9B19A2">
            <w:pPr>
              <w:spacing w:before="0" w:after="0" w:line="264" w:lineRule="auto"/>
              <w:jc w:val="center"/>
              <w:rPr>
                <w:rFonts w:hint="eastAsia" w:ascii="仿宋" w:hAnsi="仿宋" w:eastAsia="仿宋" w:cs="仿宋"/>
                <w:sz w:val="20"/>
                <w:szCs w:val="20"/>
              </w:rPr>
            </w:pPr>
          </w:p>
        </w:tc>
        <w:tc>
          <w:tcPr>
            <w:tcW w:w="963" w:type="dxa"/>
            <w:vMerge w:val="continue"/>
          </w:tcPr>
          <w:p w14:paraId="6D35A6AF">
            <w:pPr>
              <w:spacing w:after="0" w:line="240" w:lineRule="auto"/>
              <w:rPr>
                <w:rFonts w:hint="eastAsia" w:ascii="仿宋" w:hAnsi="仿宋" w:eastAsia="仿宋" w:cs="仿宋"/>
                <w:sz w:val="20"/>
                <w:szCs w:val="20"/>
              </w:rPr>
            </w:pPr>
          </w:p>
        </w:tc>
        <w:tc>
          <w:tcPr>
            <w:tcW w:w="1028" w:type="dxa"/>
            <w:vMerge w:val="continue"/>
          </w:tcPr>
          <w:p w14:paraId="06FEA39B">
            <w:pPr>
              <w:spacing w:after="0" w:line="240" w:lineRule="auto"/>
              <w:rPr>
                <w:rFonts w:hint="eastAsia" w:ascii="仿宋" w:hAnsi="仿宋" w:eastAsia="仿宋" w:cs="仿宋"/>
                <w:sz w:val="20"/>
                <w:szCs w:val="20"/>
              </w:rPr>
            </w:pPr>
          </w:p>
        </w:tc>
      </w:tr>
      <w:tr w14:paraId="3F007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58327DF7">
            <w:pPr>
              <w:spacing w:after="0" w:line="240" w:lineRule="auto"/>
              <w:rPr>
                <w:rFonts w:hint="eastAsia" w:ascii="仿宋" w:hAnsi="仿宋" w:eastAsia="仿宋" w:cs="仿宋"/>
                <w:sz w:val="20"/>
                <w:szCs w:val="20"/>
              </w:rPr>
            </w:pPr>
          </w:p>
        </w:tc>
        <w:tc>
          <w:tcPr>
            <w:tcW w:w="1524" w:type="dxa"/>
            <w:vMerge w:val="continue"/>
          </w:tcPr>
          <w:p w14:paraId="63EEDBF7">
            <w:pPr>
              <w:spacing w:after="0" w:line="240" w:lineRule="auto"/>
              <w:rPr>
                <w:rFonts w:hint="eastAsia" w:ascii="仿宋" w:hAnsi="仿宋" w:eastAsia="仿宋" w:cs="仿宋"/>
                <w:sz w:val="20"/>
                <w:szCs w:val="20"/>
              </w:rPr>
            </w:pPr>
          </w:p>
        </w:tc>
        <w:tc>
          <w:tcPr>
            <w:tcW w:w="5790" w:type="dxa"/>
            <w:vAlign w:val="center"/>
          </w:tcPr>
          <w:p w14:paraId="6DCF37B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8.5 表格操作列按钮</w:t>
            </w:r>
          </w:p>
          <w:p w14:paraId="7D7768B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开启：仅关闭状态的提醒可开启。点击弹出确认框，确认后开启提醒，系统按规则推送站内消息至项目经理。</w:t>
            </w:r>
          </w:p>
          <w:p w14:paraId="6BAF20A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关闭：仅开启状态的提醒可关闭，点击确认后关闭提醒。</w:t>
            </w:r>
          </w:p>
          <w:p w14:paraId="5D0931C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删除：点击弹框确认是否删除，确认则删除数据。</w:t>
            </w:r>
          </w:p>
        </w:tc>
        <w:tc>
          <w:tcPr>
            <w:tcW w:w="1381" w:type="dxa"/>
            <w:vAlign w:val="center"/>
          </w:tcPr>
          <w:p w14:paraId="2556AF6B">
            <w:pPr>
              <w:spacing w:before="0" w:after="0" w:line="264" w:lineRule="auto"/>
              <w:jc w:val="center"/>
              <w:rPr>
                <w:rFonts w:hint="eastAsia" w:ascii="仿宋" w:hAnsi="仿宋" w:eastAsia="仿宋" w:cs="仿宋"/>
                <w:sz w:val="20"/>
                <w:szCs w:val="20"/>
              </w:rPr>
            </w:pPr>
          </w:p>
        </w:tc>
        <w:tc>
          <w:tcPr>
            <w:tcW w:w="1409" w:type="dxa"/>
            <w:vAlign w:val="center"/>
          </w:tcPr>
          <w:p w14:paraId="6ADBD5F2">
            <w:pPr>
              <w:spacing w:before="0" w:after="0" w:line="264" w:lineRule="auto"/>
              <w:jc w:val="center"/>
              <w:rPr>
                <w:rFonts w:hint="eastAsia" w:ascii="仿宋" w:hAnsi="仿宋" w:eastAsia="仿宋" w:cs="仿宋"/>
                <w:sz w:val="20"/>
                <w:szCs w:val="20"/>
              </w:rPr>
            </w:pPr>
          </w:p>
        </w:tc>
        <w:tc>
          <w:tcPr>
            <w:tcW w:w="963" w:type="dxa"/>
            <w:vMerge w:val="continue"/>
          </w:tcPr>
          <w:p w14:paraId="4E512FAC">
            <w:pPr>
              <w:spacing w:after="0" w:line="240" w:lineRule="auto"/>
              <w:rPr>
                <w:rFonts w:hint="eastAsia" w:ascii="仿宋" w:hAnsi="仿宋" w:eastAsia="仿宋" w:cs="仿宋"/>
                <w:sz w:val="20"/>
                <w:szCs w:val="20"/>
              </w:rPr>
            </w:pPr>
          </w:p>
        </w:tc>
        <w:tc>
          <w:tcPr>
            <w:tcW w:w="1028" w:type="dxa"/>
            <w:vMerge w:val="continue"/>
          </w:tcPr>
          <w:p w14:paraId="45757018">
            <w:pPr>
              <w:spacing w:after="0" w:line="240" w:lineRule="auto"/>
              <w:rPr>
                <w:rFonts w:hint="eastAsia" w:ascii="仿宋" w:hAnsi="仿宋" w:eastAsia="仿宋" w:cs="仿宋"/>
                <w:sz w:val="20"/>
                <w:szCs w:val="20"/>
              </w:rPr>
            </w:pPr>
          </w:p>
        </w:tc>
      </w:tr>
      <w:tr w14:paraId="34A20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36982498">
            <w:pPr>
              <w:spacing w:after="0" w:line="240" w:lineRule="auto"/>
              <w:rPr>
                <w:rFonts w:hint="eastAsia" w:ascii="仿宋" w:hAnsi="仿宋" w:eastAsia="仿宋" w:cs="仿宋"/>
                <w:sz w:val="20"/>
                <w:szCs w:val="20"/>
              </w:rPr>
            </w:pPr>
          </w:p>
        </w:tc>
        <w:tc>
          <w:tcPr>
            <w:tcW w:w="1524" w:type="dxa"/>
            <w:vMerge w:val="continue"/>
          </w:tcPr>
          <w:p w14:paraId="7F8B3F9B">
            <w:pPr>
              <w:spacing w:after="0" w:line="240" w:lineRule="auto"/>
              <w:rPr>
                <w:rFonts w:hint="eastAsia" w:ascii="仿宋" w:hAnsi="仿宋" w:eastAsia="仿宋" w:cs="仿宋"/>
                <w:sz w:val="20"/>
                <w:szCs w:val="20"/>
              </w:rPr>
            </w:pPr>
          </w:p>
        </w:tc>
        <w:tc>
          <w:tcPr>
            <w:tcW w:w="5790" w:type="dxa"/>
            <w:vAlign w:val="center"/>
          </w:tcPr>
          <w:p w14:paraId="3287384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8.6 提醒推送机制（已确认）</w:t>
            </w:r>
          </w:p>
          <w:p w14:paraId="69DFE75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推送方式：优先采用邮件发送（用户更倾向邮件通知），同时支持站内（PC）消息推送。</w:t>
            </w:r>
          </w:p>
          <w:p w14:paraId="2E7C1FA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消息模板：在系统后台管理页面中，可针对不同的通知类型创建多套消息模板，由管理员选定其中一套为该通知类型的生效模板。模板内变量从该通知所在功能对应字段中动态引用，方便管理员定制不同场景下的通知内容。模板使用EL表达式占位；模板提供启用、停用功能，每个类型的消息仅允许启用一个模板</w:t>
            </w:r>
          </w:p>
          <w:p w14:paraId="5E204C5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提醒频率：每天/每周/每月/自定义天数，均从字典配置中取值，不硬编码。</w:t>
            </w:r>
          </w:p>
          <w:p w14:paraId="58C5836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审批流静默挂起与免打扰机制（2026.03.11新增重要逻辑）：当系统判定满足开票/回款催款提醒阈值时，若该节点当前正处于项目经理发起的【申请延期/异常纠偏】审批流转中（即状态为"待审批"），系统应将该条目的提醒引擎临时挂起置为&lt;静默状态&gt;，暂停连环推送轰炸。必须等待流程彻底终结（同意则修正下次触发时间点；驳回则立即释放静默继续按原规则拉响警报）后执行新的倒排判定。</w:t>
            </w:r>
          </w:p>
          <w:p w14:paraId="37931CB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利润预警通知扩展（联动利润管理模块）：当合同利润率触碰字典配置的预警线时（如 ≤3%）也同步触发邮件/站内消息通知，通知内容包含该合同从签约到成本的完整关键数字(包含当前预警合同的派单明细以及每个派单的成本、产值数据)，方便收件人快速判断是哪个环节导致了预警。提醒频率可配置，持续预警时循环推送，用户可设置屏蔽。</w:t>
            </w:r>
          </w:p>
        </w:tc>
        <w:tc>
          <w:tcPr>
            <w:tcW w:w="1381" w:type="dxa"/>
            <w:vAlign w:val="center"/>
          </w:tcPr>
          <w:p w14:paraId="6B0EA0DC">
            <w:pPr>
              <w:spacing w:before="0" w:after="0" w:line="264" w:lineRule="auto"/>
              <w:jc w:val="center"/>
              <w:rPr>
                <w:rFonts w:hint="eastAsia" w:ascii="仿宋" w:hAnsi="仿宋" w:eastAsia="仿宋" w:cs="仿宋"/>
                <w:sz w:val="20"/>
                <w:szCs w:val="20"/>
              </w:rPr>
            </w:pPr>
          </w:p>
        </w:tc>
        <w:tc>
          <w:tcPr>
            <w:tcW w:w="1409" w:type="dxa"/>
            <w:vAlign w:val="center"/>
          </w:tcPr>
          <w:p w14:paraId="672345B6">
            <w:pPr>
              <w:spacing w:before="0" w:after="0" w:line="264" w:lineRule="auto"/>
              <w:jc w:val="center"/>
              <w:rPr>
                <w:rFonts w:hint="eastAsia" w:ascii="仿宋" w:hAnsi="仿宋" w:eastAsia="仿宋" w:cs="仿宋"/>
                <w:sz w:val="20"/>
                <w:szCs w:val="20"/>
              </w:rPr>
            </w:pPr>
          </w:p>
        </w:tc>
        <w:tc>
          <w:tcPr>
            <w:tcW w:w="963" w:type="dxa"/>
            <w:vMerge w:val="continue"/>
          </w:tcPr>
          <w:p w14:paraId="58B8C3A0">
            <w:pPr>
              <w:spacing w:after="0" w:line="240" w:lineRule="auto"/>
              <w:rPr>
                <w:rFonts w:hint="eastAsia" w:ascii="仿宋" w:hAnsi="仿宋" w:eastAsia="仿宋" w:cs="仿宋"/>
                <w:sz w:val="20"/>
                <w:szCs w:val="20"/>
              </w:rPr>
            </w:pPr>
          </w:p>
        </w:tc>
        <w:tc>
          <w:tcPr>
            <w:tcW w:w="1028" w:type="dxa"/>
            <w:vMerge w:val="continue"/>
          </w:tcPr>
          <w:p w14:paraId="5026F8FE">
            <w:pPr>
              <w:spacing w:after="0" w:line="240" w:lineRule="auto"/>
              <w:rPr>
                <w:rFonts w:hint="eastAsia" w:ascii="仿宋" w:hAnsi="仿宋" w:eastAsia="仿宋" w:cs="仿宋"/>
                <w:sz w:val="20"/>
                <w:szCs w:val="20"/>
              </w:rPr>
            </w:pPr>
          </w:p>
        </w:tc>
      </w:tr>
      <w:tr w14:paraId="42F8B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09A571D2">
            <w:pPr>
              <w:spacing w:after="0" w:line="240" w:lineRule="auto"/>
              <w:rPr>
                <w:rFonts w:hint="eastAsia" w:ascii="仿宋" w:hAnsi="仿宋" w:eastAsia="仿宋" w:cs="仿宋"/>
                <w:sz w:val="20"/>
                <w:szCs w:val="20"/>
              </w:rPr>
            </w:pPr>
          </w:p>
        </w:tc>
        <w:tc>
          <w:tcPr>
            <w:tcW w:w="1524" w:type="dxa"/>
            <w:vMerge w:val="continue"/>
          </w:tcPr>
          <w:p w14:paraId="070D8EB0">
            <w:pPr>
              <w:spacing w:after="0" w:line="240" w:lineRule="auto"/>
              <w:rPr>
                <w:rFonts w:hint="eastAsia" w:ascii="仿宋" w:hAnsi="仿宋" w:eastAsia="仿宋" w:cs="仿宋"/>
                <w:sz w:val="20"/>
                <w:szCs w:val="20"/>
              </w:rPr>
            </w:pPr>
          </w:p>
        </w:tc>
        <w:tc>
          <w:tcPr>
            <w:tcW w:w="5790" w:type="dxa"/>
            <w:vAlign w:val="center"/>
          </w:tcPr>
          <w:p w14:paraId="7577D73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增加项目经理每月固定填报产值时间、预计开票、预计回款的填报时间和入口，按照填写的时间检查项目经理每月是否填报了产值，未填报则按照设定的提醒规则发送消息提醒</w:t>
            </w:r>
          </w:p>
        </w:tc>
        <w:tc>
          <w:tcPr>
            <w:tcW w:w="1381" w:type="dxa"/>
            <w:vAlign w:val="center"/>
          </w:tcPr>
          <w:p w14:paraId="76F22D08">
            <w:pPr>
              <w:spacing w:before="0" w:after="0" w:line="264" w:lineRule="auto"/>
              <w:jc w:val="center"/>
              <w:rPr>
                <w:rFonts w:hint="eastAsia" w:ascii="仿宋" w:hAnsi="仿宋" w:eastAsia="仿宋" w:cs="仿宋"/>
                <w:sz w:val="20"/>
                <w:szCs w:val="20"/>
              </w:rPr>
            </w:pPr>
          </w:p>
        </w:tc>
        <w:tc>
          <w:tcPr>
            <w:tcW w:w="1409" w:type="dxa"/>
            <w:vAlign w:val="center"/>
          </w:tcPr>
          <w:p w14:paraId="4867B444">
            <w:pPr>
              <w:spacing w:before="0" w:after="0" w:line="264" w:lineRule="auto"/>
              <w:jc w:val="center"/>
              <w:rPr>
                <w:rFonts w:hint="eastAsia" w:ascii="仿宋" w:hAnsi="仿宋" w:eastAsia="仿宋" w:cs="仿宋"/>
                <w:sz w:val="20"/>
                <w:szCs w:val="20"/>
              </w:rPr>
            </w:pPr>
          </w:p>
        </w:tc>
        <w:tc>
          <w:tcPr>
            <w:tcW w:w="963" w:type="dxa"/>
            <w:vMerge w:val="continue"/>
          </w:tcPr>
          <w:p w14:paraId="1E0B0DD3">
            <w:pPr>
              <w:spacing w:after="0" w:line="240" w:lineRule="auto"/>
              <w:rPr>
                <w:rFonts w:hint="eastAsia" w:ascii="仿宋" w:hAnsi="仿宋" w:eastAsia="仿宋" w:cs="仿宋"/>
                <w:sz w:val="20"/>
                <w:szCs w:val="20"/>
              </w:rPr>
            </w:pPr>
          </w:p>
        </w:tc>
        <w:tc>
          <w:tcPr>
            <w:tcW w:w="1028" w:type="dxa"/>
            <w:vMerge w:val="continue"/>
          </w:tcPr>
          <w:p w14:paraId="19B5310A">
            <w:pPr>
              <w:spacing w:after="0" w:line="240" w:lineRule="auto"/>
              <w:rPr>
                <w:rFonts w:hint="eastAsia" w:ascii="仿宋" w:hAnsi="仿宋" w:eastAsia="仿宋" w:cs="仿宋"/>
                <w:sz w:val="20"/>
                <w:szCs w:val="20"/>
              </w:rPr>
            </w:pPr>
          </w:p>
        </w:tc>
      </w:tr>
      <w:tr w14:paraId="23E4E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752B43B1">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10</w:t>
            </w:r>
          </w:p>
        </w:tc>
        <w:tc>
          <w:tcPr>
            <w:tcW w:w="1524" w:type="dxa"/>
            <w:vMerge w:val="restart"/>
            <w:vAlign w:val="center"/>
          </w:tcPr>
          <w:p w14:paraId="60959953">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动态成本核算管理</w:t>
            </w:r>
          </w:p>
        </w:tc>
        <w:tc>
          <w:tcPr>
            <w:tcW w:w="5790" w:type="dxa"/>
            <w:vAlign w:val="center"/>
          </w:tcPr>
          <w:p w14:paraId="09DC45B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9.1 动态成本管理 - 支持角色</w:t>
            </w:r>
          </w:p>
          <w:p w14:paraId="1B0F443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项目总监：查看当前用户监管项目相关的合同成本数据</w:t>
            </w:r>
          </w:p>
          <w:p w14:paraId="0A6F5FF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项目经理：查看自己负责的合同以及合同下所有成本数据</w:t>
            </w:r>
          </w:p>
          <w:p w14:paraId="3A8F502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财务、领导层、管理员：查看所有合同及合同下所有成本数据</w:t>
            </w:r>
          </w:p>
          <w:p w14:paraId="70E9479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此项需设置为权限配置项。</w:t>
            </w:r>
          </w:p>
          <w:p w14:paraId="4E73E13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页面标题与角色标识：</w:t>
            </w:r>
          </w:p>
          <w:p w14:paraId="5682114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动态成本核算页面顶部标题栏分为左右两个区域。</w:t>
            </w:r>
          </w:p>
          <w:p w14:paraId="720CA63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左侧标题文字显示为"动态成本核算"，副标题括号内标注"动态成本管理-主页"，说明该页面为成本管理的主入口页面。</w:t>
            </w:r>
          </w:p>
          <w:p w14:paraId="35828DF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右侧显示当前登录用户的角色标识，格式为浅色背景的角色标签，文字内容为"当前角色：项目经理 — 点击各项成本跳转二级明细页"，其中角色名称加粗显示，并在破折号后附加操作提示说明。系统会根据不同角色的权限，自动过滤该角色可查看的合同数据范围。</w:t>
            </w:r>
          </w:p>
        </w:tc>
        <w:tc>
          <w:tcPr>
            <w:tcW w:w="1381" w:type="dxa"/>
            <w:vAlign w:val="center"/>
          </w:tcPr>
          <w:p w14:paraId="27316092">
            <w:pPr>
              <w:spacing w:before="0" w:after="0" w:line="264" w:lineRule="auto"/>
              <w:jc w:val="center"/>
              <w:rPr>
                <w:rFonts w:hint="eastAsia" w:ascii="仿宋" w:hAnsi="仿宋" w:eastAsia="仿宋" w:cs="仿宋"/>
                <w:sz w:val="20"/>
                <w:szCs w:val="20"/>
              </w:rPr>
            </w:pPr>
          </w:p>
        </w:tc>
        <w:tc>
          <w:tcPr>
            <w:tcW w:w="1409" w:type="dxa"/>
            <w:vAlign w:val="center"/>
          </w:tcPr>
          <w:p w14:paraId="726C948E">
            <w:pPr>
              <w:spacing w:before="0" w:after="0" w:line="264" w:lineRule="auto"/>
              <w:jc w:val="center"/>
              <w:rPr>
                <w:rFonts w:hint="eastAsia" w:ascii="仿宋" w:hAnsi="仿宋" w:eastAsia="仿宋" w:cs="仿宋"/>
                <w:sz w:val="20"/>
                <w:szCs w:val="20"/>
              </w:rPr>
            </w:pPr>
          </w:p>
        </w:tc>
        <w:tc>
          <w:tcPr>
            <w:tcW w:w="963" w:type="dxa"/>
            <w:vMerge w:val="restart"/>
            <w:vAlign w:val="center"/>
          </w:tcPr>
          <w:p w14:paraId="08230DF2">
            <w:pPr>
              <w:spacing w:before="0" w:after="0" w:line="264" w:lineRule="auto"/>
              <w:jc w:val="center"/>
              <w:rPr>
                <w:rFonts w:hint="eastAsia" w:ascii="仿宋" w:hAnsi="仿宋" w:eastAsia="仿宋" w:cs="仿宋"/>
                <w:sz w:val="20"/>
                <w:szCs w:val="20"/>
              </w:rPr>
            </w:pPr>
          </w:p>
        </w:tc>
        <w:tc>
          <w:tcPr>
            <w:tcW w:w="1028" w:type="dxa"/>
            <w:vMerge w:val="restart"/>
            <w:vAlign w:val="center"/>
          </w:tcPr>
          <w:p w14:paraId="76669531">
            <w:pPr>
              <w:spacing w:before="0" w:after="0" w:line="264" w:lineRule="auto"/>
              <w:jc w:val="center"/>
              <w:rPr>
                <w:rFonts w:hint="eastAsia" w:ascii="仿宋" w:hAnsi="仿宋" w:eastAsia="仿宋" w:cs="仿宋"/>
                <w:sz w:val="20"/>
                <w:szCs w:val="20"/>
              </w:rPr>
            </w:pPr>
          </w:p>
        </w:tc>
      </w:tr>
      <w:tr w14:paraId="20AF3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0581849E">
            <w:pPr>
              <w:spacing w:after="0" w:line="240" w:lineRule="auto"/>
              <w:rPr>
                <w:rFonts w:hint="eastAsia" w:ascii="仿宋" w:hAnsi="仿宋" w:eastAsia="仿宋" w:cs="仿宋"/>
                <w:sz w:val="20"/>
                <w:szCs w:val="20"/>
              </w:rPr>
            </w:pPr>
          </w:p>
        </w:tc>
        <w:tc>
          <w:tcPr>
            <w:tcW w:w="1524" w:type="dxa"/>
            <w:vMerge w:val="continue"/>
          </w:tcPr>
          <w:p w14:paraId="3C2B49A9">
            <w:pPr>
              <w:spacing w:after="0" w:line="240" w:lineRule="auto"/>
              <w:rPr>
                <w:rFonts w:hint="eastAsia" w:ascii="仿宋" w:hAnsi="仿宋" w:eastAsia="仿宋" w:cs="仿宋"/>
                <w:sz w:val="20"/>
                <w:szCs w:val="20"/>
              </w:rPr>
            </w:pPr>
          </w:p>
        </w:tc>
        <w:tc>
          <w:tcPr>
            <w:tcW w:w="5790" w:type="dxa"/>
            <w:vAlign w:val="center"/>
          </w:tcPr>
          <w:p w14:paraId="0A7AF98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9.2 动态成本管理 - 一级列表字段展示</w:t>
            </w:r>
          </w:p>
          <w:p w14:paraId="223DCEB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成本计算公式面板（实际实现）：</w:t>
            </w:r>
          </w:p>
          <w:p w14:paraId="502EC50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页面标题栏下方设有成本计算公式面板，该面板使用浅蓝色背景，带圆角边框。面板标题显示为"📐 成本核算公式（封装为工具类统一管理）"。</w:t>
            </w:r>
          </w:p>
          <w:p w14:paraId="674766B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面板内容区域横向排列三张公式卡片，每张卡片使用白色背景，带阴影效果：</w:t>
            </w:r>
          </w:p>
          <w:p w14:paraId="56C119A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第一张卡片 - 人员成本：</w:t>
            </w:r>
          </w:p>
          <w:p w14:paraId="6455A70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卡片标题："人员成本"</w:t>
            </w:r>
          </w:p>
          <w:p w14:paraId="435D78B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公式内容：</w:t>
            </w:r>
          </w:p>
          <w:p w14:paraId="33F6945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正式员工、劳务派遣：</w:t>
            </w:r>
          </w:p>
          <w:p w14:paraId="2897B69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o个人成本 = 工时 × 单价</w:t>
            </w:r>
          </w:p>
          <w:p w14:paraId="09D144B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o若同时在N个派单：成本 = (工时÷N) × 单价</w:t>
            </w:r>
          </w:p>
          <w:p w14:paraId="4DA20F2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技术服务：</w:t>
            </w:r>
          </w:p>
          <w:p w14:paraId="1455783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o个人成本 = 工时 × 人员成本</w:t>
            </w:r>
          </w:p>
          <w:p w14:paraId="2B85B84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o若同时在N个派单：成本 = (工时÷N) × 人员成本</w:t>
            </w:r>
          </w:p>
          <w:p w14:paraId="7EC1252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o(保留2位小数)</w:t>
            </w:r>
          </w:p>
          <w:p w14:paraId="5A99208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第二张卡片 - 差旅成本：</w:t>
            </w:r>
          </w:p>
          <w:p w14:paraId="070AA52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卡片标题："差旅成本"</w:t>
            </w:r>
          </w:p>
          <w:p w14:paraId="55B3CBC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公式内容：</w:t>
            </w:r>
          </w:p>
          <w:p w14:paraId="464845D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o按天调整: 总金额÷天数×各CI占天数</w:t>
            </w:r>
          </w:p>
          <w:p w14:paraId="62F36F8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o按金额调整: 总金额÷CI数后手动修改</w:t>
            </w:r>
          </w:p>
          <w:p w14:paraId="7C5CC17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第三张卡片 - 固定支出：</w:t>
            </w:r>
          </w:p>
          <w:p w14:paraId="2F1E413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卡片标题："固定支出"</w:t>
            </w:r>
          </w:p>
          <w:p w14:paraId="0F29520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公式内容：</w:t>
            </w:r>
          </w:p>
          <w:p w14:paraId="1DB582D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 服务人员成本 + 资料费用 + 其他采购费用</w:t>
            </w:r>
          </w:p>
          <w:p w14:paraId="0DCC7F1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面板右上角有一个收起/展开按钮，用户点击后可以折叠或展开公式面板，默认状态为展开显示。</w:t>
            </w:r>
          </w:p>
          <w:p w14:paraId="527BA47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一级页面筛选条件（实际实现）：</w:t>
            </w:r>
          </w:p>
          <w:p w14:paraId="4F2A284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筛选面板使用浅灰色背景，位于成本计算公式面板下方。筛选条件采用多行网格布局，共包含7个筛选项：</w:t>
            </w:r>
          </w:p>
          <w:p w14:paraId="596AAF6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第一行筛选条件（6个筛选项，横向排列）：</w:t>
            </w:r>
          </w:p>
          <w:p w14:paraId="4E12CD4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合同编号：文本输入框，支持关键词模糊搜索；</w:t>
            </w:r>
          </w:p>
          <w:p w14:paraId="6A6070E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合同名称：文本输入框，支持关键词模糊搜索；</w:t>
            </w:r>
          </w:p>
          <w:p w14:paraId="4739FD2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人员成本(元)：数值范围输入框，由"最小"和"最大"两个数字输入框组成，中间以波浪线"~"连接；</w:t>
            </w:r>
          </w:p>
          <w:p w14:paraId="5685008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差旅成本(元)：数值范围输入框，格式同上；</w:t>
            </w:r>
          </w:p>
          <w:p w14:paraId="4FE3B5A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固定支出成本(元)：数值范围输入框，格式同上；</w:t>
            </w:r>
          </w:p>
          <w:p w14:paraId="2A55F1D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成本合计(元)：数值范围输入框，格式同上。</w:t>
            </w:r>
          </w:p>
          <w:p w14:paraId="00DAE5C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操作按钮行从左到右依次为：</w:t>
            </w:r>
          </w:p>
          <w:p w14:paraId="1220EBD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查询按钮（蓝色实心，带🔍图标）：点击后根据筛选条件过滤下方列表数据；</w:t>
            </w:r>
          </w:p>
          <w:p w14:paraId="6C55B47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重置按钮（灰色边框，带↻图标）：点击后清空所有筛选条件并恢复默认列表；</w:t>
            </w:r>
          </w:p>
          <w:p w14:paraId="699984D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固定成本填报按钮（绿色实心，带➕图标）：点击后打开固定成本填报弹窗；</w:t>
            </w:r>
          </w:p>
          <w:p w14:paraId="2BD117D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导出按钮（灰色边框，带📥图标）：点击后打开导出选项弹窗。</w:t>
            </w:r>
          </w:p>
          <w:p w14:paraId="611AFC9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导出功能详细说明：</w:t>
            </w:r>
          </w:p>
          <w:p w14:paraId="0CF3FB5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点击导出按钮后，系统打开导出选项弹窗，弹窗标题为"导出成本明细"。弹窗内容包含以下选项：</w:t>
            </w:r>
          </w:p>
          <w:p w14:paraId="776E971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导出范围选择：</w:t>
            </w:r>
          </w:p>
          <w:p w14:paraId="226EE66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单选按钮组，提供三个选项：</w:t>
            </w:r>
          </w:p>
          <w:p w14:paraId="77724FE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o导出当前页数据（默认选中）</w:t>
            </w:r>
          </w:p>
          <w:p w14:paraId="7D23B00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o导出当前筛选结果全部数据</w:t>
            </w:r>
          </w:p>
          <w:p w14:paraId="58FD0BF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o导出全部数据（不受筛选条件限制）</w:t>
            </w:r>
          </w:p>
          <w:p w14:paraId="4F6B544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导出内容选择：</w:t>
            </w:r>
          </w:p>
          <w:p w14:paraId="291B927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复选框组，提供四个选项（默认全选）：</w:t>
            </w:r>
          </w:p>
          <w:p w14:paraId="0519533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 导出人员成本明细表（单独Sheet）</w:t>
            </w:r>
          </w:p>
          <w:p w14:paraId="664C6E5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 导出差旅成本明细表（单独Sheet）</w:t>
            </w:r>
          </w:p>
          <w:p w14:paraId="04A2D52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 导出固定支出明细表（单独Sheet）</w:t>
            </w:r>
          </w:p>
          <w:p w14:paraId="3EB8BB3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 导出成本汇总表（单独Sheet）</w:t>
            </w:r>
          </w:p>
          <w:p w14:paraId="3C8BA89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导出说明：</w:t>
            </w:r>
          </w:p>
          <w:p w14:paraId="16DC079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人员成本明细表：包含字段为姓名、工时、个人成本(元)、所属合同编号、计算日期</w:t>
            </w:r>
          </w:p>
          <w:p w14:paraId="03509D7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差旅成本明细表：包含字段为姓名、出差单编号、出差天数、分摊天数、差旅成本(元)、所属合同编号</w:t>
            </w:r>
          </w:p>
          <w:p w14:paraId="7AE3E2E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固定支出明细表：包含字段为成本类型、服务人员成本(元)、资料费用(元)、其他采购费用(元)、金额(元)、产生日期、录入人员、所属合同编号</w:t>
            </w:r>
          </w:p>
          <w:p w14:paraId="612783A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成本汇总表：包含字段为合同编号、合同名称、总工时(天)、人员成本(元)、差旅成本(元)、固定支出成本(元)、成本合计(元)</w:t>
            </w:r>
          </w:p>
          <w:p w14:paraId="5F3741E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弹窗底部按钮：</w:t>
            </w:r>
          </w:p>
          <w:p w14:paraId="38AC43B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取消按钮（灰色边框）：关闭弹窗，不执行导出</w:t>
            </w:r>
          </w:p>
          <w:p w14:paraId="076CC3F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确定导出按钮（蓝色实心）：根据选择的选项生成Excel文件并下载，文件名格式为"动态成本明细_YYYYMMDD_HHmmss.xlsx"</w:t>
            </w:r>
          </w:p>
          <w:p w14:paraId="295AF21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成本列表表格：</w:t>
            </w:r>
          </w:p>
          <w:p w14:paraId="5AF6B9B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筛选面板下方是成本列表表格区域，表格采用标准数据表格样式，带边框和斑马纹行背景。</w:t>
            </w:r>
          </w:p>
          <w:p w14:paraId="57C577F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表格列结构从左到右依次为：</w:t>
            </w:r>
          </w:p>
          <w:p w14:paraId="69BBB8C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1.序号列（#）：显示行号，从1开始递增；</w:t>
            </w:r>
          </w:p>
          <w:p w14:paraId="668A46A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2.合同编号列：显示合同的CI编号（如CI-2026-001），文字显示为蓝色带下划线的链接样式，用户点击后可查看该合同的详细信息；</w:t>
            </w:r>
          </w:p>
          <w:p w14:paraId="6C7AA11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3.合同名称列：显示合同的完整名称文字；</w:t>
            </w:r>
          </w:p>
          <w:p w14:paraId="7FA0B6C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4.总工时(天)列：显示该合同下所有派单的累计工时天数，数值右对齐显示；</w:t>
            </w:r>
          </w:p>
          <w:p w14:paraId="45D6170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人员成本(元)列：显示该合同的人员成本总额，数值右对齐显示，保留两位小数，使用千分位分隔符格式化（如66,300.00）。列标题右侧带有上下箭头排序图标，用户点击后可按人员成本金额升序或降序排列表格数据。成本金额文字显示为蓝色带下划线的链接样式，用户点击后跳转到人员成本清单二级页面；</w:t>
            </w:r>
          </w:p>
          <w:p w14:paraId="57D2D06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6.差旅成本(元)列：显示该合同的差旅成本总额，格式和交互方式与人员成本列相同，点击后跳转到差旅成本清单二级页面；</w:t>
            </w:r>
          </w:p>
          <w:p w14:paraId="6BA661C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7.固定支出成本(元)列：显示该合同的固定支出成本总额，格式和交互方式与人员成本列相同，点击后跳转到固定支出清单二级页面；</w:t>
            </w:r>
          </w:p>
          <w:p w14:paraId="40D8982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8.成本合计(元)列：显示该合同的总成本（人员成本+差旅成本+固定支出成本），数值加粗显示，格式和排序功能与其他成本列相同。</w:t>
            </w:r>
          </w:p>
          <w:p w14:paraId="52BCC80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表格数据展示：</w:t>
            </w:r>
          </w:p>
          <w:p w14:paraId="31A05B3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表格主体区域显示10条合同成本记录，每行展示一个合同的完整成本信息。所有金额数值均采用千分位分隔符格式化，保留两位小数，便于阅读。</w:t>
            </w:r>
          </w:p>
          <w:p w14:paraId="2CAE978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成本数据点击跳转：</w:t>
            </w:r>
          </w:p>
          <w:p w14:paraId="6A74499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成本列表表格中的三个成本金额列（人员成本、差旅成本、固定支出成本）均设计为可点击的交互元素，用户点击后可跳转到对应的成本明细二级页面。</w:t>
            </w:r>
          </w:p>
          <w:p w14:paraId="3D70B7C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点击交互设计：</w:t>
            </w:r>
          </w:p>
          <w:p w14:paraId="3CB9FEB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三个成本金额列中的数值均显示为蓝色文字，带有下划线样式，鼠标悬停时光标变为手型，提示用户该数值可点击。</w:t>
            </w:r>
          </w:p>
          <w:p w14:paraId="3FDAB92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跳转行为：</w:t>
            </w:r>
          </w:p>
          <w:p w14:paraId="56D7FDE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点击"人员成本"列中的金额数字后，系统打开"人员成本清单页"弹窗，展示该合同编号下所有监理人员的工时明细和个人成本计算结果；</w:t>
            </w:r>
          </w:p>
          <w:p w14:paraId="343DE4D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点击"差旅成本"列中的金额数字后，系统打开"差旅成本清单页"弹窗，展示该合同编号下所有出差单的差旅报销明细和成本分摊情况；</w:t>
            </w:r>
          </w:p>
          <w:p w14:paraId="6815C6B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点击"固定支出成本"列中的金额数字后，系统打开"固定成本支出清单页"弹窗，展示该合同编号下所有固定支出项目的费用明细和录入记录。</w:t>
            </w:r>
          </w:p>
          <w:p w14:paraId="6B8C758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弹窗标题：</w:t>
            </w:r>
          </w:p>
          <w:p w14:paraId="2182981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每个二级页面弹窗的标题格式为"[成本类型]清单 - [合同编号]"，例如"人员成本清单 - CI-2026-001"，方便用户识别当前查看的是哪个合同的哪类成本明细。</w:t>
            </w:r>
          </w:p>
          <w:p w14:paraId="70ADFE4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分页功能：</w:t>
            </w:r>
          </w:p>
          <w:p w14:paraId="231005E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成本列表表格下方配置了完整的分页组件，采用三区域横向布局设计。</w:t>
            </w:r>
          </w:p>
          <w:p w14:paraId="0AA244E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左侧区域：</w:t>
            </w:r>
          </w:p>
          <w:p w14:paraId="099DBB3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显示统计信息和每页条数选择器。统计信息文字格式为"共 X 条记录"，其中数字加粗显示。紧邻右侧是每页显示条数的下拉选择框，提供三个选项：10条/页、20条/页、50条/页，用户可根据需要选择每页显示的数据条数。</w:t>
            </w:r>
          </w:p>
          <w:p w14:paraId="4E93060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中间区域：</w:t>
            </w:r>
          </w:p>
          <w:p w14:paraId="3B52B0C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翻页按钮组，从左到右依次为：上一页按钮（灰色边框，当前为第1页时禁用显示为灰色不可点击状态）、页码数字按钮（当前页码按钮显示为蓝色背景高亮，其他页码按钮为白色背景）、下一页按钮（灰色边框，当前为最后一页时禁用）。页码按钮最多显示5个连续页码，超出时使用省略号表示。</w:t>
            </w:r>
          </w:p>
          <w:p w14:paraId="6089929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右侧区域：</w:t>
            </w:r>
          </w:p>
          <w:p w14:paraId="5446B7F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快速跳转输入框，文字提示"前往"，后接一个数字输入框（宽度40px，文字居中显示，默认值为当前页码），最后是文字"页"。用户可在输入框中直接输入目标页码，按回车键后快速跳转到指定页面。</w:t>
            </w:r>
          </w:p>
          <w:p w14:paraId="18F1161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交互行为：</w:t>
            </w:r>
          </w:p>
          <w:p w14:paraId="1CBE0CD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用户点击页码按钮或上一页/下一页按钮后，表格数据立即刷新显示对应页的数据，当前页码按钮高亮显示。修改每页显示条数后，系统自动重新计算总页数并刷新表格数据，页码自动回到第1页。</w:t>
            </w:r>
          </w:p>
        </w:tc>
        <w:tc>
          <w:tcPr>
            <w:tcW w:w="1381" w:type="dxa"/>
            <w:vAlign w:val="center"/>
          </w:tcPr>
          <w:p w14:paraId="1CB4DF8E">
            <w:pPr>
              <w:spacing w:before="0" w:after="0" w:line="264" w:lineRule="auto"/>
              <w:jc w:val="center"/>
              <w:rPr>
                <w:rFonts w:hint="eastAsia" w:ascii="仿宋" w:hAnsi="仿宋" w:eastAsia="仿宋" w:cs="仿宋"/>
                <w:sz w:val="20"/>
                <w:szCs w:val="20"/>
              </w:rPr>
            </w:pPr>
          </w:p>
        </w:tc>
        <w:tc>
          <w:tcPr>
            <w:tcW w:w="1409" w:type="dxa"/>
            <w:vAlign w:val="center"/>
          </w:tcPr>
          <w:p w14:paraId="12C16DFB">
            <w:pPr>
              <w:spacing w:before="0" w:after="0" w:line="264" w:lineRule="auto"/>
              <w:jc w:val="center"/>
              <w:rPr>
                <w:rFonts w:hint="eastAsia" w:ascii="仿宋" w:hAnsi="仿宋" w:eastAsia="仿宋" w:cs="仿宋"/>
                <w:sz w:val="20"/>
                <w:szCs w:val="20"/>
              </w:rPr>
            </w:pPr>
          </w:p>
        </w:tc>
        <w:tc>
          <w:tcPr>
            <w:tcW w:w="963" w:type="dxa"/>
            <w:vMerge w:val="continue"/>
          </w:tcPr>
          <w:p w14:paraId="57524384">
            <w:pPr>
              <w:spacing w:after="0" w:line="240" w:lineRule="auto"/>
              <w:rPr>
                <w:rFonts w:hint="eastAsia" w:ascii="仿宋" w:hAnsi="仿宋" w:eastAsia="仿宋" w:cs="仿宋"/>
                <w:sz w:val="20"/>
                <w:szCs w:val="20"/>
              </w:rPr>
            </w:pPr>
          </w:p>
        </w:tc>
        <w:tc>
          <w:tcPr>
            <w:tcW w:w="1028" w:type="dxa"/>
            <w:vMerge w:val="continue"/>
          </w:tcPr>
          <w:p w14:paraId="00EBC349">
            <w:pPr>
              <w:spacing w:after="0" w:line="240" w:lineRule="auto"/>
              <w:rPr>
                <w:rFonts w:hint="eastAsia" w:ascii="仿宋" w:hAnsi="仿宋" w:eastAsia="仿宋" w:cs="仿宋"/>
                <w:sz w:val="20"/>
                <w:szCs w:val="20"/>
              </w:rPr>
            </w:pPr>
          </w:p>
        </w:tc>
      </w:tr>
      <w:tr w14:paraId="02E25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2B8CE69E">
            <w:pPr>
              <w:spacing w:after="0" w:line="240" w:lineRule="auto"/>
              <w:rPr>
                <w:rFonts w:hint="eastAsia" w:ascii="仿宋" w:hAnsi="仿宋" w:eastAsia="仿宋" w:cs="仿宋"/>
                <w:sz w:val="20"/>
                <w:szCs w:val="20"/>
              </w:rPr>
            </w:pPr>
          </w:p>
        </w:tc>
        <w:tc>
          <w:tcPr>
            <w:tcW w:w="1524" w:type="dxa"/>
            <w:vMerge w:val="continue"/>
          </w:tcPr>
          <w:p w14:paraId="467C4427">
            <w:pPr>
              <w:spacing w:after="0" w:line="240" w:lineRule="auto"/>
              <w:rPr>
                <w:rFonts w:hint="eastAsia" w:ascii="仿宋" w:hAnsi="仿宋" w:eastAsia="仿宋" w:cs="仿宋"/>
                <w:sz w:val="20"/>
                <w:szCs w:val="20"/>
              </w:rPr>
            </w:pPr>
          </w:p>
        </w:tc>
        <w:tc>
          <w:tcPr>
            <w:tcW w:w="5790" w:type="dxa"/>
            <w:vAlign w:val="center"/>
          </w:tcPr>
          <w:p w14:paraId="66C2D77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9.3 动态成本管理 - 成本二级页面</w:t>
            </w:r>
          </w:p>
          <w:p w14:paraId="626F6F3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点击表格中的"人员成本"、"差旅成本"、"固定支出成本"字段可跳入对应二级页面。</w:t>
            </w:r>
          </w:p>
          <w:p w14:paraId="14BCCBF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（一）人员成本清单页</w:t>
            </w:r>
          </w:p>
          <w:p w14:paraId="52FB67F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用户在一级页面点击某个合同的"人员成本"列中的金额数字后，系统打开人员成本清单弹窗。弹窗标题格式为"人员成本清单 - [合同编号]"，例如"人员成本清单 - CI-2026-001"。</w:t>
            </w:r>
          </w:p>
          <w:p w14:paraId="3489BC2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筛选条件区域：</w:t>
            </w:r>
          </w:p>
          <w:p w14:paraId="1C84A77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筛选面板使用浅灰色背景，包含两个筛选条件横向排列：</w:t>
            </w:r>
          </w:p>
          <w:p w14:paraId="6956078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姓名：文本输入框，支持输入监理人员姓名进行模糊搜索；</w:t>
            </w:r>
          </w:p>
          <w:p w14:paraId="30705AD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日期范围：由"开始日期"和"结束日期"两个日期选择器组成，中间以波浪线"~"连接，用于筛选指定时间段内的工时记录。</w:t>
            </w:r>
          </w:p>
          <w:p w14:paraId="7D42F52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筛选区域右侧有两个操作按钮：</w:t>
            </w:r>
          </w:p>
          <w:p w14:paraId="61B05FC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查询按钮（蓝色实心）：点击后根据筛选条件过滤下方列表数据；</w:t>
            </w:r>
          </w:p>
          <w:p w14:paraId="4D59E6A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重置按钮（灰色边框）：点击后清空所有筛选条件并恢复默认列表。</w:t>
            </w:r>
          </w:p>
          <w:p w14:paraId="3E2F3D8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表头区域按钮：</w:t>
            </w:r>
          </w:p>
          <w:p w14:paraId="29885B9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筛选面板下方、表格上方有一个导出按钮（绿色实心，带📥图标），点击后弹出导出选项弹窗。</w:t>
            </w:r>
          </w:p>
          <w:p w14:paraId="1AD0404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导出选项弹窗：</w:t>
            </w:r>
          </w:p>
          <w:p w14:paraId="01BF1CC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点击导出按钮后，系统在当前人员成本清单弹窗之上打开第三级导出选项弹窗（模态对话框层叠）。导出弹窗标题为"导出人员成本明细"。</w:t>
            </w:r>
          </w:p>
          <w:p w14:paraId="6DB2B66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弹窗内容包含以下选项：</w:t>
            </w:r>
          </w:p>
          <w:p w14:paraId="6189C3E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导出范围选择：</w:t>
            </w:r>
          </w:p>
          <w:p w14:paraId="03C04DC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单选按钮组，提供两个选项：</w:t>
            </w:r>
          </w:p>
          <w:p w14:paraId="327690C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 导出当前筛选结果全部数据（默认选中）</w:t>
            </w:r>
          </w:p>
          <w:p w14:paraId="5B420DF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 导出当前勾选的记录（需在表格中勾选复选框）</w:t>
            </w:r>
          </w:p>
          <w:p w14:paraId="66DB68A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导出字段说明：</w:t>
            </w:r>
          </w:p>
          <w:p w14:paraId="0143A89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导出Excel文件包含字段：序号、姓名、工时、个人成本(元)</w:t>
            </w:r>
          </w:p>
          <w:p w14:paraId="00B41D5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弹窗底部按钮：</w:t>
            </w:r>
          </w:p>
          <w:p w14:paraId="3E14BA2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取消按钮（灰色边框）：关闭导出弹窗，不执行导出</w:t>
            </w:r>
          </w:p>
          <w:p w14:paraId="641B932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确定导出按钮（蓝色实心）：根据选择的选项生成Excel文件并下载，文件名格式为"人员成本明细[合同编号]YYYYMMDD_HHmmss.xlsx"</w:t>
            </w:r>
          </w:p>
          <w:p w14:paraId="77032B5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表格结构：</w:t>
            </w:r>
          </w:p>
          <w:p w14:paraId="7FC1289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表格采用标准数据表格样式，带边框和斑马纹行背景。表格列从左到右依次为：</w:t>
            </w:r>
          </w:p>
          <w:p w14:paraId="79D89FA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复选框列：每行前有复选框，用户可勾选多条记录用于选择性导出；</w:t>
            </w:r>
          </w:p>
          <w:p w14:paraId="6CA4D86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序号列（#）：显示行号，从1开始递增；</w:t>
            </w:r>
          </w:p>
          <w:p w14:paraId="0B34E53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姓名列：显示监理人员的姓名；</w:t>
            </w:r>
          </w:p>
          <w:p w14:paraId="34A0B0F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工时列：显示该人员在当前合同下的累计工时天数，数值右对齐显示；</w:t>
            </w:r>
          </w:p>
          <w:p w14:paraId="65BFE86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个人成本(元)列：显示该人员在当前合同下的成本总额，数值右对齐显示，保留两位小数，使用千分位分隔符格式化（如12,300.50）。</w:t>
            </w:r>
          </w:p>
          <w:p w14:paraId="58E7D6F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成本计算规则说明：</w:t>
            </w:r>
          </w:p>
          <w:p w14:paraId="0296439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列表以监理人员为维度展示数据。若某监理人员同时在多个派单下工作，其在本合同下的成本按派单数平均分摊计算。具体计算公式为：该监理在本合同下的成本 = 其日薪基数 ÷ 当日总挂派单数，计算结果保留2位小数。</w:t>
            </w:r>
          </w:p>
          <w:p w14:paraId="1381C7A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多派单日成本平均分摊计算示例：</w:t>
            </w:r>
          </w:p>
          <w:p w14:paraId="658F38D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假设监理人员张三的日薪基数为600元/天，在2026年3月某日同时在3个派单下工作（派单A、派单B、派单C），其中派单A属于合同CI-2026-001。</w:t>
            </w:r>
          </w:p>
          <w:p w14:paraId="48CFE41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计算步骤：</w:t>
            </w:r>
          </w:p>
          <w:p w14:paraId="55E24B8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 当日总挂派单数 = 3个</w:t>
            </w:r>
          </w:p>
          <w:p w14:paraId="67A4A9B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 当日分摊到每个派单的成本 = 600元 ÷ 3 = 200.00元</w:t>
            </w:r>
          </w:p>
          <w:p w14:paraId="62D5CB0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 派单A（属于CI-2026-001）当日成本 = 200.00元</w:t>
            </w:r>
          </w:p>
          <w:p w14:paraId="1214697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 如果张三在CI-2026-001合同下工作了10天，且每天都同时在3个派单下工作，则：</w:t>
            </w:r>
          </w:p>
          <w:p w14:paraId="5F1649E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 张三在CI-2026-001合同下的总成本 = 200.00元/天 × 10天 = 2,000.00元</w:t>
            </w:r>
          </w:p>
          <w:p w14:paraId="4D9B3CF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 表格中显示：姓名=张三，工时=10，个人成本(元)=2,000.00</w:t>
            </w:r>
          </w:p>
          <w:p w14:paraId="223B90C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需要注意的是，产值计算不做平均分摊，只有成本做平均分摊。</w:t>
            </w:r>
          </w:p>
          <w:p w14:paraId="6712804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工资数据安全处理：</w:t>
            </w:r>
          </w:p>
          <w:p w14:paraId="22684F0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人员薪资数据在系统中完全密文存储，前端任何界面（包括本页面）均不展示明文工资数字。用户无法通过点击、鼠标悬停或任何其他操作查看人员的实际工资单价。系统仅对外呈现"个人成本"（工时×单价的计算结果值），不暴露单价本身。</w:t>
            </w:r>
          </w:p>
          <w:p w14:paraId="7B3A30C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分页组件：</w:t>
            </w:r>
          </w:p>
          <w:p w14:paraId="08F7EB4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表格下方配置了分页组件，左侧显示总记录数，中间为翻页按钮（上一页、页码、下一页），右侧为跳转到指定页码输入框。</w:t>
            </w:r>
          </w:p>
          <w:p w14:paraId="0301F84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弹窗底部按钮：</w:t>
            </w:r>
          </w:p>
          <w:p w14:paraId="0896825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弹窗底部有一个"关闭"按钮，点击后关闭当前弹窗，返回到动态成本核算主页。</w:t>
            </w:r>
          </w:p>
          <w:p w14:paraId="55E80F9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导入按钮：增加技术服务成本导入按钮，可以对当前合同的技术服务成本结果数据进行导入，</w:t>
            </w:r>
          </w:p>
          <w:p w14:paraId="2905021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（二）差旅成本清单页</w:t>
            </w:r>
          </w:p>
          <w:p w14:paraId="44C43DC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用户在一级页面点击某个合同的"差旅成本"列中的金额数字后，系统打开差旅成本清单弹窗。弹窗标题格式为"差旅成本清单 - [合同编号]"，例如"差旅成本清单 - CI-2026-001"。</w:t>
            </w:r>
          </w:p>
          <w:p w14:paraId="450381A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筛选条件区域：</w:t>
            </w:r>
          </w:p>
          <w:p w14:paraId="3EAD310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筛选面板使用浅灰色背景，包含三个筛选条件横向排列：</w:t>
            </w:r>
          </w:p>
          <w:p w14:paraId="2108191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姓名：文本输入框，支持输入出差人员姓名进行模糊搜索；</w:t>
            </w:r>
          </w:p>
          <w:p w14:paraId="6C3038E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日期范围：由"开始日期"和"结束日期"两个日期选择器组成，中间以波浪线"~"连接，用于筛选指定时间段内的出差记录；</w:t>
            </w:r>
          </w:p>
          <w:p w14:paraId="71F3BE4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出差单编号：文本输入框，支持输入出差单编号进行精确或模糊搜索。</w:t>
            </w:r>
          </w:p>
          <w:p w14:paraId="6483F9D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筛选区域右侧有两个操作按钮：</w:t>
            </w:r>
          </w:p>
          <w:p w14:paraId="665A27B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查询按钮（蓝色实心）：点击后根据筛选条件过滤下方列表数据；</w:t>
            </w:r>
          </w:p>
          <w:p w14:paraId="3F55846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重置按钮（灰色边框）：点击后清空所有筛选条件并恢复默认列表。</w:t>
            </w:r>
          </w:p>
          <w:p w14:paraId="66A8601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表头区域按钮：</w:t>
            </w:r>
          </w:p>
          <w:p w14:paraId="6896FE6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筛选面板下方、表格上方有一个导出按钮（绿色实心，带📥图标），点击后可将当前筛选结果的差旅成本数据导出为Excel文件。</w:t>
            </w:r>
          </w:p>
          <w:p w14:paraId="14952B3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表格结构：</w:t>
            </w:r>
          </w:p>
          <w:p w14:paraId="76BC8DB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表格采用标准数据表格样式，带边框和斑马纹行背景。表格列从左到右依次为：</w:t>
            </w:r>
          </w:p>
          <w:p w14:paraId="2B6E04D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序号列（#）：显示行号，从1开始递增；</w:t>
            </w:r>
          </w:p>
          <w:p w14:paraId="417711E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姓名列：显示出差人员的姓名；</w:t>
            </w:r>
          </w:p>
          <w:p w14:paraId="292F7C9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出差单编号列：显示该出差单的唯一编号；</w:t>
            </w:r>
          </w:p>
          <w:p w14:paraId="205D696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出差天数列：显示该出差单的总出差天数，数值右对齐显示；</w:t>
            </w:r>
          </w:p>
          <w:p w14:paraId="6AA8F75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分摊天数列：显示该出差单在当前合同下分摊的天数，数值右对齐显示；</w:t>
            </w:r>
          </w:p>
          <w:p w14:paraId="5844232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差旅成本(元)列：显示该出差单在当前合同下分摊的差旅成本金额，数值右对齐显示，保留两位小数，使用千分位分隔符格式化（如2,400.00）；</w:t>
            </w:r>
          </w:p>
          <w:p w14:paraId="15A35C0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操作列：包含"调整"按钮。</w:t>
            </w:r>
          </w:p>
          <w:p w14:paraId="0ECC780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数据展示说明：</w:t>
            </w:r>
          </w:p>
          <w:p w14:paraId="253A0CB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列表以出差单为维度展示数据，一个出差单对应一条记录。每条记录展示该出差单在当前选中合同编号下的差旅成本分摊情况。</w:t>
            </w:r>
          </w:p>
          <w:p w14:paraId="0EB6E81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操作列"调整"按钮：</w:t>
            </w:r>
          </w:p>
          <w:p w14:paraId="7364A66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点击某条出差记录的"调整"按钮后，系统打开差旅成本调整弹窗。</w:t>
            </w:r>
          </w:p>
          <w:p w14:paraId="61A61A3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差旅成本调整弹窗内容：</w:t>
            </w:r>
          </w:p>
          <w:p w14:paraId="057CB1B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弹窗标题显示为"差旅成本调整 - [出差单编号]"，例如"差旅成本调整 - CC-20260201-001"。</w:t>
            </w:r>
          </w:p>
          <w:p w14:paraId="68332E8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弹窗顶部显示该出差单的基本信息：出差人员姓名、出差总天数、差旅总金额（只读展示，不可修改）。</w:t>
            </w:r>
          </w:p>
          <w:p w14:paraId="0F0D364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弹窗中部显示该出差单关联的所有合同编号列表，采用表格形式展示，表格列包含：</w:t>
            </w:r>
          </w:p>
          <w:p w14:paraId="394DAC0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合同编号：显示CI编号；</w:t>
            </w:r>
          </w:p>
          <w:p w14:paraId="09F1E70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分摊天数：数字输入框，用户可手动修改该合同占据的出差天数；</w:t>
            </w:r>
          </w:p>
          <w:p w14:paraId="27B6665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分摊金额(元)：数字输入框，用户可手动修改该合同分摊的差旅成本金额。</w:t>
            </w:r>
          </w:p>
          <w:p w14:paraId="216C54F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调整方式说明：</w:t>
            </w:r>
          </w:p>
          <w:p w14:paraId="337E63F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弹窗中提供两种调整方式的说明文字：</w:t>
            </w:r>
          </w:p>
          <w:p w14:paraId="3B1E81C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按天调整：系统将差旅总金额除以出差总天数，得到每天的平均成本。用户修改各合同的"分摊天数"输入框中的数值，系统自动计算该合同应分摊的金额（分摊天数 × 每天平均成本），并实时更新"分摊金额"列的数值。</w:t>
            </w:r>
          </w:p>
          <w:p w14:paraId="6F08380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按金额调整：系统将差旅总金额除以关联合同数量，得到每个合同的平均分摊金额，作为初始值填入"分摊金额"输入框。用户可直接修改各合同的"分摊金额"输入框中的数值，手动分配差旅成本。</w:t>
            </w:r>
          </w:p>
          <w:p w14:paraId="0ABF35C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权限控制：</w:t>
            </w:r>
          </w:p>
          <w:p w14:paraId="3E6BC4E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系统根据当前登录用户的角色，控制调整权限：</w:t>
            </w:r>
          </w:p>
          <w:p w14:paraId="5EDF053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财务角色：可以同时修改"分摊天数"和"分摊金额"两列，既可按天调整，也可按金额调整；</w:t>
            </w:r>
          </w:p>
          <w:p w14:paraId="08B6A70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出差人员本人：只能修改"分摊天数"列，"分摊金额"列为只读状态，只能按天数调整，不能直接修改金额。</w:t>
            </w:r>
          </w:p>
          <w:p w14:paraId="30F364F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弹窗底部按钮：</w:t>
            </w:r>
          </w:p>
          <w:p w14:paraId="60C84D7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弹窗底部有两个按钮：</w:t>
            </w:r>
          </w:p>
          <w:p w14:paraId="0226428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取消按钮（灰色边框）：点击后关闭弹窗，不保存任何修改；</w:t>
            </w:r>
          </w:p>
          <w:p w14:paraId="78E2C6B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确定按钮（蓝色实心）：点击后保存调整结果，系统重新计算各合同的差旅成本分摊金额，关闭弹窗并刷新差旅成本清单页的数据。</w:t>
            </w:r>
          </w:p>
          <w:p w14:paraId="42F1412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分页组件：</w:t>
            </w:r>
          </w:p>
          <w:p w14:paraId="090FB13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差旅成本清单表格下方配置了分页组件，左侧显示总记录数，中间为翻页按钮（上一页、页码、下一页），右侧为跳转到指定页码输入框。</w:t>
            </w:r>
          </w:p>
          <w:p w14:paraId="2732AC8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弹窗底部按钮：</w:t>
            </w:r>
          </w:p>
          <w:p w14:paraId="373F44F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差旅成本清单弹窗底部有一个"关闭"按钮，点击后关闭当前弹窗，返回到动态成本核算主页。</w:t>
            </w:r>
          </w:p>
          <w:p w14:paraId="0926DAF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（三）固定成本支出清单页</w:t>
            </w:r>
          </w:p>
          <w:p w14:paraId="342D685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用户在一级页面点击某个合同的"固定支出成本"列中的金额数字后，系统打开固定成本支出清单弹窗。弹窗标题格式为"固定成本支出清单 - [合同编号]"，例如"固定成本支出清单 - CI-2026-001"。</w:t>
            </w:r>
          </w:p>
          <w:p w14:paraId="55676C1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筛选条件区域：</w:t>
            </w:r>
          </w:p>
          <w:p w14:paraId="057847C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筛选面板使用浅灰色背景，包含一个筛选条件：</w:t>
            </w:r>
          </w:p>
          <w:p w14:paraId="5DAA711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成本类型：下拉选择框，选项从系统字典配置中获取，支持后台管理员新增、编辑或删除成本类型选项。</w:t>
            </w:r>
          </w:p>
          <w:p w14:paraId="4921C5C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筛选区域右侧有两个操作按钮：</w:t>
            </w:r>
          </w:p>
          <w:p w14:paraId="7692D71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查询按钮（蓝色实心）：点击后根据筛选条件过滤下方列表数据；</w:t>
            </w:r>
          </w:p>
          <w:p w14:paraId="3164C1D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重置按钮（灰色边框）：点击后清空所有筛选条件并恢复默认列表。</w:t>
            </w:r>
          </w:p>
          <w:p w14:paraId="3C5832D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表头区域按钮：</w:t>
            </w:r>
          </w:p>
          <w:p w14:paraId="7E9444B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筛选面板下方、表格上方有两个按钮：</w:t>
            </w:r>
          </w:p>
          <w:p w14:paraId="13821CE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导出按钮（绿色实心，带📥图标）：点击后可将当前筛选结果的固定成本数据导出为Excel文件；</w:t>
            </w:r>
          </w:p>
          <w:p w14:paraId="44732FE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新增按钮（蓝色实心，带➕图标）：点击后打开固定成本填报弹窗，用于录入新的固定成本记录。</w:t>
            </w:r>
          </w:p>
          <w:p w14:paraId="4E41D40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表格结构：</w:t>
            </w:r>
          </w:p>
          <w:p w14:paraId="31ED1E9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表格采用标准数据表格样式，带边框和斑马纹行背景。表格列从左到右依次为：</w:t>
            </w:r>
          </w:p>
          <w:p w14:paraId="13D6F51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序号列（#）：显示行号，从1开始递增；</w:t>
            </w:r>
          </w:p>
          <w:p w14:paraId="035570E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成本类型列：显示该固定成本项目的类型分类（如"服务人员成本"、"资料费用"、"其他采购费用"等），类型选项来自系统字典配置；</w:t>
            </w:r>
          </w:p>
          <w:p w14:paraId="04625AB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服务人员成本(元)列：显示该项目中服务人员成本的金额，数值右对齐显示，保留两位小数，使用千分位分隔符格式化；</w:t>
            </w:r>
          </w:p>
          <w:p w14:paraId="603A4A6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资料费用(元)列：显示该项目中资料费用的金额，格式同上；</w:t>
            </w:r>
          </w:p>
          <w:p w14:paraId="6B318AB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其他采购费用(元)列：显示该项目中其他采购费用的金额，格式同上；</w:t>
            </w:r>
          </w:p>
          <w:p w14:paraId="578E256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金额(元)列：显示该固定成本项目的总金额（服务人员成本+资料费用+其他采购费用），数值加粗显示，格式同上；</w:t>
            </w:r>
          </w:p>
          <w:p w14:paraId="03A1C7B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产生日期列：显示该固定成本项目的产生日期；</w:t>
            </w:r>
          </w:p>
          <w:p w14:paraId="4320A3B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录入人员列：显示录入该条记录的人员姓名。</w:t>
            </w:r>
          </w:p>
          <w:p w14:paraId="297FC48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固定成本填报弹窗：</w:t>
            </w:r>
          </w:p>
          <w:p w14:paraId="6E10FDD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用户点击表头区域的"新增"按钮后，系统打开固定成本填报弹窗。弹窗标题显示为"固定成本填报"。</w:t>
            </w:r>
          </w:p>
          <w:p w14:paraId="5AC80CC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弹窗内容区域包含以下输入字段：</w:t>
            </w:r>
          </w:p>
          <w:p w14:paraId="191AC8C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成本类型：下拉选择框（必填），选项从系统字典配置中获取，用户选择该固定成本项目所属的类型分类；</w:t>
            </w:r>
          </w:p>
          <w:p w14:paraId="35A2FC4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服务人员成本(元)：数字输入框（必填），用户输入服务人员成本金额，支持小数点后两位；</w:t>
            </w:r>
          </w:p>
          <w:p w14:paraId="2337FD3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资料费用(元)：数字输入框（必填），用户输入资料费用金额，支持小数点后两位；</w:t>
            </w:r>
          </w:p>
          <w:p w14:paraId="5D8530D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其他采购费用(元)：数字输入框（必填），用户输入其他采购费用金额，支持小数点后两位；</w:t>
            </w:r>
          </w:p>
          <w:p w14:paraId="638E380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金额(元)：只读显示字段，系统自动计算并显示总金额（服务人员成本+资料费用+其他采购费用），用户无法手动修改；</w:t>
            </w:r>
          </w:p>
          <w:p w14:paraId="7CFE0CD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产生日期：日期选择器（必填），用户选择该固定成本项目的产生日期；</w:t>
            </w:r>
          </w:p>
          <w:p w14:paraId="5C5E4E8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备注：多行文本输入框（选填），用户可填写该固定成本项目的相关说明。</w:t>
            </w:r>
          </w:p>
          <w:p w14:paraId="6743140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弹窗底部有三个按钮：</w:t>
            </w:r>
          </w:p>
          <w:p w14:paraId="1BFA135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取消按钮（灰色边框）：点击后关闭弹窗，不保存任何数据，不进行必填字段校验；</w:t>
            </w:r>
          </w:p>
          <w:p w14:paraId="7729E9D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保存按钮（灰色边框）：点击后暂存数据，不进行必填字段校验，数据不生效，用户可稍后继续编辑；</w:t>
            </w:r>
          </w:p>
          <w:p w14:paraId="0622825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提交按钮（蓝色实心）：点击后进行必填字段校验，校验通过则保存数据并生效，关闭弹窗并刷新固定成本清单列表。</w:t>
            </w:r>
          </w:p>
          <w:p w14:paraId="4EB851F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分页组件：</w:t>
            </w:r>
          </w:p>
          <w:p w14:paraId="655CF13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固定成本清单表格下方配置了分页组件，左侧显示总记录数，中间为翻页按钮（上一页、页码、下一页），右侧为跳转到指定页码输入框。</w:t>
            </w:r>
          </w:p>
          <w:p w14:paraId="6218B98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弹窗底部按钮：</w:t>
            </w:r>
          </w:p>
          <w:p w14:paraId="1D76793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固定成本清单弹窗底部有一个"关闭"按钮，点击后关闭当前弹窗，返回到动态成本核算主页。</w:t>
            </w:r>
          </w:p>
        </w:tc>
        <w:tc>
          <w:tcPr>
            <w:tcW w:w="1381" w:type="dxa"/>
            <w:vAlign w:val="center"/>
          </w:tcPr>
          <w:p w14:paraId="02962506">
            <w:pPr>
              <w:spacing w:before="0" w:after="0" w:line="264" w:lineRule="auto"/>
              <w:jc w:val="center"/>
              <w:rPr>
                <w:rFonts w:hint="eastAsia" w:ascii="仿宋" w:hAnsi="仿宋" w:eastAsia="仿宋" w:cs="仿宋"/>
                <w:sz w:val="20"/>
                <w:szCs w:val="20"/>
              </w:rPr>
            </w:pPr>
          </w:p>
        </w:tc>
        <w:tc>
          <w:tcPr>
            <w:tcW w:w="1409" w:type="dxa"/>
            <w:vAlign w:val="center"/>
          </w:tcPr>
          <w:p w14:paraId="454E55A2">
            <w:pPr>
              <w:spacing w:before="0" w:after="0" w:line="264" w:lineRule="auto"/>
              <w:jc w:val="center"/>
              <w:rPr>
                <w:rFonts w:hint="eastAsia" w:ascii="仿宋" w:hAnsi="仿宋" w:eastAsia="仿宋" w:cs="仿宋"/>
                <w:sz w:val="20"/>
                <w:szCs w:val="20"/>
              </w:rPr>
            </w:pPr>
          </w:p>
        </w:tc>
        <w:tc>
          <w:tcPr>
            <w:tcW w:w="963" w:type="dxa"/>
            <w:vMerge w:val="continue"/>
          </w:tcPr>
          <w:p w14:paraId="764E1527">
            <w:pPr>
              <w:spacing w:after="0" w:line="240" w:lineRule="auto"/>
              <w:rPr>
                <w:rFonts w:hint="eastAsia" w:ascii="仿宋" w:hAnsi="仿宋" w:eastAsia="仿宋" w:cs="仿宋"/>
                <w:sz w:val="20"/>
                <w:szCs w:val="20"/>
              </w:rPr>
            </w:pPr>
          </w:p>
        </w:tc>
        <w:tc>
          <w:tcPr>
            <w:tcW w:w="1028" w:type="dxa"/>
            <w:vMerge w:val="continue"/>
          </w:tcPr>
          <w:p w14:paraId="21734B5B">
            <w:pPr>
              <w:spacing w:after="0" w:line="240" w:lineRule="auto"/>
              <w:rPr>
                <w:rFonts w:hint="eastAsia" w:ascii="仿宋" w:hAnsi="仿宋" w:eastAsia="仿宋" w:cs="仿宋"/>
                <w:sz w:val="20"/>
                <w:szCs w:val="20"/>
              </w:rPr>
            </w:pPr>
          </w:p>
        </w:tc>
      </w:tr>
      <w:tr w14:paraId="3A1DA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4A723512">
            <w:pPr>
              <w:spacing w:after="0" w:line="240" w:lineRule="auto"/>
              <w:rPr>
                <w:rFonts w:hint="eastAsia" w:ascii="仿宋" w:hAnsi="仿宋" w:eastAsia="仿宋" w:cs="仿宋"/>
                <w:sz w:val="20"/>
                <w:szCs w:val="20"/>
              </w:rPr>
            </w:pPr>
          </w:p>
        </w:tc>
        <w:tc>
          <w:tcPr>
            <w:tcW w:w="1524" w:type="dxa"/>
            <w:vMerge w:val="continue"/>
          </w:tcPr>
          <w:p w14:paraId="2223E996">
            <w:pPr>
              <w:spacing w:after="0" w:line="240" w:lineRule="auto"/>
              <w:rPr>
                <w:rFonts w:hint="eastAsia" w:ascii="仿宋" w:hAnsi="仿宋" w:eastAsia="仿宋" w:cs="仿宋"/>
                <w:sz w:val="20"/>
                <w:szCs w:val="20"/>
              </w:rPr>
            </w:pPr>
          </w:p>
        </w:tc>
        <w:tc>
          <w:tcPr>
            <w:tcW w:w="5790" w:type="dxa"/>
            <w:vAlign w:val="center"/>
          </w:tcPr>
          <w:p w14:paraId="44CF239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9.4 差旅报销管理 - 支持角色</w:t>
            </w:r>
          </w:p>
          <w:p w14:paraId="6CA6297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项目总监：查看当前用户监管项目的相关合同号产生的差旅成本</w:t>
            </w:r>
          </w:p>
          <w:p w14:paraId="52F8267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项目经理：查看当前用户有权限的合同号(CI编号)相关的差旅成本</w:t>
            </w:r>
          </w:p>
          <w:p w14:paraId="79D6E31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财务、领导层、管理员：查看所有差旅报销数据</w:t>
            </w:r>
          </w:p>
          <w:p w14:paraId="100D87E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每个人都有权限导入自己的数据（按钮级别的功能权限分配，关联角色，后期由管理员调整）。</w:t>
            </w:r>
          </w:p>
          <w:p w14:paraId="2666385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差旅成本金额调整权限：财务和本人可调整，本人只能按照天数调整。</w:t>
            </w:r>
          </w:p>
        </w:tc>
        <w:tc>
          <w:tcPr>
            <w:tcW w:w="1381" w:type="dxa"/>
            <w:vAlign w:val="center"/>
          </w:tcPr>
          <w:p w14:paraId="5943C1C9">
            <w:pPr>
              <w:spacing w:before="0" w:after="0" w:line="264" w:lineRule="auto"/>
              <w:jc w:val="center"/>
              <w:rPr>
                <w:rFonts w:hint="eastAsia" w:ascii="仿宋" w:hAnsi="仿宋" w:eastAsia="仿宋" w:cs="仿宋"/>
                <w:sz w:val="20"/>
                <w:szCs w:val="20"/>
              </w:rPr>
            </w:pPr>
          </w:p>
        </w:tc>
        <w:tc>
          <w:tcPr>
            <w:tcW w:w="1409" w:type="dxa"/>
            <w:vAlign w:val="center"/>
          </w:tcPr>
          <w:p w14:paraId="3E352DE2">
            <w:pPr>
              <w:spacing w:before="0" w:after="0" w:line="264" w:lineRule="auto"/>
              <w:jc w:val="center"/>
              <w:rPr>
                <w:rFonts w:hint="eastAsia" w:ascii="仿宋" w:hAnsi="仿宋" w:eastAsia="仿宋" w:cs="仿宋"/>
                <w:sz w:val="20"/>
                <w:szCs w:val="20"/>
              </w:rPr>
            </w:pPr>
          </w:p>
        </w:tc>
        <w:tc>
          <w:tcPr>
            <w:tcW w:w="963" w:type="dxa"/>
            <w:vMerge w:val="continue"/>
          </w:tcPr>
          <w:p w14:paraId="6B6D0C27">
            <w:pPr>
              <w:spacing w:after="0" w:line="240" w:lineRule="auto"/>
              <w:rPr>
                <w:rFonts w:hint="eastAsia" w:ascii="仿宋" w:hAnsi="仿宋" w:eastAsia="仿宋" w:cs="仿宋"/>
                <w:sz w:val="20"/>
                <w:szCs w:val="20"/>
              </w:rPr>
            </w:pPr>
          </w:p>
        </w:tc>
        <w:tc>
          <w:tcPr>
            <w:tcW w:w="1028" w:type="dxa"/>
            <w:vMerge w:val="continue"/>
          </w:tcPr>
          <w:p w14:paraId="139EA820">
            <w:pPr>
              <w:spacing w:after="0" w:line="240" w:lineRule="auto"/>
              <w:rPr>
                <w:rFonts w:hint="eastAsia" w:ascii="仿宋" w:hAnsi="仿宋" w:eastAsia="仿宋" w:cs="仿宋"/>
                <w:sz w:val="20"/>
                <w:szCs w:val="20"/>
              </w:rPr>
            </w:pPr>
          </w:p>
        </w:tc>
      </w:tr>
      <w:tr w14:paraId="6F80E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5AA7AAF1">
            <w:pPr>
              <w:spacing w:after="0" w:line="240" w:lineRule="auto"/>
              <w:rPr>
                <w:rFonts w:hint="eastAsia" w:ascii="仿宋" w:hAnsi="仿宋" w:eastAsia="仿宋" w:cs="仿宋"/>
                <w:sz w:val="20"/>
                <w:szCs w:val="20"/>
              </w:rPr>
            </w:pPr>
          </w:p>
        </w:tc>
        <w:tc>
          <w:tcPr>
            <w:tcW w:w="1524" w:type="dxa"/>
            <w:vMerge w:val="continue"/>
          </w:tcPr>
          <w:p w14:paraId="3BCFE746">
            <w:pPr>
              <w:spacing w:after="0" w:line="240" w:lineRule="auto"/>
              <w:rPr>
                <w:rFonts w:hint="eastAsia" w:ascii="仿宋" w:hAnsi="仿宋" w:eastAsia="仿宋" w:cs="仿宋"/>
                <w:sz w:val="20"/>
                <w:szCs w:val="20"/>
              </w:rPr>
            </w:pPr>
          </w:p>
        </w:tc>
        <w:tc>
          <w:tcPr>
            <w:tcW w:w="5790" w:type="dxa"/>
            <w:vAlign w:val="center"/>
          </w:tcPr>
          <w:p w14:paraId="43AF916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9.5 差旅报销管理 - 页面设计(已整合共享中心给出的表格)</w:t>
            </w:r>
          </w:p>
          <w:p w14:paraId="51DFA3A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筛选条件：出差单编号、姓名</w:t>
            </w:r>
          </w:p>
          <w:p w14:paraId="4815999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筛选区域按钮：查询、重置</w:t>
            </w:r>
          </w:p>
          <w:p w14:paraId="6EDAE86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表头区域按钮：导入（支持 Excel ，导入后自动落库与合同关联计算）</w:t>
            </w:r>
          </w:p>
          <w:p w14:paraId="352C6BD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表格字段：姓名、出差单编号、出差天数、分摊天数、差旅成本</w:t>
            </w:r>
          </w:p>
          <w:p w14:paraId="585207D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操作栏按钮：调整（弹窗，同差旅成本清单页的调整规则，支持"按天调整"和"按金额调整"两种方式）</w:t>
            </w:r>
          </w:p>
          <w:p w14:paraId="6990DF5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说明（已确认）：导入后支持内联编辑（直接在列表中修改），同时保留弹窗调整入口，确保数据可控。差旅报销数据字段需要更加详细，具体字段在执行过程中可进一步补充。</w:t>
            </w:r>
          </w:p>
          <w:p w14:paraId="5B173C2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(导入数据时，excel模板中提供用户ID相关字段，用于关联报销单与平台用户信息；提供WBS字段用于关联平台合同信息)</w:t>
            </w:r>
          </w:p>
        </w:tc>
        <w:tc>
          <w:tcPr>
            <w:tcW w:w="1381" w:type="dxa"/>
            <w:vAlign w:val="center"/>
          </w:tcPr>
          <w:p w14:paraId="43ED4C23">
            <w:pPr>
              <w:spacing w:before="0" w:after="0" w:line="264" w:lineRule="auto"/>
              <w:jc w:val="center"/>
              <w:rPr>
                <w:rFonts w:hint="eastAsia" w:ascii="仿宋" w:hAnsi="仿宋" w:eastAsia="仿宋" w:cs="仿宋"/>
                <w:sz w:val="20"/>
                <w:szCs w:val="20"/>
              </w:rPr>
            </w:pPr>
          </w:p>
        </w:tc>
        <w:tc>
          <w:tcPr>
            <w:tcW w:w="1409" w:type="dxa"/>
            <w:vAlign w:val="center"/>
          </w:tcPr>
          <w:p w14:paraId="646A3943">
            <w:pPr>
              <w:spacing w:before="0" w:after="0" w:line="264" w:lineRule="auto"/>
              <w:jc w:val="center"/>
              <w:rPr>
                <w:rFonts w:hint="eastAsia" w:ascii="仿宋" w:hAnsi="仿宋" w:eastAsia="仿宋" w:cs="仿宋"/>
                <w:sz w:val="20"/>
                <w:szCs w:val="20"/>
              </w:rPr>
            </w:pPr>
          </w:p>
        </w:tc>
        <w:tc>
          <w:tcPr>
            <w:tcW w:w="963" w:type="dxa"/>
            <w:vMerge w:val="continue"/>
          </w:tcPr>
          <w:p w14:paraId="22BC56B8">
            <w:pPr>
              <w:spacing w:after="0" w:line="240" w:lineRule="auto"/>
              <w:rPr>
                <w:rFonts w:hint="eastAsia" w:ascii="仿宋" w:hAnsi="仿宋" w:eastAsia="仿宋" w:cs="仿宋"/>
                <w:sz w:val="20"/>
                <w:szCs w:val="20"/>
              </w:rPr>
            </w:pPr>
          </w:p>
        </w:tc>
        <w:tc>
          <w:tcPr>
            <w:tcW w:w="1028" w:type="dxa"/>
            <w:vMerge w:val="continue"/>
          </w:tcPr>
          <w:p w14:paraId="6A12C5D0">
            <w:pPr>
              <w:spacing w:after="0" w:line="240" w:lineRule="auto"/>
              <w:rPr>
                <w:rFonts w:hint="eastAsia" w:ascii="仿宋" w:hAnsi="仿宋" w:eastAsia="仿宋" w:cs="仿宋"/>
                <w:sz w:val="20"/>
                <w:szCs w:val="20"/>
              </w:rPr>
            </w:pPr>
          </w:p>
        </w:tc>
      </w:tr>
      <w:tr w14:paraId="6D5AD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67CFD6F9">
            <w:pPr>
              <w:spacing w:after="0" w:line="240" w:lineRule="auto"/>
              <w:rPr>
                <w:rFonts w:hint="eastAsia" w:ascii="仿宋" w:hAnsi="仿宋" w:eastAsia="仿宋" w:cs="仿宋"/>
                <w:sz w:val="20"/>
                <w:szCs w:val="20"/>
              </w:rPr>
            </w:pPr>
          </w:p>
        </w:tc>
        <w:tc>
          <w:tcPr>
            <w:tcW w:w="1524" w:type="dxa"/>
            <w:vMerge w:val="continue"/>
          </w:tcPr>
          <w:p w14:paraId="370FE707">
            <w:pPr>
              <w:spacing w:after="0" w:line="240" w:lineRule="auto"/>
              <w:rPr>
                <w:rFonts w:hint="eastAsia" w:ascii="仿宋" w:hAnsi="仿宋" w:eastAsia="仿宋" w:cs="仿宋"/>
                <w:sz w:val="20"/>
                <w:szCs w:val="20"/>
              </w:rPr>
            </w:pPr>
          </w:p>
        </w:tc>
        <w:tc>
          <w:tcPr>
            <w:tcW w:w="5790" w:type="dxa"/>
            <w:vAlign w:val="center"/>
          </w:tcPr>
          <w:p w14:paraId="1ED1F2A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9.6 人员工资管理</w:t>
            </w:r>
          </w:p>
          <w:p w14:paraId="65377E1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支持角色：财务、人事</w:t>
            </w:r>
          </w:p>
          <w:p w14:paraId="44057B4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表头区域按钮：导入（支持 Excel 批量导入，导入模板待提供）</w:t>
            </w:r>
          </w:p>
          <w:p w14:paraId="7B092D0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表格字段：账号、姓名、电话、部门、性别、工资</w:t>
            </w:r>
          </w:p>
          <w:p w14:paraId="4D7AC73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筛选条件：姓名</w:t>
            </w:r>
          </w:p>
          <w:p w14:paraId="6EE7114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筛选区域按钮：查询、重置</w:t>
            </w:r>
          </w:p>
          <w:p w14:paraId="13226E2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表格操作栏按钮：导入（支持单条和多条导入）。</w:t>
            </w:r>
          </w:p>
          <w:p w14:paraId="643827D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o导入时，若人员工资与已有记录不符，则记录已有数据为历史工资。</w:t>
            </w:r>
          </w:p>
          <w:p w14:paraId="0EBDCB8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工资脱敏（已确认-最终结论）：工资字段在数据库中必须密文存储，在系统所有界面（包括列表、弹窗、导出等）中统一显示为"****"，彻底禁止任何点击或悬停操作来查看明文工资。此数据仅后台计算用，对人不可见。</w:t>
            </w:r>
          </w:p>
        </w:tc>
        <w:tc>
          <w:tcPr>
            <w:tcW w:w="1381" w:type="dxa"/>
            <w:vAlign w:val="center"/>
          </w:tcPr>
          <w:p w14:paraId="6C912ABA">
            <w:pPr>
              <w:spacing w:before="0" w:after="0" w:line="264" w:lineRule="auto"/>
              <w:jc w:val="center"/>
              <w:rPr>
                <w:rFonts w:hint="eastAsia" w:ascii="仿宋" w:hAnsi="仿宋" w:eastAsia="仿宋" w:cs="仿宋"/>
                <w:sz w:val="20"/>
                <w:szCs w:val="20"/>
              </w:rPr>
            </w:pPr>
          </w:p>
        </w:tc>
        <w:tc>
          <w:tcPr>
            <w:tcW w:w="1409" w:type="dxa"/>
            <w:vAlign w:val="center"/>
          </w:tcPr>
          <w:p w14:paraId="0463418B">
            <w:pPr>
              <w:spacing w:before="0" w:after="0" w:line="264" w:lineRule="auto"/>
              <w:jc w:val="center"/>
              <w:rPr>
                <w:rFonts w:hint="eastAsia" w:ascii="仿宋" w:hAnsi="仿宋" w:eastAsia="仿宋" w:cs="仿宋"/>
                <w:sz w:val="20"/>
                <w:szCs w:val="20"/>
              </w:rPr>
            </w:pPr>
          </w:p>
        </w:tc>
        <w:tc>
          <w:tcPr>
            <w:tcW w:w="963" w:type="dxa"/>
            <w:vMerge w:val="continue"/>
          </w:tcPr>
          <w:p w14:paraId="3C9C39B2">
            <w:pPr>
              <w:spacing w:after="0" w:line="240" w:lineRule="auto"/>
              <w:rPr>
                <w:rFonts w:hint="eastAsia" w:ascii="仿宋" w:hAnsi="仿宋" w:eastAsia="仿宋" w:cs="仿宋"/>
                <w:sz w:val="20"/>
                <w:szCs w:val="20"/>
              </w:rPr>
            </w:pPr>
          </w:p>
        </w:tc>
        <w:tc>
          <w:tcPr>
            <w:tcW w:w="1028" w:type="dxa"/>
            <w:vMerge w:val="continue"/>
          </w:tcPr>
          <w:p w14:paraId="36D3EEF1">
            <w:pPr>
              <w:spacing w:after="0" w:line="240" w:lineRule="auto"/>
              <w:rPr>
                <w:rFonts w:hint="eastAsia" w:ascii="仿宋" w:hAnsi="仿宋" w:eastAsia="仿宋" w:cs="仿宋"/>
                <w:sz w:val="20"/>
                <w:szCs w:val="20"/>
              </w:rPr>
            </w:pPr>
          </w:p>
        </w:tc>
      </w:tr>
      <w:tr w14:paraId="7052D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7602FD0D">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11</w:t>
            </w:r>
          </w:p>
        </w:tc>
        <w:tc>
          <w:tcPr>
            <w:tcW w:w="1524" w:type="dxa"/>
            <w:vMerge w:val="restart"/>
            <w:vAlign w:val="center"/>
          </w:tcPr>
          <w:p w14:paraId="54093C62">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利润管理</w:t>
            </w:r>
          </w:p>
        </w:tc>
        <w:tc>
          <w:tcPr>
            <w:tcW w:w="5790" w:type="dxa"/>
            <w:vAlign w:val="center"/>
          </w:tcPr>
          <w:p w14:paraId="4E7C58F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10.1 支持角色</w:t>
            </w:r>
          </w:p>
          <w:p w14:paraId="7798B2E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项目总监：查看当前用户监管项目相关的利润数据</w:t>
            </w:r>
          </w:p>
          <w:p w14:paraId="71A4E93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项目经理：查看当前用户有权限的合同号(CI编号)相关的利润数据</w:t>
            </w:r>
          </w:p>
          <w:p w14:paraId="7A3B96A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财务、领导层、管理员：查看所有合同的利润数据</w:t>
            </w:r>
          </w:p>
        </w:tc>
        <w:tc>
          <w:tcPr>
            <w:tcW w:w="1381" w:type="dxa"/>
            <w:vAlign w:val="center"/>
          </w:tcPr>
          <w:p w14:paraId="08F5DAE4">
            <w:pPr>
              <w:spacing w:before="0" w:after="0" w:line="264" w:lineRule="auto"/>
              <w:jc w:val="center"/>
              <w:rPr>
                <w:rFonts w:hint="eastAsia" w:ascii="仿宋" w:hAnsi="仿宋" w:eastAsia="仿宋" w:cs="仿宋"/>
                <w:sz w:val="20"/>
                <w:szCs w:val="20"/>
              </w:rPr>
            </w:pPr>
          </w:p>
        </w:tc>
        <w:tc>
          <w:tcPr>
            <w:tcW w:w="1409" w:type="dxa"/>
            <w:vAlign w:val="center"/>
          </w:tcPr>
          <w:p w14:paraId="6A91F01B">
            <w:pPr>
              <w:spacing w:before="0" w:after="0" w:line="264" w:lineRule="auto"/>
              <w:jc w:val="center"/>
              <w:rPr>
                <w:rFonts w:hint="eastAsia" w:ascii="仿宋" w:hAnsi="仿宋" w:eastAsia="仿宋" w:cs="仿宋"/>
                <w:sz w:val="20"/>
                <w:szCs w:val="20"/>
              </w:rPr>
            </w:pPr>
          </w:p>
        </w:tc>
        <w:tc>
          <w:tcPr>
            <w:tcW w:w="963" w:type="dxa"/>
            <w:vMerge w:val="restart"/>
            <w:vAlign w:val="center"/>
          </w:tcPr>
          <w:p w14:paraId="106DD585">
            <w:pPr>
              <w:spacing w:before="0" w:after="0" w:line="264" w:lineRule="auto"/>
              <w:jc w:val="center"/>
              <w:rPr>
                <w:rFonts w:hint="eastAsia" w:ascii="仿宋" w:hAnsi="仿宋" w:eastAsia="仿宋" w:cs="仿宋"/>
                <w:sz w:val="20"/>
                <w:szCs w:val="20"/>
              </w:rPr>
            </w:pPr>
          </w:p>
        </w:tc>
        <w:tc>
          <w:tcPr>
            <w:tcW w:w="1028" w:type="dxa"/>
            <w:vMerge w:val="restart"/>
            <w:vAlign w:val="center"/>
          </w:tcPr>
          <w:p w14:paraId="091300E9">
            <w:pPr>
              <w:spacing w:before="0" w:after="0" w:line="264" w:lineRule="auto"/>
              <w:jc w:val="center"/>
              <w:rPr>
                <w:rFonts w:hint="eastAsia" w:ascii="仿宋" w:hAnsi="仿宋" w:eastAsia="仿宋" w:cs="仿宋"/>
                <w:sz w:val="20"/>
                <w:szCs w:val="20"/>
              </w:rPr>
            </w:pPr>
          </w:p>
        </w:tc>
      </w:tr>
      <w:tr w14:paraId="67D8F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19450DD2">
            <w:pPr>
              <w:spacing w:after="0" w:line="240" w:lineRule="auto"/>
              <w:rPr>
                <w:rFonts w:hint="eastAsia" w:ascii="仿宋" w:hAnsi="仿宋" w:eastAsia="仿宋" w:cs="仿宋"/>
                <w:sz w:val="20"/>
                <w:szCs w:val="20"/>
              </w:rPr>
            </w:pPr>
          </w:p>
        </w:tc>
        <w:tc>
          <w:tcPr>
            <w:tcW w:w="1524" w:type="dxa"/>
            <w:vMerge w:val="continue"/>
          </w:tcPr>
          <w:p w14:paraId="0AB534AB">
            <w:pPr>
              <w:spacing w:after="0" w:line="240" w:lineRule="auto"/>
              <w:rPr>
                <w:rFonts w:hint="eastAsia" w:ascii="仿宋" w:hAnsi="仿宋" w:eastAsia="仿宋" w:cs="仿宋"/>
                <w:sz w:val="20"/>
                <w:szCs w:val="20"/>
              </w:rPr>
            </w:pPr>
          </w:p>
        </w:tc>
        <w:tc>
          <w:tcPr>
            <w:tcW w:w="5790" w:type="dxa"/>
            <w:vAlign w:val="center"/>
          </w:tcPr>
          <w:p w14:paraId="20A857C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10.2 表格字段</w:t>
            </w:r>
          </w:p>
          <w:p w14:paraId="35FE1BE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合同编号、合同名称、项目经理、委托方、制造方、总产值、总成本、利润。</w:t>
            </w:r>
          </w:p>
          <w:p w14:paraId="1190B35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利润预警颜色标识（已确认，支持字典配置阈值）：</w:t>
            </w:r>
          </w:p>
          <w:p w14:paraId="49FCC66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o绿色：利润率高于配置阈值（运营正常）</w:t>
            </w:r>
          </w:p>
          <w:p w14:paraId="3E79C10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o橙色：利润率处于0% ~ 配置危险线（如≤3%，岌岌可危，需关注）</w:t>
            </w:r>
          </w:p>
          <w:p w14:paraId="58C1DAA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o红色：利润率 ≤ 0%（亏损，需立即处理）</w:t>
            </w:r>
          </w:p>
          <w:p w14:paraId="0907988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o颜色阈值的百分比数值全部设置为系统管理员可配置项，不硬编码。</w:t>
            </w:r>
          </w:p>
        </w:tc>
        <w:tc>
          <w:tcPr>
            <w:tcW w:w="1381" w:type="dxa"/>
            <w:vAlign w:val="center"/>
          </w:tcPr>
          <w:p w14:paraId="172565DB">
            <w:pPr>
              <w:spacing w:before="0" w:after="0" w:line="264" w:lineRule="auto"/>
              <w:jc w:val="center"/>
              <w:rPr>
                <w:rFonts w:hint="eastAsia" w:ascii="仿宋" w:hAnsi="仿宋" w:eastAsia="仿宋" w:cs="仿宋"/>
                <w:sz w:val="20"/>
                <w:szCs w:val="20"/>
              </w:rPr>
            </w:pPr>
          </w:p>
        </w:tc>
        <w:tc>
          <w:tcPr>
            <w:tcW w:w="1409" w:type="dxa"/>
            <w:vAlign w:val="center"/>
          </w:tcPr>
          <w:p w14:paraId="2F43E248">
            <w:pPr>
              <w:spacing w:before="0" w:after="0" w:line="264" w:lineRule="auto"/>
              <w:jc w:val="center"/>
              <w:rPr>
                <w:rFonts w:hint="eastAsia" w:ascii="仿宋" w:hAnsi="仿宋" w:eastAsia="仿宋" w:cs="仿宋"/>
                <w:sz w:val="20"/>
                <w:szCs w:val="20"/>
              </w:rPr>
            </w:pPr>
          </w:p>
        </w:tc>
        <w:tc>
          <w:tcPr>
            <w:tcW w:w="963" w:type="dxa"/>
            <w:vMerge w:val="continue"/>
          </w:tcPr>
          <w:p w14:paraId="086315A3">
            <w:pPr>
              <w:spacing w:after="0" w:line="240" w:lineRule="auto"/>
              <w:rPr>
                <w:rFonts w:hint="eastAsia" w:ascii="仿宋" w:hAnsi="仿宋" w:eastAsia="仿宋" w:cs="仿宋"/>
                <w:sz w:val="20"/>
                <w:szCs w:val="20"/>
              </w:rPr>
            </w:pPr>
          </w:p>
        </w:tc>
        <w:tc>
          <w:tcPr>
            <w:tcW w:w="1028" w:type="dxa"/>
            <w:vMerge w:val="continue"/>
          </w:tcPr>
          <w:p w14:paraId="62A81FF5">
            <w:pPr>
              <w:spacing w:after="0" w:line="240" w:lineRule="auto"/>
              <w:rPr>
                <w:rFonts w:hint="eastAsia" w:ascii="仿宋" w:hAnsi="仿宋" w:eastAsia="仿宋" w:cs="仿宋"/>
                <w:sz w:val="20"/>
                <w:szCs w:val="20"/>
              </w:rPr>
            </w:pPr>
          </w:p>
        </w:tc>
      </w:tr>
      <w:tr w14:paraId="3D52B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58AA4BAD">
            <w:pPr>
              <w:spacing w:after="0" w:line="240" w:lineRule="auto"/>
              <w:rPr>
                <w:rFonts w:hint="eastAsia" w:ascii="仿宋" w:hAnsi="仿宋" w:eastAsia="仿宋" w:cs="仿宋"/>
                <w:sz w:val="20"/>
                <w:szCs w:val="20"/>
              </w:rPr>
            </w:pPr>
          </w:p>
        </w:tc>
        <w:tc>
          <w:tcPr>
            <w:tcW w:w="1524" w:type="dxa"/>
            <w:vMerge w:val="continue"/>
          </w:tcPr>
          <w:p w14:paraId="2EB35964">
            <w:pPr>
              <w:spacing w:after="0" w:line="240" w:lineRule="auto"/>
              <w:rPr>
                <w:rFonts w:hint="eastAsia" w:ascii="仿宋" w:hAnsi="仿宋" w:eastAsia="仿宋" w:cs="仿宋"/>
                <w:sz w:val="20"/>
                <w:szCs w:val="20"/>
              </w:rPr>
            </w:pPr>
          </w:p>
        </w:tc>
        <w:tc>
          <w:tcPr>
            <w:tcW w:w="5790" w:type="dxa"/>
            <w:vAlign w:val="center"/>
          </w:tcPr>
          <w:p w14:paraId="42BED9BC">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10.3 查询时筛选条件</w:t>
            </w:r>
          </w:p>
          <w:p w14:paraId="138DAFE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合同编号、合同名称、项目经理、委托方、制造方、时间范围，支持筛选条件自定义（关联查询）。</w:t>
            </w:r>
          </w:p>
          <w:p w14:paraId="1BDA4CE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筛选区域按钮：查询、高级查询、重置</w:t>
            </w:r>
          </w:p>
        </w:tc>
        <w:tc>
          <w:tcPr>
            <w:tcW w:w="1381" w:type="dxa"/>
            <w:vAlign w:val="center"/>
          </w:tcPr>
          <w:p w14:paraId="6A855F73">
            <w:pPr>
              <w:spacing w:before="0" w:after="0" w:line="264" w:lineRule="auto"/>
              <w:jc w:val="center"/>
              <w:rPr>
                <w:rFonts w:hint="eastAsia" w:ascii="仿宋" w:hAnsi="仿宋" w:eastAsia="仿宋" w:cs="仿宋"/>
                <w:sz w:val="20"/>
                <w:szCs w:val="20"/>
              </w:rPr>
            </w:pPr>
          </w:p>
        </w:tc>
        <w:tc>
          <w:tcPr>
            <w:tcW w:w="1409" w:type="dxa"/>
            <w:vAlign w:val="center"/>
          </w:tcPr>
          <w:p w14:paraId="0C27D95A">
            <w:pPr>
              <w:spacing w:before="0" w:after="0" w:line="264" w:lineRule="auto"/>
              <w:jc w:val="center"/>
              <w:rPr>
                <w:rFonts w:hint="eastAsia" w:ascii="仿宋" w:hAnsi="仿宋" w:eastAsia="仿宋" w:cs="仿宋"/>
                <w:sz w:val="20"/>
                <w:szCs w:val="20"/>
              </w:rPr>
            </w:pPr>
          </w:p>
        </w:tc>
        <w:tc>
          <w:tcPr>
            <w:tcW w:w="963" w:type="dxa"/>
            <w:vMerge w:val="continue"/>
          </w:tcPr>
          <w:p w14:paraId="5722F614">
            <w:pPr>
              <w:spacing w:after="0" w:line="240" w:lineRule="auto"/>
              <w:rPr>
                <w:rFonts w:hint="eastAsia" w:ascii="仿宋" w:hAnsi="仿宋" w:eastAsia="仿宋" w:cs="仿宋"/>
                <w:sz w:val="20"/>
                <w:szCs w:val="20"/>
              </w:rPr>
            </w:pPr>
          </w:p>
        </w:tc>
        <w:tc>
          <w:tcPr>
            <w:tcW w:w="1028" w:type="dxa"/>
            <w:vMerge w:val="continue"/>
          </w:tcPr>
          <w:p w14:paraId="50F47E0B">
            <w:pPr>
              <w:spacing w:after="0" w:line="240" w:lineRule="auto"/>
              <w:rPr>
                <w:rFonts w:hint="eastAsia" w:ascii="仿宋" w:hAnsi="仿宋" w:eastAsia="仿宋" w:cs="仿宋"/>
                <w:sz w:val="20"/>
                <w:szCs w:val="20"/>
              </w:rPr>
            </w:pPr>
          </w:p>
        </w:tc>
      </w:tr>
      <w:tr w14:paraId="4A271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4A08996C">
            <w:pPr>
              <w:spacing w:after="0" w:line="240" w:lineRule="auto"/>
              <w:rPr>
                <w:rFonts w:hint="eastAsia" w:ascii="仿宋" w:hAnsi="仿宋" w:eastAsia="仿宋" w:cs="仿宋"/>
                <w:sz w:val="20"/>
                <w:szCs w:val="20"/>
              </w:rPr>
            </w:pPr>
          </w:p>
        </w:tc>
        <w:tc>
          <w:tcPr>
            <w:tcW w:w="1524" w:type="dxa"/>
            <w:vMerge w:val="continue"/>
          </w:tcPr>
          <w:p w14:paraId="577CE983">
            <w:pPr>
              <w:spacing w:after="0" w:line="240" w:lineRule="auto"/>
              <w:rPr>
                <w:rFonts w:hint="eastAsia" w:ascii="仿宋" w:hAnsi="仿宋" w:eastAsia="仿宋" w:cs="仿宋"/>
                <w:sz w:val="20"/>
                <w:szCs w:val="20"/>
              </w:rPr>
            </w:pPr>
          </w:p>
        </w:tc>
        <w:tc>
          <w:tcPr>
            <w:tcW w:w="5790" w:type="dxa"/>
            <w:vAlign w:val="center"/>
          </w:tcPr>
          <w:p w14:paraId="06123EB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10.4 表头区域按钮</w:t>
            </w:r>
          </w:p>
          <w:p w14:paraId="0A97D28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支持导出（格式支持 Excel ，导出模板待提供）</w:t>
            </w:r>
          </w:p>
        </w:tc>
        <w:tc>
          <w:tcPr>
            <w:tcW w:w="1381" w:type="dxa"/>
            <w:vAlign w:val="center"/>
          </w:tcPr>
          <w:p w14:paraId="4EC2E0C8">
            <w:pPr>
              <w:spacing w:before="0" w:after="0" w:line="264" w:lineRule="auto"/>
              <w:jc w:val="center"/>
              <w:rPr>
                <w:rFonts w:hint="eastAsia" w:ascii="仿宋" w:hAnsi="仿宋" w:eastAsia="仿宋" w:cs="仿宋"/>
                <w:sz w:val="20"/>
                <w:szCs w:val="20"/>
              </w:rPr>
            </w:pPr>
          </w:p>
        </w:tc>
        <w:tc>
          <w:tcPr>
            <w:tcW w:w="1409" w:type="dxa"/>
            <w:vAlign w:val="center"/>
          </w:tcPr>
          <w:p w14:paraId="4A6053DD">
            <w:pPr>
              <w:spacing w:before="0" w:after="0" w:line="264" w:lineRule="auto"/>
              <w:jc w:val="center"/>
              <w:rPr>
                <w:rFonts w:hint="eastAsia" w:ascii="仿宋" w:hAnsi="仿宋" w:eastAsia="仿宋" w:cs="仿宋"/>
                <w:sz w:val="20"/>
                <w:szCs w:val="20"/>
              </w:rPr>
            </w:pPr>
          </w:p>
        </w:tc>
        <w:tc>
          <w:tcPr>
            <w:tcW w:w="963" w:type="dxa"/>
            <w:vMerge w:val="continue"/>
          </w:tcPr>
          <w:p w14:paraId="40BA8158">
            <w:pPr>
              <w:spacing w:after="0" w:line="240" w:lineRule="auto"/>
              <w:rPr>
                <w:rFonts w:hint="eastAsia" w:ascii="仿宋" w:hAnsi="仿宋" w:eastAsia="仿宋" w:cs="仿宋"/>
                <w:sz w:val="20"/>
                <w:szCs w:val="20"/>
              </w:rPr>
            </w:pPr>
          </w:p>
        </w:tc>
        <w:tc>
          <w:tcPr>
            <w:tcW w:w="1028" w:type="dxa"/>
            <w:vMerge w:val="continue"/>
          </w:tcPr>
          <w:p w14:paraId="28E265D0">
            <w:pPr>
              <w:spacing w:after="0" w:line="240" w:lineRule="auto"/>
              <w:rPr>
                <w:rFonts w:hint="eastAsia" w:ascii="仿宋" w:hAnsi="仿宋" w:eastAsia="仿宋" w:cs="仿宋"/>
                <w:sz w:val="20"/>
                <w:szCs w:val="20"/>
              </w:rPr>
            </w:pPr>
          </w:p>
        </w:tc>
      </w:tr>
      <w:tr w14:paraId="45B74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44CFDAE9">
            <w:pPr>
              <w:spacing w:after="0" w:line="240" w:lineRule="auto"/>
              <w:rPr>
                <w:rFonts w:hint="eastAsia" w:ascii="仿宋" w:hAnsi="仿宋" w:eastAsia="仿宋" w:cs="仿宋"/>
                <w:sz w:val="20"/>
                <w:szCs w:val="20"/>
              </w:rPr>
            </w:pPr>
          </w:p>
        </w:tc>
        <w:tc>
          <w:tcPr>
            <w:tcW w:w="1524" w:type="dxa"/>
            <w:vMerge w:val="continue"/>
          </w:tcPr>
          <w:p w14:paraId="0CA1050D">
            <w:pPr>
              <w:spacing w:after="0" w:line="240" w:lineRule="auto"/>
              <w:rPr>
                <w:rFonts w:hint="eastAsia" w:ascii="仿宋" w:hAnsi="仿宋" w:eastAsia="仿宋" w:cs="仿宋"/>
                <w:sz w:val="20"/>
                <w:szCs w:val="20"/>
              </w:rPr>
            </w:pPr>
          </w:p>
        </w:tc>
        <w:tc>
          <w:tcPr>
            <w:tcW w:w="5790" w:type="dxa"/>
            <w:vAlign w:val="center"/>
          </w:tcPr>
          <w:p w14:paraId="2C163E1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10.5 表格操作栏按钮</w:t>
            </w:r>
          </w:p>
          <w:p w14:paraId="4952FF9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报表分析：点击可跳转当前利润信息的报表分析页面，查看对应的可视化图表。</w:t>
            </w:r>
          </w:p>
        </w:tc>
        <w:tc>
          <w:tcPr>
            <w:tcW w:w="1381" w:type="dxa"/>
            <w:vAlign w:val="center"/>
          </w:tcPr>
          <w:p w14:paraId="161F69E1">
            <w:pPr>
              <w:spacing w:before="0" w:after="0" w:line="264" w:lineRule="auto"/>
              <w:jc w:val="center"/>
              <w:rPr>
                <w:rFonts w:hint="eastAsia" w:ascii="仿宋" w:hAnsi="仿宋" w:eastAsia="仿宋" w:cs="仿宋"/>
                <w:sz w:val="20"/>
                <w:szCs w:val="20"/>
              </w:rPr>
            </w:pPr>
          </w:p>
        </w:tc>
        <w:tc>
          <w:tcPr>
            <w:tcW w:w="1409" w:type="dxa"/>
            <w:vAlign w:val="center"/>
          </w:tcPr>
          <w:p w14:paraId="2EB7656B">
            <w:pPr>
              <w:spacing w:before="0" w:after="0" w:line="264" w:lineRule="auto"/>
              <w:jc w:val="center"/>
              <w:rPr>
                <w:rFonts w:hint="eastAsia" w:ascii="仿宋" w:hAnsi="仿宋" w:eastAsia="仿宋" w:cs="仿宋"/>
                <w:sz w:val="20"/>
                <w:szCs w:val="20"/>
              </w:rPr>
            </w:pPr>
          </w:p>
        </w:tc>
        <w:tc>
          <w:tcPr>
            <w:tcW w:w="963" w:type="dxa"/>
            <w:vMerge w:val="continue"/>
          </w:tcPr>
          <w:p w14:paraId="466B5C10">
            <w:pPr>
              <w:spacing w:after="0" w:line="240" w:lineRule="auto"/>
              <w:rPr>
                <w:rFonts w:hint="eastAsia" w:ascii="仿宋" w:hAnsi="仿宋" w:eastAsia="仿宋" w:cs="仿宋"/>
                <w:sz w:val="20"/>
                <w:szCs w:val="20"/>
              </w:rPr>
            </w:pPr>
          </w:p>
        </w:tc>
        <w:tc>
          <w:tcPr>
            <w:tcW w:w="1028" w:type="dxa"/>
            <w:vMerge w:val="continue"/>
          </w:tcPr>
          <w:p w14:paraId="2FABBD2D">
            <w:pPr>
              <w:spacing w:after="0" w:line="240" w:lineRule="auto"/>
              <w:rPr>
                <w:rFonts w:hint="eastAsia" w:ascii="仿宋" w:hAnsi="仿宋" w:eastAsia="仿宋" w:cs="仿宋"/>
                <w:sz w:val="20"/>
                <w:szCs w:val="20"/>
              </w:rPr>
            </w:pPr>
          </w:p>
        </w:tc>
      </w:tr>
      <w:tr w14:paraId="77F91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4F16BD77">
            <w:pPr>
              <w:spacing w:after="0" w:line="240" w:lineRule="auto"/>
              <w:rPr>
                <w:rFonts w:hint="eastAsia" w:ascii="仿宋" w:hAnsi="仿宋" w:eastAsia="仿宋" w:cs="仿宋"/>
                <w:sz w:val="20"/>
                <w:szCs w:val="20"/>
              </w:rPr>
            </w:pPr>
          </w:p>
        </w:tc>
        <w:tc>
          <w:tcPr>
            <w:tcW w:w="1524" w:type="dxa"/>
            <w:vMerge w:val="continue"/>
          </w:tcPr>
          <w:p w14:paraId="718FD587">
            <w:pPr>
              <w:spacing w:after="0" w:line="240" w:lineRule="auto"/>
              <w:rPr>
                <w:rFonts w:hint="eastAsia" w:ascii="仿宋" w:hAnsi="仿宋" w:eastAsia="仿宋" w:cs="仿宋"/>
                <w:sz w:val="20"/>
                <w:szCs w:val="20"/>
              </w:rPr>
            </w:pPr>
          </w:p>
        </w:tc>
        <w:tc>
          <w:tcPr>
            <w:tcW w:w="5790" w:type="dxa"/>
            <w:vAlign w:val="center"/>
          </w:tcPr>
          <w:p w14:paraId="3D92933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10.6 消息提醒（已确认）</w:t>
            </w:r>
          </w:p>
          <w:p w14:paraId="3DFB12F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触发时机：当合同利润率触碰字典配置的预警线时（如进入橙色区），即立即触发预警通知，无需等到出现负利润才通知。</w:t>
            </w:r>
          </w:p>
          <w:p w14:paraId="6FA19D5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通知内容：通知包含该合同从签约到当前成本的完整关键数字（合同金额、总产值、总成本、利润率等），方便接收人快速判断哪个计算环节导致了预警。</w:t>
            </w:r>
          </w:p>
          <w:p w14:paraId="50E1CA5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通知对象：对应合同下负责人、项目经理、管理层及财务人员（站内消息PC同步，并额外以邮件方式发送）。</w:t>
            </w:r>
          </w:p>
          <w:p w14:paraId="0CD0041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持续提醒：在预警状态未解除前，按照字典配置的提醒周期持续发送通知（非一次性），时间间隔可配置。</w:t>
            </w:r>
          </w:p>
          <w:p w14:paraId="60AF36B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用户屏蔽选项：用户可对已知的预警邮件/通知设置屏蔽，但后台通知记录仍然保留。</w:t>
            </w:r>
          </w:p>
        </w:tc>
        <w:tc>
          <w:tcPr>
            <w:tcW w:w="1381" w:type="dxa"/>
            <w:vAlign w:val="center"/>
          </w:tcPr>
          <w:p w14:paraId="62515B5F">
            <w:pPr>
              <w:spacing w:before="0" w:after="0" w:line="264" w:lineRule="auto"/>
              <w:jc w:val="center"/>
              <w:rPr>
                <w:rFonts w:hint="eastAsia" w:ascii="仿宋" w:hAnsi="仿宋" w:eastAsia="仿宋" w:cs="仿宋"/>
                <w:sz w:val="20"/>
                <w:szCs w:val="20"/>
              </w:rPr>
            </w:pPr>
          </w:p>
        </w:tc>
        <w:tc>
          <w:tcPr>
            <w:tcW w:w="1409" w:type="dxa"/>
            <w:vAlign w:val="center"/>
          </w:tcPr>
          <w:p w14:paraId="7C7C1D6D">
            <w:pPr>
              <w:spacing w:before="0" w:after="0" w:line="264" w:lineRule="auto"/>
              <w:jc w:val="center"/>
              <w:rPr>
                <w:rFonts w:hint="eastAsia" w:ascii="仿宋" w:hAnsi="仿宋" w:eastAsia="仿宋" w:cs="仿宋"/>
                <w:sz w:val="20"/>
                <w:szCs w:val="20"/>
              </w:rPr>
            </w:pPr>
          </w:p>
        </w:tc>
        <w:tc>
          <w:tcPr>
            <w:tcW w:w="963" w:type="dxa"/>
            <w:vMerge w:val="continue"/>
          </w:tcPr>
          <w:p w14:paraId="026E7360">
            <w:pPr>
              <w:spacing w:after="0" w:line="240" w:lineRule="auto"/>
              <w:rPr>
                <w:rFonts w:hint="eastAsia" w:ascii="仿宋" w:hAnsi="仿宋" w:eastAsia="仿宋" w:cs="仿宋"/>
                <w:sz w:val="20"/>
                <w:szCs w:val="20"/>
              </w:rPr>
            </w:pPr>
          </w:p>
        </w:tc>
        <w:tc>
          <w:tcPr>
            <w:tcW w:w="1028" w:type="dxa"/>
            <w:vMerge w:val="continue"/>
          </w:tcPr>
          <w:p w14:paraId="59DC131A">
            <w:pPr>
              <w:spacing w:after="0" w:line="240" w:lineRule="auto"/>
              <w:rPr>
                <w:rFonts w:hint="eastAsia" w:ascii="仿宋" w:hAnsi="仿宋" w:eastAsia="仿宋" w:cs="仿宋"/>
                <w:sz w:val="20"/>
                <w:szCs w:val="20"/>
              </w:rPr>
            </w:pPr>
          </w:p>
        </w:tc>
      </w:tr>
      <w:tr w14:paraId="764AB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202558FF">
            <w:pPr>
              <w:spacing w:after="0" w:line="240" w:lineRule="auto"/>
              <w:rPr>
                <w:rFonts w:hint="eastAsia" w:ascii="仿宋" w:hAnsi="仿宋" w:eastAsia="仿宋" w:cs="仿宋"/>
                <w:sz w:val="20"/>
                <w:szCs w:val="20"/>
              </w:rPr>
            </w:pPr>
          </w:p>
        </w:tc>
        <w:tc>
          <w:tcPr>
            <w:tcW w:w="1524" w:type="dxa"/>
            <w:vMerge w:val="continue"/>
          </w:tcPr>
          <w:p w14:paraId="6A056FC5">
            <w:pPr>
              <w:spacing w:after="0" w:line="240" w:lineRule="auto"/>
              <w:rPr>
                <w:rFonts w:hint="eastAsia" w:ascii="仿宋" w:hAnsi="仿宋" w:eastAsia="仿宋" w:cs="仿宋"/>
                <w:sz w:val="20"/>
                <w:szCs w:val="20"/>
              </w:rPr>
            </w:pPr>
          </w:p>
        </w:tc>
        <w:tc>
          <w:tcPr>
            <w:tcW w:w="5790" w:type="dxa"/>
            <w:vAlign w:val="center"/>
          </w:tcPr>
          <w:p w14:paraId="594F4E7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10.7 利润分析（报表分析页）</w:t>
            </w:r>
          </w:p>
          <w:p w14:paraId="321F899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页面结构（已确认）：页面上半部分为利润列表，下半部分内嵌图表展示区，同步联动。同时提供独立的全局宏观图表页（为领导层提供全公司合同利润总体走势及对比）。</w:t>
            </w:r>
          </w:p>
          <w:p w14:paraId="6B485CA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展示内容：按照用户的筛选条件展示图表（折线图、柱状图，用户可切换）。</w:t>
            </w:r>
          </w:p>
          <w:p w14:paraId="1D0F46D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筛选条件：合同编号、合同名称、项目经理、委托方、制造方、时间范围等，支持筛选条件自定义，支持多选多图叠加对比。</w:t>
            </w:r>
          </w:p>
          <w:p w14:paraId="2AF6912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图表设计要点：单合同可下钻看走势，同时支持全局多合同综合鸟瞰视图，两种模式并存。</w:t>
            </w:r>
          </w:p>
          <w:p w14:paraId="68DAF49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筛选区域按钮：查询、高级查询、重置</w:t>
            </w:r>
          </w:p>
        </w:tc>
        <w:tc>
          <w:tcPr>
            <w:tcW w:w="1381" w:type="dxa"/>
            <w:vAlign w:val="center"/>
          </w:tcPr>
          <w:p w14:paraId="0A7D4A43">
            <w:pPr>
              <w:spacing w:before="0" w:after="0" w:line="264" w:lineRule="auto"/>
              <w:jc w:val="center"/>
              <w:rPr>
                <w:rFonts w:hint="eastAsia" w:ascii="仿宋" w:hAnsi="仿宋" w:eastAsia="仿宋" w:cs="仿宋"/>
                <w:sz w:val="20"/>
                <w:szCs w:val="20"/>
              </w:rPr>
            </w:pPr>
          </w:p>
        </w:tc>
        <w:tc>
          <w:tcPr>
            <w:tcW w:w="1409" w:type="dxa"/>
            <w:vAlign w:val="center"/>
          </w:tcPr>
          <w:p w14:paraId="3B49C45D">
            <w:pPr>
              <w:spacing w:before="0" w:after="0" w:line="264" w:lineRule="auto"/>
              <w:jc w:val="center"/>
              <w:rPr>
                <w:rFonts w:hint="eastAsia" w:ascii="仿宋" w:hAnsi="仿宋" w:eastAsia="仿宋" w:cs="仿宋"/>
                <w:sz w:val="20"/>
                <w:szCs w:val="20"/>
              </w:rPr>
            </w:pPr>
          </w:p>
        </w:tc>
        <w:tc>
          <w:tcPr>
            <w:tcW w:w="963" w:type="dxa"/>
            <w:vMerge w:val="continue"/>
          </w:tcPr>
          <w:p w14:paraId="1FD1107E">
            <w:pPr>
              <w:spacing w:after="0" w:line="240" w:lineRule="auto"/>
              <w:rPr>
                <w:rFonts w:hint="eastAsia" w:ascii="仿宋" w:hAnsi="仿宋" w:eastAsia="仿宋" w:cs="仿宋"/>
                <w:sz w:val="20"/>
                <w:szCs w:val="20"/>
              </w:rPr>
            </w:pPr>
          </w:p>
        </w:tc>
        <w:tc>
          <w:tcPr>
            <w:tcW w:w="1028" w:type="dxa"/>
            <w:vMerge w:val="continue"/>
          </w:tcPr>
          <w:p w14:paraId="7E6CA99F">
            <w:pPr>
              <w:spacing w:after="0" w:line="240" w:lineRule="auto"/>
              <w:rPr>
                <w:rFonts w:hint="eastAsia" w:ascii="仿宋" w:hAnsi="仿宋" w:eastAsia="仿宋" w:cs="仿宋"/>
                <w:sz w:val="20"/>
                <w:szCs w:val="20"/>
              </w:rPr>
            </w:pPr>
          </w:p>
        </w:tc>
      </w:tr>
      <w:tr w14:paraId="03327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35C3664B">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12</w:t>
            </w:r>
          </w:p>
        </w:tc>
        <w:tc>
          <w:tcPr>
            <w:tcW w:w="1524" w:type="dxa"/>
            <w:vMerge w:val="restart"/>
            <w:vAlign w:val="center"/>
          </w:tcPr>
          <w:p w14:paraId="5AD54DF2">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经营数据量化</w:t>
            </w:r>
          </w:p>
        </w:tc>
        <w:tc>
          <w:tcPr>
            <w:tcW w:w="5790" w:type="dxa"/>
            <w:vAlign w:val="center"/>
          </w:tcPr>
          <w:p w14:paraId="43DE069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11.1 监理人员报表 - 支持角色</w:t>
            </w:r>
          </w:p>
          <w:p w14:paraId="234D73B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项目总监：查看当前用户监管项目下辅助人员相关的数据</w:t>
            </w:r>
          </w:p>
          <w:p w14:paraId="391F337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项目经理：查看当前用户有权限的合同号(CI编号)相关辅助人员的数据</w:t>
            </w:r>
          </w:p>
          <w:p w14:paraId="66F3CBB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总监代表：查看当前用户监管的派单相关辅助人员的数据</w:t>
            </w:r>
          </w:p>
          <w:p w14:paraId="5E35BCC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领导层、管理员：查看所有辅助人员的数据</w:t>
            </w:r>
          </w:p>
          <w:p w14:paraId="72F31D2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说明（已确认）：辅助人员（监理人员本身）无法独立登录此系统，本系统仅面向领导层、各层管理人员及财务查看，与实际干活的人无关。</w:t>
            </w:r>
          </w:p>
        </w:tc>
        <w:tc>
          <w:tcPr>
            <w:tcW w:w="1381" w:type="dxa"/>
            <w:vAlign w:val="center"/>
          </w:tcPr>
          <w:p w14:paraId="129E938C">
            <w:pPr>
              <w:spacing w:before="0" w:after="0" w:line="264" w:lineRule="auto"/>
              <w:jc w:val="center"/>
              <w:rPr>
                <w:rFonts w:hint="eastAsia" w:ascii="仿宋" w:hAnsi="仿宋" w:eastAsia="仿宋" w:cs="仿宋"/>
                <w:sz w:val="20"/>
                <w:szCs w:val="20"/>
              </w:rPr>
            </w:pPr>
          </w:p>
        </w:tc>
        <w:tc>
          <w:tcPr>
            <w:tcW w:w="1409" w:type="dxa"/>
            <w:vAlign w:val="center"/>
          </w:tcPr>
          <w:p w14:paraId="4FFF22B9">
            <w:pPr>
              <w:spacing w:before="0" w:after="0" w:line="264" w:lineRule="auto"/>
              <w:jc w:val="center"/>
              <w:rPr>
                <w:rFonts w:hint="eastAsia" w:ascii="仿宋" w:hAnsi="仿宋" w:eastAsia="仿宋" w:cs="仿宋"/>
                <w:sz w:val="20"/>
                <w:szCs w:val="20"/>
              </w:rPr>
            </w:pPr>
          </w:p>
        </w:tc>
        <w:tc>
          <w:tcPr>
            <w:tcW w:w="963" w:type="dxa"/>
            <w:vMerge w:val="restart"/>
            <w:vAlign w:val="center"/>
          </w:tcPr>
          <w:p w14:paraId="05670677">
            <w:pPr>
              <w:spacing w:before="0" w:after="0" w:line="264" w:lineRule="auto"/>
              <w:jc w:val="center"/>
              <w:rPr>
                <w:rFonts w:hint="eastAsia" w:ascii="仿宋" w:hAnsi="仿宋" w:eastAsia="仿宋" w:cs="仿宋"/>
                <w:sz w:val="20"/>
                <w:szCs w:val="20"/>
              </w:rPr>
            </w:pPr>
          </w:p>
        </w:tc>
        <w:tc>
          <w:tcPr>
            <w:tcW w:w="1028" w:type="dxa"/>
            <w:vMerge w:val="restart"/>
            <w:vAlign w:val="center"/>
          </w:tcPr>
          <w:p w14:paraId="1A1C53AB">
            <w:pPr>
              <w:spacing w:before="0" w:after="0" w:line="264" w:lineRule="auto"/>
              <w:jc w:val="center"/>
              <w:rPr>
                <w:rFonts w:hint="eastAsia" w:ascii="仿宋" w:hAnsi="仿宋" w:eastAsia="仿宋" w:cs="仿宋"/>
                <w:sz w:val="20"/>
                <w:szCs w:val="20"/>
              </w:rPr>
            </w:pPr>
          </w:p>
        </w:tc>
      </w:tr>
      <w:tr w14:paraId="21835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5716C9CE">
            <w:pPr>
              <w:spacing w:after="0" w:line="240" w:lineRule="auto"/>
              <w:rPr>
                <w:rFonts w:hint="eastAsia" w:ascii="仿宋" w:hAnsi="仿宋" w:eastAsia="仿宋" w:cs="仿宋"/>
                <w:sz w:val="20"/>
                <w:szCs w:val="20"/>
              </w:rPr>
            </w:pPr>
          </w:p>
        </w:tc>
        <w:tc>
          <w:tcPr>
            <w:tcW w:w="1524" w:type="dxa"/>
            <w:vMerge w:val="continue"/>
          </w:tcPr>
          <w:p w14:paraId="22C51C7C">
            <w:pPr>
              <w:spacing w:after="0" w:line="240" w:lineRule="auto"/>
              <w:rPr>
                <w:rFonts w:hint="eastAsia" w:ascii="仿宋" w:hAnsi="仿宋" w:eastAsia="仿宋" w:cs="仿宋"/>
                <w:sz w:val="20"/>
                <w:szCs w:val="20"/>
              </w:rPr>
            </w:pPr>
          </w:p>
        </w:tc>
        <w:tc>
          <w:tcPr>
            <w:tcW w:w="5790" w:type="dxa"/>
            <w:vAlign w:val="center"/>
          </w:tcPr>
          <w:p w14:paraId="0C653C5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11.2 监理人员报表内容</w:t>
            </w:r>
          </w:p>
          <w:p w14:paraId="31F0FB1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以辅助人员为维度做报表数据量化,默认按监理人员统计全周期产值、成本、利润等数据，增加时间范围选择，可按时间范围进行数据统计。</w:t>
            </w:r>
          </w:p>
          <w:p w14:paraId="2487604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生成每个辅助人员的产值、成本、利润等数据的报表。</w:t>
            </w:r>
          </w:p>
          <w:p w14:paraId="53DE24B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系统自动生成监理人员报表，支持按年或按时间段查询辅助人员的产值和成本，并生成报表。</w:t>
            </w:r>
          </w:p>
          <w:p w14:paraId="47ED543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提供监理人员报表自定义功能（已确认）：支持选择展示哪些列/字段，以及选择报表类型（折线图 / 柱状图，默认只提供这两种）；不允许修改计算公式，不允许拖拽布局。</w:t>
            </w:r>
          </w:p>
        </w:tc>
        <w:tc>
          <w:tcPr>
            <w:tcW w:w="1381" w:type="dxa"/>
            <w:vAlign w:val="center"/>
          </w:tcPr>
          <w:p w14:paraId="37416E31">
            <w:pPr>
              <w:spacing w:before="0" w:after="0" w:line="264" w:lineRule="auto"/>
              <w:jc w:val="center"/>
              <w:rPr>
                <w:rFonts w:hint="eastAsia" w:ascii="仿宋" w:hAnsi="仿宋" w:eastAsia="仿宋" w:cs="仿宋"/>
                <w:sz w:val="20"/>
                <w:szCs w:val="20"/>
              </w:rPr>
            </w:pPr>
          </w:p>
        </w:tc>
        <w:tc>
          <w:tcPr>
            <w:tcW w:w="1409" w:type="dxa"/>
            <w:vAlign w:val="center"/>
          </w:tcPr>
          <w:p w14:paraId="7DC36199">
            <w:pPr>
              <w:spacing w:before="0" w:after="0" w:line="264" w:lineRule="auto"/>
              <w:jc w:val="center"/>
              <w:rPr>
                <w:rFonts w:hint="eastAsia" w:ascii="仿宋" w:hAnsi="仿宋" w:eastAsia="仿宋" w:cs="仿宋"/>
                <w:sz w:val="20"/>
                <w:szCs w:val="20"/>
              </w:rPr>
            </w:pPr>
          </w:p>
        </w:tc>
        <w:tc>
          <w:tcPr>
            <w:tcW w:w="963" w:type="dxa"/>
            <w:vMerge w:val="continue"/>
          </w:tcPr>
          <w:p w14:paraId="5B2931A6">
            <w:pPr>
              <w:spacing w:after="0" w:line="240" w:lineRule="auto"/>
              <w:rPr>
                <w:rFonts w:hint="eastAsia" w:ascii="仿宋" w:hAnsi="仿宋" w:eastAsia="仿宋" w:cs="仿宋"/>
                <w:sz w:val="20"/>
                <w:szCs w:val="20"/>
              </w:rPr>
            </w:pPr>
          </w:p>
        </w:tc>
        <w:tc>
          <w:tcPr>
            <w:tcW w:w="1028" w:type="dxa"/>
            <w:vMerge w:val="continue"/>
          </w:tcPr>
          <w:p w14:paraId="1F40E2D6">
            <w:pPr>
              <w:spacing w:after="0" w:line="240" w:lineRule="auto"/>
              <w:rPr>
                <w:rFonts w:hint="eastAsia" w:ascii="仿宋" w:hAnsi="仿宋" w:eastAsia="仿宋" w:cs="仿宋"/>
                <w:sz w:val="20"/>
                <w:szCs w:val="20"/>
              </w:rPr>
            </w:pPr>
          </w:p>
        </w:tc>
      </w:tr>
      <w:tr w14:paraId="49B05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04199084">
            <w:pPr>
              <w:spacing w:after="0" w:line="240" w:lineRule="auto"/>
              <w:rPr>
                <w:rFonts w:hint="eastAsia" w:ascii="仿宋" w:hAnsi="仿宋" w:eastAsia="仿宋" w:cs="仿宋"/>
                <w:sz w:val="20"/>
                <w:szCs w:val="20"/>
              </w:rPr>
            </w:pPr>
          </w:p>
        </w:tc>
        <w:tc>
          <w:tcPr>
            <w:tcW w:w="1524" w:type="dxa"/>
            <w:vMerge w:val="continue"/>
          </w:tcPr>
          <w:p w14:paraId="013CD0AD">
            <w:pPr>
              <w:spacing w:after="0" w:line="240" w:lineRule="auto"/>
              <w:rPr>
                <w:rFonts w:hint="eastAsia" w:ascii="仿宋" w:hAnsi="仿宋" w:eastAsia="仿宋" w:cs="仿宋"/>
                <w:sz w:val="20"/>
                <w:szCs w:val="20"/>
              </w:rPr>
            </w:pPr>
          </w:p>
        </w:tc>
        <w:tc>
          <w:tcPr>
            <w:tcW w:w="5790" w:type="dxa"/>
            <w:vAlign w:val="center"/>
          </w:tcPr>
          <w:p w14:paraId="04924C3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11.3 合同报表 - 支持角色</w:t>
            </w:r>
          </w:p>
          <w:p w14:paraId="6EB5D87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项目总监：查看当前用户监管项目相关合同的数据</w:t>
            </w:r>
          </w:p>
          <w:p w14:paraId="0AF54F3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项目经理：查看当前用户有权限的合同号(CI编号)相关的数据</w:t>
            </w:r>
          </w:p>
          <w:p w14:paraId="3C8DB6F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总监代表：查看当前用户监管的派单相关合同的数据</w:t>
            </w:r>
          </w:p>
          <w:p w14:paraId="6D4757E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领导层、管理员：查看所有合同数据</w:t>
            </w:r>
          </w:p>
        </w:tc>
        <w:tc>
          <w:tcPr>
            <w:tcW w:w="1381" w:type="dxa"/>
            <w:vAlign w:val="center"/>
          </w:tcPr>
          <w:p w14:paraId="5302C14D">
            <w:pPr>
              <w:spacing w:before="0" w:after="0" w:line="264" w:lineRule="auto"/>
              <w:jc w:val="center"/>
              <w:rPr>
                <w:rFonts w:hint="eastAsia" w:ascii="仿宋" w:hAnsi="仿宋" w:eastAsia="仿宋" w:cs="仿宋"/>
                <w:sz w:val="20"/>
                <w:szCs w:val="20"/>
              </w:rPr>
            </w:pPr>
          </w:p>
        </w:tc>
        <w:tc>
          <w:tcPr>
            <w:tcW w:w="1409" w:type="dxa"/>
            <w:vAlign w:val="center"/>
          </w:tcPr>
          <w:p w14:paraId="4511A6FD">
            <w:pPr>
              <w:spacing w:before="0" w:after="0" w:line="264" w:lineRule="auto"/>
              <w:jc w:val="center"/>
              <w:rPr>
                <w:rFonts w:hint="eastAsia" w:ascii="仿宋" w:hAnsi="仿宋" w:eastAsia="仿宋" w:cs="仿宋"/>
                <w:sz w:val="20"/>
                <w:szCs w:val="20"/>
              </w:rPr>
            </w:pPr>
          </w:p>
        </w:tc>
        <w:tc>
          <w:tcPr>
            <w:tcW w:w="963" w:type="dxa"/>
            <w:vMerge w:val="continue"/>
          </w:tcPr>
          <w:p w14:paraId="7CEFC797">
            <w:pPr>
              <w:spacing w:after="0" w:line="240" w:lineRule="auto"/>
              <w:rPr>
                <w:rFonts w:hint="eastAsia" w:ascii="仿宋" w:hAnsi="仿宋" w:eastAsia="仿宋" w:cs="仿宋"/>
                <w:sz w:val="20"/>
                <w:szCs w:val="20"/>
              </w:rPr>
            </w:pPr>
          </w:p>
        </w:tc>
        <w:tc>
          <w:tcPr>
            <w:tcW w:w="1028" w:type="dxa"/>
            <w:vMerge w:val="continue"/>
          </w:tcPr>
          <w:p w14:paraId="6A752741">
            <w:pPr>
              <w:spacing w:after="0" w:line="240" w:lineRule="auto"/>
              <w:rPr>
                <w:rFonts w:hint="eastAsia" w:ascii="仿宋" w:hAnsi="仿宋" w:eastAsia="仿宋" w:cs="仿宋"/>
                <w:sz w:val="20"/>
                <w:szCs w:val="20"/>
              </w:rPr>
            </w:pPr>
          </w:p>
        </w:tc>
      </w:tr>
      <w:tr w14:paraId="13F17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39640DEF">
            <w:pPr>
              <w:spacing w:after="0" w:line="240" w:lineRule="auto"/>
              <w:rPr>
                <w:rFonts w:hint="eastAsia" w:ascii="仿宋" w:hAnsi="仿宋" w:eastAsia="仿宋" w:cs="仿宋"/>
                <w:sz w:val="20"/>
                <w:szCs w:val="20"/>
              </w:rPr>
            </w:pPr>
          </w:p>
        </w:tc>
        <w:tc>
          <w:tcPr>
            <w:tcW w:w="1524" w:type="dxa"/>
            <w:vMerge w:val="continue"/>
          </w:tcPr>
          <w:p w14:paraId="21E161D5">
            <w:pPr>
              <w:spacing w:after="0" w:line="240" w:lineRule="auto"/>
              <w:rPr>
                <w:rFonts w:hint="eastAsia" w:ascii="仿宋" w:hAnsi="仿宋" w:eastAsia="仿宋" w:cs="仿宋"/>
                <w:sz w:val="20"/>
                <w:szCs w:val="20"/>
              </w:rPr>
            </w:pPr>
          </w:p>
        </w:tc>
        <w:tc>
          <w:tcPr>
            <w:tcW w:w="5790" w:type="dxa"/>
            <w:vAlign w:val="center"/>
          </w:tcPr>
          <w:p w14:paraId="3B61EBB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11.4 合同报表内容</w:t>
            </w:r>
          </w:p>
          <w:p w14:paraId="3163DD0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以合同编号为维度做报表数据量化，默认按合同统计全周期产值、成本、利润等数据，增加时间范围选择，可按时间范围进行数据统计。</w:t>
            </w:r>
          </w:p>
          <w:p w14:paraId="1BDAC28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生成每个合同的产值、成本、利润、开票、回款等数据的报表。</w:t>
            </w:r>
          </w:p>
          <w:p w14:paraId="0B9B084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系统自动生成合同报表，支持按合同类型、时间段导出报表（格式支持 Excel 或 Word，用户自选；支持自定义筛选条件）。</w:t>
            </w:r>
          </w:p>
          <w:p w14:paraId="75922B1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提供合同报表自定义功能：支持选择展示哪些列/字段，以及选择报表图表类型（折线图/柱状图）。</w:t>
            </w:r>
          </w:p>
          <w:p w14:paraId="3213C65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导出数量默认为当前筛选查询后的全部数据，可提供给用户选择导出条数及正序/倒序。</w:t>
            </w:r>
          </w:p>
        </w:tc>
        <w:tc>
          <w:tcPr>
            <w:tcW w:w="1381" w:type="dxa"/>
            <w:vAlign w:val="center"/>
          </w:tcPr>
          <w:p w14:paraId="6B01EE05">
            <w:pPr>
              <w:spacing w:before="0" w:after="0" w:line="264" w:lineRule="auto"/>
              <w:jc w:val="center"/>
              <w:rPr>
                <w:rFonts w:hint="eastAsia" w:ascii="仿宋" w:hAnsi="仿宋" w:eastAsia="仿宋" w:cs="仿宋"/>
                <w:sz w:val="20"/>
                <w:szCs w:val="20"/>
              </w:rPr>
            </w:pPr>
          </w:p>
        </w:tc>
        <w:tc>
          <w:tcPr>
            <w:tcW w:w="1409" w:type="dxa"/>
            <w:vAlign w:val="center"/>
          </w:tcPr>
          <w:p w14:paraId="086E4B87">
            <w:pPr>
              <w:spacing w:before="0" w:after="0" w:line="264" w:lineRule="auto"/>
              <w:jc w:val="center"/>
              <w:rPr>
                <w:rFonts w:hint="eastAsia" w:ascii="仿宋" w:hAnsi="仿宋" w:eastAsia="仿宋" w:cs="仿宋"/>
                <w:sz w:val="20"/>
                <w:szCs w:val="20"/>
              </w:rPr>
            </w:pPr>
          </w:p>
        </w:tc>
        <w:tc>
          <w:tcPr>
            <w:tcW w:w="963" w:type="dxa"/>
            <w:vMerge w:val="continue"/>
          </w:tcPr>
          <w:p w14:paraId="7DEC0464">
            <w:pPr>
              <w:spacing w:after="0" w:line="240" w:lineRule="auto"/>
              <w:rPr>
                <w:rFonts w:hint="eastAsia" w:ascii="仿宋" w:hAnsi="仿宋" w:eastAsia="仿宋" w:cs="仿宋"/>
                <w:sz w:val="20"/>
                <w:szCs w:val="20"/>
              </w:rPr>
            </w:pPr>
          </w:p>
        </w:tc>
        <w:tc>
          <w:tcPr>
            <w:tcW w:w="1028" w:type="dxa"/>
            <w:vMerge w:val="continue"/>
          </w:tcPr>
          <w:p w14:paraId="5992572D">
            <w:pPr>
              <w:spacing w:after="0" w:line="240" w:lineRule="auto"/>
              <w:rPr>
                <w:rFonts w:hint="eastAsia" w:ascii="仿宋" w:hAnsi="仿宋" w:eastAsia="仿宋" w:cs="仿宋"/>
                <w:sz w:val="20"/>
                <w:szCs w:val="20"/>
              </w:rPr>
            </w:pPr>
          </w:p>
        </w:tc>
      </w:tr>
      <w:tr w14:paraId="65837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Align w:val="center"/>
          </w:tcPr>
          <w:p w14:paraId="2449787B">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13</w:t>
            </w:r>
          </w:p>
        </w:tc>
        <w:tc>
          <w:tcPr>
            <w:tcW w:w="1524" w:type="dxa"/>
            <w:vAlign w:val="center"/>
          </w:tcPr>
          <w:p w14:paraId="48FB9CEA">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项目经理权限分配</w:t>
            </w:r>
          </w:p>
        </w:tc>
        <w:tc>
          <w:tcPr>
            <w:tcW w:w="5790" w:type="dxa"/>
            <w:vAlign w:val="center"/>
          </w:tcPr>
          <w:p w14:paraId="4422E8C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12.1 合同权限分配</w:t>
            </w:r>
          </w:p>
          <w:p w14:paraId="1847843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默认机制（PECMS主干道同步）：基于前端 PECMS 传过来的 上级单位ERP唯一标识，系统底层与 O&amp;M 用户表进行强制账号绑定。只要该项目经理在合同台账中被指派了该合同，系统自动默认赋予该账号对该合同的全部操作/查看权限，无需管理员逐一手动分配。</w:t>
            </w:r>
          </w:p>
          <w:p w14:paraId="236B89F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全局合同大表模式（合同中心制）：摒弃老旧的“先选人，后查合同”分栏体系，升级为以“合同单体”为维度的全局权限干预大屏。</w:t>
            </w:r>
          </w:p>
          <w:p w14:paraId="5C688B6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o全景检索：支持组合 监理编号、合同名称、委托方、制造方、合同类型、项目状态 进行过滤。特别支持通过检索 项目经理(默认) 和 授权项目经理 反查其名下合同。</w:t>
            </w:r>
          </w:p>
          <w:p w14:paraId="7AD69DD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o基础信息穿透：列表需完整展示客商信息及核心的“监造金额(元)”、“项目状态”，辅助管理员的特批决策判断。</w:t>
            </w:r>
          </w:p>
          <w:p w14:paraId="267DAC3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o操作授权与急停（应急车道）：</w:t>
            </w:r>
          </w:p>
          <w:p w14:paraId="6FBED69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多权并存（穿梭窗特批）：专门针对“授权项目经理名单 (手工追加)”打造双栏可视穿梭窗。管理员可将其他员工随时批量拉入特批协作池中，保障业务借调流转。</w:t>
            </w:r>
          </w:p>
          <w:p w14:paraId="56FD58C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剥离特权（一键急停）：对于法定携带过来的“项目经理(默认)”，可通过表格直观展示其绑定状态，并且支持在突发情况下绕过 PECMS 的固有绑定，执行物理层面的「一键急停」隔离操作。</w:t>
            </w:r>
          </w:p>
          <w:p w14:paraId="7C262E5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视觉标签防呆：列表明示每一种权力的根源。法定主责人带有 🔒（系统底座来源）；手工追加的协力人员带有可快捷撤销的胶囊标签 [姓名 ✖]；若 PECMS 漏传人员或传错，则以醒目的红字 (未绑定) ⚠️ 作为风险报警。</w:t>
            </w:r>
          </w:p>
        </w:tc>
        <w:tc>
          <w:tcPr>
            <w:tcW w:w="1381" w:type="dxa"/>
            <w:vAlign w:val="center"/>
          </w:tcPr>
          <w:p w14:paraId="17E1A9BA">
            <w:pPr>
              <w:spacing w:before="0" w:after="0" w:line="264" w:lineRule="auto"/>
              <w:jc w:val="center"/>
              <w:rPr>
                <w:rFonts w:hint="eastAsia" w:ascii="仿宋" w:hAnsi="仿宋" w:eastAsia="仿宋" w:cs="仿宋"/>
                <w:sz w:val="20"/>
                <w:szCs w:val="20"/>
              </w:rPr>
            </w:pPr>
          </w:p>
        </w:tc>
        <w:tc>
          <w:tcPr>
            <w:tcW w:w="1409" w:type="dxa"/>
            <w:vAlign w:val="center"/>
          </w:tcPr>
          <w:p w14:paraId="5FF141C2">
            <w:pPr>
              <w:spacing w:before="0" w:after="0" w:line="264" w:lineRule="auto"/>
              <w:jc w:val="center"/>
              <w:rPr>
                <w:rFonts w:hint="eastAsia" w:ascii="仿宋" w:hAnsi="仿宋" w:eastAsia="仿宋" w:cs="仿宋"/>
                <w:sz w:val="20"/>
                <w:szCs w:val="20"/>
              </w:rPr>
            </w:pPr>
          </w:p>
        </w:tc>
        <w:tc>
          <w:tcPr>
            <w:tcW w:w="963" w:type="dxa"/>
            <w:vAlign w:val="center"/>
          </w:tcPr>
          <w:p w14:paraId="336C63DF">
            <w:pPr>
              <w:spacing w:before="0" w:after="0" w:line="264" w:lineRule="auto"/>
              <w:jc w:val="center"/>
              <w:rPr>
                <w:rFonts w:hint="eastAsia" w:ascii="仿宋" w:hAnsi="仿宋" w:eastAsia="仿宋" w:cs="仿宋"/>
                <w:sz w:val="20"/>
                <w:szCs w:val="20"/>
              </w:rPr>
            </w:pPr>
          </w:p>
        </w:tc>
        <w:tc>
          <w:tcPr>
            <w:tcW w:w="1028" w:type="dxa"/>
            <w:vAlign w:val="center"/>
          </w:tcPr>
          <w:p w14:paraId="092CF747">
            <w:pPr>
              <w:spacing w:before="0" w:after="0" w:line="264" w:lineRule="auto"/>
              <w:jc w:val="center"/>
              <w:rPr>
                <w:rFonts w:hint="eastAsia" w:ascii="仿宋" w:hAnsi="仿宋" w:eastAsia="仿宋" w:cs="仿宋"/>
                <w:sz w:val="20"/>
                <w:szCs w:val="20"/>
              </w:rPr>
            </w:pPr>
          </w:p>
        </w:tc>
      </w:tr>
      <w:tr w14:paraId="220A1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172E4FAE">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14</w:t>
            </w:r>
          </w:p>
        </w:tc>
        <w:tc>
          <w:tcPr>
            <w:tcW w:w="1524" w:type="dxa"/>
            <w:vMerge w:val="restart"/>
            <w:vAlign w:val="center"/>
          </w:tcPr>
          <w:p w14:paraId="0A87A8EC">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全局功能规范</w:t>
            </w:r>
          </w:p>
        </w:tc>
        <w:tc>
          <w:tcPr>
            <w:tcW w:w="5790" w:type="dxa"/>
            <w:vAlign w:val="center"/>
          </w:tcPr>
          <w:p w14:paraId="32595B1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w:t>
            </w:r>
          </w:p>
          <w:p w14:paraId="567BE68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格式：支持 Excel(.xlsx) 。</w:t>
            </w:r>
          </w:p>
          <w:p w14:paraId="7D1FEEE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列选择：默认按当前筛选条件下的列表字段导出，同时提供列勾选界面，用户可手动调整要导出的列（默认全选，可取消勾选）。</w:t>
            </w:r>
          </w:p>
          <w:p w14:paraId="5302997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数量：默认导出当前筛选查询后的全部数据，可提供给用户选择按正序/倒序导出指定条数。</w:t>
            </w:r>
          </w:p>
          <w:p w14:paraId="6EFC6F5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增加：可导出行数量、选中输出列数量、列全选按钮、列一键清空按钮</w:t>
            </w:r>
          </w:p>
        </w:tc>
        <w:tc>
          <w:tcPr>
            <w:tcW w:w="1381" w:type="dxa"/>
            <w:vAlign w:val="center"/>
          </w:tcPr>
          <w:p w14:paraId="1755BF1A">
            <w:pPr>
              <w:spacing w:before="0" w:after="0" w:line="264" w:lineRule="auto"/>
              <w:jc w:val="center"/>
              <w:rPr>
                <w:rFonts w:hint="eastAsia" w:ascii="仿宋" w:hAnsi="仿宋" w:eastAsia="仿宋" w:cs="仿宋"/>
                <w:sz w:val="20"/>
                <w:szCs w:val="20"/>
              </w:rPr>
            </w:pPr>
          </w:p>
        </w:tc>
        <w:tc>
          <w:tcPr>
            <w:tcW w:w="1409" w:type="dxa"/>
            <w:vAlign w:val="center"/>
          </w:tcPr>
          <w:p w14:paraId="02C2B0FF">
            <w:pPr>
              <w:spacing w:before="0" w:after="0" w:line="264" w:lineRule="auto"/>
              <w:jc w:val="center"/>
              <w:rPr>
                <w:rFonts w:hint="eastAsia" w:ascii="仿宋" w:hAnsi="仿宋" w:eastAsia="仿宋" w:cs="仿宋"/>
                <w:sz w:val="20"/>
                <w:szCs w:val="20"/>
              </w:rPr>
            </w:pPr>
          </w:p>
        </w:tc>
        <w:tc>
          <w:tcPr>
            <w:tcW w:w="963" w:type="dxa"/>
            <w:vMerge w:val="restart"/>
            <w:vAlign w:val="center"/>
          </w:tcPr>
          <w:p w14:paraId="0F05BE12">
            <w:pPr>
              <w:spacing w:before="0" w:after="0" w:line="264" w:lineRule="auto"/>
              <w:jc w:val="center"/>
              <w:rPr>
                <w:rFonts w:hint="eastAsia" w:ascii="仿宋" w:hAnsi="仿宋" w:eastAsia="仿宋" w:cs="仿宋"/>
                <w:sz w:val="20"/>
                <w:szCs w:val="20"/>
              </w:rPr>
            </w:pPr>
          </w:p>
        </w:tc>
        <w:tc>
          <w:tcPr>
            <w:tcW w:w="1028" w:type="dxa"/>
            <w:vMerge w:val="restart"/>
            <w:vAlign w:val="center"/>
          </w:tcPr>
          <w:p w14:paraId="541C9786">
            <w:pPr>
              <w:spacing w:before="0" w:after="0" w:line="264" w:lineRule="auto"/>
              <w:jc w:val="center"/>
              <w:rPr>
                <w:rFonts w:hint="eastAsia" w:ascii="仿宋" w:hAnsi="仿宋" w:eastAsia="仿宋" w:cs="仿宋"/>
                <w:sz w:val="20"/>
                <w:szCs w:val="20"/>
              </w:rPr>
            </w:pPr>
          </w:p>
        </w:tc>
      </w:tr>
      <w:tr w14:paraId="47386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72A1EE97">
            <w:pPr>
              <w:spacing w:after="0" w:line="240" w:lineRule="auto"/>
              <w:rPr>
                <w:rFonts w:hint="eastAsia" w:ascii="仿宋" w:hAnsi="仿宋" w:eastAsia="仿宋" w:cs="仿宋"/>
                <w:sz w:val="20"/>
                <w:szCs w:val="20"/>
              </w:rPr>
            </w:pPr>
          </w:p>
        </w:tc>
        <w:tc>
          <w:tcPr>
            <w:tcW w:w="1524" w:type="dxa"/>
            <w:vMerge w:val="continue"/>
          </w:tcPr>
          <w:p w14:paraId="73AF48AB">
            <w:pPr>
              <w:spacing w:after="0" w:line="240" w:lineRule="auto"/>
              <w:rPr>
                <w:rFonts w:hint="eastAsia" w:ascii="仿宋" w:hAnsi="仿宋" w:eastAsia="仿宋" w:cs="仿宋"/>
                <w:sz w:val="20"/>
                <w:szCs w:val="20"/>
              </w:rPr>
            </w:pPr>
          </w:p>
        </w:tc>
        <w:tc>
          <w:tcPr>
            <w:tcW w:w="5790" w:type="dxa"/>
            <w:vAlign w:val="center"/>
          </w:tcPr>
          <w:p w14:paraId="272E06A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列设置：表格提供标准列设置功能，用户可自定义勾选需要展示的列，取消勾选则表格中不展示对应列。</w:t>
            </w:r>
          </w:p>
        </w:tc>
        <w:tc>
          <w:tcPr>
            <w:tcW w:w="1381" w:type="dxa"/>
            <w:vAlign w:val="center"/>
          </w:tcPr>
          <w:p w14:paraId="725F78C5">
            <w:pPr>
              <w:spacing w:before="0" w:after="0" w:line="264" w:lineRule="auto"/>
              <w:jc w:val="center"/>
              <w:rPr>
                <w:rFonts w:hint="eastAsia" w:ascii="仿宋" w:hAnsi="仿宋" w:eastAsia="仿宋" w:cs="仿宋"/>
                <w:sz w:val="20"/>
                <w:szCs w:val="20"/>
              </w:rPr>
            </w:pPr>
          </w:p>
        </w:tc>
        <w:tc>
          <w:tcPr>
            <w:tcW w:w="1409" w:type="dxa"/>
            <w:vAlign w:val="center"/>
          </w:tcPr>
          <w:p w14:paraId="10F93DA9">
            <w:pPr>
              <w:spacing w:before="0" w:after="0" w:line="264" w:lineRule="auto"/>
              <w:jc w:val="center"/>
              <w:rPr>
                <w:rFonts w:hint="eastAsia" w:ascii="仿宋" w:hAnsi="仿宋" w:eastAsia="仿宋" w:cs="仿宋"/>
                <w:sz w:val="20"/>
                <w:szCs w:val="20"/>
              </w:rPr>
            </w:pPr>
          </w:p>
        </w:tc>
        <w:tc>
          <w:tcPr>
            <w:tcW w:w="963" w:type="dxa"/>
            <w:vMerge w:val="continue"/>
          </w:tcPr>
          <w:p w14:paraId="3A578710">
            <w:pPr>
              <w:spacing w:after="0" w:line="240" w:lineRule="auto"/>
              <w:rPr>
                <w:rFonts w:hint="eastAsia" w:ascii="仿宋" w:hAnsi="仿宋" w:eastAsia="仿宋" w:cs="仿宋"/>
                <w:sz w:val="20"/>
                <w:szCs w:val="20"/>
              </w:rPr>
            </w:pPr>
          </w:p>
        </w:tc>
        <w:tc>
          <w:tcPr>
            <w:tcW w:w="1028" w:type="dxa"/>
            <w:vMerge w:val="continue"/>
          </w:tcPr>
          <w:p w14:paraId="5B3DF6A0">
            <w:pPr>
              <w:spacing w:after="0" w:line="240" w:lineRule="auto"/>
              <w:rPr>
                <w:rFonts w:hint="eastAsia" w:ascii="仿宋" w:hAnsi="仿宋" w:eastAsia="仿宋" w:cs="仿宋"/>
                <w:sz w:val="20"/>
                <w:szCs w:val="20"/>
              </w:rPr>
            </w:pPr>
          </w:p>
        </w:tc>
      </w:tr>
      <w:tr w14:paraId="57370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152BF655">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15</w:t>
            </w:r>
          </w:p>
        </w:tc>
        <w:tc>
          <w:tcPr>
            <w:tcW w:w="1524" w:type="dxa"/>
            <w:vMerge w:val="restart"/>
            <w:vAlign w:val="center"/>
          </w:tcPr>
          <w:p w14:paraId="3F081E01">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科研经营月报</w:t>
            </w:r>
          </w:p>
        </w:tc>
        <w:tc>
          <w:tcPr>
            <w:tcW w:w="5790" w:type="dxa"/>
            <w:vAlign w:val="center"/>
          </w:tcPr>
          <w:p w14:paraId="7581867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14.1 支持角色</w:t>
            </w:r>
          </w:p>
          <w:p w14:paraId="5E32A90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财务、管理员、领导层：可访问此菜单的角色，其他角色无此菜单入口</w:t>
            </w:r>
          </w:p>
          <w:p w14:paraId="3307DE7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首次进入页面，需要选择时间区间，点击【加载月报】按钮</w:t>
            </w:r>
          </w:p>
        </w:tc>
        <w:tc>
          <w:tcPr>
            <w:tcW w:w="1381" w:type="dxa"/>
            <w:vAlign w:val="center"/>
          </w:tcPr>
          <w:p w14:paraId="68B6A34C">
            <w:pPr>
              <w:spacing w:before="0" w:after="0" w:line="264" w:lineRule="auto"/>
              <w:jc w:val="center"/>
              <w:rPr>
                <w:rFonts w:hint="eastAsia" w:ascii="仿宋" w:hAnsi="仿宋" w:eastAsia="仿宋" w:cs="仿宋"/>
                <w:sz w:val="20"/>
                <w:szCs w:val="20"/>
              </w:rPr>
            </w:pPr>
          </w:p>
        </w:tc>
        <w:tc>
          <w:tcPr>
            <w:tcW w:w="1409" w:type="dxa"/>
            <w:vAlign w:val="center"/>
          </w:tcPr>
          <w:p w14:paraId="40860167">
            <w:pPr>
              <w:spacing w:before="0" w:after="0" w:line="264" w:lineRule="auto"/>
              <w:jc w:val="center"/>
              <w:rPr>
                <w:rFonts w:hint="eastAsia" w:ascii="仿宋" w:hAnsi="仿宋" w:eastAsia="仿宋" w:cs="仿宋"/>
                <w:sz w:val="20"/>
                <w:szCs w:val="20"/>
              </w:rPr>
            </w:pPr>
          </w:p>
        </w:tc>
        <w:tc>
          <w:tcPr>
            <w:tcW w:w="963" w:type="dxa"/>
            <w:vMerge w:val="restart"/>
            <w:vAlign w:val="center"/>
          </w:tcPr>
          <w:p w14:paraId="5241D722">
            <w:pPr>
              <w:spacing w:before="0" w:after="0" w:line="264" w:lineRule="auto"/>
              <w:jc w:val="center"/>
              <w:rPr>
                <w:rFonts w:hint="eastAsia" w:ascii="仿宋" w:hAnsi="仿宋" w:eastAsia="仿宋" w:cs="仿宋"/>
                <w:sz w:val="20"/>
                <w:szCs w:val="20"/>
              </w:rPr>
            </w:pPr>
          </w:p>
        </w:tc>
        <w:tc>
          <w:tcPr>
            <w:tcW w:w="1028" w:type="dxa"/>
            <w:vMerge w:val="restart"/>
            <w:vAlign w:val="center"/>
          </w:tcPr>
          <w:p w14:paraId="6BB3F5A1">
            <w:pPr>
              <w:spacing w:before="0" w:after="0" w:line="264" w:lineRule="auto"/>
              <w:jc w:val="center"/>
              <w:rPr>
                <w:rFonts w:hint="eastAsia" w:ascii="仿宋" w:hAnsi="仿宋" w:eastAsia="仿宋" w:cs="仿宋"/>
                <w:sz w:val="20"/>
                <w:szCs w:val="20"/>
              </w:rPr>
            </w:pPr>
          </w:p>
        </w:tc>
      </w:tr>
      <w:tr w14:paraId="46F3E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5403FA7E">
            <w:pPr>
              <w:spacing w:after="0" w:line="240" w:lineRule="auto"/>
              <w:rPr>
                <w:rFonts w:hint="eastAsia" w:ascii="仿宋" w:hAnsi="仿宋" w:eastAsia="仿宋" w:cs="仿宋"/>
                <w:sz w:val="20"/>
                <w:szCs w:val="20"/>
              </w:rPr>
            </w:pPr>
          </w:p>
        </w:tc>
        <w:tc>
          <w:tcPr>
            <w:tcW w:w="1524" w:type="dxa"/>
            <w:vMerge w:val="continue"/>
          </w:tcPr>
          <w:p w14:paraId="1891C3E9">
            <w:pPr>
              <w:spacing w:after="0" w:line="240" w:lineRule="auto"/>
              <w:rPr>
                <w:rFonts w:hint="eastAsia" w:ascii="仿宋" w:hAnsi="仿宋" w:eastAsia="仿宋" w:cs="仿宋"/>
                <w:sz w:val="20"/>
                <w:szCs w:val="20"/>
              </w:rPr>
            </w:pPr>
          </w:p>
        </w:tc>
        <w:tc>
          <w:tcPr>
            <w:tcW w:w="5790" w:type="dxa"/>
            <w:vAlign w:val="center"/>
          </w:tcPr>
          <w:p w14:paraId="067419E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14.2 页面交互规则（三步走）</w:t>
            </w:r>
          </w:p>
          <w:p w14:paraId="35108BB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第一步：时间区间筛选</w:t>
            </w:r>
          </w:p>
          <w:p w14:paraId="64BE7CA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页面默认为空，展示时间区间筛选器（起始日期 ~ 结束日期）</w:t>
            </w:r>
          </w:p>
          <w:p w14:paraId="3ED3FC1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用户选定时间范围后，点击查询按钮，数据才开始加载显示</w:t>
            </w:r>
          </w:p>
          <w:p w14:paraId="03925DF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第二步：多维查询条件</w:t>
            </w:r>
          </w:p>
          <w:p w14:paraId="68A9D56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数据加载显示后，提供以下查询条件供筛选：</w:t>
            </w:r>
          </w:p>
          <w:p w14:paraId="74E949F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o委托方、项目经理、合同类型（开口合同/总价合同）等</w:t>
            </w:r>
          </w:p>
          <w:p w14:paraId="6A6AD7E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o支持组合查询，查询后列表实时刷新</w:t>
            </w:r>
          </w:p>
          <w:p w14:paraId="267FA56F">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第三步：数据抓取规则</w:t>
            </w:r>
          </w:p>
          <w:p w14:paraId="37FB0FF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① 上层数据（总价合同）：</w:t>
            </w:r>
          </w:p>
          <w:p w14:paraId="2D5CD5F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以合同台账为主表</w:t>
            </w:r>
          </w:p>
          <w:p w14:paraId="24771FA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筛选条件：合同起止日期范围覆盖所选时间区间内的总价合同</w:t>
            </w:r>
          </w:p>
          <w:p w14:paraId="3AFB352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关联抓取：该合同对应的开票明细数据</w:t>
            </w:r>
          </w:p>
          <w:p w14:paraId="2BA2F999">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显示在列表上半部分</w:t>
            </w:r>
          </w:p>
          <w:p w14:paraId="5FC97AE8">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② 下层数据（开口合同）：</w:t>
            </w:r>
          </w:p>
          <w:p w14:paraId="0E9BE35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以开票明细为主表</w:t>
            </w:r>
          </w:p>
          <w:p w14:paraId="46725A73">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筛选条件：开票时间属于所选时间区间内、且合同类型为开口合同的开票记录</w:t>
            </w:r>
          </w:p>
          <w:p w14:paraId="41E9787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关联抓取：对应的合同台账 + 项目收入台账数据</w:t>
            </w:r>
          </w:p>
          <w:p w14:paraId="71E4419A">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显示在列表下半部分</w:t>
            </w:r>
          </w:p>
          <w:p w14:paraId="096D52A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③ 两类数据在同一台账页面上下合并展示，明显区分上层（总价合同类）和下层（开口合同类）</w:t>
            </w:r>
          </w:p>
          <w:p w14:paraId="1A35C5F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14.3付款约定-预付款、进度款、提货款、验收款、款到发货、质保金列默认为空，提供编辑、批量编辑按钮供用户进行数据填报。点击编辑按钮，可对当前行的数据进行编辑；点击批量编辑按钮可对当前表格中当前页的所有数据进行填报。记录每次填报历史情况，方便后续追溯。</w:t>
            </w:r>
          </w:p>
        </w:tc>
        <w:tc>
          <w:tcPr>
            <w:tcW w:w="1381" w:type="dxa"/>
            <w:vAlign w:val="center"/>
          </w:tcPr>
          <w:p w14:paraId="62648771">
            <w:pPr>
              <w:spacing w:before="0" w:after="0" w:line="264" w:lineRule="auto"/>
              <w:jc w:val="center"/>
              <w:rPr>
                <w:rFonts w:hint="eastAsia" w:ascii="仿宋" w:hAnsi="仿宋" w:eastAsia="仿宋" w:cs="仿宋"/>
                <w:sz w:val="20"/>
                <w:szCs w:val="20"/>
              </w:rPr>
            </w:pPr>
          </w:p>
        </w:tc>
        <w:tc>
          <w:tcPr>
            <w:tcW w:w="1409" w:type="dxa"/>
            <w:vAlign w:val="center"/>
          </w:tcPr>
          <w:p w14:paraId="1470155E">
            <w:pPr>
              <w:spacing w:before="0" w:after="0" w:line="264" w:lineRule="auto"/>
              <w:jc w:val="center"/>
              <w:rPr>
                <w:rFonts w:hint="eastAsia" w:ascii="仿宋" w:hAnsi="仿宋" w:eastAsia="仿宋" w:cs="仿宋"/>
                <w:sz w:val="20"/>
                <w:szCs w:val="20"/>
              </w:rPr>
            </w:pPr>
          </w:p>
        </w:tc>
        <w:tc>
          <w:tcPr>
            <w:tcW w:w="963" w:type="dxa"/>
            <w:vMerge w:val="continue"/>
          </w:tcPr>
          <w:p w14:paraId="1955D778">
            <w:pPr>
              <w:spacing w:after="0" w:line="240" w:lineRule="auto"/>
              <w:rPr>
                <w:rFonts w:hint="eastAsia" w:ascii="仿宋" w:hAnsi="仿宋" w:eastAsia="仿宋" w:cs="仿宋"/>
                <w:sz w:val="20"/>
                <w:szCs w:val="20"/>
              </w:rPr>
            </w:pPr>
          </w:p>
        </w:tc>
        <w:tc>
          <w:tcPr>
            <w:tcW w:w="1028" w:type="dxa"/>
            <w:vMerge w:val="continue"/>
          </w:tcPr>
          <w:p w14:paraId="354439A7">
            <w:pPr>
              <w:spacing w:after="0" w:line="240" w:lineRule="auto"/>
              <w:rPr>
                <w:rFonts w:hint="eastAsia" w:ascii="仿宋" w:hAnsi="仿宋" w:eastAsia="仿宋" w:cs="仿宋"/>
                <w:sz w:val="20"/>
                <w:szCs w:val="20"/>
              </w:rPr>
            </w:pPr>
          </w:p>
        </w:tc>
      </w:tr>
      <w:tr w14:paraId="48FA1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0D10B1C7">
            <w:pPr>
              <w:spacing w:after="0" w:line="240" w:lineRule="auto"/>
              <w:rPr>
                <w:rFonts w:hint="eastAsia" w:ascii="仿宋" w:hAnsi="仿宋" w:eastAsia="仿宋" w:cs="仿宋"/>
                <w:sz w:val="20"/>
                <w:szCs w:val="20"/>
              </w:rPr>
            </w:pPr>
          </w:p>
        </w:tc>
        <w:tc>
          <w:tcPr>
            <w:tcW w:w="1524" w:type="dxa"/>
            <w:vMerge w:val="continue"/>
          </w:tcPr>
          <w:p w14:paraId="3FB30860">
            <w:pPr>
              <w:spacing w:after="0" w:line="240" w:lineRule="auto"/>
              <w:rPr>
                <w:rFonts w:hint="eastAsia" w:ascii="仿宋" w:hAnsi="仿宋" w:eastAsia="仿宋" w:cs="仿宋"/>
                <w:sz w:val="20"/>
                <w:szCs w:val="20"/>
              </w:rPr>
            </w:pPr>
          </w:p>
        </w:tc>
        <w:tc>
          <w:tcPr>
            <w:tcW w:w="5790" w:type="dxa"/>
            <w:vAlign w:val="center"/>
          </w:tcPr>
          <w:p w14:paraId="78D23F5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14.4 页面顶部汇总行</w:t>
            </w:r>
          </w:p>
          <w:p w14:paraId="0A67862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参照月报Excel格式，在列表上方展示本次筛选时间区间的汇总指标：</w:t>
            </w:r>
          </w:p>
          <w:p w14:paraId="736FFFF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本期合同额合计（元）</w:t>
            </w:r>
          </w:p>
          <w:p w14:paraId="756CD5B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年初至本月累计合同额（元）</w:t>
            </w:r>
          </w:p>
          <w:p w14:paraId="28C646E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本期销售回款合计（元）</w:t>
            </w:r>
          </w:p>
          <w:p w14:paraId="15EE8CF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年初至本月累计回款（元）</w:t>
            </w:r>
          </w:p>
        </w:tc>
        <w:tc>
          <w:tcPr>
            <w:tcW w:w="1381" w:type="dxa"/>
            <w:vAlign w:val="center"/>
          </w:tcPr>
          <w:p w14:paraId="5C2C0BA4">
            <w:pPr>
              <w:spacing w:before="0" w:after="0" w:line="264" w:lineRule="auto"/>
              <w:jc w:val="center"/>
              <w:rPr>
                <w:rFonts w:hint="eastAsia" w:ascii="仿宋" w:hAnsi="仿宋" w:eastAsia="仿宋" w:cs="仿宋"/>
                <w:sz w:val="20"/>
                <w:szCs w:val="20"/>
              </w:rPr>
            </w:pPr>
          </w:p>
        </w:tc>
        <w:tc>
          <w:tcPr>
            <w:tcW w:w="1409" w:type="dxa"/>
            <w:vAlign w:val="center"/>
          </w:tcPr>
          <w:p w14:paraId="7CFE82BD">
            <w:pPr>
              <w:spacing w:before="0" w:after="0" w:line="264" w:lineRule="auto"/>
              <w:jc w:val="center"/>
              <w:rPr>
                <w:rFonts w:hint="eastAsia" w:ascii="仿宋" w:hAnsi="仿宋" w:eastAsia="仿宋" w:cs="仿宋"/>
                <w:sz w:val="20"/>
                <w:szCs w:val="20"/>
              </w:rPr>
            </w:pPr>
          </w:p>
        </w:tc>
        <w:tc>
          <w:tcPr>
            <w:tcW w:w="963" w:type="dxa"/>
            <w:vMerge w:val="continue"/>
          </w:tcPr>
          <w:p w14:paraId="2511856C">
            <w:pPr>
              <w:spacing w:after="0" w:line="240" w:lineRule="auto"/>
              <w:rPr>
                <w:rFonts w:hint="eastAsia" w:ascii="仿宋" w:hAnsi="仿宋" w:eastAsia="仿宋" w:cs="仿宋"/>
                <w:sz w:val="20"/>
                <w:szCs w:val="20"/>
              </w:rPr>
            </w:pPr>
          </w:p>
        </w:tc>
        <w:tc>
          <w:tcPr>
            <w:tcW w:w="1028" w:type="dxa"/>
            <w:vMerge w:val="continue"/>
          </w:tcPr>
          <w:p w14:paraId="4B52488C">
            <w:pPr>
              <w:spacing w:after="0" w:line="240" w:lineRule="auto"/>
              <w:rPr>
                <w:rFonts w:hint="eastAsia" w:ascii="仿宋" w:hAnsi="仿宋" w:eastAsia="仿宋" w:cs="仿宋"/>
                <w:sz w:val="20"/>
                <w:szCs w:val="20"/>
              </w:rPr>
            </w:pPr>
          </w:p>
        </w:tc>
      </w:tr>
      <w:tr w14:paraId="465F8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restart"/>
            <w:vAlign w:val="center"/>
          </w:tcPr>
          <w:p w14:paraId="7E015753">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16</w:t>
            </w:r>
          </w:p>
        </w:tc>
        <w:tc>
          <w:tcPr>
            <w:tcW w:w="1524" w:type="dxa"/>
            <w:vMerge w:val="restart"/>
            <w:vAlign w:val="center"/>
          </w:tcPr>
          <w:p w14:paraId="2133F493">
            <w:pPr>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系统架构设计</w:t>
            </w:r>
          </w:p>
        </w:tc>
        <w:tc>
          <w:tcPr>
            <w:tcW w:w="5790" w:type="dxa"/>
            <w:vAlign w:val="center"/>
          </w:tcPr>
          <w:p w14:paraId="239441FD">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1.系统定位与边界</w:t>
            </w:r>
          </w:p>
          <w:p w14:paraId="5CD298E5">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平台定性：本平台后续简称(O&amp;M)与 PECMS 平台为两套独立系统，互不共库。</w:t>
            </w:r>
          </w:p>
          <w:p w14:paraId="56E28F0E">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技术框架：基于 RuoYi-Vue-Pro 前后端分离框架（含其内置可视化 BPMN 审批流引擎），建立独立的业务数据库。</w:t>
            </w:r>
          </w:p>
          <w:p w14:paraId="1BEA84F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用户与权限同步：</w:t>
            </w:r>
          </w:p>
          <w:p w14:paraId="287958BB">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oO&amp;M 系统自身维护一套用户、角色与组织架构表。</w:t>
            </w:r>
          </w:p>
          <w:p w14:paraId="29C9C97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o用户在 PECMS 完成登录后，由 PECMS 签发 token（有效期与 PECMS 登录保持一致），携带 token 访问 O&amp;M 系统，O&amp;M 服务对 token 进行鉴权后放行。O&amp;M 无独立登录入口，仅配合 PECMS 使用。</w:t>
            </w:r>
          </w:p>
          <w:p w14:paraId="7D713D10">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o当 PECMS 执行用户、角色、组织架构的增删改时，通过 API 接口调用方式，将变更数据同步写入 O&amp;M 对应的数据库表中，确保两端保持一致。</w:t>
            </w:r>
          </w:p>
          <w:p w14:paraId="651F538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反向限制：O&amp;M 侧产生的数据（收入纠正记录、审批流历史、差旅工资等）绝对不会影响或写回 PECMS。</w:t>
            </w:r>
          </w:p>
        </w:tc>
        <w:tc>
          <w:tcPr>
            <w:tcW w:w="1381" w:type="dxa"/>
            <w:vAlign w:val="center"/>
          </w:tcPr>
          <w:p w14:paraId="01E4EDE2">
            <w:pPr>
              <w:spacing w:before="0" w:after="0" w:line="264" w:lineRule="auto"/>
              <w:jc w:val="center"/>
              <w:rPr>
                <w:rFonts w:hint="eastAsia" w:ascii="仿宋" w:hAnsi="仿宋" w:eastAsia="仿宋" w:cs="仿宋"/>
                <w:sz w:val="20"/>
                <w:szCs w:val="20"/>
              </w:rPr>
            </w:pPr>
          </w:p>
        </w:tc>
        <w:tc>
          <w:tcPr>
            <w:tcW w:w="1409" w:type="dxa"/>
            <w:vAlign w:val="center"/>
          </w:tcPr>
          <w:p w14:paraId="3044B9A7">
            <w:pPr>
              <w:spacing w:before="0" w:after="0" w:line="264" w:lineRule="auto"/>
              <w:jc w:val="center"/>
              <w:rPr>
                <w:rFonts w:hint="eastAsia" w:ascii="仿宋" w:hAnsi="仿宋" w:eastAsia="仿宋" w:cs="仿宋"/>
                <w:sz w:val="20"/>
                <w:szCs w:val="20"/>
              </w:rPr>
            </w:pPr>
          </w:p>
        </w:tc>
        <w:tc>
          <w:tcPr>
            <w:tcW w:w="963" w:type="dxa"/>
            <w:vMerge w:val="restart"/>
            <w:vAlign w:val="center"/>
          </w:tcPr>
          <w:p w14:paraId="6D5E2F9D">
            <w:pPr>
              <w:spacing w:before="0" w:after="0" w:line="264" w:lineRule="auto"/>
              <w:jc w:val="center"/>
              <w:rPr>
                <w:rFonts w:hint="eastAsia" w:ascii="仿宋" w:hAnsi="仿宋" w:eastAsia="仿宋" w:cs="仿宋"/>
                <w:sz w:val="20"/>
                <w:szCs w:val="20"/>
              </w:rPr>
            </w:pPr>
          </w:p>
        </w:tc>
        <w:tc>
          <w:tcPr>
            <w:tcW w:w="1028" w:type="dxa"/>
            <w:vMerge w:val="restart"/>
            <w:vAlign w:val="center"/>
          </w:tcPr>
          <w:p w14:paraId="0800F202">
            <w:pPr>
              <w:spacing w:before="0" w:after="0" w:line="264" w:lineRule="auto"/>
              <w:jc w:val="center"/>
              <w:rPr>
                <w:rFonts w:hint="eastAsia" w:ascii="仿宋" w:hAnsi="仿宋" w:eastAsia="仿宋" w:cs="仿宋"/>
                <w:sz w:val="20"/>
                <w:szCs w:val="20"/>
              </w:rPr>
            </w:pPr>
          </w:p>
        </w:tc>
      </w:tr>
      <w:tr w14:paraId="2EB9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3" w:type="dxa"/>
            <w:vMerge w:val="continue"/>
          </w:tcPr>
          <w:p w14:paraId="2C731A9A">
            <w:pPr>
              <w:spacing w:after="0" w:line="240" w:lineRule="auto"/>
              <w:rPr>
                <w:rFonts w:hint="eastAsia" w:ascii="仿宋" w:hAnsi="仿宋" w:eastAsia="仿宋" w:cs="仿宋"/>
                <w:sz w:val="20"/>
                <w:szCs w:val="20"/>
              </w:rPr>
            </w:pPr>
          </w:p>
        </w:tc>
        <w:tc>
          <w:tcPr>
            <w:tcW w:w="1524" w:type="dxa"/>
            <w:vMerge w:val="continue"/>
          </w:tcPr>
          <w:p w14:paraId="15DD0D4B">
            <w:pPr>
              <w:spacing w:after="0" w:line="240" w:lineRule="auto"/>
              <w:rPr>
                <w:rFonts w:hint="eastAsia" w:ascii="仿宋" w:hAnsi="仿宋" w:eastAsia="仿宋" w:cs="仿宋"/>
                <w:sz w:val="20"/>
                <w:szCs w:val="20"/>
              </w:rPr>
            </w:pPr>
          </w:p>
        </w:tc>
        <w:tc>
          <w:tcPr>
            <w:tcW w:w="5790" w:type="dxa"/>
            <w:vAlign w:val="center"/>
          </w:tcPr>
          <w:p w14:paraId="489E9B86">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2.数据隔离与同步机制</w:t>
            </w:r>
          </w:p>
          <w:p w14:paraId="1FFA1157">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O&amp;M 自建业务库：包含合同表、派单表（简版）、人员工时表、收入表、成本表、各类明细流水及调整记录表。</w:t>
            </w:r>
          </w:p>
          <w:p w14:paraId="70DD4112">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核心数据来源于 PECMS 和 综合管理 推送，策略如下：</w:t>
            </w:r>
          </w:p>
          <w:p w14:paraId="6432B96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o基础台账（合同基础信息、项目组人员名单等）：每天定时拉取（全量+增量），或在 PECMS 新增合同时通过 API 主动推送给 O&amp;M。</w:t>
            </w:r>
          </w:p>
          <w:p w14:paraId="0D5B35D1">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o动态执行数据（打卡记录、派单状态变更）：采用 Binlog 变更数据捕获工具（如阿里 Canal、Debezium 或开源 MQ），PECMS 中有数据变动时，O&amp;M 监听消息并实时写入自己的库，不耗费 PECMS 的直接性能。</w:t>
            </w:r>
          </w:p>
          <w:p w14:paraId="0DA16BE4">
            <w:pPr>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只读原则：由 PECMS 和 综合管理 产生的数据（打卡时间、计划开始/结束时间、派单基础信息），在 O&amp;M 系统中绝对只读，不支持从 O&amp;M 端逆向修改。</w:t>
            </w:r>
          </w:p>
        </w:tc>
        <w:tc>
          <w:tcPr>
            <w:tcW w:w="1381" w:type="dxa"/>
            <w:vAlign w:val="center"/>
          </w:tcPr>
          <w:p w14:paraId="0003F141">
            <w:pPr>
              <w:spacing w:before="0" w:after="0" w:line="264" w:lineRule="auto"/>
              <w:jc w:val="center"/>
              <w:rPr>
                <w:rFonts w:hint="eastAsia" w:ascii="仿宋" w:hAnsi="仿宋" w:eastAsia="仿宋" w:cs="仿宋"/>
                <w:sz w:val="20"/>
                <w:szCs w:val="20"/>
              </w:rPr>
            </w:pPr>
          </w:p>
        </w:tc>
        <w:tc>
          <w:tcPr>
            <w:tcW w:w="1409" w:type="dxa"/>
            <w:vAlign w:val="center"/>
          </w:tcPr>
          <w:p w14:paraId="4D4AF209">
            <w:pPr>
              <w:spacing w:before="0" w:after="0" w:line="264" w:lineRule="auto"/>
              <w:jc w:val="center"/>
              <w:rPr>
                <w:rFonts w:hint="eastAsia" w:ascii="仿宋" w:hAnsi="仿宋" w:eastAsia="仿宋" w:cs="仿宋"/>
                <w:sz w:val="20"/>
                <w:szCs w:val="20"/>
              </w:rPr>
            </w:pPr>
          </w:p>
        </w:tc>
        <w:tc>
          <w:tcPr>
            <w:tcW w:w="963" w:type="dxa"/>
            <w:vMerge w:val="continue"/>
          </w:tcPr>
          <w:p w14:paraId="03B9FBBE">
            <w:pPr>
              <w:spacing w:after="0" w:line="240" w:lineRule="auto"/>
              <w:rPr>
                <w:rFonts w:hint="eastAsia" w:ascii="仿宋" w:hAnsi="仿宋" w:eastAsia="仿宋" w:cs="仿宋"/>
                <w:sz w:val="20"/>
                <w:szCs w:val="20"/>
              </w:rPr>
            </w:pPr>
          </w:p>
        </w:tc>
        <w:tc>
          <w:tcPr>
            <w:tcW w:w="1028" w:type="dxa"/>
            <w:vMerge w:val="continue"/>
          </w:tcPr>
          <w:p w14:paraId="6A57FA61">
            <w:pPr>
              <w:spacing w:after="0" w:line="240" w:lineRule="auto"/>
              <w:rPr>
                <w:rFonts w:hint="eastAsia" w:ascii="仿宋" w:hAnsi="仿宋" w:eastAsia="仿宋" w:cs="仿宋"/>
                <w:sz w:val="20"/>
                <w:szCs w:val="20"/>
              </w:rPr>
            </w:pPr>
          </w:p>
        </w:tc>
      </w:tr>
      <w:bookmarkEnd w:id="0"/>
    </w:tbl>
    <w:p w14:paraId="47572F11"/>
    <w:sectPr>
      <w:pgSz w:w="15840" w:h="12240" w:orient="landscape"/>
      <w:pgMar w:top="680" w:right="680" w:bottom="680" w:left="6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66F8F5"/>
    <w:multiLevelType w:val="singleLevel"/>
    <w:tmpl w:val="CE66F8F5"/>
    <w:lvl w:ilvl="0" w:tentative="0">
      <w:start w:val="2"/>
      <w:numFmt w:val="decimal"/>
      <w:suff w:val="nothing"/>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7F9CE51F"/>
    <w:multiLevelType w:val="singleLevel"/>
    <w:tmpl w:val="7F9CE51F"/>
    <w:lvl w:ilvl="0" w:tentative="0">
      <w:start w:val="5"/>
      <w:numFmt w:val="decimal"/>
      <w:suff w:val="nothing"/>
      <w:lvlText w:val="（%1）"/>
      <w:lvlJc w:val="left"/>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E745B7"/>
    <w:rsid w:val="2ABC5510"/>
    <w:rsid w:val="2E6F7CF8"/>
    <w:rsid w:val="2F633E5C"/>
    <w:rsid w:val="350606F0"/>
    <w:rsid w:val="35D2691D"/>
    <w:rsid w:val="38635F53"/>
    <w:rsid w:val="424E557E"/>
    <w:rsid w:val="595A479B"/>
    <w:rsid w:val="5AF34ABD"/>
    <w:rsid w:val="600B4656"/>
    <w:rsid w:val="6A7B67C7"/>
    <w:rsid w:val="6DCF13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63</Pages>
  <Words>37830</Words>
  <Characters>39239</Characters>
  <Lines>0</Lines>
  <Paragraphs>0</Paragraphs>
  <TotalTime>50</TotalTime>
  <ScaleCrop>false</ScaleCrop>
  <LinksUpToDate>false</LinksUpToDate>
  <CharactersWithSpaces>40154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不要说话</cp:lastModifiedBy>
  <dcterms:modified xsi:type="dcterms:W3CDTF">2026-04-25T05:48:09Z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eyJoZGlkIjoiMjlmM2ExZTYwMDJiNjkxMjgwZmEyM2Y5Nzk3NDc5OGMiLCJ1c2VySWQiOiIyNDI2MzU0MTMifQ==</vt:lpwstr>
  </property>
  <property fmtid="{D5CDD505-2E9C-101B-9397-08002B2CF9AE}" pid="3" name="KSOProductBuildVer">
    <vt:lpwstr>2052-12.1.0.25865</vt:lpwstr>
  </property>
  <property fmtid="{D5CDD505-2E9C-101B-9397-08002B2CF9AE}" pid="4" name="ICV">
    <vt:lpwstr>B613B9B4651C4D468CBFFFCEEEC77A25_12</vt:lpwstr>
  </property>
</Properties>
</file>