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3D9D2">
      <w:pPr>
        <w:rPr>
          <w:rFonts w:ascii="宋体" w:hAnsi="宋体" w:eastAsia="宋体" w:cs="宋体"/>
          <w:b/>
          <w:bCs/>
          <w:color w:val="auto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36"/>
          <w:szCs w:val="36"/>
          <w:lang w:val="en-US" w:eastAsia="zh-CN"/>
        </w:rPr>
        <w:t>研发服务</w:t>
      </w:r>
      <w:r>
        <w:rPr>
          <w:rFonts w:ascii="宋体" w:hAnsi="宋体" w:eastAsia="宋体" w:cs="宋体"/>
          <w:b/>
          <w:bCs/>
          <w:color w:val="auto"/>
          <w:kern w:val="0"/>
          <w:sz w:val="36"/>
          <w:szCs w:val="36"/>
        </w:rPr>
        <w:t>类模板：</w:t>
      </w:r>
    </w:p>
    <w:p w14:paraId="78A23251">
      <w:pPr>
        <w:rPr>
          <w:rFonts w:ascii="宋体" w:hAnsi="宋体" w:eastAsia="宋体" w:cs="宋体"/>
          <w:b/>
          <w:bCs/>
          <w:color w:val="auto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32"/>
          <w:szCs w:val="32"/>
        </w:rPr>
        <w:t>1、资格条件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883"/>
        <w:gridCol w:w="5872"/>
        <w:gridCol w:w="885"/>
      </w:tblGrid>
      <w:tr w14:paraId="14A1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82" w:type="dxa"/>
            <w:vMerge w:val="restart"/>
            <w:shd w:val="clear" w:color="auto" w:fill="auto"/>
            <w:vAlign w:val="center"/>
          </w:tcPr>
          <w:p w14:paraId="47BCF3F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  <w:t>资格条件</w:t>
            </w:r>
          </w:p>
        </w:tc>
        <w:tc>
          <w:tcPr>
            <w:tcW w:w="883" w:type="dxa"/>
            <w:shd w:val="clear" w:color="auto" w:fill="auto"/>
            <w:vAlign w:val="center"/>
          </w:tcPr>
          <w:p w14:paraId="38B7860E">
            <w:pPr>
              <w:widowControl/>
              <w:jc w:val="center"/>
              <w:textAlignment w:val="center"/>
              <w:rPr>
                <w:rFonts w:ascii="宋体" w:hAnsi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lang w:bidi="ar"/>
              </w:rPr>
              <w:t>组织形式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4D84554A">
            <w:pPr>
              <w:widowControl/>
              <w:textAlignment w:val="center"/>
              <w:rPr>
                <w:rFonts w:ascii="宋体" w:hAnsi="宋体" w:cs="宋体"/>
                <w:color w:val="auto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lang w:bidi="ar"/>
              </w:rPr>
              <w:t>须是在中华人民共和国境内依法注册、具有独立法人资格的单位或其他组织。</w:t>
            </w:r>
          </w:p>
        </w:tc>
        <w:tc>
          <w:tcPr>
            <w:tcW w:w="885" w:type="dxa"/>
            <w:vMerge w:val="restart"/>
            <w:shd w:val="clear" w:color="auto" w:fill="auto"/>
            <w:vAlign w:val="center"/>
          </w:tcPr>
          <w:p w14:paraId="21E754C9">
            <w:pPr>
              <w:widowControl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符合全部要求则合格；其中任何一项不符合则否决其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应答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。</w:t>
            </w:r>
          </w:p>
        </w:tc>
      </w:tr>
      <w:tr w14:paraId="37DBE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82" w:type="dxa"/>
            <w:vMerge w:val="continue"/>
            <w:vAlign w:val="center"/>
          </w:tcPr>
          <w:p w14:paraId="7D24AA0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65D6B0F6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税务登记证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672894BF">
            <w:pPr>
              <w:widowControl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应答人可开具增值税专用发票（须提供可开具增值税专用发票的凭证或承诺）。</w:t>
            </w:r>
          </w:p>
        </w:tc>
        <w:tc>
          <w:tcPr>
            <w:tcW w:w="885" w:type="dxa"/>
            <w:vMerge w:val="continue"/>
            <w:vAlign w:val="center"/>
          </w:tcPr>
          <w:p w14:paraId="7EAB17D0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  <w:tr w14:paraId="3052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882" w:type="dxa"/>
            <w:vMerge w:val="continue"/>
            <w:vAlign w:val="center"/>
          </w:tcPr>
          <w:p w14:paraId="238DABD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1E1B163B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业绩要求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49B32F23">
            <w:pPr>
              <w:pStyle w:val="10"/>
              <w:ind w:firstLine="400" w:firstLineChars="200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提供</w:t>
            </w:r>
            <w:r>
              <w:rPr>
                <w:rFonts w:hint="eastAsia" w:ascii="Calibri" w:hAnsi="Calibri" w:eastAsia="宋体" w:cs="Calibri"/>
                <w:color w:val="auto"/>
                <w:kern w:val="0"/>
                <w:sz w:val="20"/>
                <w:szCs w:val="20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年</w:t>
            </w:r>
            <w:r>
              <w:rPr>
                <w:rFonts w:ascii="Calibri" w:hAnsi="Calibri" w:eastAsia="宋体" w:cs="Calibri"/>
                <w:color w:val="auto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月</w:t>
            </w:r>
            <w:r>
              <w:rPr>
                <w:rFonts w:ascii="Calibri" w:hAnsi="Calibri" w:eastAsia="宋体" w:cs="Calibri"/>
                <w:color w:val="auto"/>
                <w:kern w:val="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日至本公告发布之日止累计金额人民币</w:t>
            </w:r>
            <w:r>
              <w:rPr>
                <w:rFonts w:hint="eastAsia" w:ascii="Calibri" w:hAnsi="Calibri" w:eastAsia="宋体" w:cs="Calibri"/>
                <w:color w:val="auto"/>
                <w:kern w:val="0"/>
                <w:sz w:val="20"/>
                <w:szCs w:val="20"/>
                <w:lang w:val="en-US" w:eastAsia="zh-CN"/>
              </w:rPr>
              <w:t>172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万元及以上的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yellow"/>
                <w:lang w:val="en-US" w:eastAsia="zh-CN"/>
              </w:rPr>
              <w:t>信息系统开发或集成服务类项目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yellow"/>
              </w:rPr>
              <w:t>业绩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（一般为近两年业绩，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>业绩金额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eastAsia="zh-CN"/>
              </w:rPr>
              <w:t>为项目标的含税金额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</w:rPr>
              <w:t>的50%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eastAsia="zh-CN"/>
              </w:rPr>
              <w:t>，向下取整到万元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如为单项合同，时间和金额以合同为准，提供单项合同关键页扫描件；如为框架合同，时间和金额以订单为准，须同时提供框架合同关键页和订单扫描件。合同（订单）关键页必须体现：合同（订单）名称、服务内容、合同（订单）金额、签字盖章页、签订日期等。提供合同复印件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val="en-US" w:eastAsia="zh-CN"/>
              </w:rPr>
              <w:t>原件备查。</w:t>
            </w:r>
          </w:p>
        </w:tc>
        <w:tc>
          <w:tcPr>
            <w:tcW w:w="885" w:type="dxa"/>
            <w:vMerge w:val="continue"/>
            <w:vAlign w:val="center"/>
          </w:tcPr>
          <w:p w14:paraId="7FEE1FB3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  <w:tr w14:paraId="39E9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82" w:type="dxa"/>
            <w:vMerge w:val="continue"/>
            <w:vAlign w:val="center"/>
          </w:tcPr>
          <w:p w14:paraId="3253AB0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227756B0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资质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74FF5518"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国家要求的必须的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相关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资质证书，如无相关资质要求，本项填无资质要求。</w:t>
            </w:r>
          </w:p>
        </w:tc>
        <w:tc>
          <w:tcPr>
            <w:tcW w:w="885" w:type="dxa"/>
            <w:vMerge w:val="continue"/>
            <w:vAlign w:val="center"/>
          </w:tcPr>
          <w:p w14:paraId="7AB99C96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  <w:tr w14:paraId="265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82" w:type="dxa"/>
            <w:vMerge w:val="continue"/>
            <w:vAlign w:val="center"/>
          </w:tcPr>
          <w:p w14:paraId="34ABE94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1C523801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其他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73342249">
            <w:pPr>
              <w:widowControl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单位负责人为同一人或者存在控股、管理关系的不同单位，不得参加同一标包应答或者未划分标包的同一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询比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项目应答。</w:t>
            </w:r>
          </w:p>
        </w:tc>
        <w:tc>
          <w:tcPr>
            <w:tcW w:w="885" w:type="dxa"/>
            <w:vMerge w:val="continue"/>
            <w:vAlign w:val="center"/>
          </w:tcPr>
          <w:p w14:paraId="4E804259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  <w:tr w14:paraId="5B27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82" w:type="dxa"/>
            <w:vMerge w:val="continue"/>
            <w:vAlign w:val="center"/>
          </w:tcPr>
          <w:p w14:paraId="24D7B66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4E70ABFA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是否接收代理商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102235B6">
            <w:pPr>
              <w:widowControl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本项目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single"/>
              </w:rPr>
              <w:t xml:space="preserve">   （接受）     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val="en-US" w:eastAsia="zh-CN"/>
              </w:rPr>
              <w:t>代理商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应答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。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val="en-US" w:eastAsia="zh-CN"/>
              </w:rPr>
              <w:t>代理商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应答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的，应当满足下列要求：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single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 xml:space="preserve"> ；</w:t>
            </w:r>
          </w:p>
        </w:tc>
        <w:tc>
          <w:tcPr>
            <w:tcW w:w="885" w:type="dxa"/>
            <w:vMerge w:val="continue"/>
            <w:vAlign w:val="center"/>
          </w:tcPr>
          <w:p w14:paraId="142AEFC3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  <w:tr w14:paraId="59A3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82" w:type="dxa"/>
            <w:vMerge w:val="continue"/>
            <w:vAlign w:val="center"/>
          </w:tcPr>
          <w:p w14:paraId="311F57C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290DE6B4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是否接收联合体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2055ADDC">
            <w:pPr>
              <w:widowControl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本项目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single"/>
              </w:rPr>
              <w:t xml:space="preserve">   （不接受）     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联合体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应答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。联合体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eastAsia="zh-CN"/>
              </w:rPr>
              <w:t>应答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的，应当满足下列要求：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 xml:space="preserve"> ；</w:t>
            </w:r>
          </w:p>
        </w:tc>
        <w:tc>
          <w:tcPr>
            <w:tcW w:w="885" w:type="dxa"/>
            <w:vMerge w:val="continue"/>
            <w:vAlign w:val="center"/>
          </w:tcPr>
          <w:p w14:paraId="1C24A4AB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  <w:tr w14:paraId="53F1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82" w:type="dxa"/>
            <w:vMerge w:val="continue"/>
            <w:vAlign w:val="center"/>
          </w:tcPr>
          <w:p w14:paraId="6CD74A8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629B308D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财务要求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3DDBA165">
            <w:pPr>
              <w:widowControl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无要求</w:t>
            </w:r>
          </w:p>
        </w:tc>
        <w:tc>
          <w:tcPr>
            <w:tcW w:w="885" w:type="dxa"/>
            <w:vMerge w:val="continue"/>
            <w:vAlign w:val="center"/>
          </w:tcPr>
          <w:p w14:paraId="2255F869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  <w:tr w14:paraId="12B8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82" w:type="dxa"/>
            <w:vMerge w:val="continue"/>
            <w:vAlign w:val="center"/>
          </w:tcPr>
          <w:p w14:paraId="1174E60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</w:rPr>
            </w:pPr>
          </w:p>
        </w:tc>
        <w:tc>
          <w:tcPr>
            <w:tcW w:w="883" w:type="dxa"/>
            <w:shd w:val="clear" w:color="auto" w:fill="auto"/>
            <w:vAlign w:val="center"/>
          </w:tcPr>
          <w:p w14:paraId="3DEB9A8C">
            <w:pPr>
              <w:widowControl/>
              <w:jc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信誉要求</w:t>
            </w:r>
          </w:p>
        </w:tc>
        <w:tc>
          <w:tcPr>
            <w:tcW w:w="5872" w:type="dxa"/>
            <w:shd w:val="clear" w:color="auto" w:fill="auto"/>
            <w:vAlign w:val="center"/>
          </w:tcPr>
          <w:p w14:paraId="1F4C903D">
            <w:pPr>
              <w:widowControl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</w:rPr>
              <w:t>无要求</w:t>
            </w:r>
          </w:p>
        </w:tc>
        <w:tc>
          <w:tcPr>
            <w:tcW w:w="885" w:type="dxa"/>
            <w:vMerge w:val="continue"/>
            <w:vAlign w:val="center"/>
          </w:tcPr>
          <w:p w14:paraId="26C8DAF2">
            <w:pPr>
              <w:widowControl/>
              <w:jc w:val="left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</w:p>
        </w:tc>
      </w:tr>
    </w:tbl>
    <w:p w14:paraId="7A9DA1CD">
      <w:pPr>
        <w:rPr>
          <w:color w:val="auto"/>
        </w:rPr>
      </w:pPr>
    </w:p>
    <w:p w14:paraId="46D3ACC0">
      <w:pPr>
        <w:rPr>
          <w:rFonts w:ascii="宋体" w:hAnsi="宋体" w:eastAsia="宋体" w:cs="宋体"/>
          <w:b/>
          <w:bCs/>
          <w:color w:val="auto"/>
          <w:kern w:val="0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kern w:val="0"/>
          <w:sz w:val="32"/>
          <w:szCs w:val="32"/>
        </w:rPr>
        <w:t>2、详细评审模板</w:t>
      </w:r>
    </w:p>
    <w:p w14:paraId="51F318BE">
      <w:pP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</w:rPr>
        <w:t>价格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/>
        </w:rPr>
        <w:t>60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</w:rPr>
        <w:t>分（按100分进行打分，乘以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</w:rPr>
        <w:t>0%，折算成最终得分），“技术+综合”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</w:rPr>
        <w:t>0分（按100分进行打分，乘以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</w:rPr>
        <w:t>0%，折算成最终得分）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eastAsia="zh-CN"/>
        </w:rPr>
        <w:t>。</w:t>
      </w:r>
    </w:p>
    <w:p w14:paraId="45C09BAF">
      <w:pP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/>
        </w:rPr>
      </w:pPr>
    </w:p>
    <w:p w14:paraId="3AC2AAA7">
      <w:pPr>
        <w:rPr>
          <w:rFonts w:hint="default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1"/>
          <w:szCs w:val="21"/>
          <w:lang w:val="en-US" w:eastAsia="zh-CN"/>
        </w:rPr>
        <w:t>综合技术分(按100分进行打分；应答人技术综合部分得分低于60分，应当否决其应答)。</w:t>
      </w:r>
    </w:p>
    <w:tbl>
      <w:tblPr>
        <w:tblStyle w:val="6"/>
        <w:tblW w:w="8973" w:type="dxa"/>
        <w:tblInd w:w="-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900"/>
        <w:gridCol w:w="735"/>
        <w:gridCol w:w="6630"/>
      </w:tblGrid>
      <w:tr w14:paraId="4B16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973" w:type="dxa"/>
            <w:gridSpan w:val="4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593C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研发服务评审模板（无视频演示）</w:t>
            </w:r>
          </w:p>
        </w:tc>
      </w:tr>
      <w:tr w14:paraId="7E9B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8973" w:type="dxa"/>
            <w:gridSpan w:val="4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06BAB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适用范围：1、系统、平台等研发、开发服务。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2、适用于公开询比采购方式。</w:t>
            </w:r>
          </w:p>
        </w:tc>
      </w:tr>
      <w:tr w14:paraId="0F5D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708" w:type="dxa"/>
            <w:vMerge w:val="restart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B64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项目</w:t>
            </w:r>
          </w:p>
        </w:tc>
        <w:tc>
          <w:tcPr>
            <w:tcW w:w="900" w:type="dxa"/>
            <w:vMerge w:val="restart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BF4E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组成</w:t>
            </w:r>
          </w:p>
        </w:tc>
        <w:tc>
          <w:tcPr>
            <w:tcW w:w="735" w:type="dxa"/>
            <w:vMerge w:val="restart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196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6630" w:type="dxa"/>
            <w:vMerge w:val="restart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ABCF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评分标准</w:t>
            </w:r>
          </w:p>
        </w:tc>
      </w:tr>
      <w:tr w14:paraId="1E93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708" w:type="dxa"/>
            <w:vMerge w:val="continue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FDEE83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00" w:type="dxa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D0789C6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735" w:type="dxa"/>
            <w:vMerge w:val="continue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80C954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6630" w:type="dxa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BC710BA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</w:tr>
      <w:tr w14:paraId="15A9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708" w:type="dxa"/>
            <w:vMerge w:val="restart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21C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技术部分（67分）</w:t>
            </w:r>
          </w:p>
        </w:tc>
        <w:tc>
          <w:tcPr>
            <w:tcW w:w="90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114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技术方案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7569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2C06D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1、系统建设服务方案的完整性（对需求的符合性、匹配度）、合理性（可行性）、成熟度、稳定性、安全性等（10分）。</w:t>
            </w:r>
          </w:p>
          <w:p w14:paraId="19B028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评定标准：系统建设服务方案须阐述对技术规范中需求的符合度、匹配度，系统具有大容量、高可靠、高效稳定的特点，并从高可靠性保障、集群组网、数据级安全、应用级安全等几方面进行描述合理性（可行性）、成熟度、稳定性、安全性等，按照上述多个维度分别评分，内容全面详细、实施可行，得该项满分，每个维度内容不全或缺失的扣1-2分，阐述不清或实施性差的每项扣1分，扣完为止。</w:t>
            </w:r>
          </w:p>
          <w:p w14:paraId="6A4F8F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2、应答人须根据技术规范书中对平台系统建设的需求，提供下述3个关键功能点的建设整体方案(本项满分17分）。</w:t>
            </w:r>
          </w:p>
          <w:p w14:paraId="26B4CC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(1)一体化平台管理系统-健康监测模块建设方案（7分）</w:t>
            </w:r>
          </w:p>
          <w:p w14:paraId="07D3DF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要求方案包括但不限于数据接口，结果对比分析，监测结果可视化展示功能等。提供具体且科学的技术及实施计划方案、要求整体方案完整，符合技术规范书项目具体需求。</w:t>
            </w:r>
          </w:p>
          <w:p w14:paraId="07A9E0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评定标准：方案完全符合项目需求的得7（含）-5分，方案与项目需求有较小偏差的得5（含）-3分，方案与项目需求偏差较大的得3（含）-0分，无方案不得分。</w:t>
            </w:r>
          </w:p>
          <w:p w14:paraId="6C9601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(2)一体化平台管理系统-问卷管理模块建设方案（5分）</w:t>
            </w:r>
          </w:p>
          <w:p w14:paraId="06529B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要求方案包括但不限于问卷创建与自定义功能，健康报告生成功能等。提供具体且科学的技术及实施计划方案、要求整体方案完整，符合技术规范书项目具体需求。</w:t>
            </w:r>
          </w:p>
          <w:p w14:paraId="709D78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评定标准：方案完全符合项目需求的得5（含）-3分，方案与项目需求有较小偏差的得3（含）-1分，方案与项目需求偏差较大的得1（含）-0分，无方案不得分。</w:t>
            </w:r>
          </w:p>
          <w:p w14:paraId="36E01C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(3)一体化平台管理系统-知识库管理模块建设方案（5分）</w:t>
            </w:r>
          </w:p>
          <w:p w14:paraId="759617E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要求方案包括但不限于知识库内容管理与分类，知识推送与学习跟踪功能等。提供具体且科学的技术及实施计划方案、要求整体方案完整，符合技术规范书项目具体需求。</w:t>
            </w:r>
          </w:p>
          <w:p w14:paraId="27B75B0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Style w:val="11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评定标准：方案完全符合项目需求的得5（含）-3分，方案与项目需求有较小偏差的得3（含）-1分，方案与项目需求偏差较大的得1（含）-0分，无方案不得分。</w:t>
            </w:r>
          </w:p>
        </w:tc>
      </w:tr>
      <w:tr w14:paraId="6666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708" w:type="dxa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FDAA33E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0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ADAFBE6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  <w:lang w:eastAsia="zh-CN"/>
              </w:rPr>
              <w:t>人员投入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E41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0CE1B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1、针对本项目技术规范要求设置组织架构，设置得5分，未设置得0分。</w:t>
            </w:r>
          </w:p>
          <w:p w14:paraId="7AA515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2、设置服务接口人一名，须同时具备 1)信息系统项目管理师证书或 PMP 证书:2)全日制本科及以上学历，全部满足得5分，不满足不得分。</w:t>
            </w:r>
          </w:p>
          <w:p w14:paraId="37D81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3、其余服务团队成员中（不包括项目接口人），每具备下列任一证书的得5分，最高得15分：</w:t>
            </w:r>
          </w:p>
          <w:p w14:paraId="0F7215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1）计算机技术与软件专业技术资格中级及以上证书；</w:t>
            </w:r>
          </w:p>
          <w:p w14:paraId="75E7E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2）计算机相关专业（通信工程、网络工程、软件工程、计算机、电子信息工程等）本科及以上学历或中级及以上职称证书；</w:t>
            </w:r>
          </w:p>
          <w:p w14:paraId="6F6FD0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3）注册信息安全专业人员证书（CISP）或信息安全保障人员认证证书（CISAW）。</w:t>
            </w:r>
          </w:p>
          <w:p w14:paraId="1028B8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2C843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注:须提供上述团队成员有效期内的身份证扫描件、学历证书有效资质证书扫描件及对应证书官网查询结果截图、近三个月于本单位缴纳的连续社保缴纳证明(加盖公章)等证明材料所有材料原件备查，不提供不得分。上述持证人员不可复用，同一人员多项证书，只统计应答文件中首次出现的证书。未提供完整有效证明材料的或提供材料不能清晰有效证明的，不得分。</w:t>
            </w:r>
          </w:p>
        </w:tc>
      </w:tr>
      <w:tr w14:paraId="0F4A2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708" w:type="dxa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13CA2CB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0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343D620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  <w:lang w:eastAsia="zh-CN"/>
              </w:rPr>
              <w:t>实施计划及服务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3C5BB2D">
            <w:pPr>
              <w:jc w:val="center"/>
              <w:rPr>
                <w:rFonts w:hint="default" w:ascii="宋体" w:hAnsi="宋体" w:eastAsia="宋体" w:cs="宋体"/>
                <w:i w:val="0"/>
                <w:color w:val="auto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  <w:lang w:val="en-US" w:eastAsia="zh-CN"/>
              </w:rPr>
              <w:t>10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5C41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3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1、研发进度计划（6分），在满足技术规范书中要求的的基础上，承诺每提前10天上线试运行加3分，满分6分。须提供承诺书，不提供不得分。</w:t>
            </w:r>
          </w:p>
          <w:p w14:paraId="2BFDD3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Style w:val="13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2、项目售后服务水平承诺（4分），满足技术规范书要求的得4分；不满足的不得分。</w:t>
            </w:r>
          </w:p>
        </w:tc>
      </w:tr>
      <w:tr w14:paraId="0465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708" w:type="dxa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DCA39F1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0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2C32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技术应答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5C6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F3279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应答内容为全部“满足”不扣分，每1个应答为“不满足”或“部分满足”扣5分，扣完为止。</w:t>
            </w: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</w:rPr>
              <w:t>带★项（需注明具体位置及内容）</w:t>
            </w: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必须满足，不满足将否决应答。</w:t>
            </w:r>
          </w:p>
        </w:tc>
      </w:tr>
      <w:tr w14:paraId="25E3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708" w:type="dxa"/>
            <w:vMerge w:val="restart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CB8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综合评估（33分）</w:t>
            </w:r>
          </w:p>
        </w:tc>
        <w:tc>
          <w:tcPr>
            <w:tcW w:w="90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D830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  <w:lang w:eastAsia="zh-CN"/>
              </w:rPr>
              <w:t>企业认证及资质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DC0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816B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应答人具备下列任一证书的得5分，满分10分：</w:t>
            </w:r>
          </w:p>
          <w:p w14:paraId="0E5EFF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1、AAA级及以上企业信用等级证书。</w:t>
            </w:r>
          </w:p>
          <w:p w14:paraId="7DA48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2、质量管理体系认证证书；</w:t>
            </w:r>
          </w:p>
          <w:p w14:paraId="2BDC19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3、环境管理体系认证证书；</w:t>
            </w:r>
          </w:p>
          <w:p w14:paraId="319308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4、信息安全管理体系证书；</w:t>
            </w:r>
          </w:p>
          <w:p w14:paraId="0E1D9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5、信息技术服务管理体系认证证书;</w:t>
            </w:r>
          </w:p>
          <w:p w14:paraId="2C352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注：须提供有效证书扫描件及对应证书官网查询结果截图，不提供不得分。</w:t>
            </w:r>
          </w:p>
        </w:tc>
      </w:tr>
      <w:tr w14:paraId="0421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08" w:type="dxa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48A5725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0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E0FA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业绩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04E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F064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提供2024年1月1日至本公告发布之日前一日止的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yellow"/>
                <w:lang w:val="en-US" w:eastAsia="zh-CN"/>
              </w:rPr>
              <w:t>信息系统开发或集成服务类项目</w:t>
            </w:r>
            <w:r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业绩（包含：***、***服务类业绩），按照下述规则计分：</w:t>
            </w:r>
          </w:p>
          <w:p w14:paraId="6562E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业绩累计含税金额172万元</w:t>
            </w: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及以下</w:t>
            </w:r>
            <w:r>
              <w:rPr>
                <w:rStyle w:val="15"/>
                <w:rFonts w:hint="eastAsia" w:ascii="宋体" w:hAnsi="宋体" w:eastAsia="宋体" w:cs="宋体"/>
                <w:color w:val="FF0000"/>
                <w:sz w:val="20"/>
                <w:szCs w:val="20"/>
                <w:lang w:val="en-US" w:eastAsia="zh-CN" w:bidi="ar"/>
              </w:rPr>
              <w:t>（项目标的含税金额的50%）不得分</w:t>
            </w:r>
            <w:r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，达到688万元（项目标的含税金额的1-2倍）得20分，中间线性得分。</w:t>
            </w:r>
          </w:p>
          <w:p w14:paraId="550DE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注：</w:t>
            </w:r>
          </w:p>
          <w:p w14:paraId="22D66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提供框架合同业绩的证明材料的：应答人须提供框架合同扫描件；需同时提供对应的订单或发票扫描件，框架执行金额和时间以订单或发票为准，如同时提供订单和发票，以订单为准。框架合同必须涵盖以下页面：合同封面、合同服务内容、合同金额及合同大签页。</w:t>
            </w:r>
          </w:p>
          <w:p w14:paraId="29985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Style w:val="15"/>
                <w:rFonts w:hint="eastAsia" w:ascii="宋体" w:hAnsi="宋体" w:eastAsia="宋体" w:cs="宋体"/>
                <w:color w:val="auto"/>
                <w:sz w:val="20"/>
                <w:szCs w:val="20"/>
                <w:lang w:val="en-US" w:eastAsia="zh-CN" w:bidi="ar"/>
              </w:rPr>
              <w:t>提供单项合同业绩证明材料的：应答人须提供单项合同扫描件。单项合同必须涵盖以下页面：合同封面、合同服务内容、合同金额及合同大签页。</w:t>
            </w:r>
          </w:p>
        </w:tc>
      </w:tr>
      <w:tr w14:paraId="3078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708" w:type="dxa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82085D9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90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32F7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标书制作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5A34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23DD1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评委根据应答文件情况综合判断，应答文件规范、完整、齐全可得满分，其它根据实际情况（文字清晰、内容完整、目录清晰、查找方便、条例清晰等方面），未按照招标文件要求编写发现一处扣1分，扣完为止。</w:t>
            </w:r>
          </w:p>
        </w:tc>
      </w:tr>
      <w:tr w14:paraId="1AB8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608" w:type="dxa"/>
            <w:gridSpan w:val="2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F512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总分</w:t>
            </w:r>
          </w:p>
        </w:tc>
        <w:tc>
          <w:tcPr>
            <w:tcW w:w="735" w:type="dxa"/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1B5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663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4680F34">
            <w:pPr>
              <w:rPr>
                <w:rFonts w:hint="eastAsia" w:ascii="宋体" w:hAnsi="宋体" w:eastAsia="宋体" w:cs="宋体"/>
                <w:i w:val="0"/>
                <w:color w:val="auto"/>
                <w:sz w:val="20"/>
                <w:szCs w:val="20"/>
                <w:u w:val="none"/>
              </w:rPr>
            </w:pPr>
          </w:p>
        </w:tc>
      </w:tr>
    </w:tbl>
    <w:p w14:paraId="4DCA0830">
      <w:pPr>
        <w:widowControl/>
        <w:wordWrap w:val="0"/>
        <w:spacing w:line="560" w:lineRule="atLeast"/>
        <w:jc w:val="left"/>
        <w:rPr>
          <w:rFonts w:ascii="仿宋" w:hAnsi="仿宋" w:eastAsia="仿宋" w:cs="宋体"/>
          <w:b/>
          <w:bCs/>
          <w:color w:val="auto"/>
          <w:kern w:val="0"/>
          <w:sz w:val="21"/>
          <w:szCs w:val="21"/>
        </w:rPr>
      </w:pPr>
    </w:p>
    <w:p w14:paraId="5B0FCDC2">
      <w:pPr>
        <w:widowControl/>
        <w:wordWrap w:val="0"/>
        <w:spacing w:line="560" w:lineRule="atLeast"/>
        <w:jc w:val="left"/>
        <w:rPr>
          <w:rFonts w:ascii="仿宋" w:hAnsi="仿宋" w:eastAsia="仿宋" w:cs="宋体"/>
          <w:b/>
          <w:bCs/>
          <w:color w:val="auto"/>
          <w:kern w:val="0"/>
          <w:sz w:val="21"/>
          <w:szCs w:val="21"/>
        </w:rPr>
      </w:pPr>
      <w:r>
        <w:rPr>
          <w:rFonts w:ascii="仿宋" w:hAnsi="仿宋" w:eastAsia="仿宋" w:cs="宋体"/>
          <w:b/>
          <w:bCs/>
          <w:color w:val="auto"/>
          <w:kern w:val="0"/>
          <w:sz w:val="21"/>
          <w:szCs w:val="21"/>
        </w:rPr>
        <w:t>价格部分：</w:t>
      </w:r>
    </w:p>
    <w:tbl>
      <w:tblPr>
        <w:tblStyle w:val="6"/>
        <w:tblW w:w="8650" w:type="dxa"/>
        <w:tblInd w:w="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"/>
        <w:gridCol w:w="757"/>
        <w:gridCol w:w="813"/>
        <w:gridCol w:w="6534"/>
      </w:tblGrid>
      <w:tr w14:paraId="2CF9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E4FC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>分类</w:t>
            </w:r>
          </w:p>
        </w:tc>
        <w:tc>
          <w:tcPr>
            <w:tcW w:w="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BE90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>评审子项</w:t>
            </w:r>
          </w:p>
        </w:tc>
        <w:tc>
          <w:tcPr>
            <w:tcW w:w="81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2DBB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>分值</w:t>
            </w:r>
          </w:p>
        </w:tc>
        <w:tc>
          <w:tcPr>
            <w:tcW w:w="6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A96D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>评分标准</w:t>
            </w:r>
          </w:p>
        </w:tc>
      </w:tr>
      <w:tr w14:paraId="3FBEA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54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B3E4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none"/>
                <w:lang w:bidi="ar"/>
              </w:rPr>
              <w:t>报价得分（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none"/>
                <w:lang w:bidi="ar"/>
              </w:rPr>
              <w:t>0分）</w:t>
            </w:r>
          </w:p>
        </w:tc>
        <w:tc>
          <w:tcPr>
            <w:tcW w:w="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D463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none"/>
                <w:lang w:bidi="ar"/>
              </w:rPr>
              <w:t>报价得分</w:t>
            </w:r>
          </w:p>
        </w:tc>
        <w:tc>
          <w:tcPr>
            <w:tcW w:w="81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085A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none"/>
                <w:lang w:bidi="ar"/>
              </w:rPr>
              <w:t>0</w:t>
            </w:r>
          </w:p>
        </w:tc>
        <w:tc>
          <w:tcPr>
            <w:tcW w:w="6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EA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1、价格评分采用向下引导的中间价法，设置折扣最高限价100%，超出限价的否决应答。</w:t>
            </w: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2、价格评分方法:等于基准价的为满分,高于基准价的，</w:t>
            </w: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每高1%扣0.8分，低于基准价的，每低1%扣0.4分</w:t>
            </w: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，不足1%线性扣分，扣完为止。</w:t>
            </w:r>
          </w:p>
          <w:p w14:paraId="748C7E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基准价=经修正的有效评审价平均值*0.9。</w:t>
            </w:r>
          </w:p>
          <w:p w14:paraId="2E3AE7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有效评审价指的是通过资格后审的应答供应商的评审价。</w:t>
            </w:r>
          </w:p>
          <w:p w14:paraId="25BD6D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“经修正的有效评审价平均值”：应答单位家数≥5家时，为去掉有效评审价中价格排序最高的20%（含）供应商（向下取整）以及价格排序最低的20%（含）供应商（向下取整）之后其它供应商评审价的算术平均值；应答单位家数＜5家时，为供应商有效评审价的算术平均值。</w:t>
            </w:r>
          </w:p>
        </w:tc>
      </w:tr>
    </w:tbl>
    <w:p w14:paraId="2D8C017E">
      <w:pPr>
        <w:rPr>
          <w:rFonts w:ascii="宋体" w:hAnsi="宋体" w:eastAsia="宋体" w:cs="宋体"/>
          <w:b/>
          <w:bCs/>
          <w:color w:val="auto"/>
          <w:kern w:val="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7FE57"/>
    <w:multiLevelType w:val="singleLevel"/>
    <w:tmpl w:val="B097FE5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ED7"/>
    <w:rsid w:val="00047DC7"/>
    <w:rsid w:val="000A2984"/>
    <w:rsid w:val="000C28F7"/>
    <w:rsid w:val="00572E3E"/>
    <w:rsid w:val="00721886"/>
    <w:rsid w:val="008A6DA7"/>
    <w:rsid w:val="00910AF8"/>
    <w:rsid w:val="00976B01"/>
    <w:rsid w:val="00994F69"/>
    <w:rsid w:val="00997C42"/>
    <w:rsid w:val="00A03627"/>
    <w:rsid w:val="00AD6A40"/>
    <w:rsid w:val="00B558DC"/>
    <w:rsid w:val="00BD4B9B"/>
    <w:rsid w:val="00BE01EB"/>
    <w:rsid w:val="00C40F0B"/>
    <w:rsid w:val="00C83ED7"/>
    <w:rsid w:val="00E16BEF"/>
    <w:rsid w:val="02314A03"/>
    <w:rsid w:val="0293688F"/>
    <w:rsid w:val="02DE15CA"/>
    <w:rsid w:val="04675D48"/>
    <w:rsid w:val="067E33EF"/>
    <w:rsid w:val="06D136F2"/>
    <w:rsid w:val="075A640E"/>
    <w:rsid w:val="0A192AAD"/>
    <w:rsid w:val="0C3F06A3"/>
    <w:rsid w:val="0D003B85"/>
    <w:rsid w:val="0D6C5F01"/>
    <w:rsid w:val="0FD44CF6"/>
    <w:rsid w:val="11273BF4"/>
    <w:rsid w:val="114063D0"/>
    <w:rsid w:val="11514F92"/>
    <w:rsid w:val="11CB0ABE"/>
    <w:rsid w:val="11FC0DFE"/>
    <w:rsid w:val="138D071E"/>
    <w:rsid w:val="15560DCC"/>
    <w:rsid w:val="15E218CE"/>
    <w:rsid w:val="18AA5B0B"/>
    <w:rsid w:val="193B0DC3"/>
    <w:rsid w:val="19641601"/>
    <w:rsid w:val="19A63F5F"/>
    <w:rsid w:val="1BB96B0B"/>
    <w:rsid w:val="1BCB11DD"/>
    <w:rsid w:val="1DBE4B6A"/>
    <w:rsid w:val="1E9C7B48"/>
    <w:rsid w:val="1F1A5AA0"/>
    <w:rsid w:val="21DE25E9"/>
    <w:rsid w:val="226C42D4"/>
    <w:rsid w:val="232030F0"/>
    <w:rsid w:val="23EF1892"/>
    <w:rsid w:val="27701F14"/>
    <w:rsid w:val="28B33CDD"/>
    <w:rsid w:val="2A361FCD"/>
    <w:rsid w:val="2C151290"/>
    <w:rsid w:val="2C512B0D"/>
    <w:rsid w:val="2C6C4BD5"/>
    <w:rsid w:val="2C9E1E38"/>
    <w:rsid w:val="2CB90725"/>
    <w:rsid w:val="2FA167D7"/>
    <w:rsid w:val="300A5DFF"/>
    <w:rsid w:val="33A22F43"/>
    <w:rsid w:val="342A4121"/>
    <w:rsid w:val="344949D6"/>
    <w:rsid w:val="34595DFD"/>
    <w:rsid w:val="34A42225"/>
    <w:rsid w:val="35E037F3"/>
    <w:rsid w:val="362B52C8"/>
    <w:rsid w:val="377759CC"/>
    <w:rsid w:val="37D01D5B"/>
    <w:rsid w:val="39FF1C44"/>
    <w:rsid w:val="3A376DF0"/>
    <w:rsid w:val="3A476B07"/>
    <w:rsid w:val="3AD24910"/>
    <w:rsid w:val="3B476ACD"/>
    <w:rsid w:val="3C2D604D"/>
    <w:rsid w:val="3D121C7F"/>
    <w:rsid w:val="3EB27A21"/>
    <w:rsid w:val="3FC378BE"/>
    <w:rsid w:val="40AF3CC5"/>
    <w:rsid w:val="418C2FA6"/>
    <w:rsid w:val="43D8260E"/>
    <w:rsid w:val="44202100"/>
    <w:rsid w:val="447830E2"/>
    <w:rsid w:val="44A55A8C"/>
    <w:rsid w:val="452C3E8A"/>
    <w:rsid w:val="468B238E"/>
    <w:rsid w:val="46BC4610"/>
    <w:rsid w:val="47E43D4B"/>
    <w:rsid w:val="48E74F2A"/>
    <w:rsid w:val="4A7B74AC"/>
    <w:rsid w:val="4B552AA6"/>
    <w:rsid w:val="4DB43081"/>
    <w:rsid w:val="5108493A"/>
    <w:rsid w:val="51EF0FDE"/>
    <w:rsid w:val="53236894"/>
    <w:rsid w:val="535924F8"/>
    <w:rsid w:val="539C4460"/>
    <w:rsid w:val="55191DF0"/>
    <w:rsid w:val="56365D51"/>
    <w:rsid w:val="57A93D6C"/>
    <w:rsid w:val="584410E0"/>
    <w:rsid w:val="591E3AA4"/>
    <w:rsid w:val="59C45043"/>
    <w:rsid w:val="5A3A2B60"/>
    <w:rsid w:val="5B325522"/>
    <w:rsid w:val="5FC7692B"/>
    <w:rsid w:val="61DC78F6"/>
    <w:rsid w:val="6457322E"/>
    <w:rsid w:val="67372A22"/>
    <w:rsid w:val="679017A9"/>
    <w:rsid w:val="687C4E72"/>
    <w:rsid w:val="69176CD6"/>
    <w:rsid w:val="697A2F79"/>
    <w:rsid w:val="6A250B30"/>
    <w:rsid w:val="6AB71405"/>
    <w:rsid w:val="6CE8097B"/>
    <w:rsid w:val="6DB44FD4"/>
    <w:rsid w:val="6E656362"/>
    <w:rsid w:val="6F4E7F01"/>
    <w:rsid w:val="6F955A7C"/>
    <w:rsid w:val="71725BB0"/>
    <w:rsid w:val="71780F49"/>
    <w:rsid w:val="723700F2"/>
    <w:rsid w:val="72E85120"/>
    <w:rsid w:val="75850AAD"/>
    <w:rsid w:val="76165F85"/>
    <w:rsid w:val="77E548F8"/>
    <w:rsid w:val="783469E8"/>
    <w:rsid w:val="791C0A8F"/>
    <w:rsid w:val="7C13614C"/>
    <w:rsid w:val="7CD54406"/>
    <w:rsid w:val="7DB404DA"/>
    <w:rsid w:val="7FB4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0"/>
    <w:rPr>
      <w:sz w:val="28"/>
      <w:szCs w:val="20"/>
    </w:rPr>
  </w:style>
  <w:style w:type="paragraph" w:styleId="3">
    <w:name w:val="Body Text First Indent"/>
    <w:basedOn w:val="2"/>
    <w:unhideWhenUsed/>
    <w:qFormat/>
    <w:uiPriority w:val="0"/>
    <w:pPr>
      <w:ind w:firstLine="420" w:firstLineChars="100"/>
    </w:p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qFormat/>
    <w:uiPriority w:val="99"/>
    <w:rPr>
      <w:sz w:val="18"/>
      <w:szCs w:val="18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楷体" w:eastAsia="楷体" w:cs="楷体" w:hAnsiTheme="minorHAnsi"/>
      <w:color w:val="000000"/>
      <w:sz w:val="24"/>
      <w:szCs w:val="24"/>
      <w:lang w:val="en-US" w:eastAsia="zh-CN" w:bidi="ar-SA"/>
    </w:rPr>
  </w:style>
  <w:style w:type="character" w:customStyle="1" w:styleId="11">
    <w:name w:val="font5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2">
    <w:name w:val="font21"/>
    <w:basedOn w:val="7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character" w:customStyle="1" w:styleId="13">
    <w:name w:val="font3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">
    <w:name w:val="font11"/>
    <w:basedOn w:val="7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character" w:customStyle="1" w:styleId="15">
    <w:name w:val="font4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2936</Words>
  <Characters>3039</Characters>
  <Lines>15</Lines>
  <Paragraphs>4</Paragraphs>
  <TotalTime>3</TotalTime>
  <ScaleCrop>false</ScaleCrop>
  <LinksUpToDate>false</LinksUpToDate>
  <CharactersWithSpaces>3092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2022-07-22T07:23:00Z</dcterms:created>
  <dc:creator>shanjie@js.cmcc</dc:creator>
  <cp:lastModifiedBy>不要说话</cp:lastModifiedBy>
  <dcterms:modified xsi:type="dcterms:W3CDTF">2026-04-20T02:34:40Z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C3174E597F554AC0A18B381EE11E5E7A_13</vt:lpwstr>
  </property>
  <property fmtid="{D5CDD505-2E9C-101B-9397-08002B2CF9AE}" pid="4" name="KSOTemplateDocerSaveRecord">
    <vt:lpwstr>eyJoZGlkIjoiMTEwMjZlMDBiMTc3MWFkNjQwZGM5Y2NlYTliODQwMWQiLCJ1c2VySWQiOiIzMTY4ODMzNTMifQ==</vt:lpwstr>
  </property>
</Properties>
</file>