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C4315">
      <w:pPr>
        <w:pStyle w:val="83"/>
        <w:widowControl w:val="0"/>
        <w:shd w:val="clear" w:color="auto" w:fill="auto"/>
        <w:spacing w:after="189" w:line="360" w:lineRule="auto"/>
        <w:ind w:left="20" w:firstLine="542" w:firstLineChars="200"/>
        <w:jc w:val="both"/>
      </w:pPr>
      <w:bookmarkStart w:id="0" w:name="Xf133bd1470494347cbf1c259144217c95726abf"/>
      <w:r>
        <w:t xml:space="preserve">3.1.2 </w:t>
      </w:r>
      <w:r>
        <w:rPr>
          <w:rFonts w:hint="eastAsia"/>
        </w:rPr>
        <w:t>权限与组织管理模块需求（技术服务人员管理）</w:t>
      </w:r>
    </w:p>
    <w:p w14:paraId="3B1A62C6">
      <w:pPr>
        <w:pStyle w:val="23"/>
      </w:pPr>
      <w:r>
        <w:rPr>
          <w:rFonts w:hint="eastAsia"/>
        </w:rPr>
        <w:t>（1）供应商角色管理</w:t>
      </w:r>
    </w:p>
    <w:p w14:paraId="0769A65E">
      <w:pPr>
        <w:pStyle w:val="3"/>
      </w:pPr>
      <w:r>
        <w:rPr>
          <w:rFonts w:hint="eastAsia"/>
        </w:rPr>
        <w:t>供应商角色管理：平台新增供应商角色，管理员可为供应商分配技术服务人员，人员数据来源于技术服务部门。</w:t>
      </w:r>
    </w:p>
    <w:p w14:paraId="42EC60A6">
      <w:pPr>
        <w:pStyle w:val="3"/>
      </w:pPr>
      <w:r>
        <w:rPr>
          <w:rFonts w:hint="eastAsia"/>
        </w:rPr>
        <w:t>人员关联规则：供应商与技术服务人员的分配关系作为后续考勤填报、成本填报、派单查看、模板导出的基础数据，人员分配调整需保留留痕。</w:t>
      </w:r>
    </w:p>
    <w:p w14:paraId="3B5AFA16">
      <w:pPr>
        <w:pStyle w:val="3"/>
      </w:pPr>
      <w:r>
        <w:rPr>
          <w:rFonts w:hint="eastAsia"/>
        </w:rPr>
        <w:t>查看权限控制：供应商仅可查看本账号已分配的技术服务人员数据；总监代表、技术服务管理者等角色可在各自权限范围内查看相关数据，平台同步提供对应查看菜单。</w:t>
      </w:r>
    </w:p>
    <w:p w14:paraId="2B571BED">
      <w:pPr>
        <w:pStyle w:val="3"/>
      </w:pPr>
      <w:r>
        <w:rPr>
          <w:rFonts w:hint="eastAsia"/>
        </w:rPr>
        <w:t>（2）技术服务人员考勤管理</w:t>
      </w:r>
    </w:p>
    <w:p w14:paraId="381D7C24">
      <w:pPr>
        <w:pStyle w:val="3"/>
      </w:pPr>
      <w:r>
        <w:rPr>
          <w:rFonts w:hint="eastAsia"/>
        </w:rPr>
        <w:t>考勤明细查看：供应商登录后，可查看已分配技术服务人员及其参与派单明细，并支持导出人员与派单明细模板。</w:t>
      </w:r>
    </w:p>
    <w:p w14:paraId="26F85817">
      <w:pPr>
        <w:pStyle w:val="3"/>
      </w:pPr>
      <w:r>
        <w:rPr>
          <w:rFonts w:hint="eastAsia"/>
        </w:rPr>
        <w:t>考勤填报方式：供应商可在导出的</w:t>
      </w:r>
      <w:r>
        <w:t xml:space="preserve"> Excel </w:t>
      </w:r>
      <w:r>
        <w:rPr>
          <w:rFonts w:hint="eastAsia"/>
        </w:rPr>
        <w:t>模板中完成考勤填报后导入平台，也可通过页面逐条填报指定技术服务人员在某一派单下的考勤数据。</w:t>
      </w:r>
    </w:p>
    <w:p w14:paraId="13DB0A15">
      <w:pPr>
        <w:pStyle w:val="3"/>
      </w:pPr>
      <w:r>
        <w:rPr>
          <w:rFonts w:hint="eastAsia"/>
        </w:rPr>
        <w:t>提交审批规则：平台提供批量提交审批功能，供应商可勾选多条考勤记录统一提交；提交后流程流转至总监代表、技术服务管理者审批。</w:t>
      </w:r>
    </w:p>
    <w:p w14:paraId="56140502">
      <w:pPr>
        <w:pStyle w:val="3"/>
      </w:pPr>
      <w:r>
        <w:rPr>
          <w:rFonts w:hint="eastAsia"/>
        </w:rPr>
        <w:t>冲突校验规则：提交考勤数据时，系统需校验填报时间与技术服务人员参与派单时间是否冲突。存在冲突时给出提示并阻止提交，不冲突时方可进入审批流程。</w:t>
      </w:r>
    </w:p>
    <w:p w14:paraId="1BF9917E">
      <w:pPr>
        <w:pStyle w:val="3"/>
      </w:pPr>
      <w:r>
        <w:rPr>
          <w:rFonts w:hint="eastAsia"/>
        </w:rPr>
        <w:t>数据维护规则：页面填报支持保存、提交两种状态；审批通过后的考勤数据允许技术服务管理者按权限进行修改，并保留操作记录。</w:t>
      </w:r>
    </w:p>
    <w:p w14:paraId="5802D504">
      <w:pPr>
        <w:pStyle w:val="3"/>
      </w:pPr>
      <w:r>
        <w:rPr>
          <w:rFonts w:hint="eastAsia"/>
        </w:rPr>
        <w:t>查看菜单扩展：增加查看菜单，支持供应商、总监代表、技术服务角色查看权限范围内的考勤数据及审批结果。</w:t>
      </w:r>
    </w:p>
    <w:p w14:paraId="2A7927ED">
      <w:pPr>
        <w:pStyle w:val="3"/>
      </w:pPr>
      <w:r>
        <w:rPr>
          <w:rFonts w:hint="eastAsia"/>
        </w:rPr>
        <w:t>（3）技术服务人员成本管理</w:t>
      </w:r>
    </w:p>
    <w:p w14:paraId="179FBC82">
      <w:pPr>
        <w:pStyle w:val="3"/>
      </w:pPr>
      <w:r>
        <w:rPr>
          <w:rFonts w:hint="eastAsia"/>
        </w:rPr>
        <w:t>成本填报方式：技术服务人员每月成本由供应商按“每人每月成本”方式进行填报。平台提供人员清单导出功能，供应商可在导出的</w:t>
      </w:r>
      <w:r>
        <w:t xml:space="preserve"> Excel </w:t>
      </w:r>
      <w:r>
        <w:rPr>
          <w:rFonts w:hint="eastAsia"/>
        </w:rPr>
        <w:t>模板中完成成本填报后导入平台。</w:t>
      </w:r>
    </w:p>
    <w:p w14:paraId="29265741">
      <w:pPr>
        <w:pStyle w:val="3"/>
      </w:pPr>
      <w:r>
        <w:rPr>
          <w:rFonts w:hint="eastAsia"/>
        </w:rPr>
        <w:t>审批流程控制：成本数据导入后，供应商可按批量方式提交至技术服务管理者审批；审批状态、审批意见、提交人、提交时间等信息需全程留痕。</w:t>
      </w:r>
    </w:p>
    <w:p w14:paraId="42FC92A8">
      <w:pPr>
        <w:pStyle w:val="3"/>
      </w:pPr>
      <w:r>
        <w:rPr>
          <w:rFonts w:hint="eastAsia"/>
        </w:rPr>
        <w:t>查看权限控制：供应商仅可查看和提交本账号权限范围内的技术服务人员成本数据；技术服务管理者可查看、审批并维护权限范围内的数据。</w:t>
      </w:r>
    </w:p>
    <w:p w14:paraId="27F9FBF0">
      <w:pPr>
        <w:pStyle w:val="3"/>
      </w:pPr>
      <w:r>
        <w:rPr>
          <w:rFonts w:hint="eastAsia"/>
        </w:rPr>
        <w:t>数据修正规则：审批通过后的成本数</w:t>
      </w:r>
      <w:bookmarkStart w:id="1" w:name="_GoBack"/>
      <w:bookmarkEnd w:id="1"/>
      <w:r>
        <w:rPr>
          <w:rFonts w:hint="eastAsia"/>
        </w:rPr>
        <w:t>据保留修正能力，由有权限角色按规则进行调整并保留历史记录，确保后续成本核算与经营分析数据一致。</w:t>
      </w:r>
    </w:p>
    <w:bookmarkEnd w:id="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81563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  <w:style w:type="paragraph" w:customStyle="1" w:styleId="83">
    <w:name w:val="Body text (9)"/>
    <w:basedOn w:val="1"/>
    <w:link w:val="84"/>
    <w:qFormat/>
    <w:uiPriority w:val="99"/>
    <w:pPr>
      <w:shd w:val="clear" w:color="auto" w:fill="FFFFFF"/>
      <w:spacing w:after="240" w:line="240" w:lineRule="atLeast"/>
      <w:ind w:firstLine="600"/>
      <w:jc w:val="distribute"/>
    </w:pPr>
    <w:rPr>
      <w:rFonts w:ascii="宋体" w:eastAsia="宋体" w:cs="宋体"/>
      <w:b/>
      <w:bCs/>
      <w:sz w:val="27"/>
      <w:szCs w:val="27"/>
    </w:rPr>
  </w:style>
  <w:style w:type="character" w:customStyle="1" w:styleId="84">
    <w:name w:val="Body text (9)_"/>
    <w:basedOn w:val="19"/>
    <w:link w:val="83"/>
    <w:qFormat/>
    <w:uiPriority w:val="99"/>
    <w:rPr>
      <w:rFonts w:ascii="宋体" w:eastAsia="宋体" w:cs="宋体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855</Words>
  <Characters>867</Characters>
  <Lines>12</Lines>
  <Paragraphs>8</Paragraphs>
  <TotalTime>6</TotalTime>
  <ScaleCrop>false</ScaleCrop>
  <LinksUpToDate>false</LinksUpToDate>
  <CharactersWithSpaces>872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2026-04-23T01:58:00Z</dcterms:created>
  <dc:creator>不要说话</dc:creator>
  <cp:lastModifiedBy>不要说话</cp:lastModifiedBy>
  <dcterms:modified xsi:type="dcterms:W3CDTF">2026-04-23T02:11:22Z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eyJoZGlkIjoiMjlmM2ExZTYwMDJiNjkxMjgwZmEyM2Y5Nzk3NDc5OGMiLCJ1c2VySWQiOiIyNDI2MzU0MTMifQ==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EE44591C0B524438B8BFC2F7A1CC22F5_12</vt:lpwstr>
  </property>
</Properties>
</file>