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ED87B">
      <w:pPr>
        <w:spacing w:before="480" w:after="480" w:line="288" w:lineRule="auto"/>
        <w:ind w:left="0"/>
      </w:pPr>
      <w:r>
        <w:rPr>
          <w:rFonts w:hint="eastAsia" w:ascii="Arial" w:hAnsi="Arial" w:eastAsia="等线" w:cs="Arial"/>
          <w:b/>
          <w:sz w:val="52"/>
        </w:rPr>
        <w:t>合同模板-软件开发相关条款摘录</w:t>
      </w:r>
    </w:p>
    <w:p w14:paraId="4FA3F9ED">
      <w:pPr>
        <w:spacing w:before="320" w:after="120" w:line="288" w:lineRule="auto"/>
        <w:ind w:left="0"/>
        <w:jc w:val="left"/>
        <w:outlineLvl w:val="1"/>
      </w:pPr>
      <w:bookmarkStart w:id="0" w:name="heading_0"/>
      <w:r>
        <w:rPr>
          <w:rFonts w:ascii="Arial" w:hAnsi="Arial" w:eastAsia="等线" w:cs="Arial"/>
          <w:b/>
          <w:sz w:val="32"/>
        </w:rPr>
        <w:t>一、商务类条款</w:t>
      </w:r>
      <w:bookmarkEnd w:id="0"/>
    </w:p>
    <w:p w14:paraId="4FB4C0C7">
      <w:pPr>
        <w:numPr>
          <w:ilvl w:val="0"/>
          <w:numId w:val="2"/>
        </w:numPr>
        <w:spacing w:before="120" w:after="120" w:line="288" w:lineRule="auto"/>
        <w:ind w:left="0"/>
        <w:jc w:val="left"/>
      </w:pPr>
      <w:r>
        <w:rPr>
          <w:rFonts w:ascii="Arial" w:hAnsi="Arial" w:eastAsia="等线" w:cs="Arial"/>
          <w:b/>
          <w:sz w:val="22"/>
        </w:rPr>
        <w:t>合同标的</w:t>
      </w:r>
      <w:r>
        <w:rPr>
          <w:rFonts w:ascii="Arial" w:hAnsi="Arial" w:eastAsia="等线" w:cs="Arial"/>
          <w:sz w:val="22"/>
        </w:rPr>
        <w:br w:type="textWrapping"/>
      </w:r>
      <w:r>
        <w:rPr>
          <w:rFonts w:ascii="Arial" w:hAnsi="Arial" w:eastAsia="等线" w:cs="Arial"/>
          <w:sz w:val="22"/>
        </w:rPr>
        <w:t>合同产品名称：一体化平台类信息化系统；数量：1 套；具体信息见合同附件 1《技术协议》、附件 2《价格明细表》。</w:t>
      </w:r>
    </w:p>
    <w:p w14:paraId="0D381451">
      <w:pPr>
        <w:numPr>
          <w:ilvl w:val="0"/>
          <w:numId w:val="3"/>
        </w:numPr>
        <w:spacing w:before="120" w:after="120" w:line="288" w:lineRule="auto"/>
        <w:ind w:left="0"/>
        <w:jc w:val="left"/>
      </w:pPr>
      <w:r>
        <w:rPr>
          <w:rFonts w:ascii="Arial" w:hAnsi="Arial" w:eastAsia="等线" w:cs="Arial"/>
          <w:b/>
          <w:sz w:val="22"/>
        </w:rPr>
        <w:t>项目实施周期</w:t>
      </w:r>
    </w:p>
    <w:p w14:paraId="282FE12E">
      <w:pPr>
        <w:numPr>
          <w:ilvl w:val="0"/>
          <w:numId w:val="4"/>
        </w:numPr>
        <w:spacing w:before="120" w:after="120" w:line="288" w:lineRule="auto"/>
        <w:ind w:left="0"/>
        <w:jc w:val="left"/>
      </w:pPr>
      <w:r>
        <w:rPr>
          <w:rFonts w:ascii="Arial" w:hAnsi="Arial" w:eastAsia="等线" w:cs="Arial"/>
          <w:sz w:val="22"/>
        </w:rPr>
        <w:t>签订合同后 2 个月内完成项目详细设计方案的编制和评审，并取得买方认可。</w:t>
      </w:r>
    </w:p>
    <w:p w14:paraId="629D93DC">
      <w:pPr>
        <w:numPr>
          <w:ilvl w:val="0"/>
          <w:numId w:val="5"/>
        </w:numPr>
        <w:spacing w:before="120" w:after="120" w:line="288" w:lineRule="auto"/>
        <w:ind w:left="0"/>
        <w:jc w:val="left"/>
      </w:pPr>
      <w:r>
        <w:rPr>
          <w:rFonts w:ascii="Arial" w:hAnsi="Arial" w:eastAsia="等线" w:cs="Arial"/>
          <w:sz w:val="22"/>
        </w:rPr>
        <w:t>确定项目实施方案后 4 个月完成项目实施部署。</w:t>
      </w:r>
    </w:p>
    <w:p w14:paraId="46352028">
      <w:pPr>
        <w:numPr>
          <w:ilvl w:val="0"/>
          <w:numId w:val="6"/>
        </w:numPr>
        <w:spacing w:before="120" w:after="120" w:line="288" w:lineRule="auto"/>
        <w:ind w:left="0"/>
        <w:jc w:val="left"/>
      </w:pPr>
      <w:r>
        <w:rPr>
          <w:rFonts w:ascii="Arial" w:hAnsi="Arial" w:eastAsia="等线" w:cs="Arial"/>
          <w:sz w:val="22"/>
        </w:rPr>
        <w:t>平台测试时间 2 个月。</w:t>
      </w:r>
    </w:p>
    <w:p w14:paraId="7BE4C94C">
      <w:pPr>
        <w:numPr>
          <w:ilvl w:val="0"/>
          <w:numId w:val="7"/>
        </w:numPr>
        <w:spacing w:before="120" w:after="120" w:line="288" w:lineRule="auto"/>
        <w:ind w:left="0"/>
        <w:jc w:val="left"/>
      </w:pPr>
      <w:r>
        <w:rPr>
          <w:rFonts w:ascii="Arial" w:hAnsi="Arial" w:eastAsia="等线" w:cs="Arial"/>
          <w:sz w:val="22"/>
        </w:rPr>
        <w:t>试运行 5 个月。</w:t>
      </w:r>
    </w:p>
    <w:p w14:paraId="3FA3CF48">
      <w:pPr>
        <w:numPr>
          <w:ilvl w:val="0"/>
          <w:numId w:val="8"/>
        </w:numPr>
        <w:spacing w:before="120" w:after="120" w:line="288" w:lineRule="auto"/>
        <w:ind w:left="0"/>
        <w:jc w:val="left"/>
      </w:pPr>
      <w:r>
        <w:rPr>
          <w:rFonts w:ascii="Arial" w:hAnsi="Arial" w:eastAsia="等线" w:cs="Arial"/>
          <w:b/>
          <w:sz w:val="22"/>
        </w:rPr>
        <w:t>合同价格与支付</w:t>
      </w:r>
      <w:r>
        <w:rPr>
          <w:rFonts w:ascii="Arial" w:hAnsi="Arial" w:eastAsia="等线" w:cs="Arial"/>
          <w:sz w:val="22"/>
        </w:rPr>
        <w:br w:type="textWrapping"/>
      </w:r>
      <w:r>
        <w:rPr>
          <w:rFonts w:ascii="Arial" w:hAnsi="Arial" w:eastAsia="等线" w:cs="Arial"/>
          <w:sz w:val="22"/>
        </w:rPr>
        <w:t>本合同签约价格为含税总价，由不含税价和税金组成。</w:t>
      </w:r>
    </w:p>
    <w:p w14:paraId="4D6472B0">
      <w:pPr>
        <w:numPr>
          <w:ilvl w:val="0"/>
          <w:numId w:val="9"/>
        </w:numPr>
        <w:spacing w:before="120" w:after="120" w:line="288" w:lineRule="auto"/>
        <w:ind w:left="0"/>
        <w:jc w:val="left"/>
      </w:pPr>
      <w:r>
        <w:rPr>
          <w:rFonts w:ascii="Arial" w:hAnsi="Arial" w:eastAsia="等线" w:cs="Arial"/>
          <w:sz w:val="22"/>
        </w:rPr>
        <w:t>预付款：合同生效后，支付签约合同价的 30%。</w:t>
      </w:r>
    </w:p>
    <w:p w14:paraId="144687B8">
      <w:pPr>
        <w:numPr>
          <w:ilvl w:val="0"/>
          <w:numId w:val="10"/>
        </w:numPr>
        <w:spacing w:before="120" w:after="120" w:line="288" w:lineRule="auto"/>
        <w:ind w:left="0"/>
        <w:jc w:val="left"/>
      </w:pPr>
      <w:r>
        <w:rPr>
          <w:rFonts w:ascii="Arial" w:hAnsi="Arial" w:eastAsia="等线" w:cs="Arial"/>
          <w:sz w:val="22"/>
        </w:rPr>
        <w:t>交货款：交付全部合同设备/系统后，支付合同价格的 30%。</w:t>
      </w:r>
    </w:p>
    <w:p w14:paraId="5516BC97">
      <w:pPr>
        <w:numPr>
          <w:ilvl w:val="0"/>
          <w:numId w:val="11"/>
        </w:numPr>
        <w:spacing w:before="120" w:after="120" w:line="288" w:lineRule="auto"/>
        <w:ind w:left="0"/>
        <w:jc w:val="left"/>
      </w:pPr>
      <w:r>
        <w:rPr>
          <w:rFonts w:ascii="Arial" w:hAnsi="Arial" w:eastAsia="等线" w:cs="Arial"/>
          <w:sz w:val="22"/>
        </w:rPr>
        <w:t>调试验收款：安装调试验收合格，提交验收证书并开具合同金额 100% 增值税专用发票后，支付合同价格的 30%。</w:t>
      </w:r>
    </w:p>
    <w:p w14:paraId="332EDF7E">
      <w:pPr>
        <w:numPr>
          <w:ilvl w:val="0"/>
          <w:numId w:val="12"/>
        </w:numPr>
        <w:spacing w:before="120" w:after="120" w:line="288" w:lineRule="auto"/>
        <w:ind w:left="0"/>
        <w:jc w:val="left"/>
      </w:pPr>
      <w:r>
        <w:rPr>
          <w:rFonts w:ascii="Arial" w:hAnsi="Arial" w:eastAsia="等线" w:cs="Arial"/>
          <w:sz w:val="22"/>
        </w:rPr>
        <w:t>质保金：收到买方签署的质保评定书后，支付合同价格的 10%。</w:t>
      </w:r>
    </w:p>
    <w:p w14:paraId="1FDCF01E">
      <w:pPr>
        <w:numPr>
          <w:ilvl w:val="0"/>
          <w:numId w:val="13"/>
        </w:numPr>
        <w:spacing w:before="120" w:after="120" w:line="288" w:lineRule="auto"/>
        <w:ind w:left="0"/>
        <w:jc w:val="left"/>
      </w:pPr>
      <w:r>
        <w:rPr>
          <w:rFonts w:ascii="Arial" w:hAnsi="Arial" w:eastAsia="等线" w:cs="Arial"/>
          <w:b/>
          <w:sz w:val="22"/>
        </w:rPr>
        <w:t>履约保证金</w:t>
      </w:r>
      <w:r>
        <w:rPr>
          <w:rFonts w:ascii="Arial" w:hAnsi="Arial" w:eastAsia="等线" w:cs="Arial"/>
          <w:sz w:val="22"/>
        </w:rPr>
        <w:br w:type="textWrapping"/>
      </w:r>
      <w:r>
        <w:rPr>
          <w:rFonts w:ascii="Arial" w:hAnsi="Arial" w:eastAsia="等线" w:cs="Arial"/>
          <w:sz w:val="22"/>
        </w:rPr>
        <w:t>卖方应在合同签订之前向买方支付合同总金额 10% 的履约保证金，形式为银行保函或买方同意的其他形式。</w:t>
      </w:r>
    </w:p>
    <w:p w14:paraId="6BDCD7DF">
      <w:pPr>
        <w:numPr>
          <w:ilvl w:val="0"/>
          <w:numId w:val="14"/>
        </w:numPr>
        <w:spacing w:before="120" w:after="120" w:line="288" w:lineRule="auto"/>
        <w:ind w:left="0"/>
        <w:jc w:val="left"/>
      </w:pPr>
      <w:r>
        <w:rPr>
          <w:rFonts w:ascii="Arial" w:hAnsi="Arial" w:eastAsia="等线" w:cs="Arial"/>
          <w:b/>
          <w:sz w:val="22"/>
        </w:rPr>
        <w:t>分包与外包</w:t>
      </w:r>
      <w:r>
        <w:rPr>
          <w:rFonts w:ascii="Arial" w:hAnsi="Arial" w:eastAsia="等线" w:cs="Arial"/>
          <w:sz w:val="22"/>
        </w:rPr>
        <w:br w:type="textWrapping"/>
      </w:r>
      <w:r>
        <w:rPr>
          <w:rFonts w:ascii="Arial" w:hAnsi="Arial" w:eastAsia="等线" w:cs="Arial"/>
          <w:sz w:val="22"/>
        </w:rPr>
        <w:t>未经买方同意，卖方不得将合同义务全部或部分转让，不得擅自对外分包。确需分包的，应提交分包商资质业绩，从买方确认名单中选定，并将分包合同副本交买方备案。卖方对所分包事项承担本合同项下全部责任。</w:t>
      </w:r>
    </w:p>
    <w:p w14:paraId="7C1EBA48">
      <w:pPr>
        <w:numPr>
          <w:ilvl w:val="0"/>
          <w:numId w:val="15"/>
        </w:numPr>
        <w:spacing w:before="120" w:after="120" w:line="288" w:lineRule="auto"/>
        <w:ind w:left="0"/>
        <w:jc w:val="left"/>
      </w:pPr>
      <w:r>
        <w:rPr>
          <w:rFonts w:ascii="Arial" w:hAnsi="Arial" w:eastAsia="等线" w:cs="Arial"/>
          <w:b/>
          <w:sz w:val="22"/>
        </w:rPr>
        <w:t>知识产权</w:t>
      </w:r>
      <w:r>
        <w:rPr>
          <w:rFonts w:ascii="Arial" w:hAnsi="Arial" w:eastAsia="等线" w:cs="Arial"/>
          <w:sz w:val="22"/>
        </w:rPr>
        <w:br w:type="textWrapping"/>
      </w:r>
      <w:r>
        <w:rPr>
          <w:rFonts w:ascii="Arial" w:hAnsi="Arial" w:eastAsia="等线" w:cs="Arial"/>
          <w:sz w:val="22"/>
        </w:rPr>
        <w:t>买方提供的所有文件、资料、设计所涉知识产权归买方所有。根据买方文件、资料、设计制造的合同产品，相关知识产权及后续改进归买方所有。卖方保证交付产品及资料无知识产权纠纷，如侵权由卖方承担全部责任与损失。</w:t>
      </w:r>
    </w:p>
    <w:p w14:paraId="7B07E68B">
      <w:pPr>
        <w:numPr>
          <w:ilvl w:val="0"/>
          <w:numId w:val="16"/>
        </w:numPr>
        <w:spacing w:before="120" w:after="120" w:line="288" w:lineRule="auto"/>
        <w:ind w:left="0"/>
        <w:jc w:val="left"/>
      </w:pPr>
      <w:r>
        <w:rPr>
          <w:rFonts w:ascii="Arial" w:hAnsi="Arial" w:eastAsia="等线" w:cs="Arial"/>
          <w:b/>
          <w:sz w:val="22"/>
        </w:rPr>
        <w:t>保密义务</w:t>
      </w:r>
      <w:r>
        <w:rPr>
          <w:rFonts w:ascii="Arial" w:hAnsi="Arial" w:eastAsia="等线" w:cs="Arial"/>
          <w:sz w:val="22"/>
        </w:rPr>
        <w:br w:type="textWrapping"/>
      </w:r>
      <w:r>
        <w:rPr>
          <w:rFonts w:ascii="Arial" w:hAnsi="Arial" w:eastAsia="等线" w:cs="Arial"/>
          <w:sz w:val="22"/>
        </w:rPr>
        <w:t>卖方对合同内容、买方技术信息、商业秘密负有保密义务，未经书面同意不得泄露或用于合同以外目的。卖方不得对外宣传合作关系，不得拍摄买方现场及设备照片用于宣传。</w:t>
      </w:r>
    </w:p>
    <w:p w14:paraId="29514389">
      <w:pPr>
        <w:pBdr>
          <w:bottom w:val="single" w:color="DEE0E3" w:sz="2" w:space="0"/>
          <w:between w:val="single" w:color="DEE0E3" w:sz="2" w:space="0"/>
        </w:pBdr>
        <w:spacing w:before="120" w:after="120" w:line="288" w:lineRule="auto"/>
        <w:ind w:left="0"/>
      </w:pPr>
    </w:p>
    <w:p w14:paraId="04DBEAD0">
      <w:pPr>
        <w:spacing w:before="320" w:after="120" w:line="288" w:lineRule="auto"/>
        <w:ind w:left="0"/>
        <w:jc w:val="left"/>
        <w:outlineLvl w:val="1"/>
      </w:pPr>
      <w:bookmarkStart w:id="1" w:name="heading_1"/>
      <w:r>
        <w:rPr>
          <w:rFonts w:ascii="Arial" w:hAnsi="Arial" w:eastAsia="等线" w:cs="Arial"/>
          <w:b/>
          <w:sz w:val="32"/>
        </w:rPr>
        <w:t>二、技术类条款</w:t>
      </w:r>
      <w:bookmarkEnd w:id="1"/>
    </w:p>
    <w:p w14:paraId="16B3DFC8">
      <w:pPr>
        <w:numPr>
          <w:ilvl w:val="0"/>
          <w:numId w:val="17"/>
        </w:numPr>
        <w:spacing w:before="120" w:after="120" w:line="288" w:lineRule="auto"/>
        <w:ind w:left="0"/>
        <w:jc w:val="left"/>
      </w:pPr>
      <w:r>
        <w:rPr>
          <w:rFonts w:ascii="Arial" w:hAnsi="Arial" w:eastAsia="等线" w:cs="Arial"/>
          <w:b/>
          <w:sz w:val="22"/>
        </w:rPr>
        <w:t>技术资料交付</w:t>
      </w:r>
    </w:p>
    <w:p w14:paraId="4B13D455">
      <w:pPr>
        <w:numPr>
          <w:ilvl w:val="0"/>
          <w:numId w:val="18"/>
        </w:numPr>
        <w:spacing w:before="120" w:after="120" w:line="288" w:lineRule="auto"/>
        <w:ind w:left="0"/>
        <w:jc w:val="left"/>
      </w:pPr>
      <w:r>
        <w:rPr>
          <w:rFonts w:ascii="Arial" w:hAnsi="Arial" w:eastAsia="等线" w:cs="Arial"/>
          <w:sz w:val="22"/>
        </w:rPr>
        <w:t>合同签订后 25 天向买方提供设计方案。</w:t>
      </w:r>
    </w:p>
    <w:p w14:paraId="4F8F535A">
      <w:pPr>
        <w:numPr>
          <w:ilvl w:val="0"/>
          <w:numId w:val="19"/>
        </w:numPr>
        <w:spacing w:before="120" w:after="120" w:line="288" w:lineRule="auto"/>
        <w:ind w:left="0"/>
        <w:jc w:val="left"/>
      </w:pPr>
      <w:r>
        <w:rPr>
          <w:rFonts w:ascii="Arial" w:hAnsi="Arial" w:eastAsia="等线" w:cs="Arial"/>
          <w:sz w:val="22"/>
        </w:rPr>
        <w:t>方案评审后 10 个工作日提供设备基础图、平面布置图、外部接口条件。</w:t>
      </w:r>
    </w:p>
    <w:p w14:paraId="271116C6">
      <w:pPr>
        <w:numPr>
          <w:ilvl w:val="0"/>
          <w:numId w:val="20"/>
        </w:numPr>
        <w:spacing w:before="120" w:after="120" w:line="288" w:lineRule="auto"/>
        <w:ind w:left="0"/>
        <w:jc w:val="left"/>
      </w:pPr>
      <w:r>
        <w:rPr>
          <w:rFonts w:ascii="Arial" w:hAnsi="Arial" w:eastAsia="等线" w:cs="Arial"/>
          <w:sz w:val="22"/>
        </w:rPr>
        <w:t>合同签订后 1 个月内提供设备安装指南（含软件部署指南）。</w:t>
      </w:r>
    </w:p>
    <w:p w14:paraId="535121E6">
      <w:pPr>
        <w:numPr>
          <w:ilvl w:val="0"/>
          <w:numId w:val="21"/>
        </w:numPr>
        <w:spacing w:before="120" w:after="120" w:line="288" w:lineRule="auto"/>
        <w:ind w:left="0"/>
        <w:jc w:val="left"/>
      </w:pPr>
      <w:r>
        <w:rPr>
          <w:rFonts w:ascii="Arial" w:hAnsi="Arial" w:eastAsia="等线" w:cs="Arial"/>
          <w:sz w:val="22"/>
        </w:rPr>
        <w:t>源地验收前一周提供源地验收大纲、调试大纲，提交买方审核后实施。</w:t>
      </w:r>
    </w:p>
    <w:p w14:paraId="7990BB1C">
      <w:pPr>
        <w:numPr>
          <w:ilvl w:val="0"/>
          <w:numId w:val="22"/>
        </w:numPr>
        <w:spacing w:before="120" w:after="120" w:line="288" w:lineRule="auto"/>
        <w:ind w:left="0"/>
        <w:jc w:val="left"/>
      </w:pPr>
      <w:r>
        <w:rPr>
          <w:rFonts w:ascii="Arial" w:hAnsi="Arial" w:eastAsia="等线" w:cs="Arial"/>
          <w:sz w:val="22"/>
        </w:rPr>
        <w:t>随机资料提供纸质 2 份、电子文件 1 份，内容完整、签章齐全。</w:t>
      </w:r>
    </w:p>
    <w:p w14:paraId="30E0A497">
      <w:pPr>
        <w:numPr>
          <w:ilvl w:val="0"/>
          <w:numId w:val="23"/>
        </w:numPr>
        <w:spacing w:before="120" w:after="120" w:line="288" w:lineRule="auto"/>
        <w:ind w:left="0"/>
        <w:jc w:val="left"/>
      </w:pPr>
      <w:r>
        <w:rPr>
          <w:rFonts w:ascii="Arial" w:hAnsi="Arial" w:eastAsia="等线" w:cs="Arial"/>
          <w:b/>
          <w:sz w:val="22"/>
        </w:rPr>
        <w:t>技术服务要求</w:t>
      </w:r>
      <w:r>
        <w:rPr>
          <w:rFonts w:ascii="Arial" w:hAnsi="Arial" w:eastAsia="等线" w:cs="Arial"/>
          <w:sz w:val="22"/>
        </w:rPr>
        <w:br w:type="textWrapping"/>
      </w:r>
      <w:r>
        <w:rPr>
          <w:rFonts w:ascii="Arial" w:hAnsi="Arial" w:eastAsia="等线" w:cs="Arial"/>
          <w:sz w:val="22"/>
        </w:rPr>
        <w:t>卖方指派经验丰富技术人员到现场提供技术服务，负责解决安装、调试问题。买方要求现场服务时，卖方 24 小时内答复、48 小时内到达现场。平台非正常停运，卖方全力配合查明故障、恢复运行。</w:t>
      </w:r>
    </w:p>
    <w:p w14:paraId="13BC1934">
      <w:pPr>
        <w:numPr>
          <w:ilvl w:val="0"/>
          <w:numId w:val="24"/>
        </w:numPr>
        <w:spacing w:before="120" w:after="120" w:line="288" w:lineRule="auto"/>
        <w:ind w:left="0"/>
        <w:jc w:val="left"/>
      </w:pPr>
      <w:r>
        <w:rPr>
          <w:rFonts w:ascii="Arial" w:hAnsi="Arial" w:eastAsia="等线" w:cs="Arial"/>
          <w:b/>
          <w:sz w:val="22"/>
        </w:rPr>
        <w:t>安装、调试与验收</w:t>
      </w:r>
    </w:p>
    <w:p w14:paraId="16923070">
      <w:pPr>
        <w:numPr>
          <w:ilvl w:val="0"/>
          <w:numId w:val="25"/>
        </w:numPr>
        <w:spacing w:before="120" w:after="120" w:line="288" w:lineRule="auto"/>
        <w:ind w:left="0"/>
        <w:jc w:val="left"/>
      </w:pPr>
      <w:r>
        <w:rPr>
          <w:rFonts w:ascii="Arial" w:hAnsi="Arial" w:eastAsia="等线" w:cs="Arial"/>
          <w:sz w:val="22"/>
        </w:rPr>
        <w:t>卖方负责安装、调试，设备完成安装调试并最终验收合格后进入质保期。</w:t>
      </w:r>
    </w:p>
    <w:p w14:paraId="35B5AB24">
      <w:pPr>
        <w:numPr>
          <w:ilvl w:val="0"/>
          <w:numId w:val="26"/>
        </w:numPr>
        <w:spacing w:before="120" w:after="120" w:line="288" w:lineRule="auto"/>
        <w:ind w:left="0"/>
        <w:jc w:val="left"/>
      </w:pPr>
      <w:r>
        <w:rPr>
          <w:rFonts w:ascii="Arial" w:hAnsi="Arial" w:eastAsia="等线" w:cs="Arial"/>
          <w:sz w:val="22"/>
        </w:rPr>
        <w:t>指导安装含设备组装、系统部署、与基础设施接口连接调试。</w:t>
      </w:r>
    </w:p>
    <w:p w14:paraId="56C0F4B0">
      <w:pPr>
        <w:numPr>
          <w:ilvl w:val="0"/>
          <w:numId w:val="27"/>
        </w:numPr>
        <w:spacing w:before="120" w:after="120" w:line="288" w:lineRule="auto"/>
        <w:ind w:left="0"/>
        <w:jc w:val="left"/>
      </w:pPr>
      <w:r>
        <w:rPr>
          <w:rFonts w:ascii="Arial" w:hAnsi="Arial" w:eastAsia="等线" w:cs="Arial"/>
          <w:sz w:val="22"/>
        </w:rPr>
        <w:t>调试包括单体调试、联动试车，阶段性调试需买方见证或验收。</w:t>
      </w:r>
    </w:p>
    <w:p w14:paraId="6BEC101F">
      <w:pPr>
        <w:numPr>
          <w:ilvl w:val="0"/>
          <w:numId w:val="28"/>
        </w:numPr>
        <w:spacing w:before="120" w:after="120" w:line="288" w:lineRule="auto"/>
        <w:ind w:left="0"/>
        <w:jc w:val="left"/>
      </w:pPr>
      <w:r>
        <w:rPr>
          <w:rFonts w:ascii="Arial" w:hAnsi="Arial" w:eastAsia="等线" w:cs="Arial"/>
          <w:sz w:val="22"/>
        </w:rPr>
        <w:t>安装完毕之日起 60 天内解决调试问题，否则视同迟延交货。</w:t>
      </w:r>
    </w:p>
    <w:p w14:paraId="5B5C0B7B">
      <w:pPr>
        <w:numPr>
          <w:ilvl w:val="0"/>
          <w:numId w:val="29"/>
        </w:numPr>
        <w:spacing w:before="120" w:after="120" w:line="288" w:lineRule="auto"/>
        <w:ind w:left="0"/>
        <w:jc w:val="left"/>
      </w:pPr>
      <w:r>
        <w:rPr>
          <w:rFonts w:ascii="Arial" w:hAnsi="Arial" w:eastAsia="等线" w:cs="Arial"/>
          <w:sz w:val="22"/>
        </w:rPr>
        <w:t>调试资料按顺序组卷，内容完整、签字盖章齐全，提供纸质 2 份、电子 1 份。</w:t>
      </w:r>
    </w:p>
    <w:p w14:paraId="1E6E325B">
      <w:pPr>
        <w:numPr>
          <w:ilvl w:val="0"/>
          <w:numId w:val="30"/>
        </w:numPr>
        <w:spacing w:before="120" w:after="120" w:line="288" w:lineRule="auto"/>
        <w:ind w:left="0"/>
        <w:jc w:val="left"/>
      </w:pPr>
      <w:r>
        <w:rPr>
          <w:rFonts w:ascii="Arial" w:hAnsi="Arial" w:eastAsia="等线" w:cs="Arial"/>
          <w:b/>
          <w:sz w:val="22"/>
        </w:rPr>
        <w:t>质量保证期</w:t>
      </w:r>
      <w:r>
        <w:rPr>
          <w:rFonts w:ascii="Arial" w:hAnsi="Arial" w:eastAsia="等线" w:cs="Arial"/>
          <w:sz w:val="22"/>
        </w:rPr>
        <w:br w:type="textWrapping"/>
      </w:r>
      <w:r>
        <w:rPr>
          <w:rFonts w:ascii="Arial" w:hAnsi="Arial" w:eastAsia="等线" w:cs="Arial"/>
          <w:sz w:val="22"/>
        </w:rPr>
        <w:t>质量保证期为从合同产品通过性能验收试验之日起 24 个月。质保期内由于设计、制造缺陷引发故障，卖方负责免费修理、更换并承担相关费用与损失。</w:t>
      </w:r>
    </w:p>
    <w:p w14:paraId="0A6DC4DB">
      <w:pPr>
        <w:numPr>
          <w:ilvl w:val="0"/>
          <w:numId w:val="31"/>
        </w:numPr>
        <w:spacing w:before="120" w:after="120" w:line="288" w:lineRule="auto"/>
        <w:ind w:left="0"/>
        <w:jc w:val="left"/>
      </w:pPr>
      <w:r>
        <w:rPr>
          <w:rFonts w:ascii="Arial" w:hAnsi="Arial" w:eastAsia="等线" w:cs="Arial"/>
          <w:b/>
          <w:sz w:val="22"/>
        </w:rPr>
        <w:t>文件编制规范</w:t>
      </w:r>
      <w:r>
        <w:rPr>
          <w:rFonts w:ascii="Arial" w:hAnsi="Arial" w:eastAsia="等线" w:cs="Arial"/>
          <w:sz w:val="22"/>
        </w:rPr>
        <w:br w:type="textWrapping"/>
      </w:r>
      <w:r>
        <w:rPr>
          <w:rFonts w:ascii="Arial" w:hAnsi="Arial" w:eastAsia="等线" w:cs="Arial"/>
          <w:sz w:val="22"/>
        </w:rPr>
        <w:t>文件语言为中文，图纸采用 A 系列标准，A3 及以上折叠为 A4；电子文件采用通用格式，PDF/Office 可读、无病毒；提交文件包括文件清单、项目进度计划、包装运输文件、装箱单等。</w:t>
      </w:r>
    </w:p>
    <w:p w14:paraId="6508574B">
      <w:pPr>
        <w:numPr>
          <w:ilvl w:val="0"/>
          <w:numId w:val="32"/>
        </w:numPr>
        <w:spacing w:before="120" w:after="120" w:line="288" w:lineRule="auto"/>
        <w:ind w:left="0"/>
        <w:jc w:val="left"/>
        <w:rPr>
          <w:color w:val="FF0000"/>
        </w:rPr>
      </w:pPr>
      <w:r>
        <w:rPr>
          <w:rFonts w:ascii="Arial" w:hAnsi="Arial" w:eastAsia="等线" w:cs="Arial"/>
          <w:b/>
          <w:sz w:val="22"/>
        </w:rPr>
        <w:t>质量保证与控制</w:t>
      </w:r>
      <w:r>
        <w:rPr>
          <w:rFonts w:ascii="Arial" w:hAnsi="Arial" w:eastAsia="等线" w:cs="Arial"/>
          <w:sz w:val="22"/>
        </w:rPr>
        <w:br w:type="textWrapping"/>
      </w:r>
      <w:r>
        <w:rPr>
          <w:rFonts w:ascii="Arial" w:hAnsi="Arial" w:eastAsia="等线" w:cs="Arial"/>
          <w:color w:val="FF0000"/>
          <w:sz w:val="22"/>
        </w:rPr>
        <w:t>卖方按 GB/T19001 建立质量保证体系，实行关键人员签名备案、资料验真制度，对质量记录、设计、资料真实性负责。</w:t>
      </w:r>
    </w:p>
    <w:p w14:paraId="067F0BFD">
      <w:pPr>
        <w:numPr>
          <w:ilvl w:val="0"/>
          <w:numId w:val="33"/>
        </w:numPr>
        <w:spacing w:before="120" w:after="120" w:line="288" w:lineRule="auto"/>
        <w:ind w:left="0"/>
        <w:jc w:val="left"/>
        <w:rPr>
          <w:sz w:val="22"/>
          <w:szCs w:val="22"/>
        </w:rPr>
      </w:pPr>
      <w:r>
        <w:rPr>
          <w:rFonts w:ascii="Arial" w:hAnsi="Arial" w:eastAsia="等线" w:cs="Arial"/>
          <w:b/>
          <w:sz w:val="22"/>
          <w:szCs w:val="22"/>
        </w:rPr>
        <w:t>监造与出厂验收</w:t>
      </w:r>
      <w:r>
        <w:rPr>
          <w:rFonts w:ascii="Arial" w:hAnsi="Arial" w:eastAsia="等线" w:cs="Arial"/>
          <w:sz w:val="22"/>
          <w:szCs w:val="22"/>
        </w:rPr>
        <w:br w:type="textWrapping"/>
      </w:r>
      <w:r>
        <w:rPr>
          <w:rFonts w:ascii="Arial" w:hAnsi="Arial" w:eastAsia="等线" w:cs="Arial"/>
          <w:sz w:val="22"/>
          <w:szCs w:val="22"/>
        </w:rPr>
        <w:t>买方有权委派代表驻厂监造、出厂验收。出厂验收含性能试验见证、文件审查、资料完整性核查，验收合格方可包装出厂。</w:t>
      </w:r>
    </w:p>
    <w:p w14:paraId="532B430B">
      <w:pPr>
        <w:numPr>
          <w:ilvl w:val="0"/>
          <w:numId w:val="34"/>
        </w:numPr>
        <w:spacing w:before="120" w:after="120" w:line="288" w:lineRule="auto"/>
        <w:ind w:left="0"/>
        <w:jc w:val="left"/>
        <w:rPr>
          <w:sz w:val="22"/>
          <w:szCs w:val="22"/>
        </w:rPr>
      </w:pPr>
      <w:r>
        <w:rPr>
          <w:rFonts w:ascii="Arial" w:hAnsi="Arial" w:eastAsia="等线" w:cs="Arial"/>
          <w:b/>
          <w:sz w:val="22"/>
          <w:szCs w:val="22"/>
        </w:rPr>
        <w:t>防造假要求</w:t>
      </w:r>
      <w:r>
        <w:rPr>
          <w:rFonts w:ascii="Arial" w:hAnsi="Arial" w:eastAsia="等线" w:cs="Arial"/>
          <w:sz w:val="22"/>
          <w:szCs w:val="22"/>
        </w:rPr>
        <w:br w:type="textWrapping"/>
      </w:r>
      <w:r>
        <w:rPr>
          <w:rFonts w:ascii="Arial" w:hAnsi="Arial" w:eastAsia="等线" w:cs="Arial"/>
          <w:sz w:val="22"/>
          <w:szCs w:val="22"/>
        </w:rPr>
        <w:t>卖方保证资质、证明、记录、报告真实有效，无伪造、变造、虚假记录。造假行为按合同约定追究违约责任。</w:t>
      </w:r>
    </w:p>
    <w:p w14:paraId="43E0C077">
      <w:pPr>
        <w:pBdr>
          <w:bottom w:val="single" w:color="DEE0E3" w:sz="2" w:space="0"/>
          <w:between w:val="single" w:color="DEE0E3" w:sz="2" w:space="0"/>
        </w:pBdr>
        <w:spacing w:before="120" w:after="120" w:line="288" w:lineRule="auto"/>
        <w:ind w:left="0"/>
        <w:rPr>
          <w:sz w:val="22"/>
          <w:szCs w:val="22"/>
        </w:rPr>
      </w:pPr>
    </w:p>
    <w:p w14:paraId="26268A08">
      <w:pPr>
        <w:spacing w:before="320" w:after="120" w:line="288" w:lineRule="auto"/>
        <w:ind w:left="0"/>
        <w:jc w:val="left"/>
        <w:outlineLvl w:val="1"/>
      </w:pPr>
      <w:bookmarkStart w:id="2" w:name="heading_2"/>
      <w:r>
        <w:rPr>
          <w:rFonts w:ascii="Arial" w:hAnsi="Arial" w:eastAsia="等线" w:cs="Arial"/>
          <w:b/>
          <w:sz w:val="32"/>
        </w:rPr>
        <w:t>三、附件中软件开发相关内容</w:t>
      </w:r>
      <w:bookmarkEnd w:id="2"/>
    </w:p>
    <w:p w14:paraId="3C81C2C8">
      <w:pPr>
        <w:numPr>
          <w:ilvl w:val="0"/>
          <w:numId w:val="35"/>
        </w:numPr>
        <w:spacing w:before="120" w:after="120" w:line="288" w:lineRule="auto"/>
        <w:ind w:left="0"/>
        <w:jc w:val="left"/>
        <w:rPr>
          <w:strike/>
          <w:dstrike w:val="0"/>
        </w:rPr>
      </w:pPr>
      <w:r>
        <w:rPr>
          <w:rFonts w:ascii="Arial" w:hAnsi="Arial" w:eastAsia="等线" w:cs="Arial"/>
          <w:strike/>
          <w:dstrike w:val="0"/>
          <w:sz w:val="22"/>
        </w:rPr>
        <w:t>附件 1《技术协议》：软件开发 / 平台功能、技术参数、接口标准。</w:t>
      </w:r>
      <w:r>
        <w:rPr>
          <w:rFonts w:hint="eastAsia" w:ascii="Arial" w:hAnsi="Arial" w:eastAsia="等线" w:cs="Arial"/>
          <w:strike/>
          <w:dstrike w:val="0"/>
          <w:sz w:val="22"/>
          <w:lang w:eastAsia="zh-CN"/>
        </w:rPr>
        <w:t>（</w:t>
      </w:r>
      <w:r>
        <w:rPr>
          <w:rFonts w:hint="eastAsia" w:ascii="Arial" w:hAnsi="Arial" w:eastAsia="等线" w:cs="Arial"/>
          <w:strike/>
          <w:dstrike w:val="0"/>
          <w:sz w:val="22"/>
          <w:lang w:val="en-US" w:eastAsia="zh-CN"/>
        </w:rPr>
        <w:t>另附</w:t>
      </w:r>
      <w:r>
        <w:rPr>
          <w:rFonts w:hint="eastAsia" w:ascii="Arial" w:hAnsi="Arial" w:eastAsia="等线" w:cs="Arial"/>
          <w:strike/>
          <w:dstrike w:val="0"/>
          <w:sz w:val="22"/>
          <w:lang w:eastAsia="zh-CN"/>
        </w:rPr>
        <w:t>）</w:t>
      </w:r>
    </w:p>
    <w:p w14:paraId="03235534">
      <w:pPr>
        <w:numPr>
          <w:ilvl w:val="0"/>
          <w:numId w:val="36"/>
        </w:numPr>
        <w:spacing w:before="120" w:after="120" w:line="288" w:lineRule="auto"/>
        <w:ind w:left="0"/>
        <w:jc w:val="left"/>
        <w:rPr>
          <w:strike/>
          <w:dstrike w:val="0"/>
        </w:rPr>
      </w:pPr>
      <w:r>
        <w:rPr>
          <w:rFonts w:ascii="Arial" w:hAnsi="Arial" w:eastAsia="等线" w:cs="Arial"/>
          <w:strike/>
          <w:dstrike w:val="0"/>
          <w:sz w:val="22"/>
        </w:rPr>
        <w:t>附件 2《价格明细表》：一体化平台、客户端、配套软件（操作系统、数据库、等保测评、安全检测、漏洞扫描）、安装调试费、培训费等。</w:t>
      </w:r>
      <w:r>
        <w:rPr>
          <w:rFonts w:hint="eastAsia" w:ascii="Arial" w:hAnsi="Arial" w:eastAsia="等线" w:cs="Arial"/>
          <w:strike/>
          <w:dstrike w:val="0"/>
          <w:sz w:val="22"/>
          <w:lang w:eastAsia="zh-CN"/>
        </w:rPr>
        <w:t>（</w:t>
      </w:r>
      <w:r>
        <w:rPr>
          <w:rFonts w:hint="eastAsia" w:ascii="Arial" w:hAnsi="Arial" w:eastAsia="等线" w:cs="Arial"/>
          <w:strike/>
          <w:dstrike w:val="0"/>
          <w:sz w:val="22"/>
          <w:lang w:val="en-US" w:eastAsia="zh-CN"/>
        </w:rPr>
        <w:t>见招标文件</w:t>
      </w:r>
      <w:r>
        <w:rPr>
          <w:rFonts w:hint="eastAsia" w:ascii="Arial" w:hAnsi="Arial" w:eastAsia="等线" w:cs="Arial"/>
          <w:strike/>
          <w:dstrike w:val="0"/>
          <w:sz w:val="22"/>
          <w:lang w:eastAsia="zh-CN"/>
        </w:rPr>
        <w:t>）</w:t>
      </w:r>
    </w:p>
    <w:p w14:paraId="3C055157">
      <w:pPr>
        <w:numPr>
          <w:ilvl w:val="0"/>
          <w:numId w:val="37"/>
        </w:numPr>
        <w:spacing w:before="120" w:after="120" w:line="288" w:lineRule="auto"/>
        <w:ind w:left="0"/>
        <w:jc w:val="left"/>
      </w:pPr>
      <w:r>
        <w:rPr>
          <w:rFonts w:ascii="Arial" w:hAnsi="Arial" w:eastAsia="等线" w:cs="Arial"/>
          <w:sz w:val="22"/>
        </w:rPr>
        <w:t>附件 3《文件编制要求》：软件开发文档格式、版本、提交规范。</w:t>
      </w:r>
    </w:p>
    <w:p w14:paraId="4519610A">
      <w:pPr>
        <w:pStyle w:val="5"/>
        <w:numPr>
          <w:ilvl w:val="0"/>
          <w:numId w:val="0"/>
        </w:numPr>
        <w:jc w:val="center"/>
        <w:outlineLvl w:val="9"/>
        <w:rPr>
          <w:rFonts w:hint="eastAsia" w:ascii="等线" w:hAnsi="等线" w:eastAsia="等线" w:cs="等线"/>
          <w:b w:val="0"/>
          <w:bCs w:val="0"/>
          <w:i w:val="0"/>
          <w:iCs w:val="0"/>
          <w:color w:val="auto"/>
          <w:sz w:val="22"/>
          <w:szCs w:val="22"/>
          <w:highlight w:val="none"/>
        </w:rPr>
      </w:pPr>
      <w:r>
        <w:rPr>
          <w:rFonts w:hint="eastAsia" w:ascii="等线" w:hAnsi="等线" w:eastAsia="等线" w:cs="等线"/>
          <w:i w:val="0"/>
          <w:iCs w:val="0"/>
          <w:color w:val="auto"/>
          <w:sz w:val="22"/>
          <w:szCs w:val="22"/>
          <w:highlight w:val="none"/>
        </w:rPr>
        <w:t>文件编制要求</w:t>
      </w:r>
    </w:p>
    <w:p w14:paraId="47E19E0B">
      <w:pPr>
        <w:widowControl/>
        <w:spacing w:after="120" w:afterLines="50" w:line="300" w:lineRule="auto"/>
        <w:ind w:left="569" w:hanging="519" w:hangingChars="236"/>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一、总则</w:t>
      </w:r>
    </w:p>
    <w:p w14:paraId="71126E41">
      <w:pPr>
        <w:widowControl/>
        <w:spacing w:after="120" w:afterLines="50" w:line="300" w:lineRule="auto"/>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1.概述</w:t>
      </w:r>
    </w:p>
    <w:p w14:paraId="37B249B1">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合同双方之间往来书面函件应由公司法人或其授权代表签字方可有效，双方必须将其函件签字人或其授权人以书面形式通知对方。任何一方授权人发生变更时，变更方应在5个工作日内书面通知对方。</w:t>
      </w:r>
    </w:p>
    <w:p w14:paraId="465A3890">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合同双方应使用书面函件作为正式通讯方式。除书面函件外，合同双方也可以使用其他方式进行沟通，这些方式包括口头沟通和使用未经签字的书面文件（通过使用电话、远程视频会议和碰头会议、电子邮件等）。书面函件外的其他联系过程及结果，除非正式形成记录并经总经理或其授权代表签章同意，否则不具备约束力。</w:t>
      </w:r>
    </w:p>
    <w:p w14:paraId="77603810">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除本合同特别约定或另有书面约定外，合同双方的函件通信渠道按本合同约定的规则执行。双方之间往来的每封函件只能涉及一个相对独立的主题。</w:t>
      </w:r>
    </w:p>
    <w:p w14:paraId="735CCFA0">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文件材料的组织应结构清晰、逻辑性强。文件材料内容要正确、准确、一致、清晰完整。卖方文件材料的提交应及时、充分，满足合同进度要求。</w:t>
      </w:r>
    </w:p>
    <w:p w14:paraId="67FB84EB">
      <w:pPr>
        <w:spacing w:after="120" w:afterLines="50" w:line="300" w:lineRule="auto"/>
        <w:ind w:left="569" w:hanging="519" w:hangingChars="236"/>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2.合同文件标准化</w:t>
      </w:r>
    </w:p>
    <w:p w14:paraId="435AE9E5">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2.1 语言</w:t>
      </w:r>
    </w:p>
    <w:p w14:paraId="229781BD">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除本合同特别约定或另有书面约定外，本合同文件使用中文书写、解释和说明。</w:t>
      </w:r>
    </w:p>
    <w:p w14:paraId="6BC5BE02">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本合同双方往来函件使用中文，如使用两种以上（含两种）语言文字时，中文应为解释和说明本合同函件的标准语言文字，如为双方抄送对方的信函，则以原信函语言为准。</w:t>
      </w:r>
    </w:p>
    <w:p w14:paraId="0E9F9A8E">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2.2文件及图纸尺寸</w:t>
      </w:r>
    </w:p>
    <w:p w14:paraId="09E5E2F0">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合同文件及图纸幅面，需要符合国际“A”系列：A0、A1、A2、A3和A4。A3及以上幅面的文件、图纸按《GB10609.3技术制图复制图的折叠方法》的规定统一折叠成A4幅面，图纸折叠时须将标题栏露在右下角。</w:t>
      </w:r>
    </w:p>
    <w:p w14:paraId="4D1811DA">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2.3 份数</w:t>
      </w:r>
    </w:p>
    <w:p w14:paraId="15DAE148">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合同项下产品随机资料随产品提交，具体数量按照技术协议要求执行。</w:t>
      </w:r>
    </w:p>
    <w:p w14:paraId="7100D223">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2.4文件提交时应使用提交文件清单，清单中应明确提交文件的名称、编号、版本、份数等信息。</w:t>
      </w:r>
    </w:p>
    <w:p w14:paraId="52F15451">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2.5装订</w:t>
      </w:r>
    </w:p>
    <w:p w14:paraId="7A277D19">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文件应装订完整，防止遗失及页码错乱。每页文件均标识有顺序码、文件名称及版本。</w:t>
      </w:r>
    </w:p>
    <w:p w14:paraId="35653363">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文件左侧装订，左白边宽宜为25mm。</w:t>
      </w:r>
    </w:p>
    <w:p w14:paraId="23587F27">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2.6电子文件规定</w:t>
      </w:r>
    </w:p>
    <w:p w14:paraId="62B10E07">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发送方应确保所提交的电子文件清晰可读。</w:t>
      </w:r>
    </w:p>
    <w:p w14:paraId="078F5332">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电子文件根据文件大小，使用E-mail或电子光盘提交和接收。</w:t>
      </w:r>
    </w:p>
    <w:p w14:paraId="4BFA7E28">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文件的电子文件的命名为“编码+版本+文件题名”，各字段之间用空格隔开。</w:t>
      </w:r>
    </w:p>
    <w:p w14:paraId="7AE86023">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扫描的电子文件应满足DA/T 31《纸质档案数字化技术规范》的要求。</w:t>
      </w:r>
    </w:p>
    <w:p w14:paraId="1B388BA3">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电子文件应注明特殊软件环境，如软件名称、版本。</w:t>
      </w:r>
    </w:p>
    <w:p w14:paraId="1BE7F571">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生成电子文件的软件（版本）应采用通用的OFFICE套件。原则上，除签字页以外的所有文件应尽可能由源格式直接转换成PDF。电子文件要清晰可读。</w:t>
      </w:r>
    </w:p>
    <w:p w14:paraId="37BA8DEC">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电子文件在光盘上的组织形式应统一，每张光盘内均应包含有1个EXCEL格式的文件（图纸）清单，包含的项目至少包括：文件的名称、编号、版本、份数等信息。光盘的标识应包括制作单位名称、盘号、盘内文件清单；光盘采用安全的包装，确保所提交的文件清晰可读。盘内文件提交前应采用必要手段进行病毒检查和清除，严禁携带任何病毒。光盘要表面清洁完好无损。</w:t>
      </w:r>
    </w:p>
    <w:p w14:paraId="6DA49396">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2.7同一种类的文件和同一份文件的格式必须保持一致。</w:t>
      </w:r>
    </w:p>
    <w:p w14:paraId="7B1E9F6A">
      <w:pPr>
        <w:spacing w:after="120" w:afterLines="50" w:line="300" w:lineRule="auto"/>
        <w:ind w:left="569" w:hanging="519" w:hangingChars="236"/>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3文件递交</w:t>
      </w:r>
    </w:p>
    <w:p w14:paraId="73D96B87">
      <w:pPr>
        <w:spacing w:after="120" w:afterLines="50" w:line="300" w:lineRule="auto"/>
        <w:ind w:left="454" w:hanging="415" w:hangingChars="189"/>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3.1随机资料应在买方现场交付。交付的资料应包装完好，无缺失、破损。当发现缺陷时，卖方应及时补充或更换。</w:t>
      </w:r>
    </w:p>
    <w:p w14:paraId="4B049944">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原则上，随机资料文件应至少为原件。对个别确实无法提供原件的文件，经双方协商同意后，可以在其复制件上加盖其质检专用章视同为原件，与原件等效，并注明原件存放位置。</w:t>
      </w:r>
    </w:p>
    <w:p w14:paraId="28666701">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3.2文件质量要求</w:t>
      </w:r>
    </w:p>
    <w:p w14:paraId="2BF567A3">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双方提交的纸质文件须字迹清楚，图样、图表清晰整洁，签字认可手续完备，保证其可以被扫描为ASCII格式或PDF格式。所用纸张至少采用70g/m</w:t>
      </w:r>
      <w:r>
        <w:rPr>
          <w:rFonts w:hint="eastAsia" w:ascii="等线" w:hAnsi="等线" w:eastAsia="等线" w:cs="等线"/>
          <w:i w:val="0"/>
          <w:iCs w:val="0"/>
          <w:color w:val="auto"/>
          <w:sz w:val="22"/>
          <w:szCs w:val="22"/>
          <w:highlight w:val="none"/>
          <w:vertAlign w:val="superscript"/>
        </w:rPr>
        <w:t>2</w:t>
      </w:r>
      <w:r>
        <w:rPr>
          <w:rFonts w:hint="eastAsia" w:ascii="等线" w:hAnsi="等线" w:eastAsia="等线" w:cs="等线"/>
          <w:i w:val="0"/>
          <w:iCs w:val="0"/>
          <w:color w:val="auto"/>
          <w:sz w:val="22"/>
          <w:szCs w:val="22"/>
          <w:highlight w:val="none"/>
        </w:rPr>
        <w:t>书写纸。</w:t>
      </w:r>
    </w:p>
    <w:p w14:paraId="5E79DA66">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复印、打印文件及照片的字迹、线条和影像的清晰及牢固程度。</w:t>
      </w:r>
    </w:p>
    <w:p w14:paraId="3D214A39">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不能有热敏纸，不能有铅笔、圆珠笔、红黑水、纯蓝墨水、复写纸等书写的字迹。</w:t>
      </w:r>
    </w:p>
    <w:p w14:paraId="36202D40">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在文件递交过程中，若有文件升版，在新版的文件开头须附有版本记录页来说明版本的更新历史。</w:t>
      </w:r>
    </w:p>
    <w:p w14:paraId="52DECAA0">
      <w:pPr>
        <w:spacing w:after="120" w:afterLines="50" w:line="300" w:lineRule="auto"/>
        <w:ind w:left="569" w:hanging="519" w:hangingChars="236"/>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4文件范围</w:t>
      </w:r>
    </w:p>
    <w:p w14:paraId="34291BCE">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4.1卖方应负责向买方提供有关卖方履行合同所做工作的规定文件，包括但不限于本合同专用条款第5.3条的规定。</w:t>
      </w:r>
    </w:p>
    <w:p w14:paraId="725DFF60">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4.2卖方应对合同项下卖方提供的文件和信息的任何分歧、错误和遗漏负责，而无论这些文件和信息是否已被买方审查通过与否，除非这些分歧、错误和遗漏是由于买方提供给卖方的不准确文件所造成的。</w:t>
      </w:r>
    </w:p>
    <w:p w14:paraId="6E9B80E2">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4.3由于上述分歧、错误、遗漏导致的必要的文件更改和文件修订由卖方完成。</w:t>
      </w:r>
    </w:p>
    <w:p w14:paraId="52866F75">
      <w:pPr>
        <w:spacing w:after="120" w:afterLines="50" w:line="300" w:lineRule="auto"/>
        <w:ind w:left="566" w:hanging="519" w:hangingChars="236"/>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4.4对于买方提供的任何信息，卖方如发现内容不足、遗漏、矛盾，意义表述含糊不清，或卖方对正确性有质疑等，则应及时通知买方处理。</w:t>
      </w:r>
    </w:p>
    <w:p w14:paraId="2E0CD9CD">
      <w:pPr>
        <w:spacing w:after="120" w:afterLines="50" w:line="300" w:lineRule="auto"/>
        <w:ind w:left="569" w:hanging="519" w:hangingChars="236"/>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5卖方提交文件的接收</w:t>
      </w:r>
    </w:p>
    <w:p w14:paraId="020707AB">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卖方提交的文件，以买方接收日期为准。</w:t>
      </w:r>
    </w:p>
    <w:p w14:paraId="3ACEA89B">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如买方在收到文件后发现短缺、损坏或其他缺陷，由买方通知卖方，卖方应在收到买方通知后五个工作日内采取以下行动之一：补足短缺的文件、替换损坏或有缺陷的文件、明确告知买方完成补救的日期；如果由于买方的责任丢失或损坏了文件，并要求再行提供，卖方应满足这一要求，费用由买方承担。</w:t>
      </w:r>
    </w:p>
    <w:p w14:paraId="153ADE09">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卖方所提交文件/图纸的语言、尺寸、编码、格式及质量应满足本合同要求。如因上述原因导致买方退回的，限期3个工作日内卖方给予更正；卖方应按照本附件的数量、介质和时间要求，提交文件/图纸，由于卖方自身原因导致的，限期5个工作日内卖方给予更正。</w:t>
      </w:r>
    </w:p>
    <w:p w14:paraId="20AF536A">
      <w:pPr>
        <w:widowControl/>
        <w:spacing w:after="120" w:afterLines="50" w:line="300" w:lineRule="auto"/>
        <w:ind w:left="569" w:hanging="519" w:hangingChars="236"/>
        <w:rPr>
          <w:rFonts w:hint="eastAsia" w:ascii="等线" w:hAnsi="等线" w:eastAsia="等线" w:cs="等线"/>
          <w:b/>
          <w:i w:val="0"/>
          <w:iCs w:val="0"/>
          <w:color w:val="auto"/>
          <w:sz w:val="22"/>
          <w:szCs w:val="22"/>
          <w:highlight w:val="none"/>
        </w:rPr>
      </w:pPr>
      <w:r>
        <w:rPr>
          <w:rFonts w:hint="eastAsia" w:ascii="等线" w:hAnsi="等线" w:eastAsia="等线" w:cs="等线"/>
          <w:b/>
          <w:i w:val="0"/>
          <w:iCs w:val="0"/>
          <w:color w:val="auto"/>
          <w:sz w:val="22"/>
          <w:szCs w:val="22"/>
          <w:highlight w:val="none"/>
        </w:rPr>
        <w:t>二、 合同提交文件</w:t>
      </w:r>
    </w:p>
    <w:p w14:paraId="3B445A32">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合同提交文件是指按照本合同规定卖方应向买方提交的文件。下列为合同提交文件的内容要求：</w:t>
      </w:r>
    </w:p>
    <w:p w14:paraId="14CEEBC2">
      <w:pPr>
        <w:tabs>
          <w:tab w:val="left" w:pos="567"/>
        </w:tabs>
        <w:spacing w:after="120" w:afterLines="50" w:line="300" w:lineRule="auto"/>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1.提交文件清单</w:t>
      </w:r>
    </w:p>
    <w:p w14:paraId="39DE1AD8">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该文件按文件类型列出合同提交文件的名称、编号、版次。此文件应及时修订。</w:t>
      </w:r>
    </w:p>
    <w:p w14:paraId="187C9915">
      <w:pPr>
        <w:tabs>
          <w:tab w:val="left" w:pos="567"/>
        </w:tabs>
        <w:spacing w:after="120" w:afterLines="50" w:line="300" w:lineRule="auto"/>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2.项目进度计划</w:t>
      </w:r>
    </w:p>
    <w:p w14:paraId="21A21880">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实现本合同目的和意愿，卖方应向买方提交一份</w:t>
      </w:r>
      <w:bookmarkStart w:id="3" w:name="OLE_LINK2"/>
      <w:r>
        <w:rPr>
          <w:rFonts w:hint="eastAsia" w:ascii="等线" w:hAnsi="等线" w:eastAsia="等线" w:cs="等线"/>
          <w:i w:val="0"/>
          <w:iCs w:val="0"/>
          <w:color w:val="auto"/>
          <w:sz w:val="22"/>
          <w:szCs w:val="22"/>
          <w:highlight w:val="none"/>
        </w:rPr>
        <w:t>项目进度计划至少应包括技术准备、物料准备、制造活动、验收与运输、分卖方承担任务的与合同产品交付进度产生影响的活动。</w:t>
      </w:r>
      <w:bookmarkEnd w:id="3"/>
    </w:p>
    <w:p w14:paraId="64E5739F">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项目执行进度计划的目的是为了实现合同执行期间各类信息的及时报送和共享，其内容应覆盖合同范围内的所有活动，至少应包括技术、质量（含质保质检和监造）、进度、安全、风险预警、纠正行动等</w:t>
      </w:r>
    </w:p>
    <w:p w14:paraId="07A2625E">
      <w:pPr>
        <w:tabs>
          <w:tab w:val="left" w:pos="567"/>
        </w:tabs>
        <w:spacing w:after="120" w:afterLines="50" w:line="300" w:lineRule="auto"/>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3.包装和运输文件</w:t>
      </w:r>
    </w:p>
    <w:p w14:paraId="2A423ED5">
      <w:pPr>
        <w:spacing w:after="120" w:afterLines="50" w:line="300" w:lineRule="auto"/>
        <w:ind w:left="424" w:leftChars="202"/>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产品的包装和卸出方案产品装卸注意事项及包装箱外观尺寸规格及操作、维护、使用、存放要求；</w:t>
      </w:r>
    </w:p>
    <w:p w14:paraId="6DC61AA9">
      <w:pPr>
        <w:tabs>
          <w:tab w:val="left" w:pos="567"/>
        </w:tabs>
        <w:spacing w:after="120" w:afterLines="50" w:line="300" w:lineRule="auto"/>
        <w:rPr>
          <w:rFonts w:hint="eastAsia" w:ascii="等线" w:hAnsi="等线" w:eastAsia="等线" w:cs="等线"/>
          <w:i w:val="0"/>
          <w:iCs w:val="0"/>
          <w:color w:val="auto"/>
          <w:sz w:val="22"/>
          <w:szCs w:val="22"/>
          <w:highlight w:val="none"/>
        </w:rPr>
      </w:pPr>
      <w:r>
        <w:rPr>
          <w:rFonts w:hint="eastAsia" w:ascii="等线" w:hAnsi="等线" w:eastAsia="等线" w:cs="等线"/>
          <w:i w:val="0"/>
          <w:iCs w:val="0"/>
          <w:color w:val="auto"/>
          <w:sz w:val="22"/>
          <w:szCs w:val="22"/>
          <w:highlight w:val="none"/>
        </w:rPr>
        <w:t>4.装箱单</w:t>
      </w:r>
    </w:p>
    <w:p w14:paraId="1D3CABC4">
      <w:pPr>
        <w:spacing w:after="120" w:afterLines="50" w:line="300" w:lineRule="auto"/>
        <w:ind w:left="424" w:leftChars="202"/>
        <w:rPr>
          <w:rFonts w:hint="eastAsia" w:ascii="等线" w:hAnsi="等线" w:eastAsia="等线" w:cs="等线"/>
          <w:b/>
          <w:i w:val="0"/>
          <w:iCs w:val="0"/>
          <w:color w:val="auto"/>
          <w:sz w:val="22"/>
          <w:szCs w:val="22"/>
          <w:highlight w:val="none"/>
        </w:rPr>
      </w:pPr>
      <w:r>
        <w:rPr>
          <w:rFonts w:hint="eastAsia" w:ascii="等线" w:hAnsi="等线" w:eastAsia="等线" w:cs="等线"/>
          <w:bCs/>
          <w:i w:val="0"/>
          <w:iCs w:val="0"/>
          <w:color w:val="auto"/>
          <w:sz w:val="22"/>
          <w:szCs w:val="22"/>
          <w:highlight w:val="none"/>
        </w:rPr>
        <w:t>在产品发运前，卖方应向买方提供装箱单。其内容包括运输包装箱编号、毛重、产品净重、产品的批次号、标识和类型等。</w:t>
      </w:r>
    </w:p>
    <w:p w14:paraId="02E55DBD">
      <w:pPr>
        <w:numPr>
          <w:ilvl w:val="0"/>
          <w:numId w:val="38"/>
        </w:numPr>
        <w:spacing w:before="120" w:after="120" w:line="288" w:lineRule="auto"/>
        <w:ind w:left="0"/>
        <w:jc w:val="left"/>
        <w:rPr>
          <w:strike/>
          <w:dstrike w:val="0"/>
        </w:rPr>
      </w:pPr>
      <w:r>
        <w:rPr>
          <w:rFonts w:ascii="Arial" w:hAnsi="Arial" w:eastAsia="等线" w:cs="Arial"/>
          <w:strike/>
          <w:dstrike w:val="0"/>
          <w:sz w:val="22"/>
        </w:rPr>
        <w:t>附件 7《支付申请书》：软件开发各阶段付款申请模板。</w:t>
      </w:r>
    </w:p>
    <w:p w14:paraId="1CB4FA0A">
      <w:pPr>
        <w:numPr>
          <w:ilvl w:val="0"/>
          <w:numId w:val="39"/>
        </w:numPr>
        <w:spacing w:before="120" w:after="120" w:line="288" w:lineRule="auto"/>
        <w:ind w:left="0"/>
        <w:jc w:val="left"/>
      </w:pPr>
      <w:r>
        <w:rPr>
          <w:rFonts w:ascii="Arial" w:hAnsi="Arial" w:eastAsia="等线" w:cs="Arial"/>
          <w:sz w:val="22"/>
        </w:rPr>
        <w:t>附件 12《重要关键零部件清单》：软件模块、组件、接口清单。</w:t>
      </w:r>
    </w:p>
    <w:p w14:paraId="76644598">
      <w:pPr>
        <w:spacing w:line="360" w:lineRule="auto"/>
        <w:outlineLvl w:val="1"/>
        <w:rPr>
          <w:rFonts w:hint="eastAsia" w:ascii="等线" w:hAnsi="等线" w:eastAsia="等线" w:cs="等线"/>
          <w:i w:val="0"/>
          <w:iCs w:val="0"/>
          <w:color w:val="auto"/>
          <w:sz w:val="22"/>
          <w:szCs w:val="22"/>
          <w:highlight w:val="none"/>
        </w:rPr>
      </w:pPr>
      <w:r>
        <w:rPr>
          <w:rFonts w:hint="eastAsia" w:ascii="等线" w:hAnsi="等线" w:eastAsia="等线" w:cs="等线"/>
          <w:bCs/>
          <w:i w:val="0"/>
          <w:iCs w:val="0"/>
          <w:color w:val="auto"/>
          <w:kern w:val="0"/>
          <w:sz w:val="22"/>
          <w:szCs w:val="22"/>
          <w:highlight w:val="none"/>
        </w:rPr>
        <w:t>附件1</w:t>
      </w:r>
      <w:r>
        <w:rPr>
          <w:rFonts w:hint="eastAsia" w:ascii="等线" w:hAnsi="等线" w:eastAsia="等线" w:cs="等线"/>
          <w:bCs/>
          <w:i w:val="0"/>
          <w:iCs w:val="0"/>
          <w:color w:val="auto"/>
          <w:kern w:val="0"/>
          <w:sz w:val="22"/>
          <w:szCs w:val="22"/>
          <w:highlight w:val="none"/>
          <w:lang w:val="en-US" w:eastAsia="zh-CN"/>
        </w:rPr>
        <w:t>2</w:t>
      </w:r>
      <w:r>
        <w:rPr>
          <w:rFonts w:hint="eastAsia" w:ascii="等线" w:hAnsi="等线" w:eastAsia="等线" w:cs="等线"/>
          <w:i w:val="0"/>
          <w:iCs w:val="0"/>
          <w:color w:val="auto"/>
          <w:sz w:val="22"/>
          <w:szCs w:val="22"/>
          <w:highlight w:val="none"/>
        </w:rPr>
        <w:t>《</w:t>
      </w:r>
      <w:r>
        <w:rPr>
          <w:rFonts w:hint="eastAsia" w:ascii="等线" w:hAnsi="等线" w:eastAsia="等线" w:cs="等线"/>
          <w:bCs/>
          <w:i w:val="0"/>
          <w:iCs w:val="0"/>
          <w:color w:val="auto"/>
          <w:kern w:val="0"/>
          <w:sz w:val="22"/>
          <w:szCs w:val="22"/>
          <w:highlight w:val="none"/>
          <w:lang w:val="en-US" w:eastAsia="zh-CN"/>
        </w:rPr>
        <w:t>设备/系统的重要关键零部件清单</w:t>
      </w:r>
      <w:r>
        <w:rPr>
          <w:rFonts w:hint="eastAsia" w:ascii="等线" w:hAnsi="等线" w:eastAsia="等线" w:cs="等线"/>
          <w:i w:val="0"/>
          <w:iCs w:val="0"/>
          <w:color w:val="auto"/>
          <w:sz w:val="22"/>
          <w:szCs w:val="22"/>
          <w:highlight w:val="none"/>
        </w:rPr>
        <w:t>》</w:t>
      </w:r>
    </w:p>
    <w:p w14:paraId="544F89AD">
      <w:pPr>
        <w:widowControl/>
        <w:autoSpaceDE w:val="0"/>
        <w:autoSpaceDN w:val="0"/>
        <w:snapToGrid w:val="0"/>
        <w:spacing w:line="360" w:lineRule="auto"/>
        <w:ind w:left="425" w:hanging="425"/>
        <w:jc w:val="center"/>
        <w:rPr>
          <w:rFonts w:hint="eastAsia" w:ascii="等线" w:hAnsi="等线" w:eastAsia="等线" w:cs="等线"/>
          <w:b/>
          <w:i w:val="0"/>
          <w:iCs w:val="0"/>
          <w:color w:val="auto"/>
          <w:sz w:val="22"/>
          <w:szCs w:val="22"/>
          <w:highlight w:val="none"/>
          <w:lang w:val="en-US" w:eastAsia="zh-CN"/>
        </w:rPr>
      </w:pPr>
      <w:r>
        <w:rPr>
          <w:rFonts w:hint="eastAsia" w:ascii="等线" w:hAnsi="等线" w:eastAsia="等线" w:cs="等线"/>
          <w:b/>
          <w:i w:val="0"/>
          <w:iCs w:val="0"/>
          <w:color w:val="auto"/>
          <w:sz w:val="22"/>
          <w:szCs w:val="22"/>
          <w:highlight w:val="none"/>
          <w:lang w:val="en-US" w:eastAsia="zh-CN"/>
        </w:rPr>
        <w:t>设备/系统的重要关键零部件清单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211"/>
        <w:gridCol w:w="1137"/>
        <w:gridCol w:w="1071"/>
        <w:gridCol w:w="1071"/>
        <w:gridCol w:w="765"/>
        <w:gridCol w:w="1229"/>
        <w:gridCol w:w="1315"/>
      </w:tblGrid>
      <w:tr w14:paraId="3F72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5038CB19">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序号</w:t>
            </w:r>
          </w:p>
        </w:tc>
        <w:tc>
          <w:tcPr>
            <w:tcW w:w="1329" w:type="dxa"/>
            <w:vAlign w:val="center"/>
          </w:tcPr>
          <w:p w14:paraId="1F9C9A57">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sz w:val="22"/>
                <w:szCs w:val="22"/>
                <w:highlight w:val="none"/>
                <w:lang w:val="en-US" w:eastAsia="zh-CN"/>
              </w:rPr>
              <w:t>所属设备模块</w:t>
            </w:r>
          </w:p>
        </w:tc>
        <w:tc>
          <w:tcPr>
            <w:tcW w:w="1243" w:type="dxa"/>
            <w:vAlign w:val="center"/>
          </w:tcPr>
          <w:p w14:paraId="037D8A36">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主要部件</w:t>
            </w:r>
          </w:p>
        </w:tc>
        <w:tc>
          <w:tcPr>
            <w:tcW w:w="1167" w:type="dxa"/>
            <w:vAlign w:val="center"/>
          </w:tcPr>
          <w:p w14:paraId="1B00DDF2">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零部件</w:t>
            </w:r>
          </w:p>
        </w:tc>
        <w:tc>
          <w:tcPr>
            <w:tcW w:w="1168" w:type="dxa"/>
            <w:vAlign w:val="center"/>
          </w:tcPr>
          <w:p w14:paraId="6C70BA2A">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材质</w:t>
            </w:r>
          </w:p>
        </w:tc>
        <w:tc>
          <w:tcPr>
            <w:tcW w:w="815" w:type="dxa"/>
            <w:vAlign w:val="center"/>
          </w:tcPr>
          <w:p w14:paraId="28F22104">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数量</w:t>
            </w:r>
          </w:p>
        </w:tc>
        <w:tc>
          <w:tcPr>
            <w:tcW w:w="1350" w:type="dxa"/>
            <w:vAlign w:val="center"/>
          </w:tcPr>
          <w:p w14:paraId="358E0D77">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规格型号</w:t>
            </w:r>
          </w:p>
        </w:tc>
        <w:tc>
          <w:tcPr>
            <w:tcW w:w="1448" w:type="dxa"/>
            <w:vAlign w:val="center"/>
          </w:tcPr>
          <w:p w14:paraId="65959D4C">
            <w:pPr>
              <w:pStyle w:val="5"/>
              <w:numPr>
                <w:ilvl w:val="0"/>
                <w:numId w:val="0"/>
              </w:numPr>
              <w:jc w:val="center"/>
              <w:rPr>
                <w:rFonts w:hint="eastAsia" w:ascii="等线" w:hAnsi="等线" w:eastAsia="等线" w:cs="等线"/>
                <w:b w:val="0"/>
                <w:bCs w:val="0"/>
                <w:i w:val="0"/>
                <w:iCs w:val="0"/>
                <w:color w:val="auto"/>
                <w:kern w:val="2"/>
                <w:sz w:val="22"/>
                <w:szCs w:val="22"/>
                <w:highlight w:val="none"/>
                <w:lang w:val="en-US" w:eastAsia="zh-CN" w:bidi="ar-SA"/>
              </w:rPr>
            </w:pPr>
            <w:r>
              <w:rPr>
                <w:rFonts w:hint="eastAsia" w:ascii="等线" w:hAnsi="等线" w:eastAsia="等线" w:cs="等线"/>
                <w:b w:val="0"/>
                <w:bCs w:val="0"/>
                <w:i w:val="0"/>
                <w:iCs w:val="0"/>
                <w:color w:val="auto"/>
                <w:kern w:val="2"/>
                <w:sz w:val="22"/>
                <w:szCs w:val="22"/>
                <w:highlight w:val="none"/>
                <w:lang w:val="en-US" w:eastAsia="zh-CN" w:bidi="ar-SA"/>
              </w:rPr>
              <w:t>图纸或图号</w:t>
            </w:r>
          </w:p>
        </w:tc>
      </w:tr>
      <w:tr w14:paraId="1CC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5208E81F">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1</w:t>
            </w:r>
          </w:p>
        </w:tc>
        <w:tc>
          <w:tcPr>
            <w:tcW w:w="1329" w:type="dxa"/>
            <w:vAlign w:val="top"/>
          </w:tcPr>
          <w:p w14:paraId="0F9F5116">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7555CF0B">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61A1A0D3">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5C863EF5">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1DEFAE1C">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3979A297">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223D525E">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r w14:paraId="7F1C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50823259">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2</w:t>
            </w:r>
          </w:p>
        </w:tc>
        <w:tc>
          <w:tcPr>
            <w:tcW w:w="1329" w:type="dxa"/>
            <w:vAlign w:val="top"/>
          </w:tcPr>
          <w:p w14:paraId="36B64174">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7EB41CC9">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3473B16B">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332853D2">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18A876BE">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3D9FE193">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5DBB9E89">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r w14:paraId="49BD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0A71FEB5">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3</w:t>
            </w:r>
          </w:p>
        </w:tc>
        <w:tc>
          <w:tcPr>
            <w:tcW w:w="1329" w:type="dxa"/>
            <w:vAlign w:val="top"/>
          </w:tcPr>
          <w:p w14:paraId="2B0969E6">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63FAF02C">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2223858A">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711943C6">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76812BB9">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79CE2D98">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56862664">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r w14:paraId="0175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254CBFAB">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4</w:t>
            </w:r>
          </w:p>
        </w:tc>
        <w:tc>
          <w:tcPr>
            <w:tcW w:w="1329" w:type="dxa"/>
            <w:vAlign w:val="top"/>
          </w:tcPr>
          <w:p w14:paraId="2D7E6C2C">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22F24AA9">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3574AA28">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7E7742BE">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341C0EF4">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4FB510AD">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05C076B7">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r w14:paraId="6F9D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20EDD942">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5</w:t>
            </w:r>
          </w:p>
        </w:tc>
        <w:tc>
          <w:tcPr>
            <w:tcW w:w="1329" w:type="dxa"/>
            <w:vAlign w:val="top"/>
          </w:tcPr>
          <w:p w14:paraId="5C653688">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72A9CEC4">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34114633">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1DC6A86B">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2CCFA0F2">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3D3AFB17">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6B9C588A">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r w14:paraId="5DD6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3E855AE4">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6</w:t>
            </w:r>
          </w:p>
        </w:tc>
        <w:tc>
          <w:tcPr>
            <w:tcW w:w="1329" w:type="dxa"/>
            <w:vAlign w:val="top"/>
          </w:tcPr>
          <w:p w14:paraId="5E919D62">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010D6E9E">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363A1307">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6B832A90">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13EE9CF1">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2D8B515A">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7786ED44">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r w14:paraId="4B79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1DFDA97B">
            <w:pPr>
              <w:pStyle w:val="5"/>
              <w:numPr>
                <w:ilvl w:val="0"/>
                <w:numId w:val="0"/>
              </w:numPr>
              <w:jc w:val="center"/>
              <w:rPr>
                <w:rFonts w:hint="eastAsia" w:ascii="等线" w:hAnsi="等线" w:eastAsia="等线" w:cs="等线"/>
                <w:b/>
                <w:bCs w:val="0"/>
                <w:i w:val="0"/>
                <w:iCs w:val="0"/>
                <w:color w:val="auto"/>
                <w:kern w:val="2"/>
                <w:sz w:val="22"/>
                <w:szCs w:val="22"/>
                <w:highlight w:val="none"/>
                <w:vertAlign w:val="baseline"/>
                <w:lang w:val="en-US" w:eastAsia="zh-CN" w:bidi="ar-SA"/>
              </w:rPr>
            </w:pPr>
            <w:r>
              <w:rPr>
                <w:rFonts w:hint="eastAsia" w:ascii="等线" w:hAnsi="等线" w:eastAsia="等线" w:cs="等线"/>
                <w:b/>
                <w:bCs w:val="0"/>
                <w:i w:val="0"/>
                <w:iCs w:val="0"/>
                <w:color w:val="auto"/>
                <w:kern w:val="2"/>
                <w:sz w:val="22"/>
                <w:szCs w:val="22"/>
                <w:highlight w:val="none"/>
                <w:vertAlign w:val="baseline"/>
                <w:lang w:val="en-US" w:eastAsia="zh-CN" w:bidi="ar-SA"/>
              </w:rPr>
              <w:t>…</w:t>
            </w:r>
          </w:p>
        </w:tc>
        <w:tc>
          <w:tcPr>
            <w:tcW w:w="1329" w:type="dxa"/>
            <w:vAlign w:val="top"/>
          </w:tcPr>
          <w:p w14:paraId="4578D806">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243" w:type="dxa"/>
            <w:vAlign w:val="top"/>
          </w:tcPr>
          <w:p w14:paraId="0A6A55EC">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7" w:type="dxa"/>
            <w:vAlign w:val="top"/>
          </w:tcPr>
          <w:p w14:paraId="0927C0DD">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168" w:type="dxa"/>
            <w:vAlign w:val="top"/>
          </w:tcPr>
          <w:p w14:paraId="4FAB6AD2">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815" w:type="dxa"/>
            <w:vAlign w:val="top"/>
          </w:tcPr>
          <w:p w14:paraId="5AE71855">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350" w:type="dxa"/>
            <w:vAlign w:val="top"/>
          </w:tcPr>
          <w:p w14:paraId="4B5610D3">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c>
          <w:tcPr>
            <w:tcW w:w="1448" w:type="dxa"/>
            <w:vAlign w:val="top"/>
          </w:tcPr>
          <w:p w14:paraId="58291F26">
            <w:pPr>
              <w:pStyle w:val="5"/>
              <w:numPr>
                <w:ilvl w:val="0"/>
                <w:numId w:val="0"/>
              </w:numPr>
              <w:jc w:val="center"/>
              <w:outlineLvl w:val="9"/>
              <w:rPr>
                <w:rFonts w:hint="eastAsia" w:ascii="等线" w:hAnsi="等线" w:eastAsia="等线" w:cs="等线"/>
                <w:b/>
                <w:bCs w:val="0"/>
                <w:i w:val="0"/>
                <w:iCs w:val="0"/>
                <w:color w:val="auto"/>
                <w:kern w:val="2"/>
                <w:sz w:val="22"/>
                <w:szCs w:val="22"/>
                <w:highlight w:val="none"/>
                <w:vertAlign w:val="baseline"/>
                <w:lang w:val="en-US" w:eastAsia="zh-CN" w:bidi="ar-SA"/>
              </w:rPr>
            </w:pPr>
          </w:p>
        </w:tc>
      </w:tr>
    </w:tbl>
    <w:p w14:paraId="68EEC1CB">
      <w:pPr>
        <w:pStyle w:val="5"/>
        <w:numPr>
          <w:ilvl w:val="0"/>
          <w:numId w:val="0"/>
        </w:numPr>
        <w:spacing w:line="360" w:lineRule="auto"/>
        <w:jc w:val="both"/>
        <w:outlineLvl w:val="9"/>
        <w:rPr>
          <w:rFonts w:hint="eastAsia" w:ascii="等线" w:hAnsi="等线" w:eastAsia="等线" w:cs="等线"/>
          <w:b w:val="0"/>
          <w:bCs/>
          <w:i w:val="0"/>
          <w:iCs w:val="0"/>
          <w:color w:val="auto"/>
          <w:kern w:val="2"/>
          <w:sz w:val="22"/>
          <w:szCs w:val="22"/>
          <w:highlight w:val="none"/>
          <w:lang w:val="en-US" w:eastAsia="zh-CN" w:bidi="ar-SA"/>
        </w:rPr>
      </w:pPr>
      <w:r>
        <w:rPr>
          <w:rFonts w:hint="eastAsia" w:ascii="等线" w:hAnsi="等线" w:eastAsia="等线" w:cs="等线"/>
          <w:b w:val="0"/>
          <w:bCs/>
          <w:i w:val="0"/>
          <w:iCs w:val="0"/>
          <w:color w:val="auto"/>
          <w:kern w:val="2"/>
          <w:sz w:val="22"/>
          <w:szCs w:val="22"/>
          <w:highlight w:val="none"/>
          <w:lang w:val="en-US" w:eastAsia="zh-CN" w:bidi="ar-SA"/>
        </w:rPr>
        <w:t>注：</w:t>
      </w:r>
    </w:p>
    <w:p w14:paraId="63F17D0F">
      <w:pPr>
        <w:pStyle w:val="5"/>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both"/>
        <w:textAlignment w:val="auto"/>
        <w:outlineLvl w:val="9"/>
        <w:rPr>
          <w:rFonts w:hint="eastAsia" w:ascii="等线" w:hAnsi="等线" w:eastAsia="等线" w:cs="等线"/>
          <w:b w:val="0"/>
          <w:bCs/>
          <w:i w:val="0"/>
          <w:iCs w:val="0"/>
          <w:color w:val="auto"/>
          <w:kern w:val="2"/>
          <w:sz w:val="22"/>
          <w:szCs w:val="22"/>
          <w:highlight w:val="none"/>
          <w:lang w:val="en-US" w:eastAsia="zh-CN" w:bidi="ar-SA"/>
        </w:rPr>
      </w:pPr>
      <w:r>
        <w:rPr>
          <w:rFonts w:hint="eastAsia" w:ascii="等线" w:hAnsi="等线" w:eastAsia="等线" w:cs="等线"/>
          <w:b w:val="0"/>
          <w:bCs/>
          <w:i w:val="0"/>
          <w:iCs w:val="0"/>
          <w:color w:val="auto"/>
          <w:kern w:val="2"/>
          <w:sz w:val="22"/>
          <w:szCs w:val="22"/>
          <w:highlight w:val="none"/>
          <w:lang w:val="en-US" w:eastAsia="zh-CN" w:bidi="ar-SA"/>
        </w:rPr>
        <w:t>1、所属</w:t>
      </w:r>
      <w:r>
        <w:rPr>
          <w:rFonts w:hint="eastAsia" w:ascii="等线" w:hAnsi="等线" w:eastAsia="等线" w:cs="等线"/>
          <w:b w:val="0"/>
          <w:bCs/>
          <w:i w:val="0"/>
          <w:iCs w:val="0"/>
          <w:color w:val="auto"/>
          <w:sz w:val="22"/>
          <w:szCs w:val="22"/>
          <w:highlight w:val="none"/>
          <w:lang w:val="en-US" w:eastAsia="zh-CN"/>
        </w:rPr>
        <w:t>设备模块</w:t>
      </w:r>
      <w:r>
        <w:rPr>
          <w:rFonts w:hint="eastAsia" w:ascii="等线" w:hAnsi="等线" w:eastAsia="等线" w:cs="等线"/>
          <w:b w:val="0"/>
          <w:bCs/>
          <w:i w:val="0"/>
          <w:iCs w:val="0"/>
          <w:color w:val="auto"/>
          <w:kern w:val="2"/>
          <w:sz w:val="22"/>
          <w:szCs w:val="22"/>
          <w:highlight w:val="none"/>
          <w:lang w:val="en-US" w:eastAsia="zh-CN" w:bidi="ar-SA"/>
        </w:rPr>
        <w:t>是指该设备的是由那几部分组成，例：石墨粉尘集中处理系统设备由压制粉尘收集及暂存装、车削粉尘收集及暂存装置组成。</w:t>
      </w:r>
    </w:p>
    <w:p w14:paraId="1B9FCF3D">
      <w:pPr>
        <w:spacing w:line="360" w:lineRule="auto"/>
        <w:outlineLvl w:val="9"/>
        <w:rPr>
          <w:rFonts w:hint="eastAsia" w:ascii="等线" w:hAnsi="等线" w:eastAsia="等线" w:cs="等线"/>
          <w:b w:val="0"/>
          <w:bCs/>
          <w:i w:val="0"/>
          <w:iCs w:val="0"/>
          <w:color w:val="auto"/>
          <w:kern w:val="2"/>
          <w:sz w:val="22"/>
          <w:szCs w:val="22"/>
          <w:highlight w:val="none"/>
          <w:lang w:val="en-US" w:eastAsia="zh-CN" w:bidi="ar-SA"/>
        </w:rPr>
      </w:pPr>
      <w:r>
        <w:rPr>
          <w:rFonts w:hint="eastAsia" w:ascii="等线" w:hAnsi="等线" w:eastAsia="等线" w:cs="等线"/>
          <w:b w:val="0"/>
          <w:bCs/>
          <w:i w:val="0"/>
          <w:iCs w:val="0"/>
          <w:color w:val="auto"/>
          <w:kern w:val="0"/>
          <w:sz w:val="22"/>
          <w:szCs w:val="22"/>
          <w:highlight w:val="none"/>
          <w:lang w:val="en-US" w:eastAsia="zh-CN"/>
        </w:rPr>
        <w:t>2、主要部件是指设备各组成部分由哪些部件构成，例：</w:t>
      </w:r>
      <w:r>
        <w:rPr>
          <w:rFonts w:hint="eastAsia" w:ascii="等线" w:hAnsi="等线" w:eastAsia="等线" w:cs="等线"/>
          <w:b w:val="0"/>
          <w:bCs/>
          <w:i w:val="0"/>
          <w:iCs w:val="0"/>
          <w:color w:val="auto"/>
          <w:kern w:val="2"/>
          <w:sz w:val="22"/>
          <w:szCs w:val="22"/>
          <w:highlight w:val="none"/>
          <w:lang w:val="en-US" w:eastAsia="zh-CN" w:bidi="ar-SA"/>
        </w:rPr>
        <w:t>压制粉尘收集及暂存装由粉尘输送管路、称重模块、压制粉尘集中收集模块、远程操作盒模块组成。</w:t>
      </w:r>
    </w:p>
    <w:p w14:paraId="47B4A13E">
      <w:pPr>
        <w:spacing w:line="360" w:lineRule="auto"/>
        <w:outlineLvl w:val="9"/>
        <w:rPr>
          <w:rFonts w:hint="eastAsia" w:ascii="等线" w:hAnsi="等线" w:eastAsia="等线" w:cs="等线"/>
          <w:b w:val="0"/>
          <w:bCs/>
          <w:i w:val="0"/>
          <w:iCs w:val="0"/>
          <w:color w:val="auto"/>
          <w:kern w:val="2"/>
          <w:sz w:val="22"/>
          <w:szCs w:val="22"/>
          <w:highlight w:val="none"/>
          <w:lang w:val="en-US" w:eastAsia="zh-CN" w:bidi="ar-SA"/>
        </w:rPr>
      </w:pPr>
      <w:r>
        <w:rPr>
          <w:rFonts w:hint="eastAsia" w:ascii="等线" w:hAnsi="等线" w:eastAsia="等线" w:cs="等线"/>
          <w:b w:val="0"/>
          <w:bCs/>
          <w:i w:val="0"/>
          <w:iCs w:val="0"/>
          <w:color w:val="auto"/>
          <w:kern w:val="2"/>
          <w:sz w:val="22"/>
          <w:szCs w:val="22"/>
          <w:highlight w:val="none"/>
          <w:lang w:val="en-US" w:eastAsia="zh-CN" w:bidi="ar-SA"/>
        </w:rPr>
        <w:t>3、零部件是指主要部件是由哪些零部件组成，这部分由供应商进行细化。</w:t>
      </w:r>
    </w:p>
    <w:p w14:paraId="7A845686">
      <w:pPr>
        <w:spacing w:line="360" w:lineRule="auto"/>
        <w:outlineLvl w:val="9"/>
        <w:rPr>
          <w:rFonts w:hint="eastAsia" w:ascii="等线" w:hAnsi="等线" w:eastAsia="等线" w:cs="等线"/>
          <w:b w:val="0"/>
          <w:bCs/>
          <w:i w:val="0"/>
          <w:iCs w:val="0"/>
          <w:color w:val="auto"/>
          <w:kern w:val="2"/>
          <w:sz w:val="22"/>
          <w:szCs w:val="22"/>
          <w:highlight w:val="none"/>
          <w:lang w:val="en-US" w:eastAsia="zh-CN" w:bidi="ar-SA"/>
        </w:rPr>
      </w:pPr>
      <w:r>
        <w:rPr>
          <w:rFonts w:hint="eastAsia" w:ascii="等线" w:hAnsi="等线" w:eastAsia="等线" w:cs="等线"/>
          <w:b w:val="0"/>
          <w:bCs/>
          <w:i w:val="0"/>
          <w:iCs w:val="0"/>
          <w:color w:val="auto"/>
          <w:kern w:val="2"/>
          <w:sz w:val="22"/>
          <w:szCs w:val="22"/>
          <w:highlight w:val="none"/>
          <w:lang w:val="en-US" w:eastAsia="zh-CN" w:bidi="ar-SA"/>
        </w:rPr>
        <w:t>4、材质、数量、规格型号是指设备中包含的零部件的数量。</w:t>
      </w:r>
    </w:p>
    <w:p w14:paraId="768ECD4F">
      <w:pPr>
        <w:spacing w:line="360" w:lineRule="auto"/>
        <w:outlineLvl w:val="9"/>
      </w:pPr>
      <w:r>
        <w:rPr>
          <w:rFonts w:hint="eastAsia" w:ascii="等线" w:hAnsi="等线" w:eastAsia="等线" w:cs="等线"/>
          <w:b w:val="0"/>
          <w:bCs/>
          <w:i w:val="0"/>
          <w:iCs w:val="0"/>
          <w:color w:val="auto"/>
          <w:kern w:val="2"/>
          <w:sz w:val="22"/>
          <w:szCs w:val="22"/>
          <w:highlight w:val="none"/>
          <w:lang w:val="en-US" w:eastAsia="zh-CN" w:bidi="ar-SA"/>
        </w:rPr>
        <w:t>5、图纸或图号由供应商实际情况填写。</w:t>
      </w:r>
    </w:p>
    <w:p w14:paraId="3710B260">
      <w:pPr>
        <w:numPr>
          <w:ilvl w:val="0"/>
          <w:numId w:val="40"/>
        </w:numPr>
        <w:spacing w:before="120" w:after="120" w:line="288" w:lineRule="auto"/>
        <w:ind w:left="0"/>
        <w:jc w:val="left"/>
      </w:pPr>
      <w:r>
        <w:rPr>
          <w:rFonts w:ascii="Arial" w:hAnsi="Arial" w:eastAsia="等线" w:cs="Arial"/>
          <w:sz w:val="22"/>
        </w:rPr>
        <w:t>附件 13《质量终身责任承诺书》：项目负责人对软件质量终身负责。</w:t>
      </w:r>
    </w:p>
    <w:p w14:paraId="5D237E77">
      <w:pPr>
        <w:numPr>
          <w:ilvl w:val="0"/>
          <w:numId w:val="0"/>
        </w:numPr>
        <w:spacing w:before="120" w:after="120" w:line="288" w:lineRule="auto"/>
        <w:jc w:val="left"/>
      </w:pPr>
      <w:bookmarkStart w:id="4" w:name="_GoBack"/>
      <w:bookmarkEnd w:id="4"/>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4C2E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11D3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8461FADE"/>
    <w:multiLevelType w:val="singleLevel"/>
    <w:tmpl w:val="8461FADE"/>
    <w:lvl w:ilvl="0" w:tentative="0">
      <w:start w:val="6"/>
      <w:numFmt w:val="decimal"/>
      <w:lvlText w:val="%1."/>
      <w:lvlJc w:val="left"/>
      <w:rPr>
        <w:color w:val="3370FF"/>
      </w:rPr>
    </w:lvl>
  </w:abstractNum>
  <w:abstractNum w:abstractNumId="2">
    <w:nsid w:val="9239341B"/>
    <w:multiLevelType w:val="singleLevel"/>
    <w:tmpl w:val="9239341B"/>
    <w:lvl w:ilvl="0" w:tentative="0">
      <w:start w:val="0"/>
      <w:numFmt w:val="bullet"/>
      <w:lvlText w:val="•"/>
      <w:lvlJc w:val="left"/>
      <w:rPr>
        <w:color w:val="3370FF"/>
      </w:rPr>
    </w:lvl>
  </w:abstractNum>
  <w:abstractNum w:abstractNumId="3">
    <w:nsid w:val="9288B902"/>
    <w:multiLevelType w:val="singleLevel"/>
    <w:tmpl w:val="9288B902"/>
    <w:lvl w:ilvl="0" w:tentative="0">
      <w:start w:val="4"/>
      <w:numFmt w:val="decimal"/>
      <w:lvlText w:val="%1."/>
      <w:lvlJc w:val="left"/>
      <w:rPr>
        <w:color w:val="3370FF"/>
      </w:rPr>
    </w:lvl>
  </w:abstractNum>
  <w:abstractNum w:abstractNumId="4">
    <w:nsid w:val="9C8AC8EF"/>
    <w:multiLevelType w:val="singleLevel"/>
    <w:tmpl w:val="9C8AC8EF"/>
    <w:lvl w:ilvl="0" w:tentative="0">
      <w:start w:val="0"/>
      <w:numFmt w:val="bullet"/>
      <w:lvlText w:val="•"/>
      <w:lvlJc w:val="left"/>
      <w:rPr>
        <w:color w:val="3370FF"/>
      </w:rPr>
    </w:lvl>
  </w:abstractNum>
  <w:abstractNum w:abstractNumId="5">
    <w:nsid w:val="B0F1ACD9"/>
    <w:multiLevelType w:val="singleLevel"/>
    <w:tmpl w:val="B0F1ACD9"/>
    <w:lvl w:ilvl="0" w:tentative="0">
      <w:start w:val="0"/>
      <w:numFmt w:val="bullet"/>
      <w:lvlText w:val="•"/>
      <w:lvlJc w:val="left"/>
      <w:rPr>
        <w:color w:val="3370FF"/>
      </w:rPr>
    </w:lvl>
  </w:abstractNum>
  <w:abstractNum w:abstractNumId="6">
    <w:nsid w:val="B5E306ED"/>
    <w:multiLevelType w:val="singleLevel"/>
    <w:tmpl w:val="B5E306ED"/>
    <w:lvl w:ilvl="0" w:tentative="0">
      <w:start w:val="0"/>
      <w:numFmt w:val="bullet"/>
      <w:lvlText w:val="•"/>
      <w:lvlJc w:val="left"/>
      <w:rPr>
        <w:color w:val="3370FF"/>
      </w:rPr>
    </w:lvl>
  </w:abstractNum>
  <w:abstractNum w:abstractNumId="7">
    <w:nsid w:val="BE923771"/>
    <w:multiLevelType w:val="singleLevel"/>
    <w:tmpl w:val="BE923771"/>
    <w:lvl w:ilvl="0" w:tentative="0">
      <w:start w:val="0"/>
      <w:numFmt w:val="bullet"/>
      <w:lvlText w:val="•"/>
      <w:lvlJc w:val="left"/>
      <w:rPr>
        <w:color w:val="3370FF"/>
      </w:rPr>
    </w:lvl>
  </w:abstractNum>
  <w:abstractNum w:abstractNumId="8">
    <w:nsid w:val="BF205925"/>
    <w:multiLevelType w:val="singleLevel"/>
    <w:tmpl w:val="BF205925"/>
    <w:lvl w:ilvl="0" w:tentative="0">
      <w:start w:val="0"/>
      <w:numFmt w:val="bullet"/>
      <w:lvlText w:val="•"/>
      <w:lvlJc w:val="left"/>
      <w:rPr>
        <w:color w:val="3370FF"/>
      </w:rPr>
    </w:lvl>
  </w:abstractNum>
  <w:abstractNum w:abstractNumId="9">
    <w:nsid w:val="C8879AEF"/>
    <w:multiLevelType w:val="singleLevel"/>
    <w:tmpl w:val="C8879AEF"/>
    <w:lvl w:ilvl="0" w:tentative="0">
      <w:start w:val="5"/>
      <w:numFmt w:val="decimal"/>
      <w:lvlText w:val="%1."/>
      <w:lvlJc w:val="left"/>
      <w:rPr>
        <w:color w:val="3370FF"/>
      </w:rPr>
    </w:lvl>
  </w:abstractNum>
  <w:abstractNum w:abstractNumId="10">
    <w:nsid w:val="CF092B84"/>
    <w:multiLevelType w:val="singleLevel"/>
    <w:tmpl w:val="CF092B84"/>
    <w:lvl w:ilvl="0" w:tentative="0">
      <w:start w:val="2"/>
      <w:numFmt w:val="decimal"/>
      <w:lvlText w:val="%1."/>
      <w:lvlJc w:val="left"/>
      <w:rPr>
        <w:color w:val="3370FF"/>
      </w:rPr>
    </w:lvl>
  </w:abstractNum>
  <w:abstractNum w:abstractNumId="11">
    <w:nsid w:val="D7F9FE59"/>
    <w:multiLevelType w:val="singleLevel"/>
    <w:tmpl w:val="D7F9FE59"/>
    <w:lvl w:ilvl="0" w:tentative="0">
      <w:start w:val="0"/>
      <w:numFmt w:val="bullet"/>
      <w:lvlText w:val="•"/>
      <w:lvlJc w:val="left"/>
      <w:rPr>
        <w:color w:val="3370FF"/>
      </w:rPr>
    </w:lvl>
  </w:abstractNum>
  <w:abstractNum w:abstractNumId="12">
    <w:nsid w:val="DCBA6B53"/>
    <w:multiLevelType w:val="singleLevel"/>
    <w:tmpl w:val="DCBA6B53"/>
    <w:lvl w:ilvl="0" w:tentative="0">
      <w:start w:val="0"/>
      <w:numFmt w:val="bullet"/>
      <w:lvlText w:val="•"/>
      <w:lvlJc w:val="left"/>
      <w:rPr>
        <w:color w:val="3370FF"/>
      </w:rPr>
    </w:lvl>
  </w:abstractNum>
  <w:abstractNum w:abstractNumId="13">
    <w:nsid w:val="E093A4B0"/>
    <w:multiLevelType w:val="singleLevel"/>
    <w:tmpl w:val="E093A4B0"/>
    <w:lvl w:ilvl="0" w:tentative="0">
      <w:start w:val="5"/>
      <w:numFmt w:val="decimal"/>
      <w:lvlText w:val="%1."/>
      <w:lvlJc w:val="left"/>
      <w:rPr>
        <w:color w:val="3370FF"/>
      </w:rPr>
    </w:lvl>
  </w:abstractNum>
  <w:abstractNum w:abstractNumId="14">
    <w:nsid w:val="F4B5D9F5"/>
    <w:multiLevelType w:val="singleLevel"/>
    <w:tmpl w:val="F4B5D9F5"/>
    <w:lvl w:ilvl="0" w:tentative="0">
      <w:start w:val="7"/>
      <w:numFmt w:val="decimal"/>
      <w:lvlText w:val="%1."/>
      <w:lvlJc w:val="left"/>
      <w:rPr>
        <w:color w:val="3370FF"/>
      </w:rPr>
    </w:lvl>
  </w:abstractNum>
  <w:abstractNum w:abstractNumId="15">
    <w:nsid w:val="F7735DC9"/>
    <w:multiLevelType w:val="singleLevel"/>
    <w:tmpl w:val="F7735DC9"/>
    <w:lvl w:ilvl="0" w:tentative="0">
      <w:start w:val="4"/>
      <w:numFmt w:val="decimal"/>
      <w:lvlText w:val="%1."/>
      <w:lvlJc w:val="left"/>
      <w:rPr>
        <w:color w:val="3370FF"/>
      </w:rPr>
    </w:lvl>
  </w:abstractNum>
  <w:abstractNum w:abstractNumId="16">
    <w:nsid w:val="FA16428A"/>
    <w:multiLevelType w:val="multilevel"/>
    <w:tmpl w:val="FA16428A"/>
    <w:lvl w:ilvl="0" w:tentative="0">
      <w:start w:val="1"/>
      <w:numFmt w:val="decimal"/>
      <w:pStyle w:val="5"/>
      <w:suff w:val="space"/>
      <w:lvlText w:val="%1."/>
      <w:lvlJc w:val="left"/>
      <w:pPr>
        <w:ind w:left="850" w:leftChars="0" w:hanging="567" w:firstLineChars="0"/>
      </w:pPr>
    </w:lvl>
    <w:lvl w:ilvl="1" w:tentative="0">
      <w:start w:val="1"/>
      <w:numFmt w:val="decimal"/>
      <w:lvlText w:val="%1.%2."/>
      <w:lvlJc w:val="left"/>
      <w:pPr>
        <w:ind w:left="851" w:hanging="567"/>
      </w:pPr>
    </w:lvl>
    <w:lvl w:ilvl="2" w:tentative="0">
      <w:start w:val="1"/>
      <w:numFmt w:val="decimal"/>
      <w:lvlText w:val="%1.%2.%3."/>
      <w:lvlJc w:val="left"/>
      <w:pPr>
        <w:ind w:left="709" w:hanging="142"/>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7">
    <w:nsid w:val="0053208E"/>
    <w:multiLevelType w:val="singleLevel"/>
    <w:tmpl w:val="0053208E"/>
    <w:lvl w:ilvl="0" w:tentative="0">
      <w:start w:val="1"/>
      <w:numFmt w:val="decimal"/>
      <w:lvlText w:val="%1."/>
      <w:lvlJc w:val="left"/>
      <w:rPr>
        <w:color w:val="3370FF"/>
      </w:rPr>
    </w:lvl>
  </w:abstractNum>
  <w:abstractNum w:abstractNumId="18">
    <w:nsid w:val="0248C179"/>
    <w:multiLevelType w:val="singleLevel"/>
    <w:tmpl w:val="0248C179"/>
    <w:lvl w:ilvl="0" w:tentative="0">
      <w:start w:val="0"/>
      <w:numFmt w:val="bullet"/>
      <w:lvlText w:val="•"/>
      <w:lvlJc w:val="left"/>
      <w:rPr>
        <w:color w:val="3370FF"/>
      </w:rPr>
    </w:lvl>
  </w:abstractNum>
  <w:abstractNum w:abstractNumId="19">
    <w:nsid w:val="03D62ECE"/>
    <w:multiLevelType w:val="singleLevel"/>
    <w:tmpl w:val="03D62ECE"/>
    <w:lvl w:ilvl="0" w:tentative="0">
      <w:start w:val="0"/>
      <w:numFmt w:val="bullet"/>
      <w:lvlText w:val="•"/>
      <w:lvlJc w:val="left"/>
      <w:rPr>
        <w:color w:val="3370FF"/>
      </w:rPr>
    </w:lvl>
  </w:abstractNum>
  <w:abstractNum w:abstractNumId="20">
    <w:nsid w:val="0E640482"/>
    <w:multiLevelType w:val="singleLevel"/>
    <w:tmpl w:val="0E640482"/>
    <w:lvl w:ilvl="0" w:tentative="0">
      <w:start w:val="2"/>
      <w:numFmt w:val="decimal"/>
      <w:lvlText w:val="%1."/>
      <w:lvlJc w:val="left"/>
      <w:rPr>
        <w:color w:val="3370FF"/>
      </w:rPr>
    </w:lvl>
  </w:abstractNum>
  <w:abstractNum w:abstractNumId="21">
    <w:nsid w:val="243FCF68"/>
    <w:multiLevelType w:val="singleLevel"/>
    <w:tmpl w:val="243FCF68"/>
    <w:lvl w:ilvl="0" w:tentative="0">
      <w:start w:val="2"/>
      <w:numFmt w:val="decimal"/>
      <w:lvlText w:val="%1."/>
      <w:lvlJc w:val="left"/>
      <w:rPr>
        <w:color w:val="3370FF"/>
      </w:rPr>
    </w:lvl>
  </w:abstractNum>
  <w:abstractNum w:abstractNumId="22">
    <w:nsid w:val="2470EC97"/>
    <w:multiLevelType w:val="singleLevel"/>
    <w:tmpl w:val="2470EC97"/>
    <w:lvl w:ilvl="0" w:tentative="0">
      <w:start w:val="1"/>
      <w:numFmt w:val="decimal"/>
      <w:lvlText w:val="%1."/>
      <w:lvlJc w:val="left"/>
      <w:rPr>
        <w:color w:val="3370FF"/>
      </w:rPr>
    </w:lvl>
  </w:abstractNum>
  <w:abstractNum w:abstractNumId="23">
    <w:nsid w:val="25B654F3"/>
    <w:multiLevelType w:val="singleLevel"/>
    <w:tmpl w:val="25B654F3"/>
    <w:lvl w:ilvl="0" w:tentative="0">
      <w:start w:val="3"/>
      <w:numFmt w:val="decimal"/>
      <w:lvlText w:val="%1."/>
      <w:lvlJc w:val="left"/>
      <w:rPr>
        <w:color w:val="3370FF"/>
      </w:rPr>
    </w:lvl>
  </w:abstractNum>
  <w:abstractNum w:abstractNumId="24">
    <w:nsid w:val="2A8F537B"/>
    <w:multiLevelType w:val="singleLevel"/>
    <w:tmpl w:val="2A8F537B"/>
    <w:lvl w:ilvl="0" w:tentative="0">
      <w:start w:val="0"/>
      <w:numFmt w:val="bullet"/>
      <w:lvlText w:val="•"/>
      <w:lvlJc w:val="left"/>
      <w:rPr>
        <w:color w:val="3370FF"/>
      </w:rPr>
    </w:lvl>
  </w:abstractNum>
  <w:abstractNum w:abstractNumId="25">
    <w:nsid w:val="30FC5B15"/>
    <w:multiLevelType w:val="singleLevel"/>
    <w:tmpl w:val="30FC5B15"/>
    <w:lvl w:ilvl="0" w:tentative="0">
      <w:start w:val="6"/>
      <w:numFmt w:val="decimal"/>
      <w:lvlText w:val="%1."/>
      <w:lvlJc w:val="left"/>
      <w:rPr>
        <w:color w:val="3370FF"/>
      </w:rPr>
    </w:lvl>
  </w:abstractNum>
  <w:abstractNum w:abstractNumId="26">
    <w:nsid w:val="39A0D9AC"/>
    <w:multiLevelType w:val="singleLevel"/>
    <w:tmpl w:val="39A0D9AC"/>
    <w:lvl w:ilvl="0" w:tentative="0">
      <w:start w:val="5"/>
      <w:numFmt w:val="decimal"/>
      <w:lvlText w:val="%1."/>
      <w:lvlJc w:val="left"/>
      <w:rPr>
        <w:color w:val="3370FF"/>
      </w:rPr>
    </w:lvl>
  </w:abstractNum>
  <w:abstractNum w:abstractNumId="27">
    <w:nsid w:val="46A08BB8"/>
    <w:multiLevelType w:val="singleLevel"/>
    <w:tmpl w:val="46A08BB8"/>
    <w:lvl w:ilvl="0" w:tentative="0">
      <w:start w:val="3"/>
      <w:numFmt w:val="decimal"/>
      <w:lvlText w:val="%1."/>
      <w:lvlJc w:val="left"/>
      <w:rPr>
        <w:color w:val="3370FF"/>
      </w:rPr>
    </w:lvl>
  </w:abstractNum>
  <w:abstractNum w:abstractNumId="28">
    <w:nsid w:val="4C1BAE26"/>
    <w:multiLevelType w:val="singleLevel"/>
    <w:tmpl w:val="4C1BAE26"/>
    <w:lvl w:ilvl="0" w:tentative="0">
      <w:start w:val="0"/>
      <w:numFmt w:val="bullet"/>
      <w:lvlText w:val="•"/>
      <w:lvlJc w:val="left"/>
      <w:rPr>
        <w:color w:val="3370FF"/>
      </w:rPr>
    </w:lvl>
  </w:abstractNum>
  <w:abstractNum w:abstractNumId="29">
    <w:nsid w:val="4D4DC07F"/>
    <w:multiLevelType w:val="singleLevel"/>
    <w:tmpl w:val="4D4DC07F"/>
    <w:lvl w:ilvl="0" w:tentative="0">
      <w:start w:val="6"/>
      <w:numFmt w:val="decimal"/>
      <w:lvlText w:val="%1."/>
      <w:lvlJc w:val="left"/>
      <w:rPr>
        <w:color w:val="3370FF"/>
      </w:rPr>
    </w:lvl>
  </w:abstractNum>
  <w:abstractNum w:abstractNumId="30">
    <w:nsid w:val="4D94DA66"/>
    <w:multiLevelType w:val="singleLevel"/>
    <w:tmpl w:val="4D94DA66"/>
    <w:lvl w:ilvl="0" w:tentative="0">
      <w:start w:val="3"/>
      <w:numFmt w:val="decimal"/>
      <w:lvlText w:val="%1."/>
      <w:lvlJc w:val="left"/>
      <w:rPr>
        <w:color w:val="3370FF"/>
      </w:rPr>
    </w:lvl>
  </w:abstractNum>
  <w:abstractNum w:abstractNumId="31">
    <w:nsid w:val="58765686"/>
    <w:multiLevelType w:val="singleLevel"/>
    <w:tmpl w:val="58765686"/>
    <w:lvl w:ilvl="0" w:tentative="0">
      <w:start w:val="7"/>
      <w:numFmt w:val="decimal"/>
      <w:lvlText w:val="%1."/>
      <w:lvlJc w:val="left"/>
      <w:rPr>
        <w:color w:val="3370FF"/>
      </w:rPr>
    </w:lvl>
  </w:abstractNum>
  <w:abstractNum w:abstractNumId="32">
    <w:nsid w:val="59ADCABA"/>
    <w:multiLevelType w:val="singleLevel"/>
    <w:tmpl w:val="59ADCABA"/>
    <w:lvl w:ilvl="0" w:tentative="0">
      <w:start w:val="0"/>
      <w:numFmt w:val="bullet"/>
      <w:lvlText w:val="•"/>
      <w:lvlJc w:val="left"/>
      <w:rPr>
        <w:color w:val="3370FF"/>
      </w:rPr>
    </w:lvl>
  </w:abstractNum>
  <w:abstractNum w:abstractNumId="33">
    <w:nsid w:val="5A241D34"/>
    <w:multiLevelType w:val="singleLevel"/>
    <w:tmpl w:val="5A241D34"/>
    <w:lvl w:ilvl="0" w:tentative="0">
      <w:start w:val="4"/>
      <w:numFmt w:val="decimal"/>
      <w:lvlText w:val="%1."/>
      <w:lvlJc w:val="left"/>
      <w:rPr>
        <w:color w:val="3370FF"/>
      </w:rPr>
    </w:lvl>
  </w:abstractNum>
  <w:abstractNum w:abstractNumId="34">
    <w:nsid w:val="60382F6E"/>
    <w:multiLevelType w:val="singleLevel"/>
    <w:tmpl w:val="60382F6E"/>
    <w:lvl w:ilvl="0" w:tentative="0">
      <w:start w:val="0"/>
      <w:numFmt w:val="bullet"/>
      <w:lvlText w:val="•"/>
      <w:lvlJc w:val="left"/>
      <w:rPr>
        <w:color w:val="3370FF"/>
      </w:rPr>
    </w:lvl>
  </w:abstractNum>
  <w:abstractNum w:abstractNumId="35">
    <w:nsid w:val="629F7852"/>
    <w:multiLevelType w:val="singleLevel"/>
    <w:tmpl w:val="629F7852"/>
    <w:lvl w:ilvl="0" w:tentative="0">
      <w:start w:val="0"/>
      <w:numFmt w:val="bullet"/>
      <w:lvlText w:val="•"/>
      <w:lvlJc w:val="left"/>
      <w:rPr>
        <w:color w:val="3370FF"/>
      </w:rPr>
    </w:lvl>
  </w:abstractNum>
  <w:abstractNum w:abstractNumId="36">
    <w:nsid w:val="72183CF9"/>
    <w:multiLevelType w:val="singleLevel"/>
    <w:tmpl w:val="72183CF9"/>
    <w:lvl w:ilvl="0" w:tentative="0">
      <w:start w:val="0"/>
      <w:numFmt w:val="bullet"/>
      <w:lvlText w:val="•"/>
      <w:lvlJc w:val="left"/>
      <w:rPr>
        <w:color w:val="3370FF"/>
      </w:rPr>
    </w:lvl>
  </w:abstractNum>
  <w:abstractNum w:abstractNumId="37">
    <w:nsid w:val="77ECEA79"/>
    <w:multiLevelType w:val="singleLevel"/>
    <w:tmpl w:val="77ECEA79"/>
    <w:lvl w:ilvl="0" w:tentative="0">
      <w:start w:val="0"/>
      <w:numFmt w:val="bullet"/>
      <w:lvlText w:val="•"/>
      <w:lvlJc w:val="left"/>
      <w:rPr>
        <w:color w:val="3370FF"/>
      </w:rPr>
    </w:lvl>
  </w:abstractNum>
  <w:abstractNum w:abstractNumId="38">
    <w:nsid w:val="7C246926"/>
    <w:multiLevelType w:val="singleLevel"/>
    <w:tmpl w:val="7C246926"/>
    <w:lvl w:ilvl="0" w:tentative="0">
      <w:start w:val="0"/>
      <w:numFmt w:val="bullet"/>
      <w:lvlText w:val="•"/>
      <w:lvlJc w:val="left"/>
      <w:rPr>
        <w:color w:val="3370FF"/>
      </w:rPr>
    </w:lvl>
  </w:abstractNum>
  <w:abstractNum w:abstractNumId="39">
    <w:nsid w:val="7DEC2089"/>
    <w:multiLevelType w:val="singleLevel"/>
    <w:tmpl w:val="7DEC2089"/>
    <w:lvl w:ilvl="0" w:tentative="0">
      <w:start w:val="8"/>
      <w:numFmt w:val="decimal"/>
      <w:lvlText w:val="%1."/>
      <w:lvlJc w:val="left"/>
      <w:rPr>
        <w:color w:val="3370FF"/>
      </w:rPr>
    </w:lvl>
  </w:abstractNum>
  <w:num w:numId="1">
    <w:abstractNumId w:val="16"/>
  </w:num>
  <w:num w:numId="2">
    <w:abstractNumId w:val="17"/>
  </w:num>
  <w:num w:numId="3">
    <w:abstractNumId w:val="10"/>
  </w:num>
  <w:num w:numId="4">
    <w:abstractNumId w:val="32"/>
  </w:num>
  <w:num w:numId="5">
    <w:abstractNumId w:val="8"/>
  </w:num>
  <w:num w:numId="6">
    <w:abstractNumId w:val="6"/>
  </w:num>
  <w:num w:numId="7">
    <w:abstractNumId w:val="19"/>
  </w:num>
  <w:num w:numId="8">
    <w:abstractNumId w:val="23"/>
  </w:num>
  <w:num w:numId="9">
    <w:abstractNumId w:val="36"/>
  </w:num>
  <w:num w:numId="10">
    <w:abstractNumId w:val="18"/>
  </w:num>
  <w:num w:numId="11">
    <w:abstractNumId w:val="2"/>
  </w:num>
  <w:num w:numId="12">
    <w:abstractNumId w:val="24"/>
  </w:num>
  <w:num w:numId="13">
    <w:abstractNumId w:val="33"/>
  </w:num>
  <w:num w:numId="14">
    <w:abstractNumId w:val="9"/>
  </w:num>
  <w:num w:numId="15">
    <w:abstractNumId w:val="29"/>
  </w:num>
  <w:num w:numId="16">
    <w:abstractNumId w:val="14"/>
  </w:num>
  <w:num w:numId="17">
    <w:abstractNumId w:val="22"/>
  </w:num>
  <w:num w:numId="18">
    <w:abstractNumId w:val="12"/>
  </w:num>
  <w:num w:numId="19">
    <w:abstractNumId w:val="11"/>
  </w:num>
  <w:num w:numId="20">
    <w:abstractNumId w:val="4"/>
  </w:num>
  <w:num w:numId="21">
    <w:abstractNumId w:val="28"/>
  </w:num>
  <w:num w:numId="22">
    <w:abstractNumId w:val="34"/>
  </w:num>
  <w:num w:numId="23">
    <w:abstractNumId w:val="20"/>
  </w:num>
  <w:num w:numId="24">
    <w:abstractNumId w:val="27"/>
  </w:num>
  <w:num w:numId="25">
    <w:abstractNumId w:val="5"/>
  </w:num>
  <w:num w:numId="26">
    <w:abstractNumId w:val="38"/>
  </w:num>
  <w:num w:numId="27">
    <w:abstractNumId w:val="37"/>
  </w:num>
  <w:num w:numId="28">
    <w:abstractNumId w:val="7"/>
  </w:num>
  <w:num w:numId="29">
    <w:abstractNumId w:val="35"/>
  </w:num>
  <w:num w:numId="30">
    <w:abstractNumId w:val="3"/>
  </w:num>
  <w:num w:numId="31">
    <w:abstractNumId w:val="26"/>
  </w:num>
  <w:num w:numId="32">
    <w:abstractNumId w:val="1"/>
  </w:num>
  <w:num w:numId="33">
    <w:abstractNumId w:val="31"/>
  </w:num>
  <w:num w:numId="34">
    <w:abstractNumId w:val="39"/>
  </w:num>
  <w:num w:numId="35">
    <w:abstractNumId w:val="0"/>
  </w:num>
  <w:num w:numId="36">
    <w:abstractNumId w:val="21"/>
  </w:num>
  <w:num w:numId="37">
    <w:abstractNumId w:val="30"/>
  </w:num>
  <w:num w:numId="38">
    <w:abstractNumId w:val="15"/>
  </w:num>
  <w:num w:numId="39">
    <w:abstractNumId w:val="1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EE3E2D"/>
    <w:rsid w:val="1B7A3E63"/>
    <w:rsid w:val="24EE25AE"/>
    <w:rsid w:val="262D77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样式7"/>
    <w:basedOn w:val="6"/>
    <w:qFormat/>
    <w:uiPriority w:val="0"/>
    <w:pPr>
      <w:numPr>
        <w:ilvl w:val="0"/>
        <w:numId w:val="1"/>
      </w:numPr>
      <w:tabs>
        <w:tab w:val="left" w:pos="709"/>
        <w:tab w:val="left" w:pos="941"/>
      </w:tabs>
      <w:ind w:left="850" w:hanging="567"/>
    </w:pPr>
    <w:rPr>
      <w:rFonts w:eastAsia="仿宋_GB2312"/>
      <w:b/>
      <w:bCs/>
    </w:rPr>
  </w:style>
  <w:style w:type="paragraph" w:customStyle="1" w:styleId="6">
    <w:name w:val="标题1"/>
    <w:basedOn w:val="1"/>
    <w:qFormat/>
    <w:uiPriority w:val="99"/>
    <w:pPr>
      <w:tabs>
        <w:tab w:val="left" w:pos="941"/>
      </w:tabs>
      <w:spacing w:before="120" w:after="120"/>
      <w:outlineLvl w:val="0"/>
    </w:pPr>
    <w:rPr>
      <w:kern w:val="0"/>
      <w:sz w:val="24"/>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4185</Words>
  <Characters>4309</Characters>
  <TotalTime>1</TotalTime>
  <ScaleCrop>false</ScaleCrop>
  <LinksUpToDate>false</LinksUpToDate>
  <CharactersWithSpaces>4368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2026-05-07T06:02:00Z</dcterms:created>
  <dc:creator>Apache POI</dc:creator>
  <cp:lastModifiedBy>不要说话</cp:lastModifiedBy>
  <dcterms:modified xsi:type="dcterms:W3CDTF">2026-05-07T07:10:11Z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86EF7DAB48FB4B2EB2040E55735EFC3D_13</vt:lpwstr>
  </property>
</Properties>
</file>