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04769E1">
      <w:r>
        <w:rPr>
          <w:rFonts w:hint="eastAsia"/>
        </w:rPr>
        <w:t>2.合同标的</w:t>
      </w:r>
    </w:p>
    <w:p w14:paraId="2B042B90">
      <w:r>
        <w:rPr>
          <w:rFonts w:hint="eastAsia"/>
        </w:rPr>
        <w:t>2.1合同产品的名称、数量如下：</w:t>
      </w:r>
    </w:p>
    <w:p w14:paraId="1BBF68ED">
      <w:r>
        <w:rPr>
          <w:rFonts w:hint="eastAsia"/>
        </w:rPr>
        <w:t>（1）合同产品名称：</w:t>
      </w:r>
      <w:r>
        <w:rPr>
          <w:rFonts w:hint="eastAsia"/>
          <w:lang w:eastAsia="zh-CN"/>
        </w:rPr>
        <w:t xml:space="preserve">  </w:t>
      </w:r>
      <w:r>
        <w:rPr>
          <w:rFonts w:hint="eastAsia"/>
        </w:rPr>
        <w:t>。</w:t>
      </w:r>
    </w:p>
    <w:p w14:paraId="56365382">
      <w:r>
        <w:rPr>
          <w:rFonts w:hint="eastAsia"/>
        </w:rPr>
        <w:t>（2）合同产品数量：</w:t>
      </w:r>
      <w:r>
        <w:rPr>
          <w:rFonts w:hint="eastAsia"/>
          <w:lang w:val="en-US" w:eastAsia="zh-CN"/>
        </w:rPr>
        <w:t>1套</w:t>
      </w:r>
      <w:r>
        <w:rPr>
          <w:rFonts w:hint="eastAsia"/>
        </w:rPr>
        <w:t>。</w:t>
      </w:r>
    </w:p>
    <w:p w14:paraId="6B75D5E1">
      <w:r>
        <w:rPr>
          <w:rFonts w:hint="eastAsia"/>
        </w:rPr>
        <w:t>2.2合同产品的具体信息见</w:t>
      </w:r>
      <w:r>
        <w:rPr>
          <w:rFonts w:hint="eastAsia"/>
        </w:rPr>
        <w:t>合同附件1《</w:t>
      </w:r>
      <w:r>
        <w:rPr>
          <w:rFonts w:hint="eastAsia"/>
          <w:lang w:eastAsia="zh-CN"/>
        </w:rPr>
        <w:t xml:space="preserve">  </w:t>
      </w:r>
      <w:r>
        <w:rPr>
          <w:rFonts w:hint="eastAsia"/>
        </w:rPr>
        <w:t>技术协议》、附件2《</w:t>
      </w:r>
      <w:r>
        <w:rPr>
          <w:rFonts w:hint="eastAsia"/>
          <w:lang w:eastAsia="zh-CN"/>
        </w:rPr>
        <w:t xml:space="preserve">  </w:t>
      </w:r>
      <w:r>
        <w:rPr>
          <w:rFonts w:hint="eastAsia"/>
        </w:rPr>
        <w:t>价格明细表</w:t>
      </w:r>
      <w:r>
        <w:rPr>
          <w:rFonts w:hint="eastAsia"/>
        </w:rPr>
        <w:t>》</w:t>
      </w:r>
      <w:r>
        <w:rPr>
          <w:rFonts w:hint="eastAsia"/>
        </w:rPr>
        <w:t>。</w:t>
      </w:r>
    </w:p>
    <w:p w14:paraId="326F4CE2">
      <w:pPr>
        <w:rPr/>
      </w:pPr>
      <w:r>
        <w:rPr>
          <w:rFonts w:hint="eastAsia"/>
        </w:rPr>
        <w:t>3.交货时间</w:t>
      </w:r>
    </w:p>
    <w:p w14:paraId="7BEC31F5">
      <w:pPr>
        <w:rPr>
          <w:rFonts w:hint="eastAsia"/>
        </w:rPr>
      </w:pPr>
      <w:r>
        <w:rPr>
          <w:rFonts w:hint="eastAsia"/>
        </w:rPr>
        <w:t>签订合同后2个月内完成项目详细设计方案的编制和评审，并取得买方认可。确定项目实施方案后4个月完成项目实施部署，平台测试时间2个月，试运行5个月。</w:t>
      </w:r>
    </w:p>
    <w:p w14:paraId="14B9AF7B">
      <w:pPr>
        <w:rPr>
          <w:rFonts w:hint="eastAsia"/>
        </w:rPr>
      </w:pPr>
    </w:p>
    <w:p w14:paraId="49BA27FD">
      <w:pPr>
        <w:rPr>
          <w:rFonts w:hint="default" w:eastAsia="宋体"/>
          <w:lang w:val="en-US" w:eastAsia="zh-CN"/>
        </w:rPr>
      </w:pPr>
      <w:r>
        <w:rPr>
          <w:rFonts w:hint="eastAsia"/>
          <w:lang w:val="en-US" w:eastAsia="zh-CN"/>
        </w:rPr>
        <w:t>所有硬件设备安装，需要厂商提供指导，若需要网线等材料，和安装过程使用的工具，均有供应商提供</w:t>
      </w:r>
    </w:p>
    <w:p w14:paraId="670B35F7">
      <w:pPr>
        <w:rPr>
          <w:rFonts w:hint="eastAsia"/>
        </w:rPr>
      </w:pPr>
    </w:p>
    <w:p w14:paraId="08FF1623">
      <w:pPr>
        <w:rPr/>
      </w:pPr>
      <w:bookmarkStart w:id="0" w:name="_Toc374289808"/>
      <w:bookmarkStart w:id="1" w:name="_Toc63245609"/>
      <w:r>
        <w:rPr>
          <w:rFonts w:hint="eastAsia"/>
        </w:rPr>
        <w:t>合同标的</w:t>
      </w:r>
      <w:bookmarkEnd w:id="0"/>
      <w:bookmarkEnd w:id="1"/>
    </w:p>
    <w:p w14:paraId="6B589496">
      <w:pPr>
        <w:rPr/>
      </w:pPr>
      <w:bookmarkStart w:id="2" w:name="_Toc331768130"/>
      <w:r>
        <w:rPr>
          <w:rFonts w:hint="eastAsia"/>
        </w:rPr>
        <w:t>卖方根据合同需向买方提供的合同产品的名称、规格(型号)、数量及技术要求等见附件1</w:t>
      </w:r>
      <w:r>
        <w:t>《</w:t>
      </w:r>
      <w:r>
        <w:rPr>
          <w:rFonts w:hint="eastAsia"/>
          <w:lang w:eastAsia="zh-CN"/>
        </w:rPr>
        <w:t xml:space="preserve">  </w:t>
      </w:r>
      <w:r>
        <w:rPr>
          <w:rFonts w:hint="eastAsia"/>
        </w:rPr>
        <w:t>技术协议</w:t>
      </w:r>
      <w:r>
        <w:t>》</w:t>
      </w:r>
      <w:r>
        <w:rPr>
          <w:rFonts w:hint="eastAsia"/>
        </w:rPr>
        <w:t>和</w:t>
      </w:r>
      <w:r>
        <w:t>附件</w:t>
      </w:r>
      <w:r>
        <w:rPr>
          <w:rFonts w:hint="eastAsia"/>
        </w:rPr>
        <w:t>2</w:t>
      </w:r>
      <w:r>
        <w:t>《</w:t>
      </w:r>
      <w:r>
        <w:rPr>
          <w:rFonts w:hint="eastAsia"/>
          <w:lang w:eastAsia="zh-CN"/>
        </w:rPr>
        <w:t xml:space="preserve">  </w:t>
      </w:r>
      <w:r>
        <w:rPr>
          <w:rFonts w:hint="eastAsia"/>
        </w:rPr>
        <w:t>价格明细表</w:t>
      </w:r>
      <w:r>
        <w:t>》。卖方有义务向买方提供合同产品在类似</w:t>
      </w:r>
      <w:r>
        <w:rPr>
          <w:rFonts w:hint="eastAsia"/>
        </w:rPr>
        <w:t>工厂</w:t>
      </w:r>
      <w:r>
        <w:t>的运行经验。</w:t>
      </w:r>
    </w:p>
    <w:bookmarkEnd w:id="2"/>
    <w:p w14:paraId="3989BC2D">
      <w:pPr>
        <w:rPr/>
      </w:pPr>
      <w:bookmarkStart w:id="3" w:name="_Toc331768132"/>
      <w:r>
        <w:t>卖方</w:t>
      </w:r>
      <w:r>
        <w:rPr>
          <w:rFonts w:hint="eastAsia"/>
        </w:rPr>
        <w:t>应</w:t>
      </w:r>
      <w:r>
        <w:t>向买方提供满足合同产品在现场安装、调试、试运行所需要的施工、指导、配合和培训等全过程的服务。详细的技术服务要求见</w:t>
      </w:r>
      <w:r>
        <w:rPr>
          <w:rFonts w:hint="eastAsia"/>
        </w:rPr>
        <w:t>专用合同条款。</w:t>
      </w:r>
      <w:bookmarkEnd w:id="3"/>
    </w:p>
    <w:p w14:paraId="2D6A4FA2">
      <w:pPr>
        <w:rPr/>
      </w:pPr>
      <w:bookmarkStart w:id="4" w:name="_Toc331768131"/>
      <w:r>
        <w:t>卖方</w:t>
      </w:r>
      <w:r>
        <w:rPr>
          <w:rFonts w:hint="eastAsia"/>
        </w:rPr>
        <w:t>应</w:t>
      </w:r>
      <w:r>
        <w:t>向买方提供与合同产品相关的技术资料一份，</w:t>
      </w:r>
      <w:r>
        <w:rPr>
          <w:rFonts w:hint="eastAsia"/>
        </w:rPr>
        <w:t>有关</w:t>
      </w:r>
      <w:r>
        <w:t>技术资料文件的详细要求见</w:t>
      </w:r>
      <w:r>
        <w:rPr>
          <w:rFonts w:hint="eastAsia"/>
        </w:rPr>
        <w:t>附件1</w:t>
      </w:r>
      <w:r>
        <w:t>《</w:t>
      </w:r>
      <w:r>
        <w:rPr>
          <w:rFonts w:hint="eastAsia"/>
          <w:lang w:eastAsia="zh-CN"/>
        </w:rPr>
        <w:t xml:space="preserve">  </w:t>
      </w:r>
      <w:r>
        <w:rPr>
          <w:rFonts w:hint="eastAsia"/>
        </w:rPr>
        <w:t>技术协议</w:t>
      </w:r>
      <w:r>
        <w:t>》</w:t>
      </w:r>
      <w:r>
        <w:rPr>
          <w:rFonts w:hint="eastAsia"/>
        </w:rPr>
        <w:t>及</w:t>
      </w:r>
      <w:r>
        <w:t>附件</w:t>
      </w:r>
      <w:r>
        <w:rPr>
          <w:rFonts w:hint="eastAsia"/>
        </w:rPr>
        <w:t>3</w:t>
      </w:r>
      <w:r>
        <w:t>《文件</w:t>
      </w:r>
      <w:r>
        <w:rPr>
          <w:rFonts w:hint="eastAsia"/>
        </w:rPr>
        <w:t>编制要求、</w:t>
      </w:r>
      <w:r>
        <w:t>清单及时间表》</w:t>
      </w:r>
      <w:r>
        <w:rPr>
          <w:rFonts w:hint="eastAsia"/>
        </w:rPr>
        <w:t>。</w:t>
      </w:r>
      <w:bookmarkEnd w:id="4"/>
    </w:p>
    <w:p w14:paraId="51D5A871">
      <w:pPr>
        <w:rPr/>
      </w:pPr>
      <w:bookmarkStart w:id="5" w:name="_Toc331768133"/>
      <w:r>
        <w:rPr>
          <w:rFonts w:hint="eastAsia"/>
        </w:rPr>
        <w:t>卖方保证其供应的合同产品是全新的（未使用过的）、完整的、安全的、技术水平先进的、成熟的、质量优良的，完</w:t>
      </w:r>
      <w:r>
        <w:t>全满足本合同明确的各项要求</w:t>
      </w:r>
      <w:r>
        <w:rPr>
          <w:rFonts w:hint="eastAsia"/>
        </w:rPr>
        <w:t>，未侵犯任何第三方的知识产权</w:t>
      </w:r>
      <w:r>
        <w:t>。</w:t>
      </w:r>
      <w:bookmarkEnd w:id="5"/>
    </w:p>
    <w:p w14:paraId="732656A3"/>
    <w:p w14:paraId="22530F66">
      <w:pPr>
        <w:rPr/>
      </w:pPr>
      <w:r>
        <w:rPr>
          <w:rFonts w:hint="eastAsia"/>
        </w:rPr>
        <w:t>卖方所供合同产品中如含有需中国出具政府承诺方可供货的进口物项，需在合同签订时予以声明并在合同供货范围中特别注明。如卖方未履行上述义务，但在合同执行过程提出需中国出具政府承诺方可供货的，买方有权利单方终止合同并向卖方进行索赔。</w:t>
      </w:r>
    </w:p>
    <w:p w14:paraId="735B96BE"/>
    <w:p w14:paraId="47863752">
      <w:pPr>
        <w:rPr/>
      </w:pPr>
      <w:bookmarkStart w:id="6" w:name="_Toc331768138"/>
      <w:r>
        <w:rPr>
          <w:rFonts w:hint="eastAsia"/>
        </w:rPr>
        <w:t>合同价格由不含税价和税金组成。不含税价包括但不限于生产成本、包装费、运输费、装卸费、保险费、技术服务费、培训费、各种资料费、</w:t>
      </w:r>
      <w:r>
        <w:t>国外咨询与合作、进口设备材料费及通关费用、进口代理费和结算费、</w:t>
      </w:r>
      <w:r>
        <w:rPr>
          <w:rFonts w:hint="eastAsia"/>
        </w:rPr>
        <w:t>安装</w:t>
      </w:r>
      <w:r>
        <w:rPr>
          <w:rFonts w:hint="eastAsia"/>
          <w:lang w:eastAsia="zh-CN"/>
        </w:rPr>
        <w:t>费（设备供方负责安装时适用）</w:t>
      </w:r>
      <w:r>
        <w:rPr>
          <w:rFonts w:hint="eastAsia"/>
          <w:lang w:val="en-US" w:eastAsia="zh-CN"/>
        </w:rPr>
        <w:t>/指导</w:t>
      </w:r>
      <w:r>
        <w:rPr>
          <w:rFonts w:hint="eastAsia"/>
        </w:rPr>
        <w:t>安装</w:t>
      </w:r>
      <w:r>
        <w:rPr>
          <w:rFonts w:hint="eastAsia"/>
          <w:lang w:eastAsia="zh-CN"/>
        </w:rPr>
        <w:t>费（设备供方负责指导安装时适用）、</w:t>
      </w:r>
      <w:r>
        <w:rPr>
          <w:rFonts w:hint="eastAsia"/>
        </w:rPr>
        <w:t>调试费、人员工资、加班费等卖方履行本合同义务所需的全部不含税费用，在合同有效期间保持不变，不因市场价格变化、政策调整、不可抗力事件或其他任何因素而调整。如果在合同价款支付完成前国家对税率进行了调整，则卖方尚未开票金额对应的税率按国家规定自动调整。因卖方未及时开具发票给买方造成损失的，由卖方承担赔偿责任。</w:t>
      </w:r>
    </w:p>
    <w:bookmarkEnd w:id="6"/>
    <w:p w14:paraId="3093CB2E"/>
    <w:p w14:paraId="566356CD"/>
    <w:p w14:paraId="61BBC396">
      <w:pPr>
        <w:rPr/>
      </w:pPr>
      <w:r>
        <w:rPr>
          <w:rFonts w:hint="eastAsia"/>
        </w:rPr>
        <w:t>卖方应以买方为被保险人办理合同产品从发运地至合同约定的交货地点运输途中的保险，保险范围包括卖方负责运输的全部合同产品，险种为合同产品价值110%的“运输一切险”。专用合同条款另有约定的，按专用合同条款约定执行。</w:t>
      </w:r>
    </w:p>
    <w:p w14:paraId="401FF13B">
      <w:pPr>
        <w:rPr/>
      </w:pPr>
      <w:r>
        <w:rPr>
          <w:rFonts w:hint="eastAsia"/>
        </w:rPr>
        <w:t>卖方应在合同产品发运5日前向买方出具相关投保证明，未按时提交投保证明的，买方有权拒绝支付合同价款。</w:t>
      </w:r>
    </w:p>
    <w:p w14:paraId="5868EFB9">
      <w:pPr>
        <w:rPr/>
      </w:pPr>
      <w:r>
        <w:t>卖方</w:t>
      </w:r>
      <w:r>
        <w:rPr>
          <w:rFonts w:hint="eastAsia"/>
        </w:rPr>
        <w:t>应</w:t>
      </w:r>
      <w:r>
        <w:t>做好</w:t>
      </w:r>
      <w:r>
        <w:rPr>
          <w:rFonts w:hint="eastAsia"/>
        </w:rPr>
        <w:t>发生保险</w:t>
      </w:r>
      <w:r>
        <w:t>事故时的通知、现场保护举证等工作，买方积极协助。</w:t>
      </w:r>
    </w:p>
    <w:p w14:paraId="5BD9E41E">
      <w:pPr>
        <w:rPr/>
      </w:pPr>
      <w:r>
        <w:rPr>
          <w:rFonts w:hint="eastAsia"/>
        </w:rPr>
        <w:t>卖方供货范围中若含危险化学品，危险化学品的运输必须符合所有相关法律的要求。卖方应选择具有相应危险化学品运输资质的企业运送合同项下的危险化学品，并随车携带化学品安全技术说明（即 MSDS）。卖方承运人的运输人员、押运人员和运输设施必须满足国家相关要求。</w:t>
      </w:r>
    </w:p>
    <w:p w14:paraId="47E0F3ED"/>
    <w:p w14:paraId="4D9ED166">
      <w:pPr>
        <w:rPr/>
      </w:pPr>
      <w:r>
        <w:t>卖方有义务按照合同中规定的文件提交进度向买方提供技术资料</w:t>
      </w:r>
      <w:r>
        <w:rPr>
          <w:rFonts w:hint="eastAsia"/>
        </w:rPr>
        <w:t>并</w:t>
      </w:r>
      <w:r>
        <w:t>在卖方制造现场配备供查阅文件</w:t>
      </w:r>
      <w:r>
        <w:rPr>
          <w:rFonts w:hint="eastAsia"/>
        </w:rPr>
        <w:t>，卖方所</w:t>
      </w:r>
      <w:r>
        <w:t>提供的文件应当符合买方的设备文件编制要求（见合同附件</w:t>
      </w:r>
      <w:r>
        <w:rPr>
          <w:rFonts w:hint="eastAsia"/>
        </w:rPr>
        <w:t>3</w:t>
      </w:r>
      <w:r>
        <w:t>）；卖方保证根据本合同向买方提供的文件是完整的、清楚的、正确的和可复制的。</w:t>
      </w:r>
    </w:p>
    <w:p w14:paraId="7E73F0DA">
      <w:pPr>
        <w:rPr/>
      </w:pPr>
      <w:bookmarkStart w:id="7" w:name="_Toc331768169"/>
      <w:r>
        <w:t>买方在收到卖方提交的技术资料文件后若发现短缺、损坏或其它缺陷，卖方须补齐短缺的文件或替换有缺陷的文件。卖方应该对其所提供的技术资料文件包括图纸、数据、包装详细情况或者其他具体细节中的错误和遗漏负责。</w:t>
      </w:r>
      <w:bookmarkEnd w:id="7"/>
      <w:r>
        <w:t>否则</w:t>
      </w:r>
      <w:r>
        <w:rPr>
          <w:rFonts w:hint="eastAsia"/>
        </w:rPr>
        <w:t>，</w:t>
      </w:r>
      <w:r>
        <w:t>按违约处理</w:t>
      </w:r>
      <w:r>
        <w:rPr>
          <w:rFonts w:hint="eastAsia"/>
        </w:rPr>
        <w:t>；导致</w:t>
      </w:r>
      <w:r>
        <w:rPr>
          <w:rFonts w:hint="eastAsia"/>
          <w:lang w:eastAsia="zh-CN"/>
        </w:rPr>
        <w:t>技术资料晚于提交进度要求的，</w:t>
      </w:r>
      <w:r>
        <w:t>按本合同第</w:t>
      </w:r>
      <w:r>
        <w:rPr>
          <w:rFonts w:hint="eastAsia"/>
          <w:lang w:val="en-US" w:eastAsia="zh-CN"/>
        </w:rPr>
        <w:t>21</w:t>
      </w:r>
      <w:r>
        <w:t>条的规定支付违约金。</w:t>
      </w:r>
    </w:p>
    <w:p w14:paraId="4BB267AD"/>
    <w:p w14:paraId="20690330">
      <w:pPr>
        <w:rPr/>
      </w:pPr>
      <w:bookmarkStart w:id="8" w:name="_Toc374289812"/>
      <w:bookmarkStart w:id="9" w:name="_Toc338754688"/>
      <w:bookmarkStart w:id="10" w:name="_Toc63245613"/>
      <w:r>
        <w:t>技术标准</w:t>
      </w:r>
      <w:bookmarkEnd w:id="8"/>
      <w:bookmarkEnd w:id="9"/>
      <w:r>
        <w:rPr>
          <w:rFonts w:hint="eastAsia"/>
        </w:rPr>
        <w:t>和要求</w:t>
      </w:r>
      <w:bookmarkEnd w:id="10"/>
    </w:p>
    <w:p w14:paraId="781BA4F6">
      <w:pPr>
        <w:rPr/>
      </w:pPr>
      <w:bookmarkStart w:id="11" w:name="_Toc331768173"/>
      <w:r>
        <w:t>卖方保证按照</w:t>
      </w:r>
      <w:r>
        <w:rPr>
          <w:rFonts w:hint="eastAsia"/>
        </w:rPr>
        <w:t>本合同</w:t>
      </w:r>
      <w:r>
        <w:t>所规定的</w:t>
      </w:r>
      <w:r>
        <w:rPr>
          <w:rFonts w:hint="eastAsia"/>
        </w:rPr>
        <w:t>相关技术</w:t>
      </w:r>
      <w:r>
        <w:t>要求或标准进行</w:t>
      </w:r>
      <w:r>
        <w:rPr>
          <w:rFonts w:hint="eastAsia"/>
        </w:rPr>
        <w:t>合同产品的</w:t>
      </w:r>
      <w:r>
        <w:t>设计、采购、制造</w:t>
      </w:r>
      <w:r>
        <w:rPr>
          <w:rFonts w:hint="eastAsia"/>
        </w:rPr>
        <w:t>并提供相关服务</w:t>
      </w:r>
      <w:r>
        <w:t>，并以此作为试验和验收的依据。卖方对合同产品</w:t>
      </w:r>
      <w:r>
        <w:rPr>
          <w:rFonts w:hint="eastAsia"/>
        </w:rPr>
        <w:t>及服务</w:t>
      </w:r>
      <w:r>
        <w:t>的质量负责。</w:t>
      </w:r>
      <w:bookmarkEnd w:id="11"/>
    </w:p>
    <w:p w14:paraId="4F57DA2E">
      <w:pPr>
        <w:rPr/>
      </w:pPr>
      <w:r>
        <w:rPr>
          <w:rFonts w:hint="eastAsia"/>
        </w:rPr>
        <w:t>买方有权参与合同产品的技术设计，卖方应向买方解释技术设计。</w:t>
      </w:r>
    </w:p>
    <w:p w14:paraId="115979F8">
      <w:pPr>
        <w:rPr/>
      </w:pPr>
      <w:bookmarkStart w:id="12" w:name="_Toc331768174"/>
      <w:r>
        <w:rPr>
          <w:rFonts w:hint="eastAsia"/>
        </w:rPr>
        <w:t>合同</w:t>
      </w:r>
      <w:r>
        <w:t>产品</w:t>
      </w:r>
      <w:r>
        <w:rPr>
          <w:rFonts w:hint="eastAsia"/>
        </w:rPr>
        <w:t>的</w:t>
      </w:r>
      <w:r>
        <w:t>制造工艺、试验项目、验收标准、质量计划等，所依据的文件标准如与买方的设计标准有差异，应以买方的为准，确实不能以买方</w:t>
      </w:r>
      <w:r>
        <w:rPr>
          <w:rFonts w:hint="eastAsia"/>
        </w:rPr>
        <w:t>设计标准</w:t>
      </w:r>
      <w:r>
        <w:t>为准</w:t>
      </w:r>
      <w:r>
        <w:rPr>
          <w:rFonts w:hint="eastAsia"/>
        </w:rPr>
        <w:t>的</w:t>
      </w:r>
      <w:r>
        <w:t>，</w:t>
      </w:r>
      <w:r>
        <w:rPr>
          <w:rFonts w:hint="eastAsia"/>
        </w:rPr>
        <w:t>由双方</w:t>
      </w:r>
      <w:r>
        <w:t>协商解决</w:t>
      </w:r>
      <w:r>
        <w:rPr>
          <w:rFonts w:hint="eastAsia"/>
        </w:rPr>
        <w:t>，协商解决方案应以书面形式提出并经双方签字确认；在取得买方同意前，卖方不得开展相关工作，否则买方有权拒绝卖方交付的合同产品，由此引起的一切后果由卖方自行承担</w:t>
      </w:r>
      <w:r>
        <w:t>。</w:t>
      </w:r>
      <w:bookmarkEnd w:id="12"/>
    </w:p>
    <w:p w14:paraId="79727D0D">
      <w:pPr>
        <w:rPr/>
      </w:pPr>
      <w:bookmarkStart w:id="13" w:name="_Toc331768175"/>
      <w:r>
        <w:t>卖方有义务要求买方对存在疑义的合同产品技术协议、技术条件或标准</w:t>
      </w:r>
      <w:r>
        <w:rPr>
          <w:rFonts w:hint="eastAsia"/>
        </w:rPr>
        <w:t>等信息</w:t>
      </w:r>
      <w:r>
        <w:t>进行澄清，或及时反馈合同执行中发生/发现的问题，确保合同产品不存在到货差异。</w:t>
      </w:r>
    </w:p>
    <w:p w14:paraId="746A8D52">
      <w:pPr>
        <w:rPr/>
      </w:pPr>
      <w:r>
        <w:rPr>
          <w:rFonts w:hint="eastAsia"/>
        </w:rPr>
        <w:t>在合同执行过程中，合同双方须严格执行合同约定的工作要求、技术规范、检验或者验收标准，并在合同中约定的检验或者验收期限内完成检验或者验收。除非双方另有约定，买方不得擅自提高合同要求、检验或者验收标准，也不得据此否定卖方已履行的合同工作。</w:t>
      </w:r>
      <w:r>
        <w:t>本合同生效后，任何有关技术协议、技术条件或标准的更改，应以书面形式提出并征得双方同意后方可执行。</w:t>
      </w:r>
      <w:bookmarkEnd w:id="13"/>
    </w:p>
    <w:p w14:paraId="144D0A91">
      <w:pPr>
        <w:rPr/>
      </w:pPr>
      <w:bookmarkStart w:id="14" w:name="_Toc331768176"/>
      <w:r>
        <w:t>卖方使用规定的技术条件和标准以外的其它标准和规定</w:t>
      </w:r>
      <w:r>
        <w:rPr>
          <w:rFonts w:hint="eastAsia"/>
        </w:rPr>
        <w:t>制造合同产品</w:t>
      </w:r>
      <w:r>
        <w:t>时，应征得买方的书面认可</w:t>
      </w:r>
      <w:r>
        <w:rPr>
          <w:rFonts w:hint="eastAsia"/>
        </w:rPr>
        <w:t>，否则买方有权拒绝卖方交付的合同产品，由此引起的一切后果由卖方自行承担</w:t>
      </w:r>
      <w:bookmarkEnd w:id="14"/>
      <w:r>
        <w:rPr>
          <w:rFonts w:hint="eastAsia"/>
        </w:rPr>
        <w:t>。</w:t>
      </w:r>
    </w:p>
    <w:p w14:paraId="4E5D70FE">
      <w:pPr>
        <w:rPr/>
      </w:pPr>
      <w:bookmarkStart w:id="15" w:name="_Toc331768177"/>
      <w:r>
        <w:rPr>
          <w:rFonts w:hint="eastAsia"/>
        </w:rPr>
        <w:t>买方要求时，对于合同产品</w:t>
      </w:r>
      <w:r>
        <w:t>的外购设备材料，卖方应在保证满足本合同相关技术文件要求的前提下编制采购和验收技术条件，并经买方认可后执行。</w:t>
      </w:r>
      <w:bookmarkEnd w:id="15"/>
      <w:r>
        <w:rPr>
          <w:rFonts w:hint="eastAsia"/>
        </w:rPr>
        <w:t>合同产品的外购设备材料存在两家以上供应商的，卖方应在经买方确认的潜在供应商名单中选定最终供应商。否则，买方有权拒绝卖方交付的合同产品，由此引起的一切后果由卖方自行承担。</w:t>
      </w:r>
    </w:p>
    <w:p w14:paraId="44672B27">
      <w:pPr>
        <w:rPr/>
      </w:pPr>
      <w:bookmarkStart w:id="16" w:name="_Toc331768178"/>
      <w:r>
        <w:rPr>
          <w:rFonts w:hint="eastAsia"/>
        </w:rPr>
        <w:t>合同</w:t>
      </w:r>
      <w:r>
        <w:t>产品必须保证满足与设计、土建施工、安装调试、启动运行等各接口的要求。</w:t>
      </w:r>
      <w:bookmarkEnd w:id="16"/>
      <w:bookmarkStart w:id="17" w:name="_Toc331768179"/>
    </w:p>
    <w:p w14:paraId="7B7CA4E0">
      <w:pPr>
        <w:rPr/>
      </w:pPr>
      <w:r>
        <w:rPr>
          <w:rFonts w:hint="eastAsia"/>
        </w:rPr>
        <w:t>卖方提供的合同产品，如全部或部分属于国家规定必须经过强制性产品认证（“3C认证”）的，应取得相关认证并标注认证标志后方可出厂、销售。</w:t>
      </w:r>
    </w:p>
    <w:p w14:paraId="5A1EE50E">
      <w:pPr>
        <w:rPr/>
      </w:pPr>
      <w:r>
        <w:rPr>
          <w:rFonts w:hint="eastAsia"/>
        </w:rPr>
        <w:t>凡进口产品HS编码监管条件涉及强制性产品认证的，卖方须提供3C认证证明。若无法提供，卖方需确认产品符合中国国内安全标准，并提供产品安全标准确认情况说明。</w:t>
      </w:r>
    </w:p>
    <w:p w14:paraId="0DE952D3">
      <w:pPr>
        <w:rPr/>
      </w:pPr>
      <w:r>
        <w:rPr>
          <w:rFonts w:hint="eastAsia"/>
        </w:rPr>
        <w:t>卖方应严格遵照国家最新颁布的《强制性产品认证管理规定》执行合同产品的强制性认证要求。获证合同产品的生产和销售，必须处于强制认证证书的有效期内。</w:t>
      </w:r>
    </w:p>
    <w:p w14:paraId="54FE1ACA">
      <w:pPr>
        <w:rPr/>
      </w:pPr>
      <w:r>
        <w:rPr>
          <w:rFonts w:hint="eastAsia"/>
        </w:rPr>
        <w:t>在合同履行过程中，如因获证合同产品的强制性认证证书有效期到期、证书被注销、被撤销、被暂停或处于证书变更状态导致原有强制认证失效的，卖方须在相关事由发生前至少7个工作日书面通知买方，并立即停止向买方销售不符合认证要求的合同产品。</w:t>
      </w:r>
    </w:p>
    <w:p w14:paraId="4707B032">
      <w:pPr>
        <w:rPr/>
      </w:pPr>
      <w:r>
        <w:rPr>
          <w:rFonts w:hint="eastAsia"/>
        </w:rPr>
        <w:t>如因合同产品的强制性认证失效，使得卖方无法在合同约定的期限内交付部分或全部合同产品，买方有权解除合同，卖方应按合同约定向买方承担相应的违约责任。</w:t>
      </w:r>
    </w:p>
    <w:p w14:paraId="38CE699B">
      <w:pPr>
        <w:rPr/>
      </w:pPr>
      <w:r>
        <w:rPr>
          <w:rFonts w:hint="eastAsia"/>
        </w:rPr>
        <w:t>对于存在设计或质量安全方面缺陷/隐患的合同产品，卖方应在发现后及时通知买方暂停使用和召回缺陷产品，或在征得买方同意后及时和无偿提供替代产品或软硬件升级等解决措施。</w:t>
      </w:r>
    </w:p>
    <w:p w14:paraId="0A4B0772">
      <w:pPr>
        <w:rPr/>
      </w:pPr>
      <w:r>
        <w:rPr>
          <w:rFonts w:hint="eastAsia"/>
        </w:rPr>
        <w:t>对于合同执行过程产生的各种书面记录，卖方应制定相应的管理制度，明确记录形成、修订、替换、增补、保管等各方面的要求。</w:t>
      </w:r>
    </w:p>
    <w:p w14:paraId="23290BFE">
      <w:pPr>
        <w:rPr/>
      </w:pPr>
      <w:r>
        <w:rPr>
          <w:rFonts w:hint="eastAsia"/>
        </w:rPr>
        <w:t>卖方履行本合同所产生的所有质量记录均应在项目现场及时形成。若质量记录采用整理数据形式或为机打记录的，卖方须妥善保存现场原始记录，原始记录的保存期限见专用合同条款。</w:t>
      </w:r>
    </w:p>
    <w:p w14:paraId="0914C0BE">
      <w:pPr>
        <w:rPr/>
      </w:pPr>
      <w:r>
        <w:rPr>
          <w:rFonts w:hint="eastAsia"/>
        </w:rPr>
        <w:t>卖方的特种作业人员和特种设备作业人员进场前，卖方须将相关人员资格提交买方审查和确认，未经审查通过者不得进场。</w:t>
      </w:r>
    </w:p>
    <w:p w14:paraId="22097ED5">
      <w:pPr>
        <w:rPr/>
      </w:pPr>
      <w:r>
        <w:rPr>
          <w:rFonts w:hint="eastAsia"/>
        </w:rPr>
        <w:t>卖方须制定关键人员签名备案制度，对于质量计划责任人员、焊接及无损检验等关键工艺责任人员进行签名备案。在合同履行过程中，卖方须按照签名备案制度规定，对签字真实性情况开展抽验。</w:t>
      </w:r>
    </w:p>
    <w:p w14:paraId="22ACAE49">
      <w:pPr>
        <w:rPr/>
      </w:pPr>
      <w:r>
        <w:rPr>
          <w:rFonts w:hint="eastAsia"/>
        </w:rPr>
        <w:t>卖方须制定并有效实施对于供方证明资料包括但不限于质量证明、资质证明、检验证书/检测报告等文件的验真制度，并出具书面验真结论。验真方式为卖方在经核验的文件上逐页加盖“已验真”印章并由核验人签字，但双方对验真方式另有约定的从其约定。</w:t>
      </w:r>
    </w:p>
    <w:p w14:paraId="09440693">
      <w:pPr>
        <w:rPr/>
      </w:pPr>
      <w:r>
        <w:rPr>
          <w:rFonts w:hint="eastAsia"/>
        </w:rPr>
        <w:t>买方认为有必要时，有权委托独立的第三方对卖方所提供的合同产品、技术服务进行独立复验。复验合格者，所发生的相关费用由买方承担，否则相关费用均由卖方承担。</w:t>
      </w:r>
    </w:p>
    <w:p w14:paraId="35706BB3">
      <w:pPr>
        <w:rPr/>
      </w:pPr>
      <w:r>
        <w:t>合同产品计量单位均采用</w:t>
      </w:r>
      <w:r>
        <w:rPr>
          <w:rFonts w:hint="eastAsia"/>
        </w:rPr>
        <w:t>合同技术协议</w:t>
      </w:r>
      <w:r>
        <w:t>中规定的计量单位/国际公制单位（SI）/中华人民共和国法定计量单位。</w:t>
      </w:r>
      <w:bookmarkEnd w:id="17"/>
    </w:p>
    <w:p w14:paraId="532656E4">
      <w:pPr>
        <w:rPr/>
      </w:pPr>
      <w:bookmarkStart w:id="18" w:name="_Toc331768180"/>
      <w:r>
        <w:t>工作语言、文字为汉语和简体汉字，卖方</w:t>
      </w:r>
      <w:r>
        <w:rPr>
          <w:rFonts w:hint="eastAsia"/>
        </w:rPr>
        <w:t>应将合同履行过程中涉及的</w:t>
      </w:r>
      <w:r>
        <w:t>有关外文文件译成汉语，并附上原文复印件。</w:t>
      </w:r>
      <w:bookmarkEnd w:id="18"/>
    </w:p>
    <w:p w14:paraId="029DB1A0">
      <w:pPr>
        <w:rPr/>
      </w:pPr>
      <w:r>
        <w:rPr>
          <w:rFonts w:hint="eastAsia"/>
        </w:rPr>
        <w:t>质量保证与质量控制</w:t>
      </w:r>
    </w:p>
    <w:p w14:paraId="4257F199">
      <w:pPr>
        <w:rPr>
          <w:rFonts w:hint="eastAsia"/>
          <w:lang w:val="en-US" w:eastAsia="zh-CN"/>
        </w:rPr>
      </w:pPr>
      <w:r>
        <w:rPr>
          <w:rFonts w:hint="eastAsia"/>
          <w:lang w:val="en-US" w:eastAsia="zh-CN"/>
        </w:rPr>
        <w:t>卖方必须确保物项制造商满足以下要求：</w:t>
      </w:r>
    </w:p>
    <w:p w14:paraId="170A368D">
      <w:pPr>
        <w:rPr>
          <w:rFonts w:hint="default"/>
          <w:lang w:val="en-US" w:eastAsia="zh-CN"/>
        </w:rPr>
      </w:pPr>
      <w:r>
        <w:rPr>
          <w:rFonts w:hint="eastAsia"/>
          <w:lang w:val="en-US" w:eastAsia="zh-CN"/>
        </w:rPr>
        <w:t>(1)质保等级QAN</w:t>
      </w:r>
    </w:p>
    <w:p w14:paraId="1EB7D5CD">
      <w:pPr>
        <w:rPr>
          <w:rFonts w:hint="eastAsia"/>
          <w:lang w:val="en-US" w:eastAsia="zh-CN"/>
        </w:rPr>
      </w:pPr>
      <w:r>
        <w:rPr>
          <w:rFonts w:hint="eastAsia"/>
          <w:lang w:val="en-US" w:eastAsia="zh-CN"/>
        </w:rPr>
        <w:t>a.卖方应按照GB/T19001质量保证要求或等效标准建立适用于合同产品制造的质量保证体系，合同产品制造过程必须按质保要求进行，确保对所承担的各项工作质量进行有效控制，使之达到规定的质量要求。</w:t>
      </w:r>
    </w:p>
    <w:p w14:paraId="51CA8CE8">
      <w:pPr>
        <w:rPr>
          <w:rFonts w:hint="eastAsia"/>
          <w:lang w:val="en-US" w:eastAsia="zh-CN"/>
        </w:rPr>
      </w:pPr>
      <w:r>
        <w:rPr>
          <w:rFonts w:hint="eastAsia"/>
          <w:lang w:val="en-US" w:eastAsia="zh-CN"/>
        </w:rPr>
        <w:t>b.必要时，卖方应编制合同产品制造质量计划，明确合同产品制造用原材料、零部件以及合同产品的验收、制造/检验流程、检测项目及方法、质量控制点（W、H、R）。制造质量计划应在本合同签订后15日内提交买方审核认可后执行。</w:t>
      </w:r>
    </w:p>
    <w:p w14:paraId="22DAEA06">
      <w:pPr>
        <w:rPr/>
      </w:pPr>
      <w:r>
        <w:rPr>
          <w:rFonts w:hint="eastAsia"/>
        </w:rPr>
        <w:t>（2）制造活动除必须满足规定的程序和要求外，还必须满足特定的法规和标准。</w:t>
      </w:r>
    </w:p>
    <w:p w14:paraId="301470C6">
      <w:pPr>
        <w:rPr/>
      </w:pPr>
      <w:r>
        <w:rPr>
          <w:rFonts w:hint="eastAsia"/>
        </w:rPr>
        <w:t>必须配备独立的质量检验人员。</w:t>
      </w:r>
    </w:p>
    <w:p w14:paraId="3A492A94">
      <w:pPr>
        <w:rPr>
          <w:rFonts w:hint="eastAsia"/>
          <w:lang w:val="en-US" w:eastAsia="zh-CN"/>
        </w:rPr>
      </w:pPr>
      <w:r>
        <w:rPr>
          <w:rFonts w:hint="eastAsia"/>
        </w:rPr>
        <w:t>（3）必须为所提供的设备或零部件出具产品合格证书，必要时提供产品检测报告。</w:t>
      </w:r>
    </w:p>
    <w:p w14:paraId="77620B0D">
      <w:pPr>
        <w:rPr>
          <w:rFonts w:hint="eastAsia"/>
          <w:lang w:val="en-US" w:eastAsia="zh-CN"/>
        </w:rPr>
      </w:pPr>
      <w:r>
        <w:rPr>
          <w:rFonts w:hint="eastAsia"/>
          <w:lang w:val="en-US" w:eastAsia="zh-CN"/>
        </w:rPr>
        <w:t>买方有权对卖方及其分包商进行质保监查或监督，买方质量监查／监督人员有权进入卖方设施检查相关活动和查阅相关记录。</w:t>
      </w:r>
    </w:p>
    <w:p w14:paraId="3037BB5A">
      <w:pPr>
        <w:rPr>
          <w:rFonts w:hint="eastAsia"/>
          <w:lang w:val="en-US" w:eastAsia="zh-CN"/>
        </w:rPr>
      </w:pPr>
      <w:r>
        <w:rPr>
          <w:rFonts w:hint="eastAsia"/>
          <w:lang w:val="en-US" w:eastAsia="zh-CN"/>
        </w:rPr>
        <w:t>买方有权针对卖方存在的管理缺陷，对卖方提出纠正行动要求（含停工令）。卖方应按纠正行动要求（或停工令要求）在规定的时间内积极进行整改。</w:t>
      </w:r>
    </w:p>
    <w:p w14:paraId="2205830A">
      <w:pPr>
        <w:rPr>
          <w:rFonts w:hint="eastAsia"/>
          <w:lang w:val="en-US" w:eastAsia="zh-CN"/>
        </w:rPr>
      </w:pPr>
      <w:r>
        <w:rPr>
          <w:rFonts w:hint="eastAsia"/>
          <w:lang w:val="en-US" w:eastAsia="zh-CN"/>
        </w:rPr>
        <w:t>买方所进行的质量监查、质量监督活动并不转移或减轻卖方按本协议及采购合同要求提供合格产品的责任以及其他合同义务。</w:t>
      </w:r>
    </w:p>
    <w:p w14:paraId="679CEA4F">
      <w:pPr>
        <w:rPr>
          <w:rFonts w:hint="eastAsia"/>
          <w:lang w:val="en-US" w:eastAsia="zh-CN"/>
        </w:rPr>
      </w:pPr>
      <w:r>
        <w:rPr>
          <w:rFonts w:hint="eastAsia"/>
          <w:lang w:val="en-US" w:eastAsia="zh-CN"/>
        </w:rPr>
        <w:t>卖方必须确保其制造商具有设计、制造、供应合同标的所必备的资质，并在资质等级许可的业务范围内承接和开展相关业务。在合同执行期间，如设计、制造、供应合同标的必备资质发生降级、过期而丧失合同标的的供货资格，卖方应当在资质降级、资质过期事由发生的第一时间内停止合同标的的设计、制造和供应，并应在24小时内以书面方式将情况通报买方，并根据买方指示采取相应的补救行动，否则卖方将承担由此引起的一切不利后果。如因资质降级、资质过期导致无法在合同约定的期限内交付部分或全部合同产品，买方有权立即终止合同，卖方应按合同约定向买方承担违约责任。</w:t>
      </w:r>
      <w:bookmarkStart w:id="19" w:name="_Toc373508001"/>
      <w:bookmarkEnd w:id="19"/>
      <w:bookmarkStart w:id="20" w:name="_Toc373507992"/>
      <w:bookmarkEnd w:id="20"/>
      <w:bookmarkStart w:id="21" w:name="_Toc373507995"/>
      <w:bookmarkEnd w:id="21"/>
      <w:bookmarkStart w:id="22" w:name="_Toc373507993"/>
      <w:bookmarkEnd w:id="22"/>
      <w:bookmarkStart w:id="23" w:name="_Toc373507990"/>
      <w:bookmarkEnd w:id="23"/>
      <w:bookmarkStart w:id="24" w:name="_Toc373507989"/>
      <w:bookmarkEnd w:id="24"/>
      <w:bookmarkStart w:id="25" w:name="_Toc373507994"/>
      <w:bookmarkEnd w:id="25"/>
      <w:bookmarkStart w:id="26" w:name="_Toc373507998"/>
      <w:bookmarkEnd w:id="26"/>
      <w:bookmarkStart w:id="27" w:name="_Toc373508002"/>
      <w:bookmarkEnd w:id="27"/>
      <w:bookmarkStart w:id="28" w:name="_Toc373508003"/>
      <w:bookmarkEnd w:id="28"/>
      <w:bookmarkStart w:id="29" w:name="_Toc373508000"/>
      <w:bookmarkEnd w:id="29"/>
      <w:bookmarkStart w:id="30" w:name="_Toc373507999"/>
      <w:bookmarkEnd w:id="30"/>
      <w:bookmarkStart w:id="31" w:name="_Toc373507991"/>
      <w:bookmarkEnd w:id="31"/>
      <w:bookmarkStart w:id="32" w:name="_Toc373507988"/>
      <w:bookmarkEnd w:id="32"/>
      <w:bookmarkStart w:id="33" w:name="_Toc373507997"/>
      <w:bookmarkEnd w:id="33"/>
      <w:bookmarkStart w:id="34" w:name="_Toc373507996"/>
      <w:bookmarkEnd w:id="34"/>
      <w:bookmarkStart w:id="35" w:name="_Toc251924023"/>
      <w:bookmarkStart w:id="36" w:name="_Toc5524"/>
      <w:bookmarkStart w:id="37" w:name="_Toc374289814"/>
      <w:bookmarkStart w:id="38" w:name="_Toc276859870"/>
      <w:bookmarkStart w:id="39" w:name="_Toc295484052"/>
      <w:bookmarkStart w:id="40" w:name="_Toc63245615"/>
      <w:bookmarkStart w:id="41" w:name="_Toc295722754"/>
    </w:p>
    <w:p w14:paraId="0A3E7769">
      <w:pPr>
        <w:rPr/>
      </w:pPr>
      <w:r>
        <w:rPr>
          <w:rFonts w:hint="eastAsia"/>
          <w:lang w:val="en-US" w:eastAsia="zh-CN"/>
        </w:rPr>
        <w:t>卖方需接受买方的质量管理要求，若出现质量违章行为，则按本合同第21条对卖方进行考核。若由于卖方的原因导致质量事故/事件发生，买方将根据《质量事故/事件追责规定》（附件11）对卖方进行追责。</w:t>
      </w:r>
    </w:p>
    <w:p w14:paraId="608422B9">
      <w:pPr>
        <w:rPr>
          <w:rFonts w:hint="eastAsia"/>
          <w:lang w:val="en-US" w:eastAsia="zh-CN"/>
        </w:rPr>
      </w:pPr>
      <w:r>
        <w:rPr>
          <w:rFonts w:hint="eastAsia"/>
          <w:lang w:val="en-US" w:eastAsia="zh-CN"/>
        </w:rPr>
        <w:t>卖方必须制定并有效实施不符合项管理程序，严格按质量保证要求记录制造过程中发生的不符合项。对于符合以下条件的不符合项，应及时通报买方，其处理方案应提前提交买方审查认可。在未得到买方书面答复之前，卖方不得实施处理方案。买方有权拒绝接受卖方的处理方案，卖方应重新提交处理方案，直至通过买方审查、批准；买方亦有权要求卖方对其处理方案提供进一步的论证和支持性材料。</w:t>
      </w:r>
    </w:p>
    <w:p w14:paraId="059F61FE">
      <w:pPr>
        <w:rPr>
          <w:rFonts w:hint="eastAsia"/>
          <w:lang w:val="en-US" w:eastAsia="zh-CN"/>
        </w:rPr>
      </w:pPr>
      <w:r>
        <w:rPr>
          <w:rFonts w:hint="eastAsia"/>
          <w:lang w:val="en-US" w:eastAsia="zh-CN"/>
        </w:rPr>
        <w:t>（1）违反合同技术文件和买方认可的卖方技术文件要求，可按经过批准的原有的标准、图纸、规程进行修理（不能完全恢复到原技术文件要求）的不符合项。</w:t>
      </w:r>
    </w:p>
    <w:p w14:paraId="0D9795BA">
      <w:pPr>
        <w:rPr>
          <w:rFonts w:hint="eastAsia"/>
          <w:lang w:val="en-US" w:eastAsia="zh-CN"/>
        </w:rPr>
      </w:pPr>
      <w:r>
        <w:rPr>
          <w:rFonts w:hint="eastAsia"/>
          <w:lang w:val="en-US" w:eastAsia="zh-CN"/>
        </w:rPr>
        <w:t>（2）违反合同技术文件和买方认可的卖方技术文件要求，需要制定新的工艺方案、技术规范和验收准则才能进行处理（返工、修理或照用）的不符合项。</w:t>
      </w:r>
    </w:p>
    <w:p w14:paraId="447CFBF5">
      <w:pPr>
        <w:rPr>
          <w:rFonts w:hint="eastAsia"/>
          <w:lang w:val="en-US" w:eastAsia="zh-CN"/>
        </w:rPr>
      </w:pPr>
      <w:r>
        <w:rPr>
          <w:rFonts w:hint="eastAsia"/>
          <w:lang w:val="en-US" w:eastAsia="zh-CN"/>
        </w:rPr>
        <w:t>采购不符合项已按批准的方案实施处理，并已形成表明其处理符合要求的各种证据材料（1包括但不限于：</w:t>
      </w:r>
    </w:p>
    <w:p w14:paraId="669606D5">
      <w:pPr>
        <w:rPr>
          <w:rFonts w:hint="default"/>
          <w:lang w:val="en-US" w:eastAsia="zh-CN"/>
        </w:rPr>
      </w:pPr>
      <w:r>
        <w:rPr>
          <w:rFonts w:hint="eastAsia"/>
          <w:lang w:val="en-US" w:eastAsia="zh-CN"/>
        </w:rPr>
        <w:t>1）.采购不符合项缺陷描述及其原因分析材料；</w:t>
      </w:r>
    </w:p>
    <w:p w14:paraId="661451FB">
      <w:pPr>
        <w:rPr>
          <w:rFonts w:hint="eastAsia"/>
          <w:lang w:val="en-US" w:eastAsia="zh-CN"/>
        </w:rPr>
      </w:pPr>
      <w:r>
        <w:rPr>
          <w:rFonts w:hint="eastAsia"/>
          <w:lang w:val="en-US" w:eastAsia="zh-CN"/>
        </w:rPr>
        <w:t>2）.买方提供的技术审查和质保审查的意见及资料；</w:t>
      </w:r>
    </w:p>
    <w:p w14:paraId="20094D8B">
      <w:pPr>
        <w:rPr>
          <w:rFonts w:hint="eastAsia"/>
          <w:lang w:val="en-US" w:eastAsia="zh-CN"/>
        </w:rPr>
      </w:pPr>
      <w:r>
        <w:rPr>
          <w:rFonts w:hint="eastAsia"/>
          <w:lang w:val="en-US" w:eastAsia="zh-CN"/>
        </w:rPr>
        <w:t>3).采购不符合项处理方案（包括质量计划）及相关技术论证材料；</w:t>
      </w:r>
    </w:p>
    <w:p w14:paraId="19DED5F3">
      <w:pPr>
        <w:rPr>
          <w:rFonts w:hint="eastAsia"/>
          <w:lang w:val="en-US" w:eastAsia="zh-CN"/>
        </w:rPr>
      </w:pPr>
      <w:r>
        <w:rPr>
          <w:rFonts w:hint="eastAsia"/>
          <w:lang w:val="en-US" w:eastAsia="zh-CN"/>
        </w:rPr>
        <w:t>4).采购不符合项返工、修理的制造、质检记录等）后方可关闭。</w:t>
      </w:r>
    </w:p>
    <w:p w14:paraId="7C005F4A">
      <w:pPr>
        <w:rPr>
          <w:rFonts w:hint="eastAsia"/>
          <w:lang w:val="en-US" w:eastAsia="zh-CN"/>
        </w:rPr>
      </w:pPr>
      <w:r>
        <w:rPr>
          <w:rFonts w:hint="eastAsia"/>
          <w:lang w:val="en-US" w:eastAsia="zh-CN"/>
        </w:rPr>
        <w:t>不符合项关闭并不减轻卖方的供货责任，也不代表买方认可产品达到技术要求或者通过性能验收。若不符合项关闭后，如卖方交付产品的性能仍不满足合同约定或导致卖方延迟交货，卖方应按照本合同第21条违约责任的有关规定承担性能保证违约责任或迟延交货违约责任。</w:t>
      </w:r>
    </w:p>
    <w:p w14:paraId="39116B59">
      <w:pPr>
        <w:rPr/>
      </w:pPr>
      <w:r>
        <w:rPr>
          <w:rFonts w:hint="eastAsia"/>
        </w:rPr>
        <w:t>技术服务</w:t>
      </w:r>
      <w:bookmarkEnd w:id="35"/>
      <w:bookmarkEnd w:id="36"/>
      <w:bookmarkEnd w:id="37"/>
      <w:bookmarkEnd w:id="38"/>
      <w:bookmarkEnd w:id="39"/>
      <w:bookmarkEnd w:id="40"/>
      <w:bookmarkEnd w:id="41"/>
    </w:p>
    <w:p w14:paraId="5E589326">
      <w:pPr>
        <w:rPr>
          <w:rFonts w:hint="eastAsia"/>
          <w:lang w:val="en-US" w:eastAsia="zh-CN"/>
        </w:rPr>
      </w:pPr>
      <w:r>
        <w:rPr>
          <w:rFonts w:hint="eastAsia"/>
          <w:lang w:val="en-US" w:eastAsia="zh-CN"/>
        </w:rPr>
        <w:t>卖方应按照合同约定指派经验丰富的技术人员到现场提供技术服务（如需要），负责解决合同产品在安装、调试过程中发现的问题。卖方参加安装调试的人员应有合格的技术水平，能够协调解决安装调试过程中的全部问题。因卖方原因造成安装、调试过程延期的，由卖方承担延期所产生的一切费用和责任。</w:t>
      </w:r>
    </w:p>
    <w:p w14:paraId="3B70EDEF">
      <w:pPr>
        <w:rPr>
          <w:rFonts w:hint="eastAsia"/>
          <w:lang w:val="en-US" w:eastAsia="zh-CN"/>
        </w:rPr>
      </w:pPr>
      <w:r>
        <w:rPr>
          <w:rFonts w:hint="eastAsia"/>
          <w:lang w:val="en-US" w:eastAsia="zh-CN"/>
        </w:rPr>
        <w:t>卖方指派的技术人员不能胜任工作的，买方有权要求卖方重新选派技术人员。因此产生的相关费用及引起的责任由卖方承担。</w:t>
      </w:r>
    </w:p>
    <w:p w14:paraId="65AD486B">
      <w:pPr>
        <w:rPr>
          <w:rFonts w:hint="eastAsia"/>
          <w:lang w:val="en-US" w:eastAsia="zh-CN"/>
        </w:rPr>
      </w:pPr>
      <w:r>
        <w:rPr>
          <w:rFonts w:hint="eastAsia"/>
          <w:lang w:val="en-US" w:eastAsia="zh-CN"/>
        </w:rPr>
        <w:t>买方要求卖方提供现场服务时，卖方技术人员应在接到买方通知后24小时内给予答复并在48小时内到达现场。双方另有约定的除外。</w:t>
      </w:r>
    </w:p>
    <w:p w14:paraId="6EDC647F">
      <w:pPr>
        <w:rPr>
          <w:rFonts w:hint="eastAsia"/>
          <w:lang w:val="en-US" w:eastAsia="zh-CN"/>
        </w:rPr>
      </w:pPr>
      <w:r>
        <w:rPr>
          <w:rFonts w:hint="eastAsia"/>
          <w:lang w:val="en-US" w:eastAsia="zh-CN"/>
        </w:rPr>
        <w:t>卖方技术人员在现场提供技术服务时应严格遵守施工现场的各项安全规章制度，自觉做好安全保护措施（如进入施工现场需佩戴安全帽等），接受现场的监督管理；在施工现场未经许可，不得拆卸、涂抹、损坏任何设备；卖方如需对合同产品进行调试，应在现场买方代表的监督下进行操作。卖方技术人员违反现场安全规章制度的，买方有权更换；卖方应根据买方要求，重新选派买方认可的技术人员。因此产生的相关费用及引起的责任由卖方承担。</w:t>
      </w:r>
    </w:p>
    <w:p w14:paraId="60B2C817">
      <w:pPr>
        <w:rPr>
          <w:rFonts w:hint="eastAsia"/>
          <w:lang w:val="en-US" w:eastAsia="zh-CN"/>
        </w:rPr>
      </w:pPr>
      <w:r>
        <w:rPr>
          <w:rFonts w:hint="eastAsia"/>
          <w:lang w:val="en-US" w:eastAsia="zh-CN"/>
        </w:rPr>
        <w:t>卖方如需对经双方协商确定的安装、调试和运行技术服务方案（如有）进行修改，须以书面形式通知买方，经买方确认后方可实施。买方有权基于适应现场条件的要求，对上述方案提出变更或修改意见，并书面通知卖方，卖方应给予充分考虑，尽量满足买方要求。</w:t>
      </w:r>
    </w:p>
    <w:p w14:paraId="635E315F">
      <w:pPr>
        <w:rPr>
          <w:rFonts w:hint="eastAsia"/>
          <w:lang w:val="en-US" w:eastAsia="zh-CN"/>
        </w:rPr>
      </w:pPr>
      <w:r>
        <w:rPr>
          <w:rFonts w:hint="eastAsia"/>
          <w:lang w:val="en-US" w:eastAsia="zh-CN"/>
        </w:rPr>
        <w:t>买方有权将卖方提供的合同产品设计、安装、调试技术服务方案以及其他有关文件资料分发给与合同产品的安装、使用、维护、管理有关的各方。</w:t>
      </w:r>
    </w:p>
    <w:p w14:paraId="59641A90">
      <w:pPr>
        <w:rPr>
          <w:rFonts w:hint="eastAsia"/>
          <w:lang w:val="en-US" w:eastAsia="zh-CN"/>
        </w:rPr>
      </w:pPr>
      <w:r>
        <w:rPr>
          <w:rFonts w:hint="eastAsia"/>
          <w:lang w:val="en-US" w:eastAsia="zh-CN"/>
        </w:rPr>
        <w:t>合同产品非正常停运，需卖方提供技术支持的，卖方应全力配合买方查明故障原因，恢复合同产品运行。</w:t>
      </w:r>
    </w:p>
    <w:p w14:paraId="4D5509EA">
      <w:pPr>
        <w:rPr>
          <w:rFonts w:hint="eastAsia"/>
          <w:lang w:val="en-US" w:eastAsia="zh-CN"/>
        </w:rPr>
      </w:pPr>
      <w:bookmarkStart w:id="42" w:name="_Toc20192"/>
      <w:bookmarkStart w:id="43" w:name="_Toc251924025"/>
      <w:bookmarkStart w:id="44" w:name="_Toc295484054"/>
      <w:bookmarkStart w:id="45" w:name="_Toc276859872"/>
      <w:bookmarkStart w:id="46" w:name="_Toc295722756"/>
      <w:bookmarkStart w:id="47" w:name="_Toc63245617"/>
      <w:bookmarkStart w:id="48" w:name="_Toc374289816"/>
      <w:bookmarkStart w:id="49" w:name="_Toc338754693"/>
      <w:r>
        <w:rPr>
          <w:rFonts w:hint="eastAsia"/>
          <w:lang w:val="en-US" w:eastAsia="zh-CN"/>
        </w:rPr>
        <w:t>安装、调试和</w:t>
      </w:r>
      <w:bookmarkEnd w:id="42"/>
      <w:bookmarkEnd w:id="43"/>
      <w:bookmarkEnd w:id="44"/>
      <w:bookmarkEnd w:id="45"/>
      <w:bookmarkEnd w:id="46"/>
      <w:r>
        <w:rPr>
          <w:rFonts w:hint="eastAsia"/>
          <w:lang w:val="en-US" w:eastAsia="zh-CN"/>
        </w:rPr>
        <w:t>性能验收试验</w:t>
      </w:r>
      <w:bookmarkEnd w:id="47"/>
      <w:bookmarkEnd w:id="48"/>
    </w:p>
    <w:p w14:paraId="37824D06">
      <w:pPr>
        <w:rPr>
          <w:rFonts w:hint="eastAsia"/>
          <w:lang w:val="en-US" w:eastAsia="zh-CN"/>
        </w:rPr>
      </w:pPr>
      <w:r>
        <w:rPr>
          <w:rFonts w:hint="eastAsia"/>
          <w:lang w:val="en-US" w:eastAsia="zh-CN"/>
        </w:rPr>
        <w:t>合同产品由买方根据卖方提供的技术资料、检验标准、图纸及说明书进行安装。卖方应充分配合，提供技术指导，并采取一切必要措施，使合同产品尽快投入运行。安装过程发现合同产品存在缺陷的，卖方应按买方要求期限纠正，逾期未纠正的，按延迟交货处理。</w:t>
      </w:r>
    </w:p>
    <w:p w14:paraId="064E4864">
      <w:pPr>
        <w:rPr>
          <w:rFonts w:hint="eastAsia"/>
          <w:lang w:val="en-US" w:eastAsia="zh-CN"/>
        </w:rPr>
      </w:pPr>
      <w:r>
        <w:rPr>
          <w:rFonts w:hint="eastAsia"/>
          <w:lang w:val="en-US" w:eastAsia="zh-CN"/>
        </w:rPr>
        <w:t>合同产品安装完毕后，买方负责对合同产品进行调试（如需要），卖方应派人参加调试，并尽快解决出现的问题，所需时间不应超过30天（专用合同条款另有约定的除外），否则视同延迟交货处理。</w:t>
      </w:r>
    </w:p>
    <w:p w14:paraId="1D7B9B13">
      <w:pPr>
        <w:rPr>
          <w:rFonts w:hint="eastAsia"/>
          <w:lang w:val="en-US" w:eastAsia="zh-CN"/>
        </w:rPr>
      </w:pPr>
      <w:r>
        <w:rPr>
          <w:rFonts w:hint="eastAsia"/>
          <w:lang w:val="en-US" w:eastAsia="zh-CN"/>
        </w:rPr>
        <w:t>买方负责在合同产品安装完毕后按照约定对合同产品进行性能验收试验（如需要），以验证合同产品是否达到相关技术性能保证指标。卖方应按买方通知参加性能验收试验，未按时参加 的，买方可单独进行性能验收试验，试验结果视为已经卖方认可。</w:t>
      </w:r>
    </w:p>
    <w:p w14:paraId="07AC3AB9">
      <w:pPr>
        <w:rPr>
          <w:rFonts w:hint="eastAsia"/>
          <w:lang w:val="en-US" w:eastAsia="zh-CN"/>
        </w:rPr>
      </w:pPr>
      <w:r>
        <w:rPr>
          <w:rFonts w:hint="eastAsia"/>
          <w:lang w:val="en-US" w:eastAsia="zh-CN"/>
        </w:rPr>
        <w:t>性能验收试验完毕，合同产品达到本合同规定的各项性能保证值指标的，买方将在10天内向卖方签发合同产品性能验收证书或类似文件；合同产品未能达到合同规定的一项或多项保证指标的，如属卖方责任，应承担性能保证违约责任。如属买方责任，卖方应协助买方安排第二次性能验收试验，因此产生的所有费用由买方承担。</w:t>
      </w:r>
    </w:p>
    <w:p w14:paraId="7A368661">
      <w:pPr>
        <w:rPr>
          <w:rFonts w:hint="eastAsia"/>
          <w:lang w:val="en-US" w:eastAsia="zh-CN"/>
        </w:rPr>
      </w:pPr>
      <w:r>
        <w:rPr>
          <w:rFonts w:hint="eastAsia"/>
          <w:lang w:val="en-US" w:eastAsia="zh-CN"/>
        </w:rPr>
        <w:t>合同产品通过性能验收试验只是证明卖方所提供的合同产品的性能指标在进行试验时可以按合同要求予以接受，不能视为卖方对合同产品中存在的可能引起合同产品损坏的潜在缺陷所应负的责任的解除。</w:t>
      </w:r>
    </w:p>
    <w:p w14:paraId="5C876F58">
      <w:pPr>
        <w:rPr>
          <w:rFonts w:hint="eastAsia"/>
          <w:lang w:val="en-US" w:eastAsia="zh-CN"/>
        </w:rPr>
      </w:pPr>
      <w:r>
        <w:rPr>
          <w:rFonts w:hint="eastAsia"/>
          <w:lang w:val="en-US" w:eastAsia="zh-CN"/>
        </w:rPr>
        <w:t>潜在缺陷指正常情况下不能在制造过程中被发现的产品质量隐患，当发现合同产品存在潜在缺陷时（经双方确认或请第三方权威部门认定），卖方应按照合同约定进行纠正（修理或更换）。卖方对纠正合同产品潜在缺陷应负的责任，其时间应不短于质量保证期届满后三年。</w:t>
      </w:r>
    </w:p>
    <w:p w14:paraId="5AE14282">
      <w:pPr>
        <w:rPr>
          <w:rFonts w:hint="eastAsia"/>
          <w:lang w:val="en-US" w:eastAsia="zh-CN"/>
        </w:rPr>
      </w:pPr>
      <w:r>
        <w:rPr>
          <w:rFonts w:hint="eastAsia"/>
          <w:lang w:val="en-US" w:eastAsia="zh-CN"/>
        </w:rPr>
        <w:t>合同产品出现潜在缺陷的，卖方应在买方指定的日期内及时纠正。否则，买方有权委托第三方处理，由此而引起的费用由卖方承担。卖方对缺陷进行处理后，合同产品仍不能达到合同要求的，买方有权要求退货（合同另有约定时除外）。卖方应退还已收取的合同价款，并承担因此而发生的所有费用。</w:t>
      </w:r>
    </w:p>
    <w:p w14:paraId="0ECFA69D">
      <w:pPr>
        <w:rPr>
          <w:rFonts w:hint="eastAsia"/>
          <w:lang w:val="en-US" w:eastAsia="zh-CN"/>
        </w:rPr>
      </w:pPr>
      <w:r>
        <w:rPr>
          <w:rFonts w:hint="eastAsia"/>
          <w:lang w:val="en-US" w:eastAsia="zh-CN"/>
        </w:rPr>
        <w:t>卖方应对其参加合同产品安装、调试、性能验收试验的人员的安全负责，为其投保人身保险及卖方认为有必要的其他保险，费用含在合同价格中，不单独计列。</w:t>
      </w:r>
    </w:p>
    <w:bookmarkEnd w:id="49"/>
    <w:p w14:paraId="7EE46575">
      <w:pPr>
        <w:rPr>
          <w:rFonts w:hint="eastAsia"/>
          <w:lang w:val="en-US" w:eastAsia="zh-CN"/>
        </w:rPr>
      </w:pPr>
      <w:bookmarkStart w:id="50" w:name="_Toc63245618"/>
      <w:bookmarkStart w:id="51" w:name="_Toc374289817"/>
      <w:r>
        <w:rPr>
          <w:rFonts w:hint="eastAsia"/>
          <w:lang w:val="en-US" w:eastAsia="zh-CN"/>
        </w:rPr>
        <w:t>质量保证期</w:t>
      </w:r>
      <w:bookmarkEnd w:id="50"/>
      <w:bookmarkEnd w:id="51"/>
    </w:p>
    <w:p w14:paraId="6865B24F">
      <w:pPr>
        <w:rPr>
          <w:rFonts w:hint="eastAsia"/>
          <w:lang w:val="en-US" w:eastAsia="zh-CN"/>
        </w:rPr>
      </w:pPr>
      <w:r>
        <w:rPr>
          <w:rFonts w:hint="eastAsia"/>
          <w:lang w:val="en-US" w:eastAsia="zh-CN"/>
        </w:rPr>
        <w:t>合同产品的质量保证期为从合同产品通过性能验收试验之日起24个月，专用合同条款另有约定的除外。在质量保证期内，卖方应对由于设计和（或）制造缺陷而引起的合同产品的任何故障负责，包括但不限于修理、更换或退货等。</w:t>
      </w:r>
    </w:p>
    <w:p w14:paraId="50D78408">
      <w:pPr>
        <w:rPr>
          <w:rFonts w:hint="eastAsia"/>
          <w:lang w:val="en-US" w:eastAsia="zh-CN"/>
        </w:rPr>
      </w:pPr>
      <w:r>
        <w:rPr>
          <w:rFonts w:hint="eastAsia"/>
          <w:lang w:val="en-US" w:eastAsia="zh-CN"/>
        </w:rPr>
        <w:t>在质量保证期内，如发现卖方提供的合同产品存在缺陷，不符合合同约定时，买方可向卖方提出索赔。卖方应按买方要求自费进行修理、更换，或办理退货，给买方造成损失(包括但不限于检测、实验、专家咨询、运输、安装等费用)的并应赔偿买方的损失。卖方未按买方要求对有缺陷的合同产品进行修理、更换或办理退货的，买方有权自行或委托第三方对合同产品进行修理或更换，由此发生的所有费用均由卖方承担。</w:t>
      </w:r>
    </w:p>
    <w:p w14:paraId="264066BB">
      <w:pPr>
        <w:rPr>
          <w:rFonts w:hint="eastAsia"/>
          <w:lang w:val="en-US" w:eastAsia="zh-CN"/>
        </w:rPr>
      </w:pPr>
      <w:r>
        <w:rPr>
          <w:rFonts w:hint="eastAsia"/>
          <w:lang w:val="en-US" w:eastAsia="zh-CN"/>
        </w:rPr>
        <w:t>由于卖方责任需要修理、更换有缺陷的设备导致合同产品无法正常运行的，合同产品的质量保证期自缺陷消除后重新计算。如合同产品部件出现缺陷但不影响合同产品的正常运行，经维修或更换后的部件的质量保证期重新计算。</w:t>
      </w:r>
    </w:p>
    <w:p w14:paraId="5F74EA94">
      <w:pPr>
        <w:rPr>
          <w:rFonts w:hint="eastAsia"/>
          <w:lang w:val="en-US" w:eastAsia="zh-CN"/>
        </w:rPr>
      </w:pPr>
    </w:p>
    <w:p w14:paraId="22E1F80A">
      <w:pPr>
        <w:rPr>
          <w:rFonts w:hint="eastAsia"/>
          <w:lang w:val="en-US" w:eastAsia="zh-CN"/>
        </w:rPr>
      </w:pPr>
    </w:p>
    <w:p w14:paraId="1BD7BA2D">
      <w:pPr>
        <w:rPr>
          <w:rFonts w:hint="eastAsia"/>
          <w:lang w:val="en-US" w:eastAsia="zh-CN"/>
        </w:rPr>
      </w:pPr>
      <w:bookmarkStart w:id="52" w:name="_Toc374289819"/>
      <w:bookmarkStart w:id="53" w:name="_Toc338754699"/>
      <w:bookmarkStart w:id="54" w:name="_Toc63245620"/>
      <w:r>
        <w:rPr>
          <w:rFonts w:hint="eastAsia"/>
          <w:lang w:val="en-US" w:eastAsia="zh-CN"/>
        </w:rPr>
        <w:t>知识产权</w:t>
      </w:r>
      <w:bookmarkEnd w:id="52"/>
      <w:bookmarkEnd w:id="53"/>
      <w:bookmarkEnd w:id="54"/>
    </w:p>
    <w:p w14:paraId="05FBCED4">
      <w:pPr>
        <w:rPr>
          <w:rFonts w:hint="eastAsia"/>
          <w:lang w:val="en-US" w:eastAsia="zh-CN"/>
        </w:rPr>
      </w:pPr>
      <w:bookmarkStart w:id="55" w:name="_Toc331768293"/>
      <w:r>
        <w:rPr>
          <w:rFonts w:hint="eastAsia"/>
          <w:lang w:val="en-US" w:eastAsia="zh-CN"/>
        </w:rPr>
        <w:t>买方提供给卖方的所有文件、资料、模型、样品和/或设计中所涉及的知识产权归买方所有，在买方提出要求时，卖方应将上述项目全部归还给买方。</w:t>
      </w:r>
      <w:bookmarkEnd w:id="55"/>
    </w:p>
    <w:p w14:paraId="2A8A8423">
      <w:pPr>
        <w:rPr>
          <w:rFonts w:hint="eastAsia"/>
          <w:lang w:val="en-US" w:eastAsia="zh-CN"/>
        </w:rPr>
      </w:pPr>
      <w:bookmarkStart w:id="56" w:name="_Toc331768294"/>
      <w:r>
        <w:rPr>
          <w:rFonts w:hint="eastAsia"/>
          <w:lang w:val="en-US" w:eastAsia="zh-CN"/>
        </w:rPr>
        <w:t>如果合同产品是根据买方提供的文件、资料、模型、样品和/或设计进行制造的，则合同产品所包含的与上述文件、资料、模型、样品和/或设计相关的知识产权及后续改进和发展归买方所有。</w:t>
      </w:r>
      <w:bookmarkEnd w:id="56"/>
    </w:p>
    <w:p w14:paraId="3F5E2BAE">
      <w:pPr>
        <w:rPr>
          <w:rFonts w:hint="eastAsia"/>
          <w:lang w:val="en-US" w:eastAsia="zh-CN"/>
        </w:rPr>
      </w:pPr>
      <w:bookmarkStart w:id="57" w:name="_Toc331768295"/>
      <w:r>
        <w:rPr>
          <w:rFonts w:hint="eastAsia"/>
          <w:lang w:val="en-US" w:eastAsia="zh-CN"/>
        </w:rPr>
        <w:t>卖方应保证所交付的合同产品及相关文件资料无知识产权纠纷；保证买方在使用该合同产品文件资料时，免受第三方提出的侵犯其专利权、商标权、著作权或其它知识产权的索赔。如果卖方提供的合同产品或者文件资料侵犯了第三方的知识产权，卖方应承担全部责任，包括但不限于由此给买方造成的所有损失，并承担违约责任。</w:t>
      </w:r>
      <w:bookmarkEnd w:id="57"/>
    </w:p>
    <w:p w14:paraId="743644A2">
      <w:pPr>
        <w:rPr>
          <w:rFonts w:hint="eastAsia"/>
          <w:lang w:val="en-US" w:eastAsia="zh-CN"/>
        </w:rPr>
      </w:pPr>
      <w:r>
        <w:rPr>
          <w:rFonts w:hint="eastAsia"/>
          <w:lang w:val="en-US" w:eastAsia="zh-CN"/>
        </w:rPr>
        <w:t>买方因卖方提交的合同产品或文件资料而受到知识产权侵权指控时，可索扣卖方提交的履约保证金及暂停支付所有应支付的合同费用，直到侵权指控被撤销且买方确认无潜在纠纷之日为止。</w:t>
      </w:r>
    </w:p>
    <w:p w14:paraId="2B218827">
      <w:pPr>
        <w:rPr>
          <w:rFonts w:hint="eastAsia"/>
          <w:lang w:val="en-US" w:eastAsia="zh-CN"/>
        </w:rPr>
      </w:pPr>
      <w:bookmarkStart w:id="58" w:name="_Toc374289820"/>
      <w:bookmarkStart w:id="59" w:name="_Toc63245621"/>
      <w:r>
        <w:rPr>
          <w:rFonts w:hint="eastAsia"/>
          <w:lang w:val="en-US" w:eastAsia="zh-CN"/>
        </w:rPr>
        <w:t>保密</w:t>
      </w:r>
      <w:bookmarkEnd w:id="58"/>
      <w:bookmarkEnd w:id="59"/>
    </w:p>
    <w:p w14:paraId="07F2BA68">
      <w:pPr>
        <w:rPr>
          <w:rFonts w:hint="eastAsia"/>
          <w:lang w:val="en-US" w:eastAsia="zh-CN"/>
        </w:rPr>
      </w:pPr>
      <w:r>
        <w:rPr>
          <w:rFonts w:hint="eastAsia"/>
          <w:lang w:val="en-US" w:eastAsia="zh-CN"/>
        </w:rPr>
        <w:t>卖方对本合同内容、买方提交的文件资料以及所了解到的买方的技术信息、经营信息、商业秘密等尚未公开的信息负有保密义务。未经买方书面同意，卖方不得将上述资料、信息泄露给任何第三方或用于本合同以外的其他目的。</w:t>
      </w:r>
    </w:p>
    <w:p w14:paraId="00CEF799">
      <w:pPr>
        <w:rPr>
          <w:rFonts w:hint="eastAsia"/>
          <w:lang w:val="en-US" w:eastAsia="zh-CN"/>
        </w:rPr>
      </w:pPr>
      <w:r>
        <w:rPr>
          <w:rFonts w:hint="eastAsia"/>
          <w:lang w:val="en-US" w:eastAsia="zh-CN"/>
        </w:rPr>
        <w:t>卖方在本合同项下的保密义务至相关资料或信息正式向社会公开之日或买方书面解除卖方的保密义务之日终止。</w:t>
      </w:r>
    </w:p>
    <w:p w14:paraId="105D677B">
      <w:pPr>
        <w:rPr>
          <w:rFonts w:hint="eastAsia"/>
          <w:lang w:val="en-US" w:eastAsia="zh-CN"/>
        </w:rPr>
      </w:pPr>
      <w:r>
        <w:rPr>
          <w:rFonts w:hint="eastAsia"/>
          <w:lang w:val="en-US" w:eastAsia="zh-CN"/>
        </w:rPr>
        <w:t>卖方违反保密义务的，应赔偿因此给买方造成的损失，并承担违约责任。</w:t>
      </w:r>
    </w:p>
    <w:p w14:paraId="55FCB643">
      <w:pPr>
        <w:rPr>
          <w:rFonts w:hint="eastAsia"/>
          <w:lang w:val="en-US" w:eastAsia="zh-CN"/>
        </w:rPr>
      </w:pPr>
      <w:r>
        <w:rPr>
          <w:rFonts w:hint="eastAsia"/>
          <w:lang w:val="en-US" w:eastAsia="zh-CN"/>
        </w:rPr>
        <w:t>买卖双方可就保密事项签订保密协议，保密协议作为本合同附件。</w:t>
      </w:r>
    </w:p>
    <w:p w14:paraId="10CD2D87">
      <w:pPr>
        <w:rPr>
          <w:rFonts w:hint="eastAsia"/>
          <w:lang w:val="en-US" w:eastAsia="zh-CN"/>
        </w:rPr>
      </w:pPr>
    </w:p>
    <w:p w14:paraId="1E5E1418">
      <w:pPr>
        <w:rPr>
          <w:rFonts w:hint="eastAsia"/>
          <w:lang w:val="en-US" w:eastAsia="zh-CN"/>
        </w:rPr>
      </w:pPr>
      <w:r>
        <w:rPr>
          <w:rFonts w:hint="eastAsia"/>
          <w:lang w:val="en-US" w:eastAsia="zh-CN"/>
        </w:rPr>
        <w:t xml:space="preserve">卖方应提供的文件及资料 </w:t>
      </w:r>
    </w:p>
    <w:p w14:paraId="3547B200">
      <w:pPr>
        <w:rPr>
          <w:rFonts w:hint="eastAsia"/>
          <w:lang w:val="en-US" w:eastAsia="zh-CN"/>
        </w:rPr>
      </w:pPr>
      <w:r>
        <w:rPr>
          <w:rFonts w:hint="eastAsia"/>
          <w:lang w:val="en-US" w:eastAsia="zh-CN"/>
        </w:rPr>
        <w:t>5.3.1.卖方在合同签订后25天向买方提供设计方案；卖方在方案评审后10个工作日向买方提供设备基础图、设备平面布置图、设备外部接口条件；卖方在合同签订后1个月内向买方提供设备安装指南；卖方在源地验收前一周向买方提供源地验收大纲和调试大纲，提交买方审核后实施。其他随机资料按照技术协议相关规定执行。</w:t>
      </w:r>
    </w:p>
    <w:p w14:paraId="4E9B37FE">
      <w:pPr>
        <w:rPr>
          <w:rFonts w:hint="eastAsia"/>
          <w:lang w:val="en-US" w:eastAsia="zh-CN"/>
        </w:rPr>
      </w:pPr>
      <w:r>
        <w:rPr>
          <w:rFonts w:hint="eastAsia"/>
          <w:lang w:val="en-US" w:eastAsia="zh-CN"/>
        </w:rPr>
        <w:t>5.3.2.设备随机资料按照技术协议相关规定执行。随机资料要填写完整，字迹清楚、图样清晰，符号、代号、计量单位符合标准化要求，签署齐全。</w:t>
      </w:r>
    </w:p>
    <w:p w14:paraId="197CDED3">
      <w:pPr>
        <w:rPr>
          <w:rFonts w:hint="eastAsia"/>
          <w:lang w:val="en-US" w:eastAsia="zh-CN"/>
        </w:rPr>
      </w:pPr>
      <w:r>
        <w:rPr>
          <w:rFonts w:hint="eastAsia"/>
          <w:lang w:val="en-US" w:eastAsia="zh-CN"/>
        </w:rPr>
        <w:t>5.3.3.设备配置的仪器仪表及安全装置，附带国防科技工业专业计量站或国防科技工业区域计量站出具的检定或校准证书。</w:t>
      </w:r>
    </w:p>
    <w:p w14:paraId="28EB77B3">
      <w:pPr>
        <w:rPr>
          <w:rFonts w:hint="eastAsia"/>
          <w:lang w:val="en-US" w:eastAsia="zh-CN"/>
        </w:rPr>
      </w:pPr>
      <w:r>
        <w:rPr>
          <w:rFonts w:hint="eastAsia"/>
          <w:lang w:val="en-US" w:eastAsia="zh-CN"/>
        </w:rPr>
        <w:t>5.3.4.随机工具清单。</w:t>
      </w:r>
    </w:p>
    <w:p w14:paraId="2A038D3A">
      <w:pPr>
        <w:rPr>
          <w:rFonts w:hint="eastAsia"/>
          <w:lang w:val="en-US" w:eastAsia="zh-CN"/>
        </w:rPr>
      </w:pPr>
      <w:r>
        <w:rPr>
          <w:rFonts w:hint="eastAsia"/>
          <w:lang w:val="en-US" w:eastAsia="zh-CN"/>
        </w:rPr>
        <w:t>5.3.5.文件资料数量按照技术协议相关规定执行。</w:t>
      </w:r>
    </w:p>
    <w:p w14:paraId="6E37F6BD">
      <w:pPr>
        <w:rPr>
          <w:rFonts w:hint="eastAsia"/>
          <w:lang w:val="en-US" w:eastAsia="zh-CN"/>
        </w:rPr>
      </w:pPr>
      <w:r>
        <w:rPr>
          <w:rFonts w:hint="eastAsia"/>
          <w:lang w:val="en-US" w:eastAsia="zh-CN"/>
        </w:rPr>
        <w:t>5.3.6.设备随机资料必须单独包装，可提前邮寄，设备到货的同时要有随机资料，资料未随设备到达现场的，按第21条违约责任与赔偿执行。</w:t>
      </w:r>
    </w:p>
    <w:p w14:paraId="451F1B7D">
      <w:pPr>
        <w:rPr>
          <w:rFonts w:hint="eastAsia"/>
          <w:lang w:val="en-US" w:eastAsia="zh-CN"/>
        </w:rPr>
      </w:pPr>
      <w:r>
        <w:rPr>
          <w:rFonts w:hint="eastAsia"/>
          <w:lang w:val="en-US" w:eastAsia="zh-CN"/>
        </w:rPr>
        <w:t>5.9.卖方应在合同产品发运日__5__天前，向买方提供装箱清单__1__份。</w:t>
      </w:r>
    </w:p>
    <w:p w14:paraId="3672E62B">
      <w:pPr>
        <w:rPr>
          <w:rFonts w:hint="eastAsia"/>
          <w:lang w:val="en-US" w:eastAsia="zh-CN"/>
        </w:rPr>
      </w:pPr>
    </w:p>
    <w:p w14:paraId="2127C895">
      <w:pPr>
        <w:pStyle w:val="5"/>
        <w:numPr>
          <w:ilvl w:val="0"/>
          <w:numId w:val="0"/>
        </w:numPr>
        <w:outlineLvl w:val="1"/>
        <w:rPr>
          <w:rFonts w:hint="default"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附件2《  价格明细表》此表抄录即可，具体价格最后填写即可</w:t>
      </w:r>
    </w:p>
    <w:tbl>
      <w:tblPr>
        <w:tblStyle w:val="2"/>
        <w:tblW w:w="10130" w:type="dxa"/>
        <w:jc w:val="center"/>
        <w:tblLayout w:type="fixed"/>
        <w:tblCellMar>
          <w:top w:w="0" w:type="dxa"/>
          <w:left w:w="0" w:type="dxa"/>
          <w:bottom w:w="0" w:type="dxa"/>
          <w:right w:w="0" w:type="dxa"/>
        </w:tblCellMar>
      </w:tblPr>
      <w:tblGrid>
        <w:gridCol w:w="993"/>
        <w:gridCol w:w="739"/>
        <w:gridCol w:w="1342"/>
        <w:gridCol w:w="754"/>
        <w:gridCol w:w="851"/>
        <w:gridCol w:w="1514"/>
        <w:gridCol w:w="994"/>
        <w:gridCol w:w="945"/>
        <w:gridCol w:w="1998"/>
      </w:tblGrid>
      <w:tr w14:paraId="73C17C98">
        <w:tblPrEx>
          <w:tblCellMar>
            <w:top w:w="0" w:type="dxa"/>
            <w:left w:w="0" w:type="dxa"/>
            <w:bottom w:w="0" w:type="dxa"/>
            <w:right w:w="0" w:type="dxa"/>
          </w:tblCellMar>
        </w:tblPrEx>
        <w:trPr>
          <w:trHeight w:val="978" w:hRule="exact"/>
          <w:jc w:val="center"/>
        </w:trPr>
        <w:tc>
          <w:tcPr>
            <w:tcW w:w="993" w:type="dxa"/>
            <w:tcBorders>
              <w:top w:val="single" w:color="000000" w:sz="4" w:space="0"/>
              <w:left w:val="single" w:color="000000" w:sz="4" w:space="0"/>
              <w:bottom w:val="single" w:color="000000" w:sz="4" w:space="0"/>
              <w:right w:val="single" w:color="000000" w:sz="4" w:space="0"/>
            </w:tcBorders>
            <w:vAlign w:val="center"/>
          </w:tcPr>
          <w:p w14:paraId="5B65B0F8">
            <w:pPr>
              <w:keepNext w:val="0"/>
              <w:keepLines w:val="0"/>
              <w:suppressLineNumbers w:val="0"/>
              <w:autoSpaceDE w:val="0"/>
              <w:autoSpaceDN w:val="0"/>
              <w:adjustRightInd w:val="0"/>
              <w:spacing w:before="0" w:beforeAutospacing="0" w:after="0" w:afterAutospacing="0"/>
              <w:ind w:left="136" w:right="-20" w:firstLine="0" w:firstLineChars="0"/>
              <w:jc w:val="center"/>
              <w:rPr>
                <w:rFonts w:hint="default" w:ascii="Times New Roman" w:hAnsi="Times New Roman" w:eastAsia="宋体" w:cs="Times New Roman"/>
                <w:b w:val="0"/>
                <w:bCs w:val="0"/>
                <w:kern w:val="2"/>
                <w:sz w:val="21"/>
                <w:szCs w:val="24"/>
                <w:lang w:val="en-US" w:eastAsia="zh-CN" w:bidi="ar-SA"/>
              </w:rPr>
            </w:pPr>
            <w:r>
              <w:rPr>
                <w:rFonts w:hint="default" w:ascii="Times New Roman" w:hAnsi="Times New Roman" w:eastAsia="宋体" w:cs="Times New Roman"/>
                <w:b w:val="0"/>
                <w:bCs w:val="0"/>
                <w:kern w:val="2"/>
                <w:sz w:val="21"/>
                <w:szCs w:val="24"/>
                <w:lang w:val="en-US" w:eastAsia="zh-CN" w:bidi="ar-SA"/>
              </w:rPr>
              <w:t>序号</w:t>
            </w:r>
          </w:p>
        </w:tc>
        <w:tc>
          <w:tcPr>
            <w:tcW w:w="2081" w:type="dxa"/>
            <w:gridSpan w:val="2"/>
            <w:tcBorders>
              <w:top w:val="single" w:color="000000" w:sz="4" w:space="0"/>
              <w:left w:val="single" w:color="000000" w:sz="4" w:space="0"/>
              <w:bottom w:val="single" w:color="000000" w:sz="4" w:space="0"/>
              <w:right w:val="single" w:color="000000" w:sz="4" w:space="0"/>
            </w:tcBorders>
            <w:vAlign w:val="center"/>
          </w:tcPr>
          <w:p w14:paraId="3DB097E8">
            <w:pPr>
              <w:keepNext w:val="0"/>
              <w:keepLines w:val="0"/>
              <w:suppressLineNumbers w:val="0"/>
              <w:autoSpaceDE w:val="0"/>
              <w:autoSpaceDN w:val="0"/>
              <w:adjustRightInd w:val="0"/>
              <w:spacing w:before="0" w:beforeAutospacing="0" w:after="0" w:afterAutospacing="0"/>
              <w:ind w:left="0" w:right="-20" w:firstLine="0" w:firstLineChars="0"/>
              <w:jc w:val="center"/>
              <w:rPr>
                <w:rFonts w:hint="default" w:ascii="Times New Roman" w:hAnsi="Times New Roman" w:eastAsia="宋体" w:cs="Times New Roman"/>
                <w:b w:val="0"/>
                <w:bCs w:val="0"/>
                <w:kern w:val="2"/>
                <w:sz w:val="21"/>
                <w:szCs w:val="24"/>
                <w:lang w:val="en-US" w:eastAsia="zh-CN" w:bidi="ar-SA"/>
              </w:rPr>
            </w:pPr>
            <w:r>
              <w:rPr>
                <w:rFonts w:hint="default" w:ascii="Times New Roman" w:hAnsi="Times New Roman" w:eastAsia="宋体" w:cs="Times New Roman"/>
                <w:b w:val="0"/>
                <w:bCs w:val="0"/>
                <w:kern w:val="2"/>
                <w:sz w:val="21"/>
                <w:szCs w:val="24"/>
                <w:lang w:val="en-US" w:eastAsia="zh-CN" w:bidi="ar-SA"/>
              </w:rPr>
              <w:t>分项名称</w:t>
            </w:r>
          </w:p>
        </w:tc>
        <w:tc>
          <w:tcPr>
            <w:tcW w:w="754" w:type="dxa"/>
            <w:tcBorders>
              <w:top w:val="single" w:color="000000" w:sz="4" w:space="0"/>
              <w:left w:val="single" w:color="000000" w:sz="4" w:space="0"/>
              <w:bottom w:val="single" w:color="000000" w:sz="4" w:space="0"/>
              <w:right w:val="single" w:color="000000" w:sz="4" w:space="0"/>
            </w:tcBorders>
            <w:vAlign w:val="center"/>
          </w:tcPr>
          <w:p w14:paraId="434B6F00">
            <w:pPr>
              <w:keepNext w:val="0"/>
              <w:keepLines w:val="0"/>
              <w:suppressLineNumbers w:val="0"/>
              <w:autoSpaceDE w:val="0"/>
              <w:autoSpaceDN w:val="0"/>
              <w:adjustRightInd w:val="0"/>
              <w:spacing w:before="0" w:beforeAutospacing="0" w:after="0" w:afterAutospacing="0"/>
              <w:ind w:left="0" w:right="-20" w:firstLine="0" w:firstLineChars="0"/>
              <w:jc w:val="center"/>
              <w:rPr>
                <w:rFonts w:hint="default" w:ascii="Times New Roman" w:hAnsi="Times New Roman" w:eastAsia="宋体" w:cs="Times New Roman"/>
                <w:b w:val="0"/>
                <w:bCs w:val="0"/>
                <w:kern w:val="2"/>
                <w:sz w:val="21"/>
                <w:szCs w:val="24"/>
                <w:lang w:val="en-US" w:eastAsia="zh-CN" w:bidi="ar-SA"/>
              </w:rPr>
            </w:pPr>
            <w:r>
              <w:rPr>
                <w:rFonts w:hint="default" w:ascii="Times New Roman" w:hAnsi="Times New Roman" w:eastAsia="宋体" w:cs="Times New Roman"/>
                <w:b w:val="0"/>
                <w:bCs w:val="0"/>
                <w:kern w:val="2"/>
                <w:sz w:val="21"/>
                <w:szCs w:val="24"/>
                <w:lang w:val="en-US" w:eastAsia="zh-CN" w:bidi="ar-SA"/>
              </w:rPr>
              <w:t>单位</w:t>
            </w:r>
          </w:p>
        </w:tc>
        <w:tc>
          <w:tcPr>
            <w:tcW w:w="851" w:type="dxa"/>
            <w:tcBorders>
              <w:top w:val="single" w:color="000000" w:sz="4" w:space="0"/>
              <w:left w:val="single" w:color="000000" w:sz="4" w:space="0"/>
              <w:bottom w:val="single" w:color="000000" w:sz="4" w:space="0"/>
              <w:right w:val="single" w:color="000000" w:sz="4" w:space="0"/>
            </w:tcBorders>
            <w:vAlign w:val="center"/>
          </w:tcPr>
          <w:p w14:paraId="0F4BBDBF">
            <w:pPr>
              <w:keepNext w:val="0"/>
              <w:keepLines w:val="0"/>
              <w:suppressLineNumbers w:val="0"/>
              <w:autoSpaceDE w:val="0"/>
              <w:autoSpaceDN w:val="0"/>
              <w:adjustRightInd w:val="0"/>
              <w:spacing w:before="0" w:beforeAutospacing="0" w:after="0" w:afterAutospacing="0"/>
              <w:ind w:left="0" w:right="-20" w:firstLine="0" w:firstLineChars="0"/>
              <w:jc w:val="center"/>
              <w:rPr>
                <w:rFonts w:hint="default" w:ascii="Times New Roman" w:hAnsi="Times New Roman" w:eastAsia="宋体" w:cs="Times New Roman"/>
                <w:b w:val="0"/>
                <w:bCs w:val="0"/>
                <w:kern w:val="2"/>
                <w:sz w:val="21"/>
                <w:szCs w:val="24"/>
                <w:lang w:val="en-US" w:eastAsia="zh-CN" w:bidi="ar-SA"/>
              </w:rPr>
            </w:pPr>
            <w:r>
              <w:rPr>
                <w:rFonts w:hint="default" w:ascii="Times New Roman" w:hAnsi="Times New Roman" w:eastAsia="宋体" w:cs="Times New Roman"/>
                <w:b w:val="0"/>
                <w:bCs w:val="0"/>
                <w:kern w:val="2"/>
                <w:sz w:val="21"/>
                <w:szCs w:val="24"/>
                <w:lang w:val="en-US" w:eastAsia="zh-CN" w:bidi="ar-SA"/>
              </w:rPr>
              <w:t>数量</w:t>
            </w:r>
          </w:p>
        </w:tc>
        <w:tc>
          <w:tcPr>
            <w:tcW w:w="1514" w:type="dxa"/>
            <w:tcBorders>
              <w:top w:val="single" w:color="000000" w:sz="4" w:space="0"/>
              <w:left w:val="single" w:color="000000" w:sz="4" w:space="0"/>
              <w:bottom w:val="single" w:color="000000" w:sz="4" w:space="0"/>
              <w:right w:val="single" w:color="000000" w:sz="4" w:space="0"/>
            </w:tcBorders>
            <w:vAlign w:val="center"/>
          </w:tcPr>
          <w:p w14:paraId="3C47B6C9">
            <w:pPr>
              <w:keepNext w:val="0"/>
              <w:keepLines w:val="0"/>
              <w:suppressLineNumbers w:val="0"/>
              <w:autoSpaceDE w:val="0"/>
              <w:autoSpaceDN w:val="0"/>
              <w:adjustRightInd w:val="0"/>
              <w:spacing w:before="0" w:beforeAutospacing="0" w:after="0" w:afterAutospacing="0"/>
              <w:ind w:left="0" w:right="-23" w:firstLine="0" w:firstLineChars="0"/>
              <w:jc w:val="center"/>
              <w:rPr>
                <w:rFonts w:hint="default" w:ascii="Times New Roman" w:hAnsi="Times New Roman" w:eastAsia="宋体" w:cs="Times New Roman"/>
                <w:b w:val="0"/>
                <w:bCs w:val="0"/>
                <w:kern w:val="2"/>
                <w:sz w:val="21"/>
                <w:szCs w:val="24"/>
                <w:lang w:val="en-US" w:eastAsia="zh-CN" w:bidi="ar-SA"/>
              </w:rPr>
            </w:pPr>
            <w:r>
              <w:rPr>
                <w:rFonts w:hint="default" w:ascii="Times New Roman" w:hAnsi="Times New Roman" w:eastAsia="宋体" w:cs="Times New Roman"/>
                <w:b w:val="0"/>
                <w:bCs w:val="0"/>
                <w:kern w:val="2"/>
                <w:sz w:val="21"/>
                <w:szCs w:val="24"/>
                <w:lang w:val="en-US" w:eastAsia="zh-CN" w:bidi="ar-SA"/>
              </w:rPr>
              <w:t>硬件（响应参数、规格或品牌）</w:t>
            </w:r>
          </w:p>
        </w:tc>
        <w:tc>
          <w:tcPr>
            <w:tcW w:w="994" w:type="dxa"/>
            <w:tcBorders>
              <w:top w:val="single" w:color="000000" w:sz="4" w:space="0"/>
              <w:left w:val="single" w:color="000000" w:sz="4" w:space="0"/>
              <w:bottom w:val="single" w:color="000000" w:sz="4" w:space="0"/>
              <w:right w:val="single" w:color="000000" w:sz="4" w:space="0"/>
            </w:tcBorders>
            <w:vAlign w:val="center"/>
          </w:tcPr>
          <w:p w14:paraId="71AC291F">
            <w:pPr>
              <w:keepNext w:val="0"/>
              <w:keepLines w:val="0"/>
              <w:suppressLineNumbers w:val="0"/>
              <w:autoSpaceDE w:val="0"/>
              <w:autoSpaceDN w:val="0"/>
              <w:adjustRightInd w:val="0"/>
              <w:spacing w:before="0" w:beforeAutospacing="0" w:after="0" w:afterAutospacing="0"/>
              <w:ind w:left="0" w:right="-20" w:firstLine="0" w:firstLineChars="0"/>
              <w:jc w:val="center"/>
              <w:rPr>
                <w:rFonts w:hint="default" w:ascii="Times New Roman" w:hAnsi="Times New Roman" w:eastAsia="宋体" w:cs="Times New Roman"/>
                <w:b w:val="0"/>
                <w:bCs w:val="0"/>
                <w:kern w:val="2"/>
                <w:sz w:val="21"/>
                <w:szCs w:val="24"/>
                <w:lang w:val="en-US" w:eastAsia="zh-CN" w:bidi="ar-SA"/>
              </w:rPr>
            </w:pPr>
            <w:r>
              <w:rPr>
                <w:rFonts w:hint="default" w:ascii="Times New Roman" w:hAnsi="Times New Roman" w:eastAsia="宋体" w:cs="Times New Roman"/>
                <w:b w:val="0"/>
                <w:bCs w:val="0"/>
                <w:kern w:val="2"/>
                <w:sz w:val="21"/>
                <w:szCs w:val="24"/>
                <w:lang w:val="en-US" w:eastAsia="zh-CN" w:bidi="ar-SA"/>
              </w:rPr>
              <w:t>单价</w:t>
            </w:r>
          </w:p>
        </w:tc>
        <w:tc>
          <w:tcPr>
            <w:tcW w:w="945" w:type="dxa"/>
            <w:tcBorders>
              <w:top w:val="single" w:color="000000" w:sz="4" w:space="0"/>
              <w:left w:val="single" w:color="000000" w:sz="4" w:space="0"/>
              <w:bottom w:val="single" w:color="000000" w:sz="4" w:space="0"/>
              <w:right w:val="single" w:color="000000" w:sz="4" w:space="0"/>
            </w:tcBorders>
            <w:vAlign w:val="center"/>
          </w:tcPr>
          <w:p w14:paraId="519092D0">
            <w:pPr>
              <w:keepNext w:val="0"/>
              <w:keepLines w:val="0"/>
              <w:suppressLineNumbers w:val="0"/>
              <w:autoSpaceDE w:val="0"/>
              <w:autoSpaceDN w:val="0"/>
              <w:adjustRightInd w:val="0"/>
              <w:spacing w:before="0" w:beforeAutospacing="0" w:after="0" w:afterAutospacing="0"/>
              <w:ind w:left="0" w:right="-20" w:firstLine="0" w:firstLineChars="0"/>
              <w:jc w:val="center"/>
              <w:rPr>
                <w:rFonts w:hint="default" w:ascii="Times New Roman" w:hAnsi="Times New Roman" w:eastAsia="宋体" w:cs="Times New Roman"/>
                <w:b w:val="0"/>
                <w:bCs w:val="0"/>
                <w:kern w:val="2"/>
                <w:sz w:val="21"/>
                <w:szCs w:val="24"/>
                <w:lang w:val="en-US" w:eastAsia="zh-CN" w:bidi="ar-SA"/>
              </w:rPr>
            </w:pPr>
            <w:r>
              <w:rPr>
                <w:rFonts w:hint="default" w:ascii="Times New Roman" w:hAnsi="Times New Roman" w:eastAsia="宋体" w:cs="Times New Roman"/>
                <w:b w:val="0"/>
                <w:bCs w:val="0"/>
                <w:kern w:val="2"/>
                <w:sz w:val="21"/>
                <w:szCs w:val="24"/>
                <w:lang w:val="en-US" w:eastAsia="zh-CN" w:bidi="ar-SA"/>
              </w:rPr>
              <w:t>总价</w:t>
            </w:r>
          </w:p>
        </w:tc>
        <w:tc>
          <w:tcPr>
            <w:tcW w:w="1998" w:type="dxa"/>
            <w:tcBorders>
              <w:top w:val="single" w:color="000000" w:sz="4" w:space="0"/>
              <w:left w:val="single" w:color="000000" w:sz="4" w:space="0"/>
              <w:bottom w:val="single" w:color="000000" w:sz="4" w:space="0"/>
              <w:right w:val="single" w:color="000000" w:sz="4" w:space="0"/>
            </w:tcBorders>
            <w:vAlign w:val="center"/>
          </w:tcPr>
          <w:p w14:paraId="005F4AEB">
            <w:pPr>
              <w:keepNext w:val="0"/>
              <w:keepLines w:val="0"/>
              <w:suppressLineNumbers w:val="0"/>
              <w:autoSpaceDE w:val="0"/>
              <w:autoSpaceDN w:val="0"/>
              <w:adjustRightInd w:val="0"/>
              <w:spacing w:before="0" w:beforeAutospacing="0" w:after="0" w:afterAutospacing="0"/>
              <w:ind w:left="0" w:right="-20" w:firstLine="0" w:firstLineChars="0"/>
              <w:jc w:val="center"/>
              <w:rPr>
                <w:rFonts w:hint="default" w:ascii="Times New Roman" w:hAnsi="Times New Roman" w:eastAsia="宋体" w:cs="Times New Roman"/>
                <w:b w:val="0"/>
                <w:bCs w:val="0"/>
                <w:kern w:val="2"/>
                <w:sz w:val="21"/>
                <w:szCs w:val="24"/>
                <w:lang w:val="en-US" w:eastAsia="zh-CN" w:bidi="ar-SA"/>
              </w:rPr>
            </w:pPr>
            <w:r>
              <w:rPr>
                <w:rFonts w:hint="default" w:ascii="Times New Roman" w:hAnsi="Times New Roman" w:eastAsia="宋体" w:cs="Times New Roman"/>
                <w:b w:val="0"/>
                <w:bCs w:val="0"/>
                <w:kern w:val="2"/>
                <w:sz w:val="21"/>
                <w:szCs w:val="24"/>
                <w:lang w:val="en-US" w:eastAsia="zh-CN" w:bidi="ar-SA"/>
              </w:rPr>
              <w:t>备注</w:t>
            </w:r>
          </w:p>
        </w:tc>
      </w:tr>
      <w:tr w14:paraId="0DBED3CC">
        <w:tblPrEx>
          <w:tblCellMar>
            <w:top w:w="0" w:type="dxa"/>
            <w:left w:w="0" w:type="dxa"/>
            <w:bottom w:w="0" w:type="dxa"/>
            <w:right w:w="0" w:type="dxa"/>
          </w:tblCellMar>
        </w:tblPrEx>
        <w:trPr>
          <w:trHeight w:val="638" w:hRule="exact"/>
          <w:jc w:val="center"/>
        </w:trPr>
        <w:tc>
          <w:tcPr>
            <w:tcW w:w="993" w:type="dxa"/>
            <w:tcBorders>
              <w:top w:val="single" w:color="000000" w:sz="4" w:space="0"/>
              <w:left w:val="single" w:color="000000" w:sz="4" w:space="0"/>
              <w:bottom w:val="single" w:color="000000" w:sz="4" w:space="0"/>
              <w:right w:val="single" w:color="000000" w:sz="4" w:space="0"/>
            </w:tcBorders>
            <w:vAlign w:val="center"/>
          </w:tcPr>
          <w:p w14:paraId="357706F3">
            <w:pPr>
              <w:keepNext w:val="0"/>
              <w:keepLines w:val="0"/>
              <w:suppressLineNumbers w:val="0"/>
              <w:autoSpaceDE w:val="0"/>
              <w:autoSpaceDN w:val="0"/>
              <w:adjustRightInd w:val="0"/>
              <w:spacing w:before="0" w:beforeAutospacing="0" w:after="0" w:afterAutospacing="0"/>
              <w:ind w:left="136" w:right="-20" w:firstLine="0" w:firstLineChars="0"/>
              <w:jc w:val="center"/>
              <w:rPr>
                <w:rFonts w:hint="default" w:ascii="Times New Roman" w:hAnsi="Times New Roman" w:eastAsia="宋体" w:cs="Times New Roman"/>
                <w:b w:val="0"/>
                <w:bCs w:val="0"/>
                <w:kern w:val="2"/>
                <w:sz w:val="21"/>
                <w:szCs w:val="24"/>
                <w:lang w:val="en-US" w:eastAsia="zh-CN" w:bidi="ar-SA"/>
              </w:rPr>
            </w:pPr>
            <w:r>
              <w:rPr>
                <w:rFonts w:hint="default" w:ascii="Times New Roman" w:hAnsi="Times New Roman" w:eastAsia="宋体" w:cs="Times New Roman"/>
                <w:b w:val="0"/>
                <w:bCs w:val="0"/>
                <w:kern w:val="2"/>
                <w:sz w:val="21"/>
                <w:szCs w:val="24"/>
                <w:lang w:val="en-US" w:eastAsia="zh-CN" w:bidi="ar-SA"/>
              </w:rPr>
              <w:t>1</w:t>
            </w:r>
          </w:p>
        </w:tc>
        <w:tc>
          <w:tcPr>
            <w:tcW w:w="2081" w:type="dxa"/>
            <w:gridSpan w:val="2"/>
            <w:tcBorders>
              <w:top w:val="single" w:color="000000" w:sz="4" w:space="0"/>
              <w:left w:val="single" w:color="000000" w:sz="4" w:space="0"/>
              <w:bottom w:val="single" w:color="000000" w:sz="4" w:space="0"/>
              <w:right w:val="single" w:color="000000" w:sz="4" w:space="0"/>
            </w:tcBorders>
            <w:vAlign w:val="center"/>
          </w:tcPr>
          <w:p w14:paraId="7AB261A2">
            <w:pPr>
              <w:keepNext w:val="0"/>
              <w:keepLines w:val="0"/>
              <w:suppressLineNumbers w:val="0"/>
              <w:autoSpaceDE w:val="0"/>
              <w:autoSpaceDN w:val="0"/>
              <w:adjustRightInd w:val="0"/>
              <w:spacing w:before="0" w:beforeAutospacing="0" w:after="0" w:afterAutospacing="0"/>
              <w:ind w:left="136" w:right="-20" w:firstLine="0" w:firstLineChars="0"/>
              <w:jc w:val="cente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 xml:space="preserve">  </w:t>
            </w:r>
          </w:p>
        </w:tc>
        <w:tc>
          <w:tcPr>
            <w:tcW w:w="754" w:type="dxa"/>
            <w:tcBorders>
              <w:top w:val="single" w:color="000000" w:sz="4" w:space="0"/>
              <w:left w:val="single" w:color="000000" w:sz="4" w:space="0"/>
              <w:bottom w:val="single" w:color="000000" w:sz="4" w:space="0"/>
              <w:right w:val="single" w:color="000000" w:sz="4" w:space="0"/>
            </w:tcBorders>
            <w:vAlign w:val="center"/>
          </w:tcPr>
          <w:p w14:paraId="55788130">
            <w:pPr>
              <w:keepNext w:val="0"/>
              <w:keepLines w:val="0"/>
              <w:suppressLineNumbers w:val="0"/>
              <w:spacing w:before="0" w:beforeAutospacing="0" w:after="0" w:afterAutospacing="0"/>
              <w:ind w:left="0" w:leftChars="0" w:right="0" w:firstLine="0" w:firstLineChars="0"/>
              <w:jc w:val="center"/>
              <w:rPr>
                <w:rFonts w:hint="default" w:ascii="Times New Roman" w:hAnsi="Times New Roman" w:eastAsia="宋体" w:cs="Times New Roman"/>
                <w:b w:val="0"/>
                <w:bCs w:val="0"/>
                <w:kern w:val="2"/>
                <w:sz w:val="21"/>
                <w:szCs w:val="24"/>
                <w:lang w:val="en-US" w:eastAsia="zh-CN" w:bidi="ar-SA"/>
              </w:rPr>
            </w:pPr>
            <w:r>
              <w:rPr>
                <w:rFonts w:hint="default" w:ascii="Times New Roman" w:hAnsi="Times New Roman" w:eastAsia="宋体" w:cs="Times New Roman"/>
                <w:b w:val="0"/>
                <w:bCs w:val="0"/>
                <w:kern w:val="2"/>
                <w:sz w:val="21"/>
                <w:szCs w:val="24"/>
                <w:lang w:val="en-US" w:eastAsia="zh-CN" w:bidi="ar-SA"/>
              </w:rPr>
              <w:t>套</w:t>
            </w:r>
          </w:p>
        </w:tc>
        <w:tc>
          <w:tcPr>
            <w:tcW w:w="851" w:type="dxa"/>
            <w:tcBorders>
              <w:top w:val="single" w:color="000000" w:sz="4" w:space="0"/>
              <w:left w:val="single" w:color="000000" w:sz="4" w:space="0"/>
              <w:bottom w:val="single" w:color="000000" w:sz="4" w:space="0"/>
              <w:right w:val="single" w:color="000000" w:sz="4" w:space="0"/>
            </w:tcBorders>
            <w:vAlign w:val="center"/>
          </w:tcPr>
          <w:p w14:paraId="155BF393">
            <w:pPr>
              <w:keepNext w:val="0"/>
              <w:keepLines w:val="0"/>
              <w:suppressLineNumbers w:val="0"/>
              <w:autoSpaceDE w:val="0"/>
              <w:autoSpaceDN w:val="0"/>
              <w:spacing w:before="0" w:beforeAutospacing="0" w:after="0" w:afterAutospacing="0"/>
              <w:ind w:left="0" w:right="0" w:firstLine="0" w:firstLineChars="0"/>
              <w:jc w:val="center"/>
              <w:rPr>
                <w:rFonts w:hint="default" w:ascii="Times New Roman" w:hAnsi="Times New Roman" w:eastAsia="宋体" w:cs="Times New Roman"/>
                <w:b w:val="0"/>
                <w:bCs w:val="0"/>
                <w:kern w:val="2"/>
                <w:sz w:val="21"/>
                <w:szCs w:val="24"/>
                <w:lang w:val="en-US" w:eastAsia="zh-CN" w:bidi="ar-SA"/>
              </w:rPr>
            </w:pPr>
            <w:r>
              <w:rPr>
                <w:rFonts w:hint="default" w:ascii="Times New Roman" w:hAnsi="Times New Roman" w:eastAsia="宋体" w:cs="Times New Roman"/>
                <w:b w:val="0"/>
                <w:bCs w:val="0"/>
                <w:kern w:val="2"/>
                <w:sz w:val="21"/>
                <w:szCs w:val="24"/>
                <w:lang w:val="en-US" w:eastAsia="zh-CN" w:bidi="ar-SA"/>
              </w:rPr>
              <w:t>1</w:t>
            </w:r>
          </w:p>
        </w:tc>
        <w:tc>
          <w:tcPr>
            <w:tcW w:w="1514" w:type="dxa"/>
            <w:tcBorders>
              <w:top w:val="single" w:color="000000" w:sz="4" w:space="0"/>
              <w:left w:val="single" w:color="000000" w:sz="4" w:space="0"/>
              <w:bottom w:val="single" w:color="000000" w:sz="4" w:space="0"/>
              <w:right w:val="single" w:color="000000" w:sz="4" w:space="0"/>
            </w:tcBorders>
            <w:vAlign w:val="center"/>
          </w:tcPr>
          <w:p w14:paraId="1B446175">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val="0"/>
                <w:kern w:val="2"/>
                <w:sz w:val="21"/>
                <w:szCs w:val="24"/>
                <w:lang w:val="en-US" w:eastAsia="zh-CN" w:bidi="ar-SA"/>
              </w:rPr>
            </w:pPr>
          </w:p>
        </w:tc>
        <w:tc>
          <w:tcPr>
            <w:tcW w:w="994" w:type="dxa"/>
            <w:tcBorders>
              <w:top w:val="single" w:color="000000" w:sz="4" w:space="0"/>
              <w:left w:val="single" w:color="000000" w:sz="4" w:space="0"/>
              <w:bottom w:val="single" w:color="000000" w:sz="4" w:space="0"/>
              <w:right w:val="single" w:color="000000" w:sz="4" w:space="0"/>
            </w:tcBorders>
            <w:vAlign w:val="center"/>
          </w:tcPr>
          <w:p w14:paraId="3533CB09">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val="0"/>
                <w:kern w:val="2"/>
                <w:sz w:val="21"/>
                <w:szCs w:val="24"/>
                <w:lang w:val="en-US" w:eastAsia="zh-CN" w:bidi="ar-SA"/>
              </w:rPr>
            </w:pPr>
          </w:p>
        </w:tc>
        <w:tc>
          <w:tcPr>
            <w:tcW w:w="945" w:type="dxa"/>
            <w:tcBorders>
              <w:top w:val="single" w:color="000000" w:sz="4" w:space="0"/>
              <w:left w:val="single" w:color="000000" w:sz="4" w:space="0"/>
              <w:bottom w:val="single" w:color="000000" w:sz="4" w:space="0"/>
              <w:right w:val="single" w:color="000000" w:sz="4" w:space="0"/>
            </w:tcBorders>
            <w:vAlign w:val="center"/>
          </w:tcPr>
          <w:p w14:paraId="50A98552">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val="0"/>
                <w:kern w:val="2"/>
                <w:sz w:val="21"/>
                <w:szCs w:val="24"/>
                <w:lang w:val="en-US" w:eastAsia="zh-CN" w:bidi="ar-SA"/>
              </w:rPr>
            </w:pPr>
          </w:p>
        </w:tc>
        <w:tc>
          <w:tcPr>
            <w:tcW w:w="1998" w:type="dxa"/>
            <w:tcBorders>
              <w:top w:val="single" w:color="000000" w:sz="4" w:space="0"/>
              <w:left w:val="single" w:color="000000" w:sz="4" w:space="0"/>
              <w:bottom w:val="single" w:color="000000" w:sz="4" w:space="0"/>
              <w:right w:val="single" w:color="000000" w:sz="4" w:space="0"/>
            </w:tcBorders>
          </w:tcPr>
          <w:p w14:paraId="6138C800">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val="0"/>
                <w:kern w:val="2"/>
                <w:sz w:val="21"/>
                <w:szCs w:val="24"/>
                <w:lang w:val="en-US" w:eastAsia="zh-CN" w:bidi="ar-SA"/>
              </w:rPr>
            </w:pPr>
          </w:p>
        </w:tc>
      </w:tr>
      <w:tr w14:paraId="63648775">
        <w:tblPrEx>
          <w:tblCellMar>
            <w:top w:w="0" w:type="dxa"/>
            <w:left w:w="0" w:type="dxa"/>
            <w:bottom w:w="0" w:type="dxa"/>
            <w:right w:w="0" w:type="dxa"/>
          </w:tblCellMar>
        </w:tblPrEx>
        <w:trPr>
          <w:trHeight w:val="395" w:hRule="exact"/>
          <w:jc w:val="center"/>
        </w:trPr>
        <w:tc>
          <w:tcPr>
            <w:tcW w:w="993" w:type="dxa"/>
            <w:tcBorders>
              <w:top w:val="single" w:color="000000" w:sz="4" w:space="0"/>
              <w:left w:val="single" w:color="000000" w:sz="4" w:space="0"/>
              <w:bottom w:val="single" w:color="000000" w:sz="4" w:space="0"/>
              <w:right w:val="single" w:color="000000" w:sz="4" w:space="0"/>
            </w:tcBorders>
            <w:vAlign w:val="center"/>
          </w:tcPr>
          <w:p w14:paraId="68E49DA5">
            <w:pPr>
              <w:keepNext w:val="0"/>
              <w:keepLines w:val="0"/>
              <w:suppressLineNumbers w:val="0"/>
              <w:autoSpaceDE w:val="0"/>
              <w:autoSpaceDN w:val="0"/>
              <w:adjustRightInd w:val="0"/>
              <w:spacing w:before="0" w:beforeAutospacing="0" w:after="0" w:afterAutospacing="0"/>
              <w:ind w:left="136" w:right="-20" w:firstLine="0" w:firstLineChars="0"/>
              <w:jc w:val="center"/>
              <w:rPr>
                <w:rFonts w:hint="default"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2</w:t>
            </w:r>
          </w:p>
        </w:tc>
        <w:tc>
          <w:tcPr>
            <w:tcW w:w="2081" w:type="dxa"/>
            <w:gridSpan w:val="2"/>
            <w:tcBorders>
              <w:top w:val="single" w:color="000000" w:sz="4" w:space="0"/>
              <w:left w:val="single" w:color="000000" w:sz="4" w:space="0"/>
              <w:bottom w:val="single" w:color="000000" w:sz="4" w:space="0"/>
              <w:right w:val="single" w:color="000000" w:sz="4" w:space="0"/>
            </w:tcBorders>
            <w:vAlign w:val="center"/>
          </w:tcPr>
          <w:p w14:paraId="1DC0D8B9">
            <w:pPr>
              <w:keepNext w:val="0"/>
              <w:keepLines w:val="0"/>
              <w:suppressLineNumbers w:val="0"/>
              <w:autoSpaceDE w:val="0"/>
              <w:autoSpaceDN w:val="0"/>
              <w:adjustRightInd w:val="0"/>
              <w:spacing w:before="0" w:beforeAutospacing="0" w:after="0" w:afterAutospacing="0"/>
              <w:ind w:left="136" w:right="-20" w:firstLine="0" w:firstLineChars="0"/>
              <w:jc w:val="center"/>
              <w:rPr>
                <w:rFonts w:hint="default"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客户端</w:t>
            </w:r>
          </w:p>
        </w:tc>
        <w:tc>
          <w:tcPr>
            <w:tcW w:w="754" w:type="dxa"/>
            <w:tcBorders>
              <w:top w:val="single" w:color="000000" w:sz="4" w:space="0"/>
              <w:left w:val="single" w:color="000000" w:sz="4" w:space="0"/>
              <w:bottom w:val="single" w:color="000000" w:sz="4" w:space="0"/>
              <w:right w:val="single" w:color="000000" w:sz="4" w:space="0"/>
            </w:tcBorders>
            <w:vAlign w:val="center"/>
          </w:tcPr>
          <w:p w14:paraId="68E77A73">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b w:val="0"/>
                <w:bCs w:val="0"/>
                <w:kern w:val="2"/>
                <w:sz w:val="21"/>
                <w:szCs w:val="24"/>
                <w:lang w:val="en-US" w:eastAsia="zh-CN" w:bidi="ar-SA"/>
              </w:rPr>
            </w:pPr>
            <w:r>
              <w:rPr>
                <w:rFonts w:hint="default" w:ascii="Times New Roman" w:hAnsi="Times New Roman" w:eastAsia="宋体" w:cs="Times New Roman"/>
                <w:b w:val="0"/>
                <w:bCs w:val="0"/>
                <w:kern w:val="2"/>
                <w:sz w:val="21"/>
                <w:szCs w:val="24"/>
                <w:lang w:val="en-US" w:eastAsia="zh-CN" w:bidi="ar-SA"/>
              </w:rPr>
              <w:t>套</w:t>
            </w:r>
          </w:p>
        </w:tc>
        <w:tc>
          <w:tcPr>
            <w:tcW w:w="851" w:type="dxa"/>
            <w:tcBorders>
              <w:top w:val="single" w:color="000000" w:sz="4" w:space="0"/>
              <w:left w:val="single" w:color="000000" w:sz="4" w:space="0"/>
              <w:bottom w:val="single" w:color="000000" w:sz="4" w:space="0"/>
              <w:right w:val="single" w:color="000000" w:sz="4" w:space="0"/>
            </w:tcBorders>
            <w:vAlign w:val="center"/>
          </w:tcPr>
          <w:p w14:paraId="61189F3B">
            <w:pPr>
              <w:keepNext w:val="0"/>
              <w:keepLines w:val="0"/>
              <w:widowControl/>
              <w:suppressLineNumbers w:val="0"/>
              <w:tabs>
                <w:tab w:val="left" w:pos="1584"/>
              </w:tabs>
              <w:wordWrap w:val="0"/>
              <w:overflowPunct w:val="0"/>
              <w:adjustRightInd w:val="0"/>
              <w:spacing w:before="0" w:beforeAutospacing="0" w:after="0" w:afterAutospacing="0" w:line="240" w:lineRule="auto"/>
              <w:ind w:left="0" w:right="0"/>
              <w:jc w:val="center"/>
              <w:textAlignment w:val="baseline"/>
              <w:outlineLvl w:val="8"/>
              <w:rPr>
                <w:rFonts w:hint="default"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10</w:t>
            </w:r>
          </w:p>
        </w:tc>
        <w:tc>
          <w:tcPr>
            <w:tcW w:w="1514" w:type="dxa"/>
            <w:tcBorders>
              <w:top w:val="single" w:color="000000" w:sz="4" w:space="0"/>
              <w:left w:val="single" w:color="000000" w:sz="4" w:space="0"/>
              <w:bottom w:val="single" w:color="000000" w:sz="4" w:space="0"/>
              <w:right w:val="single" w:color="000000" w:sz="4" w:space="0"/>
            </w:tcBorders>
            <w:vAlign w:val="center"/>
          </w:tcPr>
          <w:p w14:paraId="3289B765">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val="0"/>
                <w:kern w:val="2"/>
                <w:sz w:val="21"/>
                <w:szCs w:val="24"/>
                <w:lang w:val="en-US" w:eastAsia="zh-CN" w:bidi="ar-SA"/>
              </w:rPr>
            </w:pPr>
          </w:p>
        </w:tc>
        <w:tc>
          <w:tcPr>
            <w:tcW w:w="994" w:type="dxa"/>
            <w:tcBorders>
              <w:top w:val="single" w:color="000000" w:sz="4" w:space="0"/>
              <w:left w:val="single" w:color="000000" w:sz="4" w:space="0"/>
              <w:bottom w:val="single" w:color="000000" w:sz="4" w:space="0"/>
              <w:right w:val="single" w:color="000000" w:sz="4" w:space="0"/>
            </w:tcBorders>
            <w:vAlign w:val="center"/>
          </w:tcPr>
          <w:p w14:paraId="7911FEFC">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val="0"/>
                <w:kern w:val="2"/>
                <w:sz w:val="21"/>
                <w:szCs w:val="24"/>
                <w:lang w:val="en-US" w:eastAsia="zh-CN" w:bidi="ar-SA"/>
              </w:rPr>
            </w:pPr>
          </w:p>
        </w:tc>
        <w:tc>
          <w:tcPr>
            <w:tcW w:w="945" w:type="dxa"/>
            <w:tcBorders>
              <w:top w:val="single" w:color="000000" w:sz="4" w:space="0"/>
              <w:left w:val="single" w:color="000000" w:sz="4" w:space="0"/>
              <w:bottom w:val="single" w:color="000000" w:sz="4" w:space="0"/>
              <w:right w:val="single" w:color="000000" w:sz="4" w:space="0"/>
            </w:tcBorders>
            <w:vAlign w:val="center"/>
          </w:tcPr>
          <w:p w14:paraId="4BC5D6E0">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val="0"/>
                <w:kern w:val="2"/>
                <w:sz w:val="21"/>
                <w:szCs w:val="24"/>
                <w:lang w:val="en-US" w:eastAsia="zh-CN" w:bidi="ar-SA"/>
              </w:rPr>
            </w:pPr>
          </w:p>
        </w:tc>
        <w:tc>
          <w:tcPr>
            <w:tcW w:w="1998" w:type="dxa"/>
            <w:tcBorders>
              <w:top w:val="single" w:color="000000" w:sz="4" w:space="0"/>
              <w:left w:val="single" w:color="000000" w:sz="4" w:space="0"/>
              <w:bottom w:val="single" w:color="000000" w:sz="4" w:space="0"/>
              <w:right w:val="single" w:color="000000" w:sz="4" w:space="0"/>
            </w:tcBorders>
          </w:tcPr>
          <w:p w14:paraId="049D107C">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val="0"/>
                <w:kern w:val="2"/>
                <w:sz w:val="21"/>
                <w:szCs w:val="24"/>
                <w:lang w:val="en-US" w:eastAsia="zh-CN" w:bidi="ar-SA"/>
              </w:rPr>
            </w:pPr>
          </w:p>
        </w:tc>
      </w:tr>
      <w:tr w14:paraId="7A23C6BB">
        <w:tblPrEx>
          <w:tblCellMar>
            <w:top w:w="0" w:type="dxa"/>
            <w:left w:w="0" w:type="dxa"/>
            <w:bottom w:w="0" w:type="dxa"/>
            <w:right w:w="0" w:type="dxa"/>
          </w:tblCellMar>
        </w:tblPrEx>
        <w:trPr>
          <w:trHeight w:val="1312" w:hRule="exact"/>
          <w:jc w:val="center"/>
        </w:trPr>
        <w:tc>
          <w:tcPr>
            <w:tcW w:w="993" w:type="dxa"/>
            <w:vMerge w:val="restart"/>
            <w:tcBorders>
              <w:top w:val="single" w:color="000000" w:sz="4" w:space="0"/>
              <w:left w:val="single" w:color="000000" w:sz="4" w:space="0"/>
              <w:right w:val="single" w:color="000000" w:sz="4" w:space="0"/>
            </w:tcBorders>
            <w:vAlign w:val="center"/>
          </w:tcPr>
          <w:p w14:paraId="7DE2150D">
            <w:pPr>
              <w:keepNext w:val="0"/>
              <w:keepLines w:val="0"/>
              <w:suppressLineNumbers w:val="0"/>
              <w:autoSpaceDE w:val="0"/>
              <w:autoSpaceDN w:val="0"/>
              <w:adjustRightInd w:val="0"/>
              <w:spacing w:before="0" w:beforeAutospacing="0" w:after="0" w:afterAutospacing="0"/>
              <w:ind w:left="136" w:right="-20" w:firstLine="0" w:firstLineChars="0"/>
              <w:jc w:val="center"/>
              <w:rPr>
                <w:rFonts w:hint="default"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3</w:t>
            </w:r>
          </w:p>
        </w:tc>
        <w:tc>
          <w:tcPr>
            <w:tcW w:w="739" w:type="dxa"/>
            <w:vMerge w:val="restart"/>
            <w:tcBorders>
              <w:top w:val="single" w:color="000000" w:sz="4" w:space="0"/>
              <w:left w:val="single" w:color="000000" w:sz="4" w:space="0"/>
              <w:right w:val="single" w:color="auto" w:sz="4" w:space="0"/>
            </w:tcBorders>
            <w:vAlign w:val="center"/>
          </w:tcPr>
          <w:p w14:paraId="421FC282">
            <w:pPr>
              <w:keepNext w:val="0"/>
              <w:keepLines w:val="0"/>
              <w:suppressLineNumbers w:val="0"/>
              <w:autoSpaceDE w:val="0"/>
              <w:autoSpaceDN w:val="0"/>
              <w:adjustRightInd w:val="0"/>
              <w:spacing w:before="0" w:beforeAutospacing="0" w:after="0" w:afterAutospacing="0"/>
              <w:ind w:left="136" w:right="-20" w:firstLine="0" w:firstLineChars="0"/>
              <w:jc w:val="center"/>
              <w:rPr>
                <w:rFonts w:hint="default"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配套软件</w:t>
            </w:r>
          </w:p>
        </w:tc>
        <w:tc>
          <w:tcPr>
            <w:tcW w:w="1342" w:type="dxa"/>
            <w:tcBorders>
              <w:top w:val="single" w:color="auto" w:sz="4" w:space="0"/>
              <w:left w:val="single" w:color="auto" w:sz="4" w:space="0"/>
              <w:bottom w:val="single" w:color="auto" w:sz="4" w:space="0"/>
              <w:right w:val="single" w:color="auto" w:sz="4" w:space="0"/>
            </w:tcBorders>
            <w:vAlign w:val="center"/>
          </w:tcPr>
          <w:p w14:paraId="0A7F15E9">
            <w:pPr>
              <w:keepNext w:val="0"/>
              <w:keepLines w:val="0"/>
              <w:suppressLineNumbers w:val="0"/>
              <w:autoSpaceDE w:val="0"/>
              <w:autoSpaceDN w:val="0"/>
              <w:adjustRightInd w:val="0"/>
              <w:spacing w:before="0" w:beforeAutospacing="0" w:after="0" w:afterAutospacing="0"/>
              <w:ind w:left="136" w:right="-20" w:firstLine="0" w:firstLineChars="0"/>
              <w:jc w:val="left"/>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自主可控服务器操作系统</w:t>
            </w:r>
          </w:p>
        </w:tc>
        <w:tc>
          <w:tcPr>
            <w:tcW w:w="754" w:type="dxa"/>
            <w:tcBorders>
              <w:top w:val="single" w:color="000000" w:sz="4" w:space="0"/>
              <w:left w:val="single" w:color="auto" w:sz="4" w:space="0"/>
              <w:bottom w:val="single" w:color="000000" w:sz="4" w:space="0"/>
              <w:right w:val="single" w:color="000000" w:sz="4" w:space="0"/>
            </w:tcBorders>
            <w:vAlign w:val="center"/>
          </w:tcPr>
          <w:p w14:paraId="010F3A48">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b w:val="0"/>
                <w:bCs w:val="0"/>
                <w:kern w:val="2"/>
                <w:sz w:val="21"/>
                <w:szCs w:val="24"/>
                <w:lang w:val="en-US" w:eastAsia="zh-CN" w:bidi="ar-SA"/>
              </w:rPr>
            </w:pPr>
            <w:r>
              <w:rPr>
                <w:rFonts w:hint="default" w:ascii="Times New Roman" w:hAnsi="Times New Roman" w:eastAsia="宋体" w:cs="Times New Roman"/>
                <w:b w:val="0"/>
                <w:bCs w:val="0"/>
                <w:kern w:val="2"/>
                <w:sz w:val="21"/>
                <w:szCs w:val="24"/>
                <w:lang w:val="en-US" w:eastAsia="zh-CN" w:bidi="ar-SA"/>
              </w:rPr>
              <w:t>套</w:t>
            </w:r>
          </w:p>
        </w:tc>
        <w:tc>
          <w:tcPr>
            <w:tcW w:w="851" w:type="dxa"/>
            <w:tcBorders>
              <w:top w:val="single" w:color="000000" w:sz="4" w:space="0"/>
              <w:left w:val="single" w:color="000000" w:sz="4" w:space="0"/>
              <w:bottom w:val="single" w:color="000000" w:sz="4" w:space="0"/>
              <w:right w:val="single" w:color="000000" w:sz="4" w:space="0"/>
            </w:tcBorders>
            <w:vAlign w:val="center"/>
          </w:tcPr>
          <w:p w14:paraId="636E9C65">
            <w:pPr>
              <w:keepNext w:val="0"/>
              <w:keepLines w:val="0"/>
              <w:widowControl/>
              <w:suppressLineNumbers w:val="0"/>
              <w:tabs>
                <w:tab w:val="left" w:pos="1584"/>
              </w:tabs>
              <w:wordWrap w:val="0"/>
              <w:overflowPunct w:val="0"/>
              <w:adjustRightInd w:val="0"/>
              <w:spacing w:before="0" w:beforeAutospacing="0" w:after="0" w:afterAutospacing="0" w:line="240" w:lineRule="auto"/>
              <w:ind w:left="0" w:right="0"/>
              <w:jc w:val="center"/>
              <w:textAlignment w:val="baseline"/>
              <w:outlineLvl w:val="8"/>
              <w:rPr>
                <w:rFonts w:hint="default"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5</w:t>
            </w:r>
          </w:p>
        </w:tc>
        <w:tc>
          <w:tcPr>
            <w:tcW w:w="1514" w:type="dxa"/>
            <w:tcBorders>
              <w:top w:val="single" w:color="000000" w:sz="4" w:space="0"/>
              <w:left w:val="single" w:color="000000" w:sz="4" w:space="0"/>
              <w:bottom w:val="single" w:color="000000" w:sz="4" w:space="0"/>
              <w:right w:val="single" w:color="000000" w:sz="4" w:space="0"/>
            </w:tcBorders>
            <w:vAlign w:val="center"/>
          </w:tcPr>
          <w:p w14:paraId="027B5FD0">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val="0"/>
                <w:kern w:val="2"/>
                <w:sz w:val="21"/>
                <w:szCs w:val="24"/>
                <w:lang w:val="en-US" w:eastAsia="zh-CN" w:bidi="ar-SA"/>
              </w:rPr>
            </w:pPr>
          </w:p>
        </w:tc>
        <w:tc>
          <w:tcPr>
            <w:tcW w:w="994" w:type="dxa"/>
            <w:tcBorders>
              <w:top w:val="single" w:color="000000" w:sz="4" w:space="0"/>
              <w:left w:val="single" w:color="000000" w:sz="4" w:space="0"/>
              <w:bottom w:val="single" w:color="000000" w:sz="4" w:space="0"/>
              <w:right w:val="single" w:color="000000" w:sz="4" w:space="0"/>
            </w:tcBorders>
            <w:vAlign w:val="center"/>
          </w:tcPr>
          <w:p w14:paraId="1AA910D0">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val="0"/>
                <w:kern w:val="2"/>
                <w:sz w:val="21"/>
                <w:szCs w:val="24"/>
                <w:lang w:val="en-US" w:eastAsia="zh-CN" w:bidi="ar-SA"/>
              </w:rPr>
            </w:pPr>
          </w:p>
        </w:tc>
        <w:tc>
          <w:tcPr>
            <w:tcW w:w="945" w:type="dxa"/>
            <w:tcBorders>
              <w:top w:val="single" w:color="000000" w:sz="4" w:space="0"/>
              <w:left w:val="single" w:color="000000" w:sz="4" w:space="0"/>
              <w:bottom w:val="single" w:color="000000" w:sz="4" w:space="0"/>
              <w:right w:val="single" w:color="000000" w:sz="4" w:space="0"/>
            </w:tcBorders>
            <w:vAlign w:val="center"/>
          </w:tcPr>
          <w:p w14:paraId="3FA575E9">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val="0"/>
                <w:kern w:val="2"/>
                <w:sz w:val="21"/>
                <w:szCs w:val="24"/>
                <w:lang w:val="en-US" w:eastAsia="zh-CN" w:bidi="ar-SA"/>
              </w:rPr>
            </w:pPr>
          </w:p>
        </w:tc>
        <w:tc>
          <w:tcPr>
            <w:tcW w:w="1998" w:type="dxa"/>
            <w:tcBorders>
              <w:top w:val="single" w:color="000000" w:sz="4" w:space="0"/>
              <w:left w:val="single" w:color="000000" w:sz="4" w:space="0"/>
              <w:bottom w:val="single" w:color="000000" w:sz="4" w:space="0"/>
              <w:right w:val="single" w:color="000000" w:sz="4" w:space="0"/>
            </w:tcBorders>
          </w:tcPr>
          <w:p w14:paraId="09357BC8">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val="0"/>
                <w:kern w:val="2"/>
                <w:sz w:val="21"/>
                <w:szCs w:val="24"/>
                <w:lang w:val="en-US" w:eastAsia="zh-CN" w:bidi="ar-SA"/>
              </w:rPr>
            </w:pPr>
          </w:p>
        </w:tc>
      </w:tr>
      <w:tr w14:paraId="637D208F">
        <w:tblPrEx>
          <w:tblCellMar>
            <w:top w:w="0" w:type="dxa"/>
            <w:left w:w="0" w:type="dxa"/>
            <w:bottom w:w="0" w:type="dxa"/>
            <w:right w:w="0" w:type="dxa"/>
          </w:tblCellMar>
        </w:tblPrEx>
        <w:trPr>
          <w:trHeight w:val="1312" w:hRule="exact"/>
          <w:jc w:val="center"/>
        </w:trPr>
        <w:tc>
          <w:tcPr>
            <w:tcW w:w="993" w:type="dxa"/>
            <w:vMerge w:val="continue"/>
            <w:tcBorders>
              <w:left w:val="single" w:color="000000" w:sz="4" w:space="0"/>
              <w:right w:val="single" w:color="000000" w:sz="4" w:space="0"/>
            </w:tcBorders>
            <w:vAlign w:val="center"/>
          </w:tcPr>
          <w:p w14:paraId="3AC11418">
            <w:pPr>
              <w:keepNext w:val="0"/>
              <w:keepLines w:val="0"/>
              <w:suppressLineNumbers w:val="0"/>
              <w:autoSpaceDE w:val="0"/>
              <w:autoSpaceDN w:val="0"/>
              <w:adjustRightInd w:val="0"/>
              <w:spacing w:before="0" w:beforeAutospacing="0" w:after="0" w:afterAutospacing="0"/>
              <w:ind w:left="136" w:right="-20" w:firstLine="0" w:firstLineChars="0"/>
              <w:jc w:val="center"/>
              <w:rPr>
                <w:rFonts w:hint="eastAsia" w:ascii="Times New Roman" w:hAnsi="Times New Roman" w:eastAsia="宋体" w:cs="Times New Roman"/>
                <w:b w:val="0"/>
                <w:bCs w:val="0"/>
                <w:kern w:val="2"/>
                <w:sz w:val="21"/>
                <w:szCs w:val="24"/>
                <w:lang w:val="en-US" w:eastAsia="zh-CN" w:bidi="ar-SA"/>
              </w:rPr>
            </w:pPr>
          </w:p>
        </w:tc>
        <w:tc>
          <w:tcPr>
            <w:tcW w:w="739" w:type="dxa"/>
            <w:vMerge w:val="continue"/>
            <w:tcBorders>
              <w:left w:val="single" w:color="000000" w:sz="4" w:space="0"/>
              <w:right w:val="single" w:color="auto" w:sz="4" w:space="0"/>
            </w:tcBorders>
            <w:vAlign w:val="center"/>
          </w:tcPr>
          <w:p w14:paraId="59AC4AA9">
            <w:pPr>
              <w:keepNext w:val="0"/>
              <w:keepLines w:val="0"/>
              <w:suppressLineNumbers w:val="0"/>
              <w:autoSpaceDE w:val="0"/>
              <w:autoSpaceDN w:val="0"/>
              <w:adjustRightInd w:val="0"/>
              <w:spacing w:before="0" w:beforeAutospacing="0" w:after="0" w:afterAutospacing="0"/>
              <w:ind w:left="136" w:right="-20" w:firstLine="0" w:firstLineChars="0"/>
              <w:jc w:val="center"/>
              <w:rPr>
                <w:rFonts w:hint="eastAsia" w:ascii="Times New Roman" w:hAnsi="Times New Roman" w:eastAsia="宋体" w:cs="Times New Roman"/>
                <w:b w:val="0"/>
                <w:bCs w:val="0"/>
                <w:kern w:val="2"/>
                <w:sz w:val="21"/>
                <w:szCs w:val="24"/>
                <w:lang w:val="en-US" w:eastAsia="zh-CN" w:bidi="ar-SA"/>
              </w:rPr>
            </w:pPr>
          </w:p>
        </w:tc>
        <w:tc>
          <w:tcPr>
            <w:tcW w:w="1342" w:type="dxa"/>
            <w:tcBorders>
              <w:top w:val="single" w:color="auto" w:sz="4" w:space="0"/>
              <w:left w:val="single" w:color="auto" w:sz="4" w:space="0"/>
              <w:bottom w:val="single" w:color="auto" w:sz="4" w:space="0"/>
              <w:right w:val="single" w:color="auto" w:sz="4" w:space="0"/>
            </w:tcBorders>
            <w:vAlign w:val="center"/>
          </w:tcPr>
          <w:p w14:paraId="08B12DFF">
            <w:pPr>
              <w:keepNext w:val="0"/>
              <w:keepLines w:val="0"/>
              <w:suppressLineNumbers w:val="0"/>
              <w:autoSpaceDE w:val="0"/>
              <w:autoSpaceDN w:val="0"/>
              <w:adjustRightInd w:val="0"/>
              <w:spacing w:before="0" w:beforeAutospacing="0" w:after="0" w:afterAutospacing="0"/>
              <w:ind w:left="136" w:right="-20" w:firstLine="0" w:firstLineChars="0"/>
              <w:jc w:val="left"/>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终端国产自主可控操作系统</w:t>
            </w:r>
          </w:p>
        </w:tc>
        <w:tc>
          <w:tcPr>
            <w:tcW w:w="754" w:type="dxa"/>
            <w:tcBorders>
              <w:top w:val="single" w:color="000000" w:sz="4" w:space="0"/>
              <w:left w:val="single" w:color="auto" w:sz="4" w:space="0"/>
              <w:bottom w:val="single" w:color="000000" w:sz="4" w:space="0"/>
              <w:right w:val="single" w:color="000000" w:sz="4" w:space="0"/>
            </w:tcBorders>
            <w:vAlign w:val="center"/>
          </w:tcPr>
          <w:p w14:paraId="4C4AC131">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b w:val="0"/>
                <w:bCs w:val="0"/>
                <w:kern w:val="2"/>
                <w:sz w:val="21"/>
                <w:szCs w:val="24"/>
                <w:lang w:val="en-US" w:eastAsia="zh-CN" w:bidi="ar-SA"/>
              </w:rPr>
            </w:pPr>
            <w:r>
              <w:rPr>
                <w:rFonts w:hint="default" w:ascii="Times New Roman" w:hAnsi="Times New Roman" w:eastAsia="宋体" w:cs="Times New Roman"/>
                <w:b w:val="0"/>
                <w:bCs w:val="0"/>
                <w:kern w:val="2"/>
                <w:sz w:val="21"/>
                <w:szCs w:val="24"/>
                <w:lang w:val="en-US" w:eastAsia="zh-CN" w:bidi="ar-SA"/>
              </w:rPr>
              <w:t>套</w:t>
            </w:r>
          </w:p>
        </w:tc>
        <w:tc>
          <w:tcPr>
            <w:tcW w:w="851" w:type="dxa"/>
            <w:tcBorders>
              <w:top w:val="single" w:color="000000" w:sz="4" w:space="0"/>
              <w:left w:val="single" w:color="000000" w:sz="4" w:space="0"/>
              <w:bottom w:val="single" w:color="000000" w:sz="4" w:space="0"/>
              <w:right w:val="single" w:color="000000" w:sz="4" w:space="0"/>
            </w:tcBorders>
            <w:vAlign w:val="center"/>
          </w:tcPr>
          <w:p w14:paraId="608281CC">
            <w:pPr>
              <w:keepNext w:val="0"/>
              <w:keepLines w:val="0"/>
              <w:widowControl/>
              <w:suppressLineNumbers w:val="0"/>
              <w:tabs>
                <w:tab w:val="left" w:pos="1584"/>
              </w:tabs>
              <w:wordWrap w:val="0"/>
              <w:overflowPunct w:val="0"/>
              <w:adjustRightInd w:val="0"/>
              <w:spacing w:before="0" w:beforeAutospacing="0" w:after="0" w:afterAutospacing="0" w:line="240" w:lineRule="auto"/>
              <w:ind w:left="0" w:right="0"/>
              <w:jc w:val="center"/>
              <w:textAlignment w:val="baseline"/>
              <w:outlineLvl w:val="8"/>
              <w:rPr>
                <w:rFonts w:hint="default"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10</w:t>
            </w:r>
          </w:p>
        </w:tc>
        <w:tc>
          <w:tcPr>
            <w:tcW w:w="1514" w:type="dxa"/>
            <w:tcBorders>
              <w:top w:val="single" w:color="000000" w:sz="4" w:space="0"/>
              <w:left w:val="single" w:color="000000" w:sz="4" w:space="0"/>
              <w:bottom w:val="single" w:color="000000" w:sz="4" w:space="0"/>
              <w:right w:val="single" w:color="000000" w:sz="4" w:space="0"/>
            </w:tcBorders>
            <w:vAlign w:val="center"/>
          </w:tcPr>
          <w:p w14:paraId="1CCF2D5E">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val="0"/>
                <w:kern w:val="2"/>
                <w:sz w:val="21"/>
                <w:szCs w:val="24"/>
                <w:lang w:val="en-US" w:eastAsia="zh-CN" w:bidi="ar-SA"/>
              </w:rPr>
            </w:pPr>
          </w:p>
        </w:tc>
        <w:tc>
          <w:tcPr>
            <w:tcW w:w="994" w:type="dxa"/>
            <w:tcBorders>
              <w:top w:val="single" w:color="000000" w:sz="4" w:space="0"/>
              <w:left w:val="single" w:color="000000" w:sz="4" w:space="0"/>
              <w:bottom w:val="single" w:color="000000" w:sz="4" w:space="0"/>
              <w:right w:val="single" w:color="000000" w:sz="4" w:space="0"/>
            </w:tcBorders>
            <w:vAlign w:val="center"/>
          </w:tcPr>
          <w:p w14:paraId="2892573A">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val="0"/>
                <w:kern w:val="2"/>
                <w:sz w:val="21"/>
                <w:szCs w:val="24"/>
                <w:lang w:val="en-US" w:eastAsia="zh-CN" w:bidi="ar-SA"/>
              </w:rPr>
            </w:pPr>
          </w:p>
        </w:tc>
        <w:tc>
          <w:tcPr>
            <w:tcW w:w="945" w:type="dxa"/>
            <w:tcBorders>
              <w:top w:val="single" w:color="000000" w:sz="4" w:space="0"/>
              <w:left w:val="single" w:color="000000" w:sz="4" w:space="0"/>
              <w:bottom w:val="single" w:color="000000" w:sz="4" w:space="0"/>
              <w:right w:val="single" w:color="000000" w:sz="4" w:space="0"/>
            </w:tcBorders>
            <w:vAlign w:val="center"/>
          </w:tcPr>
          <w:p w14:paraId="4685D932">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val="0"/>
                <w:kern w:val="2"/>
                <w:sz w:val="21"/>
                <w:szCs w:val="24"/>
                <w:lang w:val="en-US" w:eastAsia="zh-CN" w:bidi="ar-SA"/>
              </w:rPr>
            </w:pPr>
          </w:p>
        </w:tc>
        <w:tc>
          <w:tcPr>
            <w:tcW w:w="1998" w:type="dxa"/>
            <w:tcBorders>
              <w:top w:val="single" w:color="000000" w:sz="4" w:space="0"/>
              <w:left w:val="single" w:color="000000" w:sz="4" w:space="0"/>
              <w:bottom w:val="single" w:color="000000" w:sz="4" w:space="0"/>
              <w:right w:val="single" w:color="000000" w:sz="4" w:space="0"/>
            </w:tcBorders>
          </w:tcPr>
          <w:p w14:paraId="0D37FB4D">
            <w:pPr>
              <w:keepNext w:val="0"/>
              <w:keepLines w:val="0"/>
              <w:suppressLineNumbers w:val="0"/>
              <w:autoSpaceDE w:val="0"/>
              <w:autoSpaceDN w:val="0"/>
              <w:adjustRightInd w:val="0"/>
              <w:spacing w:before="0" w:beforeAutospacing="0" w:after="0" w:afterAutospacing="0"/>
              <w:ind w:left="0" w:right="0" w:firstLine="0" w:firstLineChars="0"/>
              <w:jc w:val="center"/>
              <w:rPr>
                <w:rFonts w:hint="eastAsia" w:ascii="Times New Roman" w:hAnsi="Times New Roman" w:eastAsia="宋体" w:cs="Times New Roman"/>
                <w:b w:val="0"/>
                <w:bCs w:val="0"/>
                <w:kern w:val="2"/>
                <w:sz w:val="21"/>
                <w:szCs w:val="24"/>
                <w:lang w:val="en-US" w:eastAsia="zh-CN" w:bidi="ar-SA"/>
              </w:rPr>
            </w:pPr>
          </w:p>
        </w:tc>
      </w:tr>
      <w:tr w14:paraId="685C35E8">
        <w:tblPrEx>
          <w:tblCellMar>
            <w:top w:w="0" w:type="dxa"/>
            <w:left w:w="0" w:type="dxa"/>
            <w:bottom w:w="0" w:type="dxa"/>
            <w:right w:w="0" w:type="dxa"/>
          </w:tblCellMar>
        </w:tblPrEx>
        <w:trPr>
          <w:trHeight w:val="945" w:hRule="exact"/>
          <w:jc w:val="center"/>
        </w:trPr>
        <w:tc>
          <w:tcPr>
            <w:tcW w:w="993" w:type="dxa"/>
            <w:vMerge w:val="continue"/>
            <w:tcBorders>
              <w:left w:val="single" w:color="000000" w:sz="4" w:space="0"/>
              <w:right w:val="single" w:color="000000" w:sz="4" w:space="0"/>
            </w:tcBorders>
            <w:vAlign w:val="center"/>
          </w:tcPr>
          <w:p w14:paraId="579B2ECB">
            <w:pPr>
              <w:keepNext w:val="0"/>
              <w:keepLines w:val="0"/>
              <w:suppressLineNumbers w:val="0"/>
              <w:autoSpaceDE w:val="0"/>
              <w:autoSpaceDN w:val="0"/>
              <w:adjustRightInd w:val="0"/>
              <w:spacing w:before="0" w:beforeAutospacing="0" w:after="0" w:afterAutospacing="0"/>
              <w:ind w:left="136" w:right="-20" w:firstLine="0" w:firstLineChars="0"/>
              <w:jc w:val="center"/>
              <w:rPr>
                <w:rFonts w:hint="eastAsia" w:ascii="Times New Roman" w:hAnsi="Times New Roman" w:eastAsia="宋体" w:cs="Times New Roman"/>
                <w:b w:val="0"/>
                <w:bCs w:val="0"/>
                <w:kern w:val="2"/>
                <w:sz w:val="21"/>
                <w:szCs w:val="24"/>
                <w:lang w:val="en-US" w:eastAsia="zh-CN" w:bidi="ar-SA"/>
              </w:rPr>
            </w:pPr>
          </w:p>
        </w:tc>
        <w:tc>
          <w:tcPr>
            <w:tcW w:w="739" w:type="dxa"/>
            <w:vMerge w:val="continue"/>
            <w:tcBorders>
              <w:left w:val="single" w:color="000000" w:sz="4" w:space="0"/>
              <w:right w:val="single" w:color="auto" w:sz="4" w:space="0"/>
            </w:tcBorders>
            <w:vAlign w:val="center"/>
          </w:tcPr>
          <w:p w14:paraId="26FE0417">
            <w:pPr>
              <w:keepNext w:val="0"/>
              <w:keepLines w:val="0"/>
              <w:suppressLineNumbers w:val="0"/>
              <w:autoSpaceDE w:val="0"/>
              <w:autoSpaceDN w:val="0"/>
              <w:adjustRightInd w:val="0"/>
              <w:spacing w:before="0" w:beforeAutospacing="0" w:after="0" w:afterAutospacing="0"/>
              <w:ind w:left="136" w:right="-20" w:firstLine="0" w:firstLineChars="0"/>
              <w:jc w:val="center"/>
              <w:rPr>
                <w:rFonts w:hint="eastAsia" w:ascii="Times New Roman" w:hAnsi="Times New Roman" w:eastAsia="宋体" w:cs="Times New Roman"/>
                <w:b w:val="0"/>
                <w:bCs w:val="0"/>
                <w:kern w:val="2"/>
                <w:sz w:val="21"/>
                <w:szCs w:val="24"/>
                <w:lang w:val="en-US" w:eastAsia="zh-CN" w:bidi="ar-SA"/>
              </w:rPr>
            </w:pPr>
          </w:p>
        </w:tc>
        <w:tc>
          <w:tcPr>
            <w:tcW w:w="1342" w:type="dxa"/>
            <w:tcBorders>
              <w:top w:val="single" w:color="auto" w:sz="4" w:space="0"/>
              <w:left w:val="single" w:color="auto" w:sz="4" w:space="0"/>
              <w:bottom w:val="single" w:color="auto" w:sz="4" w:space="0"/>
              <w:right w:val="single" w:color="auto" w:sz="4" w:space="0"/>
            </w:tcBorders>
            <w:vAlign w:val="center"/>
          </w:tcPr>
          <w:p w14:paraId="4F4EA183">
            <w:pPr>
              <w:keepNext w:val="0"/>
              <w:keepLines w:val="0"/>
              <w:suppressLineNumbers w:val="0"/>
              <w:autoSpaceDE w:val="0"/>
              <w:autoSpaceDN w:val="0"/>
              <w:adjustRightInd w:val="0"/>
              <w:spacing w:before="0" w:beforeAutospacing="0" w:after="0" w:afterAutospacing="0"/>
              <w:ind w:left="136" w:right="-20" w:firstLine="0" w:firstLineChars="0"/>
              <w:jc w:val="left"/>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自主可控高性能数据库</w:t>
            </w:r>
          </w:p>
        </w:tc>
        <w:tc>
          <w:tcPr>
            <w:tcW w:w="754" w:type="dxa"/>
            <w:tcBorders>
              <w:top w:val="single" w:color="000000" w:sz="4" w:space="0"/>
              <w:left w:val="single" w:color="auto" w:sz="4" w:space="0"/>
              <w:bottom w:val="single" w:color="000000" w:sz="4" w:space="0"/>
              <w:right w:val="single" w:color="000000" w:sz="4" w:space="0"/>
            </w:tcBorders>
            <w:vAlign w:val="center"/>
          </w:tcPr>
          <w:p w14:paraId="313C6CEA">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b w:val="0"/>
                <w:bCs w:val="0"/>
                <w:kern w:val="2"/>
                <w:sz w:val="21"/>
                <w:szCs w:val="24"/>
                <w:lang w:val="en-US" w:eastAsia="zh-CN" w:bidi="ar-SA"/>
              </w:rPr>
            </w:pPr>
            <w:r>
              <w:rPr>
                <w:rFonts w:hint="default" w:ascii="Times New Roman" w:hAnsi="Times New Roman" w:eastAsia="宋体" w:cs="Times New Roman"/>
                <w:b w:val="0"/>
                <w:bCs w:val="0"/>
                <w:kern w:val="2"/>
                <w:sz w:val="21"/>
                <w:szCs w:val="24"/>
                <w:lang w:val="en-US" w:eastAsia="zh-CN" w:bidi="ar-SA"/>
              </w:rPr>
              <w:t>套</w:t>
            </w:r>
          </w:p>
        </w:tc>
        <w:tc>
          <w:tcPr>
            <w:tcW w:w="851" w:type="dxa"/>
            <w:tcBorders>
              <w:top w:val="single" w:color="000000" w:sz="4" w:space="0"/>
              <w:left w:val="single" w:color="000000" w:sz="4" w:space="0"/>
              <w:bottom w:val="single" w:color="000000" w:sz="4" w:space="0"/>
              <w:right w:val="single" w:color="000000" w:sz="4" w:space="0"/>
            </w:tcBorders>
            <w:vAlign w:val="center"/>
          </w:tcPr>
          <w:p w14:paraId="4447CA77">
            <w:pPr>
              <w:keepNext w:val="0"/>
              <w:keepLines w:val="0"/>
              <w:widowControl/>
              <w:suppressLineNumbers w:val="0"/>
              <w:tabs>
                <w:tab w:val="left" w:pos="1584"/>
              </w:tabs>
              <w:wordWrap w:val="0"/>
              <w:overflowPunct w:val="0"/>
              <w:adjustRightInd w:val="0"/>
              <w:spacing w:before="0" w:beforeAutospacing="0" w:after="0" w:afterAutospacing="0" w:line="240" w:lineRule="auto"/>
              <w:ind w:left="0" w:right="0"/>
              <w:jc w:val="center"/>
              <w:textAlignment w:val="baseline"/>
              <w:outlineLvl w:val="8"/>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2</w:t>
            </w:r>
          </w:p>
        </w:tc>
        <w:tc>
          <w:tcPr>
            <w:tcW w:w="1514" w:type="dxa"/>
            <w:tcBorders>
              <w:top w:val="single" w:color="000000" w:sz="4" w:space="0"/>
              <w:left w:val="single" w:color="000000" w:sz="4" w:space="0"/>
              <w:bottom w:val="single" w:color="000000" w:sz="4" w:space="0"/>
              <w:right w:val="single" w:color="000000" w:sz="4" w:space="0"/>
            </w:tcBorders>
            <w:vAlign w:val="center"/>
          </w:tcPr>
          <w:p w14:paraId="5ECE881A">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val="0"/>
                <w:kern w:val="2"/>
                <w:sz w:val="21"/>
                <w:szCs w:val="24"/>
                <w:lang w:val="en-US" w:eastAsia="zh-CN" w:bidi="ar-SA"/>
              </w:rPr>
            </w:pPr>
          </w:p>
        </w:tc>
        <w:tc>
          <w:tcPr>
            <w:tcW w:w="994" w:type="dxa"/>
            <w:tcBorders>
              <w:top w:val="single" w:color="000000" w:sz="4" w:space="0"/>
              <w:left w:val="single" w:color="000000" w:sz="4" w:space="0"/>
              <w:bottom w:val="single" w:color="000000" w:sz="4" w:space="0"/>
              <w:right w:val="single" w:color="000000" w:sz="4" w:space="0"/>
            </w:tcBorders>
            <w:vAlign w:val="center"/>
          </w:tcPr>
          <w:p w14:paraId="1DF2996F">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val="0"/>
                <w:kern w:val="2"/>
                <w:sz w:val="21"/>
                <w:szCs w:val="24"/>
                <w:lang w:val="en-US" w:eastAsia="zh-CN" w:bidi="ar-SA"/>
              </w:rPr>
            </w:pPr>
          </w:p>
        </w:tc>
        <w:tc>
          <w:tcPr>
            <w:tcW w:w="945" w:type="dxa"/>
            <w:tcBorders>
              <w:top w:val="single" w:color="000000" w:sz="4" w:space="0"/>
              <w:left w:val="single" w:color="000000" w:sz="4" w:space="0"/>
              <w:bottom w:val="single" w:color="000000" w:sz="4" w:space="0"/>
              <w:right w:val="single" w:color="000000" w:sz="4" w:space="0"/>
            </w:tcBorders>
            <w:vAlign w:val="center"/>
          </w:tcPr>
          <w:p w14:paraId="05B396EC">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val="0"/>
                <w:kern w:val="2"/>
                <w:sz w:val="21"/>
                <w:szCs w:val="24"/>
                <w:lang w:val="en-US" w:eastAsia="zh-CN" w:bidi="ar-SA"/>
              </w:rPr>
            </w:pPr>
          </w:p>
        </w:tc>
        <w:tc>
          <w:tcPr>
            <w:tcW w:w="1998" w:type="dxa"/>
            <w:tcBorders>
              <w:top w:val="single" w:color="000000" w:sz="4" w:space="0"/>
              <w:left w:val="single" w:color="000000" w:sz="4" w:space="0"/>
              <w:bottom w:val="single" w:color="000000" w:sz="4" w:space="0"/>
              <w:right w:val="single" w:color="000000" w:sz="4" w:space="0"/>
            </w:tcBorders>
          </w:tcPr>
          <w:p w14:paraId="0ABF1FF6">
            <w:pPr>
              <w:keepNext w:val="0"/>
              <w:keepLines w:val="0"/>
              <w:suppressLineNumbers w:val="0"/>
              <w:autoSpaceDE w:val="0"/>
              <w:autoSpaceDN w:val="0"/>
              <w:adjustRightInd w:val="0"/>
              <w:spacing w:before="0" w:beforeAutospacing="0" w:after="0" w:afterAutospacing="0"/>
              <w:ind w:left="0" w:right="0" w:firstLine="0" w:firstLineChars="0"/>
              <w:jc w:val="center"/>
              <w:rPr>
                <w:rFonts w:hint="eastAsia" w:ascii="Times New Roman" w:hAnsi="Times New Roman" w:eastAsia="宋体" w:cs="Times New Roman"/>
                <w:b w:val="0"/>
                <w:bCs w:val="0"/>
                <w:kern w:val="2"/>
                <w:sz w:val="21"/>
                <w:szCs w:val="24"/>
                <w:lang w:val="en-US" w:eastAsia="zh-CN" w:bidi="ar-SA"/>
              </w:rPr>
            </w:pPr>
          </w:p>
        </w:tc>
      </w:tr>
      <w:tr w14:paraId="76A365F4">
        <w:tblPrEx>
          <w:tblCellMar>
            <w:top w:w="0" w:type="dxa"/>
            <w:left w:w="0" w:type="dxa"/>
            <w:bottom w:w="0" w:type="dxa"/>
            <w:right w:w="0" w:type="dxa"/>
          </w:tblCellMar>
        </w:tblPrEx>
        <w:trPr>
          <w:trHeight w:val="1805" w:hRule="exact"/>
          <w:jc w:val="center"/>
        </w:trPr>
        <w:tc>
          <w:tcPr>
            <w:tcW w:w="993" w:type="dxa"/>
            <w:vMerge w:val="continue"/>
            <w:tcBorders>
              <w:left w:val="single" w:color="000000" w:sz="4" w:space="0"/>
              <w:bottom w:val="single" w:color="000000" w:sz="4" w:space="0"/>
              <w:right w:val="single" w:color="000000" w:sz="4" w:space="0"/>
            </w:tcBorders>
            <w:vAlign w:val="center"/>
          </w:tcPr>
          <w:p w14:paraId="6AA09EAC">
            <w:pPr>
              <w:keepNext w:val="0"/>
              <w:keepLines w:val="0"/>
              <w:suppressLineNumbers w:val="0"/>
              <w:autoSpaceDE w:val="0"/>
              <w:autoSpaceDN w:val="0"/>
              <w:adjustRightInd w:val="0"/>
              <w:spacing w:before="0" w:beforeAutospacing="0" w:after="0" w:afterAutospacing="0"/>
              <w:ind w:left="136" w:right="-20" w:firstLine="0" w:firstLineChars="0"/>
              <w:jc w:val="center"/>
              <w:rPr>
                <w:rFonts w:hint="eastAsia" w:ascii="Times New Roman" w:hAnsi="Times New Roman" w:eastAsia="宋体" w:cs="Times New Roman"/>
                <w:b w:val="0"/>
                <w:bCs w:val="0"/>
                <w:kern w:val="2"/>
                <w:sz w:val="21"/>
                <w:szCs w:val="24"/>
                <w:lang w:val="en-US" w:eastAsia="zh-CN" w:bidi="ar-SA"/>
              </w:rPr>
            </w:pPr>
          </w:p>
        </w:tc>
        <w:tc>
          <w:tcPr>
            <w:tcW w:w="739" w:type="dxa"/>
            <w:vMerge w:val="continue"/>
            <w:tcBorders>
              <w:left w:val="single" w:color="000000" w:sz="4" w:space="0"/>
              <w:bottom w:val="single" w:color="000000" w:sz="4" w:space="0"/>
              <w:right w:val="single" w:color="auto" w:sz="4" w:space="0"/>
            </w:tcBorders>
            <w:vAlign w:val="center"/>
          </w:tcPr>
          <w:p w14:paraId="555F60AF">
            <w:pPr>
              <w:keepNext w:val="0"/>
              <w:keepLines w:val="0"/>
              <w:suppressLineNumbers w:val="0"/>
              <w:autoSpaceDE w:val="0"/>
              <w:autoSpaceDN w:val="0"/>
              <w:adjustRightInd w:val="0"/>
              <w:spacing w:before="0" w:beforeAutospacing="0" w:after="0" w:afterAutospacing="0"/>
              <w:ind w:left="136" w:right="-20" w:firstLine="0" w:firstLineChars="0"/>
              <w:jc w:val="center"/>
              <w:rPr>
                <w:rFonts w:hint="eastAsia" w:ascii="Times New Roman" w:hAnsi="Times New Roman" w:eastAsia="宋体" w:cs="Times New Roman"/>
                <w:b w:val="0"/>
                <w:bCs w:val="0"/>
                <w:kern w:val="2"/>
                <w:sz w:val="21"/>
                <w:szCs w:val="24"/>
                <w:lang w:val="en-US" w:eastAsia="zh-CN" w:bidi="ar-SA"/>
              </w:rPr>
            </w:pPr>
          </w:p>
        </w:tc>
        <w:tc>
          <w:tcPr>
            <w:tcW w:w="1342" w:type="dxa"/>
            <w:tcBorders>
              <w:top w:val="single" w:color="auto" w:sz="4" w:space="0"/>
              <w:left w:val="single" w:color="auto" w:sz="4" w:space="0"/>
              <w:bottom w:val="single" w:color="auto" w:sz="4" w:space="0"/>
              <w:right w:val="single" w:color="auto" w:sz="4" w:space="0"/>
            </w:tcBorders>
            <w:vAlign w:val="center"/>
          </w:tcPr>
          <w:p w14:paraId="283C80E8">
            <w:pPr>
              <w:keepNext w:val="0"/>
              <w:keepLines w:val="0"/>
              <w:suppressLineNumbers w:val="0"/>
              <w:autoSpaceDE w:val="0"/>
              <w:autoSpaceDN w:val="0"/>
              <w:adjustRightInd w:val="0"/>
              <w:spacing w:before="0" w:beforeAutospacing="0" w:after="0" w:afterAutospacing="0"/>
              <w:ind w:left="136" w:right="-20" w:firstLine="0" w:firstLineChars="0"/>
              <w:jc w:val="left"/>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等级保护测评、第三方代码安全检测、漏洞扫描</w:t>
            </w:r>
          </w:p>
        </w:tc>
        <w:tc>
          <w:tcPr>
            <w:tcW w:w="754" w:type="dxa"/>
            <w:tcBorders>
              <w:top w:val="single" w:color="000000" w:sz="4" w:space="0"/>
              <w:left w:val="single" w:color="auto" w:sz="4" w:space="0"/>
              <w:bottom w:val="single" w:color="000000" w:sz="4" w:space="0"/>
              <w:right w:val="single" w:color="000000" w:sz="4" w:space="0"/>
            </w:tcBorders>
            <w:vAlign w:val="center"/>
          </w:tcPr>
          <w:p w14:paraId="011B2612">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b w:val="0"/>
                <w:bCs w:val="0"/>
                <w:kern w:val="2"/>
                <w:sz w:val="21"/>
                <w:szCs w:val="24"/>
                <w:lang w:val="en-US" w:eastAsia="zh-CN" w:bidi="ar-SA"/>
              </w:rPr>
            </w:pPr>
            <w:r>
              <w:rPr>
                <w:rFonts w:hint="default" w:ascii="Times New Roman" w:hAnsi="Times New Roman" w:eastAsia="宋体" w:cs="Times New Roman"/>
                <w:b w:val="0"/>
                <w:bCs w:val="0"/>
                <w:kern w:val="2"/>
                <w:sz w:val="21"/>
                <w:szCs w:val="24"/>
                <w:lang w:val="en-US" w:eastAsia="zh-CN" w:bidi="ar-SA"/>
              </w:rPr>
              <w:t>套</w:t>
            </w:r>
          </w:p>
        </w:tc>
        <w:tc>
          <w:tcPr>
            <w:tcW w:w="851" w:type="dxa"/>
            <w:tcBorders>
              <w:top w:val="single" w:color="000000" w:sz="4" w:space="0"/>
              <w:left w:val="single" w:color="000000" w:sz="4" w:space="0"/>
              <w:bottom w:val="single" w:color="000000" w:sz="4" w:space="0"/>
              <w:right w:val="single" w:color="000000" w:sz="4" w:space="0"/>
            </w:tcBorders>
            <w:vAlign w:val="center"/>
          </w:tcPr>
          <w:p w14:paraId="7183CE53">
            <w:pPr>
              <w:keepNext w:val="0"/>
              <w:keepLines w:val="0"/>
              <w:widowControl/>
              <w:suppressLineNumbers w:val="0"/>
              <w:tabs>
                <w:tab w:val="left" w:pos="1584"/>
              </w:tabs>
              <w:wordWrap w:val="0"/>
              <w:overflowPunct w:val="0"/>
              <w:adjustRightInd w:val="0"/>
              <w:spacing w:before="0" w:beforeAutospacing="0" w:after="0" w:afterAutospacing="0" w:line="240" w:lineRule="auto"/>
              <w:ind w:left="0" w:right="0"/>
              <w:jc w:val="center"/>
              <w:textAlignment w:val="baseline"/>
              <w:outlineLvl w:val="8"/>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1</w:t>
            </w:r>
          </w:p>
        </w:tc>
        <w:tc>
          <w:tcPr>
            <w:tcW w:w="1514" w:type="dxa"/>
            <w:tcBorders>
              <w:top w:val="single" w:color="000000" w:sz="4" w:space="0"/>
              <w:left w:val="single" w:color="000000" w:sz="4" w:space="0"/>
              <w:bottom w:val="single" w:color="000000" w:sz="4" w:space="0"/>
              <w:right w:val="single" w:color="000000" w:sz="4" w:space="0"/>
            </w:tcBorders>
            <w:vAlign w:val="center"/>
          </w:tcPr>
          <w:p w14:paraId="529104A1">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val="0"/>
                <w:kern w:val="2"/>
                <w:sz w:val="21"/>
                <w:szCs w:val="24"/>
                <w:lang w:val="en-US" w:eastAsia="zh-CN" w:bidi="ar-SA"/>
              </w:rPr>
            </w:pPr>
          </w:p>
        </w:tc>
        <w:tc>
          <w:tcPr>
            <w:tcW w:w="994" w:type="dxa"/>
            <w:tcBorders>
              <w:top w:val="single" w:color="000000" w:sz="4" w:space="0"/>
              <w:left w:val="single" w:color="000000" w:sz="4" w:space="0"/>
              <w:bottom w:val="single" w:color="000000" w:sz="4" w:space="0"/>
              <w:right w:val="single" w:color="000000" w:sz="4" w:space="0"/>
            </w:tcBorders>
            <w:vAlign w:val="center"/>
          </w:tcPr>
          <w:p w14:paraId="3717AE4A">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val="0"/>
                <w:kern w:val="2"/>
                <w:sz w:val="21"/>
                <w:szCs w:val="24"/>
                <w:lang w:val="en-US" w:eastAsia="zh-CN" w:bidi="ar-SA"/>
              </w:rPr>
            </w:pPr>
          </w:p>
        </w:tc>
        <w:tc>
          <w:tcPr>
            <w:tcW w:w="945" w:type="dxa"/>
            <w:tcBorders>
              <w:top w:val="single" w:color="000000" w:sz="4" w:space="0"/>
              <w:left w:val="single" w:color="000000" w:sz="4" w:space="0"/>
              <w:bottom w:val="single" w:color="000000" w:sz="4" w:space="0"/>
              <w:right w:val="single" w:color="000000" w:sz="4" w:space="0"/>
            </w:tcBorders>
            <w:vAlign w:val="center"/>
          </w:tcPr>
          <w:p w14:paraId="6922F35C">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val="0"/>
                <w:kern w:val="2"/>
                <w:sz w:val="21"/>
                <w:szCs w:val="24"/>
                <w:lang w:val="en-US" w:eastAsia="zh-CN" w:bidi="ar-SA"/>
              </w:rPr>
            </w:pPr>
          </w:p>
        </w:tc>
        <w:tc>
          <w:tcPr>
            <w:tcW w:w="1998" w:type="dxa"/>
            <w:tcBorders>
              <w:top w:val="single" w:color="000000" w:sz="4" w:space="0"/>
              <w:left w:val="single" w:color="000000" w:sz="4" w:space="0"/>
              <w:bottom w:val="single" w:color="000000" w:sz="4" w:space="0"/>
              <w:right w:val="single" w:color="000000" w:sz="4" w:space="0"/>
            </w:tcBorders>
          </w:tcPr>
          <w:p w14:paraId="2D3E7397">
            <w:pPr>
              <w:keepNext w:val="0"/>
              <w:keepLines w:val="0"/>
              <w:suppressLineNumbers w:val="0"/>
              <w:autoSpaceDE w:val="0"/>
              <w:autoSpaceDN w:val="0"/>
              <w:adjustRightInd w:val="0"/>
              <w:spacing w:before="0" w:beforeAutospacing="0" w:after="0" w:afterAutospacing="0"/>
              <w:ind w:left="0" w:right="0" w:firstLine="0" w:firstLineChars="0"/>
              <w:jc w:val="center"/>
              <w:rPr>
                <w:rFonts w:hint="eastAsia" w:ascii="Times New Roman" w:hAnsi="Times New Roman" w:eastAsia="宋体" w:cs="Times New Roman"/>
                <w:b w:val="0"/>
                <w:bCs w:val="0"/>
                <w:kern w:val="2"/>
                <w:sz w:val="21"/>
                <w:szCs w:val="24"/>
                <w:lang w:val="en-US" w:eastAsia="zh-CN" w:bidi="ar-SA"/>
              </w:rPr>
            </w:pPr>
          </w:p>
        </w:tc>
      </w:tr>
      <w:tr w14:paraId="6E23EA2D">
        <w:tblPrEx>
          <w:tblCellMar>
            <w:top w:w="0" w:type="dxa"/>
            <w:left w:w="0" w:type="dxa"/>
            <w:bottom w:w="0" w:type="dxa"/>
            <w:right w:w="0" w:type="dxa"/>
          </w:tblCellMar>
        </w:tblPrEx>
        <w:trPr>
          <w:trHeight w:val="664" w:hRule="exact"/>
          <w:jc w:val="center"/>
        </w:trPr>
        <w:tc>
          <w:tcPr>
            <w:tcW w:w="993" w:type="dxa"/>
            <w:tcBorders>
              <w:top w:val="single" w:color="000000" w:sz="4" w:space="0"/>
              <w:left w:val="single" w:color="000000" w:sz="4" w:space="0"/>
              <w:bottom w:val="single" w:color="000000" w:sz="4" w:space="0"/>
              <w:right w:val="single" w:color="000000" w:sz="4" w:space="0"/>
            </w:tcBorders>
            <w:vAlign w:val="center"/>
          </w:tcPr>
          <w:p w14:paraId="4106FBE7">
            <w:pPr>
              <w:keepNext w:val="0"/>
              <w:keepLines w:val="0"/>
              <w:suppressLineNumbers w:val="0"/>
              <w:autoSpaceDE w:val="0"/>
              <w:autoSpaceDN w:val="0"/>
              <w:adjustRightInd w:val="0"/>
              <w:spacing w:before="0" w:beforeAutospacing="0" w:after="0" w:afterAutospacing="0"/>
              <w:ind w:left="136" w:right="-20" w:firstLine="0" w:firstLineChars="0"/>
              <w:jc w:val="center"/>
              <w:rPr>
                <w:rFonts w:hint="default"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4</w:t>
            </w:r>
          </w:p>
        </w:tc>
        <w:tc>
          <w:tcPr>
            <w:tcW w:w="2081" w:type="dxa"/>
            <w:gridSpan w:val="2"/>
            <w:tcBorders>
              <w:top w:val="single" w:color="000000" w:sz="4" w:space="0"/>
              <w:left w:val="single" w:color="000000" w:sz="4" w:space="0"/>
              <w:bottom w:val="single" w:color="000000" w:sz="4" w:space="0"/>
              <w:right w:val="single" w:color="000000" w:sz="4" w:space="0"/>
            </w:tcBorders>
            <w:vAlign w:val="center"/>
          </w:tcPr>
          <w:p w14:paraId="11E7918B">
            <w:pPr>
              <w:keepNext w:val="0"/>
              <w:keepLines w:val="0"/>
              <w:suppressLineNumbers w:val="0"/>
              <w:autoSpaceDE w:val="0"/>
              <w:autoSpaceDN w:val="0"/>
              <w:adjustRightInd w:val="0"/>
              <w:spacing w:before="0" w:beforeAutospacing="0" w:after="0" w:afterAutospacing="0"/>
              <w:ind w:left="136" w:right="-20" w:firstLine="0" w:firstLineChars="0"/>
              <w:jc w:val="center"/>
              <w:rPr>
                <w:rFonts w:hint="default"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音视频现场记录仪</w:t>
            </w:r>
          </w:p>
        </w:tc>
        <w:tc>
          <w:tcPr>
            <w:tcW w:w="754" w:type="dxa"/>
            <w:tcBorders>
              <w:top w:val="single" w:color="000000" w:sz="4" w:space="0"/>
              <w:left w:val="single" w:color="000000" w:sz="4" w:space="0"/>
              <w:bottom w:val="single" w:color="000000" w:sz="4" w:space="0"/>
              <w:right w:val="single" w:color="000000" w:sz="4" w:space="0"/>
            </w:tcBorders>
            <w:vAlign w:val="center"/>
          </w:tcPr>
          <w:p w14:paraId="02EF35CD">
            <w:pPr>
              <w:keepNext w:val="0"/>
              <w:keepLines w:val="0"/>
              <w:suppressLineNumbers w:val="0"/>
              <w:spacing w:before="0" w:beforeAutospacing="0" w:after="0" w:afterAutospacing="0" w:line="240" w:lineRule="auto"/>
              <w:ind w:left="0" w:right="0"/>
              <w:jc w:val="center"/>
              <w:rPr>
                <w:rFonts w:hint="default" w:ascii="Times New Roman" w:hAnsi="Times New Roman" w:eastAsia="宋体" w:cs="Times New Roman"/>
                <w:b w:val="0"/>
                <w:bCs w:val="0"/>
                <w:kern w:val="2"/>
                <w:sz w:val="21"/>
                <w:szCs w:val="24"/>
                <w:lang w:val="en-US" w:eastAsia="zh-CN" w:bidi="ar-SA"/>
              </w:rPr>
            </w:pPr>
            <w:r>
              <w:rPr>
                <w:rFonts w:hint="default" w:ascii="Times New Roman" w:hAnsi="Times New Roman" w:eastAsia="宋体" w:cs="Times New Roman"/>
                <w:b w:val="0"/>
                <w:bCs w:val="0"/>
                <w:kern w:val="2"/>
                <w:sz w:val="21"/>
                <w:szCs w:val="24"/>
                <w:lang w:val="en-US" w:eastAsia="zh-CN" w:bidi="ar-SA"/>
              </w:rPr>
              <w:t>套</w:t>
            </w:r>
          </w:p>
        </w:tc>
        <w:tc>
          <w:tcPr>
            <w:tcW w:w="851" w:type="dxa"/>
            <w:tcBorders>
              <w:top w:val="single" w:color="000000" w:sz="4" w:space="0"/>
              <w:left w:val="single" w:color="000000" w:sz="4" w:space="0"/>
              <w:bottom w:val="single" w:color="000000" w:sz="4" w:space="0"/>
              <w:right w:val="single" w:color="000000" w:sz="4" w:space="0"/>
            </w:tcBorders>
            <w:vAlign w:val="center"/>
          </w:tcPr>
          <w:p w14:paraId="34C11871">
            <w:pPr>
              <w:keepNext w:val="0"/>
              <w:keepLines w:val="0"/>
              <w:widowControl/>
              <w:suppressLineNumbers w:val="0"/>
              <w:tabs>
                <w:tab w:val="left" w:pos="1584"/>
              </w:tabs>
              <w:wordWrap w:val="0"/>
              <w:overflowPunct w:val="0"/>
              <w:adjustRightInd w:val="0"/>
              <w:spacing w:before="0" w:beforeAutospacing="0" w:after="0" w:afterAutospacing="0" w:line="240" w:lineRule="auto"/>
              <w:ind w:left="0" w:right="0"/>
              <w:jc w:val="center"/>
              <w:textAlignment w:val="baseline"/>
              <w:outlineLvl w:val="8"/>
              <w:rPr>
                <w:rFonts w:hint="default"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10</w:t>
            </w:r>
          </w:p>
        </w:tc>
        <w:tc>
          <w:tcPr>
            <w:tcW w:w="1514" w:type="dxa"/>
            <w:tcBorders>
              <w:top w:val="single" w:color="000000" w:sz="4" w:space="0"/>
              <w:left w:val="single" w:color="000000" w:sz="4" w:space="0"/>
              <w:bottom w:val="single" w:color="000000" w:sz="4" w:space="0"/>
              <w:right w:val="single" w:color="000000" w:sz="4" w:space="0"/>
            </w:tcBorders>
            <w:vAlign w:val="center"/>
          </w:tcPr>
          <w:p w14:paraId="204FA1F5">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val="0"/>
                <w:kern w:val="2"/>
                <w:sz w:val="21"/>
                <w:szCs w:val="24"/>
                <w:lang w:val="en-US" w:eastAsia="zh-CN" w:bidi="ar-SA"/>
              </w:rPr>
            </w:pPr>
          </w:p>
        </w:tc>
        <w:tc>
          <w:tcPr>
            <w:tcW w:w="994" w:type="dxa"/>
            <w:tcBorders>
              <w:top w:val="single" w:color="000000" w:sz="4" w:space="0"/>
              <w:left w:val="single" w:color="000000" w:sz="4" w:space="0"/>
              <w:bottom w:val="single" w:color="000000" w:sz="4" w:space="0"/>
              <w:right w:val="single" w:color="000000" w:sz="4" w:space="0"/>
            </w:tcBorders>
            <w:vAlign w:val="center"/>
          </w:tcPr>
          <w:p w14:paraId="0F6C8A4C">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val="0"/>
                <w:kern w:val="2"/>
                <w:sz w:val="21"/>
                <w:szCs w:val="24"/>
                <w:lang w:val="en-US" w:eastAsia="zh-CN" w:bidi="ar-SA"/>
              </w:rPr>
            </w:pPr>
          </w:p>
        </w:tc>
        <w:tc>
          <w:tcPr>
            <w:tcW w:w="945" w:type="dxa"/>
            <w:tcBorders>
              <w:top w:val="single" w:color="000000" w:sz="4" w:space="0"/>
              <w:left w:val="single" w:color="000000" w:sz="4" w:space="0"/>
              <w:bottom w:val="single" w:color="000000" w:sz="4" w:space="0"/>
              <w:right w:val="single" w:color="000000" w:sz="4" w:space="0"/>
            </w:tcBorders>
            <w:vAlign w:val="center"/>
          </w:tcPr>
          <w:p w14:paraId="5A58505C">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val="0"/>
                <w:kern w:val="2"/>
                <w:sz w:val="21"/>
                <w:szCs w:val="24"/>
                <w:lang w:val="en-US" w:eastAsia="zh-CN" w:bidi="ar-SA"/>
              </w:rPr>
            </w:pPr>
          </w:p>
        </w:tc>
        <w:tc>
          <w:tcPr>
            <w:tcW w:w="1998" w:type="dxa"/>
            <w:tcBorders>
              <w:top w:val="single" w:color="000000" w:sz="4" w:space="0"/>
              <w:left w:val="single" w:color="000000" w:sz="4" w:space="0"/>
              <w:bottom w:val="single" w:color="000000" w:sz="4" w:space="0"/>
              <w:right w:val="single" w:color="000000" w:sz="4" w:space="0"/>
            </w:tcBorders>
          </w:tcPr>
          <w:p w14:paraId="04E3EB40">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val="0"/>
                <w:kern w:val="2"/>
                <w:sz w:val="21"/>
                <w:szCs w:val="24"/>
                <w:lang w:val="en-US" w:eastAsia="zh-CN" w:bidi="ar-SA"/>
              </w:rPr>
            </w:pPr>
          </w:p>
        </w:tc>
      </w:tr>
      <w:tr w14:paraId="795E1F37">
        <w:tblPrEx>
          <w:tblCellMar>
            <w:top w:w="0" w:type="dxa"/>
            <w:left w:w="0" w:type="dxa"/>
            <w:bottom w:w="0" w:type="dxa"/>
            <w:right w:w="0" w:type="dxa"/>
          </w:tblCellMar>
        </w:tblPrEx>
        <w:trPr>
          <w:trHeight w:val="574" w:hRule="exact"/>
          <w:jc w:val="center"/>
        </w:trPr>
        <w:tc>
          <w:tcPr>
            <w:tcW w:w="993" w:type="dxa"/>
            <w:tcBorders>
              <w:top w:val="single" w:color="000000" w:sz="4" w:space="0"/>
              <w:left w:val="single" w:color="000000" w:sz="4" w:space="0"/>
              <w:bottom w:val="single" w:color="000000" w:sz="4" w:space="0"/>
              <w:right w:val="single" w:color="000000" w:sz="4" w:space="0"/>
            </w:tcBorders>
            <w:vAlign w:val="center"/>
          </w:tcPr>
          <w:p w14:paraId="55B08A9A">
            <w:pPr>
              <w:keepNext w:val="0"/>
              <w:keepLines w:val="0"/>
              <w:suppressLineNumbers w:val="0"/>
              <w:autoSpaceDE w:val="0"/>
              <w:autoSpaceDN w:val="0"/>
              <w:adjustRightInd w:val="0"/>
              <w:spacing w:before="74" w:beforeAutospacing="0" w:after="0" w:afterAutospacing="0"/>
              <w:ind w:left="258" w:right="241" w:firstLine="0" w:firstLineChars="0"/>
              <w:jc w:val="cente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5</w:t>
            </w:r>
          </w:p>
        </w:tc>
        <w:tc>
          <w:tcPr>
            <w:tcW w:w="2081" w:type="dxa"/>
            <w:gridSpan w:val="2"/>
            <w:tcBorders>
              <w:top w:val="single" w:color="000000" w:sz="4" w:space="0"/>
              <w:left w:val="single" w:color="000000" w:sz="4" w:space="0"/>
              <w:bottom w:val="single" w:color="000000" w:sz="4" w:space="0"/>
              <w:right w:val="single" w:color="000000" w:sz="4" w:space="0"/>
            </w:tcBorders>
            <w:vAlign w:val="center"/>
          </w:tcPr>
          <w:p w14:paraId="13C07CC9">
            <w:pPr>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宋体" w:cs="Times New Roman"/>
                <w:b w:val="0"/>
                <w:bCs w:val="0"/>
                <w:kern w:val="2"/>
                <w:sz w:val="21"/>
                <w:szCs w:val="24"/>
                <w:lang w:val="en-US" w:eastAsia="zh-CN" w:bidi="ar-SA"/>
              </w:rPr>
            </w:pPr>
            <w:r>
              <w:rPr>
                <w:rFonts w:hint="default" w:ascii="Times New Roman" w:hAnsi="Times New Roman" w:eastAsia="宋体" w:cs="Times New Roman"/>
                <w:b w:val="0"/>
                <w:bCs w:val="0"/>
                <w:kern w:val="2"/>
                <w:sz w:val="21"/>
                <w:szCs w:val="24"/>
                <w:lang w:val="en-US" w:eastAsia="zh-CN" w:bidi="ar-SA"/>
              </w:rPr>
              <w:t>运保费</w:t>
            </w:r>
          </w:p>
        </w:tc>
        <w:tc>
          <w:tcPr>
            <w:tcW w:w="754" w:type="dxa"/>
            <w:tcBorders>
              <w:top w:val="single" w:color="000000" w:sz="4" w:space="0"/>
              <w:left w:val="single" w:color="000000" w:sz="4" w:space="0"/>
              <w:bottom w:val="single" w:color="000000" w:sz="4" w:space="0"/>
              <w:right w:val="single" w:color="000000" w:sz="4" w:space="0"/>
            </w:tcBorders>
            <w:vAlign w:val="center"/>
          </w:tcPr>
          <w:p w14:paraId="1B9BB16D">
            <w:pPr>
              <w:keepNext w:val="0"/>
              <w:keepLines w:val="0"/>
              <w:suppressLineNumbers w:val="0"/>
              <w:autoSpaceDE w:val="0"/>
              <w:autoSpaceDN w:val="0"/>
              <w:spacing w:before="0" w:beforeAutospacing="0" w:after="0" w:afterAutospacing="0"/>
              <w:ind w:left="0" w:right="0" w:firstLine="0" w:firstLineChars="0"/>
              <w:jc w:val="center"/>
              <w:rPr>
                <w:rFonts w:hint="default" w:ascii="Times New Roman" w:hAnsi="Times New Roman" w:eastAsia="宋体" w:cs="Times New Roman"/>
                <w:b w:val="0"/>
                <w:bCs w:val="0"/>
                <w:kern w:val="2"/>
                <w:sz w:val="21"/>
                <w:szCs w:val="24"/>
                <w:lang w:val="en-US" w:eastAsia="zh-CN" w:bidi="ar-SA"/>
              </w:rPr>
            </w:pPr>
            <w:r>
              <w:rPr>
                <w:rFonts w:hint="default" w:ascii="Times New Roman" w:hAnsi="Times New Roman" w:eastAsia="宋体" w:cs="Times New Roman"/>
                <w:b w:val="0"/>
                <w:bCs w:val="0"/>
                <w:kern w:val="2"/>
                <w:sz w:val="21"/>
                <w:szCs w:val="24"/>
                <w:lang w:val="en-US" w:eastAsia="zh-CN" w:bidi="ar-SA"/>
              </w:rPr>
              <w:t>项</w:t>
            </w:r>
          </w:p>
        </w:tc>
        <w:tc>
          <w:tcPr>
            <w:tcW w:w="851" w:type="dxa"/>
            <w:tcBorders>
              <w:top w:val="single" w:color="000000" w:sz="4" w:space="0"/>
              <w:left w:val="single" w:color="000000" w:sz="4" w:space="0"/>
              <w:bottom w:val="single" w:color="000000" w:sz="4" w:space="0"/>
              <w:right w:val="single" w:color="000000" w:sz="4" w:space="0"/>
            </w:tcBorders>
            <w:vAlign w:val="center"/>
          </w:tcPr>
          <w:p w14:paraId="19841A30">
            <w:pPr>
              <w:keepNext w:val="0"/>
              <w:keepLines w:val="0"/>
              <w:suppressLineNumbers w:val="0"/>
              <w:autoSpaceDE w:val="0"/>
              <w:autoSpaceDN w:val="0"/>
              <w:spacing w:before="0" w:beforeAutospacing="0" w:after="0" w:afterAutospacing="0"/>
              <w:ind w:left="0" w:right="0" w:firstLine="0" w:firstLineChars="0"/>
              <w:jc w:val="center"/>
              <w:rPr>
                <w:rFonts w:hint="default" w:ascii="Times New Roman" w:hAnsi="Times New Roman" w:eastAsia="宋体" w:cs="Times New Roman"/>
                <w:b w:val="0"/>
                <w:bCs w:val="0"/>
                <w:kern w:val="2"/>
                <w:sz w:val="21"/>
                <w:szCs w:val="24"/>
                <w:lang w:val="en-US" w:eastAsia="zh-CN" w:bidi="ar-SA"/>
              </w:rPr>
            </w:pPr>
            <w:r>
              <w:rPr>
                <w:rFonts w:hint="default" w:ascii="Times New Roman" w:hAnsi="Times New Roman" w:eastAsia="宋体" w:cs="Times New Roman"/>
                <w:b w:val="0"/>
                <w:bCs w:val="0"/>
                <w:kern w:val="2"/>
                <w:sz w:val="21"/>
                <w:szCs w:val="24"/>
                <w:lang w:val="en-US" w:eastAsia="zh-CN" w:bidi="ar-SA"/>
              </w:rPr>
              <w:t>1</w:t>
            </w:r>
          </w:p>
        </w:tc>
        <w:tc>
          <w:tcPr>
            <w:tcW w:w="1514" w:type="dxa"/>
            <w:tcBorders>
              <w:top w:val="single" w:color="000000" w:sz="4" w:space="0"/>
              <w:left w:val="single" w:color="000000" w:sz="4" w:space="0"/>
              <w:bottom w:val="single" w:color="000000" w:sz="4" w:space="0"/>
              <w:right w:val="single" w:color="000000" w:sz="4" w:space="0"/>
            </w:tcBorders>
            <w:vAlign w:val="center"/>
          </w:tcPr>
          <w:p w14:paraId="3C50AD26">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val="0"/>
                <w:kern w:val="2"/>
                <w:sz w:val="21"/>
                <w:szCs w:val="24"/>
                <w:lang w:val="en-US" w:eastAsia="zh-CN" w:bidi="ar-SA"/>
              </w:rPr>
            </w:pPr>
          </w:p>
        </w:tc>
        <w:tc>
          <w:tcPr>
            <w:tcW w:w="994" w:type="dxa"/>
            <w:tcBorders>
              <w:top w:val="single" w:color="000000" w:sz="4" w:space="0"/>
              <w:left w:val="single" w:color="000000" w:sz="4" w:space="0"/>
              <w:bottom w:val="single" w:color="000000" w:sz="4" w:space="0"/>
              <w:right w:val="single" w:color="000000" w:sz="4" w:space="0"/>
            </w:tcBorders>
            <w:vAlign w:val="center"/>
          </w:tcPr>
          <w:p w14:paraId="2A40DAD7">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val="0"/>
                <w:kern w:val="2"/>
                <w:sz w:val="21"/>
                <w:szCs w:val="24"/>
                <w:lang w:val="en-US" w:eastAsia="zh-CN" w:bidi="ar-SA"/>
              </w:rPr>
            </w:pPr>
          </w:p>
        </w:tc>
        <w:tc>
          <w:tcPr>
            <w:tcW w:w="945" w:type="dxa"/>
            <w:tcBorders>
              <w:top w:val="single" w:color="000000" w:sz="4" w:space="0"/>
              <w:left w:val="single" w:color="000000" w:sz="4" w:space="0"/>
              <w:bottom w:val="single" w:color="000000" w:sz="4" w:space="0"/>
              <w:right w:val="single" w:color="000000" w:sz="4" w:space="0"/>
            </w:tcBorders>
            <w:vAlign w:val="center"/>
          </w:tcPr>
          <w:p w14:paraId="675B11D4">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val="0"/>
                <w:kern w:val="2"/>
                <w:sz w:val="21"/>
                <w:szCs w:val="24"/>
                <w:lang w:val="en-US" w:eastAsia="zh-CN" w:bidi="ar-SA"/>
              </w:rPr>
            </w:pPr>
          </w:p>
        </w:tc>
        <w:tc>
          <w:tcPr>
            <w:tcW w:w="1998" w:type="dxa"/>
            <w:tcBorders>
              <w:top w:val="single" w:color="000000" w:sz="4" w:space="0"/>
              <w:left w:val="single" w:color="000000" w:sz="4" w:space="0"/>
              <w:bottom w:val="single" w:color="000000" w:sz="4" w:space="0"/>
              <w:right w:val="single" w:color="000000" w:sz="4" w:space="0"/>
            </w:tcBorders>
          </w:tcPr>
          <w:p w14:paraId="436E90BE">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val="0"/>
                <w:kern w:val="2"/>
                <w:sz w:val="21"/>
                <w:szCs w:val="24"/>
                <w:lang w:val="en-US" w:eastAsia="zh-CN" w:bidi="ar-SA"/>
              </w:rPr>
            </w:pPr>
          </w:p>
        </w:tc>
      </w:tr>
      <w:tr w14:paraId="1A7C26FC">
        <w:tblPrEx>
          <w:tblCellMar>
            <w:top w:w="0" w:type="dxa"/>
            <w:left w:w="0" w:type="dxa"/>
            <w:bottom w:w="0" w:type="dxa"/>
            <w:right w:w="0" w:type="dxa"/>
          </w:tblCellMar>
        </w:tblPrEx>
        <w:trPr>
          <w:trHeight w:val="574" w:hRule="exact"/>
          <w:jc w:val="center"/>
        </w:trPr>
        <w:tc>
          <w:tcPr>
            <w:tcW w:w="993" w:type="dxa"/>
            <w:tcBorders>
              <w:top w:val="single" w:color="000000" w:sz="4" w:space="0"/>
              <w:left w:val="single" w:color="000000" w:sz="4" w:space="0"/>
              <w:bottom w:val="single" w:color="000000" w:sz="4" w:space="0"/>
              <w:right w:val="single" w:color="000000" w:sz="4" w:space="0"/>
            </w:tcBorders>
            <w:vAlign w:val="center"/>
          </w:tcPr>
          <w:p w14:paraId="33A6ACE6">
            <w:pPr>
              <w:keepNext w:val="0"/>
              <w:keepLines w:val="0"/>
              <w:suppressLineNumbers w:val="0"/>
              <w:autoSpaceDE w:val="0"/>
              <w:autoSpaceDN w:val="0"/>
              <w:adjustRightInd w:val="0"/>
              <w:spacing w:before="74" w:beforeAutospacing="0" w:after="0" w:afterAutospacing="0"/>
              <w:ind w:left="258" w:right="241" w:firstLine="0" w:firstLineChars="0"/>
              <w:jc w:val="cente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6</w:t>
            </w:r>
          </w:p>
        </w:tc>
        <w:tc>
          <w:tcPr>
            <w:tcW w:w="2081" w:type="dxa"/>
            <w:gridSpan w:val="2"/>
            <w:tcBorders>
              <w:top w:val="single" w:color="000000" w:sz="4" w:space="0"/>
              <w:left w:val="single" w:color="000000" w:sz="4" w:space="0"/>
              <w:bottom w:val="single" w:color="000000" w:sz="4" w:space="0"/>
              <w:right w:val="single" w:color="000000" w:sz="4" w:space="0"/>
            </w:tcBorders>
            <w:vAlign w:val="center"/>
          </w:tcPr>
          <w:p w14:paraId="413B9462">
            <w:pPr>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宋体" w:cs="Times New Roman"/>
                <w:b w:val="0"/>
                <w:bCs w:val="0"/>
                <w:kern w:val="2"/>
                <w:sz w:val="21"/>
                <w:szCs w:val="24"/>
                <w:lang w:val="en-US" w:eastAsia="zh-CN" w:bidi="ar-SA"/>
              </w:rPr>
            </w:pPr>
            <w:r>
              <w:rPr>
                <w:rFonts w:hint="default" w:ascii="Times New Roman" w:hAnsi="Times New Roman" w:eastAsia="宋体" w:cs="Times New Roman"/>
                <w:b w:val="0"/>
                <w:bCs w:val="0"/>
                <w:kern w:val="2"/>
                <w:sz w:val="21"/>
                <w:szCs w:val="24"/>
                <w:lang w:val="en-US" w:eastAsia="zh-CN" w:bidi="ar-SA"/>
              </w:rPr>
              <w:t>装卸费</w:t>
            </w:r>
          </w:p>
        </w:tc>
        <w:tc>
          <w:tcPr>
            <w:tcW w:w="754" w:type="dxa"/>
            <w:tcBorders>
              <w:top w:val="single" w:color="000000" w:sz="4" w:space="0"/>
              <w:left w:val="single" w:color="000000" w:sz="4" w:space="0"/>
              <w:bottom w:val="single" w:color="000000" w:sz="4" w:space="0"/>
              <w:right w:val="single" w:color="000000" w:sz="4" w:space="0"/>
            </w:tcBorders>
            <w:vAlign w:val="center"/>
          </w:tcPr>
          <w:p w14:paraId="37CB1EE3">
            <w:pPr>
              <w:keepNext w:val="0"/>
              <w:keepLines w:val="0"/>
              <w:suppressLineNumbers w:val="0"/>
              <w:autoSpaceDE w:val="0"/>
              <w:autoSpaceDN w:val="0"/>
              <w:spacing w:before="0" w:beforeAutospacing="0" w:after="0" w:afterAutospacing="0"/>
              <w:ind w:left="0" w:right="0" w:firstLine="0" w:firstLineChars="0"/>
              <w:jc w:val="center"/>
              <w:rPr>
                <w:rFonts w:hint="default" w:ascii="Times New Roman" w:hAnsi="Times New Roman" w:eastAsia="宋体" w:cs="Times New Roman"/>
                <w:b w:val="0"/>
                <w:bCs w:val="0"/>
                <w:kern w:val="2"/>
                <w:sz w:val="21"/>
                <w:szCs w:val="24"/>
                <w:lang w:val="en-US" w:eastAsia="zh-CN" w:bidi="ar-SA"/>
              </w:rPr>
            </w:pPr>
            <w:r>
              <w:rPr>
                <w:rFonts w:hint="default" w:ascii="Times New Roman" w:hAnsi="Times New Roman" w:eastAsia="宋体" w:cs="Times New Roman"/>
                <w:b w:val="0"/>
                <w:bCs w:val="0"/>
                <w:kern w:val="2"/>
                <w:sz w:val="21"/>
                <w:szCs w:val="24"/>
                <w:lang w:val="en-US" w:eastAsia="zh-CN" w:bidi="ar-SA"/>
              </w:rPr>
              <w:t>项</w:t>
            </w:r>
          </w:p>
        </w:tc>
        <w:tc>
          <w:tcPr>
            <w:tcW w:w="851" w:type="dxa"/>
            <w:tcBorders>
              <w:top w:val="single" w:color="000000" w:sz="4" w:space="0"/>
              <w:left w:val="single" w:color="000000" w:sz="4" w:space="0"/>
              <w:bottom w:val="single" w:color="000000" w:sz="4" w:space="0"/>
              <w:right w:val="single" w:color="000000" w:sz="4" w:space="0"/>
            </w:tcBorders>
            <w:vAlign w:val="center"/>
          </w:tcPr>
          <w:p w14:paraId="76EF2A0D">
            <w:pPr>
              <w:keepNext w:val="0"/>
              <w:keepLines w:val="0"/>
              <w:suppressLineNumbers w:val="0"/>
              <w:autoSpaceDE w:val="0"/>
              <w:autoSpaceDN w:val="0"/>
              <w:spacing w:before="0" w:beforeAutospacing="0" w:after="0" w:afterAutospacing="0"/>
              <w:ind w:left="0" w:right="0" w:firstLine="0" w:firstLineChars="0"/>
              <w:jc w:val="center"/>
              <w:rPr>
                <w:rFonts w:hint="default" w:ascii="Times New Roman" w:hAnsi="Times New Roman" w:eastAsia="宋体" w:cs="Times New Roman"/>
                <w:b w:val="0"/>
                <w:bCs w:val="0"/>
                <w:kern w:val="2"/>
                <w:sz w:val="21"/>
                <w:szCs w:val="24"/>
                <w:lang w:val="en-US" w:eastAsia="zh-CN" w:bidi="ar-SA"/>
              </w:rPr>
            </w:pPr>
            <w:r>
              <w:rPr>
                <w:rFonts w:hint="default" w:ascii="Times New Roman" w:hAnsi="Times New Roman" w:eastAsia="宋体" w:cs="Times New Roman"/>
                <w:b w:val="0"/>
                <w:bCs w:val="0"/>
                <w:kern w:val="2"/>
                <w:sz w:val="21"/>
                <w:szCs w:val="24"/>
                <w:lang w:val="en-US" w:eastAsia="zh-CN" w:bidi="ar-SA"/>
              </w:rPr>
              <w:t>1</w:t>
            </w:r>
          </w:p>
        </w:tc>
        <w:tc>
          <w:tcPr>
            <w:tcW w:w="1514" w:type="dxa"/>
            <w:tcBorders>
              <w:top w:val="single" w:color="000000" w:sz="4" w:space="0"/>
              <w:left w:val="single" w:color="000000" w:sz="4" w:space="0"/>
              <w:bottom w:val="single" w:color="000000" w:sz="4" w:space="0"/>
              <w:right w:val="single" w:color="000000" w:sz="4" w:space="0"/>
            </w:tcBorders>
            <w:vAlign w:val="center"/>
          </w:tcPr>
          <w:p w14:paraId="56281ACE">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val="0"/>
                <w:kern w:val="2"/>
                <w:sz w:val="21"/>
                <w:szCs w:val="24"/>
                <w:lang w:val="en-US" w:eastAsia="zh-CN" w:bidi="ar-SA"/>
              </w:rPr>
            </w:pPr>
          </w:p>
        </w:tc>
        <w:tc>
          <w:tcPr>
            <w:tcW w:w="994" w:type="dxa"/>
            <w:tcBorders>
              <w:top w:val="single" w:color="000000" w:sz="4" w:space="0"/>
              <w:left w:val="single" w:color="000000" w:sz="4" w:space="0"/>
              <w:bottom w:val="single" w:color="000000" w:sz="4" w:space="0"/>
              <w:right w:val="single" w:color="000000" w:sz="4" w:space="0"/>
            </w:tcBorders>
            <w:vAlign w:val="center"/>
          </w:tcPr>
          <w:p w14:paraId="0706E8DF">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val="0"/>
                <w:kern w:val="2"/>
                <w:sz w:val="21"/>
                <w:szCs w:val="24"/>
                <w:lang w:val="en-US" w:eastAsia="zh-CN" w:bidi="ar-SA"/>
              </w:rPr>
            </w:pPr>
          </w:p>
        </w:tc>
        <w:tc>
          <w:tcPr>
            <w:tcW w:w="945" w:type="dxa"/>
            <w:tcBorders>
              <w:top w:val="single" w:color="000000" w:sz="4" w:space="0"/>
              <w:left w:val="single" w:color="000000" w:sz="4" w:space="0"/>
              <w:bottom w:val="single" w:color="000000" w:sz="4" w:space="0"/>
              <w:right w:val="single" w:color="000000" w:sz="4" w:space="0"/>
            </w:tcBorders>
            <w:vAlign w:val="center"/>
          </w:tcPr>
          <w:p w14:paraId="0381105A">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val="0"/>
                <w:kern w:val="2"/>
                <w:sz w:val="21"/>
                <w:szCs w:val="24"/>
                <w:lang w:val="en-US" w:eastAsia="zh-CN" w:bidi="ar-SA"/>
              </w:rPr>
            </w:pPr>
          </w:p>
        </w:tc>
        <w:tc>
          <w:tcPr>
            <w:tcW w:w="1998" w:type="dxa"/>
            <w:tcBorders>
              <w:top w:val="single" w:color="000000" w:sz="4" w:space="0"/>
              <w:left w:val="single" w:color="000000" w:sz="4" w:space="0"/>
              <w:bottom w:val="single" w:color="000000" w:sz="4" w:space="0"/>
              <w:right w:val="single" w:color="000000" w:sz="4" w:space="0"/>
            </w:tcBorders>
          </w:tcPr>
          <w:p w14:paraId="69517F1C">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val="0"/>
                <w:kern w:val="2"/>
                <w:sz w:val="21"/>
                <w:szCs w:val="24"/>
                <w:lang w:val="en-US" w:eastAsia="zh-CN" w:bidi="ar-SA"/>
              </w:rPr>
            </w:pPr>
          </w:p>
        </w:tc>
      </w:tr>
      <w:tr w14:paraId="3851526B">
        <w:tblPrEx>
          <w:tblCellMar>
            <w:top w:w="0" w:type="dxa"/>
            <w:left w:w="0" w:type="dxa"/>
            <w:bottom w:w="0" w:type="dxa"/>
            <w:right w:w="0" w:type="dxa"/>
          </w:tblCellMar>
        </w:tblPrEx>
        <w:trPr>
          <w:trHeight w:val="740" w:hRule="exact"/>
          <w:jc w:val="center"/>
        </w:trPr>
        <w:tc>
          <w:tcPr>
            <w:tcW w:w="993" w:type="dxa"/>
            <w:tcBorders>
              <w:top w:val="single" w:color="000000" w:sz="4" w:space="0"/>
              <w:left w:val="single" w:color="000000" w:sz="4" w:space="0"/>
              <w:bottom w:val="single" w:color="000000" w:sz="4" w:space="0"/>
              <w:right w:val="single" w:color="000000" w:sz="4" w:space="0"/>
            </w:tcBorders>
            <w:vAlign w:val="center"/>
          </w:tcPr>
          <w:p w14:paraId="2FC0CFB2">
            <w:pPr>
              <w:keepNext w:val="0"/>
              <w:keepLines w:val="0"/>
              <w:suppressLineNumbers w:val="0"/>
              <w:autoSpaceDE w:val="0"/>
              <w:autoSpaceDN w:val="0"/>
              <w:adjustRightInd w:val="0"/>
              <w:spacing w:before="74" w:beforeAutospacing="0" w:after="0" w:afterAutospacing="0"/>
              <w:ind w:left="258" w:right="241" w:firstLine="0" w:firstLineChars="0"/>
              <w:jc w:val="cente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7</w:t>
            </w:r>
          </w:p>
        </w:tc>
        <w:tc>
          <w:tcPr>
            <w:tcW w:w="2081" w:type="dxa"/>
            <w:gridSpan w:val="2"/>
            <w:tcBorders>
              <w:top w:val="single" w:color="000000" w:sz="4" w:space="0"/>
              <w:left w:val="single" w:color="000000" w:sz="4" w:space="0"/>
              <w:bottom w:val="single" w:color="000000" w:sz="4" w:space="0"/>
              <w:right w:val="single" w:color="000000" w:sz="4" w:space="0"/>
            </w:tcBorders>
            <w:vAlign w:val="center"/>
          </w:tcPr>
          <w:p w14:paraId="0760B85D">
            <w:pPr>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宋体" w:cs="Times New Roman"/>
                <w:b w:val="0"/>
                <w:bCs w:val="0"/>
                <w:kern w:val="2"/>
                <w:sz w:val="21"/>
                <w:szCs w:val="24"/>
                <w:lang w:val="en-US" w:eastAsia="zh-CN" w:bidi="ar-SA"/>
              </w:rPr>
            </w:pPr>
            <w:r>
              <w:rPr>
                <w:rFonts w:hint="default" w:ascii="Times New Roman" w:hAnsi="Times New Roman" w:eastAsia="宋体" w:cs="Times New Roman"/>
                <w:b w:val="0"/>
                <w:bCs w:val="0"/>
                <w:kern w:val="2"/>
                <w:sz w:val="21"/>
                <w:szCs w:val="24"/>
                <w:lang w:val="en-US" w:eastAsia="zh-CN" w:bidi="ar-SA"/>
              </w:rPr>
              <w:t>组装、安装调试</w:t>
            </w:r>
          </w:p>
        </w:tc>
        <w:tc>
          <w:tcPr>
            <w:tcW w:w="754" w:type="dxa"/>
            <w:tcBorders>
              <w:top w:val="single" w:color="000000" w:sz="4" w:space="0"/>
              <w:left w:val="single" w:color="000000" w:sz="4" w:space="0"/>
              <w:bottom w:val="single" w:color="000000" w:sz="4" w:space="0"/>
              <w:right w:val="single" w:color="000000" w:sz="4" w:space="0"/>
            </w:tcBorders>
            <w:vAlign w:val="center"/>
          </w:tcPr>
          <w:p w14:paraId="7020D5ED">
            <w:pPr>
              <w:keepNext w:val="0"/>
              <w:keepLines w:val="0"/>
              <w:suppressLineNumbers w:val="0"/>
              <w:autoSpaceDE w:val="0"/>
              <w:autoSpaceDN w:val="0"/>
              <w:spacing w:before="0" w:beforeAutospacing="0" w:after="0" w:afterAutospacing="0"/>
              <w:ind w:left="0" w:right="0" w:firstLine="0" w:firstLineChars="0"/>
              <w:jc w:val="center"/>
              <w:rPr>
                <w:rFonts w:hint="default" w:ascii="Times New Roman" w:hAnsi="Times New Roman" w:eastAsia="宋体" w:cs="Times New Roman"/>
                <w:b w:val="0"/>
                <w:bCs w:val="0"/>
                <w:kern w:val="2"/>
                <w:sz w:val="21"/>
                <w:szCs w:val="24"/>
                <w:lang w:val="en-US" w:eastAsia="zh-CN" w:bidi="ar-SA"/>
              </w:rPr>
            </w:pPr>
            <w:r>
              <w:rPr>
                <w:rFonts w:hint="default" w:ascii="Times New Roman" w:hAnsi="Times New Roman" w:eastAsia="宋体" w:cs="Times New Roman"/>
                <w:b w:val="0"/>
                <w:bCs w:val="0"/>
                <w:kern w:val="2"/>
                <w:sz w:val="21"/>
                <w:szCs w:val="24"/>
                <w:lang w:val="en-US" w:eastAsia="zh-CN" w:bidi="ar-SA"/>
              </w:rPr>
              <w:t>项</w:t>
            </w:r>
          </w:p>
        </w:tc>
        <w:tc>
          <w:tcPr>
            <w:tcW w:w="851" w:type="dxa"/>
            <w:tcBorders>
              <w:top w:val="single" w:color="000000" w:sz="4" w:space="0"/>
              <w:left w:val="single" w:color="000000" w:sz="4" w:space="0"/>
              <w:bottom w:val="single" w:color="000000" w:sz="4" w:space="0"/>
              <w:right w:val="single" w:color="000000" w:sz="4" w:space="0"/>
            </w:tcBorders>
            <w:vAlign w:val="center"/>
          </w:tcPr>
          <w:p w14:paraId="7968F9A6">
            <w:pPr>
              <w:keepNext w:val="0"/>
              <w:keepLines w:val="0"/>
              <w:suppressLineNumbers w:val="0"/>
              <w:autoSpaceDE w:val="0"/>
              <w:autoSpaceDN w:val="0"/>
              <w:spacing w:before="0" w:beforeAutospacing="0" w:after="0" w:afterAutospacing="0"/>
              <w:ind w:left="0" w:right="0" w:firstLine="0" w:firstLineChars="0"/>
              <w:jc w:val="center"/>
              <w:rPr>
                <w:rFonts w:hint="default" w:ascii="Times New Roman" w:hAnsi="Times New Roman" w:eastAsia="宋体" w:cs="Times New Roman"/>
                <w:b w:val="0"/>
                <w:bCs w:val="0"/>
                <w:kern w:val="2"/>
                <w:sz w:val="21"/>
                <w:szCs w:val="24"/>
                <w:lang w:val="en-US" w:eastAsia="zh-CN" w:bidi="ar-SA"/>
              </w:rPr>
            </w:pPr>
            <w:r>
              <w:rPr>
                <w:rFonts w:hint="default" w:ascii="Times New Roman" w:hAnsi="Times New Roman" w:eastAsia="宋体" w:cs="Times New Roman"/>
                <w:b w:val="0"/>
                <w:bCs w:val="0"/>
                <w:kern w:val="2"/>
                <w:sz w:val="21"/>
                <w:szCs w:val="24"/>
                <w:lang w:val="en-US" w:eastAsia="zh-CN" w:bidi="ar-SA"/>
              </w:rPr>
              <w:t>1</w:t>
            </w:r>
          </w:p>
        </w:tc>
        <w:tc>
          <w:tcPr>
            <w:tcW w:w="1514" w:type="dxa"/>
            <w:tcBorders>
              <w:top w:val="single" w:color="000000" w:sz="4" w:space="0"/>
              <w:left w:val="single" w:color="000000" w:sz="4" w:space="0"/>
              <w:bottom w:val="single" w:color="000000" w:sz="4" w:space="0"/>
              <w:right w:val="single" w:color="000000" w:sz="4" w:space="0"/>
            </w:tcBorders>
            <w:vAlign w:val="center"/>
          </w:tcPr>
          <w:p w14:paraId="0CD5E1B1">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val="0"/>
                <w:kern w:val="2"/>
                <w:sz w:val="21"/>
                <w:szCs w:val="24"/>
                <w:lang w:val="en-US" w:eastAsia="zh-CN" w:bidi="ar-SA"/>
              </w:rPr>
            </w:pPr>
          </w:p>
        </w:tc>
        <w:tc>
          <w:tcPr>
            <w:tcW w:w="994" w:type="dxa"/>
            <w:tcBorders>
              <w:top w:val="single" w:color="000000" w:sz="4" w:space="0"/>
              <w:left w:val="single" w:color="000000" w:sz="4" w:space="0"/>
              <w:bottom w:val="single" w:color="000000" w:sz="4" w:space="0"/>
              <w:right w:val="single" w:color="000000" w:sz="4" w:space="0"/>
            </w:tcBorders>
            <w:vAlign w:val="center"/>
          </w:tcPr>
          <w:p w14:paraId="52499D96">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val="0"/>
                <w:kern w:val="2"/>
                <w:sz w:val="21"/>
                <w:szCs w:val="24"/>
                <w:lang w:val="en-US" w:eastAsia="zh-CN" w:bidi="ar-SA"/>
              </w:rPr>
            </w:pPr>
          </w:p>
        </w:tc>
        <w:tc>
          <w:tcPr>
            <w:tcW w:w="945" w:type="dxa"/>
            <w:tcBorders>
              <w:top w:val="single" w:color="000000" w:sz="4" w:space="0"/>
              <w:left w:val="single" w:color="000000" w:sz="4" w:space="0"/>
              <w:bottom w:val="single" w:color="000000" w:sz="4" w:space="0"/>
              <w:right w:val="single" w:color="000000" w:sz="4" w:space="0"/>
            </w:tcBorders>
            <w:vAlign w:val="center"/>
          </w:tcPr>
          <w:p w14:paraId="6E66095E">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val="0"/>
                <w:kern w:val="2"/>
                <w:sz w:val="21"/>
                <w:szCs w:val="24"/>
                <w:lang w:val="en-US" w:eastAsia="zh-CN" w:bidi="ar-SA"/>
              </w:rPr>
            </w:pPr>
          </w:p>
        </w:tc>
        <w:tc>
          <w:tcPr>
            <w:tcW w:w="1998" w:type="dxa"/>
            <w:tcBorders>
              <w:top w:val="single" w:color="000000" w:sz="4" w:space="0"/>
              <w:left w:val="single" w:color="000000" w:sz="4" w:space="0"/>
              <w:bottom w:val="single" w:color="000000" w:sz="4" w:space="0"/>
              <w:right w:val="single" w:color="000000" w:sz="4" w:space="0"/>
            </w:tcBorders>
          </w:tcPr>
          <w:p w14:paraId="54FD6F42">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val="0"/>
                <w:kern w:val="2"/>
                <w:sz w:val="21"/>
                <w:szCs w:val="24"/>
                <w:lang w:val="en-US" w:eastAsia="zh-CN" w:bidi="ar-SA"/>
              </w:rPr>
            </w:pPr>
          </w:p>
        </w:tc>
      </w:tr>
      <w:tr w14:paraId="01CCE67A">
        <w:tblPrEx>
          <w:tblCellMar>
            <w:top w:w="0" w:type="dxa"/>
            <w:left w:w="0" w:type="dxa"/>
            <w:bottom w:w="0" w:type="dxa"/>
            <w:right w:w="0" w:type="dxa"/>
          </w:tblCellMar>
        </w:tblPrEx>
        <w:trPr>
          <w:trHeight w:val="574" w:hRule="exact"/>
          <w:jc w:val="center"/>
        </w:trPr>
        <w:tc>
          <w:tcPr>
            <w:tcW w:w="993" w:type="dxa"/>
            <w:tcBorders>
              <w:top w:val="single" w:color="000000" w:sz="4" w:space="0"/>
              <w:left w:val="single" w:color="000000" w:sz="4" w:space="0"/>
              <w:bottom w:val="single" w:color="000000" w:sz="4" w:space="0"/>
              <w:right w:val="single" w:color="000000" w:sz="4" w:space="0"/>
            </w:tcBorders>
            <w:vAlign w:val="center"/>
          </w:tcPr>
          <w:p w14:paraId="6B1197D4">
            <w:pPr>
              <w:keepNext w:val="0"/>
              <w:keepLines w:val="0"/>
              <w:suppressLineNumbers w:val="0"/>
              <w:autoSpaceDE w:val="0"/>
              <w:autoSpaceDN w:val="0"/>
              <w:adjustRightInd w:val="0"/>
              <w:spacing w:before="74" w:beforeAutospacing="0" w:after="0" w:afterAutospacing="0"/>
              <w:ind w:left="258" w:right="241" w:firstLine="0" w:firstLineChars="0"/>
              <w:jc w:val="cente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8</w:t>
            </w:r>
          </w:p>
        </w:tc>
        <w:tc>
          <w:tcPr>
            <w:tcW w:w="2081" w:type="dxa"/>
            <w:gridSpan w:val="2"/>
            <w:tcBorders>
              <w:top w:val="single" w:color="000000" w:sz="4" w:space="0"/>
              <w:left w:val="single" w:color="000000" w:sz="4" w:space="0"/>
              <w:bottom w:val="single" w:color="000000" w:sz="4" w:space="0"/>
              <w:right w:val="single" w:color="000000" w:sz="4" w:space="0"/>
            </w:tcBorders>
            <w:vAlign w:val="center"/>
          </w:tcPr>
          <w:p w14:paraId="5AD6FC08">
            <w:pPr>
              <w:keepNext w:val="0"/>
              <w:keepLines w:val="0"/>
              <w:widowControl/>
              <w:suppressLineNumbers w:val="0"/>
              <w:spacing w:before="0" w:beforeAutospacing="0" w:after="0" w:afterAutospacing="0"/>
              <w:ind w:left="0" w:right="0" w:firstLine="0" w:firstLineChars="0"/>
              <w:jc w:val="center"/>
              <w:rPr>
                <w:rFonts w:hint="default" w:ascii="Times New Roman" w:hAnsi="Times New Roman" w:eastAsia="宋体" w:cs="Times New Roman"/>
                <w:b w:val="0"/>
                <w:bCs w:val="0"/>
                <w:kern w:val="2"/>
                <w:sz w:val="21"/>
                <w:szCs w:val="24"/>
                <w:lang w:val="en-US" w:eastAsia="zh-CN" w:bidi="ar-SA"/>
              </w:rPr>
            </w:pPr>
            <w:r>
              <w:rPr>
                <w:rFonts w:hint="default" w:ascii="Times New Roman" w:hAnsi="Times New Roman" w:eastAsia="宋体" w:cs="Times New Roman"/>
                <w:b w:val="0"/>
                <w:bCs w:val="0"/>
                <w:kern w:val="2"/>
                <w:sz w:val="21"/>
                <w:szCs w:val="24"/>
                <w:lang w:val="en-US" w:eastAsia="zh-CN" w:bidi="ar-SA"/>
              </w:rPr>
              <w:t>培训费及其他</w:t>
            </w:r>
          </w:p>
        </w:tc>
        <w:tc>
          <w:tcPr>
            <w:tcW w:w="754" w:type="dxa"/>
            <w:tcBorders>
              <w:top w:val="single" w:color="000000" w:sz="4" w:space="0"/>
              <w:left w:val="single" w:color="000000" w:sz="4" w:space="0"/>
              <w:bottom w:val="single" w:color="000000" w:sz="4" w:space="0"/>
              <w:right w:val="single" w:color="000000" w:sz="4" w:space="0"/>
            </w:tcBorders>
            <w:vAlign w:val="center"/>
          </w:tcPr>
          <w:p w14:paraId="364F0194">
            <w:pPr>
              <w:keepNext w:val="0"/>
              <w:keepLines w:val="0"/>
              <w:suppressLineNumbers w:val="0"/>
              <w:autoSpaceDE w:val="0"/>
              <w:autoSpaceDN w:val="0"/>
              <w:spacing w:before="0" w:beforeAutospacing="0" w:after="0" w:afterAutospacing="0"/>
              <w:ind w:left="0" w:right="0" w:firstLine="0" w:firstLineChars="0"/>
              <w:jc w:val="center"/>
              <w:rPr>
                <w:rFonts w:hint="default" w:ascii="Times New Roman" w:hAnsi="Times New Roman" w:eastAsia="宋体" w:cs="Times New Roman"/>
                <w:b w:val="0"/>
                <w:bCs w:val="0"/>
                <w:kern w:val="2"/>
                <w:sz w:val="21"/>
                <w:szCs w:val="24"/>
                <w:lang w:val="en-US" w:eastAsia="zh-CN" w:bidi="ar-SA"/>
              </w:rPr>
            </w:pPr>
            <w:r>
              <w:rPr>
                <w:rFonts w:hint="default" w:ascii="Times New Roman" w:hAnsi="Times New Roman" w:eastAsia="宋体" w:cs="Times New Roman"/>
                <w:b w:val="0"/>
                <w:bCs w:val="0"/>
                <w:kern w:val="2"/>
                <w:sz w:val="21"/>
                <w:szCs w:val="24"/>
                <w:lang w:val="en-US" w:eastAsia="zh-CN" w:bidi="ar-SA"/>
              </w:rPr>
              <w:t>项</w:t>
            </w:r>
          </w:p>
        </w:tc>
        <w:tc>
          <w:tcPr>
            <w:tcW w:w="851" w:type="dxa"/>
            <w:tcBorders>
              <w:top w:val="single" w:color="000000" w:sz="4" w:space="0"/>
              <w:left w:val="single" w:color="000000" w:sz="4" w:space="0"/>
              <w:bottom w:val="single" w:color="000000" w:sz="4" w:space="0"/>
              <w:right w:val="single" w:color="000000" w:sz="4" w:space="0"/>
            </w:tcBorders>
            <w:vAlign w:val="center"/>
          </w:tcPr>
          <w:p w14:paraId="20EAB4D3">
            <w:pPr>
              <w:keepNext w:val="0"/>
              <w:keepLines w:val="0"/>
              <w:suppressLineNumbers w:val="0"/>
              <w:autoSpaceDE w:val="0"/>
              <w:autoSpaceDN w:val="0"/>
              <w:spacing w:before="0" w:beforeAutospacing="0" w:after="0" w:afterAutospacing="0"/>
              <w:ind w:left="0" w:right="0" w:firstLine="0" w:firstLineChars="0"/>
              <w:jc w:val="center"/>
              <w:rPr>
                <w:rFonts w:hint="default" w:ascii="Times New Roman" w:hAnsi="Times New Roman" w:eastAsia="宋体" w:cs="Times New Roman"/>
                <w:b w:val="0"/>
                <w:bCs w:val="0"/>
                <w:kern w:val="2"/>
                <w:sz w:val="21"/>
                <w:szCs w:val="24"/>
                <w:lang w:val="en-US" w:eastAsia="zh-CN" w:bidi="ar-SA"/>
              </w:rPr>
            </w:pPr>
            <w:r>
              <w:rPr>
                <w:rFonts w:hint="default" w:ascii="Times New Roman" w:hAnsi="Times New Roman" w:eastAsia="宋体" w:cs="Times New Roman"/>
                <w:b w:val="0"/>
                <w:bCs w:val="0"/>
                <w:kern w:val="2"/>
                <w:sz w:val="21"/>
                <w:szCs w:val="24"/>
                <w:lang w:val="en-US" w:eastAsia="zh-CN" w:bidi="ar-SA"/>
              </w:rPr>
              <w:t>1</w:t>
            </w:r>
          </w:p>
        </w:tc>
        <w:tc>
          <w:tcPr>
            <w:tcW w:w="1514" w:type="dxa"/>
            <w:tcBorders>
              <w:top w:val="single" w:color="000000" w:sz="4" w:space="0"/>
              <w:left w:val="single" w:color="000000" w:sz="4" w:space="0"/>
              <w:bottom w:val="single" w:color="000000" w:sz="4" w:space="0"/>
              <w:right w:val="single" w:color="000000" w:sz="4" w:space="0"/>
            </w:tcBorders>
            <w:vAlign w:val="center"/>
          </w:tcPr>
          <w:p w14:paraId="116A1538">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val="0"/>
                <w:kern w:val="2"/>
                <w:sz w:val="21"/>
                <w:szCs w:val="24"/>
                <w:lang w:val="en-US" w:eastAsia="zh-CN" w:bidi="ar-SA"/>
              </w:rPr>
            </w:pPr>
          </w:p>
        </w:tc>
        <w:tc>
          <w:tcPr>
            <w:tcW w:w="994" w:type="dxa"/>
            <w:tcBorders>
              <w:top w:val="single" w:color="000000" w:sz="4" w:space="0"/>
              <w:left w:val="single" w:color="000000" w:sz="4" w:space="0"/>
              <w:bottom w:val="single" w:color="000000" w:sz="4" w:space="0"/>
              <w:right w:val="single" w:color="000000" w:sz="4" w:space="0"/>
            </w:tcBorders>
            <w:vAlign w:val="center"/>
          </w:tcPr>
          <w:p w14:paraId="7F7A4AD7">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val="0"/>
                <w:kern w:val="2"/>
                <w:sz w:val="21"/>
                <w:szCs w:val="24"/>
                <w:lang w:val="en-US" w:eastAsia="zh-CN" w:bidi="ar-SA"/>
              </w:rPr>
            </w:pPr>
          </w:p>
        </w:tc>
        <w:tc>
          <w:tcPr>
            <w:tcW w:w="945" w:type="dxa"/>
            <w:tcBorders>
              <w:top w:val="single" w:color="000000" w:sz="4" w:space="0"/>
              <w:left w:val="single" w:color="000000" w:sz="4" w:space="0"/>
              <w:bottom w:val="single" w:color="000000" w:sz="4" w:space="0"/>
              <w:right w:val="single" w:color="000000" w:sz="4" w:space="0"/>
            </w:tcBorders>
            <w:vAlign w:val="center"/>
          </w:tcPr>
          <w:p w14:paraId="50486600">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val="0"/>
                <w:kern w:val="2"/>
                <w:sz w:val="21"/>
                <w:szCs w:val="24"/>
                <w:lang w:val="en-US" w:eastAsia="zh-CN" w:bidi="ar-SA"/>
              </w:rPr>
            </w:pPr>
          </w:p>
        </w:tc>
        <w:tc>
          <w:tcPr>
            <w:tcW w:w="1998" w:type="dxa"/>
            <w:tcBorders>
              <w:top w:val="single" w:color="000000" w:sz="4" w:space="0"/>
              <w:left w:val="single" w:color="000000" w:sz="4" w:space="0"/>
              <w:bottom w:val="single" w:color="000000" w:sz="4" w:space="0"/>
              <w:right w:val="single" w:color="000000" w:sz="4" w:space="0"/>
            </w:tcBorders>
          </w:tcPr>
          <w:p w14:paraId="0A36AF0A">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val="0"/>
                <w:kern w:val="2"/>
                <w:sz w:val="21"/>
                <w:szCs w:val="24"/>
                <w:lang w:val="en-US" w:eastAsia="zh-CN" w:bidi="ar-SA"/>
              </w:rPr>
            </w:pPr>
          </w:p>
        </w:tc>
      </w:tr>
      <w:tr w14:paraId="016313D5">
        <w:tblPrEx>
          <w:tblCellMar>
            <w:top w:w="0" w:type="dxa"/>
            <w:left w:w="0" w:type="dxa"/>
            <w:bottom w:w="0" w:type="dxa"/>
            <w:right w:w="0" w:type="dxa"/>
          </w:tblCellMar>
        </w:tblPrEx>
        <w:trPr>
          <w:trHeight w:val="438" w:hRule="exact"/>
          <w:jc w:val="center"/>
        </w:trPr>
        <w:tc>
          <w:tcPr>
            <w:tcW w:w="6193" w:type="dxa"/>
            <w:gridSpan w:val="6"/>
            <w:tcBorders>
              <w:top w:val="single" w:color="000000" w:sz="4" w:space="0"/>
              <w:left w:val="single" w:color="000000" w:sz="4" w:space="0"/>
              <w:bottom w:val="single" w:color="000000" w:sz="4" w:space="0"/>
              <w:right w:val="single" w:color="000000" w:sz="4" w:space="0"/>
            </w:tcBorders>
            <w:vAlign w:val="center"/>
          </w:tcPr>
          <w:p w14:paraId="01822422">
            <w:pPr>
              <w:keepNext w:val="0"/>
              <w:keepLines w:val="0"/>
              <w:suppressLineNumbers w:val="0"/>
              <w:autoSpaceDE w:val="0"/>
              <w:autoSpaceDN w:val="0"/>
              <w:adjustRightInd w:val="0"/>
              <w:spacing w:before="0" w:beforeAutospacing="0" w:after="0" w:afterAutospacing="0"/>
              <w:ind w:left="2443" w:right="2423" w:firstLine="0" w:firstLineChars="0"/>
              <w:jc w:val="center"/>
              <w:rPr>
                <w:rFonts w:hint="default" w:ascii="Times New Roman" w:hAnsi="Times New Roman" w:eastAsia="宋体" w:cs="Times New Roman"/>
                <w:b w:val="0"/>
                <w:bCs w:val="0"/>
                <w:kern w:val="2"/>
                <w:sz w:val="21"/>
                <w:szCs w:val="24"/>
                <w:lang w:val="en-US" w:eastAsia="zh-CN" w:bidi="ar-SA"/>
              </w:rPr>
            </w:pPr>
            <w:r>
              <w:rPr>
                <w:rFonts w:hint="default" w:ascii="Times New Roman" w:hAnsi="Times New Roman" w:eastAsia="宋体" w:cs="Times New Roman"/>
                <w:b w:val="0"/>
                <w:bCs w:val="0"/>
                <w:kern w:val="2"/>
                <w:sz w:val="21"/>
                <w:szCs w:val="24"/>
                <w:lang w:val="en-US" w:eastAsia="zh-CN" w:bidi="ar-SA"/>
              </w:rPr>
              <w:t>合计报价</w:t>
            </w:r>
          </w:p>
        </w:tc>
        <w:tc>
          <w:tcPr>
            <w:tcW w:w="994" w:type="dxa"/>
            <w:tcBorders>
              <w:top w:val="single" w:color="000000" w:sz="4" w:space="0"/>
              <w:left w:val="single" w:color="000000" w:sz="4" w:space="0"/>
              <w:bottom w:val="single" w:color="000000" w:sz="4" w:space="0"/>
              <w:right w:val="single" w:color="000000" w:sz="4" w:space="0"/>
            </w:tcBorders>
            <w:vAlign w:val="center"/>
          </w:tcPr>
          <w:p w14:paraId="2C7EBF8C">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val="0"/>
                <w:kern w:val="2"/>
                <w:sz w:val="21"/>
                <w:szCs w:val="24"/>
                <w:lang w:val="en-US" w:eastAsia="zh-CN" w:bidi="ar-SA"/>
              </w:rPr>
            </w:pPr>
          </w:p>
        </w:tc>
        <w:tc>
          <w:tcPr>
            <w:tcW w:w="945" w:type="dxa"/>
            <w:tcBorders>
              <w:top w:val="single" w:color="000000" w:sz="4" w:space="0"/>
              <w:left w:val="single" w:color="000000" w:sz="4" w:space="0"/>
              <w:bottom w:val="single" w:color="000000" w:sz="4" w:space="0"/>
              <w:right w:val="single" w:color="000000" w:sz="4" w:space="0"/>
            </w:tcBorders>
            <w:vAlign w:val="center"/>
          </w:tcPr>
          <w:p w14:paraId="38733B03">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val="0"/>
                <w:kern w:val="2"/>
                <w:sz w:val="21"/>
                <w:szCs w:val="24"/>
                <w:lang w:val="en-US" w:eastAsia="zh-CN" w:bidi="ar-SA"/>
              </w:rPr>
            </w:pPr>
          </w:p>
        </w:tc>
        <w:tc>
          <w:tcPr>
            <w:tcW w:w="1998" w:type="dxa"/>
            <w:tcBorders>
              <w:top w:val="single" w:color="000000" w:sz="4" w:space="0"/>
              <w:left w:val="single" w:color="000000" w:sz="4" w:space="0"/>
              <w:bottom w:val="single" w:color="000000" w:sz="4" w:space="0"/>
              <w:right w:val="single" w:color="000000" w:sz="4" w:space="0"/>
            </w:tcBorders>
          </w:tcPr>
          <w:p w14:paraId="3B12A387">
            <w:pPr>
              <w:keepNext w:val="0"/>
              <w:keepLines w:val="0"/>
              <w:suppressLineNumbers w:val="0"/>
              <w:autoSpaceDE w:val="0"/>
              <w:autoSpaceDN w:val="0"/>
              <w:adjustRightInd w:val="0"/>
              <w:spacing w:before="0" w:beforeAutospacing="0" w:after="0" w:afterAutospacing="0"/>
              <w:ind w:left="0" w:right="0" w:firstLine="0" w:firstLineChars="0"/>
              <w:jc w:val="center"/>
              <w:rPr>
                <w:rFonts w:hint="default" w:ascii="Times New Roman" w:hAnsi="Times New Roman" w:eastAsia="宋体" w:cs="Times New Roman"/>
                <w:b w:val="0"/>
                <w:bCs w:val="0"/>
                <w:kern w:val="2"/>
                <w:sz w:val="21"/>
                <w:szCs w:val="24"/>
                <w:lang w:val="en-US" w:eastAsia="zh-CN" w:bidi="ar-SA"/>
              </w:rPr>
            </w:pPr>
          </w:p>
        </w:tc>
      </w:tr>
    </w:tbl>
    <w:p w14:paraId="20DEFB30">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注：本《明细表》所列供货范围为实现合同目的所需的主要设备范围，非全部供货范围。在合同执行过程中，如发现《明细表》所列出的设备不满足合同产品功能/性能要求，或存在漏项和短缺，而该遗漏或短缺部分是满足合同产品的功能/性能要求所必须的，均视为属于卖方的供货和服务范围，卖方应负责将遗漏或短缺的部分补上，发生的费用由卖方自行承担。卖方不得以合同外供货或合同变更等任何理由要求买方支付任何费用。</w:t>
      </w:r>
    </w:p>
    <w:p w14:paraId="42FF7779">
      <w:pPr>
        <w:rPr>
          <w:rFonts w:hint="eastAsia" w:ascii="Times New Roman" w:hAnsi="Times New Roman" w:eastAsia="宋体" w:cs="Times New Roman"/>
          <w:b w:val="0"/>
          <w:bCs w:val="0"/>
          <w:kern w:val="2"/>
          <w:sz w:val="21"/>
          <w:szCs w:val="24"/>
          <w:lang w:val="en-US" w:eastAsia="zh-CN" w:bidi="ar-SA"/>
        </w:rPr>
      </w:pPr>
    </w:p>
    <w:p w14:paraId="16D7B772">
      <w:pPr>
        <w:rPr>
          <w:rFonts w:hint="eastAsia" w:ascii="Times New Roman" w:hAnsi="Times New Roman" w:eastAsia="宋体" w:cs="Times New Roman"/>
          <w:b w:val="0"/>
          <w:bCs w:val="0"/>
          <w:kern w:val="2"/>
          <w:sz w:val="21"/>
          <w:szCs w:val="24"/>
          <w:lang w:val="en-US" w:eastAsia="zh-CN" w:bidi="ar-SA"/>
        </w:rPr>
      </w:pPr>
    </w:p>
    <w:p w14:paraId="1C5D3654">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附件3《文件编制要求》</w:t>
      </w:r>
    </w:p>
    <w:p w14:paraId="4519610A">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文件编制要求</w:t>
      </w:r>
    </w:p>
    <w:p w14:paraId="47E19E0B">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一、总则</w:t>
      </w:r>
    </w:p>
    <w:p w14:paraId="71126E41">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1.概述</w:t>
      </w:r>
    </w:p>
    <w:p w14:paraId="37B249B1">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合同双方之间往来书面函件应由公司法人或其授权代表签字方可有效，双方必须将其函件签字人或其授权人以书面形式通知对方。任何一方授权人发生变更时，变更方应在5个工作日内书面通知对方。</w:t>
      </w:r>
    </w:p>
    <w:p w14:paraId="465A3890">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合同双方应使用书面函件作为正式通讯方式。除书面函件外，合同双方也可以使用其他方式进行沟通，这些方式包括口头沟通和使用未经签字的书面文件（通过使用电话、远程视频会议和碰头会议、电子邮件等）。书面函件外的其他联系过程及结果，除非正式形成记录并经总经理或其授权代表签章同意，否则不具备约束力。</w:t>
      </w:r>
    </w:p>
    <w:p w14:paraId="77603810">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除本合同特别约定或另有书面约定外，合同双方的函件通信渠道按本合同约定的规则执行。双方之间往来的每封函件只能涉及一个相对独立的主题。</w:t>
      </w:r>
    </w:p>
    <w:p w14:paraId="735CCFA0">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文件材料的组织应结构清晰、逻辑性强。文件材料内容要正确、准确、一致、清晰完整。卖方文件材料的提交应及时、充分，满足合同进度要求。</w:t>
      </w:r>
    </w:p>
    <w:p w14:paraId="67FB84EB">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2.合同文件标准化</w:t>
      </w:r>
    </w:p>
    <w:p w14:paraId="435AE9E5">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2.1 语言</w:t>
      </w:r>
    </w:p>
    <w:p w14:paraId="229781BD">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除本合同特别约定或另有书面约定外，本合同文件使用中文书写、解释和说明。</w:t>
      </w:r>
    </w:p>
    <w:p w14:paraId="6BC5BE02">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本合同双方往来函件使用中文，如使用两种以上（含两种）语言文字时，中文应为解释和说明本合同函件的标准语言文字，如为双方抄送对方的信函，则以原信函语言为准。</w:t>
      </w:r>
    </w:p>
    <w:p w14:paraId="0E9F9A8E">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2.2文件及图纸尺寸</w:t>
      </w:r>
    </w:p>
    <w:p w14:paraId="09E5E2F0">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合同文件及图纸幅面，需要符合国际“A”系列：A0、A1、A2、A3和A4。A3及以上幅面的文件、图纸按《GB10609.3技术制图复制图的折叠方法》的规定统一折叠成A4幅面，图纸折叠时须将标题栏露在右下角。</w:t>
      </w:r>
    </w:p>
    <w:p w14:paraId="4D1811DA">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2.3 份数</w:t>
      </w:r>
    </w:p>
    <w:p w14:paraId="15DAE148">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合同项下产品随机资料随产品提交，具体数量按照技术协议要求执行。</w:t>
      </w:r>
    </w:p>
    <w:p w14:paraId="7100D223">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2.4文件提交时应使用提交文件清单，清单中应明确提交文件的名称、编号、版本、份数等信息。</w:t>
      </w:r>
    </w:p>
    <w:p w14:paraId="52F15451">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2.5装订</w:t>
      </w:r>
    </w:p>
    <w:p w14:paraId="7A277D19">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文件应装订完整，防止遗失及页码错乱。每页文件均标识有顺序码、文件名称及版本。</w:t>
      </w:r>
    </w:p>
    <w:p w14:paraId="35653363">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文件左侧装订，左白边宽宜为25mm。</w:t>
      </w:r>
    </w:p>
    <w:p w14:paraId="23587F27">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2.6电子文件规定</w:t>
      </w:r>
    </w:p>
    <w:p w14:paraId="62B10E07">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发送方应确保所提交的电子文件清晰可读。</w:t>
      </w:r>
    </w:p>
    <w:p w14:paraId="078F5332">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电子文件根据文件大小，使用E-mail或电子光盘提交和接收。</w:t>
      </w:r>
    </w:p>
    <w:p w14:paraId="4BFA7E28">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文件的电子文件的命名为“编码+版本+文件题名”，各字段之间用空格隔开。</w:t>
      </w:r>
    </w:p>
    <w:p w14:paraId="7AE86023">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扫描的电子文件应满足DA/T 31《纸质档案数字化技术规范》的要求。</w:t>
      </w:r>
    </w:p>
    <w:p w14:paraId="1B388BA3">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电子文件应注明特殊软件环境，如软件名称、版本。</w:t>
      </w:r>
    </w:p>
    <w:p w14:paraId="1BE7F571">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生成电子文件的软件（版本）应采用通用的OFFICE套件。原则上，除签字页以外的所有文件应尽可能由源格式直接转换成PDF。电子文件要清晰可读。</w:t>
      </w:r>
    </w:p>
    <w:p w14:paraId="37BA8DEC">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电子文件在光盘上的组织形式应统一，每张光盘内均应包含有1个EXCEL格式的文件（图纸）清单，包含的项目至少包括：文件的名称、编号、版本、份数等信息。光盘的标识应包括制作单位名称、盘号、盘内文件清单；光盘采用安全的包装，确保所提交的文件清晰可读。盘内文件提交前应采用必要手段进行病毒检查和清除，严禁携带任何病毒。光盘要表面清洁完好无损。</w:t>
      </w:r>
    </w:p>
    <w:p w14:paraId="6DA49396">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2.7同一种类的文件和同一份文件的格式必须保持一致。</w:t>
      </w:r>
    </w:p>
    <w:p w14:paraId="7B1E9F6A">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3文件递交</w:t>
      </w:r>
    </w:p>
    <w:p w14:paraId="73D96B87">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3.1随机资料应在买方现场交付。交付的资料应包装完好，无缺失、破损。当发现缺陷时，卖方应及时补充或更换。</w:t>
      </w:r>
    </w:p>
    <w:p w14:paraId="4B049944">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原则上，随机资料文件应至少为原件。对个别确实无法提供原件的文件，经双方协商同意后，可以在其复制件上加盖其质检专用章视同为原件，与原件等效，并注明原件存放位置。</w:t>
      </w:r>
    </w:p>
    <w:p w14:paraId="28666701">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3.2文件质量要求</w:t>
      </w:r>
    </w:p>
    <w:p w14:paraId="2BF567A3">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双方提交的纸质文件须字迹清楚，图样、图表清晰整洁，签字认可手续完备，保证其可以被扫描为ASCII格式或PDF格式。所用纸张至少采用70g/m2书写纸。</w:t>
      </w:r>
    </w:p>
    <w:p w14:paraId="5E79DA66">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复印、打印文件及照片的字迹、线条和影像的清晰及牢固程度。</w:t>
      </w:r>
    </w:p>
    <w:p w14:paraId="3D214A39">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不能有热敏纸，不能有铅笔、圆珠笔、红黑水、纯蓝墨水、复写纸等书写的字迹。</w:t>
      </w:r>
    </w:p>
    <w:p w14:paraId="36202D40">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在文件递交过程中，若有文件升版，在新版的文件开头须附有版本记录页来说明版本的更新历史。</w:t>
      </w:r>
    </w:p>
    <w:p w14:paraId="52DECAA0">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4文件范围</w:t>
      </w:r>
    </w:p>
    <w:p w14:paraId="34291BCE">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4.1卖方应负责向买方提供有关卖方履行合同所做工作的规定文件，包括但不限于本合同专用条款第5.3条的规定。</w:t>
      </w:r>
    </w:p>
    <w:p w14:paraId="725DFF60">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4.2卖方应对合同项下卖方提供的文件和信息的任何分歧、错误和遗漏负责，而无论这些文件和信息是否已被买方审查通过与否，除非这些分歧、错误和遗漏是由于买方提供给卖方的不准确文件所造成的。</w:t>
      </w:r>
    </w:p>
    <w:p w14:paraId="6E9B80E2">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4.3由于上述分歧、错误、遗漏导致的必要的文件更改和文件修订由卖方完成。</w:t>
      </w:r>
    </w:p>
    <w:p w14:paraId="52866F75">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4.4对于买方提供的任何信息，卖方如发现内容不足、遗漏、矛盾，意义表述含糊不清，或卖方对正确性有质疑等，则应及时通知买方处理。</w:t>
      </w:r>
    </w:p>
    <w:p w14:paraId="2E0CD9CD">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5卖方提交文件的接收</w:t>
      </w:r>
    </w:p>
    <w:p w14:paraId="020707AB">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卖方提交的文件，以买方接收日期为准。</w:t>
      </w:r>
    </w:p>
    <w:p w14:paraId="3ACEA89B">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如买方在收到文件后发现短缺、损坏或其他缺陷，由买方通知卖方，卖方应在收到买方通知后五个工作日内采取以下行动之一：补足短缺的文件、替换损坏或有缺陷的文件、明确告知买方完成补救的日期；如果由于买方的责任丢失或损坏了文件，并要求再行提供，卖方应满足这一要求，费用由买方承担。</w:t>
      </w:r>
    </w:p>
    <w:p w14:paraId="153ADE09">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卖方所提交文件/图纸的语言、尺寸、编码、格式及质量应满足本合同要求。如因上述原因导致买方退回的，限期3个工作日内卖方给予更正；卖方应按照本附件的数量、介质和时间要求，提交文件/图纸，由于卖方自身原因导致的，限期5个工作日内卖方给予更正。</w:t>
      </w:r>
    </w:p>
    <w:p w14:paraId="20AF536A">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二、 合同提交文件</w:t>
      </w:r>
    </w:p>
    <w:p w14:paraId="3B445A32">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合同提交文件是指按照本合同规定卖方应向买方提交的文件。下列为合同提交文件的内容要求：</w:t>
      </w:r>
    </w:p>
    <w:p w14:paraId="14CEEBC2">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1.提交文件清单</w:t>
      </w:r>
    </w:p>
    <w:p w14:paraId="39DE1AD8">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该文件按文件类型列出合同提交文件的名称、编号、版次。此文件应及时修订。</w:t>
      </w:r>
    </w:p>
    <w:p w14:paraId="187C9915">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2.项目进度计划</w:t>
      </w:r>
    </w:p>
    <w:p w14:paraId="21A21880">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实现本合同目的和意愿，卖方应向买方提交一份</w:t>
      </w:r>
      <w:bookmarkStart w:id="60" w:name="OLE_LINK2"/>
      <w:r>
        <w:rPr>
          <w:rFonts w:hint="eastAsia" w:ascii="Times New Roman" w:hAnsi="Times New Roman" w:eastAsia="宋体" w:cs="Times New Roman"/>
          <w:b w:val="0"/>
          <w:bCs w:val="0"/>
          <w:kern w:val="2"/>
          <w:sz w:val="21"/>
          <w:szCs w:val="24"/>
          <w:lang w:val="en-US" w:eastAsia="zh-CN" w:bidi="ar-SA"/>
        </w:rPr>
        <w:t>项目进度计划至少应包括技术准备、物料准备、制造活动、验收与运输、分卖方承担任务的与合同产品交付进度产生影响的活动。</w:t>
      </w:r>
      <w:bookmarkEnd w:id="60"/>
    </w:p>
    <w:p w14:paraId="64E5739F">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项目执行进度计划的目的是为了实现合同执行期间各类信息的及时报送和共享，其内容应覆盖合同范围内的所有活动，至少应包括技术、质量（含质保质检和监造）、进度、安全、风险预警、纠正行动等</w:t>
      </w:r>
    </w:p>
    <w:p w14:paraId="07A2625E">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3.包装和运输文件</w:t>
      </w:r>
    </w:p>
    <w:p w14:paraId="2A423ED5">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产品的包装和卸出方案产品装卸注意事项及包装箱外观尺寸规格及操作、维护、使用、存放要求；</w:t>
      </w:r>
    </w:p>
    <w:p w14:paraId="6DC61AA9">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4.装箱单</w:t>
      </w:r>
    </w:p>
    <w:p w14:paraId="22AE5CD7">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在产品发运前，卖方应向买方提供装箱单。其内容包括运输包装箱编号、毛重、产品净重、产品的批次号、标识和类型等。</w:t>
      </w:r>
    </w:p>
    <w:p w14:paraId="41EC534E">
      <w:pPr>
        <w:rPr>
          <w:rFonts w:hint="eastAsia" w:ascii="Times New Roman" w:hAnsi="Times New Roman" w:eastAsia="宋体" w:cs="Times New Roman"/>
          <w:b w:val="0"/>
          <w:bCs w:val="0"/>
          <w:kern w:val="2"/>
          <w:sz w:val="21"/>
          <w:szCs w:val="24"/>
          <w:lang w:val="en-US" w:eastAsia="zh-CN" w:bidi="ar-SA"/>
        </w:rPr>
      </w:pPr>
    </w:p>
    <w:p w14:paraId="4F149212">
      <w:pPr>
        <w:rPr>
          <w:rFonts w:hint="eastAsia" w:ascii="Times New Roman" w:hAnsi="Times New Roman" w:eastAsia="宋体" w:cs="Times New Roman"/>
          <w:b w:val="0"/>
          <w:bCs w:val="0"/>
          <w:kern w:val="2"/>
          <w:sz w:val="21"/>
          <w:szCs w:val="24"/>
          <w:lang w:val="en-US" w:eastAsia="zh-CN" w:bidi="ar-SA"/>
        </w:rPr>
      </w:pPr>
    </w:p>
    <w:p w14:paraId="42ABD67F">
      <w:pPr>
        <w:rPr>
          <w:rFonts w:hint="eastAsia" w:ascii="Times New Roman" w:hAnsi="Times New Roman" w:eastAsia="宋体" w:cs="Times New Roman"/>
          <w:b w:val="0"/>
          <w:bCs w:val="0"/>
          <w:kern w:val="2"/>
          <w:sz w:val="21"/>
          <w:szCs w:val="24"/>
          <w:lang w:val="en-US" w:eastAsia="zh-CN" w:bidi="ar-SA"/>
        </w:rPr>
      </w:pPr>
    </w:p>
    <w:p w14:paraId="53F0AB1D">
      <w:pPr>
        <w:rPr>
          <w:rFonts w:hint="eastAsia" w:ascii="Times New Roman" w:hAnsi="Times New Roman" w:eastAsia="宋体" w:cs="Times New Roman"/>
          <w:b w:val="0"/>
          <w:bCs w:val="0"/>
          <w:kern w:val="2"/>
          <w:sz w:val="21"/>
          <w:szCs w:val="24"/>
          <w:lang w:val="en-US" w:eastAsia="zh-CN" w:bidi="ar-SA"/>
        </w:rPr>
      </w:pPr>
    </w:p>
    <w:p w14:paraId="02AD4D23">
      <w:pPr>
        <w:rPr>
          <w:rFonts w:hint="eastAsia" w:ascii="Times New Roman" w:hAnsi="Times New Roman" w:eastAsia="宋体" w:cs="Times New Roman"/>
          <w:b w:val="0"/>
          <w:bCs w:val="0"/>
          <w:kern w:val="2"/>
          <w:sz w:val="21"/>
          <w:szCs w:val="24"/>
          <w:lang w:val="en-US" w:eastAsia="zh-CN" w:bidi="ar-SA"/>
        </w:rPr>
      </w:pPr>
    </w:p>
    <w:p w14:paraId="76644598">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附件12《设备/系统的重要关键零部件清单》</w:t>
      </w:r>
    </w:p>
    <w:p w14:paraId="544F89AD">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设备/系统的重要关键零部件清单</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1"/>
        <w:gridCol w:w="1212"/>
        <w:gridCol w:w="1137"/>
        <w:gridCol w:w="1071"/>
        <w:gridCol w:w="1072"/>
        <w:gridCol w:w="764"/>
        <w:gridCol w:w="1230"/>
        <w:gridCol w:w="1315"/>
      </w:tblGrid>
      <w:tr w14:paraId="3F72E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vAlign w:val="center"/>
          </w:tcPr>
          <w:p w14:paraId="5038CB19">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序号</w:t>
            </w:r>
          </w:p>
        </w:tc>
        <w:tc>
          <w:tcPr>
            <w:tcW w:w="1329" w:type="dxa"/>
            <w:vAlign w:val="center"/>
          </w:tcPr>
          <w:p w14:paraId="1F9C9A57">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所属设备模块</w:t>
            </w:r>
          </w:p>
        </w:tc>
        <w:tc>
          <w:tcPr>
            <w:tcW w:w="1243" w:type="dxa"/>
            <w:vAlign w:val="center"/>
          </w:tcPr>
          <w:p w14:paraId="037D8A36">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主要部件</w:t>
            </w:r>
          </w:p>
        </w:tc>
        <w:tc>
          <w:tcPr>
            <w:tcW w:w="1167" w:type="dxa"/>
            <w:vAlign w:val="center"/>
          </w:tcPr>
          <w:p w14:paraId="1B00DDF2">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零部件</w:t>
            </w:r>
          </w:p>
        </w:tc>
        <w:tc>
          <w:tcPr>
            <w:tcW w:w="1168" w:type="dxa"/>
            <w:vAlign w:val="center"/>
          </w:tcPr>
          <w:p w14:paraId="6C70BA2A">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材质</w:t>
            </w:r>
          </w:p>
        </w:tc>
        <w:tc>
          <w:tcPr>
            <w:tcW w:w="815" w:type="dxa"/>
            <w:vAlign w:val="center"/>
          </w:tcPr>
          <w:p w14:paraId="28F22104">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数量</w:t>
            </w:r>
          </w:p>
        </w:tc>
        <w:tc>
          <w:tcPr>
            <w:tcW w:w="1350" w:type="dxa"/>
            <w:vAlign w:val="center"/>
          </w:tcPr>
          <w:p w14:paraId="358E0D77">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规格型号</w:t>
            </w:r>
          </w:p>
        </w:tc>
        <w:tc>
          <w:tcPr>
            <w:tcW w:w="1448" w:type="dxa"/>
            <w:vAlign w:val="center"/>
          </w:tcPr>
          <w:p w14:paraId="65959D4C">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图纸或图号</w:t>
            </w:r>
          </w:p>
        </w:tc>
      </w:tr>
      <w:tr w14:paraId="1CCD4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vAlign w:val="top"/>
          </w:tcPr>
          <w:p w14:paraId="5208E81F">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1</w:t>
            </w:r>
          </w:p>
        </w:tc>
        <w:tc>
          <w:tcPr>
            <w:tcW w:w="1329" w:type="dxa"/>
            <w:vAlign w:val="top"/>
          </w:tcPr>
          <w:p w14:paraId="0F9F5116">
            <w:pPr>
              <w:rPr>
                <w:rFonts w:hint="eastAsia" w:ascii="Times New Roman" w:hAnsi="Times New Roman" w:eastAsia="宋体" w:cs="Times New Roman"/>
                <w:b w:val="0"/>
                <w:bCs w:val="0"/>
                <w:kern w:val="2"/>
                <w:sz w:val="21"/>
                <w:szCs w:val="24"/>
                <w:lang w:val="en-US" w:eastAsia="zh-CN" w:bidi="ar-SA"/>
              </w:rPr>
            </w:pPr>
          </w:p>
        </w:tc>
        <w:tc>
          <w:tcPr>
            <w:tcW w:w="1243" w:type="dxa"/>
            <w:vAlign w:val="top"/>
          </w:tcPr>
          <w:p w14:paraId="7555CF0B">
            <w:pPr>
              <w:rPr>
                <w:rFonts w:hint="eastAsia" w:ascii="Times New Roman" w:hAnsi="Times New Roman" w:eastAsia="宋体" w:cs="Times New Roman"/>
                <w:b w:val="0"/>
                <w:bCs w:val="0"/>
                <w:kern w:val="2"/>
                <w:sz w:val="21"/>
                <w:szCs w:val="24"/>
                <w:lang w:val="en-US" w:eastAsia="zh-CN" w:bidi="ar-SA"/>
              </w:rPr>
            </w:pPr>
          </w:p>
        </w:tc>
        <w:tc>
          <w:tcPr>
            <w:tcW w:w="1167" w:type="dxa"/>
            <w:vAlign w:val="top"/>
          </w:tcPr>
          <w:p w14:paraId="61A1A0D3">
            <w:pPr>
              <w:rPr>
                <w:rFonts w:hint="eastAsia" w:ascii="Times New Roman" w:hAnsi="Times New Roman" w:eastAsia="宋体" w:cs="Times New Roman"/>
                <w:b w:val="0"/>
                <w:bCs w:val="0"/>
                <w:kern w:val="2"/>
                <w:sz w:val="21"/>
                <w:szCs w:val="24"/>
                <w:lang w:val="en-US" w:eastAsia="zh-CN" w:bidi="ar-SA"/>
              </w:rPr>
            </w:pPr>
          </w:p>
        </w:tc>
        <w:tc>
          <w:tcPr>
            <w:tcW w:w="1168" w:type="dxa"/>
            <w:vAlign w:val="top"/>
          </w:tcPr>
          <w:p w14:paraId="5C863EF5">
            <w:pPr>
              <w:rPr>
                <w:rFonts w:hint="eastAsia" w:ascii="Times New Roman" w:hAnsi="Times New Roman" w:eastAsia="宋体" w:cs="Times New Roman"/>
                <w:b w:val="0"/>
                <w:bCs w:val="0"/>
                <w:kern w:val="2"/>
                <w:sz w:val="21"/>
                <w:szCs w:val="24"/>
                <w:lang w:val="en-US" w:eastAsia="zh-CN" w:bidi="ar-SA"/>
              </w:rPr>
            </w:pPr>
          </w:p>
        </w:tc>
        <w:tc>
          <w:tcPr>
            <w:tcW w:w="815" w:type="dxa"/>
            <w:vAlign w:val="top"/>
          </w:tcPr>
          <w:p w14:paraId="1DEFAE1C">
            <w:pPr>
              <w:rPr>
                <w:rFonts w:hint="eastAsia" w:ascii="Times New Roman" w:hAnsi="Times New Roman" w:eastAsia="宋体" w:cs="Times New Roman"/>
                <w:b w:val="0"/>
                <w:bCs w:val="0"/>
                <w:kern w:val="2"/>
                <w:sz w:val="21"/>
                <w:szCs w:val="24"/>
                <w:lang w:val="en-US" w:eastAsia="zh-CN" w:bidi="ar-SA"/>
              </w:rPr>
            </w:pPr>
          </w:p>
        </w:tc>
        <w:tc>
          <w:tcPr>
            <w:tcW w:w="1350" w:type="dxa"/>
            <w:vAlign w:val="top"/>
          </w:tcPr>
          <w:p w14:paraId="3979A297">
            <w:pPr>
              <w:rPr>
                <w:rFonts w:hint="eastAsia" w:ascii="Times New Roman" w:hAnsi="Times New Roman" w:eastAsia="宋体" w:cs="Times New Roman"/>
                <w:b w:val="0"/>
                <w:bCs w:val="0"/>
                <w:kern w:val="2"/>
                <w:sz w:val="21"/>
                <w:szCs w:val="24"/>
                <w:lang w:val="en-US" w:eastAsia="zh-CN" w:bidi="ar-SA"/>
              </w:rPr>
            </w:pPr>
          </w:p>
        </w:tc>
        <w:tc>
          <w:tcPr>
            <w:tcW w:w="1448" w:type="dxa"/>
            <w:vAlign w:val="top"/>
          </w:tcPr>
          <w:p w14:paraId="223D525E">
            <w:pPr>
              <w:rPr>
                <w:rFonts w:hint="eastAsia" w:ascii="Times New Roman" w:hAnsi="Times New Roman" w:eastAsia="宋体" w:cs="Times New Roman"/>
                <w:b w:val="0"/>
                <w:bCs w:val="0"/>
                <w:kern w:val="2"/>
                <w:sz w:val="21"/>
                <w:szCs w:val="24"/>
                <w:lang w:val="en-US" w:eastAsia="zh-CN" w:bidi="ar-SA"/>
              </w:rPr>
            </w:pPr>
          </w:p>
        </w:tc>
      </w:tr>
      <w:tr w14:paraId="7F1C0C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vAlign w:val="top"/>
          </w:tcPr>
          <w:p w14:paraId="50823259">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2</w:t>
            </w:r>
          </w:p>
        </w:tc>
        <w:tc>
          <w:tcPr>
            <w:tcW w:w="1329" w:type="dxa"/>
            <w:vAlign w:val="top"/>
          </w:tcPr>
          <w:p w14:paraId="36B64174">
            <w:pPr>
              <w:rPr>
                <w:rFonts w:hint="eastAsia" w:ascii="Times New Roman" w:hAnsi="Times New Roman" w:eastAsia="宋体" w:cs="Times New Roman"/>
                <w:b w:val="0"/>
                <w:bCs w:val="0"/>
                <w:kern w:val="2"/>
                <w:sz w:val="21"/>
                <w:szCs w:val="24"/>
                <w:lang w:val="en-US" w:eastAsia="zh-CN" w:bidi="ar-SA"/>
              </w:rPr>
            </w:pPr>
          </w:p>
        </w:tc>
        <w:tc>
          <w:tcPr>
            <w:tcW w:w="1243" w:type="dxa"/>
            <w:vAlign w:val="top"/>
          </w:tcPr>
          <w:p w14:paraId="7EB41CC9">
            <w:pPr>
              <w:rPr>
                <w:rFonts w:hint="eastAsia" w:ascii="Times New Roman" w:hAnsi="Times New Roman" w:eastAsia="宋体" w:cs="Times New Roman"/>
                <w:b w:val="0"/>
                <w:bCs w:val="0"/>
                <w:kern w:val="2"/>
                <w:sz w:val="21"/>
                <w:szCs w:val="24"/>
                <w:lang w:val="en-US" w:eastAsia="zh-CN" w:bidi="ar-SA"/>
              </w:rPr>
            </w:pPr>
          </w:p>
        </w:tc>
        <w:tc>
          <w:tcPr>
            <w:tcW w:w="1167" w:type="dxa"/>
            <w:vAlign w:val="top"/>
          </w:tcPr>
          <w:p w14:paraId="3473B16B">
            <w:pPr>
              <w:rPr>
                <w:rFonts w:hint="eastAsia" w:ascii="Times New Roman" w:hAnsi="Times New Roman" w:eastAsia="宋体" w:cs="Times New Roman"/>
                <w:b w:val="0"/>
                <w:bCs w:val="0"/>
                <w:kern w:val="2"/>
                <w:sz w:val="21"/>
                <w:szCs w:val="24"/>
                <w:lang w:val="en-US" w:eastAsia="zh-CN" w:bidi="ar-SA"/>
              </w:rPr>
            </w:pPr>
          </w:p>
        </w:tc>
        <w:tc>
          <w:tcPr>
            <w:tcW w:w="1168" w:type="dxa"/>
            <w:vAlign w:val="top"/>
          </w:tcPr>
          <w:p w14:paraId="332853D2">
            <w:pPr>
              <w:rPr>
                <w:rFonts w:hint="eastAsia" w:ascii="Times New Roman" w:hAnsi="Times New Roman" w:eastAsia="宋体" w:cs="Times New Roman"/>
                <w:b w:val="0"/>
                <w:bCs w:val="0"/>
                <w:kern w:val="2"/>
                <w:sz w:val="21"/>
                <w:szCs w:val="24"/>
                <w:lang w:val="en-US" w:eastAsia="zh-CN" w:bidi="ar-SA"/>
              </w:rPr>
            </w:pPr>
          </w:p>
        </w:tc>
        <w:tc>
          <w:tcPr>
            <w:tcW w:w="815" w:type="dxa"/>
            <w:vAlign w:val="top"/>
          </w:tcPr>
          <w:p w14:paraId="18A876BE">
            <w:pPr>
              <w:rPr>
                <w:rFonts w:hint="eastAsia" w:ascii="Times New Roman" w:hAnsi="Times New Roman" w:eastAsia="宋体" w:cs="Times New Roman"/>
                <w:b w:val="0"/>
                <w:bCs w:val="0"/>
                <w:kern w:val="2"/>
                <w:sz w:val="21"/>
                <w:szCs w:val="24"/>
                <w:lang w:val="en-US" w:eastAsia="zh-CN" w:bidi="ar-SA"/>
              </w:rPr>
            </w:pPr>
          </w:p>
        </w:tc>
        <w:tc>
          <w:tcPr>
            <w:tcW w:w="1350" w:type="dxa"/>
            <w:vAlign w:val="top"/>
          </w:tcPr>
          <w:p w14:paraId="3D9FE193">
            <w:pPr>
              <w:rPr>
                <w:rFonts w:hint="eastAsia" w:ascii="Times New Roman" w:hAnsi="Times New Roman" w:eastAsia="宋体" w:cs="Times New Roman"/>
                <w:b w:val="0"/>
                <w:bCs w:val="0"/>
                <w:kern w:val="2"/>
                <w:sz w:val="21"/>
                <w:szCs w:val="24"/>
                <w:lang w:val="en-US" w:eastAsia="zh-CN" w:bidi="ar-SA"/>
              </w:rPr>
            </w:pPr>
          </w:p>
        </w:tc>
        <w:tc>
          <w:tcPr>
            <w:tcW w:w="1448" w:type="dxa"/>
            <w:vAlign w:val="top"/>
          </w:tcPr>
          <w:p w14:paraId="5DBB9E89">
            <w:pPr>
              <w:rPr>
                <w:rFonts w:hint="eastAsia" w:ascii="Times New Roman" w:hAnsi="Times New Roman" w:eastAsia="宋体" w:cs="Times New Roman"/>
                <w:b w:val="0"/>
                <w:bCs w:val="0"/>
                <w:kern w:val="2"/>
                <w:sz w:val="21"/>
                <w:szCs w:val="24"/>
                <w:lang w:val="en-US" w:eastAsia="zh-CN" w:bidi="ar-SA"/>
              </w:rPr>
            </w:pPr>
          </w:p>
        </w:tc>
      </w:tr>
      <w:tr w14:paraId="49BDD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vAlign w:val="top"/>
          </w:tcPr>
          <w:p w14:paraId="0A71FEB5">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3</w:t>
            </w:r>
          </w:p>
        </w:tc>
        <w:tc>
          <w:tcPr>
            <w:tcW w:w="1329" w:type="dxa"/>
            <w:vAlign w:val="top"/>
          </w:tcPr>
          <w:p w14:paraId="2B0969E6">
            <w:pPr>
              <w:rPr>
                <w:rFonts w:hint="eastAsia" w:ascii="Times New Roman" w:hAnsi="Times New Roman" w:eastAsia="宋体" w:cs="Times New Roman"/>
                <w:b w:val="0"/>
                <w:bCs w:val="0"/>
                <w:kern w:val="2"/>
                <w:sz w:val="21"/>
                <w:szCs w:val="24"/>
                <w:lang w:val="en-US" w:eastAsia="zh-CN" w:bidi="ar-SA"/>
              </w:rPr>
            </w:pPr>
          </w:p>
        </w:tc>
        <w:tc>
          <w:tcPr>
            <w:tcW w:w="1243" w:type="dxa"/>
            <w:vAlign w:val="top"/>
          </w:tcPr>
          <w:p w14:paraId="63FAF02C">
            <w:pPr>
              <w:rPr>
                <w:rFonts w:hint="eastAsia" w:ascii="Times New Roman" w:hAnsi="Times New Roman" w:eastAsia="宋体" w:cs="Times New Roman"/>
                <w:b w:val="0"/>
                <w:bCs w:val="0"/>
                <w:kern w:val="2"/>
                <w:sz w:val="21"/>
                <w:szCs w:val="24"/>
                <w:lang w:val="en-US" w:eastAsia="zh-CN" w:bidi="ar-SA"/>
              </w:rPr>
            </w:pPr>
          </w:p>
        </w:tc>
        <w:tc>
          <w:tcPr>
            <w:tcW w:w="1167" w:type="dxa"/>
            <w:vAlign w:val="top"/>
          </w:tcPr>
          <w:p w14:paraId="2223858A">
            <w:pPr>
              <w:rPr>
                <w:rFonts w:hint="eastAsia" w:ascii="Times New Roman" w:hAnsi="Times New Roman" w:eastAsia="宋体" w:cs="Times New Roman"/>
                <w:b w:val="0"/>
                <w:bCs w:val="0"/>
                <w:kern w:val="2"/>
                <w:sz w:val="21"/>
                <w:szCs w:val="24"/>
                <w:lang w:val="en-US" w:eastAsia="zh-CN" w:bidi="ar-SA"/>
              </w:rPr>
            </w:pPr>
          </w:p>
        </w:tc>
        <w:tc>
          <w:tcPr>
            <w:tcW w:w="1168" w:type="dxa"/>
            <w:vAlign w:val="top"/>
          </w:tcPr>
          <w:p w14:paraId="711943C6">
            <w:pPr>
              <w:rPr>
                <w:rFonts w:hint="eastAsia" w:ascii="Times New Roman" w:hAnsi="Times New Roman" w:eastAsia="宋体" w:cs="Times New Roman"/>
                <w:b w:val="0"/>
                <w:bCs w:val="0"/>
                <w:kern w:val="2"/>
                <w:sz w:val="21"/>
                <w:szCs w:val="24"/>
                <w:lang w:val="en-US" w:eastAsia="zh-CN" w:bidi="ar-SA"/>
              </w:rPr>
            </w:pPr>
          </w:p>
        </w:tc>
        <w:tc>
          <w:tcPr>
            <w:tcW w:w="815" w:type="dxa"/>
            <w:vAlign w:val="top"/>
          </w:tcPr>
          <w:p w14:paraId="76812BB9">
            <w:pPr>
              <w:rPr>
                <w:rFonts w:hint="eastAsia" w:ascii="Times New Roman" w:hAnsi="Times New Roman" w:eastAsia="宋体" w:cs="Times New Roman"/>
                <w:b w:val="0"/>
                <w:bCs w:val="0"/>
                <w:kern w:val="2"/>
                <w:sz w:val="21"/>
                <w:szCs w:val="24"/>
                <w:lang w:val="en-US" w:eastAsia="zh-CN" w:bidi="ar-SA"/>
              </w:rPr>
            </w:pPr>
          </w:p>
        </w:tc>
        <w:tc>
          <w:tcPr>
            <w:tcW w:w="1350" w:type="dxa"/>
            <w:vAlign w:val="top"/>
          </w:tcPr>
          <w:p w14:paraId="79CE2D98">
            <w:pPr>
              <w:rPr>
                <w:rFonts w:hint="eastAsia" w:ascii="Times New Roman" w:hAnsi="Times New Roman" w:eastAsia="宋体" w:cs="Times New Roman"/>
                <w:b w:val="0"/>
                <w:bCs w:val="0"/>
                <w:kern w:val="2"/>
                <w:sz w:val="21"/>
                <w:szCs w:val="24"/>
                <w:lang w:val="en-US" w:eastAsia="zh-CN" w:bidi="ar-SA"/>
              </w:rPr>
            </w:pPr>
          </w:p>
        </w:tc>
        <w:tc>
          <w:tcPr>
            <w:tcW w:w="1448" w:type="dxa"/>
            <w:vAlign w:val="top"/>
          </w:tcPr>
          <w:p w14:paraId="56862664">
            <w:pPr>
              <w:rPr>
                <w:rFonts w:hint="eastAsia" w:ascii="Times New Roman" w:hAnsi="Times New Roman" w:eastAsia="宋体" w:cs="Times New Roman"/>
                <w:b w:val="0"/>
                <w:bCs w:val="0"/>
                <w:kern w:val="2"/>
                <w:sz w:val="21"/>
                <w:szCs w:val="24"/>
                <w:lang w:val="en-US" w:eastAsia="zh-CN" w:bidi="ar-SA"/>
              </w:rPr>
            </w:pPr>
          </w:p>
        </w:tc>
      </w:tr>
      <w:tr w14:paraId="017551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vAlign w:val="top"/>
          </w:tcPr>
          <w:p w14:paraId="254CBFAB">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4</w:t>
            </w:r>
          </w:p>
        </w:tc>
        <w:tc>
          <w:tcPr>
            <w:tcW w:w="1329" w:type="dxa"/>
            <w:vAlign w:val="top"/>
          </w:tcPr>
          <w:p w14:paraId="2D7E6C2C">
            <w:pPr>
              <w:rPr>
                <w:rFonts w:hint="eastAsia" w:ascii="Times New Roman" w:hAnsi="Times New Roman" w:eastAsia="宋体" w:cs="Times New Roman"/>
                <w:b w:val="0"/>
                <w:bCs w:val="0"/>
                <w:kern w:val="2"/>
                <w:sz w:val="21"/>
                <w:szCs w:val="24"/>
                <w:lang w:val="en-US" w:eastAsia="zh-CN" w:bidi="ar-SA"/>
              </w:rPr>
            </w:pPr>
          </w:p>
        </w:tc>
        <w:tc>
          <w:tcPr>
            <w:tcW w:w="1243" w:type="dxa"/>
            <w:vAlign w:val="top"/>
          </w:tcPr>
          <w:p w14:paraId="22F24AA9">
            <w:pPr>
              <w:rPr>
                <w:rFonts w:hint="eastAsia" w:ascii="Times New Roman" w:hAnsi="Times New Roman" w:eastAsia="宋体" w:cs="Times New Roman"/>
                <w:b w:val="0"/>
                <w:bCs w:val="0"/>
                <w:kern w:val="2"/>
                <w:sz w:val="21"/>
                <w:szCs w:val="24"/>
                <w:lang w:val="en-US" w:eastAsia="zh-CN" w:bidi="ar-SA"/>
              </w:rPr>
            </w:pPr>
          </w:p>
        </w:tc>
        <w:tc>
          <w:tcPr>
            <w:tcW w:w="1167" w:type="dxa"/>
            <w:vAlign w:val="top"/>
          </w:tcPr>
          <w:p w14:paraId="3574AA28">
            <w:pPr>
              <w:rPr>
                <w:rFonts w:hint="eastAsia" w:ascii="Times New Roman" w:hAnsi="Times New Roman" w:eastAsia="宋体" w:cs="Times New Roman"/>
                <w:b w:val="0"/>
                <w:bCs w:val="0"/>
                <w:kern w:val="2"/>
                <w:sz w:val="21"/>
                <w:szCs w:val="24"/>
                <w:lang w:val="en-US" w:eastAsia="zh-CN" w:bidi="ar-SA"/>
              </w:rPr>
            </w:pPr>
          </w:p>
        </w:tc>
        <w:tc>
          <w:tcPr>
            <w:tcW w:w="1168" w:type="dxa"/>
            <w:vAlign w:val="top"/>
          </w:tcPr>
          <w:p w14:paraId="7E7742BE">
            <w:pPr>
              <w:rPr>
                <w:rFonts w:hint="eastAsia" w:ascii="Times New Roman" w:hAnsi="Times New Roman" w:eastAsia="宋体" w:cs="Times New Roman"/>
                <w:b w:val="0"/>
                <w:bCs w:val="0"/>
                <w:kern w:val="2"/>
                <w:sz w:val="21"/>
                <w:szCs w:val="24"/>
                <w:lang w:val="en-US" w:eastAsia="zh-CN" w:bidi="ar-SA"/>
              </w:rPr>
            </w:pPr>
          </w:p>
        </w:tc>
        <w:tc>
          <w:tcPr>
            <w:tcW w:w="815" w:type="dxa"/>
            <w:vAlign w:val="top"/>
          </w:tcPr>
          <w:p w14:paraId="341C0EF4">
            <w:pPr>
              <w:rPr>
                <w:rFonts w:hint="eastAsia" w:ascii="Times New Roman" w:hAnsi="Times New Roman" w:eastAsia="宋体" w:cs="Times New Roman"/>
                <w:b w:val="0"/>
                <w:bCs w:val="0"/>
                <w:kern w:val="2"/>
                <w:sz w:val="21"/>
                <w:szCs w:val="24"/>
                <w:lang w:val="en-US" w:eastAsia="zh-CN" w:bidi="ar-SA"/>
              </w:rPr>
            </w:pPr>
          </w:p>
        </w:tc>
        <w:tc>
          <w:tcPr>
            <w:tcW w:w="1350" w:type="dxa"/>
            <w:vAlign w:val="top"/>
          </w:tcPr>
          <w:p w14:paraId="4FB510AD">
            <w:pPr>
              <w:rPr>
                <w:rFonts w:hint="eastAsia" w:ascii="Times New Roman" w:hAnsi="Times New Roman" w:eastAsia="宋体" w:cs="Times New Roman"/>
                <w:b w:val="0"/>
                <w:bCs w:val="0"/>
                <w:kern w:val="2"/>
                <w:sz w:val="21"/>
                <w:szCs w:val="24"/>
                <w:lang w:val="en-US" w:eastAsia="zh-CN" w:bidi="ar-SA"/>
              </w:rPr>
            </w:pPr>
          </w:p>
        </w:tc>
        <w:tc>
          <w:tcPr>
            <w:tcW w:w="1448" w:type="dxa"/>
            <w:vAlign w:val="top"/>
          </w:tcPr>
          <w:p w14:paraId="05C076B7">
            <w:pPr>
              <w:rPr>
                <w:rFonts w:hint="eastAsia" w:ascii="Times New Roman" w:hAnsi="Times New Roman" w:eastAsia="宋体" w:cs="Times New Roman"/>
                <w:b w:val="0"/>
                <w:bCs w:val="0"/>
                <w:kern w:val="2"/>
                <w:sz w:val="21"/>
                <w:szCs w:val="24"/>
                <w:lang w:val="en-US" w:eastAsia="zh-CN" w:bidi="ar-SA"/>
              </w:rPr>
            </w:pPr>
          </w:p>
        </w:tc>
      </w:tr>
      <w:tr w14:paraId="6F9DA1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vAlign w:val="top"/>
          </w:tcPr>
          <w:p w14:paraId="20EDD942">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5</w:t>
            </w:r>
          </w:p>
        </w:tc>
        <w:tc>
          <w:tcPr>
            <w:tcW w:w="1329" w:type="dxa"/>
            <w:vAlign w:val="top"/>
          </w:tcPr>
          <w:p w14:paraId="5C653688">
            <w:pPr>
              <w:rPr>
                <w:rFonts w:hint="eastAsia" w:ascii="Times New Roman" w:hAnsi="Times New Roman" w:eastAsia="宋体" w:cs="Times New Roman"/>
                <w:b w:val="0"/>
                <w:bCs w:val="0"/>
                <w:kern w:val="2"/>
                <w:sz w:val="21"/>
                <w:szCs w:val="24"/>
                <w:lang w:val="en-US" w:eastAsia="zh-CN" w:bidi="ar-SA"/>
              </w:rPr>
            </w:pPr>
          </w:p>
        </w:tc>
        <w:tc>
          <w:tcPr>
            <w:tcW w:w="1243" w:type="dxa"/>
            <w:vAlign w:val="top"/>
          </w:tcPr>
          <w:p w14:paraId="72A9CEC4">
            <w:pPr>
              <w:rPr>
                <w:rFonts w:hint="eastAsia" w:ascii="Times New Roman" w:hAnsi="Times New Roman" w:eastAsia="宋体" w:cs="Times New Roman"/>
                <w:b w:val="0"/>
                <w:bCs w:val="0"/>
                <w:kern w:val="2"/>
                <w:sz w:val="21"/>
                <w:szCs w:val="24"/>
                <w:lang w:val="en-US" w:eastAsia="zh-CN" w:bidi="ar-SA"/>
              </w:rPr>
            </w:pPr>
          </w:p>
        </w:tc>
        <w:tc>
          <w:tcPr>
            <w:tcW w:w="1167" w:type="dxa"/>
            <w:vAlign w:val="top"/>
          </w:tcPr>
          <w:p w14:paraId="34114633">
            <w:pPr>
              <w:rPr>
                <w:rFonts w:hint="eastAsia" w:ascii="Times New Roman" w:hAnsi="Times New Roman" w:eastAsia="宋体" w:cs="Times New Roman"/>
                <w:b w:val="0"/>
                <w:bCs w:val="0"/>
                <w:kern w:val="2"/>
                <w:sz w:val="21"/>
                <w:szCs w:val="24"/>
                <w:lang w:val="en-US" w:eastAsia="zh-CN" w:bidi="ar-SA"/>
              </w:rPr>
            </w:pPr>
          </w:p>
        </w:tc>
        <w:tc>
          <w:tcPr>
            <w:tcW w:w="1168" w:type="dxa"/>
            <w:vAlign w:val="top"/>
          </w:tcPr>
          <w:p w14:paraId="1DC6A86B">
            <w:pPr>
              <w:rPr>
                <w:rFonts w:hint="eastAsia" w:ascii="Times New Roman" w:hAnsi="Times New Roman" w:eastAsia="宋体" w:cs="Times New Roman"/>
                <w:b w:val="0"/>
                <w:bCs w:val="0"/>
                <w:kern w:val="2"/>
                <w:sz w:val="21"/>
                <w:szCs w:val="24"/>
                <w:lang w:val="en-US" w:eastAsia="zh-CN" w:bidi="ar-SA"/>
              </w:rPr>
            </w:pPr>
          </w:p>
        </w:tc>
        <w:tc>
          <w:tcPr>
            <w:tcW w:w="815" w:type="dxa"/>
            <w:vAlign w:val="top"/>
          </w:tcPr>
          <w:p w14:paraId="2CCFA0F2">
            <w:pPr>
              <w:rPr>
                <w:rFonts w:hint="eastAsia" w:ascii="Times New Roman" w:hAnsi="Times New Roman" w:eastAsia="宋体" w:cs="Times New Roman"/>
                <w:b w:val="0"/>
                <w:bCs w:val="0"/>
                <w:kern w:val="2"/>
                <w:sz w:val="21"/>
                <w:szCs w:val="24"/>
                <w:lang w:val="en-US" w:eastAsia="zh-CN" w:bidi="ar-SA"/>
              </w:rPr>
            </w:pPr>
          </w:p>
        </w:tc>
        <w:tc>
          <w:tcPr>
            <w:tcW w:w="1350" w:type="dxa"/>
            <w:vAlign w:val="top"/>
          </w:tcPr>
          <w:p w14:paraId="3D3AFB17">
            <w:pPr>
              <w:rPr>
                <w:rFonts w:hint="eastAsia" w:ascii="Times New Roman" w:hAnsi="Times New Roman" w:eastAsia="宋体" w:cs="Times New Roman"/>
                <w:b w:val="0"/>
                <w:bCs w:val="0"/>
                <w:kern w:val="2"/>
                <w:sz w:val="21"/>
                <w:szCs w:val="24"/>
                <w:lang w:val="en-US" w:eastAsia="zh-CN" w:bidi="ar-SA"/>
              </w:rPr>
            </w:pPr>
          </w:p>
        </w:tc>
        <w:tc>
          <w:tcPr>
            <w:tcW w:w="1448" w:type="dxa"/>
            <w:vAlign w:val="top"/>
          </w:tcPr>
          <w:p w14:paraId="6B9C588A">
            <w:pPr>
              <w:rPr>
                <w:rFonts w:hint="eastAsia" w:ascii="Times New Roman" w:hAnsi="Times New Roman" w:eastAsia="宋体" w:cs="Times New Roman"/>
                <w:b w:val="0"/>
                <w:bCs w:val="0"/>
                <w:kern w:val="2"/>
                <w:sz w:val="21"/>
                <w:szCs w:val="24"/>
                <w:lang w:val="en-US" w:eastAsia="zh-CN" w:bidi="ar-SA"/>
              </w:rPr>
            </w:pPr>
          </w:p>
        </w:tc>
      </w:tr>
      <w:tr w14:paraId="5DD6A3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vAlign w:val="top"/>
          </w:tcPr>
          <w:p w14:paraId="3E855AE4">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6</w:t>
            </w:r>
          </w:p>
        </w:tc>
        <w:tc>
          <w:tcPr>
            <w:tcW w:w="1329" w:type="dxa"/>
            <w:vAlign w:val="top"/>
          </w:tcPr>
          <w:p w14:paraId="5E919D62">
            <w:pPr>
              <w:rPr>
                <w:rFonts w:hint="eastAsia" w:ascii="Times New Roman" w:hAnsi="Times New Roman" w:eastAsia="宋体" w:cs="Times New Roman"/>
                <w:b w:val="0"/>
                <w:bCs w:val="0"/>
                <w:kern w:val="2"/>
                <w:sz w:val="21"/>
                <w:szCs w:val="24"/>
                <w:lang w:val="en-US" w:eastAsia="zh-CN" w:bidi="ar-SA"/>
              </w:rPr>
            </w:pPr>
          </w:p>
        </w:tc>
        <w:tc>
          <w:tcPr>
            <w:tcW w:w="1243" w:type="dxa"/>
            <w:vAlign w:val="top"/>
          </w:tcPr>
          <w:p w14:paraId="010D6E9E">
            <w:pPr>
              <w:rPr>
                <w:rFonts w:hint="eastAsia" w:ascii="Times New Roman" w:hAnsi="Times New Roman" w:eastAsia="宋体" w:cs="Times New Roman"/>
                <w:b w:val="0"/>
                <w:bCs w:val="0"/>
                <w:kern w:val="2"/>
                <w:sz w:val="21"/>
                <w:szCs w:val="24"/>
                <w:lang w:val="en-US" w:eastAsia="zh-CN" w:bidi="ar-SA"/>
              </w:rPr>
            </w:pPr>
          </w:p>
        </w:tc>
        <w:tc>
          <w:tcPr>
            <w:tcW w:w="1167" w:type="dxa"/>
            <w:vAlign w:val="top"/>
          </w:tcPr>
          <w:p w14:paraId="363A1307">
            <w:pPr>
              <w:rPr>
                <w:rFonts w:hint="eastAsia" w:ascii="Times New Roman" w:hAnsi="Times New Roman" w:eastAsia="宋体" w:cs="Times New Roman"/>
                <w:b w:val="0"/>
                <w:bCs w:val="0"/>
                <w:kern w:val="2"/>
                <w:sz w:val="21"/>
                <w:szCs w:val="24"/>
                <w:lang w:val="en-US" w:eastAsia="zh-CN" w:bidi="ar-SA"/>
              </w:rPr>
            </w:pPr>
          </w:p>
        </w:tc>
        <w:tc>
          <w:tcPr>
            <w:tcW w:w="1168" w:type="dxa"/>
            <w:vAlign w:val="top"/>
          </w:tcPr>
          <w:p w14:paraId="6B832A90">
            <w:pPr>
              <w:rPr>
                <w:rFonts w:hint="eastAsia" w:ascii="Times New Roman" w:hAnsi="Times New Roman" w:eastAsia="宋体" w:cs="Times New Roman"/>
                <w:b w:val="0"/>
                <w:bCs w:val="0"/>
                <w:kern w:val="2"/>
                <w:sz w:val="21"/>
                <w:szCs w:val="24"/>
                <w:lang w:val="en-US" w:eastAsia="zh-CN" w:bidi="ar-SA"/>
              </w:rPr>
            </w:pPr>
          </w:p>
        </w:tc>
        <w:tc>
          <w:tcPr>
            <w:tcW w:w="815" w:type="dxa"/>
            <w:vAlign w:val="top"/>
          </w:tcPr>
          <w:p w14:paraId="13EE9CF1">
            <w:pPr>
              <w:rPr>
                <w:rFonts w:hint="eastAsia" w:ascii="Times New Roman" w:hAnsi="Times New Roman" w:eastAsia="宋体" w:cs="Times New Roman"/>
                <w:b w:val="0"/>
                <w:bCs w:val="0"/>
                <w:kern w:val="2"/>
                <w:sz w:val="21"/>
                <w:szCs w:val="24"/>
                <w:lang w:val="en-US" w:eastAsia="zh-CN" w:bidi="ar-SA"/>
              </w:rPr>
            </w:pPr>
          </w:p>
        </w:tc>
        <w:tc>
          <w:tcPr>
            <w:tcW w:w="1350" w:type="dxa"/>
            <w:vAlign w:val="top"/>
          </w:tcPr>
          <w:p w14:paraId="2D8B515A">
            <w:pPr>
              <w:rPr>
                <w:rFonts w:hint="eastAsia" w:ascii="Times New Roman" w:hAnsi="Times New Roman" w:eastAsia="宋体" w:cs="Times New Roman"/>
                <w:b w:val="0"/>
                <w:bCs w:val="0"/>
                <w:kern w:val="2"/>
                <w:sz w:val="21"/>
                <w:szCs w:val="24"/>
                <w:lang w:val="en-US" w:eastAsia="zh-CN" w:bidi="ar-SA"/>
              </w:rPr>
            </w:pPr>
          </w:p>
        </w:tc>
        <w:tc>
          <w:tcPr>
            <w:tcW w:w="1448" w:type="dxa"/>
            <w:vAlign w:val="top"/>
          </w:tcPr>
          <w:p w14:paraId="7786ED44">
            <w:pPr>
              <w:rPr>
                <w:rFonts w:hint="eastAsia" w:ascii="Times New Roman" w:hAnsi="Times New Roman" w:eastAsia="宋体" w:cs="Times New Roman"/>
                <w:b w:val="0"/>
                <w:bCs w:val="0"/>
                <w:kern w:val="2"/>
                <w:sz w:val="21"/>
                <w:szCs w:val="24"/>
                <w:lang w:val="en-US" w:eastAsia="zh-CN" w:bidi="ar-SA"/>
              </w:rPr>
            </w:pPr>
          </w:p>
        </w:tc>
      </w:tr>
      <w:tr w14:paraId="4B797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66" w:type="dxa"/>
            <w:vAlign w:val="top"/>
          </w:tcPr>
          <w:p w14:paraId="1DFDA97B">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w:t>
            </w:r>
          </w:p>
        </w:tc>
        <w:tc>
          <w:tcPr>
            <w:tcW w:w="1329" w:type="dxa"/>
            <w:vAlign w:val="top"/>
          </w:tcPr>
          <w:p w14:paraId="4578D806">
            <w:pPr>
              <w:rPr>
                <w:rFonts w:hint="eastAsia" w:ascii="Times New Roman" w:hAnsi="Times New Roman" w:eastAsia="宋体" w:cs="Times New Roman"/>
                <w:b w:val="0"/>
                <w:bCs w:val="0"/>
                <w:kern w:val="2"/>
                <w:sz w:val="21"/>
                <w:szCs w:val="24"/>
                <w:lang w:val="en-US" w:eastAsia="zh-CN" w:bidi="ar-SA"/>
              </w:rPr>
            </w:pPr>
          </w:p>
        </w:tc>
        <w:tc>
          <w:tcPr>
            <w:tcW w:w="1243" w:type="dxa"/>
            <w:vAlign w:val="top"/>
          </w:tcPr>
          <w:p w14:paraId="0A6A55EC">
            <w:pPr>
              <w:rPr>
                <w:rFonts w:hint="eastAsia" w:ascii="Times New Roman" w:hAnsi="Times New Roman" w:eastAsia="宋体" w:cs="Times New Roman"/>
                <w:b w:val="0"/>
                <w:bCs w:val="0"/>
                <w:kern w:val="2"/>
                <w:sz w:val="21"/>
                <w:szCs w:val="24"/>
                <w:lang w:val="en-US" w:eastAsia="zh-CN" w:bidi="ar-SA"/>
              </w:rPr>
            </w:pPr>
          </w:p>
        </w:tc>
        <w:tc>
          <w:tcPr>
            <w:tcW w:w="1167" w:type="dxa"/>
            <w:vAlign w:val="top"/>
          </w:tcPr>
          <w:p w14:paraId="0927C0DD">
            <w:pPr>
              <w:rPr>
                <w:rFonts w:hint="eastAsia" w:ascii="Times New Roman" w:hAnsi="Times New Roman" w:eastAsia="宋体" w:cs="Times New Roman"/>
                <w:b w:val="0"/>
                <w:bCs w:val="0"/>
                <w:kern w:val="2"/>
                <w:sz w:val="21"/>
                <w:szCs w:val="24"/>
                <w:lang w:val="en-US" w:eastAsia="zh-CN" w:bidi="ar-SA"/>
              </w:rPr>
            </w:pPr>
          </w:p>
        </w:tc>
        <w:tc>
          <w:tcPr>
            <w:tcW w:w="1168" w:type="dxa"/>
            <w:vAlign w:val="top"/>
          </w:tcPr>
          <w:p w14:paraId="4FAB6AD2">
            <w:pPr>
              <w:rPr>
                <w:rFonts w:hint="eastAsia" w:ascii="Times New Roman" w:hAnsi="Times New Roman" w:eastAsia="宋体" w:cs="Times New Roman"/>
                <w:b w:val="0"/>
                <w:bCs w:val="0"/>
                <w:kern w:val="2"/>
                <w:sz w:val="21"/>
                <w:szCs w:val="24"/>
                <w:lang w:val="en-US" w:eastAsia="zh-CN" w:bidi="ar-SA"/>
              </w:rPr>
            </w:pPr>
          </w:p>
        </w:tc>
        <w:tc>
          <w:tcPr>
            <w:tcW w:w="815" w:type="dxa"/>
            <w:vAlign w:val="top"/>
          </w:tcPr>
          <w:p w14:paraId="5AE71855">
            <w:pPr>
              <w:rPr>
                <w:rFonts w:hint="eastAsia" w:ascii="Times New Roman" w:hAnsi="Times New Roman" w:eastAsia="宋体" w:cs="Times New Roman"/>
                <w:b w:val="0"/>
                <w:bCs w:val="0"/>
                <w:kern w:val="2"/>
                <w:sz w:val="21"/>
                <w:szCs w:val="24"/>
                <w:lang w:val="en-US" w:eastAsia="zh-CN" w:bidi="ar-SA"/>
              </w:rPr>
            </w:pPr>
          </w:p>
        </w:tc>
        <w:tc>
          <w:tcPr>
            <w:tcW w:w="1350" w:type="dxa"/>
            <w:vAlign w:val="top"/>
          </w:tcPr>
          <w:p w14:paraId="4B5610D3">
            <w:pPr>
              <w:rPr>
                <w:rFonts w:hint="eastAsia" w:ascii="Times New Roman" w:hAnsi="Times New Roman" w:eastAsia="宋体" w:cs="Times New Roman"/>
                <w:b w:val="0"/>
                <w:bCs w:val="0"/>
                <w:kern w:val="2"/>
                <w:sz w:val="21"/>
                <w:szCs w:val="24"/>
                <w:lang w:val="en-US" w:eastAsia="zh-CN" w:bidi="ar-SA"/>
              </w:rPr>
            </w:pPr>
          </w:p>
        </w:tc>
        <w:tc>
          <w:tcPr>
            <w:tcW w:w="1448" w:type="dxa"/>
            <w:vAlign w:val="top"/>
          </w:tcPr>
          <w:p w14:paraId="58291F26">
            <w:pPr>
              <w:rPr>
                <w:rFonts w:hint="eastAsia" w:ascii="Times New Roman" w:hAnsi="Times New Roman" w:eastAsia="宋体" w:cs="Times New Roman"/>
                <w:b w:val="0"/>
                <w:bCs w:val="0"/>
                <w:kern w:val="2"/>
                <w:sz w:val="21"/>
                <w:szCs w:val="24"/>
                <w:lang w:val="en-US" w:eastAsia="zh-CN" w:bidi="ar-SA"/>
              </w:rPr>
            </w:pPr>
          </w:p>
        </w:tc>
      </w:tr>
    </w:tbl>
    <w:p w14:paraId="68EEC1CB">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注：</w:t>
      </w:r>
    </w:p>
    <w:p w14:paraId="63F17D0F">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1、所属设备模块是指该设备的是由那几部分组成，例：石墨粉尘集中处理系统设备由压制粉尘收集及暂存装、车削粉尘收集及暂存装置组成。</w:t>
      </w:r>
    </w:p>
    <w:p w14:paraId="1B9FCF3D">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2、主要部件是指设备各组成部分由哪些部件构成，例：压制粉尘收集及暂存装由粉尘输送管路、称重模块、压制粉尘集中收集模块、远程操作盒模块组成。</w:t>
      </w:r>
    </w:p>
    <w:p w14:paraId="47B4A13E">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3、零部件是指主要部件是由哪些零部件组成，这部分由供应商进行细化。</w:t>
      </w:r>
    </w:p>
    <w:p w14:paraId="7A845686">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4、材质、数量、规格型号是指设备中包含的零部件的数量。</w:t>
      </w:r>
    </w:p>
    <w:p w14:paraId="5F584A3A">
      <w:pPr>
        <w:rPr>
          <w:rFonts w:hint="eastAsia" w:ascii="Times New Roman" w:hAnsi="Times New Roman" w:eastAsia="宋体" w:cs="Times New Roman"/>
          <w:b w:val="0"/>
          <w:bCs w:val="0"/>
          <w:kern w:val="2"/>
          <w:sz w:val="21"/>
          <w:szCs w:val="24"/>
          <w:lang w:val="en-US" w:eastAsia="zh-CN" w:bidi="ar-SA"/>
        </w:rPr>
      </w:pPr>
      <w:r>
        <w:rPr>
          <w:rFonts w:hint="eastAsia" w:ascii="Times New Roman" w:hAnsi="Times New Roman" w:eastAsia="宋体" w:cs="Times New Roman"/>
          <w:b w:val="0"/>
          <w:bCs w:val="0"/>
          <w:kern w:val="2"/>
          <w:sz w:val="21"/>
          <w:szCs w:val="24"/>
          <w:lang w:val="en-US" w:eastAsia="zh-CN" w:bidi="ar-SA"/>
        </w:rPr>
        <w:t>5、图纸或图号由供应商实际情况填写。</w:t>
      </w:r>
    </w:p>
    <w:p w14:paraId="405E46CC">
      <w:pPr>
        <w:rPr>
          <w:rFonts w:hint="eastAsia" w:ascii="Times New Roman" w:hAnsi="Times New Roman" w:eastAsia="宋体" w:cs="Times New Roman"/>
          <w:b w:val="0"/>
          <w:bCs w:val="0"/>
          <w:kern w:val="2"/>
          <w:sz w:val="21"/>
          <w:szCs w:val="24"/>
          <w:lang w:val="en-US" w:eastAsia="zh-CN" w:bidi="ar-SA"/>
        </w:rPr>
      </w:pPr>
      <w:bookmarkStart w:id="61" w:name="_GoBack"/>
      <w:bookmarkEnd w:id="61"/>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A16428A"/>
    <w:multiLevelType w:val="multilevel"/>
    <w:tmpl w:val="FA16428A"/>
    <w:lvl w:ilvl="0" w:tentative="0">
      <w:start w:val="1"/>
      <w:numFmt w:val="decimal"/>
      <w:pStyle w:val="5"/>
      <w:suff w:val="space"/>
      <w:lvlText w:val="%1."/>
      <w:lvlJc w:val="left"/>
      <w:pPr>
        <w:ind w:left="850" w:leftChars="0" w:hanging="567" w:firstLineChars="0"/>
      </w:pPr>
    </w:lvl>
    <w:lvl w:ilvl="1" w:tentative="0">
      <w:start w:val="1"/>
      <w:numFmt w:val="decimal"/>
      <w:lvlText w:val="%1.%2."/>
      <w:lvlJc w:val="left"/>
      <w:pPr>
        <w:ind w:left="851" w:hanging="567"/>
      </w:pPr>
    </w:lvl>
    <w:lvl w:ilvl="2" w:tentative="0">
      <w:start w:val="1"/>
      <w:numFmt w:val="decimal"/>
      <w:lvlText w:val="%1.%2.%3."/>
      <w:lvlJc w:val="left"/>
      <w:pPr>
        <w:ind w:left="709" w:hanging="142"/>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0B97BD5"/>
    <w:rsid w:val="027619AC"/>
    <w:rsid w:val="031E13D5"/>
    <w:rsid w:val="097926C7"/>
    <w:rsid w:val="11133FC4"/>
    <w:rsid w:val="1BA52394"/>
    <w:rsid w:val="20B97BD5"/>
    <w:rsid w:val="23F610C0"/>
    <w:rsid w:val="27DE7237"/>
    <w:rsid w:val="2E232138"/>
    <w:rsid w:val="31A237FE"/>
    <w:rsid w:val="353E42CE"/>
    <w:rsid w:val="3AA37D19"/>
    <w:rsid w:val="40D07EFD"/>
    <w:rsid w:val="46113492"/>
    <w:rsid w:val="46CA1CB5"/>
    <w:rsid w:val="4D891B60"/>
    <w:rsid w:val="4F1F3E10"/>
    <w:rsid w:val="54837309"/>
    <w:rsid w:val="59E531C8"/>
    <w:rsid w:val="5D2D5A9B"/>
    <w:rsid w:val="6E1B1A9A"/>
    <w:rsid w:val="6EFF182A"/>
    <w:rsid w:val="70AD6312"/>
    <w:rsid w:val="77A13DC6"/>
    <w:rsid w:val="77E00EB5"/>
    <w:rsid w:val="78A919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5">
    <w:name w:val="样式7"/>
    <w:basedOn w:val="6"/>
    <w:qFormat/>
    <w:uiPriority w:val="0"/>
    <w:pPr>
      <w:numPr>
        <w:ilvl w:val="0"/>
        <w:numId w:val="1"/>
      </w:numPr>
      <w:tabs>
        <w:tab w:val="left" w:pos="709"/>
        <w:tab w:val="left" w:pos="941"/>
      </w:tabs>
      <w:ind w:left="850" w:hanging="567"/>
    </w:pPr>
    <w:rPr>
      <w:rFonts w:eastAsia="仿宋_GB2312"/>
      <w:b/>
      <w:bCs/>
    </w:rPr>
  </w:style>
  <w:style w:type="paragraph" w:customStyle="1" w:styleId="6">
    <w:name w:val="标题1"/>
    <w:basedOn w:val="1"/>
    <w:qFormat/>
    <w:uiPriority w:val="99"/>
    <w:pPr>
      <w:tabs>
        <w:tab w:val="left" w:pos="941"/>
      </w:tabs>
      <w:spacing w:before="120" w:after="120"/>
      <w:outlineLvl w:val="0"/>
    </w:pPr>
    <w:rPr>
      <w:kern w:val="0"/>
      <w:sz w:val="24"/>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0</Words>
  <Characters>0</Characters>
  <Lines>0</Lines>
  <Paragraphs>0</Paragraphs>
  <TotalTime>0</TotalTime>
  <ScaleCrop>false</ScaleCrop>
  <LinksUpToDate>false</LinksUpToDate>
  <CharactersWithSpaces>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2026-05-07T08:27:00Z</dcterms:created>
  <dc:creator>不要说话</dc:creator>
  <cp:lastModifiedBy>不要说话</cp:lastModifiedBy>
  <dcterms:modified xsi:type="dcterms:W3CDTF">2026-05-07T09:04:29Z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C9E6E993862740C4B518F350AF949153_11</vt:lpwstr>
  </property>
  <property fmtid="{D5CDD505-2E9C-101B-9397-08002B2CF9AE}" pid="4" name="KSOTemplateDocerSaveRecord">
    <vt:lpwstr>eyJoZGlkIjoiMjlmM2ExZTYwMDJiNjkxMjgwZmEyM2Y5Nzk3NDc5OGMiLCJ1c2VySWQiOiIyNDI2MzU0MTMifQ==</vt:lpwstr>
  </property>
</Properties>
</file>