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20B60">
      <w:pPr>
        <w:pStyle w:val="3"/>
      </w:pPr>
      <w:r>
        <w:rPr>
          <w:rFonts w:ascii="黑体" w:hAnsi="黑体" w:eastAsia="黑体"/>
        </w:rPr>
        <w:t>华谊项目业主资料库用户使用手册</w:t>
      </w:r>
    </w:p>
    <w:p w14:paraId="322DBD66">
      <w:r>
        <w:rPr>
          <w:rFonts w:ascii="宋体" w:hAnsi="宋体" w:eastAsia="宋体"/>
        </w:rPr>
        <w:t>整理日期：2026-04-30</w:t>
      </w:r>
    </w:p>
    <w:p w14:paraId="6B5A3872">
      <w:pPr>
        <w:pStyle w:val="4"/>
      </w:pPr>
      <w:r>
        <w:rPr>
          <w:rFonts w:ascii="黑体" w:hAnsi="黑体" w:eastAsia="黑体"/>
        </w:rPr>
        <w:t>一、文档概述</w:t>
      </w:r>
    </w:p>
    <w:p w14:paraId="248E294A">
      <w:r>
        <w:rPr>
          <w:rFonts w:ascii="宋体" w:hAnsi="宋体" w:eastAsia="宋体"/>
        </w:rPr>
        <w:t>本文档用于指导系统管理员和检验主管使用华谊项目“业主资料库”功能，完成菜单配置、权限投放、台账查询、状态识别、资料查看、历史追溯和导出归档等操作。该功能主要服务于业主交底资料的集中展示、过程留痕和档案管理，不涉及调用方直接发起开放接口请求。</w:t>
      </w:r>
    </w:p>
    <w:p w14:paraId="2A666ACF">
      <w:pPr>
        <w:pStyle w:val="4"/>
      </w:pPr>
      <w:r>
        <w:rPr>
          <w:rFonts w:ascii="黑体" w:hAnsi="黑体" w:eastAsia="黑体"/>
        </w:rPr>
        <w:t>二、适用范围</w:t>
      </w:r>
    </w:p>
    <w:p w14:paraId="192EA524">
      <w:r>
        <w:rPr>
          <w:rFonts w:ascii="宋体" w:hAnsi="宋体" w:eastAsia="宋体"/>
        </w:rPr>
        <w:t>本手册适用于已完成检验主管配置并具备菜单访问权限的用户。系统管理员负责菜单投放、角色授权和前置配置，检验主管负责在授权范围内查询和使用台账资料。台账数据来源于公司域开放接口归集形成的业主交底资料。</w:t>
      </w:r>
    </w:p>
    <w:p w14:paraId="755BD39F">
      <w:pPr>
        <w:pStyle w:val="4"/>
      </w:pPr>
      <w:r>
        <w:rPr>
          <w:rFonts w:ascii="黑体" w:hAnsi="黑体" w:eastAsia="黑体"/>
        </w:rPr>
        <w:t>三、角色与权限</w:t>
      </w:r>
    </w:p>
    <w:p w14:paraId="5A6F6328">
      <w:pPr>
        <w:pStyle w:val="5"/>
      </w:pPr>
      <w:r>
        <w:rPr>
          <w:rFonts w:ascii="黑体" w:hAnsi="黑体" w:eastAsia="黑体"/>
        </w:rPr>
        <w:t>3.1 访问角色</w:t>
      </w:r>
    </w:p>
    <w:p w14:paraId="41654A78">
      <w:pPr>
        <w:pStyle w:val="16"/>
      </w:pPr>
      <w:r>
        <w:rPr>
          <w:rFonts w:ascii="宋体" w:hAnsi="宋体" w:eastAsia="宋体"/>
        </w:rPr>
        <w:t>系统管理员</w:t>
      </w:r>
    </w:p>
    <w:p w14:paraId="37313275">
      <w:pPr>
        <w:pStyle w:val="16"/>
      </w:pPr>
      <w:r>
        <w:rPr>
          <w:rFonts w:ascii="宋体" w:hAnsi="宋体" w:eastAsia="宋体"/>
        </w:rPr>
        <w:t>检验主管</w:t>
      </w:r>
    </w:p>
    <w:p w14:paraId="23AF4506">
      <w:pPr>
        <w:pStyle w:val="5"/>
      </w:pPr>
      <w:r>
        <w:rPr>
          <w:rFonts w:ascii="黑体" w:hAnsi="黑体" w:eastAsia="黑体"/>
        </w:rPr>
        <w:t>3.2 菜单路径</w:t>
      </w:r>
    </w:p>
    <w:p w14:paraId="7F6ED3D3">
      <w:pPr>
        <w:pStyle w:val="16"/>
      </w:pPr>
      <w:r>
        <w:rPr>
          <w:rFonts w:ascii="宋体" w:hAnsi="宋体" w:eastAsia="宋体"/>
        </w:rPr>
        <w:t>业务办公 -&gt; 检验主管 -&gt; 业主资料库</w:t>
      </w:r>
    </w:p>
    <w:p w14:paraId="4F8F68FF">
      <w:pPr>
        <w:pStyle w:val="5"/>
      </w:pPr>
      <w:r>
        <w:rPr>
          <w:rFonts w:ascii="黑体" w:hAnsi="黑体" w:eastAsia="黑体"/>
        </w:rPr>
        <w:t>3.3 菜单与权限配置</w:t>
      </w:r>
    </w:p>
    <w:p w14:paraId="202C8AD1">
      <w:r>
        <w:rPr>
          <w:rFonts w:ascii="宋体" w:hAnsi="宋体" w:eastAsia="宋体"/>
        </w:rPr>
        <w:t>系统管理员应在菜单管理中完成“业主资料库”菜单及操作权限配置，并在角色授权中将对应权限分配给检验主管角色。建议配置如下：</w:t>
      </w:r>
    </w:p>
    <w:p w14:paraId="6B9CC977">
      <w:pPr>
        <w:pStyle w:val="16"/>
      </w:pPr>
      <w:r>
        <w:rPr>
          <w:rFonts w:ascii="宋体" w:hAnsi="宋体" w:eastAsia="宋体"/>
        </w:rPr>
        <w:t>菜单名称：业主资料库</w:t>
      </w:r>
    </w:p>
    <w:p w14:paraId="7A991AD1">
      <w:pPr>
        <w:pStyle w:val="16"/>
      </w:pPr>
      <w:r>
        <w:rPr>
          <w:rFonts w:ascii="宋体" w:hAnsi="宋体" w:eastAsia="宋体"/>
        </w:rPr>
        <w:t>所属菜单：检验主管</w:t>
      </w:r>
    </w:p>
    <w:p w14:paraId="5CCA1E68">
      <w:pPr>
        <w:pStyle w:val="16"/>
      </w:pPr>
      <w:r>
        <w:rPr>
          <w:rFonts w:ascii="宋体" w:hAnsi="宋体" w:eastAsia="宋体"/>
        </w:rPr>
        <w:t>操作权限：查询、详情、历史、导出</w:t>
      </w:r>
    </w:p>
    <w:p w14:paraId="5EDE26C5">
      <w:r>
        <w:rPr>
          <w:rFonts w:ascii="宋体" w:hAnsi="宋体" w:eastAsia="宋体"/>
        </w:rPr>
        <w:t>完成菜单配置后，应刷新权限缓存并重新登录授权账号，确认菜单已按预期显示。</w:t>
      </w:r>
    </w:p>
    <w:p w14:paraId="5F1EC278">
      <w:pPr>
        <w:bidi w:val="0"/>
      </w:pPr>
      <w:bookmarkStart w:id="0" w:name="_GoBack"/>
      <w:bookmarkEnd w:id="0"/>
      <w:r>
        <w:drawing>
          <wp:inline distT="0" distB="0" distL="114300" distR="114300">
            <wp:extent cx="5475605" cy="2473325"/>
            <wp:effectExtent l="0" t="0" r="1079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47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D4399">
      <w:pPr>
        <w:pStyle w:val="4"/>
      </w:pPr>
      <w:r>
        <w:rPr>
          <w:rFonts w:ascii="黑体" w:hAnsi="黑体" w:eastAsia="黑体"/>
        </w:rPr>
        <w:t>四、使用前准备</w:t>
      </w:r>
    </w:p>
    <w:p w14:paraId="257C0788">
      <w:r>
        <w:rPr>
          <w:rFonts w:ascii="宋体" w:hAnsi="宋体" w:eastAsia="宋体"/>
        </w:rPr>
        <w:t>在进入业主资料库前，应完成以下准备工作：</w:t>
      </w:r>
    </w:p>
    <w:p w14:paraId="6E19661F">
      <w:pPr>
        <w:pStyle w:val="14"/>
      </w:pPr>
      <w:r>
        <w:rPr>
          <w:rFonts w:ascii="宋体" w:hAnsi="宋体" w:eastAsia="宋体"/>
        </w:rPr>
        <w:t>确认目标公司已配置检验主管。</w:t>
      </w:r>
    </w:p>
    <w:p w14:paraId="2D5DFC0F">
      <w:pPr>
        <w:pStyle w:val="14"/>
      </w:pPr>
      <w:r>
        <w:rPr>
          <w:rFonts w:ascii="宋体" w:hAnsi="宋体" w:eastAsia="宋体"/>
        </w:rPr>
        <w:t>确认系统管理员已完成菜单投放和角色授权。</w:t>
      </w:r>
    </w:p>
    <w:p w14:paraId="1BFDA4B6">
      <w:pPr>
        <w:pStyle w:val="14"/>
      </w:pPr>
      <w:r>
        <w:rPr>
          <w:rFonts w:ascii="宋体" w:hAnsi="宋体" w:eastAsia="宋体"/>
        </w:rPr>
        <w:t>确认相关业主交底资料已按业务流程进入台账。</w:t>
      </w:r>
    </w:p>
    <w:p w14:paraId="7269D109">
      <w:pPr>
        <w:pStyle w:val="14"/>
      </w:pPr>
      <w:r>
        <w:rPr>
          <w:rFonts w:ascii="宋体" w:hAnsi="宋体" w:eastAsia="宋体"/>
        </w:rPr>
        <w:t>确认当前登录账号具备检验主管职责权限。</w:t>
      </w:r>
    </w:p>
    <w:p w14:paraId="55C3C49B">
      <w:r>
        <w:rPr>
          <w:rFonts w:ascii="宋体" w:hAnsi="宋体" w:eastAsia="宋体"/>
        </w:rPr>
        <w:t>公司配置检验主管的建议步骤如下：</w:t>
      </w:r>
    </w:p>
    <w:p w14:paraId="7BAD2674">
      <w:pPr>
        <w:pStyle w:val="14"/>
      </w:pPr>
      <w:r>
        <w:rPr>
          <w:rFonts w:ascii="宋体" w:hAnsi="宋体" w:eastAsia="宋体"/>
        </w:rPr>
        <w:t>进入公司档案页面，定位目标公司。</w:t>
      </w:r>
    </w:p>
    <w:p w14:paraId="30FEF695">
      <w:pPr>
        <w:pStyle w:val="14"/>
      </w:pPr>
      <w:r>
        <w:rPr>
          <w:rFonts w:ascii="宋体" w:hAnsi="宋体" w:eastAsia="宋体"/>
        </w:rPr>
        <w:t>在公司操作中进入“检验主管管理”窗口。</w:t>
      </w:r>
    </w:p>
    <w:p w14:paraId="7B0ADF58">
      <w:pPr>
        <w:pStyle w:val="14"/>
      </w:pPr>
      <w:r>
        <w:rPr>
          <w:rFonts w:ascii="宋体" w:hAnsi="宋体" w:eastAsia="宋体"/>
        </w:rPr>
        <w:t>点击新增，选择具备检验主管职责的用户账号。</w:t>
      </w:r>
    </w:p>
    <w:p w14:paraId="4E45AB15">
      <w:pPr>
        <w:pStyle w:val="14"/>
      </w:pPr>
      <w:r>
        <w:rPr>
          <w:rFonts w:ascii="宋体" w:hAnsi="宋体" w:eastAsia="宋体"/>
        </w:rPr>
        <w:t>保存后确认该人员已加入公司检验主管列表。</w:t>
      </w:r>
    </w:p>
    <w:p w14:paraId="200604A0">
      <w:pPr>
        <w:pStyle w:val="14"/>
      </w:pPr>
      <w:r>
        <w:rPr>
          <w:rFonts w:ascii="宋体" w:hAnsi="宋体" w:eastAsia="宋体"/>
        </w:rPr>
        <w:t>使用该检验主管账号重新登录系统。</w:t>
      </w:r>
    </w:p>
    <w:p w14:paraId="09143D36">
      <w:pPr>
        <w:pStyle w:val="19"/>
        <w:spacing w:after="60" w:line="360" w:lineRule="auto"/>
      </w:pPr>
      <w:r>
        <w:rPr>
          <w:rFonts w:ascii="宋体" w:hAnsi="宋体" w:eastAsia="宋体" w:cs="宋体"/>
          <w:b w:val="0"/>
          <w:color w:val="000000"/>
          <w:sz w:val="24"/>
        </w:rPr>
        <w:drawing>
          <wp:inline distT="0" distB="0" distL="114300" distR="114300">
            <wp:extent cx="5478780" cy="2174875"/>
            <wp:effectExtent l="0" t="0" r="7620" b="444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4D76C">
      <w:pPr>
        <w:pStyle w:val="19"/>
        <w:spacing w:after="60" w:line="360" w:lineRule="auto"/>
        <w:rPr>
          <w:rFonts w:ascii="宋体" w:hAnsi="宋体" w:eastAsia="宋体" w:cs="宋体"/>
          <w:b w:val="0"/>
          <w:color w:val="000000"/>
          <w:sz w:val="24"/>
        </w:rPr>
      </w:pPr>
      <w:r>
        <w:rPr>
          <w:rFonts w:ascii="宋体" w:hAnsi="宋体" w:eastAsia="宋体" w:cs="宋体"/>
          <w:b w:val="0"/>
          <w:color w:val="000000"/>
          <w:sz w:val="24"/>
        </w:rPr>
        <w:drawing>
          <wp:inline distT="0" distB="0" distL="114300" distR="114300">
            <wp:extent cx="5474335" cy="2507615"/>
            <wp:effectExtent l="0" t="0" r="12065" b="698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A1236">
      <w:pPr>
        <w:pStyle w:val="19"/>
        <w:spacing w:after="60" w:line="360" w:lineRule="auto"/>
        <w:rPr>
          <w:rFonts w:ascii="宋体" w:hAnsi="宋体" w:eastAsia="宋体" w:cs="宋体"/>
          <w:b w:val="0"/>
          <w:color w:val="000000"/>
          <w:sz w:val="24"/>
        </w:rPr>
      </w:pPr>
      <w:r>
        <w:rPr>
          <w:rFonts w:ascii="宋体" w:hAnsi="宋体" w:eastAsia="宋体" w:cs="宋体"/>
          <w:b w:val="0"/>
          <w:color w:val="000000"/>
          <w:sz w:val="24"/>
        </w:rPr>
        <w:drawing>
          <wp:inline distT="0" distB="0" distL="114300" distR="114300">
            <wp:extent cx="5484495" cy="2745105"/>
            <wp:effectExtent l="0" t="0" r="1905" b="1333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81C27">
      <w:pPr>
        <w:pStyle w:val="4"/>
      </w:pPr>
      <w:r>
        <w:rPr>
          <w:rFonts w:ascii="黑体" w:hAnsi="黑体" w:eastAsia="黑体"/>
        </w:rPr>
        <w:t>五、功能操作说明</w:t>
      </w:r>
    </w:p>
    <w:p w14:paraId="703CD0F9">
      <w:pPr>
        <w:pStyle w:val="5"/>
      </w:pPr>
      <w:r>
        <w:rPr>
          <w:rFonts w:ascii="黑体" w:hAnsi="黑体" w:eastAsia="黑体"/>
        </w:rPr>
        <w:t>5.1 页面总体说明</w:t>
      </w:r>
    </w:p>
    <w:p w14:paraId="02D96A23">
      <w:r>
        <w:rPr>
          <w:rFonts w:ascii="宋体" w:hAnsi="宋体" w:eastAsia="宋体"/>
        </w:rPr>
        <w:t>业主资料库列表页为主入口，用于集中展示当前检验主管职责范围内的台账数据。页面支持按项目名称、制造厂、委托方和版本等条件查询，并支持查看详情、查看历史和批量导出。</w:t>
      </w:r>
    </w:p>
    <w:p w14:paraId="2A930DEB">
      <w:r>
        <w:rPr>
          <w:rFonts w:ascii="宋体" w:hAnsi="宋体" w:eastAsia="宋体"/>
        </w:rPr>
        <w:t>列表页主要展示以下信息：</w:t>
      </w:r>
    </w:p>
    <w:p w14:paraId="08742AE9">
      <w:pPr>
        <w:pStyle w:val="16"/>
      </w:pPr>
      <w:r>
        <w:rPr>
          <w:rFonts w:ascii="宋体" w:hAnsi="宋体" w:eastAsia="宋体"/>
        </w:rPr>
        <w:t>项目名称</w:t>
      </w:r>
    </w:p>
    <w:p w14:paraId="4FEF348E">
      <w:pPr>
        <w:pStyle w:val="16"/>
      </w:pPr>
      <w:r>
        <w:rPr>
          <w:rFonts w:ascii="宋体" w:hAnsi="宋体" w:eastAsia="宋体"/>
        </w:rPr>
        <w:t>委托方</w:t>
      </w:r>
    </w:p>
    <w:p w14:paraId="4773F433">
      <w:pPr>
        <w:pStyle w:val="16"/>
      </w:pPr>
      <w:r>
        <w:rPr>
          <w:rFonts w:ascii="宋体" w:hAnsi="宋体" w:eastAsia="宋体"/>
        </w:rPr>
        <w:t>检验主管</w:t>
      </w:r>
    </w:p>
    <w:p w14:paraId="0F01EEFA">
      <w:pPr>
        <w:pStyle w:val="16"/>
      </w:pPr>
      <w:r>
        <w:rPr>
          <w:rFonts w:ascii="宋体" w:hAnsi="宋体" w:eastAsia="宋体"/>
        </w:rPr>
        <w:t>制造厂</w:t>
      </w:r>
    </w:p>
    <w:p w14:paraId="64552B92">
      <w:pPr>
        <w:pStyle w:val="16"/>
      </w:pPr>
      <w:r>
        <w:rPr>
          <w:rFonts w:ascii="宋体" w:hAnsi="宋体" w:eastAsia="宋体"/>
        </w:rPr>
        <w:t>制造厂联系人</w:t>
      </w:r>
    </w:p>
    <w:p w14:paraId="4FE93717">
      <w:pPr>
        <w:pStyle w:val="16"/>
      </w:pPr>
      <w:r>
        <w:rPr>
          <w:rFonts w:ascii="宋体" w:hAnsi="宋体" w:eastAsia="宋体"/>
        </w:rPr>
        <w:t>监造形式</w:t>
      </w:r>
    </w:p>
    <w:p w14:paraId="6A04E554">
      <w:pPr>
        <w:pStyle w:val="16"/>
      </w:pPr>
      <w:r>
        <w:rPr>
          <w:rFonts w:ascii="宋体" w:hAnsi="宋体" w:eastAsia="宋体"/>
        </w:rPr>
        <w:t>状态</w:t>
      </w:r>
    </w:p>
    <w:p w14:paraId="63277E58">
      <w:pPr>
        <w:pStyle w:val="16"/>
      </w:pPr>
      <w:r>
        <w:rPr>
          <w:rFonts w:ascii="宋体" w:hAnsi="宋体" w:eastAsia="宋体"/>
        </w:rPr>
        <w:t>版本</w:t>
      </w:r>
    </w:p>
    <w:p w14:paraId="3E3C19FD">
      <w:pPr>
        <w:pStyle w:val="16"/>
      </w:pPr>
      <w:r>
        <w:rPr>
          <w:rFonts w:ascii="宋体" w:hAnsi="宋体" w:eastAsia="宋体"/>
        </w:rPr>
        <w:t>开始时间</w:t>
      </w:r>
    </w:p>
    <w:p w14:paraId="7280B191">
      <w:pPr>
        <w:pStyle w:val="16"/>
      </w:pPr>
      <w:r>
        <w:rPr>
          <w:rFonts w:ascii="宋体" w:hAnsi="宋体" w:eastAsia="宋体"/>
        </w:rPr>
        <w:t>结束时间</w:t>
      </w:r>
    </w:p>
    <w:p w14:paraId="355CA028">
      <w:pPr>
        <w:pStyle w:val="16"/>
      </w:pPr>
      <w:r>
        <w:rPr>
          <w:rFonts w:ascii="宋体" w:hAnsi="宋体" w:eastAsia="宋体"/>
        </w:rPr>
        <w:t>创建时间</w:t>
      </w:r>
    </w:p>
    <w:p w14:paraId="0E3E3910">
      <w:r>
        <w:rPr>
          <w:rFonts w:ascii="宋体" w:hAnsi="宋体" w:eastAsia="宋体"/>
        </w:rPr>
        <w:t>其中，“状态”字段用于区分当前台账是正常状态还是“五环删除”状态。若显示为“五环删除”，表示该条台账已按五环专用删除规则处理，当前资料仍保留用于查询、历史追溯和归档核验。</w:t>
      </w:r>
    </w:p>
    <w:p w14:paraId="31AA83E5">
      <w:r>
        <w:drawing>
          <wp:inline distT="0" distB="0" distL="114300" distR="114300">
            <wp:extent cx="5968365" cy="2170430"/>
            <wp:effectExtent l="0" t="0" r="5715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D3C9A">
      <w:pPr>
        <w:pStyle w:val="5"/>
      </w:pPr>
      <w:r>
        <w:rPr>
          <w:rFonts w:ascii="黑体" w:hAnsi="黑体" w:eastAsia="黑体"/>
        </w:rPr>
        <w:t>5.2 查询台账</w:t>
      </w:r>
    </w:p>
    <w:p w14:paraId="19260122">
      <w:pPr>
        <w:pStyle w:val="14"/>
      </w:pPr>
      <w:r>
        <w:rPr>
          <w:rFonts w:ascii="宋体" w:hAnsi="宋体" w:eastAsia="宋体"/>
        </w:rPr>
        <w:t>进入“业务办公 -&gt; 检验主管 -&gt; 业主资料库”。</w:t>
      </w:r>
    </w:p>
    <w:p w14:paraId="1E4AA60B">
      <w:pPr>
        <w:pStyle w:val="14"/>
      </w:pPr>
      <w:r>
        <w:rPr>
          <w:rFonts w:ascii="宋体" w:hAnsi="宋体" w:eastAsia="宋体"/>
        </w:rPr>
        <w:t>在查询区输入项目名称、制造厂、委托方或版本等条件。</w:t>
      </w:r>
    </w:p>
    <w:p w14:paraId="30FF420A">
      <w:pPr>
        <w:pStyle w:val="14"/>
      </w:pPr>
      <w:r>
        <w:rPr>
          <w:rFonts w:ascii="宋体" w:hAnsi="宋体" w:eastAsia="宋体"/>
        </w:rPr>
        <w:t>点击“查询”。</w:t>
      </w:r>
    </w:p>
    <w:p w14:paraId="0991A7E1">
      <w:pPr>
        <w:pStyle w:val="14"/>
      </w:pPr>
      <w:r>
        <w:rPr>
          <w:rFonts w:ascii="宋体" w:hAnsi="宋体" w:eastAsia="宋体"/>
        </w:rPr>
        <w:t>系统返回当前检验主管职责范围内的台账列表。</w:t>
      </w:r>
    </w:p>
    <w:p w14:paraId="2793E673">
      <w:r>
        <w:rPr>
          <w:rFonts w:ascii="宋体" w:hAnsi="宋体" w:eastAsia="宋体"/>
        </w:rPr>
        <w:t>使用说明：</w:t>
      </w:r>
    </w:p>
    <w:p w14:paraId="55A9954A">
      <w:pPr>
        <w:pStyle w:val="16"/>
      </w:pPr>
      <w:r>
        <w:rPr>
          <w:rFonts w:ascii="宋体" w:hAnsi="宋体" w:eastAsia="宋体"/>
        </w:rPr>
        <w:t>系统仅展示与当前检验主管关联的台账数据。</w:t>
      </w:r>
    </w:p>
    <w:p w14:paraId="314F7F01">
      <w:pPr>
        <w:pStyle w:val="16"/>
      </w:pPr>
      <w:r>
        <w:rPr>
          <w:rFonts w:ascii="宋体" w:hAnsi="宋体" w:eastAsia="宋体"/>
        </w:rPr>
        <w:t>系统支持分页浏览查询结果。</w:t>
      </w:r>
    </w:p>
    <w:p w14:paraId="757F841C">
      <w:pPr>
        <w:pStyle w:val="16"/>
      </w:pPr>
      <w:r>
        <w:rPr>
          <w:rFonts w:ascii="宋体" w:hAnsi="宋体" w:eastAsia="宋体"/>
        </w:rPr>
        <w:t>当列表中出现“五环删除”状态时，应结合历史留痕资料进行核查。</w:t>
      </w:r>
    </w:p>
    <w:p w14:paraId="39DB257D">
      <w:r>
        <w:drawing>
          <wp:inline distT="0" distB="0" distL="114300" distR="114300">
            <wp:extent cx="5968365" cy="2192655"/>
            <wp:effectExtent l="0" t="0" r="5715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0EB4B">
      <w:pPr>
        <w:pStyle w:val="5"/>
      </w:pPr>
      <w:r>
        <w:rPr>
          <w:rFonts w:ascii="黑体" w:hAnsi="黑体" w:eastAsia="黑体"/>
        </w:rPr>
        <w:t>5.3 查看当前版本详情</w:t>
      </w:r>
    </w:p>
    <w:p w14:paraId="5B3E07C0">
      <w:pPr>
        <w:pStyle w:val="14"/>
      </w:pPr>
      <w:r>
        <w:rPr>
          <w:rFonts w:ascii="宋体" w:hAnsi="宋体" w:eastAsia="宋体"/>
        </w:rPr>
        <w:t>在列表页点击项目名称或“详情”按钮。</w:t>
      </w:r>
    </w:p>
    <w:p w14:paraId="63488279">
      <w:pPr>
        <w:pStyle w:val="14"/>
      </w:pPr>
      <w:r>
        <w:rPr>
          <w:rFonts w:ascii="宋体" w:hAnsi="宋体" w:eastAsia="宋体"/>
        </w:rPr>
        <w:t>系统打开资料详情页面。</w:t>
      </w:r>
    </w:p>
    <w:p w14:paraId="6497FE23">
      <w:pPr>
        <w:pStyle w:val="14"/>
      </w:pPr>
      <w:r>
        <w:rPr>
          <w:rFonts w:ascii="宋体" w:hAnsi="宋体" w:eastAsia="宋体"/>
        </w:rPr>
        <w:t>查看当前版本的完整台账信息及附件内容。</w:t>
      </w:r>
    </w:p>
    <w:p w14:paraId="6A389435">
      <w:pPr>
        <w:rPr>
          <w:rFonts w:ascii="宋体" w:hAnsi="宋体" w:eastAsia="宋体"/>
        </w:rPr>
      </w:pPr>
      <w:r>
        <w:rPr>
          <w:rFonts w:ascii="宋体" w:hAnsi="宋体" w:eastAsia="宋体"/>
        </w:rPr>
        <w:t>当前详情页主要用于集中核验单条台账的当前版本资料，通常包括基本信息、通用要求、文件交底清单、归档交工资料和附件列表。</w:t>
      </w:r>
    </w:p>
    <w:p w14:paraId="670044E4">
      <w:pPr>
        <w:rPr>
          <w:rFonts w:ascii="宋体" w:hAnsi="宋体" w:eastAsia="宋体"/>
        </w:rPr>
      </w:pPr>
      <w:r>
        <w:drawing>
          <wp:inline distT="0" distB="0" distL="114300" distR="114300">
            <wp:extent cx="5962650" cy="2357120"/>
            <wp:effectExtent l="0" t="0" r="11430" b="508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F5DED">
      <w:r>
        <w:rPr>
          <w:rFonts w:ascii="宋体" w:hAnsi="宋体" w:eastAsia="宋体" w:cs="宋体"/>
          <w:b w:val="0"/>
          <w:color w:val="000000"/>
          <w:sz w:val="24"/>
        </w:rPr>
        <w:drawing>
          <wp:inline distT="0" distB="0" distL="114300" distR="114300">
            <wp:extent cx="5486400" cy="3224530"/>
            <wp:effectExtent l="0" t="0" r="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0BD53">
      <w:pPr>
        <w:pStyle w:val="5"/>
      </w:pPr>
      <w:r>
        <w:rPr>
          <w:rFonts w:ascii="黑体" w:hAnsi="黑体" w:eastAsia="黑体"/>
        </w:rPr>
        <w:t>5.4 查看历史版本</w:t>
      </w:r>
    </w:p>
    <w:p w14:paraId="276052AB">
      <w:pPr>
        <w:pStyle w:val="14"/>
      </w:pPr>
      <w:r>
        <w:rPr>
          <w:rFonts w:ascii="宋体" w:hAnsi="宋体" w:eastAsia="宋体"/>
        </w:rPr>
        <w:t>在列表页点击“查看历史”。</w:t>
      </w:r>
    </w:p>
    <w:p w14:paraId="23D7C955">
      <w:pPr>
        <w:pStyle w:val="14"/>
      </w:pPr>
      <w:r>
        <w:rPr>
          <w:rFonts w:ascii="宋体" w:hAnsi="宋体" w:eastAsia="宋体"/>
        </w:rPr>
        <w:t>系统进入历史版本页面。</w:t>
      </w:r>
    </w:p>
    <w:p w14:paraId="79FC7651">
      <w:pPr>
        <w:pStyle w:val="14"/>
      </w:pPr>
      <w:r>
        <w:rPr>
          <w:rFonts w:ascii="宋体" w:hAnsi="宋体" w:eastAsia="宋体"/>
        </w:rPr>
        <w:t>查看该台账的历次版本记录。</w:t>
      </w:r>
    </w:p>
    <w:p w14:paraId="0DA5524D">
      <w:pPr>
        <w:pStyle w:val="14"/>
      </w:pPr>
      <w:r>
        <w:rPr>
          <w:rFonts w:ascii="宋体" w:hAnsi="宋体" w:eastAsia="宋体"/>
        </w:rPr>
        <w:t>如需核查某次变更内容，可点击对应“详情”按钮查看历史快照。</w:t>
      </w:r>
    </w:p>
    <w:p w14:paraId="529B3B77">
      <w:r>
        <w:rPr>
          <w:rFonts w:ascii="宋体" w:hAnsi="宋体" w:eastAsia="宋体"/>
        </w:rPr>
        <w:t>历史版本页主要用于核查版本号、操作类型、时间和历史详情入口，便于对资料变更过程进行完整追溯。</w:t>
      </w:r>
    </w:p>
    <w:p w14:paraId="4D341A76">
      <w:pPr>
        <w:rPr>
          <w:rFonts w:ascii="宋体" w:hAnsi="宋体" w:eastAsia="宋体" w:cs="宋体"/>
          <w:b w:val="0"/>
          <w:color w:val="000000"/>
          <w:sz w:val="24"/>
        </w:rPr>
      </w:pPr>
      <w:r>
        <w:rPr>
          <w:rFonts w:ascii="宋体" w:hAnsi="宋体" w:eastAsia="宋体" w:cs="宋体"/>
          <w:b w:val="0"/>
          <w:color w:val="000000"/>
          <w:sz w:val="24"/>
        </w:rPr>
        <w:drawing>
          <wp:inline distT="0" distB="0" distL="114300" distR="114300">
            <wp:extent cx="5485765" cy="1935480"/>
            <wp:effectExtent l="0" t="0" r="635" b="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3A3CA">
      <w:pPr>
        <w:rPr>
          <w:rFonts w:ascii="宋体" w:hAnsi="宋体" w:eastAsia="宋体" w:cs="宋体"/>
          <w:b w:val="0"/>
          <w:color w:val="000000"/>
          <w:sz w:val="24"/>
        </w:rPr>
      </w:pPr>
      <w:r>
        <w:rPr>
          <w:rFonts w:ascii="宋体" w:hAnsi="宋体" w:eastAsia="宋体" w:cs="宋体"/>
          <w:b w:val="0"/>
          <w:color w:val="000000"/>
          <w:sz w:val="24"/>
        </w:rPr>
        <w:drawing>
          <wp:inline distT="0" distB="0" distL="114300" distR="114300">
            <wp:extent cx="5473065" cy="2179320"/>
            <wp:effectExtent l="0" t="0" r="13335" b="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7BE49">
      <w:pPr>
        <w:pStyle w:val="5"/>
      </w:pPr>
      <w:r>
        <w:rPr>
          <w:rFonts w:ascii="黑体" w:hAnsi="黑体" w:eastAsia="黑体"/>
        </w:rPr>
        <w:t>5.5 导出当前台账和历史版本</w:t>
      </w:r>
    </w:p>
    <w:p w14:paraId="775659A7">
      <w:r>
        <w:rPr>
          <w:rFonts w:ascii="宋体" w:hAnsi="宋体" w:eastAsia="宋体"/>
        </w:rPr>
        <w:t>当前台账导出支持两种方式：</w:t>
      </w:r>
    </w:p>
    <w:p w14:paraId="585D1E38">
      <w:pPr>
        <w:pStyle w:val="14"/>
      </w:pPr>
      <w:r>
        <w:rPr>
          <w:rFonts w:ascii="宋体" w:hAnsi="宋体" w:eastAsia="宋体"/>
        </w:rPr>
        <w:t>勾选一条或多条台账后执行导出。</w:t>
      </w:r>
    </w:p>
    <w:p w14:paraId="6C9CF3BD">
      <w:pPr>
        <w:pStyle w:val="14"/>
      </w:pPr>
      <w:r>
        <w:rPr>
          <w:rFonts w:ascii="宋体" w:hAnsi="宋体" w:eastAsia="宋体"/>
        </w:rPr>
        <w:t>在设置查询条件后直接导出，系统按当前筛选条件成套导出资料。</w:t>
      </w:r>
    </w:p>
    <w:p w14:paraId="2ED07EC8">
      <w:r>
        <w:rPr>
          <w:rFonts w:ascii="宋体" w:hAnsi="宋体" w:eastAsia="宋体"/>
        </w:rPr>
        <w:t>历史版本导出同样支持按勾选记录导出或按当前历史列表整体导出。导出结果包括清单、详情资料及对应附件，便于资料归档、流转和审阅。</w:t>
      </w:r>
    </w:p>
    <w:p w14:paraId="040DB5CB">
      <w:r>
        <w:rPr>
          <w:rFonts w:ascii="宋体" w:hAnsi="宋体" w:eastAsia="宋体" w:cs="宋体"/>
          <w:b w:val="0"/>
          <w:color w:val="000000"/>
          <w:sz w:val="24"/>
        </w:rPr>
        <w:drawing>
          <wp:inline distT="0" distB="0" distL="114300" distR="114300">
            <wp:extent cx="5483225" cy="2039620"/>
            <wp:effectExtent l="0" t="0" r="317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7FC6D">
      <w:pPr>
        <w:pStyle w:val="4"/>
      </w:pPr>
      <w:r>
        <w:rPr>
          <w:rFonts w:ascii="黑体" w:hAnsi="黑体" w:eastAsia="黑体"/>
        </w:rPr>
        <w:t>六、结果查看与异常处理</w:t>
      </w:r>
    </w:p>
    <w:p w14:paraId="597F264B">
      <w:r>
        <w:rPr>
          <w:rFonts w:ascii="宋体" w:hAnsi="宋体" w:eastAsia="宋体"/>
        </w:rPr>
        <w:t>正常情况下，用户在业主资料库中可查看授权范围内的台账数据、状态信息、当前详情、历史快照和导出结果。若出现以下情况，可按对应方式核查：</w:t>
      </w:r>
    </w:p>
    <w:p w14:paraId="0BBCEEBD">
      <w:pPr>
        <w:pStyle w:val="16"/>
      </w:pPr>
      <w:r>
        <w:rPr>
          <w:rFonts w:ascii="宋体" w:hAnsi="宋体" w:eastAsia="宋体"/>
        </w:rPr>
        <w:t>列表无数据：核查检验主管是否已与目标公司和台账建立关联关系。</w:t>
      </w:r>
    </w:p>
    <w:p w14:paraId="41AB833D">
      <w:pPr>
        <w:pStyle w:val="16"/>
      </w:pPr>
      <w:r>
        <w:rPr>
          <w:rFonts w:ascii="宋体" w:hAnsi="宋体" w:eastAsia="宋体"/>
        </w:rPr>
        <w:t>菜单不可见：核查菜单投放、角色授权和缓存刷新是否完成。</w:t>
      </w:r>
    </w:p>
    <w:p w14:paraId="23CF0730">
      <w:pPr>
        <w:pStyle w:val="16"/>
      </w:pPr>
      <w:r>
        <w:rPr>
          <w:rFonts w:ascii="宋体" w:hAnsi="宋体" w:eastAsia="宋体"/>
        </w:rPr>
        <w:t>状态显示异常：核查当前台账状态与版本记录是否已按最新实现更新。</w:t>
      </w:r>
    </w:p>
    <w:p w14:paraId="66192242">
      <w:pPr>
        <w:pStyle w:val="16"/>
      </w:pPr>
      <w:r>
        <w:rPr>
          <w:rFonts w:ascii="宋体" w:hAnsi="宋体" w:eastAsia="宋体"/>
        </w:rPr>
        <w:t>导出失败：核查当前查询范围、附件路径和系统导出链路是否正常。</w:t>
      </w:r>
    </w:p>
    <w:p w14:paraId="02269D30">
      <w:pPr>
        <w:pStyle w:val="4"/>
      </w:pPr>
      <w:r>
        <w:rPr>
          <w:rFonts w:ascii="黑体" w:hAnsi="黑体" w:eastAsia="黑体"/>
        </w:rPr>
        <w:t>七、注意事项</w:t>
      </w:r>
    </w:p>
    <w:p w14:paraId="40811FB4">
      <w:pPr>
        <w:pStyle w:val="14"/>
      </w:pPr>
      <w:r>
        <w:rPr>
          <w:rFonts w:ascii="宋体" w:hAnsi="宋体" w:eastAsia="宋体"/>
        </w:rPr>
        <w:t>业主资料库仅供授权检验主管在职责范围内使用，不得越权查看其他资料。</w:t>
      </w:r>
    </w:p>
    <w:p w14:paraId="08494FE5">
      <w:pPr>
        <w:pStyle w:val="14"/>
      </w:pPr>
      <w:r>
        <w:rPr>
          <w:rFonts w:ascii="宋体" w:hAnsi="宋体" w:eastAsia="宋体"/>
        </w:rPr>
        <w:t>“五环删除”状态表示资料进入特定管理状态，当前记录仍用于查询和追溯。</w:t>
      </w:r>
    </w:p>
    <w:p w14:paraId="13D5161D">
      <w:pPr>
        <w:pStyle w:val="14"/>
      </w:pPr>
      <w:r>
        <w:rPr>
          <w:rFonts w:ascii="宋体" w:hAnsi="宋体" w:eastAsia="宋体"/>
        </w:rPr>
        <w:t>历史版本资料主要用于过程核查和归档比对，不应替代当前版本业务判断。</w:t>
      </w:r>
    </w:p>
    <w:p w14:paraId="3635A4D3">
      <w:pPr>
        <w:pStyle w:val="14"/>
      </w:pPr>
      <w:r>
        <w:rPr>
          <w:rFonts w:ascii="宋体" w:hAnsi="宋体" w:eastAsia="宋体"/>
        </w:rPr>
        <w:t>导出资料应按项目管理和档案管理要求妥善保存。</w:t>
      </w:r>
    </w:p>
    <w:sectPr>
      <w:footerReference r:id="rId5" w:type="default"/>
      <w:pgSz w:w="12240" w:h="15840"/>
      <w:pgMar w:top="1417" w:right="1361" w:bottom="1247" w:left="147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E8B7B">
    <w:pPr>
      <w:pStyle w:val="24"/>
      <w:jc w:val="center"/>
    </w:pPr>
    <w:r>
      <w:rPr>
        <w:rFonts w:ascii="宋体" w:hAnsi="宋体" w:eastAsia="宋体"/>
        <w:b w:val="0"/>
        <w:sz w:val="18"/>
      </w:rPr>
      <w:t>华谊项目开放接口交付材料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70FF"/>
    <w:rsid w:val="0029639D"/>
    <w:rsid w:val="00326F90"/>
    <w:rsid w:val="00AA1D8D"/>
    <w:rsid w:val="00B47730"/>
    <w:rsid w:val="00CB0664"/>
    <w:rsid w:val="00FC693F"/>
    <w:rsid w:val="11330D2C"/>
    <w:rsid w:val="2BC63EC0"/>
    <w:rsid w:val="31CB026A"/>
    <w:rsid w:val="39782384"/>
    <w:rsid w:val="5557732B"/>
    <w:rsid w:val="5870229A"/>
    <w:rsid w:val="5F960335"/>
    <w:rsid w:val="7D663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1706</Words>
  <Characters>1735</Characters>
  <Lines>0</Lines>
  <Paragraphs>0</Paragraphs>
  <TotalTime>3</TotalTime>
  <ScaleCrop>false</ScaleCrop>
  <LinksUpToDate>false</LinksUpToDate>
  <CharactersWithSpaces>1751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叫什么名字</cp:lastModifiedBy>
  <dcterms:modified xsi:type="dcterms:W3CDTF">2026-05-08T13:30:21Z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eyJoZGlkIjoiYjdhYzUxZGJhM2Y3MDg0NTcxYTEwNDk0MTRjMDU5OTQiLCJ1c2VySWQiOiI4MDgwODgzNzcifQ==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998E64CC91FF49DAA8C1D2C4A8AF9D3C_12</vt:lpwstr>
  </property>
</Properties>
</file>