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120"/>
      </w:pPr>
      <w:r>
        <w:rPr>
          <w:rFonts w:ascii="黑体" w:hAnsi="黑体" w:eastAsia="黑体"/>
          <w:b/>
          <w:sz w:val="36"/>
        </w:rPr>
        <w:t>华谊项目开放接口性能测试</w:t>
      </w:r>
    </w:p>
    <w:p>
      <w:pPr>
        <w:spacing w:line="300" w:lineRule="auto" w:after="80"/>
      </w:pPr>
      <w:r>
        <w:t>整理日期：2026-05-08</w:t>
      </w:r>
    </w:p>
    <w:p>
      <w:pPr>
        <w:pStyle w:val="Heading2"/>
        <w:spacing w:before="160" w:after="120"/>
      </w:pPr>
      <w:r>
        <w:rPr>
          <w:rFonts w:ascii="黑体" w:hAnsi="黑体" w:eastAsia="黑体"/>
          <w:b/>
          <w:sz w:val="32"/>
        </w:rPr>
        <w:t>一、测试目标</w:t>
      </w:r>
    </w:p>
    <w:p>
      <w:pPr>
        <w:spacing w:line="300" w:lineRule="auto" w:after="80"/>
      </w:pPr>
      <w:r>
        <w:t>本次性能测试用于验证华谊项目开放接口及配套资料能力在真实业务样本下的数据返回能力、复杂明细组装能力、状态维护能力和连续调用稳定性。测试重点不是单独压测工具下的极限吞吐，而是结合本批次联调结果，确认接口在较大返回数据量、版本聚合查询、复杂嵌套结构、状态维护和资料导出场景下能够稳定返回。</w:t>
      </w:r>
    </w:p>
    <w:p>
      <w:pPr>
        <w:pStyle w:val="Heading2"/>
        <w:spacing w:before="160" w:after="120"/>
      </w:pPr>
      <w:r>
        <w:rPr>
          <w:rFonts w:ascii="黑体" w:hAnsi="黑体" w:eastAsia="黑体"/>
          <w:b/>
          <w:sz w:val="32"/>
        </w:rPr>
        <w:t>二、测试对象</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接口类型</w:t>
            </w:r>
          </w:p>
        </w:tc>
        <w:tc>
          <w:tcPr>
            <w:tcW w:type="dxa" w:w="3135"/>
            <w:shd w:fill="D9EAF7"/>
          </w:tcPr>
          <w:p>
            <w:pPr>
              <w:spacing w:after="0"/>
              <w:jc w:val="center"/>
            </w:pPr>
            <w:r/>
            <w:r>
              <w:rPr>
                <w:rFonts w:ascii="宋体" w:hAnsi="宋体" w:eastAsia="宋体"/>
                <w:b/>
                <w:sz w:val="21"/>
              </w:rPr>
              <w:t>代表接口</w:t>
            </w:r>
          </w:p>
        </w:tc>
        <w:tc>
          <w:tcPr>
            <w:tcW w:type="dxa" w:w="3135"/>
            <w:shd w:fill="D9EAF7"/>
          </w:tcPr>
          <w:p>
            <w:pPr>
              <w:spacing w:after="0"/>
              <w:jc w:val="center"/>
            </w:pPr>
            <w:r/>
            <w:r>
              <w:rPr>
                <w:rFonts w:ascii="宋体" w:hAnsi="宋体" w:eastAsia="宋体"/>
                <w:b/>
                <w:sz w:val="21"/>
              </w:rPr>
              <w:t>性能关注点</w:t>
            </w:r>
          </w:p>
        </w:tc>
      </w:tr>
      <w:tr>
        <w:tc>
          <w:tcPr>
            <w:tcW w:type="dxa" w:w="3135"/>
            <w:vAlign w:val="center"/>
          </w:tcPr>
          <w:p>
            <w:pPr>
              <w:spacing w:after="0"/>
              <w:jc w:val="left"/>
            </w:pPr>
            <w:r>
              <w:rPr/>
            </w:r>
            <w:r>
              <w:rPr/>
              <w:t>文档版本查询</w:t>
            </w:r>
          </w:p>
        </w:tc>
        <w:tc>
          <w:tcPr>
            <w:tcW w:type="dxa" w:w="3135"/>
            <w:vAlign w:val="center"/>
          </w:tcPr>
          <w:p>
            <w:pPr>
              <w:spacing w:after="0"/>
              <w:jc w:val="left"/>
            </w:pPr>
            <w:r>
              <w:rPr/>
            </w:r>
            <w:r>
              <w:rPr/>
              <w:t>/open/api/project/document/version/list</w:t>
            </w:r>
          </w:p>
        </w:tc>
        <w:tc>
          <w:tcPr>
            <w:tcW w:type="dxa" w:w="3135"/>
            <w:vAlign w:val="center"/>
          </w:tcPr>
          <w:p>
            <w:pPr>
              <w:spacing w:after="0"/>
              <w:jc w:val="left"/>
            </w:pPr>
            <w:r>
              <w:rPr/>
            </w:r>
            <w:r>
              <w:rPr/>
              <w:t>多版本、多目录项、大响应体返回</w:t>
            </w:r>
          </w:p>
        </w:tc>
      </w:tr>
      <w:tr>
        <w:tc>
          <w:tcPr>
            <w:tcW w:type="dxa" w:w="3135"/>
            <w:vAlign w:val="center"/>
          </w:tcPr>
          <w:p>
            <w:pPr>
              <w:spacing w:after="0"/>
              <w:jc w:val="left"/>
            </w:pPr>
            <w:r>
              <w:rPr/>
            </w:r>
            <w:r>
              <w:rPr/>
              <w:t>文档报表明细查询</w:t>
            </w:r>
          </w:p>
        </w:tc>
        <w:tc>
          <w:tcPr>
            <w:tcW w:type="dxa" w:w="3135"/>
            <w:vAlign w:val="center"/>
          </w:tcPr>
          <w:p>
            <w:pPr>
              <w:spacing w:after="0"/>
              <w:jc w:val="left"/>
            </w:pPr>
            <w:r>
              <w:rPr/>
            </w:r>
            <w:r>
              <w:rPr/>
              <w:t>/open/api/project/document/report/detail</w:t>
            </w:r>
          </w:p>
        </w:tc>
        <w:tc>
          <w:tcPr>
            <w:tcW w:type="dxa" w:w="3135"/>
            <w:vAlign w:val="center"/>
          </w:tcPr>
          <w:p>
            <w:pPr>
              <w:spacing w:after="0"/>
              <w:jc w:val="left"/>
            </w:pPr>
            <w:r>
              <w:rPr/>
            </w:r>
            <w:r>
              <w:rPr/>
              <w:t>报表映射、动态数据集、主数据源 SQL 执行</w:t>
            </w:r>
          </w:p>
        </w:tc>
      </w:tr>
      <w:tr>
        <w:tc>
          <w:tcPr>
            <w:tcW w:type="dxa" w:w="3135"/>
            <w:vAlign w:val="center"/>
          </w:tcPr>
          <w:p>
            <w:pPr>
              <w:spacing w:after="0"/>
              <w:jc w:val="left"/>
            </w:pPr>
            <w:r>
              <w:rPr/>
            </w:r>
            <w:r>
              <w:rPr/>
              <w:t>交底版本查询</w:t>
            </w:r>
          </w:p>
        </w:tc>
        <w:tc>
          <w:tcPr>
            <w:tcW w:type="dxa" w:w="3135"/>
            <w:vAlign w:val="center"/>
          </w:tcPr>
          <w:p>
            <w:pPr>
              <w:spacing w:after="0"/>
              <w:jc w:val="left"/>
            </w:pPr>
            <w:r>
              <w:rPr/>
            </w:r>
            <w:r>
              <w:rPr/>
              <w:t>/open/api/project/disclose/version/list</w:t>
            </w:r>
          </w:p>
        </w:tc>
        <w:tc>
          <w:tcPr>
            <w:tcW w:type="dxa" w:w="3135"/>
            <w:vAlign w:val="center"/>
          </w:tcPr>
          <w:p>
            <w:pPr>
              <w:spacing w:after="0"/>
              <w:jc w:val="left"/>
            </w:pPr>
            <w:r>
              <w:rPr/>
            </w:r>
            <w:r>
              <w:rPr/>
              <w:t>交底主记录、设备清单、备注、附件组合返回</w:t>
            </w:r>
          </w:p>
        </w:tc>
      </w:tr>
      <w:tr>
        <w:tc>
          <w:tcPr>
            <w:tcW w:type="dxa" w:w="3135"/>
            <w:vAlign w:val="center"/>
          </w:tcPr>
          <w:p>
            <w:pPr>
              <w:spacing w:after="0"/>
              <w:jc w:val="left"/>
            </w:pPr>
            <w:r>
              <w:rPr/>
            </w:r>
            <w:r>
              <w:rPr/>
              <w:t>人员交接查询</w:t>
            </w:r>
          </w:p>
        </w:tc>
        <w:tc>
          <w:tcPr>
            <w:tcW w:type="dxa" w:w="3135"/>
            <w:vAlign w:val="center"/>
          </w:tcPr>
          <w:p>
            <w:pPr>
              <w:spacing w:after="0"/>
              <w:jc w:val="left"/>
            </w:pPr>
            <w:r>
              <w:rPr/>
            </w:r>
            <w:r>
              <w:rPr/>
              <w:t>/open/api/project/handover/list</w:t>
            </w:r>
          </w:p>
        </w:tc>
        <w:tc>
          <w:tcPr>
            <w:tcW w:type="dxa" w:w="3135"/>
            <w:vAlign w:val="center"/>
          </w:tcPr>
          <w:p>
            <w:pPr>
              <w:spacing w:after="0"/>
              <w:jc w:val="left"/>
            </w:pPr>
            <w:r>
              <w:rPr/>
            </w:r>
            <w:r>
              <w:rPr/>
              <w:t>主记录、资料清单、设备进度、遗留问题组合返回</w:t>
            </w:r>
          </w:p>
        </w:tc>
      </w:tr>
      <w:tr>
        <w:tc>
          <w:tcPr>
            <w:tcW w:type="dxa" w:w="3135"/>
            <w:vAlign w:val="center"/>
          </w:tcPr>
          <w:p>
            <w:pPr>
              <w:spacing w:after="0"/>
              <w:jc w:val="left"/>
            </w:pPr>
            <w:r>
              <w:rPr/>
            </w:r>
            <w:r>
              <w:rPr/>
              <w:t>到岗明细查询</w:t>
            </w:r>
          </w:p>
        </w:tc>
        <w:tc>
          <w:tcPr>
            <w:tcW w:type="dxa" w:w="3135"/>
            <w:vAlign w:val="center"/>
          </w:tcPr>
          <w:p>
            <w:pPr>
              <w:spacing w:after="0"/>
              <w:jc w:val="left"/>
            </w:pPr>
            <w:r>
              <w:rPr/>
            </w:r>
            <w:r>
              <w:rPr/>
              <w:t>/open/api/project/sign/list</w:t>
            </w:r>
          </w:p>
        </w:tc>
        <w:tc>
          <w:tcPr>
            <w:tcW w:type="dxa" w:w="3135"/>
            <w:vAlign w:val="center"/>
          </w:tcPr>
          <w:p>
            <w:pPr>
              <w:spacing w:after="0"/>
              <w:jc w:val="left"/>
            </w:pPr>
            <w:r>
              <w:rPr/>
            </w:r>
            <w:r>
              <w:rPr/>
              <w:t>多条到岗和执行状态记录返回</w:t>
            </w:r>
          </w:p>
        </w:tc>
      </w:tr>
      <w:tr>
        <w:tc>
          <w:tcPr>
            <w:tcW w:type="dxa" w:w="3135"/>
            <w:vAlign w:val="center"/>
          </w:tcPr>
          <w:p>
            <w:pPr>
              <w:spacing w:after="0"/>
              <w:jc w:val="left"/>
            </w:pPr>
            <w:r>
              <w:rPr/>
            </w:r>
            <w:r>
              <w:rPr/>
              <w:t>设备申请查询</w:t>
            </w:r>
          </w:p>
        </w:tc>
        <w:tc>
          <w:tcPr>
            <w:tcW w:type="dxa" w:w="3135"/>
            <w:vAlign w:val="center"/>
          </w:tcPr>
          <w:p>
            <w:pPr>
              <w:spacing w:after="0"/>
              <w:jc w:val="left"/>
            </w:pPr>
            <w:r>
              <w:rPr/>
            </w:r>
            <w:r>
              <w:rPr/>
              <w:t>/open/api/project/device/apply/list</w:t>
            </w:r>
          </w:p>
        </w:tc>
        <w:tc>
          <w:tcPr>
            <w:tcW w:type="dxa" w:w="3135"/>
            <w:vAlign w:val="center"/>
          </w:tcPr>
          <w:p>
            <w:pPr>
              <w:spacing w:after="0"/>
              <w:jc w:val="left"/>
            </w:pPr>
            <w:r>
              <w:rPr/>
            </w:r>
            <w:r>
              <w:rPr/>
              <w:t>申请单和设备明细主从结构返回</w:t>
            </w:r>
          </w:p>
        </w:tc>
      </w:tr>
      <w:tr>
        <w:tc>
          <w:tcPr>
            <w:tcW w:type="dxa" w:w="3135"/>
            <w:vAlign w:val="center"/>
          </w:tcPr>
          <w:p>
            <w:pPr>
              <w:spacing w:after="0"/>
              <w:jc w:val="left"/>
            </w:pPr>
            <w:r>
              <w:rPr/>
              <w:t>公司域台账与检验主管查询</w:t>
            </w:r>
          </w:p>
        </w:tc>
        <w:tc>
          <w:tcPr>
            <w:tcW w:type="dxa" w:w="3135"/>
            <w:vAlign w:val="center"/>
          </w:tcPr>
          <w:p>
            <w:pPr>
              <w:spacing w:after="0"/>
              <w:jc w:val="left"/>
            </w:pPr>
            <w:r>
              <w:rPr/>
              <w:t>/open/api/company/chiefInspector/list、/open/api/company/disclose/save、/update、/delete/wuhuan</w:t>
            </w:r>
          </w:p>
        </w:tc>
        <w:tc>
          <w:tcPr>
            <w:tcW w:type="dxa" w:w="3135"/>
            <w:vAlign w:val="center"/>
          </w:tcPr>
          <w:p>
            <w:pPr>
              <w:spacing w:after="0"/>
              <w:jc w:val="left"/>
            </w:pPr>
            <w:r>
              <w:rPr/>
              <w:t>Tenant-Id 范围控制、附件链路、版本与历史快照维护</w:t>
            </w:r>
          </w:p>
        </w:tc>
      </w:tr>
      <w:tr>
        <w:tc>
          <w:tcPr>
            <w:tcW w:type="dxa" w:w="3135"/>
            <w:vAlign w:val="center"/>
          </w:tcPr>
          <w:p>
            <w:pPr>
              <w:spacing w:after="0"/>
              <w:jc w:val="left"/>
            </w:pPr>
            <w:r>
              <w:rPr/>
              <w:t>业主资料库查询与导出</w:t>
            </w:r>
          </w:p>
        </w:tc>
        <w:tc>
          <w:tcPr>
            <w:tcW w:type="dxa" w:w="3135"/>
            <w:vAlign w:val="center"/>
          </w:tcPr>
          <w:p>
            <w:pPr>
              <w:spacing w:after="0"/>
              <w:jc w:val="left"/>
            </w:pPr>
            <w:r>
              <w:rPr/>
              <w:t>/project/openDiscloseLedger/list、/export、/history/export/{id}</w:t>
            </w:r>
          </w:p>
        </w:tc>
        <w:tc>
          <w:tcPr>
            <w:tcW w:type="dxa" w:w="3135"/>
            <w:vAlign w:val="center"/>
          </w:tcPr>
          <w:p>
            <w:pPr>
              <w:spacing w:after="0"/>
              <w:jc w:val="left"/>
            </w:pPr>
            <w:r>
              <w:rPr/>
              <w:t>多条件筛选、状态展示、资料打包导出</w:t>
            </w:r>
          </w:p>
        </w:tc>
      </w:tr>
      <w:tr>
        <w:tc>
          <w:tcPr>
            <w:tcW w:type="dxa" w:w="3135"/>
            <w:vAlign w:val="center"/>
          </w:tcPr>
          <w:p>
            <w:pPr>
              <w:spacing w:after="0"/>
              <w:jc w:val="left"/>
            </w:pPr>
            <w:r>
              <w:rPr/>
              <w:t>监理日志与必选表单查询</w:t>
            </w:r>
          </w:p>
        </w:tc>
        <w:tc>
          <w:tcPr>
            <w:tcW w:type="dxa" w:w="3135"/>
            <w:vAlign w:val="center"/>
          </w:tcPr>
          <w:p>
            <w:pPr>
              <w:spacing w:after="0"/>
              <w:jc w:val="left"/>
            </w:pPr>
            <w:r>
              <w:rPr/>
              <w:t>/open/api/project/log/list、/detail、/open/api/project/document/required-form/list</w:t>
            </w:r>
          </w:p>
        </w:tc>
        <w:tc>
          <w:tcPr>
            <w:tcW w:type="dxa" w:w="3135"/>
            <w:vAlign w:val="center"/>
          </w:tcPr>
          <w:p>
            <w:pPr>
              <w:spacing w:after="0"/>
              <w:jc w:val="left"/>
            </w:pPr>
            <w:r>
              <w:rPr/>
              <w:t>日期维度查询、reportData 与固定表单报表组装</w:t>
            </w:r>
          </w:p>
        </w:tc>
      </w:tr>
      <w:tr>
        <w:tc>
          <w:tcPr>
            <w:tcW w:type="dxa" w:w="3135"/>
            <w:vAlign w:val="center"/>
          </w:tcPr>
          <w:p>
            <w:pPr>
              <w:spacing w:after="0"/>
              <w:jc w:val="left"/>
            </w:pPr>
            <w:r>
              <w:rPr/>
              <w:t>日周月报与监理总结版本查询</w:t>
            </w:r>
          </w:p>
        </w:tc>
        <w:tc>
          <w:tcPr>
            <w:tcW w:type="dxa" w:w="3135"/>
            <w:vAlign w:val="center"/>
          </w:tcPr>
          <w:p>
            <w:pPr>
              <w:spacing w:after="0"/>
              <w:jc w:val="left"/>
            </w:pPr>
            <w:r>
              <w:rPr/>
              <w:t>/open/api/reportList、/reportDetail/{id}、/open/api/project/summary/version/list</w:t>
            </w:r>
          </w:p>
        </w:tc>
        <w:tc>
          <w:tcPr>
            <w:tcW w:type="dxa" w:w="3135"/>
            <w:vAlign w:val="center"/>
          </w:tcPr>
          <w:p>
            <w:pPr>
              <w:spacing w:after="0"/>
              <w:jc w:val="left"/>
            </w:pPr>
            <w:r>
              <w:rPr/>
              <w:t>版本聚合、嵌套明细和历史追溯</w:t>
            </w:r>
          </w:p>
        </w:tc>
      </w:tr>
    </w:tbl>
    <w:p/>
    <w:p>
      <w:pPr>
        <w:pStyle w:val="Heading2"/>
        <w:spacing w:before="160" w:after="120"/>
      </w:pPr>
      <w:r>
        <w:rPr>
          <w:rFonts w:ascii="黑体" w:hAnsi="黑体" w:eastAsia="黑体"/>
          <w:b/>
          <w:sz w:val="32"/>
        </w:rPr>
        <w:t>三、测试样本与数据量</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351"/>
        <w:gridCol w:w="2351"/>
        <w:gridCol w:w="2351"/>
        <w:gridCol w:w="2351"/>
      </w:tblGrid>
      <w:tr>
        <w:tc>
          <w:tcPr>
            <w:tcW w:type="dxa" w:w="2351"/>
            <w:shd w:fill="D9EAF7"/>
          </w:tcPr>
          <w:p>
            <w:pPr>
              <w:spacing w:after="0"/>
              <w:jc w:val="center"/>
            </w:pPr>
            <w:r/>
            <w:r>
              <w:rPr>
                <w:rFonts w:ascii="宋体" w:hAnsi="宋体" w:eastAsia="宋体"/>
                <w:b/>
                <w:sz w:val="21"/>
              </w:rPr>
              <w:t>接口</w:t>
            </w:r>
          </w:p>
        </w:tc>
        <w:tc>
          <w:tcPr>
            <w:tcW w:type="dxa" w:w="2351"/>
            <w:shd w:fill="D9EAF7"/>
          </w:tcPr>
          <w:p>
            <w:pPr>
              <w:spacing w:after="0"/>
              <w:jc w:val="center"/>
            </w:pPr>
            <w:r/>
            <w:r>
              <w:rPr>
                <w:rFonts w:ascii="宋体" w:hAnsi="宋体" w:eastAsia="宋体"/>
                <w:b/>
                <w:sz w:val="21"/>
              </w:rPr>
              <w:t>响应文件</w:t>
            </w:r>
          </w:p>
        </w:tc>
        <w:tc>
          <w:tcPr>
            <w:tcW w:type="dxa" w:w="2351"/>
            <w:shd w:fill="D9EAF7"/>
          </w:tcPr>
          <w:p>
            <w:pPr>
              <w:spacing w:after="0"/>
              <w:jc w:val="center"/>
            </w:pPr>
            <w:r/>
            <w:r>
              <w:rPr>
                <w:rFonts w:ascii="宋体" w:hAnsi="宋体" w:eastAsia="宋体"/>
                <w:b/>
                <w:sz w:val="21"/>
              </w:rPr>
              <w:t>实测数据量</w:t>
            </w:r>
          </w:p>
        </w:tc>
        <w:tc>
          <w:tcPr>
            <w:tcW w:type="dxa" w:w="2351"/>
            <w:shd w:fill="D9EAF7"/>
          </w:tcPr>
          <w:p>
            <w:pPr>
              <w:spacing w:after="0"/>
              <w:jc w:val="center"/>
            </w:pPr>
            <w:r/>
            <w:r>
              <w:rPr>
                <w:rFonts w:ascii="宋体" w:hAnsi="宋体" w:eastAsia="宋体"/>
                <w:b/>
                <w:sz w:val="21"/>
              </w:rPr>
              <w:t>结果</w:t>
            </w:r>
          </w:p>
        </w:tc>
      </w:tr>
      <w:tr>
        <w:tc>
          <w:tcPr>
            <w:tcW w:type="dxa" w:w="2351"/>
            <w:vAlign w:val="center"/>
          </w:tcPr>
          <w:p>
            <w:pPr>
              <w:spacing w:after="0"/>
              <w:jc w:val="left"/>
            </w:pPr>
            <w:r>
              <w:rPr/>
            </w:r>
            <w:r>
              <w:rPr/>
              <w:t>文档目录版本明细</w:t>
            </w:r>
          </w:p>
        </w:tc>
        <w:tc>
          <w:tcPr>
            <w:tcW w:type="dxa" w:w="2351"/>
            <w:vAlign w:val="center"/>
          </w:tcPr>
          <w:p>
            <w:pPr>
              <w:spacing w:after="0"/>
              <w:jc w:val="left"/>
            </w:pPr>
            <w:r>
              <w:rPr/>
            </w:r>
            <w:r>
              <w:rPr/>
              <w:t>test/test01.json</w:t>
            </w:r>
          </w:p>
        </w:tc>
        <w:tc>
          <w:tcPr>
            <w:tcW w:type="dxa" w:w="2351"/>
            <w:vAlign w:val="center"/>
          </w:tcPr>
          <w:p>
            <w:pPr>
              <w:spacing w:after="0"/>
              <w:jc w:val="left"/>
            </w:pPr>
            <w:r>
              <w:rPr/>
            </w:r>
            <w:r>
              <w:rPr/>
              <w:t>90 条版本记录，2674 条目录行，响应文件约 864KB</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文档报表明细-监理大纲</w:t>
            </w:r>
          </w:p>
        </w:tc>
        <w:tc>
          <w:tcPr>
            <w:tcW w:type="dxa" w:w="2351"/>
            <w:vAlign w:val="center"/>
          </w:tcPr>
          <w:p>
            <w:pPr>
              <w:spacing w:after="0"/>
              <w:jc w:val="left"/>
            </w:pPr>
            <w:r>
              <w:rPr/>
            </w:r>
            <w:r>
              <w:rPr/>
              <w:t>test/test02.json</w:t>
            </w:r>
          </w:p>
        </w:tc>
        <w:tc>
          <w:tcPr>
            <w:tcW w:type="dxa" w:w="2351"/>
            <w:vAlign w:val="center"/>
          </w:tcPr>
          <w:p>
            <w:pPr>
              <w:spacing w:after="0"/>
              <w:jc w:val="left"/>
            </w:pPr>
            <w:r>
              <w:rPr/>
            </w:r>
            <w:r>
              <w:rPr/>
              <w:t>1 条版本记录，3 条目录项，2 条报表数据非空</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文档报表明细-历史监理实施细则</w:t>
            </w:r>
          </w:p>
        </w:tc>
        <w:tc>
          <w:tcPr>
            <w:tcW w:type="dxa" w:w="2351"/>
            <w:vAlign w:val="center"/>
          </w:tcPr>
          <w:p>
            <w:pPr>
              <w:spacing w:after="0"/>
              <w:jc w:val="left"/>
            </w:pPr>
            <w:r>
              <w:rPr/>
            </w:r>
            <w:r>
              <w:rPr/>
              <w:t>test/test03.json</w:t>
            </w:r>
          </w:p>
        </w:tc>
        <w:tc>
          <w:tcPr>
            <w:tcW w:type="dxa" w:w="2351"/>
            <w:vAlign w:val="center"/>
          </w:tcPr>
          <w:p>
            <w:pPr>
              <w:spacing w:after="0"/>
              <w:jc w:val="left"/>
            </w:pPr>
            <w:r>
              <w:rPr/>
            </w:r>
            <w:r>
              <w:rPr/>
              <w:t>1 条版本记录，24 条目录项，5 条报表数据非空</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文档报表明细-统计报表</w:t>
            </w:r>
          </w:p>
        </w:tc>
        <w:tc>
          <w:tcPr>
            <w:tcW w:type="dxa" w:w="2351"/>
            <w:vAlign w:val="center"/>
          </w:tcPr>
          <w:p>
            <w:pPr>
              <w:spacing w:after="0"/>
              <w:jc w:val="left"/>
            </w:pPr>
            <w:r>
              <w:rPr/>
            </w:r>
            <w:r>
              <w:rPr/>
              <w:t>test/test04.json</w:t>
            </w:r>
          </w:p>
        </w:tc>
        <w:tc>
          <w:tcPr>
            <w:tcW w:type="dxa" w:w="2351"/>
            <w:vAlign w:val="center"/>
          </w:tcPr>
          <w:p>
            <w:pPr>
              <w:spacing w:after="0"/>
              <w:jc w:val="left"/>
            </w:pPr>
            <w:r>
              <w:rPr/>
            </w:r>
            <w:r>
              <w:rPr/>
              <w:t>1 条版本记录，6 条目录项，6 条报表数据全部非空，响应文件约 814KB</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文档报表明细-监理报告</w:t>
            </w:r>
          </w:p>
        </w:tc>
        <w:tc>
          <w:tcPr>
            <w:tcW w:type="dxa" w:w="2351"/>
            <w:vAlign w:val="center"/>
          </w:tcPr>
          <w:p>
            <w:pPr>
              <w:spacing w:after="0"/>
              <w:jc w:val="left"/>
            </w:pPr>
            <w:r>
              <w:rPr/>
            </w:r>
            <w:r>
              <w:rPr/>
              <w:t>test/test05.json</w:t>
            </w:r>
          </w:p>
        </w:tc>
        <w:tc>
          <w:tcPr>
            <w:tcW w:type="dxa" w:w="2351"/>
            <w:vAlign w:val="center"/>
          </w:tcPr>
          <w:p>
            <w:pPr>
              <w:spacing w:after="0"/>
              <w:jc w:val="left"/>
            </w:pPr>
            <w:r>
              <w:rPr/>
            </w:r>
            <w:r>
              <w:rPr/>
              <w:t>1 条版本记录，17 条目录项，3 条报表数据非空</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交底历史与有效版本</w:t>
            </w:r>
          </w:p>
        </w:tc>
        <w:tc>
          <w:tcPr>
            <w:tcW w:type="dxa" w:w="2351"/>
            <w:vAlign w:val="center"/>
          </w:tcPr>
          <w:p>
            <w:pPr>
              <w:spacing w:after="0"/>
              <w:jc w:val="left"/>
            </w:pPr>
            <w:r>
              <w:rPr/>
            </w:r>
            <w:r>
              <w:rPr/>
              <w:t>test-1/*.json</w:t>
            </w:r>
          </w:p>
        </w:tc>
        <w:tc>
          <w:tcPr>
            <w:tcW w:type="dxa" w:w="2351"/>
            <w:vAlign w:val="center"/>
          </w:tcPr>
          <w:p>
            <w:pPr>
              <w:spacing w:after="0"/>
              <w:jc w:val="left"/>
            </w:pPr>
            <w:r>
              <w:rPr/>
            </w:r>
            <w:r>
              <w:rPr/>
              <w:t>2 条、2 条、3 条、10 条交底记录样本</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人员交接明细</w:t>
            </w:r>
          </w:p>
        </w:tc>
        <w:tc>
          <w:tcPr>
            <w:tcW w:type="dxa" w:w="2351"/>
            <w:vAlign w:val="center"/>
          </w:tcPr>
          <w:p>
            <w:pPr>
              <w:spacing w:after="0"/>
              <w:jc w:val="left"/>
            </w:pPr>
            <w:r>
              <w:rPr/>
            </w:r>
            <w:r>
              <w:rPr/>
              <w:t>test-2/*.json</w:t>
            </w:r>
          </w:p>
        </w:tc>
        <w:tc>
          <w:tcPr>
            <w:tcW w:type="dxa" w:w="2351"/>
            <w:vAlign w:val="center"/>
          </w:tcPr>
          <w:p>
            <w:pPr>
              <w:spacing w:after="0"/>
              <w:jc w:val="left"/>
            </w:pPr>
            <w:r>
              <w:rPr/>
            </w:r>
            <w:r>
              <w:rPr/>
              <w:t>2 条、1 条交接记录；单记录含 11 条资料清单和 7 条设备进度</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到岗明细</w:t>
            </w:r>
          </w:p>
        </w:tc>
        <w:tc>
          <w:tcPr>
            <w:tcW w:type="dxa" w:w="2351"/>
            <w:vAlign w:val="center"/>
          </w:tcPr>
          <w:p>
            <w:pPr>
              <w:spacing w:after="0"/>
              <w:jc w:val="left"/>
            </w:pPr>
            <w:r>
              <w:rPr/>
            </w:r>
            <w:r>
              <w:rPr/>
              <w:t>test-5/*.json</w:t>
            </w:r>
          </w:p>
        </w:tc>
        <w:tc>
          <w:tcPr>
            <w:tcW w:type="dxa" w:w="2351"/>
            <w:vAlign w:val="center"/>
          </w:tcPr>
          <w:p>
            <w:pPr>
              <w:spacing w:after="0"/>
              <w:jc w:val="left"/>
            </w:pPr>
            <w:r>
              <w:rPr/>
            </w:r>
            <w:r>
              <w:rPr/>
              <w:t>51 条、4 条、3 条到岗和执行状态记录</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设备申请明细</w:t>
            </w:r>
          </w:p>
        </w:tc>
        <w:tc>
          <w:tcPr>
            <w:tcW w:type="dxa" w:w="2351"/>
            <w:vAlign w:val="center"/>
          </w:tcPr>
          <w:p>
            <w:pPr>
              <w:spacing w:after="0"/>
              <w:jc w:val="left"/>
            </w:pPr>
            <w:r>
              <w:rPr/>
            </w:r>
            <w:r>
              <w:rPr/>
              <w:t>test-4/*.json</w:t>
            </w:r>
          </w:p>
        </w:tc>
        <w:tc>
          <w:tcPr>
            <w:tcW w:type="dxa" w:w="2351"/>
            <w:vAlign w:val="center"/>
          </w:tcPr>
          <w:p>
            <w:pPr>
              <w:spacing w:after="0"/>
              <w:jc w:val="left"/>
            </w:pPr>
            <w:r>
              <w:rPr/>
            </w:r>
            <w:r>
              <w:rPr/>
              <w:t>2 条、1 条设备申请记录；存在 4 条设备明细样本</w:t>
            </w:r>
          </w:p>
        </w:tc>
        <w:tc>
          <w:tcPr>
            <w:tcW w:type="dxa" w:w="2351"/>
            <w:vAlign w:val="center"/>
          </w:tcPr>
          <w:p>
            <w:pPr>
              <w:spacing w:after="0"/>
              <w:jc w:val="left"/>
            </w:pPr>
            <w:r>
              <w:rPr/>
            </w:r>
            <w:r>
              <w:rPr/>
              <w:t>通过</w:t>
            </w:r>
          </w:p>
        </w:tc>
      </w:tr>
      <w:tr>
        <w:tc>
          <w:tcPr>
            <w:tcW w:type="dxa" w:w="2351"/>
            <w:vAlign w:val="center"/>
          </w:tcPr>
          <w:p>
            <w:pPr>
              <w:spacing w:after="0"/>
              <w:jc w:val="left"/>
            </w:pPr>
            <w:r>
              <w:rPr/>
              <w:t>公司域台账与检验主管查询</w:t>
            </w:r>
          </w:p>
        </w:tc>
        <w:tc>
          <w:tcPr>
            <w:tcW w:type="dxa" w:w="2351"/>
            <w:vAlign w:val="center"/>
          </w:tcPr>
          <w:p>
            <w:pPr>
              <w:spacing w:after="0"/>
              <w:jc w:val="left"/>
            </w:pPr>
            <w:r>
              <w:rPr/>
              <w:t>Tenant-Id 范围下检验主管列表、附件上传、保存、修改、五环删除和历史查询场景</w:t>
            </w:r>
          </w:p>
        </w:tc>
        <w:tc>
          <w:tcPr>
            <w:tcW w:type="dxa" w:w="2351"/>
            <w:vAlign w:val="center"/>
          </w:tcPr>
          <w:p>
            <w:pPr>
              <w:spacing w:after="0"/>
              <w:jc w:val="left"/>
            </w:pPr>
            <w:r>
              <w:rPr/>
              <w:t>结果稳定</w:t>
            </w:r>
          </w:p>
        </w:tc>
        <w:tc>
          <w:tcPr>
            <w:tcW w:type="dxa" w:w="2351"/>
            <w:vAlign w:val="center"/>
          </w:tcPr>
          <w:p>
            <w:pPr>
              <w:spacing w:after="0"/>
              <w:jc w:val="left"/>
            </w:pPr>
            <w:r>
              <w:rPr/>
            </w:r>
          </w:p>
        </w:tc>
      </w:tr>
      <w:tr>
        <w:tc>
          <w:tcPr>
            <w:tcW w:type="dxa" w:w="2351"/>
            <w:vAlign w:val="center"/>
          </w:tcPr>
          <w:p>
            <w:pPr>
              <w:spacing w:after="0"/>
              <w:jc w:val="left"/>
            </w:pPr>
            <w:r>
              <w:rPr/>
              <w:t>业主资料库查询与导出</w:t>
            </w:r>
          </w:p>
        </w:tc>
        <w:tc>
          <w:tcPr>
            <w:tcW w:type="dxa" w:w="2351"/>
            <w:vAlign w:val="center"/>
          </w:tcPr>
          <w:p>
            <w:pPr>
              <w:spacing w:after="0"/>
              <w:jc w:val="left"/>
            </w:pPr>
            <w:r>
              <w:rPr/>
              <w:t>列表分页、状态展示、当前资料导出和历史资料导出场景</w:t>
            </w:r>
          </w:p>
        </w:tc>
        <w:tc>
          <w:tcPr>
            <w:tcW w:type="dxa" w:w="2351"/>
            <w:vAlign w:val="center"/>
          </w:tcPr>
          <w:p>
            <w:pPr>
              <w:spacing w:after="0"/>
              <w:jc w:val="left"/>
            </w:pPr>
            <w:r>
              <w:rPr/>
              <w:t>结果稳定</w:t>
            </w:r>
          </w:p>
        </w:tc>
        <w:tc>
          <w:tcPr>
            <w:tcW w:type="dxa" w:w="2351"/>
            <w:vAlign w:val="center"/>
          </w:tcPr>
          <w:p>
            <w:pPr>
              <w:spacing w:after="0"/>
              <w:jc w:val="left"/>
            </w:pPr>
            <w:r>
              <w:rPr/>
            </w:r>
          </w:p>
        </w:tc>
      </w:tr>
      <w:tr>
        <w:tc>
          <w:tcPr>
            <w:tcW w:type="dxa" w:w="2351"/>
            <w:vAlign w:val="center"/>
          </w:tcPr>
          <w:p>
            <w:pPr>
              <w:spacing w:after="0"/>
              <w:jc w:val="left"/>
            </w:pPr>
            <w:r>
              <w:rPr/>
              <w:t>监理日志与必选表单查询</w:t>
            </w:r>
          </w:p>
        </w:tc>
        <w:tc>
          <w:tcPr>
            <w:tcW w:type="dxa" w:w="2351"/>
            <w:vAlign w:val="center"/>
          </w:tcPr>
          <w:p>
            <w:pPr>
              <w:spacing w:after="0"/>
              <w:jc w:val="left"/>
            </w:pPr>
            <w:r>
              <w:rPr/>
              <w:t>日志日期详情、reportData 明细和固定表单报表返回场景</w:t>
            </w:r>
          </w:p>
        </w:tc>
        <w:tc>
          <w:tcPr>
            <w:tcW w:type="dxa" w:w="2351"/>
            <w:vAlign w:val="center"/>
          </w:tcPr>
          <w:p>
            <w:pPr>
              <w:spacing w:after="0"/>
              <w:jc w:val="left"/>
            </w:pPr>
            <w:r>
              <w:rPr/>
              <w:t>结果稳定</w:t>
            </w:r>
          </w:p>
        </w:tc>
        <w:tc>
          <w:tcPr>
            <w:tcW w:type="dxa" w:w="2351"/>
            <w:vAlign w:val="center"/>
          </w:tcPr>
          <w:p>
            <w:pPr>
              <w:spacing w:after="0"/>
              <w:jc w:val="left"/>
            </w:pPr>
            <w:r>
              <w:rPr/>
            </w:r>
          </w:p>
        </w:tc>
      </w:tr>
      <w:tr>
        <w:tc>
          <w:tcPr>
            <w:tcW w:type="dxa" w:w="2351"/>
            <w:vAlign w:val="center"/>
          </w:tcPr>
          <w:p>
            <w:pPr>
              <w:spacing w:after="0"/>
              <w:jc w:val="left"/>
            </w:pPr>
            <w:r>
              <w:rPr/>
              <w:t>日周月报与监理总结版本查询</w:t>
            </w:r>
          </w:p>
        </w:tc>
        <w:tc>
          <w:tcPr>
            <w:tcW w:type="dxa" w:w="2351"/>
            <w:vAlign w:val="center"/>
          </w:tcPr>
          <w:p>
            <w:pPr>
              <w:spacing w:after="0"/>
              <w:jc w:val="left"/>
            </w:pPr>
            <w:r>
              <w:rPr/>
              <w:t>日周月报列表详情、当前版/历史版聚合和设备清单返回场景</w:t>
            </w:r>
          </w:p>
        </w:tc>
        <w:tc>
          <w:tcPr>
            <w:tcW w:type="dxa" w:w="2351"/>
            <w:vAlign w:val="center"/>
          </w:tcPr>
          <w:p>
            <w:pPr>
              <w:spacing w:after="0"/>
              <w:jc w:val="left"/>
            </w:pPr>
            <w:r>
              <w:rPr/>
              <w:t>结果稳定</w:t>
            </w:r>
          </w:p>
        </w:tc>
        <w:tc>
          <w:tcPr>
            <w:tcW w:type="dxa" w:w="2351"/>
            <w:vAlign w:val="center"/>
          </w:tcPr>
          <w:p>
            <w:pPr>
              <w:spacing w:after="0"/>
              <w:jc w:val="left"/>
            </w:pPr>
            <w:r>
              <w:rPr/>
            </w:r>
          </w:p>
        </w:tc>
      </w:tr>
    </w:tbl>
    <w:p/>
    <w:p>
      <w:pPr>
        <w:pStyle w:val="Heading2"/>
        <w:spacing w:before="160" w:after="120"/>
      </w:pPr>
      <w:r>
        <w:rPr>
          <w:rFonts w:ascii="黑体" w:hAnsi="黑体" w:eastAsia="黑体"/>
          <w:b/>
          <w:sz w:val="32"/>
        </w:rPr>
        <w:t>四、性能验证过程</w:t>
      </w:r>
    </w:p>
    <w:p>
      <w:pPr>
        <w:pStyle w:val="Heading3"/>
        <w:spacing w:before="80" w:after="120"/>
      </w:pPr>
      <w:r>
        <w:rPr>
          <w:rFonts w:ascii="黑体" w:hAnsi="黑体" w:eastAsia="黑体"/>
          <w:b/>
          <w:sz w:val="28"/>
        </w:rPr>
        <w:t>4.1 大数据量响应验证</w:t>
      </w:r>
    </w:p>
    <w:p>
      <w:pPr>
        <w:spacing w:line="300" w:lineRule="auto" w:after="80"/>
      </w:pPr>
      <w:r>
        <w:rPr>
          <w:rFonts w:ascii="宋体" w:hAnsi="宋体" w:eastAsia="宋体"/>
          <w:b w:val="0"/>
          <w:sz w:val="24"/>
        </w:rPr>
        <w:t xml:space="preserve">项目文档目录版本明细接口返回 90 条版本记录和 2674 条目录行，响应文件约 864KB。接口成功返回 </w:t>
      </w:r>
      <w:r>
        <w:rPr>
          <w:rFonts w:ascii="Consolas" w:hAnsi="Consolas" w:eastAsia="Consolas"/>
          <w:b w:val="0"/>
          <w:color w:val="404040"/>
          <w:sz w:val="21"/>
        </w:rPr>
        <w:t>code=00000</w:t>
      </w:r>
      <w:r>
        <w:rPr>
          <w:rFonts w:ascii="宋体" w:hAnsi="宋体" w:eastAsia="宋体"/>
          <w:b w:val="0"/>
          <w:sz w:val="24"/>
        </w:rPr>
        <w:t>、</w:t>
      </w:r>
      <w:r>
        <w:rPr>
          <w:rFonts w:ascii="Consolas" w:hAnsi="Consolas" w:eastAsia="Consolas"/>
          <w:b w:val="0"/>
          <w:color w:val="404040"/>
          <w:sz w:val="21"/>
        </w:rPr>
        <w:t>msg=SUCCESS</w:t>
      </w:r>
      <w:r>
        <w:rPr>
          <w:rFonts w:ascii="宋体" w:hAnsi="宋体" w:eastAsia="宋体"/>
          <w:b w:val="0"/>
          <w:sz w:val="24"/>
        </w:rPr>
        <w:t>，未出现响应结构截断、目录缺失或系统异常。该结果说明接口能够支撑项目文档目录较多、历史版本较多的真实业务场景。</w:t>
      </w:r>
    </w:p>
    <w:p>
      <w:pPr>
        <w:pStyle w:val="Heading3"/>
        <w:spacing w:before="80" w:after="120"/>
      </w:pPr>
      <w:r>
        <w:rPr>
          <w:rFonts w:ascii="黑体" w:hAnsi="黑体" w:eastAsia="黑体"/>
          <w:b/>
          <w:sz w:val="28"/>
        </w:rPr>
        <w:t>4.2 复杂报表数据验证</w:t>
      </w:r>
    </w:p>
    <w:p>
      <w:pPr>
        <w:spacing w:line="300" w:lineRule="auto" w:after="80"/>
      </w:pPr>
      <w:r>
        <w:rPr>
          <w:rFonts w:ascii="宋体" w:hAnsi="宋体" w:eastAsia="宋体"/>
          <w:b w:val="0"/>
          <w:sz w:val="24"/>
        </w:rPr>
        <w:t xml:space="preserve">文档报表明细接口覆盖监理大纲、统计报表、监理报告、历史监理实施细则四类典型场景。其中统计报表样本响应文件约 814KB，6 条目录项报表数据全部非空；历史监理实施细则样本返回 24 条目录项，并能按 </w:t>
      </w:r>
      <w:r>
        <w:rPr>
          <w:rFonts w:ascii="Consolas" w:hAnsi="Consolas" w:eastAsia="Consolas"/>
          <w:b w:val="0"/>
          <w:color w:val="404040"/>
          <w:sz w:val="21"/>
        </w:rPr>
        <w:t>ver + submitTime</w:t>
      </w:r>
      <w:r>
        <w:rPr>
          <w:rFonts w:ascii="宋体" w:hAnsi="宋体" w:eastAsia="宋体"/>
          <w:b w:val="0"/>
          <w:sz w:val="24"/>
        </w:rPr>
        <w:t xml:space="preserve"> 定位历史版本。测试过程中未出现报表 SQL 执行失败、响应结构异常或服务端错误。</w:t>
      </w:r>
    </w:p>
    <w:p>
      <w:pPr>
        <w:pStyle w:val="Heading3"/>
        <w:spacing w:before="80" w:after="120"/>
      </w:pPr>
      <w:r>
        <w:rPr>
          <w:rFonts w:ascii="黑体" w:hAnsi="黑体" w:eastAsia="黑体"/>
          <w:b/>
          <w:sz w:val="28"/>
        </w:rPr>
        <w:t>4.3 嵌套明细结构验证</w:t>
      </w:r>
    </w:p>
    <w:p>
      <w:pPr>
        <w:spacing w:line="300" w:lineRule="auto" w:after="80"/>
      </w:pPr>
      <w:r>
        <w:rPr>
          <w:rFonts w:ascii="宋体" w:hAnsi="宋体" w:eastAsia="宋体"/>
          <w:b w:val="0"/>
          <w:sz w:val="24"/>
        </w:rPr>
        <w:t>交底、交接、设备申请等接口均存在主记录加子列表结构。实测结果显示：</w:t>
      </w:r>
    </w:p>
    <w:p>
      <w:pPr>
        <w:pStyle w:val="ListBullet"/>
        <w:spacing w:line="300" w:lineRule="auto" w:after="80"/>
      </w:pPr>
      <w:r>
        <w:rPr>
          <w:rFonts w:ascii="宋体" w:hAnsi="宋体" w:eastAsia="宋体"/>
          <w:b w:val="0"/>
          <w:sz w:val="24"/>
        </w:rPr>
        <w:t>交底接口可返回设备清单、通用要求、五类备注和附件。</w:t>
      </w:r>
    </w:p>
    <w:p>
      <w:pPr>
        <w:pStyle w:val="ListBullet"/>
        <w:spacing w:line="300" w:lineRule="auto" w:after="80"/>
      </w:pPr>
      <w:r>
        <w:rPr>
          <w:rFonts w:ascii="宋体" w:hAnsi="宋体" w:eastAsia="宋体"/>
          <w:b w:val="0"/>
          <w:sz w:val="24"/>
        </w:rPr>
        <w:t>交接接口单条记录可返回 11 条资料清单和 7 条设备进度。</w:t>
      </w:r>
    </w:p>
    <w:p>
      <w:pPr>
        <w:pStyle w:val="ListBullet"/>
        <w:spacing w:line="300" w:lineRule="auto" w:after="80"/>
      </w:pPr>
      <w:r>
        <w:rPr>
          <w:rFonts w:ascii="宋体" w:hAnsi="宋体" w:eastAsia="宋体"/>
          <w:b w:val="0"/>
          <w:sz w:val="24"/>
        </w:rPr>
        <w:t>设备申请接口可返回申请单及 4 条设备明细。</w:t>
      </w:r>
    </w:p>
    <w:p>
      <w:pPr>
        <w:spacing w:line="300" w:lineRule="auto" w:after="80"/>
      </w:pPr>
      <w:r>
        <w:rPr>
          <w:rFonts w:ascii="宋体" w:hAnsi="宋体" w:eastAsia="宋体"/>
          <w:b w:val="0"/>
          <w:sz w:val="24"/>
        </w:rPr>
        <w:t>上述接口在嵌套明细返回场景下均正常返回，未出现明细列表丢失或结构异常。</w:t>
      </w:r>
    </w:p>
    <w:p>
      <w:pPr>
        <w:pStyle w:val="Heading3"/>
        <w:spacing w:before="80" w:after="120"/>
      </w:pPr>
      <w:r>
        <w:rPr>
          <w:rFonts w:ascii="黑体" w:hAnsi="黑体" w:eastAsia="黑体"/>
          <w:b/>
          <w:sz w:val="28"/>
        </w:rPr>
        <w:t>4.4 多记录查询验证</w:t>
      </w:r>
    </w:p>
    <w:p>
      <w:pPr>
        <w:spacing w:line="300" w:lineRule="auto" w:after="80"/>
      </w:pPr>
      <w:r>
        <w:rPr>
          <w:rFonts w:ascii="宋体" w:hAnsi="宋体" w:eastAsia="宋体"/>
          <w:b w:val="0"/>
          <w:sz w:val="24"/>
        </w:rPr>
        <w:t>到岗明细接口实测存在 51 条记录的响应样本，同时覆盖打卡来源和执行状态来源字段。接口能够返回制造厂、监理人员、实际时间、执行状态、审批状态等字段，未出现大批量记录返回异常。</w:t>
      </w:r>
    </w:p>
    <w:p>
      <w:pPr>
        <w:pStyle w:val="Heading3"/>
        <w:spacing w:before="80" w:after="120"/>
      </w:pPr>
      <w:r>
        <w:rPr>
          <w:rFonts w:ascii="黑体" w:hAnsi="黑体" w:eastAsia="黑体"/>
          <w:b/>
          <w:sz w:val="28"/>
        </w:rPr>
        <w:t>4.5 连续联调稳定性验证</w:t>
      </w:r>
    </w:p>
    <w:p>
      <w:pPr>
        <w:spacing w:line="300" w:lineRule="auto" w:after="80"/>
      </w:pPr>
      <w:r>
        <w:rPr>
          <w:rFonts w:ascii="宋体" w:hAnsi="宋体" w:eastAsia="宋体"/>
          <w:b w:val="0"/>
          <w:sz w:val="24"/>
        </w:rPr>
        <w:t>本批次接口已通过 Postman 集合和落盘响应文件完成连续联调，覆盖项目文档、交底、交接、到岗、设备申请等接口。所有落盘响应均为业务成功返回，未发现接口之间存在状态依赖或连续调用导致的异常。</w:t>
      </w:r>
    </w:p>
    <w:p>
      <w:pPr>
        <w:pStyle w:val="Heading3"/>
      </w:pPr>
      <w:r>
        <w:t>4.6 公司域台账与资料导出验证</w:t>
      </w:r>
    </w:p>
    <w:p>
      <w:pPr/>
      <w:r>
        <w:t>公司域台账保存、修改、五环删除和历史追溯链路在多次联调下保持稳定，业主资料库当前资料导出和历史资料导出在多附件场景下未出现异常打包或状态错乱。</w:t>
      </w:r>
    </w:p>
    <w:p>
      <w:pPr>
        <w:pStyle w:val="Heading3"/>
      </w:pPr>
      <w:r>
        <w:t>4.7 监理日志与监理总结版本聚合验证</w:t>
      </w:r>
    </w:p>
    <w:p>
      <w:pPr/>
      <w:r>
        <w:t>监理日志日期详情查询、固定表单报表查询以及监理总结当前版本/历史版本聚合查询均在真实样本下稳定返回，reportDetail、equipmentList、reportData 等嵌套结构未出现错配。</w:t>
      </w:r>
    </w:p>
    <w:p>
      <w:pPr>
        <w:pStyle w:val="Heading2"/>
        <w:spacing w:before="160" w:after="120"/>
      </w:pPr>
      <w:r>
        <w:rPr>
          <w:rFonts w:ascii="黑体" w:hAnsi="黑体" w:eastAsia="黑体"/>
          <w:b/>
          <w:sz w:val="32"/>
        </w:rPr>
        <w:t>五、白盒性能分析结果</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分析项</w:t>
            </w:r>
          </w:p>
        </w:tc>
        <w:tc>
          <w:tcPr>
            <w:tcW w:type="dxa" w:w="3135"/>
            <w:shd w:fill="D9EAF7"/>
          </w:tcPr>
          <w:p>
            <w:pPr>
              <w:spacing w:after="0"/>
              <w:jc w:val="center"/>
            </w:pPr>
            <w:r/>
            <w:r>
              <w:rPr>
                <w:rFonts w:ascii="宋体" w:hAnsi="宋体" w:eastAsia="宋体"/>
                <w:b/>
                <w:sz w:val="21"/>
              </w:rPr>
              <w:t>实际结果</w:t>
            </w:r>
          </w:p>
        </w:tc>
        <w:tc>
          <w:tcPr>
            <w:tcW w:type="dxa" w:w="3135"/>
            <w:shd w:fill="D9EAF7"/>
          </w:tcPr>
          <w:p>
            <w:pPr>
              <w:spacing w:after="0"/>
              <w:jc w:val="center"/>
            </w:pPr>
            <w:r/>
            <w:r>
              <w:rPr>
                <w:rFonts w:ascii="宋体" w:hAnsi="宋体" w:eastAsia="宋体"/>
                <w:b/>
                <w:sz w:val="21"/>
              </w:rPr>
              <w:t>结论</w:t>
            </w:r>
          </w:p>
        </w:tc>
      </w:tr>
      <w:tr>
        <w:tc>
          <w:tcPr>
            <w:tcW w:type="dxa" w:w="3135"/>
            <w:vAlign w:val="center"/>
          </w:tcPr>
          <w:p>
            <w:pPr>
              <w:spacing w:after="0"/>
              <w:jc w:val="left"/>
            </w:pPr>
            <w:r>
              <w:rPr/>
            </w:r>
            <w:r>
              <w:rPr/>
              <w:t>编译稳定性</w:t>
            </w:r>
          </w:p>
        </w:tc>
        <w:tc>
          <w:tcPr>
            <w:tcW w:type="dxa" w:w="3135"/>
            <w:vAlign w:val="center"/>
          </w:tcPr>
          <w:p>
            <w:pPr>
              <w:spacing w:after="0"/>
              <w:jc w:val="left"/>
            </w:pPr>
            <w:r>
              <w:rPr/>
            </w:r>
            <w:r>
              <w:rPr/>
              <w:t>mvn -pl fast-admin -am -DskipTests compile 返回 BUILD SUCCESS</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报表映射规模</w:t>
            </w:r>
          </w:p>
        </w:tc>
        <w:tc>
          <w:tcPr>
            <w:tcW w:type="dxa" w:w="3135"/>
            <w:vAlign w:val="center"/>
          </w:tcPr>
          <w:p>
            <w:pPr>
              <w:spacing w:after="0"/>
              <w:jc w:val="left"/>
            </w:pPr>
            <w:r>
              <w:rPr/>
            </w:r>
            <w:r>
              <w:rPr/>
              <w:t>运行时映射 406 条，已收敛为单主数据源返回</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SQL 资源规模</w:t>
            </w:r>
          </w:p>
        </w:tc>
        <w:tc>
          <w:tcPr>
            <w:tcW w:type="dxa" w:w="3135"/>
            <w:vAlign w:val="center"/>
          </w:tcPr>
          <w:p>
            <w:pPr>
              <w:spacing w:after="0"/>
              <w:jc w:val="left"/>
            </w:pPr>
            <w:r>
              <w:rPr/>
            </w:r>
            <w:r>
              <w:rPr/>
              <w:t>文档报表 SQL Mapper 生成 406 个 &lt;select&gt;</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历史版本定位</w:t>
            </w:r>
          </w:p>
        </w:tc>
        <w:tc>
          <w:tcPr>
            <w:tcW w:type="dxa" w:w="3135"/>
            <w:vAlign w:val="center"/>
          </w:tcPr>
          <w:p>
            <w:pPr>
              <w:spacing w:after="0"/>
              <w:jc w:val="left"/>
            </w:pPr>
            <w:r>
              <w:rPr/>
            </w:r>
            <w:r>
              <w:rPr/>
              <w:t>历史版本使用 ver + submitTime 定位，避免重复版本号误查</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权限前置</w:t>
            </w:r>
          </w:p>
        </w:tc>
        <w:tc>
          <w:tcPr>
            <w:tcW w:type="dxa" w:w="3135"/>
            <w:vAlign w:val="center"/>
          </w:tcPr>
          <w:p>
            <w:pPr>
              <w:spacing w:after="0"/>
              <w:jc w:val="left"/>
            </w:pPr>
            <w:r>
              <w:rPr/>
            </w:r>
            <w:r>
              <w:rPr/>
              <w:t>接口调用需先满足 API Key 和项目权限头要求</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明细组装</w:t>
            </w:r>
          </w:p>
        </w:tc>
        <w:tc>
          <w:tcPr>
            <w:tcW w:type="dxa" w:w="3135"/>
            <w:vAlign w:val="center"/>
          </w:tcPr>
          <w:p>
            <w:pPr>
              <w:spacing w:after="0"/>
              <w:jc w:val="left"/>
            </w:pPr>
            <w:r>
              <w:rPr/>
            </w:r>
            <w:r>
              <w:rPr/>
              <w:t>交底、交接、设备申请均可返回嵌套列表，未见结构异常</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大响应体</w:t>
            </w:r>
          </w:p>
        </w:tc>
        <w:tc>
          <w:tcPr>
            <w:tcW w:type="dxa" w:w="3135"/>
            <w:vAlign w:val="center"/>
          </w:tcPr>
          <w:p>
            <w:pPr>
              <w:spacing w:after="0"/>
              <w:jc w:val="left"/>
            </w:pPr>
            <w:r>
              <w:rPr/>
            </w:r>
            <w:r>
              <w:rPr/>
              <w:t>文档版本和统计报表存在约 800KB 级别响应样本，均正常落盘</w:t>
            </w:r>
          </w:p>
        </w:tc>
        <w:tc>
          <w:tcPr>
            <w:tcW w:type="dxa" w:w="3135"/>
            <w:vAlign w:val="center"/>
          </w:tcPr>
          <w:p>
            <w:pPr>
              <w:spacing w:after="0"/>
              <w:jc w:val="left"/>
            </w:pPr>
            <w:r>
              <w:rPr/>
            </w:r>
            <w:r>
              <w:rPr/>
              <w:t>通过</w:t>
            </w:r>
          </w:p>
        </w:tc>
      </w:tr>
      <w:tr>
        <w:tc>
          <w:tcPr>
            <w:tcW w:type="dxa" w:w="3135"/>
            <w:vAlign w:val="center"/>
          </w:tcPr>
          <w:p>
            <w:pPr>
              <w:spacing w:after="0"/>
              <w:jc w:val="left"/>
            </w:pPr>
            <w:r>
              <w:rPr/>
              <w:t>公司域台账状态链路</w:t>
            </w:r>
          </w:p>
        </w:tc>
        <w:tc>
          <w:tcPr>
            <w:tcW w:type="dxa" w:w="3135"/>
            <w:vAlign w:val="center"/>
          </w:tcPr>
          <w:p>
            <w:pPr>
              <w:spacing w:after="0"/>
              <w:jc w:val="left"/>
            </w:pPr>
            <w:r>
              <w:rPr/>
              <w:t>附件、主表、版本、五环删除和历史快照链路完整，未出现状态错乱</w:t>
            </w:r>
          </w:p>
        </w:tc>
        <w:tc>
          <w:tcPr>
            <w:tcW w:type="dxa" w:w="3135"/>
            <w:vAlign w:val="center"/>
          </w:tcPr>
          <w:p>
            <w:pPr>
              <w:spacing w:after="0"/>
              <w:jc w:val="left"/>
            </w:pPr>
            <w:r>
              <w:rPr/>
              <w:t>通过</w:t>
            </w:r>
          </w:p>
        </w:tc>
      </w:tr>
      <w:tr>
        <w:tc>
          <w:tcPr>
            <w:tcW w:type="dxa" w:w="3135"/>
            <w:vAlign w:val="center"/>
          </w:tcPr>
          <w:p>
            <w:pPr>
              <w:spacing w:after="0"/>
              <w:jc w:val="left"/>
            </w:pPr>
            <w:r>
              <w:rPr/>
              <w:t>业主资料库导出链路</w:t>
            </w:r>
          </w:p>
        </w:tc>
        <w:tc>
          <w:tcPr>
            <w:tcW w:type="dxa" w:w="3135"/>
            <w:vAlign w:val="center"/>
          </w:tcPr>
          <w:p>
            <w:pPr>
              <w:spacing w:after="0"/>
              <w:jc w:val="left"/>
            </w:pPr>
            <w:r>
              <w:rPr/>
              <w:t>当前资料导出、历史导出和附件打包链路可控</w:t>
            </w:r>
          </w:p>
        </w:tc>
        <w:tc>
          <w:tcPr>
            <w:tcW w:type="dxa" w:w="3135"/>
            <w:vAlign w:val="center"/>
          </w:tcPr>
          <w:p>
            <w:pPr>
              <w:spacing w:after="0"/>
              <w:jc w:val="left"/>
            </w:pPr>
            <w:r>
              <w:rPr/>
              <w:t>通过</w:t>
            </w:r>
          </w:p>
        </w:tc>
      </w:tr>
      <w:tr>
        <w:tc>
          <w:tcPr>
            <w:tcW w:type="dxa" w:w="3135"/>
            <w:vAlign w:val="center"/>
          </w:tcPr>
          <w:p>
            <w:pPr>
              <w:spacing w:after="0"/>
              <w:jc w:val="left"/>
            </w:pPr>
            <w:r>
              <w:rPr/>
              <w:t>监理总结版本聚合验证</w:t>
            </w:r>
          </w:p>
        </w:tc>
        <w:tc>
          <w:tcPr>
            <w:tcW w:type="dxa" w:w="3135"/>
            <w:vAlign w:val="center"/>
          </w:tcPr>
          <w:p>
            <w:pPr>
              <w:spacing w:after="0"/>
              <w:jc w:val="left"/>
            </w:pPr>
            <w:r>
              <w:rPr/>
              <w:t>当前版、历史版、reportDetail 与 equipmentList 聚合结构稳定</w:t>
            </w:r>
          </w:p>
        </w:tc>
        <w:tc>
          <w:tcPr>
            <w:tcW w:type="dxa" w:w="3135"/>
            <w:vAlign w:val="center"/>
          </w:tcPr>
          <w:p>
            <w:pPr>
              <w:spacing w:after="0"/>
              <w:jc w:val="left"/>
            </w:pPr>
            <w:r>
              <w:rPr/>
              <w:t>通过</w:t>
            </w:r>
          </w:p>
        </w:tc>
      </w:tr>
    </w:tbl>
    <w:p/>
    <w:p>
      <w:pPr>
        <w:pStyle w:val="Heading2"/>
        <w:spacing w:before="160" w:after="120"/>
      </w:pPr>
      <w:r>
        <w:rPr>
          <w:rFonts w:ascii="黑体" w:hAnsi="黑体" w:eastAsia="黑体"/>
          <w:b/>
          <w:sz w:val="32"/>
        </w:rPr>
        <w:t>六、性能测试结论</w:t>
      </w:r>
    </w:p>
    <w:p>
      <w:pPr>
        <w:spacing w:line="300" w:lineRule="auto" w:after="80"/>
      </w:pPr>
      <w:r>
        <w:t>本次性能验证基于真实业务样本和接口联调响应文件完成。项目文档、项目交底、交接、到岗、设备申请、公司域台账、业主资料库、监理日志、日周月报、录入细则必选表单和监理总结版本接口均可在真实数据量下稳定返回，未发现系统异常、响应结构异常或大响应体返回失败。</w:t>
      </w:r>
    </w:p>
    <w:p>
      <w:pPr>
        <w:spacing w:line="300" w:lineRule="auto" w:after="80"/>
      </w:pPr>
      <w:r>
        <w:rPr>
          <w:rFonts w:ascii="宋体" w:hAnsi="宋体" w:eastAsia="宋体"/>
          <w:b w:val="0"/>
          <w:sz w:val="24"/>
        </w:rPr>
        <w:t>综合判断：本批次开放接口满足当前外部系统集成和周期性数据查询的基础性能要求。若后续调用方存在高频批量同步、全项目批量拉取或并发调用要求，建议在上线前基于生产等量数据补充专项压测和限流策略评估。</w:t>
      </w:r>
    </w:p>
    <w:sectPr w:rsidR="00FC693F" w:rsidRPr="0006063C" w:rsidSect="00034616">
      <w:footerReference w:type="default" r:id="rId9"/>
      <w:pgSz w:w="12240" w:h="15840"/>
      <w:pgMar w:top="1417"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华谊项目开放接口交付材料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