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60" w:after="120"/>
      </w:pPr>
      <w:r>
        <w:rPr>
          <w:rFonts w:ascii="黑体" w:hAnsi="黑体" w:eastAsia="黑体"/>
          <w:b/>
          <w:sz w:val="36"/>
        </w:rPr>
        <w:t>华谊项目开放接口测试验收报告</w:t>
      </w:r>
    </w:p>
    <w:p>
      <w:pPr>
        <w:spacing w:line="300" w:lineRule="auto" w:after="80"/>
      </w:pPr>
      <w:r>
        <w:t>整理日期：2026-05-08</w:t>
      </w:r>
    </w:p>
    <w:p>
      <w:pPr>
        <w:pStyle w:val="Heading2"/>
        <w:spacing w:before="160" w:after="120"/>
      </w:pPr>
      <w:r>
        <w:rPr>
          <w:rFonts w:ascii="黑体" w:hAnsi="黑体" w:eastAsia="黑体"/>
          <w:b/>
          <w:sz w:val="32"/>
        </w:rPr>
        <w:t>一、项目概述</w:t>
      </w:r>
    </w:p>
    <w:p>
      <w:pPr>
        <w:spacing w:line="300" w:lineRule="auto" w:after="80"/>
      </w:pPr>
      <w:r>
        <w:t>为满足项目业务数据对外集成、核验和归档需求，华谊项目本批次在原有项目文档、项目交底、人员交接、项目到岗和设备申请开放接口基础上，进一步补充公司检验主管、公司域交底台账、业主资料库、监理日志、日周月报、录入细则必选表单和监理总结版本查询能力。接口与页面采用统一鉴权、统一项目/租户范围控制和统一响应结构，为授权调用方和业务用户提供稳定、可追溯的数据支撑。</w:t>
      </w:r>
    </w:p>
    <w:p>
      <w:pPr>
        <w:pStyle w:val="Heading2"/>
        <w:spacing w:before="160" w:after="120"/>
      </w:pPr>
      <w:r>
        <w:rPr>
          <w:rFonts w:ascii="黑体" w:hAnsi="黑体" w:eastAsia="黑体"/>
          <w:b/>
          <w:sz w:val="32"/>
        </w:rPr>
        <w:t>二、验收范围</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351"/>
        <w:gridCol w:w="2351"/>
        <w:gridCol w:w="2351"/>
        <w:gridCol w:w="2351"/>
      </w:tblGrid>
      <w:tr>
        <w:tc>
          <w:tcPr>
            <w:tcW w:type="dxa" w:w="2351"/>
            <w:shd w:fill="D9EAF7"/>
          </w:tcPr>
          <w:p>
            <w:pPr>
              <w:spacing w:after="0"/>
              <w:jc w:val="center"/>
            </w:pPr>
            <w:r/>
            <w:r>
              <w:rPr>
                <w:rFonts w:ascii="宋体" w:hAnsi="宋体" w:eastAsia="宋体"/>
                <w:b/>
                <w:sz w:val="21"/>
              </w:rPr>
              <w:t>序号</w:t>
            </w:r>
          </w:p>
        </w:tc>
        <w:tc>
          <w:tcPr>
            <w:tcW w:type="dxa" w:w="2351"/>
            <w:shd w:fill="D9EAF7"/>
          </w:tcPr>
          <w:p>
            <w:pPr>
              <w:spacing w:after="0"/>
              <w:jc w:val="center"/>
            </w:pPr>
            <w:r/>
            <w:r>
              <w:rPr>
                <w:rFonts w:ascii="宋体" w:hAnsi="宋体" w:eastAsia="宋体"/>
                <w:b/>
                <w:sz w:val="21"/>
              </w:rPr>
              <w:t>接口名称</w:t>
            </w:r>
          </w:p>
        </w:tc>
        <w:tc>
          <w:tcPr>
            <w:tcW w:type="dxa" w:w="2351"/>
            <w:shd w:fill="D9EAF7"/>
          </w:tcPr>
          <w:p>
            <w:pPr>
              <w:spacing w:after="0"/>
              <w:jc w:val="center"/>
            </w:pPr>
            <w:r/>
            <w:r>
              <w:rPr>
                <w:rFonts w:ascii="宋体" w:hAnsi="宋体" w:eastAsia="宋体"/>
                <w:b/>
                <w:sz w:val="21"/>
              </w:rPr>
              <w:t>请求地址</w:t>
            </w:r>
          </w:p>
        </w:tc>
        <w:tc>
          <w:tcPr>
            <w:tcW w:type="dxa" w:w="2351"/>
            <w:shd w:fill="D9EAF7"/>
          </w:tcPr>
          <w:p>
            <w:pPr>
              <w:spacing w:after="0"/>
              <w:jc w:val="center"/>
            </w:pPr>
            <w:r/>
            <w:r>
              <w:rPr>
                <w:rFonts w:ascii="宋体" w:hAnsi="宋体" w:eastAsia="宋体"/>
                <w:b/>
                <w:sz w:val="21"/>
              </w:rPr>
              <w:t>验收结论</w:t>
            </w:r>
          </w:p>
        </w:tc>
      </w:tr>
      <w:tr>
        <w:tc>
          <w:tcPr>
            <w:tcW w:type="dxa" w:w="2351"/>
            <w:vAlign w:val="center"/>
          </w:tcPr>
          <w:p>
            <w:pPr>
              <w:spacing w:after="0"/>
              <w:jc w:val="left"/>
            </w:pPr>
            <w:r>
              <w:rPr/>
            </w:r>
            <w:r>
              <w:rPr/>
              <w:t>1</w:t>
            </w:r>
          </w:p>
        </w:tc>
        <w:tc>
          <w:tcPr>
            <w:tcW w:type="dxa" w:w="2351"/>
            <w:vAlign w:val="center"/>
          </w:tcPr>
          <w:p>
            <w:pPr>
              <w:spacing w:after="0"/>
              <w:jc w:val="left"/>
            </w:pPr>
            <w:r>
              <w:rPr/>
            </w:r>
            <w:r>
              <w:rPr/>
              <w:t>项目文档目录版本明细查询</w:t>
            </w:r>
          </w:p>
        </w:tc>
        <w:tc>
          <w:tcPr>
            <w:tcW w:type="dxa" w:w="2351"/>
            <w:vAlign w:val="center"/>
          </w:tcPr>
          <w:p>
            <w:pPr>
              <w:spacing w:after="0"/>
              <w:jc w:val="left"/>
            </w:pPr>
            <w:r>
              <w:rPr/>
            </w:r>
            <w:r>
              <w:rPr/>
              <w:t>/open/api/project/document/version/list</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2</w:t>
            </w:r>
          </w:p>
        </w:tc>
        <w:tc>
          <w:tcPr>
            <w:tcW w:type="dxa" w:w="2351"/>
            <w:vAlign w:val="center"/>
          </w:tcPr>
          <w:p>
            <w:pPr>
              <w:spacing w:after="0"/>
              <w:jc w:val="left"/>
            </w:pPr>
            <w:r>
              <w:rPr/>
            </w:r>
            <w:r>
              <w:rPr/>
              <w:t>项目文档报表明细查询</w:t>
            </w:r>
          </w:p>
        </w:tc>
        <w:tc>
          <w:tcPr>
            <w:tcW w:type="dxa" w:w="2351"/>
            <w:vAlign w:val="center"/>
          </w:tcPr>
          <w:p>
            <w:pPr>
              <w:spacing w:after="0"/>
              <w:jc w:val="left"/>
            </w:pPr>
            <w:r>
              <w:rPr/>
            </w:r>
            <w:r>
              <w:rPr/>
              <w:t>/open/api/project/document/report/detail</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3</w:t>
            </w:r>
          </w:p>
        </w:tc>
        <w:tc>
          <w:tcPr>
            <w:tcW w:type="dxa" w:w="2351"/>
            <w:vAlign w:val="center"/>
          </w:tcPr>
          <w:p>
            <w:pPr>
              <w:spacing w:after="0"/>
              <w:jc w:val="left"/>
            </w:pPr>
            <w:r>
              <w:rPr/>
            </w:r>
            <w:r>
              <w:rPr/>
              <w:t>项目交底历史与有效版本明细查询</w:t>
            </w:r>
          </w:p>
        </w:tc>
        <w:tc>
          <w:tcPr>
            <w:tcW w:type="dxa" w:w="2351"/>
            <w:vAlign w:val="center"/>
          </w:tcPr>
          <w:p>
            <w:pPr>
              <w:spacing w:after="0"/>
              <w:jc w:val="left"/>
            </w:pPr>
            <w:r>
              <w:rPr/>
            </w:r>
            <w:r>
              <w:rPr/>
              <w:t>/open/api/project/disclose/version/list</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4</w:t>
            </w:r>
          </w:p>
        </w:tc>
        <w:tc>
          <w:tcPr>
            <w:tcW w:type="dxa" w:w="2351"/>
            <w:vAlign w:val="center"/>
          </w:tcPr>
          <w:p>
            <w:pPr>
              <w:spacing w:after="0"/>
              <w:jc w:val="left"/>
            </w:pPr>
            <w:r>
              <w:rPr/>
            </w:r>
            <w:r>
              <w:rPr/>
              <w:t>项目人员交接明细查询</w:t>
            </w:r>
          </w:p>
        </w:tc>
        <w:tc>
          <w:tcPr>
            <w:tcW w:type="dxa" w:w="2351"/>
            <w:vAlign w:val="center"/>
          </w:tcPr>
          <w:p>
            <w:pPr>
              <w:spacing w:after="0"/>
              <w:jc w:val="left"/>
            </w:pPr>
            <w:r>
              <w:rPr/>
            </w:r>
            <w:r>
              <w:rPr/>
              <w:t>/open/api/project/handover/list</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5</w:t>
            </w:r>
          </w:p>
        </w:tc>
        <w:tc>
          <w:tcPr>
            <w:tcW w:type="dxa" w:w="2351"/>
            <w:vAlign w:val="center"/>
          </w:tcPr>
          <w:p>
            <w:pPr>
              <w:spacing w:after="0"/>
              <w:jc w:val="left"/>
            </w:pPr>
            <w:r>
              <w:rPr/>
            </w:r>
            <w:r>
              <w:rPr/>
              <w:t>项目到岗明细查询</w:t>
            </w:r>
          </w:p>
        </w:tc>
        <w:tc>
          <w:tcPr>
            <w:tcW w:type="dxa" w:w="2351"/>
            <w:vAlign w:val="center"/>
          </w:tcPr>
          <w:p>
            <w:pPr>
              <w:spacing w:after="0"/>
              <w:jc w:val="left"/>
            </w:pPr>
            <w:r>
              <w:rPr/>
            </w:r>
            <w:r>
              <w:rPr/>
              <w:t>/open/api/project/sign/list</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6</w:t>
            </w:r>
          </w:p>
        </w:tc>
        <w:tc>
          <w:tcPr>
            <w:tcW w:type="dxa" w:w="2351"/>
            <w:vAlign w:val="center"/>
          </w:tcPr>
          <w:p>
            <w:pPr>
              <w:spacing w:after="0"/>
              <w:jc w:val="left"/>
            </w:pPr>
            <w:r>
              <w:rPr/>
            </w:r>
            <w:r>
              <w:rPr/>
              <w:t>项目设备申请明细查询</w:t>
            </w:r>
          </w:p>
        </w:tc>
        <w:tc>
          <w:tcPr>
            <w:tcW w:type="dxa" w:w="2351"/>
            <w:vAlign w:val="center"/>
          </w:tcPr>
          <w:p>
            <w:pPr>
              <w:spacing w:after="0"/>
              <w:jc w:val="left"/>
            </w:pPr>
            <w:r>
              <w:rPr/>
            </w:r>
            <w:r>
              <w:rPr/>
              <w:t>/open/api/project/device/apply/list</w:t>
            </w:r>
          </w:p>
        </w:tc>
        <w:tc>
          <w:tcPr>
            <w:tcW w:type="dxa" w:w="2351"/>
            <w:vAlign w:val="center"/>
          </w:tcPr>
          <w:p>
            <w:pPr>
              <w:spacing w:after="0"/>
              <w:jc w:val="left"/>
            </w:pPr>
            <w:r>
              <w:rPr/>
            </w:r>
            <w:r>
              <w:rPr/>
              <w:t>通过</w:t>
            </w:r>
          </w:p>
        </w:tc>
      </w:tr>
      <w:tr>
        <w:tc>
          <w:tcPr>
            <w:tcW w:type="dxa" w:w="2351"/>
            <w:vAlign w:val="center"/>
          </w:tcPr>
          <w:p>
            <w:pPr>
              <w:spacing w:after="0"/>
              <w:jc w:val="left"/>
            </w:pPr>
            <w:r>
              <w:rPr/>
              <w:t>7</w:t>
            </w:r>
          </w:p>
        </w:tc>
        <w:tc>
          <w:tcPr>
            <w:tcW w:type="dxa" w:w="2351"/>
            <w:vAlign w:val="center"/>
          </w:tcPr>
          <w:p>
            <w:pPr>
              <w:spacing w:after="0"/>
              <w:jc w:val="left"/>
            </w:pPr>
            <w:r>
              <w:rPr/>
              <w:t>查询公司检验主管列表</w:t>
            </w:r>
          </w:p>
        </w:tc>
        <w:tc>
          <w:tcPr>
            <w:tcW w:type="dxa" w:w="2351"/>
            <w:vAlign w:val="center"/>
          </w:tcPr>
          <w:p>
            <w:pPr>
              <w:spacing w:after="0"/>
              <w:jc w:val="left"/>
            </w:pPr>
            <w:r>
              <w:rPr/>
              <w:t>/open/api/company/chiefInspector/list</w:t>
            </w:r>
          </w:p>
        </w:tc>
        <w:tc>
          <w:tcPr>
            <w:tcW w:type="dxa" w:w="2351"/>
            <w:vAlign w:val="center"/>
          </w:tcPr>
          <w:p>
            <w:pPr>
              <w:spacing w:after="0"/>
              <w:jc w:val="left"/>
            </w:pPr>
            <w:r>
              <w:rPr/>
              <w:t>通过</w:t>
            </w:r>
          </w:p>
        </w:tc>
      </w:tr>
      <w:tr>
        <w:tc>
          <w:tcPr>
            <w:tcW w:type="dxa" w:w="2351"/>
            <w:vAlign w:val="center"/>
          </w:tcPr>
          <w:p>
            <w:pPr>
              <w:spacing w:after="0"/>
              <w:jc w:val="left"/>
            </w:pPr>
            <w:r>
              <w:rPr/>
              <w:t>8</w:t>
            </w:r>
          </w:p>
        </w:tc>
        <w:tc>
          <w:tcPr>
            <w:tcW w:type="dxa" w:w="2351"/>
            <w:vAlign w:val="center"/>
          </w:tcPr>
          <w:p>
            <w:pPr>
              <w:spacing w:after="0"/>
              <w:jc w:val="left"/>
            </w:pPr>
            <w:r>
              <w:rPr/>
              <w:t>公司域交底台账维护</w:t>
            </w:r>
          </w:p>
        </w:tc>
        <w:tc>
          <w:tcPr>
            <w:tcW w:type="dxa" w:w="2351"/>
            <w:vAlign w:val="center"/>
          </w:tcPr>
          <w:p>
            <w:pPr>
              <w:spacing w:after="0"/>
              <w:jc w:val="left"/>
            </w:pPr>
            <w:r>
              <w:rPr/>
              <w:t>/open/api/company/disclose/file/upload、/save、/update、/delete/wuhuan</w:t>
            </w:r>
          </w:p>
        </w:tc>
        <w:tc>
          <w:tcPr>
            <w:tcW w:type="dxa" w:w="2351"/>
            <w:vAlign w:val="center"/>
          </w:tcPr>
          <w:p>
            <w:pPr>
              <w:spacing w:after="0"/>
              <w:jc w:val="left"/>
            </w:pPr>
            <w:r>
              <w:rPr/>
              <w:t>通过</w:t>
            </w:r>
          </w:p>
        </w:tc>
      </w:tr>
      <w:tr>
        <w:tc>
          <w:tcPr>
            <w:tcW w:type="dxa" w:w="2351"/>
            <w:vAlign w:val="center"/>
          </w:tcPr>
          <w:p>
            <w:pPr>
              <w:spacing w:after="0"/>
              <w:jc w:val="left"/>
            </w:pPr>
            <w:r>
              <w:rPr/>
              <w:t>9</w:t>
            </w:r>
          </w:p>
        </w:tc>
        <w:tc>
          <w:tcPr>
            <w:tcW w:type="dxa" w:w="2351"/>
            <w:vAlign w:val="center"/>
          </w:tcPr>
          <w:p>
            <w:pPr>
              <w:spacing w:after="0"/>
              <w:jc w:val="left"/>
            </w:pPr>
            <w:r>
              <w:rPr/>
              <w:t>公司域交底历史查询</w:t>
            </w:r>
          </w:p>
        </w:tc>
        <w:tc>
          <w:tcPr>
            <w:tcW w:type="dxa" w:w="2351"/>
            <w:vAlign w:val="center"/>
          </w:tcPr>
          <w:p>
            <w:pPr>
              <w:spacing w:after="0"/>
              <w:jc w:val="left"/>
            </w:pPr>
            <w:r>
              <w:rPr/>
              <w:t>/open/api/company/disclose/history/list/{id}、/detail/{historyId}</w:t>
            </w:r>
          </w:p>
        </w:tc>
        <w:tc>
          <w:tcPr>
            <w:tcW w:type="dxa" w:w="2351"/>
            <w:vAlign w:val="center"/>
          </w:tcPr>
          <w:p>
            <w:pPr>
              <w:spacing w:after="0"/>
              <w:jc w:val="left"/>
            </w:pPr>
            <w:r>
              <w:rPr/>
              <w:t>通过</w:t>
            </w:r>
          </w:p>
        </w:tc>
      </w:tr>
      <w:tr>
        <w:tc>
          <w:tcPr>
            <w:tcW w:type="dxa" w:w="2351"/>
            <w:vAlign w:val="center"/>
          </w:tcPr>
          <w:p>
            <w:pPr>
              <w:spacing w:after="0"/>
              <w:jc w:val="left"/>
            </w:pPr>
            <w:r>
              <w:rPr/>
              <w:t>10</w:t>
            </w:r>
          </w:p>
        </w:tc>
        <w:tc>
          <w:tcPr>
            <w:tcW w:type="dxa" w:w="2351"/>
            <w:vAlign w:val="center"/>
          </w:tcPr>
          <w:p>
            <w:pPr>
              <w:spacing w:after="0"/>
              <w:jc w:val="left"/>
            </w:pPr>
            <w:r>
              <w:rPr/>
              <w:t>业主资料库展示与导出</w:t>
            </w:r>
          </w:p>
        </w:tc>
        <w:tc>
          <w:tcPr>
            <w:tcW w:type="dxa" w:w="2351"/>
            <w:vAlign w:val="center"/>
          </w:tcPr>
          <w:p>
            <w:pPr>
              <w:spacing w:after="0"/>
              <w:jc w:val="left"/>
            </w:pPr>
            <w:r>
              <w:rPr/>
              <w:t>/project/openDiscloseLedger/list、/view/{id}、/history/list/{id}、/history/view/{historyId}、/export、/history/export/{id}</w:t>
            </w:r>
          </w:p>
        </w:tc>
        <w:tc>
          <w:tcPr>
            <w:tcW w:type="dxa" w:w="2351"/>
            <w:vAlign w:val="center"/>
          </w:tcPr>
          <w:p>
            <w:pPr>
              <w:spacing w:after="0"/>
              <w:jc w:val="left"/>
            </w:pPr>
            <w:r>
              <w:rPr/>
              <w:t>通过</w:t>
            </w:r>
          </w:p>
        </w:tc>
      </w:tr>
      <w:tr>
        <w:tc>
          <w:tcPr>
            <w:tcW w:type="dxa" w:w="2351"/>
            <w:vAlign w:val="center"/>
          </w:tcPr>
          <w:p>
            <w:pPr>
              <w:spacing w:after="0"/>
              <w:jc w:val="left"/>
            </w:pPr>
            <w:r>
              <w:rPr/>
              <w:t>11</w:t>
            </w:r>
          </w:p>
        </w:tc>
        <w:tc>
          <w:tcPr>
            <w:tcW w:type="dxa" w:w="2351"/>
            <w:vAlign w:val="center"/>
          </w:tcPr>
          <w:p>
            <w:pPr>
              <w:spacing w:after="0"/>
              <w:jc w:val="left"/>
            </w:pPr>
            <w:r>
              <w:rPr/>
              <w:t>监理日志查询</w:t>
            </w:r>
          </w:p>
        </w:tc>
        <w:tc>
          <w:tcPr>
            <w:tcW w:type="dxa" w:w="2351"/>
            <w:vAlign w:val="center"/>
          </w:tcPr>
          <w:p>
            <w:pPr>
              <w:spacing w:after="0"/>
              <w:jc w:val="left"/>
            </w:pPr>
            <w:r>
              <w:rPr/>
              <w:t>/open/api/project/log/list、/detail</w:t>
            </w:r>
          </w:p>
        </w:tc>
        <w:tc>
          <w:tcPr>
            <w:tcW w:type="dxa" w:w="2351"/>
            <w:vAlign w:val="center"/>
          </w:tcPr>
          <w:p>
            <w:pPr>
              <w:spacing w:after="0"/>
              <w:jc w:val="left"/>
            </w:pPr>
            <w:r>
              <w:rPr/>
              <w:t>通过</w:t>
            </w:r>
          </w:p>
        </w:tc>
      </w:tr>
      <w:tr>
        <w:tc>
          <w:tcPr>
            <w:tcW w:type="dxa" w:w="2351"/>
            <w:vAlign w:val="center"/>
          </w:tcPr>
          <w:p>
            <w:pPr>
              <w:spacing w:after="0"/>
              <w:jc w:val="left"/>
            </w:pPr>
            <w:r>
              <w:rPr/>
              <w:t>12</w:t>
            </w:r>
          </w:p>
        </w:tc>
        <w:tc>
          <w:tcPr>
            <w:tcW w:type="dxa" w:w="2351"/>
            <w:vAlign w:val="center"/>
          </w:tcPr>
          <w:p>
            <w:pPr>
              <w:spacing w:after="0"/>
              <w:jc w:val="left"/>
            </w:pPr>
            <w:r>
              <w:rPr/>
              <w:t>录入细则必选表单查询</w:t>
            </w:r>
          </w:p>
        </w:tc>
        <w:tc>
          <w:tcPr>
            <w:tcW w:type="dxa" w:w="2351"/>
            <w:vAlign w:val="center"/>
          </w:tcPr>
          <w:p>
            <w:pPr>
              <w:spacing w:after="0"/>
              <w:jc w:val="left"/>
            </w:pPr>
            <w:r>
              <w:rPr/>
              <w:t>/open/api/project/document/required-form/list</w:t>
            </w:r>
          </w:p>
        </w:tc>
        <w:tc>
          <w:tcPr>
            <w:tcW w:type="dxa" w:w="2351"/>
            <w:vAlign w:val="center"/>
          </w:tcPr>
          <w:p>
            <w:pPr>
              <w:spacing w:after="0"/>
              <w:jc w:val="left"/>
            </w:pPr>
            <w:r>
              <w:rPr/>
              <w:t>通过</w:t>
            </w:r>
          </w:p>
        </w:tc>
      </w:tr>
      <w:tr>
        <w:tc>
          <w:tcPr>
            <w:tcW w:type="dxa" w:w="2351"/>
            <w:vAlign w:val="center"/>
          </w:tcPr>
          <w:p>
            <w:pPr>
              <w:spacing w:after="0"/>
              <w:jc w:val="left"/>
            </w:pPr>
            <w:r>
              <w:rPr/>
              <w:t>13</w:t>
            </w:r>
          </w:p>
        </w:tc>
        <w:tc>
          <w:tcPr>
            <w:tcW w:type="dxa" w:w="2351"/>
            <w:vAlign w:val="center"/>
          </w:tcPr>
          <w:p>
            <w:pPr>
              <w:spacing w:after="0"/>
              <w:jc w:val="left"/>
            </w:pPr>
            <w:r>
              <w:rPr/>
              <w:t>日周月报查询</w:t>
            </w:r>
          </w:p>
        </w:tc>
        <w:tc>
          <w:tcPr>
            <w:tcW w:type="dxa" w:w="2351"/>
            <w:vAlign w:val="center"/>
          </w:tcPr>
          <w:p>
            <w:pPr>
              <w:spacing w:after="0"/>
              <w:jc w:val="left"/>
            </w:pPr>
            <w:r>
              <w:rPr/>
              <w:t>/open/api/reportList、/reportDetail/{id}</w:t>
            </w:r>
          </w:p>
        </w:tc>
        <w:tc>
          <w:tcPr>
            <w:tcW w:type="dxa" w:w="2351"/>
            <w:vAlign w:val="center"/>
          </w:tcPr>
          <w:p>
            <w:pPr>
              <w:spacing w:after="0"/>
              <w:jc w:val="left"/>
            </w:pPr>
            <w:r>
              <w:rPr/>
              <w:t>通过</w:t>
            </w:r>
          </w:p>
        </w:tc>
      </w:tr>
      <w:tr>
        <w:tc>
          <w:tcPr>
            <w:tcW w:type="dxa" w:w="2351"/>
            <w:vAlign w:val="center"/>
          </w:tcPr>
          <w:p>
            <w:pPr>
              <w:spacing w:after="0"/>
              <w:jc w:val="left"/>
            </w:pPr>
            <w:r>
              <w:rPr/>
              <w:t>14</w:t>
            </w:r>
          </w:p>
        </w:tc>
        <w:tc>
          <w:tcPr>
            <w:tcW w:type="dxa" w:w="2351"/>
            <w:vAlign w:val="center"/>
          </w:tcPr>
          <w:p>
            <w:pPr>
              <w:spacing w:after="0"/>
              <w:jc w:val="left"/>
            </w:pPr>
            <w:r>
              <w:rPr/>
              <w:t>监理总结各版本明细查询</w:t>
            </w:r>
          </w:p>
        </w:tc>
        <w:tc>
          <w:tcPr>
            <w:tcW w:type="dxa" w:w="2351"/>
            <w:vAlign w:val="center"/>
          </w:tcPr>
          <w:p>
            <w:pPr>
              <w:spacing w:after="0"/>
              <w:jc w:val="left"/>
            </w:pPr>
            <w:r>
              <w:rPr/>
              <w:t>/open/api/project/summary/version/list</w:t>
            </w:r>
          </w:p>
        </w:tc>
        <w:tc>
          <w:tcPr>
            <w:tcW w:type="dxa" w:w="2351"/>
            <w:vAlign w:val="center"/>
          </w:tcPr>
          <w:p>
            <w:pPr>
              <w:spacing w:after="0"/>
              <w:jc w:val="left"/>
            </w:pPr>
            <w:r>
              <w:rPr/>
              <w:t>通过</w:t>
            </w:r>
          </w:p>
        </w:tc>
      </w:tr>
    </w:tbl>
    <w:p/>
    <w:p>
      <w:pPr>
        <w:pStyle w:val="Heading2"/>
        <w:spacing w:before="160" w:after="120"/>
      </w:pPr>
      <w:r>
        <w:rPr>
          <w:rFonts w:ascii="黑体" w:hAnsi="黑体" w:eastAsia="黑体"/>
          <w:b/>
          <w:sz w:val="32"/>
        </w:rPr>
        <w:t>三、验收依据</w:t>
      </w:r>
    </w:p>
    <w:p>
      <w:pPr>
        <w:pStyle w:val="ListNumber"/>
        <w:spacing w:line="300" w:lineRule="auto" w:after="80"/>
      </w:pPr>
      <w:r>
        <w:rPr>
          <w:rFonts w:ascii="宋体" w:hAnsi="宋体" w:eastAsia="宋体"/>
          <w:b w:val="0"/>
          <w:sz w:val="24"/>
        </w:rPr>
        <w:t>华谊项目开放接口业务需求。</w:t>
      </w:r>
    </w:p>
    <w:p>
      <w:pPr>
        <w:pStyle w:val="ListNumber"/>
        <w:spacing w:line="300" w:lineRule="auto" w:after="80"/>
      </w:pPr>
      <w:r>
        <w:rPr>
          <w:rFonts w:ascii="Consolas" w:hAnsi="Consolas" w:eastAsia="Consolas"/>
          <w:b w:val="0"/>
          <w:color w:val="404040"/>
          <w:sz w:val="21"/>
        </w:rPr>
        <w:t>docs/开放接口文档.md</w:t>
      </w:r>
      <w:r>
        <w:rPr>
          <w:rFonts w:ascii="宋体" w:hAnsi="宋体" w:eastAsia="宋体"/>
          <w:b w:val="0"/>
          <w:sz w:val="24"/>
        </w:rPr>
        <w:t>。</w:t>
      </w:r>
    </w:p>
    <w:p>
      <w:pPr>
        <w:pStyle w:val="ListNumber"/>
        <w:spacing w:line="300" w:lineRule="auto" w:after="80"/>
      </w:pPr>
      <w:r>
        <w:rPr>
          <w:rFonts w:ascii="Consolas" w:hAnsi="Consolas" w:eastAsia="Consolas"/>
          <w:b w:val="0"/>
          <w:color w:val="404040"/>
          <w:sz w:val="21"/>
        </w:rPr>
        <w:t>docs/开放测试用例.md</w:t>
      </w:r>
      <w:r>
        <w:rPr>
          <w:rFonts w:ascii="宋体" w:hAnsi="宋体" w:eastAsia="宋体"/>
          <w:b w:val="0"/>
          <w:sz w:val="24"/>
        </w:rPr>
        <w:t>。</w:t>
      </w:r>
    </w:p>
    <w:p>
      <w:pPr>
        <w:pStyle w:val="ListNumber"/>
        <w:spacing w:line="300" w:lineRule="auto" w:after="80"/>
      </w:pPr>
      <w:r>
        <w:rPr>
          <w:rFonts w:ascii="Consolas" w:hAnsi="Consolas" w:eastAsia="Consolas"/>
          <w:b w:val="0"/>
          <w:color w:val="404040"/>
          <w:sz w:val="21"/>
        </w:rPr>
        <w:t>docs/postman/开放接口.postman_collection.json</w:t>
      </w:r>
      <w:r>
        <w:rPr>
          <w:rFonts w:ascii="宋体" w:hAnsi="宋体" w:eastAsia="宋体"/>
          <w:b w:val="0"/>
          <w:sz w:val="24"/>
        </w:rPr>
        <w:t>。</w:t>
      </w:r>
    </w:p>
    <w:p>
      <w:pPr>
        <w:pStyle w:val="ListNumber"/>
        <w:spacing w:line="300" w:lineRule="auto" w:after="80"/>
      </w:pPr>
      <w:r>
        <w:rPr>
          <w:rFonts w:ascii="宋体" w:hAnsi="宋体" w:eastAsia="宋体"/>
          <w:b w:val="0"/>
          <w:sz w:val="24"/>
        </w:rPr>
        <w:t>项目权限、派单归属和业务数据隔离要求。</w:t>
      </w:r>
    </w:p>
    <w:p>
      <w:pPr>
        <w:pStyle w:val="ListNumber"/>
        <w:spacing w:line="300" w:lineRule="auto" w:after="80"/>
      </w:pPr>
      <w:r>
        <w:rPr>
          <w:rFonts w:ascii="宋体" w:hAnsi="宋体" w:eastAsia="宋体"/>
          <w:b w:val="0"/>
          <w:sz w:val="24"/>
        </w:rPr>
        <w:t>系统统一响应、参数校验和异常处理规范。</w:t>
      </w:r>
    </w:p>
    <w:p>
      <w:pPr>
        <w:pStyle w:val="ListNumber"/>
        <w:spacing w:line="300" w:lineRule="auto" w:after="80"/>
      </w:pPr>
      <w:r>
        <w:rPr>
          <w:rFonts w:ascii="宋体" w:hAnsi="宋体" w:eastAsia="宋体"/>
          <w:b w:val="0"/>
          <w:sz w:val="24"/>
        </w:rPr>
        <w:t>已落盘的接口联调响应文件。</w:t>
      </w:r>
    </w:p>
    <w:p>
      <w:pPr>
        <w:pStyle w:val="Heading2"/>
        <w:spacing w:before="160" w:after="120"/>
      </w:pPr>
      <w:r>
        <w:rPr>
          <w:rFonts w:ascii="黑体" w:hAnsi="黑体" w:eastAsia="黑体"/>
          <w:b/>
          <w:sz w:val="32"/>
        </w:rPr>
        <w:t>四、验收执行情况</w:t>
      </w:r>
    </w:p>
    <w:p>
      <w:pPr>
        <w:pStyle w:val="Heading3"/>
        <w:spacing w:before="80" w:after="120"/>
      </w:pPr>
      <w:r>
        <w:rPr>
          <w:rFonts w:ascii="黑体" w:hAnsi="黑体" w:eastAsia="黑体"/>
          <w:b/>
          <w:sz w:val="28"/>
        </w:rPr>
        <w:t>4.1 编译与资源验证</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验证项</w:t>
            </w:r>
          </w:p>
        </w:tc>
        <w:tc>
          <w:tcPr>
            <w:tcW w:type="dxa" w:w="3135"/>
            <w:shd w:fill="D9EAF7"/>
          </w:tcPr>
          <w:p>
            <w:pPr>
              <w:spacing w:after="0"/>
              <w:jc w:val="center"/>
            </w:pPr>
            <w:r/>
            <w:r>
              <w:rPr>
                <w:rFonts w:ascii="宋体" w:hAnsi="宋体" w:eastAsia="宋体"/>
                <w:b/>
                <w:sz w:val="21"/>
              </w:rPr>
              <w:t>实际结果</w:t>
            </w:r>
          </w:p>
        </w:tc>
        <w:tc>
          <w:tcPr>
            <w:tcW w:type="dxa" w:w="3135"/>
            <w:shd w:fill="D9EAF7"/>
          </w:tcPr>
          <w:p>
            <w:pPr>
              <w:spacing w:after="0"/>
              <w:jc w:val="center"/>
            </w:pPr>
            <w:r/>
            <w:r>
              <w:rPr>
                <w:rFonts w:ascii="宋体" w:hAnsi="宋体" w:eastAsia="宋体"/>
                <w:b/>
                <w:sz w:val="21"/>
              </w:rPr>
              <w:t>结论</w:t>
            </w:r>
          </w:p>
        </w:tc>
      </w:tr>
      <w:tr>
        <w:tc>
          <w:tcPr>
            <w:tcW w:type="dxa" w:w="3135"/>
            <w:vAlign w:val="center"/>
          </w:tcPr>
          <w:p>
            <w:pPr>
              <w:spacing w:after="0"/>
              <w:jc w:val="left"/>
            </w:pPr>
            <w:r>
              <w:rPr/>
            </w:r>
            <w:r>
              <w:rPr/>
              <w:t>后端编译</w:t>
            </w:r>
          </w:p>
        </w:tc>
        <w:tc>
          <w:tcPr>
            <w:tcW w:type="dxa" w:w="3135"/>
            <w:vAlign w:val="center"/>
          </w:tcPr>
          <w:p>
            <w:pPr>
              <w:spacing w:after="0"/>
              <w:jc w:val="left"/>
            </w:pPr>
            <w:r>
              <w:rPr/>
            </w:r>
            <w:r>
              <w:rPr/>
              <w:t>已执行 mvn -pl fast-admin -am -DskipTests compile，结果 BUILD SUCCESS</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文档报表映射</w:t>
            </w:r>
          </w:p>
        </w:tc>
        <w:tc>
          <w:tcPr>
            <w:tcW w:type="dxa" w:w="3135"/>
            <w:vAlign w:val="center"/>
          </w:tcPr>
          <w:p>
            <w:pPr>
              <w:spacing w:after="0"/>
              <w:jc w:val="left"/>
            </w:pPr>
            <w:r>
              <w:rPr/>
            </w:r>
            <w:r>
              <w:rPr/>
              <w:t>运行时映射清单生成 406 条</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报表 SQL 资源</w:t>
            </w:r>
          </w:p>
        </w:tc>
        <w:tc>
          <w:tcPr>
            <w:tcW w:type="dxa" w:w="3135"/>
            <w:vAlign w:val="center"/>
          </w:tcPr>
          <w:p>
            <w:pPr>
              <w:spacing w:after="0"/>
              <w:jc w:val="left"/>
            </w:pPr>
            <w:r>
              <w:rPr/>
            </w:r>
            <w:r>
              <w:rPr/>
              <w:t>ProjectDocumentReportSqlMapper.xml 生成 406 个查询语句</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主数据源口径</w:t>
            </w:r>
          </w:p>
        </w:tc>
        <w:tc>
          <w:tcPr>
            <w:tcW w:type="dxa" w:w="3135"/>
            <w:vAlign w:val="center"/>
          </w:tcPr>
          <w:p>
            <w:pPr>
              <w:spacing w:after="0"/>
              <w:jc w:val="left"/>
            </w:pPr>
            <w:r>
              <w:rPr/>
            </w:r>
            <w:r>
              <w:rPr/>
              <w:t>报表明细按主数据源收敛返回</w:t>
            </w:r>
          </w:p>
        </w:tc>
        <w:tc>
          <w:tcPr>
            <w:tcW w:type="dxa" w:w="3135"/>
            <w:vAlign w:val="center"/>
          </w:tcPr>
          <w:p>
            <w:pPr>
              <w:spacing w:after="0"/>
              <w:jc w:val="left"/>
            </w:pPr>
            <w:r>
              <w:rPr/>
            </w:r>
            <w:r>
              <w:rPr/>
              <w:t>通过</w:t>
            </w:r>
          </w:p>
        </w:tc>
      </w:tr>
      <w:tr>
        <w:tc>
          <w:tcPr>
            <w:tcW w:type="dxa" w:w="3135"/>
            <w:vAlign w:val="center"/>
          </w:tcPr>
          <w:p>
            <w:pPr>
              <w:spacing w:after="0"/>
              <w:jc w:val="left"/>
            </w:pPr>
            <w:r>
              <w:rPr/>
              <w:t>公司域与页面资源</w:t>
            </w:r>
          </w:p>
        </w:tc>
        <w:tc>
          <w:tcPr>
            <w:tcW w:type="dxa" w:w="3135"/>
            <w:vAlign w:val="center"/>
          </w:tcPr>
          <w:p>
            <w:pPr>
              <w:spacing w:after="0"/>
              <w:jc w:val="left"/>
            </w:pPr>
            <w:r>
              <w:rPr/>
              <w:t>公司域接口、业主资料库页面、监理日志接口、监理总结接口和报表接口资源可正常编译或加载</w:t>
            </w:r>
          </w:p>
        </w:tc>
        <w:tc>
          <w:tcPr>
            <w:tcW w:type="dxa" w:w="3135"/>
            <w:vAlign w:val="center"/>
          </w:tcPr>
          <w:p>
            <w:pPr>
              <w:spacing w:after="0"/>
              <w:jc w:val="left"/>
            </w:pPr>
            <w:r>
              <w:rPr/>
              <w:t>通过</w:t>
            </w:r>
          </w:p>
        </w:tc>
      </w:tr>
    </w:tbl>
    <w:p/>
    <w:p>
      <w:pPr>
        <w:pStyle w:val="Heading3"/>
        <w:spacing w:before="80" w:after="120"/>
      </w:pPr>
      <w:r>
        <w:rPr>
          <w:rFonts w:ascii="黑体" w:hAnsi="黑体" w:eastAsia="黑体"/>
          <w:b/>
          <w:sz w:val="28"/>
        </w:rPr>
        <w:t>4.2 接口联调结果</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351"/>
        <w:gridCol w:w="2351"/>
        <w:gridCol w:w="2351"/>
        <w:gridCol w:w="2351"/>
      </w:tblGrid>
      <w:tr>
        <w:tc>
          <w:tcPr>
            <w:tcW w:type="dxa" w:w="2351"/>
            <w:shd w:fill="D9EAF7"/>
          </w:tcPr>
          <w:p>
            <w:pPr>
              <w:spacing w:after="0"/>
              <w:jc w:val="center"/>
            </w:pPr>
            <w:r/>
            <w:r>
              <w:rPr>
                <w:rFonts w:ascii="宋体" w:hAnsi="宋体" w:eastAsia="宋体"/>
                <w:b/>
                <w:sz w:val="21"/>
              </w:rPr>
              <w:t>接口</w:t>
            </w:r>
          </w:p>
        </w:tc>
        <w:tc>
          <w:tcPr>
            <w:tcW w:type="dxa" w:w="2351"/>
            <w:shd w:fill="D9EAF7"/>
          </w:tcPr>
          <w:p>
            <w:pPr>
              <w:spacing w:after="0"/>
              <w:jc w:val="center"/>
            </w:pPr>
            <w:r/>
            <w:r>
              <w:rPr>
                <w:rFonts w:ascii="宋体" w:hAnsi="宋体" w:eastAsia="宋体"/>
                <w:b/>
                <w:sz w:val="21"/>
              </w:rPr>
              <w:t>响应文件</w:t>
            </w:r>
          </w:p>
        </w:tc>
        <w:tc>
          <w:tcPr>
            <w:tcW w:type="dxa" w:w="2351"/>
            <w:shd w:fill="D9EAF7"/>
          </w:tcPr>
          <w:p>
            <w:pPr>
              <w:spacing w:after="0"/>
              <w:jc w:val="center"/>
            </w:pPr>
            <w:r/>
            <w:r>
              <w:rPr>
                <w:rFonts w:ascii="宋体" w:hAnsi="宋体" w:eastAsia="宋体"/>
                <w:b/>
                <w:sz w:val="21"/>
              </w:rPr>
              <w:t>实际结果</w:t>
            </w:r>
          </w:p>
        </w:tc>
        <w:tc>
          <w:tcPr>
            <w:tcW w:type="dxa" w:w="2351"/>
            <w:shd w:fill="D9EAF7"/>
          </w:tcPr>
          <w:p>
            <w:pPr>
              <w:spacing w:after="0"/>
              <w:jc w:val="center"/>
            </w:pPr>
            <w:r/>
            <w:r>
              <w:rPr>
                <w:rFonts w:ascii="宋体" w:hAnsi="宋体" w:eastAsia="宋体"/>
                <w:b/>
                <w:sz w:val="21"/>
              </w:rPr>
              <w:t>结论</w:t>
            </w:r>
          </w:p>
        </w:tc>
      </w:tr>
      <w:tr>
        <w:tc>
          <w:tcPr>
            <w:tcW w:type="dxa" w:w="2351"/>
            <w:vAlign w:val="center"/>
          </w:tcPr>
          <w:p>
            <w:pPr>
              <w:spacing w:after="0"/>
              <w:jc w:val="left"/>
            </w:pPr>
            <w:r>
              <w:rPr/>
            </w:r>
            <w:r>
              <w:rPr/>
              <w:t>项目文档目录版本明细</w:t>
            </w:r>
          </w:p>
        </w:tc>
        <w:tc>
          <w:tcPr>
            <w:tcW w:type="dxa" w:w="2351"/>
            <w:vAlign w:val="center"/>
          </w:tcPr>
          <w:p>
            <w:pPr>
              <w:spacing w:after="0"/>
              <w:jc w:val="left"/>
            </w:pPr>
            <w:r>
              <w:rPr/>
            </w:r>
            <w:r>
              <w:rPr/>
              <w:t>test/test01.json</w:t>
            </w:r>
          </w:p>
        </w:tc>
        <w:tc>
          <w:tcPr>
            <w:tcW w:type="dxa" w:w="2351"/>
            <w:vAlign w:val="center"/>
          </w:tcPr>
          <w:p>
            <w:pPr>
              <w:spacing w:after="0"/>
              <w:jc w:val="left"/>
            </w:pPr>
            <w:r>
              <w:rPr/>
            </w:r>
            <w:r>
              <w:rPr/>
              <w:t>返回 90 条版本记录、2674 条目录行，当前版 42 条、历史版 48 条</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项目文档报表明细</w:t>
            </w:r>
          </w:p>
        </w:tc>
        <w:tc>
          <w:tcPr>
            <w:tcW w:type="dxa" w:w="2351"/>
            <w:vAlign w:val="center"/>
          </w:tcPr>
          <w:p>
            <w:pPr>
              <w:spacing w:after="0"/>
              <w:jc w:val="left"/>
            </w:pPr>
            <w:r>
              <w:rPr/>
            </w:r>
            <w:r>
              <w:rPr/>
              <w:t>test/test02.json、test/test03.json、test/test04.json、test/test05.json</w:t>
            </w:r>
          </w:p>
        </w:tc>
        <w:tc>
          <w:tcPr>
            <w:tcW w:type="dxa" w:w="2351"/>
            <w:vAlign w:val="center"/>
          </w:tcPr>
          <w:p>
            <w:pPr>
              <w:spacing w:after="0"/>
              <w:jc w:val="left"/>
            </w:pPr>
            <w:r>
              <w:rPr/>
            </w:r>
            <w:r>
              <w:rPr/>
              <w:t>覆盖 8 当前版、11 当前版、14 当前版、3 历史版，均返回 code=00000</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项目交底历史与有效版本明细</w:t>
            </w:r>
          </w:p>
        </w:tc>
        <w:tc>
          <w:tcPr>
            <w:tcW w:type="dxa" w:w="2351"/>
            <w:vAlign w:val="center"/>
          </w:tcPr>
          <w:p>
            <w:pPr>
              <w:spacing w:after="0"/>
              <w:jc w:val="left"/>
            </w:pPr>
            <w:r>
              <w:rPr/>
            </w:r>
            <w:r>
              <w:rPr/>
              <w:t>test-1/*.json</w:t>
            </w:r>
          </w:p>
        </w:tc>
        <w:tc>
          <w:tcPr>
            <w:tcW w:type="dxa" w:w="2351"/>
            <w:vAlign w:val="center"/>
          </w:tcPr>
          <w:p>
            <w:pPr>
              <w:spacing w:after="0"/>
              <w:jc w:val="left"/>
            </w:pPr>
            <w:r>
              <w:rPr/>
            </w:r>
            <w:r>
              <w:rPr/>
              <w:t>多组样本返回 2 条、2 条、3 条、10 条交底记录，设备、要求、备注、附件结构完整</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项目人员交接明细</w:t>
            </w:r>
          </w:p>
        </w:tc>
        <w:tc>
          <w:tcPr>
            <w:tcW w:type="dxa" w:w="2351"/>
            <w:vAlign w:val="center"/>
          </w:tcPr>
          <w:p>
            <w:pPr>
              <w:spacing w:after="0"/>
              <w:jc w:val="left"/>
            </w:pPr>
            <w:r>
              <w:rPr/>
            </w:r>
            <w:r>
              <w:rPr/>
              <w:t>test-2/*.json</w:t>
            </w:r>
          </w:p>
        </w:tc>
        <w:tc>
          <w:tcPr>
            <w:tcW w:type="dxa" w:w="2351"/>
            <w:vAlign w:val="center"/>
          </w:tcPr>
          <w:p>
            <w:pPr>
              <w:spacing w:after="0"/>
              <w:jc w:val="left"/>
            </w:pPr>
            <w:r>
              <w:rPr/>
            </w:r>
            <w:r>
              <w:rPr/>
              <w:t>返回 2 条、1 条交接记录，资料清单和设备进度明细正常</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项目到岗明细</w:t>
            </w:r>
          </w:p>
        </w:tc>
        <w:tc>
          <w:tcPr>
            <w:tcW w:type="dxa" w:w="2351"/>
            <w:vAlign w:val="center"/>
          </w:tcPr>
          <w:p>
            <w:pPr>
              <w:spacing w:after="0"/>
              <w:jc w:val="left"/>
            </w:pPr>
            <w:r>
              <w:rPr/>
            </w:r>
            <w:r>
              <w:rPr/>
              <w:t>test-5/*.json</w:t>
            </w:r>
          </w:p>
        </w:tc>
        <w:tc>
          <w:tcPr>
            <w:tcW w:type="dxa" w:w="2351"/>
            <w:vAlign w:val="center"/>
          </w:tcPr>
          <w:p>
            <w:pPr>
              <w:spacing w:after="0"/>
              <w:jc w:val="left"/>
            </w:pPr>
            <w:r>
              <w:rPr/>
            </w:r>
            <w:r>
              <w:rPr/>
              <w:t>返回 51 条、4 条、3 条到岗和执行状态记录</w:t>
            </w:r>
          </w:p>
        </w:tc>
        <w:tc>
          <w:tcPr>
            <w:tcW w:type="dxa" w:w="2351"/>
            <w:vAlign w:val="center"/>
          </w:tcPr>
          <w:p>
            <w:pPr>
              <w:spacing w:after="0"/>
              <w:jc w:val="left"/>
            </w:pPr>
            <w:r>
              <w:rPr/>
            </w:r>
            <w:r>
              <w:rPr/>
              <w:t>通过</w:t>
            </w:r>
          </w:p>
        </w:tc>
      </w:tr>
      <w:tr>
        <w:tc>
          <w:tcPr>
            <w:tcW w:type="dxa" w:w="2351"/>
            <w:vAlign w:val="center"/>
          </w:tcPr>
          <w:p>
            <w:pPr>
              <w:spacing w:after="0"/>
              <w:jc w:val="left"/>
            </w:pPr>
            <w:r>
              <w:rPr/>
            </w:r>
            <w:r>
              <w:rPr/>
              <w:t>项目设备申请明细</w:t>
            </w:r>
          </w:p>
        </w:tc>
        <w:tc>
          <w:tcPr>
            <w:tcW w:type="dxa" w:w="2351"/>
            <w:vAlign w:val="center"/>
          </w:tcPr>
          <w:p>
            <w:pPr>
              <w:spacing w:after="0"/>
              <w:jc w:val="left"/>
            </w:pPr>
            <w:r>
              <w:rPr/>
            </w:r>
            <w:r>
              <w:rPr/>
              <w:t>test-4/*.json</w:t>
            </w:r>
          </w:p>
        </w:tc>
        <w:tc>
          <w:tcPr>
            <w:tcW w:type="dxa" w:w="2351"/>
            <w:vAlign w:val="center"/>
          </w:tcPr>
          <w:p>
            <w:pPr>
              <w:spacing w:after="0"/>
              <w:jc w:val="left"/>
            </w:pPr>
            <w:r>
              <w:rPr/>
            </w:r>
            <w:r>
              <w:rPr/>
              <w:t>返回 2 条、1 条设备申请记录，设备明细正常</w:t>
            </w:r>
          </w:p>
        </w:tc>
        <w:tc>
          <w:tcPr>
            <w:tcW w:type="dxa" w:w="2351"/>
            <w:vAlign w:val="center"/>
          </w:tcPr>
          <w:p>
            <w:pPr>
              <w:spacing w:after="0"/>
              <w:jc w:val="left"/>
            </w:pPr>
            <w:r>
              <w:rPr/>
            </w:r>
            <w:r>
              <w:rPr/>
              <w:t>通过</w:t>
            </w:r>
          </w:p>
        </w:tc>
      </w:tr>
      <w:tr>
        <w:tc>
          <w:tcPr>
            <w:tcW w:type="dxa" w:w="2351"/>
            <w:vAlign w:val="center"/>
          </w:tcPr>
          <w:p>
            <w:pPr>
              <w:spacing w:after="0"/>
              <w:jc w:val="left"/>
            </w:pPr>
            <w:r>
              <w:rPr/>
              <w:t>公司检验主管与公司域台账</w:t>
            </w:r>
          </w:p>
        </w:tc>
        <w:tc>
          <w:tcPr>
            <w:tcW w:type="dxa" w:w="2351"/>
            <w:vAlign w:val="center"/>
          </w:tcPr>
          <w:p>
            <w:pPr>
              <w:spacing w:after="0"/>
              <w:jc w:val="left"/>
            </w:pPr>
            <w:r>
              <w:rPr/>
              <w:t>Tenant-Id 维度检验主管查询、附件上传、台账保存、修改、五环删除及历史追溯链路完整</w:t>
            </w:r>
          </w:p>
        </w:tc>
        <w:tc>
          <w:tcPr>
            <w:tcW w:type="dxa" w:w="2351"/>
            <w:vAlign w:val="center"/>
          </w:tcPr>
          <w:p>
            <w:pPr>
              <w:spacing w:after="0"/>
              <w:jc w:val="left"/>
            </w:pPr>
            <w:r>
              <w:rPr/>
              <w:t>通过</w:t>
            </w:r>
          </w:p>
        </w:tc>
        <w:tc>
          <w:tcPr>
            <w:tcW w:type="dxa" w:w="2351"/>
            <w:vAlign w:val="center"/>
          </w:tcPr>
          <w:p>
            <w:pPr>
              <w:spacing w:after="0"/>
              <w:jc w:val="left"/>
            </w:pPr>
            <w:r>
              <w:rPr/>
            </w:r>
          </w:p>
        </w:tc>
      </w:tr>
      <w:tr>
        <w:tc>
          <w:tcPr>
            <w:tcW w:type="dxa" w:w="2351"/>
            <w:vAlign w:val="center"/>
          </w:tcPr>
          <w:p>
            <w:pPr>
              <w:spacing w:after="0"/>
              <w:jc w:val="left"/>
            </w:pPr>
            <w:r>
              <w:rPr/>
              <w:t>业主资料库页面与导出</w:t>
            </w:r>
          </w:p>
        </w:tc>
        <w:tc>
          <w:tcPr>
            <w:tcW w:type="dxa" w:w="2351"/>
            <w:vAlign w:val="center"/>
          </w:tcPr>
          <w:p>
            <w:pPr>
              <w:spacing w:after="0"/>
              <w:jc w:val="left"/>
            </w:pPr>
            <w:r>
              <w:rPr/>
              <w:t>列表展示、状态识别、详情查看、历史追溯和资料导出链路完整</w:t>
            </w:r>
          </w:p>
        </w:tc>
        <w:tc>
          <w:tcPr>
            <w:tcW w:type="dxa" w:w="2351"/>
            <w:vAlign w:val="center"/>
          </w:tcPr>
          <w:p>
            <w:pPr>
              <w:spacing w:after="0"/>
              <w:jc w:val="left"/>
            </w:pPr>
            <w:r>
              <w:rPr/>
              <w:t>通过</w:t>
            </w:r>
          </w:p>
        </w:tc>
        <w:tc>
          <w:tcPr>
            <w:tcW w:type="dxa" w:w="2351"/>
            <w:vAlign w:val="center"/>
          </w:tcPr>
          <w:p>
            <w:pPr>
              <w:spacing w:after="0"/>
              <w:jc w:val="left"/>
            </w:pPr>
            <w:r>
              <w:rPr/>
            </w:r>
          </w:p>
        </w:tc>
      </w:tr>
      <w:tr>
        <w:tc>
          <w:tcPr>
            <w:tcW w:type="dxa" w:w="2351"/>
            <w:vAlign w:val="center"/>
          </w:tcPr>
          <w:p>
            <w:pPr>
              <w:spacing w:after="0"/>
              <w:jc w:val="left"/>
            </w:pPr>
            <w:r>
              <w:rPr/>
              <w:t>监理日志与报表查询</w:t>
            </w:r>
          </w:p>
        </w:tc>
        <w:tc>
          <w:tcPr>
            <w:tcW w:type="dxa" w:w="2351"/>
            <w:vAlign w:val="center"/>
          </w:tcPr>
          <w:p>
            <w:pPr>
              <w:spacing w:after="0"/>
              <w:jc w:val="left"/>
            </w:pPr>
            <w:r>
              <w:rPr/>
              <w:t>按日期详情、固定表单报表和日周月报查询结果稳定</w:t>
            </w:r>
          </w:p>
        </w:tc>
        <w:tc>
          <w:tcPr>
            <w:tcW w:type="dxa" w:w="2351"/>
            <w:vAlign w:val="center"/>
          </w:tcPr>
          <w:p>
            <w:pPr>
              <w:spacing w:after="0"/>
              <w:jc w:val="left"/>
            </w:pPr>
            <w:r>
              <w:rPr/>
              <w:t>通过</w:t>
            </w:r>
          </w:p>
        </w:tc>
        <w:tc>
          <w:tcPr>
            <w:tcW w:type="dxa" w:w="2351"/>
            <w:vAlign w:val="center"/>
          </w:tcPr>
          <w:p>
            <w:pPr>
              <w:spacing w:after="0"/>
              <w:jc w:val="left"/>
            </w:pPr>
            <w:r>
              <w:rPr/>
            </w:r>
          </w:p>
        </w:tc>
      </w:tr>
      <w:tr>
        <w:tc>
          <w:tcPr>
            <w:tcW w:type="dxa" w:w="2351"/>
            <w:vAlign w:val="center"/>
          </w:tcPr>
          <w:p>
            <w:pPr>
              <w:spacing w:after="0"/>
              <w:jc w:val="left"/>
            </w:pPr>
            <w:r>
              <w:rPr/>
              <w:t>监理总结版本查询</w:t>
            </w:r>
          </w:p>
        </w:tc>
        <w:tc>
          <w:tcPr>
            <w:tcW w:type="dxa" w:w="2351"/>
            <w:vAlign w:val="center"/>
          </w:tcPr>
          <w:p>
            <w:pPr>
              <w:spacing w:after="0"/>
              <w:jc w:val="left"/>
            </w:pPr>
            <w:r>
              <w:rPr/>
              <w:t>可按项目与派单返回当前版本、历史版本及配套报表主数据、设备清单</w:t>
            </w:r>
          </w:p>
        </w:tc>
        <w:tc>
          <w:tcPr>
            <w:tcW w:type="dxa" w:w="2351"/>
            <w:vAlign w:val="center"/>
          </w:tcPr>
          <w:p>
            <w:pPr>
              <w:spacing w:after="0"/>
              <w:jc w:val="left"/>
            </w:pPr>
            <w:r>
              <w:rPr/>
              <w:t>通过</w:t>
            </w:r>
          </w:p>
        </w:tc>
        <w:tc>
          <w:tcPr>
            <w:tcW w:type="dxa" w:w="2351"/>
            <w:vAlign w:val="center"/>
          </w:tcPr>
          <w:p>
            <w:pPr>
              <w:spacing w:after="0"/>
              <w:jc w:val="left"/>
            </w:pPr>
            <w:r>
              <w:rPr/>
            </w:r>
          </w:p>
        </w:tc>
      </w:tr>
    </w:tbl>
    <w:p/>
    <w:p>
      <w:pPr>
        <w:pStyle w:val="Heading3"/>
        <w:spacing w:before="80" w:after="120"/>
      </w:pPr>
      <w:r>
        <w:rPr>
          <w:rFonts w:ascii="黑体" w:hAnsi="黑体" w:eastAsia="黑体"/>
          <w:b/>
          <w:sz w:val="28"/>
        </w:rPr>
        <w:t>4.3 鉴权与权限验收</w:t>
      </w:r>
    </w:p>
    <w:p>
      <w:pPr>
        <w:spacing w:line="300" w:lineRule="auto" w:after="80"/>
      </w:pPr>
      <w:r>
        <w:rPr>
          <w:rFonts w:ascii="宋体" w:hAnsi="宋体" w:eastAsia="宋体"/>
          <w:b w:val="0"/>
          <w:sz w:val="24"/>
        </w:rPr>
        <w:t>接口请求头口径已明确为：</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请求头</w:t>
            </w:r>
          </w:p>
        </w:tc>
        <w:tc>
          <w:tcPr>
            <w:tcW w:type="dxa" w:w="3135"/>
            <w:shd w:fill="D9EAF7"/>
          </w:tcPr>
          <w:p>
            <w:pPr>
              <w:spacing w:after="0"/>
              <w:jc w:val="center"/>
            </w:pPr>
            <w:r/>
            <w:r>
              <w:rPr>
                <w:rFonts w:ascii="宋体" w:hAnsi="宋体" w:eastAsia="宋体"/>
                <w:b/>
                <w:sz w:val="21"/>
              </w:rPr>
              <w:t>用途</w:t>
            </w:r>
          </w:p>
        </w:tc>
        <w:tc>
          <w:tcPr>
            <w:tcW w:type="dxa" w:w="3135"/>
            <w:shd w:fill="D9EAF7"/>
          </w:tcPr>
          <w:p>
            <w:pPr>
              <w:spacing w:after="0"/>
              <w:jc w:val="center"/>
            </w:pPr>
            <w:r/>
            <w:r>
              <w:rPr>
                <w:rFonts w:ascii="宋体" w:hAnsi="宋体" w:eastAsia="宋体"/>
                <w:b/>
                <w:sz w:val="21"/>
              </w:rPr>
              <w:t>验收结果</w:t>
            </w:r>
          </w:p>
        </w:tc>
      </w:tr>
      <w:tr>
        <w:tc>
          <w:tcPr>
            <w:tcW w:type="dxa" w:w="3135"/>
            <w:vAlign w:val="center"/>
          </w:tcPr>
          <w:p>
            <w:pPr>
              <w:spacing w:after="0"/>
              <w:jc w:val="left"/>
            </w:pPr>
            <w:r>
              <w:rPr/>
            </w:r>
            <w:r>
              <w:rPr/>
              <w:t>Content-Type: application/json</w:t>
            </w:r>
          </w:p>
        </w:tc>
        <w:tc>
          <w:tcPr>
            <w:tcW w:type="dxa" w:w="3135"/>
            <w:vAlign w:val="center"/>
          </w:tcPr>
          <w:p>
            <w:pPr>
              <w:spacing w:after="0"/>
              <w:jc w:val="left"/>
            </w:pPr>
            <w:r>
              <w:rPr/>
            </w:r>
            <w:r>
              <w:rPr/>
              <w:t>指定 JSON 请求体</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X-API-Key</w:t>
            </w:r>
          </w:p>
        </w:tc>
        <w:tc>
          <w:tcPr>
            <w:tcW w:type="dxa" w:w="3135"/>
            <w:vAlign w:val="center"/>
          </w:tcPr>
          <w:p>
            <w:pPr>
              <w:spacing w:after="0"/>
              <w:jc w:val="left"/>
            </w:pPr>
            <w:r>
              <w:rPr/>
            </w:r>
            <w:r>
              <w:rPr/>
              <w:t>开放接口鉴权</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Permission-Project-Ids</w:t>
            </w:r>
          </w:p>
        </w:tc>
        <w:tc>
          <w:tcPr>
            <w:tcW w:type="dxa" w:w="3135"/>
            <w:vAlign w:val="center"/>
          </w:tcPr>
          <w:p>
            <w:pPr>
              <w:spacing w:after="0"/>
              <w:jc w:val="left"/>
            </w:pPr>
            <w:r>
              <w:rPr/>
            </w:r>
            <w:r>
              <w:rPr/>
              <w:t>项目权限范围控制</w:t>
            </w:r>
          </w:p>
        </w:tc>
        <w:tc>
          <w:tcPr>
            <w:tcW w:type="dxa" w:w="3135"/>
            <w:vAlign w:val="center"/>
          </w:tcPr>
          <w:p>
            <w:pPr>
              <w:spacing w:after="0"/>
              <w:jc w:val="left"/>
            </w:pPr>
            <w:r>
              <w:rPr/>
            </w:r>
            <w:r>
              <w:rPr/>
              <w:t>通过</w:t>
            </w:r>
          </w:p>
        </w:tc>
      </w:tr>
      <w:tr>
        <w:tc>
          <w:tcPr>
            <w:tcW w:type="dxa" w:w="3135"/>
            <w:vAlign w:val="center"/>
          </w:tcPr>
          <w:p>
            <w:pPr>
              <w:spacing w:after="0"/>
              <w:jc w:val="left"/>
            </w:pPr>
            <w:r>
              <w:rPr/>
              <w:t>Tenant-Id</w:t>
            </w:r>
          </w:p>
        </w:tc>
        <w:tc>
          <w:tcPr>
            <w:tcW w:type="dxa" w:w="3135"/>
            <w:vAlign w:val="center"/>
          </w:tcPr>
          <w:p>
            <w:pPr>
              <w:spacing w:after="0"/>
              <w:jc w:val="left"/>
            </w:pPr>
            <w:r>
              <w:rPr/>
              <w:t>公司域接口数据来源范围控制</w:t>
            </w:r>
          </w:p>
        </w:tc>
        <w:tc>
          <w:tcPr>
            <w:tcW w:type="dxa" w:w="3135"/>
            <w:vAlign w:val="center"/>
          </w:tcPr>
          <w:p>
            <w:pPr>
              <w:spacing w:after="0"/>
              <w:jc w:val="left"/>
            </w:pPr>
            <w:r>
              <w:rPr/>
              <w:t>通过</w:t>
            </w:r>
          </w:p>
        </w:tc>
      </w:tr>
    </w:tbl>
    <w:p/>
    <w:p>
      <w:pPr>
        <w:spacing w:line="300" w:lineRule="auto" w:after="80"/>
      </w:pPr>
      <w:r>
        <w:rPr>
          <w:rFonts w:ascii="宋体" w:hAnsi="宋体" w:eastAsia="宋体"/>
          <w:b w:val="0"/>
          <w:sz w:val="24"/>
        </w:rPr>
        <w:t>验收结果：开放接口调用具备统一鉴权和项目权限控制口径，未授权项目不得返回业务数据，符合对外接口安全要求。</w:t>
      </w:r>
    </w:p>
    <w:p>
      <w:pPr>
        <w:pStyle w:val="Heading3"/>
        <w:spacing w:before="80" w:after="120"/>
      </w:pPr>
      <w:r>
        <w:rPr>
          <w:rFonts w:ascii="黑体" w:hAnsi="黑体" w:eastAsia="黑体"/>
          <w:b/>
          <w:sz w:val="28"/>
        </w:rPr>
        <w:t>4.4 参数与业务规则验收</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验收项</w:t>
            </w:r>
          </w:p>
        </w:tc>
        <w:tc>
          <w:tcPr>
            <w:tcW w:type="dxa" w:w="3135"/>
            <w:shd w:fill="D9EAF7"/>
          </w:tcPr>
          <w:p>
            <w:pPr>
              <w:spacing w:after="0"/>
              <w:jc w:val="center"/>
            </w:pPr>
            <w:r/>
            <w:r>
              <w:rPr>
                <w:rFonts w:ascii="宋体" w:hAnsi="宋体" w:eastAsia="宋体"/>
                <w:b/>
                <w:sz w:val="21"/>
              </w:rPr>
              <w:t>实际结果</w:t>
            </w:r>
          </w:p>
        </w:tc>
        <w:tc>
          <w:tcPr>
            <w:tcW w:type="dxa" w:w="3135"/>
            <w:shd w:fill="D9EAF7"/>
          </w:tcPr>
          <w:p>
            <w:pPr>
              <w:spacing w:after="0"/>
              <w:jc w:val="center"/>
            </w:pPr>
            <w:r/>
            <w:r>
              <w:rPr>
                <w:rFonts w:ascii="宋体" w:hAnsi="宋体" w:eastAsia="宋体"/>
                <w:b/>
                <w:sz w:val="21"/>
              </w:rPr>
              <w:t>结论</w:t>
            </w:r>
          </w:p>
        </w:tc>
      </w:tr>
      <w:tr>
        <w:tc>
          <w:tcPr>
            <w:tcW w:type="dxa" w:w="3135"/>
            <w:vAlign w:val="center"/>
          </w:tcPr>
          <w:p>
            <w:pPr>
              <w:spacing w:after="0"/>
              <w:jc w:val="left"/>
            </w:pPr>
            <w:r>
              <w:rPr/>
            </w:r>
            <w:r>
              <w:rPr/>
              <w:t>项目 ID 校验</w:t>
            </w:r>
          </w:p>
        </w:tc>
        <w:tc>
          <w:tcPr>
            <w:tcW w:type="dxa" w:w="3135"/>
            <w:vAlign w:val="center"/>
          </w:tcPr>
          <w:p>
            <w:pPr>
              <w:spacing w:after="0"/>
              <w:jc w:val="left"/>
            </w:pPr>
            <w:r>
              <w:rPr/>
            </w:r>
            <w:r>
              <w:rPr/>
              <w:t>项目级接口以 projectId 作为必填查询和权限校验条件</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派单 ID 校验</w:t>
            </w:r>
          </w:p>
        </w:tc>
        <w:tc>
          <w:tcPr>
            <w:tcW w:type="dxa" w:w="3135"/>
            <w:vAlign w:val="center"/>
          </w:tcPr>
          <w:p>
            <w:pPr>
              <w:spacing w:after="0"/>
              <w:jc w:val="left"/>
            </w:pPr>
            <w:r>
              <w:rPr/>
            </w:r>
            <w:r>
              <w:rPr/>
              <w:t>传入派单 ID 时按项目和派单关系进行查询</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文档类型</w:t>
            </w:r>
          </w:p>
        </w:tc>
        <w:tc>
          <w:tcPr>
            <w:tcW w:type="dxa" w:w="3135"/>
            <w:vAlign w:val="center"/>
          </w:tcPr>
          <w:p>
            <w:pPr>
              <w:spacing w:after="0"/>
              <w:jc w:val="left"/>
            </w:pPr>
            <w:r>
              <w:rPr/>
            </w:r>
            <w:r>
              <w:rPr/>
              <w:t>报表明细支持监理实施细则、监理报告、监理大纲、统计报表</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历史版本定位</w:t>
            </w:r>
          </w:p>
        </w:tc>
        <w:tc>
          <w:tcPr>
            <w:tcW w:type="dxa" w:w="3135"/>
            <w:vAlign w:val="center"/>
          </w:tcPr>
          <w:p>
            <w:pPr>
              <w:spacing w:after="0"/>
              <w:jc w:val="left"/>
            </w:pPr>
            <w:r>
              <w:rPr/>
            </w:r>
            <w:r>
              <w:rPr/>
              <w:t>历史版文档必须按 ver + submitTime 定位</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空数据口径</w:t>
            </w:r>
          </w:p>
        </w:tc>
        <w:tc>
          <w:tcPr>
            <w:tcW w:type="dxa" w:w="3135"/>
            <w:vAlign w:val="center"/>
          </w:tcPr>
          <w:p>
            <w:pPr>
              <w:spacing w:after="0"/>
              <w:jc w:val="left"/>
            </w:pPr>
            <w:r>
              <w:rPr/>
            </w:r>
            <w:r>
              <w:rPr/>
              <w:t>明细为空时返回空数组或空明细结构，不产生系统异常</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嵌套明细</w:t>
            </w:r>
          </w:p>
        </w:tc>
        <w:tc>
          <w:tcPr>
            <w:tcW w:type="dxa" w:w="3135"/>
            <w:vAlign w:val="center"/>
          </w:tcPr>
          <w:p>
            <w:pPr>
              <w:spacing w:after="0"/>
              <w:jc w:val="left"/>
            </w:pPr>
            <w:r>
              <w:rPr/>
            </w:r>
            <w:r>
              <w:rPr/>
              <w:t>交底、交接、设备申请等接口主从结构稳定</w:t>
            </w:r>
          </w:p>
        </w:tc>
        <w:tc>
          <w:tcPr>
            <w:tcW w:type="dxa" w:w="3135"/>
            <w:vAlign w:val="center"/>
          </w:tcPr>
          <w:p>
            <w:pPr>
              <w:spacing w:after="0"/>
              <w:jc w:val="left"/>
            </w:pPr>
            <w:r>
              <w:rPr/>
            </w:r>
            <w:r>
              <w:rPr/>
              <w:t>通过</w:t>
            </w:r>
          </w:p>
        </w:tc>
      </w:tr>
      <w:tr>
        <w:tc>
          <w:tcPr>
            <w:tcW w:type="dxa" w:w="3135"/>
            <w:vAlign w:val="center"/>
          </w:tcPr>
          <w:p>
            <w:pPr>
              <w:spacing w:after="0"/>
              <w:jc w:val="left"/>
            </w:pPr>
            <w:r>
              <w:rPr/>
              <w:t>Tenant-Id 数据隔离</w:t>
            </w:r>
          </w:p>
        </w:tc>
        <w:tc>
          <w:tcPr>
            <w:tcW w:type="dxa" w:w="3135"/>
            <w:vAlign w:val="center"/>
          </w:tcPr>
          <w:p>
            <w:pPr>
              <w:spacing w:after="0"/>
              <w:jc w:val="left"/>
            </w:pPr>
            <w:r>
              <w:rPr/>
              <w:t>公司域接口按 Tenant-Id 控制公司数据范围</w:t>
            </w:r>
          </w:p>
        </w:tc>
        <w:tc>
          <w:tcPr>
            <w:tcW w:type="dxa" w:w="3135"/>
            <w:vAlign w:val="center"/>
          </w:tcPr>
          <w:p>
            <w:pPr>
              <w:spacing w:after="0"/>
              <w:jc w:val="left"/>
            </w:pPr>
            <w:r>
              <w:rPr/>
              <w:t>通过</w:t>
            </w:r>
          </w:p>
        </w:tc>
      </w:tr>
      <w:tr>
        <w:tc>
          <w:tcPr>
            <w:tcW w:type="dxa" w:w="3135"/>
            <w:vAlign w:val="center"/>
          </w:tcPr>
          <w:p>
            <w:pPr>
              <w:spacing w:after="0"/>
              <w:jc w:val="left"/>
            </w:pPr>
            <w:r>
              <w:rPr/>
              <w:t>五环删除状态规则</w:t>
            </w:r>
          </w:p>
        </w:tc>
        <w:tc>
          <w:tcPr>
            <w:tcW w:type="dxa" w:w="3135"/>
            <w:vAlign w:val="center"/>
          </w:tcPr>
          <w:p>
            <w:pPr>
              <w:spacing w:after="0"/>
              <w:jc w:val="left"/>
            </w:pPr>
            <w:r>
              <w:rPr/>
              <w:t>五环删除后保留当前数据、附件关系并形成历史快照</w:t>
            </w:r>
          </w:p>
        </w:tc>
        <w:tc>
          <w:tcPr>
            <w:tcW w:type="dxa" w:w="3135"/>
            <w:vAlign w:val="center"/>
          </w:tcPr>
          <w:p>
            <w:pPr>
              <w:spacing w:after="0"/>
              <w:jc w:val="left"/>
            </w:pPr>
            <w:r>
              <w:rPr/>
              <w:t>通过</w:t>
            </w:r>
          </w:p>
        </w:tc>
      </w:tr>
      <w:tr>
        <w:tc>
          <w:tcPr>
            <w:tcW w:type="dxa" w:w="3135"/>
            <w:vAlign w:val="center"/>
          </w:tcPr>
          <w:p>
            <w:pPr>
              <w:spacing w:after="0"/>
              <w:jc w:val="left"/>
            </w:pPr>
            <w:r>
              <w:rPr/>
              <w:t>版本聚合规则</w:t>
            </w:r>
          </w:p>
        </w:tc>
        <w:tc>
          <w:tcPr>
            <w:tcW w:type="dxa" w:w="3135"/>
            <w:vAlign w:val="center"/>
          </w:tcPr>
          <w:p>
            <w:pPr>
              <w:spacing w:after="0"/>
              <w:jc w:val="left"/>
            </w:pPr>
            <w:r>
              <w:rPr/>
              <w:t>监理总结当前版本与历史版本按版本键聚合报表主数据和设备清单</w:t>
            </w:r>
          </w:p>
        </w:tc>
        <w:tc>
          <w:tcPr>
            <w:tcW w:type="dxa" w:w="3135"/>
            <w:vAlign w:val="center"/>
          </w:tcPr>
          <w:p>
            <w:pPr>
              <w:spacing w:after="0"/>
              <w:jc w:val="left"/>
            </w:pPr>
            <w:r>
              <w:rPr/>
              <w:t>通过</w:t>
            </w:r>
          </w:p>
        </w:tc>
      </w:tr>
      <w:tr>
        <w:tc>
          <w:tcPr>
            <w:tcW w:type="dxa" w:w="3135"/>
            <w:vAlign w:val="center"/>
          </w:tcPr>
          <w:p>
            <w:pPr>
              <w:spacing w:after="0"/>
              <w:jc w:val="left"/>
            </w:pPr>
            <w:r>
              <w:rPr/>
              <w:t>导出归档规则</w:t>
            </w:r>
          </w:p>
        </w:tc>
        <w:tc>
          <w:tcPr>
            <w:tcW w:type="dxa" w:w="3135"/>
            <w:vAlign w:val="center"/>
          </w:tcPr>
          <w:p>
            <w:pPr>
              <w:spacing w:after="0"/>
              <w:jc w:val="left"/>
            </w:pPr>
            <w:r>
              <w:rPr/>
              <w:t>业主资料库当前资料与历史资料导出均可覆盖资料和附件</w:t>
            </w:r>
          </w:p>
        </w:tc>
        <w:tc>
          <w:tcPr>
            <w:tcW w:type="dxa" w:w="3135"/>
            <w:vAlign w:val="center"/>
          </w:tcPr>
          <w:p>
            <w:pPr>
              <w:spacing w:after="0"/>
              <w:jc w:val="left"/>
            </w:pPr>
            <w:r>
              <w:rPr/>
              <w:t>通过</w:t>
            </w:r>
          </w:p>
        </w:tc>
      </w:tr>
    </w:tbl>
    <w:p/>
    <w:p>
      <w:pPr>
        <w:pStyle w:val="Heading3"/>
        <w:spacing w:before="80" w:after="120"/>
      </w:pPr>
      <w:r>
        <w:rPr>
          <w:rFonts w:ascii="黑体" w:hAnsi="黑体" w:eastAsia="黑体"/>
          <w:b/>
          <w:sz w:val="28"/>
        </w:rPr>
        <w:t>4.5 性能与稳定性验收</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验收项</w:t>
            </w:r>
          </w:p>
        </w:tc>
        <w:tc>
          <w:tcPr>
            <w:tcW w:type="dxa" w:w="3135"/>
            <w:shd w:fill="D9EAF7"/>
          </w:tcPr>
          <w:p>
            <w:pPr>
              <w:spacing w:after="0"/>
              <w:jc w:val="center"/>
            </w:pPr>
            <w:r/>
            <w:r>
              <w:rPr>
                <w:rFonts w:ascii="宋体" w:hAnsi="宋体" w:eastAsia="宋体"/>
                <w:b/>
                <w:sz w:val="21"/>
              </w:rPr>
              <w:t>实际结果</w:t>
            </w:r>
          </w:p>
        </w:tc>
        <w:tc>
          <w:tcPr>
            <w:tcW w:type="dxa" w:w="3135"/>
            <w:shd w:fill="D9EAF7"/>
          </w:tcPr>
          <w:p>
            <w:pPr>
              <w:spacing w:after="0"/>
              <w:jc w:val="center"/>
            </w:pPr>
            <w:r/>
            <w:r>
              <w:rPr>
                <w:rFonts w:ascii="宋体" w:hAnsi="宋体" w:eastAsia="宋体"/>
                <w:b/>
                <w:sz w:val="21"/>
              </w:rPr>
              <w:t>结论</w:t>
            </w:r>
          </w:p>
        </w:tc>
      </w:tr>
      <w:tr>
        <w:tc>
          <w:tcPr>
            <w:tcW w:type="dxa" w:w="3135"/>
            <w:vAlign w:val="center"/>
          </w:tcPr>
          <w:p>
            <w:pPr>
              <w:spacing w:after="0"/>
              <w:jc w:val="left"/>
            </w:pPr>
            <w:r>
              <w:rPr/>
            </w:r>
            <w:r>
              <w:rPr/>
              <w:t>大数据量响应</w:t>
            </w:r>
          </w:p>
        </w:tc>
        <w:tc>
          <w:tcPr>
            <w:tcW w:type="dxa" w:w="3135"/>
            <w:vAlign w:val="center"/>
          </w:tcPr>
          <w:p>
            <w:pPr>
              <w:spacing w:after="0"/>
              <w:jc w:val="left"/>
            </w:pPr>
            <w:r>
              <w:rPr/>
            </w:r>
            <w:r>
              <w:rPr/>
              <w:t>文档版本接口返回 2674 条目录行，响应文件约 864KB，成功落盘</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复杂报表响应</w:t>
            </w:r>
          </w:p>
        </w:tc>
        <w:tc>
          <w:tcPr>
            <w:tcW w:type="dxa" w:w="3135"/>
            <w:vAlign w:val="center"/>
          </w:tcPr>
          <w:p>
            <w:pPr>
              <w:spacing w:after="0"/>
              <w:jc w:val="left"/>
            </w:pPr>
            <w:r>
              <w:rPr/>
            </w:r>
            <w:r>
              <w:rPr/>
              <w:t>统计报表明细响应文件约 814KB，6 条目录项报表数据全部非空</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多记录响应</w:t>
            </w:r>
          </w:p>
        </w:tc>
        <w:tc>
          <w:tcPr>
            <w:tcW w:type="dxa" w:w="3135"/>
            <w:vAlign w:val="center"/>
          </w:tcPr>
          <w:p>
            <w:pPr>
              <w:spacing w:after="0"/>
              <w:jc w:val="left"/>
            </w:pPr>
            <w:r>
              <w:rPr/>
            </w:r>
            <w:r>
              <w:rPr/>
              <w:t>到岗接口存在 51 条记录样本，成功返回</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嵌套结构响应</w:t>
            </w:r>
          </w:p>
        </w:tc>
        <w:tc>
          <w:tcPr>
            <w:tcW w:type="dxa" w:w="3135"/>
            <w:vAlign w:val="center"/>
          </w:tcPr>
          <w:p>
            <w:pPr>
              <w:spacing w:after="0"/>
              <w:jc w:val="left"/>
            </w:pPr>
            <w:r>
              <w:rPr/>
            </w:r>
            <w:r>
              <w:rPr/>
              <w:t>交接记录包含 11 条资料清单和 7 条设备进度样本，成功返回</w:t>
            </w:r>
          </w:p>
        </w:tc>
        <w:tc>
          <w:tcPr>
            <w:tcW w:type="dxa" w:w="3135"/>
            <w:vAlign w:val="center"/>
          </w:tcPr>
          <w:p>
            <w:pPr>
              <w:spacing w:after="0"/>
              <w:jc w:val="left"/>
            </w:pPr>
            <w:r>
              <w:rPr/>
            </w:r>
            <w:r>
              <w:rPr/>
              <w:t>通过</w:t>
            </w:r>
          </w:p>
        </w:tc>
      </w:tr>
      <w:tr>
        <w:tc>
          <w:tcPr>
            <w:tcW w:type="dxa" w:w="3135"/>
            <w:vAlign w:val="center"/>
          </w:tcPr>
          <w:p>
            <w:pPr>
              <w:spacing w:after="0"/>
              <w:jc w:val="left"/>
            </w:pPr>
            <w:r>
              <w:rPr/>
            </w:r>
            <w:r>
              <w:rPr/>
              <w:t>连续联调</w:t>
            </w:r>
          </w:p>
        </w:tc>
        <w:tc>
          <w:tcPr>
            <w:tcW w:type="dxa" w:w="3135"/>
            <w:vAlign w:val="center"/>
          </w:tcPr>
          <w:p>
            <w:pPr>
              <w:spacing w:after="0"/>
              <w:jc w:val="left"/>
            </w:pPr>
            <w:r>
              <w:rPr/>
            </w:r>
            <w:r>
              <w:rPr/>
              <w:t>多接口连续联调响应均为 code=00000、msg=SUCCESS</w:t>
            </w:r>
          </w:p>
        </w:tc>
        <w:tc>
          <w:tcPr>
            <w:tcW w:type="dxa" w:w="3135"/>
            <w:vAlign w:val="center"/>
          </w:tcPr>
          <w:p>
            <w:pPr>
              <w:spacing w:after="0"/>
              <w:jc w:val="left"/>
            </w:pPr>
            <w:r>
              <w:rPr/>
            </w:r>
            <w:r>
              <w:rPr/>
              <w:t>通过</w:t>
            </w:r>
          </w:p>
        </w:tc>
      </w:tr>
      <w:tr>
        <w:tc>
          <w:tcPr>
            <w:tcW w:type="dxa" w:w="3135"/>
            <w:vAlign w:val="center"/>
          </w:tcPr>
          <w:p>
            <w:pPr>
              <w:spacing w:after="0"/>
              <w:jc w:val="left"/>
            </w:pPr>
            <w:r>
              <w:rPr/>
              <w:t>公司域台账与导出</w:t>
            </w:r>
          </w:p>
        </w:tc>
        <w:tc>
          <w:tcPr>
            <w:tcW w:type="dxa" w:w="3135"/>
            <w:vAlign w:val="center"/>
          </w:tcPr>
          <w:p>
            <w:pPr>
              <w:spacing w:after="0"/>
              <w:jc w:val="left"/>
            </w:pPr>
            <w:r>
              <w:rPr/>
              <w:t>保存、修改、五环删除、导出和历史追溯链路在连续调用下保持稳定</w:t>
            </w:r>
          </w:p>
        </w:tc>
        <w:tc>
          <w:tcPr>
            <w:tcW w:type="dxa" w:w="3135"/>
            <w:vAlign w:val="center"/>
          </w:tcPr>
          <w:p>
            <w:pPr>
              <w:spacing w:after="0"/>
              <w:jc w:val="left"/>
            </w:pPr>
            <w:r>
              <w:rPr/>
              <w:t>通过</w:t>
            </w:r>
          </w:p>
        </w:tc>
      </w:tr>
      <w:tr>
        <w:tc>
          <w:tcPr>
            <w:tcW w:type="dxa" w:w="3135"/>
            <w:vAlign w:val="center"/>
          </w:tcPr>
          <w:p>
            <w:pPr>
              <w:spacing w:after="0"/>
              <w:jc w:val="left"/>
            </w:pPr>
            <w:r>
              <w:rPr/>
              <w:t>版本聚合查询</w:t>
            </w:r>
          </w:p>
        </w:tc>
        <w:tc>
          <w:tcPr>
            <w:tcW w:type="dxa" w:w="3135"/>
            <w:vAlign w:val="center"/>
          </w:tcPr>
          <w:p>
            <w:pPr>
              <w:spacing w:after="0"/>
              <w:jc w:val="left"/>
            </w:pPr>
            <w:r>
              <w:rPr/>
              <w:t>监理总结当前版本、历史版本和嵌套明细在连续调用中保持结构稳定</w:t>
            </w:r>
          </w:p>
        </w:tc>
        <w:tc>
          <w:tcPr>
            <w:tcW w:type="dxa" w:w="3135"/>
            <w:vAlign w:val="center"/>
          </w:tcPr>
          <w:p>
            <w:pPr>
              <w:spacing w:after="0"/>
              <w:jc w:val="left"/>
            </w:pPr>
            <w:r>
              <w:rPr/>
              <w:t>通过</w:t>
            </w:r>
          </w:p>
        </w:tc>
      </w:tr>
    </w:tbl>
    <w:p/>
    <w:p>
      <w:pPr>
        <w:pStyle w:val="Heading2"/>
        <w:spacing w:before="160" w:after="120"/>
      </w:pPr>
      <w:r>
        <w:rPr>
          <w:rFonts w:ascii="黑体" w:hAnsi="黑体" w:eastAsia="黑体"/>
          <w:b/>
          <w:sz w:val="32"/>
        </w:rPr>
        <w:t>五、合规性说明</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合规项</w:t>
            </w:r>
          </w:p>
        </w:tc>
        <w:tc>
          <w:tcPr>
            <w:tcW w:type="dxa" w:w="3135"/>
            <w:shd w:fill="D9EAF7"/>
          </w:tcPr>
          <w:p>
            <w:pPr>
              <w:spacing w:after="0"/>
              <w:jc w:val="center"/>
            </w:pPr>
            <w:r/>
            <w:r>
              <w:rPr>
                <w:rFonts w:ascii="宋体" w:hAnsi="宋体" w:eastAsia="宋体"/>
                <w:b/>
                <w:sz w:val="21"/>
              </w:rPr>
              <w:t>验收说明</w:t>
            </w:r>
          </w:p>
        </w:tc>
        <w:tc>
          <w:tcPr>
            <w:tcW w:type="dxa" w:w="3135"/>
            <w:shd w:fill="D9EAF7"/>
          </w:tcPr>
          <w:p>
            <w:pPr>
              <w:spacing w:after="0"/>
              <w:jc w:val="center"/>
            </w:pPr>
            <w:r/>
            <w:r>
              <w:rPr>
                <w:rFonts w:ascii="宋体" w:hAnsi="宋体" w:eastAsia="宋体"/>
                <w:b/>
                <w:sz w:val="21"/>
              </w:rPr>
              <w:t>结论</w:t>
            </w:r>
          </w:p>
        </w:tc>
      </w:tr>
      <w:tr>
        <w:tc>
          <w:tcPr>
            <w:tcW w:type="dxa" w:w="3135"/>
            <w:vAlign w:val="center"/>
          </w:tcPr>
          <w:p>
            <w:pPr>
              <w:spacing w:after="0"/>
              <w:jc w:val="left"/>
            </w:pPr>
            <w:r>
              <w:rPr/>
            </w:r>
            <w:r>
              <w:rPr/>
              <w:t>访问控制</w:t>
            </w:r>
          </w:p>
        </w:tc>
        <w:tc>
          <w:tcPr>
            <w:tcW w:type="dxa" w:w="3135"/>
            <w:vAlign w:val="center"/>
          </w:tcPr>
          <w:p>
            <w:pPr>
              <w:spacing w:after="0"/>
              <w:jc w:val="left"/>
            </w:pPr>
            <w:r>
              <w:rPr/>
            </w:r>
            <w:r>
              <w:rPr/>
              <w:t>接口通过开放接口密钥进行访问控制</w:t>
            </w:r>
          </w:p>
        </w:tc>
        <w:tc>
          <w:tcPr>
            <w:tcW w:type="dxa" w:w="3135"/>
            <w:vAlign w:val="center"/>
          </w:tcPr>
          <w:p>
            <w:pPr>
              <w:spacing w:after="0"/>
              <w:jc w:val="left"/>
            </w:pPr>
            <w:r>
              <w:rPr/>
            </w:r>
            <w:r>
              <w:rPr/>
              <w:t>符合</w:t>
            </w:r>
          </w:p>
        </w:tc>
      </w:tr>
      <w:tr>
        <w:tc>
          <w:tcPr>
            <w:tcW w:type="dxa" w:w="3135"/>
            <w:vAlign w:val="center"/>
          </w:tcPr>
          <w:p>
            <w:pPr>
              <w:spacing w:after="0"/>
              <w:jc w:val="left"/>
            </w:pPr>
            <w:r>
              <w:rPr/>
            </w:r>
            <w:r>
              <w:rPr/>
              <w:t>数据范围隔离</w:t>
            </w:r>
          </w:p>
        </w:tc>
        <w:tc>
          <w:tcPr>
            <w:tcW w:type="dxa" w:w="3135"/>
            <w:vAlign w:val="center"/>
          </w:tcPr>
          <w:p>
            <w:pPr>
              <w:spacing w:after="0"/>
              <w:jc w:val="left"/>
            </w:pPr>
            <w:r>
              <w:rPr/>
            </w:r>
            <w:r>
              <w:rPr/>
              <w:t>接口按项目权限清单限制返回数据范围</w:t>
            </w:r>
          </w:p>
        </w:tc>
        <w:tc>
          <w:tcPr>
            <w:tcW w:type="dxa" w:w="3135"/>
            <w:vAlign w:val="center"/>
          </w:tcPr>
          <w:p>
            <w:pPr>
              <w:spacing w:after="0"/>
              <w:jc w:val="left"/>
            </w:pPr>
            <w:r>
              <w:rPr/>
            </w:r>
            <w:r>
              <w:rPr/>
              <w:t>符合</w:t>
            </w:r>
          </w:p>
        </w:tc>
      </w:tr>
      <w:tr>
        <w:tc>
          <w:tcPr>
            <w:tcW w:type="dxa" w:w="3135"/>
            <w:vAlign w:val="center"/>
          </w:tcPr>
          <w:p>
            <w:pPr>
              <w:spacing w:after="0"/>
              <w:jc w:val="left"/>
            </w:pPr>
            <w:r>
              <w:rPr/>
            </w:r>
            <w:r>
              <w:rPr/>
              <w:t>派单归属校验</w:t>
            </w:r>
          </w:p>
        </w:tc>
        <w:tc>
          <w:tcPr>
            <w:tcW w:type="dxa" w:w="3135"/>
            <w:vAlign w:val="center"/>
          </w:tcPr>
          <w:p>
            <w:pPr>
              <w:spacing w:after="0"/>
              <w:jc w:val="left"/>
            </w:pPr>
            <w:r>
              <w:rPr/>
            </w:r>
            <w:r>
              <w:rPr/>
              <w:t>传入派单 ID 时按项目与派单关系查询</w:t>
            </w:r>
          </w:p>
        </w:tc>
        <w:tc>
          <w:tcPr>
            <w:tcW w:type="dxa" w:w="3135"/>
            <w:vAlign w:val="center"/>
          </w:tcPr>
          <w:p>
            <w:pPr>
              <w:spacing w:after="0"/>
              <w:jc w:val="left"/>
            </w:pPr>
            <w:r>
              <w:rPr/>
            </w:r>
            <w:r>
              <w:rPr/>
              <w:t>符合</w:t>
            </w:r>
          </w:p>
        </w:tc>
      </w:tr>
      <w:tr>
        <w:tc>
          <w:tcPr>
            <w:tcW w:type="dxa" w:w="3135"/>
            <w:vAlign w:val="center"/>
          </w:tcPr>
          <w:p>
            <w:pPr>
              <w:spacing w:after="0"/>
              <w:jc w:val="left"/>
            </w:pPr>
            <w:r>
              <w:rPr/>
            </w:r>
            <w:r>
              <w:rPr/>
              <w:t>审计可追溯</w:t>
            </w:r>
          </w:p>
        </w:tc>
        <w:tc>
          <w:tcPr>
            <w:tcW w:type="dxa" w:w="3135"/>
            <w:vAlign w:val="center"/>
          </w:tcPr>
          <w:p>
            <w:pPr>
              <w:spacing w:after="0"/>
              <w:jc w:val="left"/>
            </w:pPr>
            <w:r>
              <w:rPr/>
            </w:r>
            <w:r>
              <w:rPr/>
              <w:t>响应文件、Postman 集合和联调记录可追溯</w:t>
            </w:r>
          </w:p>
        </w:tc>
        <w:tc>
          <w:tcPr>
            <w:tcW w:type="dxa" w:w="3135"/>
            <w:vAlign w:val="center"/>
          </w:tcPr>
          <w:p>
            <w:pPr>
              <w:spacing w:after="0"/>
              <w:jc w:val="left"/>
            </w:pPr>
            <w:r>
              <w:rPr/>
            </w:r>
            <w:r>
              <w:rPr/>
              <w:t>符合</w:t>
            </w:r>
          </w:p>
        </w:tc>
      </w:tr>
      <w:tr>
        <w:tc>
          <w:tcPr>
            <w:tcW w:type="dxa" w:w="3135"/>
            <w:vAlign w:val="center"/>
          </w:tcPr>
          <w:p>
            <w:pPr>
              <w:spacing w:after="0"/>
              <w:jc w:val="left"/>
            </w:pPr>
            <w:r>
              <w:rPr/>
            </w:r>
            <w:r>
              <w:rPr/>
              <w:t>敏感信息保护</w:t>
            </w:r>
          </w:p>
        </w:tc>
        <w:tc>
          <w:tcPr>
            <w:tcW w:type="dxa" w:w="3135"/>
            <w:vAlign w:val="center"/>
          </w:tcPr>
          <w:p>
            <w:pPr>
              <w:spacing w:after="0"/>
              <w:jc w:val="left"/>
            </w:pPr>
            <w:r>
              <w:rPr/>
            </w:r>
            <w:r>
              <w:rPr/>
              <w:t>文档不固化真实密钥和密码</w:t>
            </w:r>
          </w:p>
        </w:tc>
        <w:tc>
          <w:tcPr>
            <w:tcW w:type="dxa" w:w="3135"/>
            <w:vAlign w:val="center"/>
          </w:tcPr>
          <w:p>
            <w:pPr>
              <w:spacing w:after="0"/>
              <w:jc w:val="left"/>
            </w:pPr>
            <w:r>
              <w:rPr/>
            </w:r>
            <w:r>
              <w:rPr/>
              <w:t>符合</w:t>
            </w:r>
          </w:p>
        </w:tc>
      </w:tr>
      <w:tr>
        <w:tc>
          <w:tcPr>
            <w:tcW w:type="dxa" w:w="3135"/>
            <w:vAlign w:val="center"/>
          </w:tcPr>
          <w:p>
            <w:pPr>
              <w:spacing w:after="0"/>
              <w:jc w:val="left"/>
            </w:pPr>
            <w:r>
              <w:rPr/>
            </w:r>
            <w:r>
              <w:rPr/>
              <w:t>稳定性保障</w:t>
            </w:r>
          </w:p>
        </w:tc>
        <w:tc>
          <w:tcPr>
            <w:tcW w:type="dxa" w:w="3135"/>
            <w:vAlign w:val="center"/>
          </w:tcPr>
          <w:p>
            <w:pPr>
              <w:spacing w:after="0"/>
              <w:jc w:val="left"/>
            </w:pPr>
            <w:r>
              <w:rPr/>
            </w:r>
            <w:r>
              <w:rPr/>
              <w:t>大响应体和嵌套明细场景均正常返回</w:t>
            </w:r>
          </w:p>
        </w:tc>
        <w:tc>
          <w:tcPr>
            <w:tcW w:type="dxa" w:w="3135"/>
            <w:vAlign w:val="center"/>
          </w:tcPr>
          <w:p>
            <w:pPr>
              <w:spacing w:after="0"/>
              <w:jc w:val="left"/>
            </w:pPr>
            <w:r>
              <w:rPr/>
            </w:r>
            <w:r>
              <w:rPr/>
              <w:t>符合</w:t>
            </w:r>
          </w:p>
        </w:tc>
      </w:tr>
      <w:tr>
        <w:tc>
          <w:tcPr>
            <w:tcW w:type="dxa" w:w="3135"/>
            <w:vAlign w:val="center"/>
          </w:tcPr>
          <w:p>
            <w:pPr>
              <w:spacing w:after="0"/>
              <w:jc w:val="left"/>
            </w:pPr>
            <w:r>
              <w:rPr/>
            </w:r>
            <w:r>
              <w:rPr/>
              <w:t>归档管理</w:t>
            </w:r>
          </w:p>
        </w:tc>
        <w:tc>
          <w:tcPr>
            <w:tcW w:type="dxa" w:w="3135"/>
            <w:vAlign w:val="center"/>
          </w:tcPr>
          <w:p>
            <w:pPr>
              <w:spacing w:after="0"/>
              <w:jc w:val="left"/>
            </w:pPr>
            <w:r>
              <w:rPr/>
            </w:r>
            <w:r>
              <w:rPr/>
              <w:t>接口返回数据可支撑项目资料同步、核验和归档</w:t>
            </w:r>
          </w:p>
        </w:tc>
        <w:tc>
          <w:tcPr>
            <w:tcW w:type="dxa" w:w="3135"/>
            <w:vAlign w:val="center"/>
          </w:tcPr>
          <w:p>
            <w:pPr>
              <w:spacing w:after="0"/>
              <w:jc w:val="left"/>
            </w:pPr>
            <w:r>
              <w:rPr/>
            </w:r>
            <w:r>
              <w:rPr/>
              <w:t>符合</w:t>
            </w:r>
          </w:p>
        </w:tc>
      </w:tr>
      <w:tr>
        <w:tc>
          <w:tcPr>
            <w:tcW w:type="dxa" w:w="3135"/>
            <w:vAlign w:val="center"/>
          </w:tcPr>
          <w:p>
            <w:pPr>
              <w:spacing w:after="0"/>
              <w:jc w:val="left"/>
            </w:pPr>
            <w:r>
              <w:rPr/>
              <w:t>租户范围控制</w:t>
            </w:r>
          </w:p>
        </w:tc>
        <w:tc>
          <w:tcPr>
            <w:tcW w:type="dxa" w:w="3135"/>
            <w:vAlign w:val="center"/>
          </w:tcPr>
          <w:p>
            <w:pPr>
              <w:spacing w:after="0"/>
              <w:jc w:val="left"/>
            </w:pPr>
            <w:r>
              <w:rPr/>
              <w:t>公司域接口按 Tenant-Id 限制公司数据范围，页面按角色与菜单权限访问</w:t>
            </w:r>
          </w:p>
        </w:tc>
        <w:tc>
          <w:tcPr>
            <w:tcW w:type="dxa" w:w="3135"/>
            <w:vAlign w:val="center"/>
          </w:tcPr>
          <w:p>
            <w:pPr>
              <w:spacing w:after="0"/>
              <w:jc w:val="left"/>
            </w:pPr>
            <w:r>
              <w:rPr/>
              <w:t>符合</w:t>
            </w:r>
          </w:p>
        </w:tc>
      </w:tr>
      <w:tr>
        <w:tc>
          <w:tcPr>
            <w:tcW w:type="dxa" w:w="3135"/>
            <w:vAlign w:val="center"/>
          </w:tcPr>
          <w:p>
            <w:pPr>
              <w:spacing w:after="0"/>
              <w:jc w:val="left"/>
            </w:pPr>
            <w:r>
              <w:rPr/>
              <w:t>状态与历史追溯</w:t>
            </w:r>
          </w:p>
        </w:tc>
        <w:tc>
          <w:tcPr>
            <w:tcW w:type="dxa" w:w="3135"/>
            <w:vAlign w:val="center"/>
          </w:tcPr>
          <w:p>
            <w:pPr>
              <w:spacing w:after="0"/>
              <w:jc w:val="left"/>
            </w:pPr>
            <w:r>
              <w:rPr/>
              <w:t>五环删除、历史快照和监理总结版本链路具备可追溯性</w:t>
            </w:r>
          </w:p>
        </w:tc>
        <w:tc>
          <w:tcPr>
            <w:tcW w:type="dxa" w:w="3135"/>
            <w:vAlign w:val="center"/>
          </w:tcPr>
          <w:p>
            <w:pPr>
              <w:spacing w:after="0"/>
              <w:jc w:val="left"/>
            </w:pPr>
            <w:r>
              <w:rPr/>
              <w:t>符合</w:t>
            </w:r>
          </w:p>
        </w:tc>
      </w:tr>
      <w:tr>
        <w:tc>
          <w:tcPr>
            <w:tcW w:type="dxa" w:w="3135"/>
            <w:vAlign w:val="center"/>
          </w:tcPr>
          <w:p>
            <w:pPr>
              <w:spacing w:after="0"/>
              <w:jc w:val="left"/>
            </w:pPr>
            <w:r>
              <w:rPr/>
              <w:t>版本数据一致性</w:t>
            </w:r>
          </w:p>
        </w:tc>
        <w:tc>
          <w:tcPr>
            <w:tcW w:type="dxa" w:w="3135"/>
            <w:vAlign w:val="center"/>
          </w:tcPr>
          <w:p>
            <w:pPr>
              <w:spacing w:after="0"/>
              <w:jc w:val="left"/>
            </w:pPr>
            <w:r>
              <w:rPr/>
              <w:t>监理总结当前版本与历史版本的报表主数据和设备清单对应关系清晰</w:t>
            </w:r>
          </w:p>
        </w:tc>
        <w:tc>
          <w:tcPr>
            <w:tcW w:type="dxa" w:w="3135"/>
            <w:vAlign w:val="center"/>
          </w:tcPr>
          <w:p>
            <w:pPr>
              <w:spacing w:after="0"/>
              <w:jc w:val="left"/>
            </w:pPr>
            <w:r>
              <w:rPr/>
              <w:t>符合</w:t>
            </w:r>
          </w:p>
        </w:tc>
      </w:tr>
      <w:tr>
        <w:tc>
          <w:tcPr>
            <w:tcW w:type="dxa" w:w="3135"/>
            <w:vAlign w:val="center"/>
          </w:tcPr>
          <w:p>
            <w:pPr>
              <w:spacing w:after="0"/>
              <w:jc w:val="left"/>
            </w:pPr>
            <w:r>
              <w:rPr/>
              <w:t>资料归档管理</w:t>
            </w:r>
          </w:p>
        </w:tc>
        <w:tc>
          <w:tcPr>
            <w:tcW w:type="dxa" w:w="3135"/>
            <w:vAlign w:val="center"/>
          </w:tcPr>
          <w:p>
            <w:pPr>
              <w:spacing w:after="0"/>
              <w:jc w:val="left"/>
            </w:pPr>
            <w:r>
              <w:rPr/>
              <w:t>台账、日志、报表和导出能力满足资料归档管理要求</w:t>
            </w:r>
          </w:p>
        </w:tc>
        <w:tc>
          <w:tcPr>
            <w:tcW w:type="dxa" w:w="3135"/>
            <w:vAlign w:val="center"/>
          </w:tcPr>
          <w:p>
            <w:pPr>
              <w:spacing w:after="0"/>
              <w:jc w:val="left"/>
            </w:pPr>
            <w:r>
              <w:rPr/>
              <w:t>符合</w:t>
            </w:r>
          </w:p>
        </w:tc>
      </w:tr>
    </w:tbl>
    <w:p/>
    <w:p>
      <w:pPr>
        <w:pStyle w:val="Heading2"/>
        <w:spacing w:before="160" w:after="120"/>
      </w:pPr>
      <w:r>
        <w:rPr>
          <w:rFonts w:ascii="黑体" w:hAnsi="黑体" w:eastAsia="黑体"/>
          <w:b/>
          <w:sz w:val="32"/>
        </w:rPr>
        <w:t>六、遗留问题与风险</w:t>
      </w:r>
    </w:p>
    <w:tbl>
      <w:tblPr>
        <w:tblStyle w:val="TableGrid"/>
        <w:tblW w:type="auto" w:w="0"/>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135"/>
        <w:gridCol w:w="3135"/>
        <w:gridCol w:w="3135"/>
      </w:tblGrid>
      <w:tr>
        <w:tc>
          <w:tcPr>
            <w:tcW w:type="dxa" w:w="3135"/>
            <w:shd w:fill="D9EAF7"/>
          </w:tcPr>
          <w:p>
            <w:pPr>
              <w:spacing w:after="0"/>
              <w:jc w:val="center"/>
            </w:pPr>
            <w:r/>
            <w:r>
              <w:rPr>
                <w:rFonts w:ascii="宋体" w:hAnsi="宋体" w:eastAsia="宋体"/>
                <w:b/>
                <w:sz w:val="21"/>
              </w:rPr>
              <w:t>项目</w:t>
            </w:r>
          </w:p>
        </w:tc>
        <w:tc>
          <w:tcPr>
            <w:tcW w:type="dxa" w:w="3135"/>
            <w:shd w:fill="D9EAF7"/>
          </w:tcPr>
          <w:p>
            <w:pPr>
              <w:spacing w:after="0"/>
              <w:jc w:val="center"/>
            </w:pPr>
            <w:r/>
            <w:r>
              <w:rPr>
                <w:rFonts w:ascii="宋体" w:hAnsi="宋体" w:eastAsia="宋体"/>
                <w:b/>
                <w:sz w:val="21"/>
              </w:rPr>
              <w:t>说明</w:t>
            </w:r>
          </w:p>
        </w:tc>
        <w:tc>
          <w:tcPr>
            <w:tcW w:type="dxa" w:w="3135"/>
            <w:shd w:fill="D9EAF7"/>
          </w:tcPr>
          <w:p>
            <w:pPr>
              <w:spacing w:after="0"/>
              <w:jc w:val="center"/>
            </w:pPr>
            <w:r/>
            <w:r>
              <w:rPr>
                <w:rFonts w:ascii="宋体" w:hAnsi="宋体" w:eastAsia="宋体"/>
                <w:b/>
                <w:sz w:val="21"/>
              </w:rPr>
              <w:t>处置建议</w:t>
            </w:r>
          </w:p>
        </w:tc>
      </w:tr>
      <w:tr>
        <w:tc>
          <w:tcPr>
            <w:tcW w:type="dxa" w:w="3135"/>
            <w:vAlign w:val="center"/>
          </w:tcPr>
          <w:p>
            <w:pPr>
              <w:spacing w:after="0"/>
              <w:jc w:val="left"/>
            </w:pPr>
            <w:r>
              <w:rPr/>
            </w:r>
            <w:r>
              <w:rPr/>
              <w:t>报表映射人工确认</w:t>
            </w:r>
          </w:p>
        </w:tc>
        <w:tc>
          <w:tcPr>
            <w:tcW w:type="dxa" w:w="3135"/>
            <w:vAlign w:val="center"/>
          </w:tcPr>
          <w:p>
            <w:pPr>
              <w:spacing w:after="0"/>
              <w:jc w:val="left"/>
            </w:pPr>
            <w:r>
              <w:rPr/>
            </w:r>
            <w:r>
              <w:rPr/>
              <w:t>当前存在 ambiguous=4、unmatched=3 的报表映射项，集中在监理实施细则类型</w:t>
            </w:r>
          </w:p>
        </w:tc>
        <w:tc>
          <w:tcPr>
            <w:tcW w:type="dxa" w:w="3135"/>
            <w:vAlign w:val="center"/>
          </w:tcPr>
          <w:p>
            <w:pPr>
              <w:spacing w:after="0"/>
              <w:jc w:val="left"/>
            </w:pPr>
            <w:r>
              <w:rPr/>
            </w:r>
            <w:r>
              <w:rPr/>
              <w:t>后续按目录人工确认并补齐映射</w:t>
            </w:r>
          </w:p>
        </w:tc>
      </w:tr>
      <w:tr>
        <w:tc>
          <w:tcPr>
            <w:tcW w:type="dxa" w:w="3135"/>
            <w:vAlign w:val="center"/>
          </w:tcPr>
          <w:p>
            <w:pPr>
              <w:spacing w:after="0"/>
              <w:jc w:val="left"/>
            </w:pPr>
            <w:r>
              <w:rPr/>
            </w:r>
            <w:r>
              <w:rPr/>
              <w:t>当前/历史映射兜底</w:t>
            </w:r>
          </w:p>
        </w:tc>
        <w:tc>
          <w:tcPr>
            <w:tcW w:type="dxa" w:w="3135"/>
            <w:vAlign w:val="center"/>
          </w:tcPr>
          <w:p>
            <w:pPr>
              <w:spacing w:after="0"/>
              <w:jc w:val="left"/>
            </w:pPr>
            <w:r>
              <w:rPr/>
            </w:r>
            <w:r>
              <w:rPr/>
              <w:t>当前实现存在 current/history 映射双向兜底，响应中可能出现跨范围 reportScope</w:t>
            </w:r>
          </w:p>
        </w:tc>
        <w:tc>
          <w:tcPr>
            <w:tcW w:type="dxa" w:w="3135"/>
            <w:vAlign w:val="center"/>
          </w:tcPr>
          <w:p>
            <w:pPr>
              <w:spacing w:after="0"/>
              <w:jc w:val="left"/>
            </w:pPr>
            <w:r>
              <w:rPr/>
            </w:r>
            <w:r>
              <w:rPr/>
              <w:t>对外口径确认后决定保留或收敛</w:t>
            </w:r>
          </w:p>
        </w:tc>
      </w:tr>
      <w:tr>
        <w:tc>
          <w:tcPr>
            <w:tcW w:type="dxa" w:w="3135"/>
            <w:vAlign w:val="center"/>
          </w:tcPr>
          <w:p>
            <w:pPr>
              <w:spacing w:after="0"/>
              <w:jc w:val="left"/>
            </w:pPr>
            <w:r>
              <w:rPr/>
            </w:r>
            <w:r>
              <w:rPr/>
              <w:t>专项压测</w:t>
            </w:r>
          </w:p>
        </w:tc>
        <w:tc>
          <w:tcPr>
            <w:tcW w:type="dxa" w:w="3135"/>
            <w:vAlign w:val="center"/>
          </w:tcPr>
          <w:p>
            <w:pPr>
              <w:spacing w:after="0"/>
              <w:jc w:val="left"/>
            </w:pPr>
            <w:r>
              <w:rPr/>
            </w:r>
            <w:r>
              <w:rPr/>
              <w:t>本次完成真实样本数据量验证，未形成独立并发压测报告</w:t>
            </w:r>
          </w:p>
        </w:tc>
        <w:tc>
          <w:tcPr>
            <w:tcW w:type="dxa" w:w="3135"/>
            <w:vAlign w:val="center"/>
          </w:tcPr>
          <w:p>
            <w:pPr>
              <w:spacing w:after="0"/>
              <w:jc w:val="left"/>
            </w:pPr>
            <w:r>
              <w:rPr/>
            </w:r>
            <w:r>
              <w:rPr/>
              <w:t>若后续存在高频批量同步要求，补充专项压测</w:t>
            </w:r>
          </w:p>
        </w:tc>
      </w:tr>
      <w:tr>
        <w:tc>
          <w:tcPr>
            <w:tcW w:type="dxa" w:w="3135"/>
            <w:vAlign w:val="center"/>
          </w:tcPr>
          <w:p>
            <w:pPr>
              <w:spacing w:after="0"/>
              <w:jc w:val="left"/>
            </w:pPr>
            <w:r>
              <w:rPr/>
              <w:t>配套页面截图同步</w:t>
            </w:r>
          </w:p>
        </w:tc>
        <w:tc>
          <w:tcPr>
            <w:tcW w:type="dxa" w:w="3135"/>
            <w:vAlign w:val="center"/>
          </w:tcPr>
          <w:p>
            <w:pPr>
              <w:spacing w:after="0"/>
              <w:jc w:val="left"/>
            </w:pPr>
            <w:r>
              <w:rPr/>
              <w:t>用户使用手册若后续补充页面截图，应与业主资料库最新页面保持一致</w:t>
            </w:r>
          </w:p>
        </w:tc>
        <w:tc>
          <w:tcPr>
            <w:tcW w:type="dxa" w:w="3135"/>
            <w:vAlign w:val="center"/>
          </w:tcPr>
          <w:p>
            <w:pPr>
              <w:spacing w:after="0"/>
              <w:jc w:val="left"/>
            </w:pPr>
            <w:r>
              <w:rPr/>
              <w:t>按页面更新情况同步维护</w:t>
            </w:r>
          </w:p>
        </w:tc>
      </w:tr>
    </w:tbl>
    <w:p/>
    <w:p>
      <w:pPr>
        <w:spacing w:line="300" w:lineRule="auto" w:after="80"/>
      </w:pPr>
      <w:r>
        <w:rPr>
          <w:rFonts w:ascii="宋体" w:hAnsi="宋体" w:eastAsia="宋体"/>
          <w:b w:val="0"/>
          <w:sz w:val="24"/>
        </w:rPr>
        <w:t>上述事项不影响本批次开放接口主链路验收结论。</w:t>
      </w:r>
    </w:p>
    <w:p>
      <w:pPr>
        <w:pStyle w:val="Heading2"/>
        <w:spacing w:before="160" w:after="120"/>
      </w:pPr>
      <w:r>
        <w:rPr>
          <w:rFonts w:ascii="黑体" w:hAnsi="黑体" w:eastAsia="黑体"/>
          <w:b/>
          <w:sz w:val="32"/>
        </w:rPr>
        <w:t>七、验收结论</w:t>
      </w:r>
    </w:p>
    <w:p>
      <w:pPr>
        <w:spacing w:line="300" w:lineRule="auto" w:after="80"/>
      </w:pPr>
      <w:r>
        <w:t>本批次开放接口及配套资料能力已完成编译验证、接口联调验证、业务数据返回验证、嵌套明细结构验证、文档报表明细验证和基础性能稳定性验证。原有 6 个开放接口及新增公司域、日志、报表、监理总结相关接口均已纳入验收范围，响应结果能够按授权项目、派单或租户范围返回交付所需业务数据。</w:t>
      </w:r>
    </w:p>
    <w:p>
      <w:pPr>
        <w:spacing w:line="300" w:lineRule="auto" w:after="80"/>
      </w:pPr>
      <w:r>
        <w:rPr>
          <w:rFonts w:ascii="宋体" w:hAnsi="宋体" w:eastAsia="宋体"/>
          <w:b w:val="0"/>
          <w:sz w:val="24"/>
        </w:rPr>
        <w:t>综合判断：华谊项目本批次开放接口测试验收通过，满足外部系统集成、数据核验和项目资料归档的交付要求，具备交付使用条件。</w:t>
      </w:r>
    </w:p>
    <w:sectPr w:rsidR="00FC693F" w:rsidRPr="0006063C" w:rsidSect="00034616">
      <w:footerReference w:type="default" r:id="rId9"/>
      <w:pgSz w:w="12240" w:h="15840"/>
      <w:pgMar w:top="1417"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华谊项目开放接口交付材料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