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0D4BB">
      <w:pPr>
        <w:pStyle w:val="2"/>
        <w:pageBreakBefore w:val="0"/>
        <w:numPr>
          <w:ilvl w:val="0"/>
          <w:numId w:val="1"/>
        </w:numPr>
        <w:kinsoku/>
        <w:bidi w:val="0"/>
        <w:spacing w:afterLines="0"/>
        <w:ind w:left="425" w:leftChars="0" w:hanging="425" w:firstLineChars="0"/>
        <w:rPr>
          <w:rFonts w:hint="eastAsia" w:ascii="宋体" w:hAnsi="宋体" w:eastAsia="宋体" w:cs="宋体"/>
          <w:lang w:val="en-US" w:eastAsia="zh-CN"/>
        </w:rPr>
      </w:pPr>
      <w:bookmarkStart w:id="0" w:name="_Toc11277"/>
      <w:bookmarkStart w:id="1" w:name="_Toc12679"/>
      <w:r>
        <w:rPr>
          <w:rFonts w:hint="eastAsia" w:ascii="宋体" w:hAnsi="宋体" w:eastAsia="宋体" w:cs="宋体"/>
          <w:lang w:val="en-US" w:eastAsia="zh-CN"/>
        </w:rPr>
        <w:t>投标货物质量标准的详细描述</w:t>
      </w:r>
      <w:bookmarkEnd w:id="0"/>
      <w:bookmarkEnd w:id="1"/>
    </w:p>
    <w:p w14:paraId="736B90C6">
      <w:pPr>
        <w:pStyle w:val="3"/>
        <w:bidi w:val="0"/>
      </w:pPr>
      <w:r>
        <w:rPr>
          <w:rFonts w:hint="eastAsia"/>
          <w:lang w:val="en-US" w:eastAsia="zh-CN"/>
        </w:rPr>
        <w:t>10.1</w:t>
      </w:r>
      <w:r>
        <w:t>总体质量要求</w:t>
      </w:r>
    </w:p>
    <w:p w14:paraId="02546D55">
      <w:pPr>
        <w:bidi w:val="0"/>
        <w:ind w:firstLine="480" w:firstLineChars="200"/>
      </w:pPr>
      <w:r>
        <w:t>所有</w:t>
      </w:r>
      <w:r>
        <w:rPr>
          <w:rFonts w:hint="eastAsia"/>
          <w:lang w:val="en-US" w:eastAsia="zh-CN"/>
        </w:rPr>
        <w:t>硬件设备</w:t>
      </w:r>
      <w:r>
        <w:t>为原厂全新原装正品，未开封、未使用、无维修、无翻新，配置与投标文件完全一致，无降级、无替换、无兼容件。</w:t>
      </w:r>
    </w:p>
    <w:p w14:paraId="21AF95A9">
      <w:pPr>
        <w:bidi w:val="0"/>
        <w:ind w:firstLine="480" w:firstLineChars="200"/>
      </w:pPr>
      <w:r>
        <w:t>计算机符合国家强制性安全、节能、环保、电磁兼容标准，具备正规出厂检测、合格证书及保修凭证。</w:t>
      </w:r>
    </w:p>
    <w:p w14:paraId="641F1DA9">
      <w:pPr>
        <w:bidi w:val="0"/>
        <w:ind w:firstLine="480" w:firstLineChars="200"/>
      </w:pPr>
      <w:r>
        <w:t>整机运行稳定、散热良好、噪音低、无蓝屏死机、无硬件故障，满足长期连续工作要求。</w:t>
      </w:r>
    </w:p>
    <w:p w14:paraId="12E8C9B6">
      <w:pPr>
        <w:pStyle w:val="3"/>
        <w:bidi w:val="0"/>
      </w:pPr>
      <w:r>
        <w:rPr>
          <w:rFonts w:hint="eastAsia"/>
          <w:lang w:val="en-US" w:eastAsia="zh-CN"/>
        </w:rPr>
        <w:t>10.2 计算机</w:t>
      </w:r>
      <w:r>
        <w:t>执行标准与认证</w:t>
      </w:r>
    </w:p>
    <w:p w14:paraId="217936FF">
      <w:pPr>
        <w:bidi w:val="0"/>
        <w:ind w:firstLine="480" w:firstLineChars="200"/>
      </w:pPr>
      <w:r>
        <w:t>GB/T 9813《微型计算机通用规范》</w:t>
      </w:r>
    </w:p>
    <w:p w14:paraId="5AF6095D">
      <w:pPr>
        <w:bidi w:val="0"/>
        <w:ind w:firstLine="480" w:firstLineChars="200"/>
      </w:pPr>
      <w:r>
        <w:t>GB 4943.1《信息技术设备安全》</w:t>
      </w:r>
    </w:p>
    <w:p w14:paraId="251B41EC">
      <w:pPr>
        <w:bidi w:val="0"/>
        <w:ind w:firstLine="480" w:firstLineChars="200"/>
      </w:pPr>
      <w:r>
        <w:t>GB 17625《电磁兼容限值》</w:t>
      </w:r>
    </w:p>
    <w:p w14:paraId="4A6E7CAC">
      <w:pPr>
        <w:bidi w:val="0"/>
        <w:ind w:firstLine="480" w:firstLineChars="200"/>
      </w:pPr>
      <w:r>
        <w:t>GB 28380《微型计算机能效限定值及能效等级》</w:t>
      </w:r>
    </w:p>
    <w:p w14:paraId="14E0D28A">
      <w:pPr>
        <w:bidi w:val="0"/>
        <w:ind w:firstLine="480" w:firstLineChars="200"/>
      </w:pPr>
      <w:r>
        <w:t>产品通过3C 强制认证、节能认证、环保认证，证书真实有效。</w:t>
      </w:r>
    </w:p>
    <w:p w14:paraId="596AED6B">
      <w:pPr>
        <w:pStyle w:val="3"/>
        <w:bidi w:val="0"/>
      </w:pPr>
      <w:r>
        <w:rPr>
          <w:rFonts w:hint="eastAsia"/>
          <w:lang w:val="en-US" w:eastAsia="zh-CN"/>
        </w:rPr>
        <w:t>10.3计算机</w:t>
      </w:r>
      <w:r>
        <w:t>质量标准</w:t>
      </w:r>
    </w:p>
    <w:p w14:paraId="622A05CA">
      <w:pPr>
        <w:numPr>
          <w:ilvl w:val="0"/>
          <w:numId w:val="2"/>
        </w:numPr>
        <w:bidi w:val="0"/>
        <w:ind w:firstLine="420" w:firstLineChars="0"/>
      </w:pPr>
      <w:r>
        <w:rPr>
          <w:lang w:val="en-US" w:eastAsia="zh-CN"/>
        </w:rPr>
        <w:t>主机机身</w:t>
      </w:r>
      <w:r>
        <w:t>外壳材质坚固耐用，抗冲击、防刮花、无变形、无划痕、无掉漆、无松动。</w:t>
      </w:r>
    </w:p>
    <w:p w14:paraId="47DA7069">
      <w:pPr>
        <w:numPr>
          <w:ilvl w:val="0"/>
          <w:numId w:val="2"/>
        </w:numPr>
        <w:bidi w:val="0"/>
        <w:ind w:left="0" w:leftChars="0" w:firstLine="420" w:firstLineChars="0"/>
      </w:pPr>
      <w:r>
        <w:t>接口齐全完好（USB、HDMI、网口、音频口等），插拔顺畅，接触良好。</w:t>
      </w:r>
    </w:p>
    <w:p w14:paraId="20316F4E">
      <w:pPr>
        <w:numPr>
          <w:ilvl w:val="0"/>
          <w:numId w:val="2"/>
        </w:numPr>
        <w:bidi w:val="0"/>
        <w:ind w:left="0" w:leftChars="0" w:firstLine="420" w:firstLineChars="0"/>
      </w:pPr>
      <w:r>
        <w:t>键盘、鼠标按键灵敏、回弹正常、无卡键、无失灵。</w:t>
      </w:r>
    </w:p>
    <w:p w14:paraId="1ECF2F12">
      <w:pPr>
        <w:numPr>
          <w:ilvl w:val="0"/>
          <w:numId w:val="2"/>
        </w:numPr>
        <w:bidi w:val="0"/>
        <w:ind w:left="0" w:leftChars="0" w:firstLine="420" w:firstLineChars="0"/>
      </w:pPr>
      <w:r>
        <w:t>屏幕无亮点、无暗点、无坏点、无漏光、无色差，显示清晰。</w:t>
      </w:r>
    </w:p>
    <w:p w14:paraId="47FB2105">
      <w:pPr>
        <w:numPr>
          <w:ilvl w:val="0"/>
          <w:numId w:val="2"/>
        </w:numPr>
        <w:bidi w:val="0"/>
        <w:ind w:left="0" w:leftChars="0" w:firstLine="420" w:firstLineChars="0"/>
      </w:pPr>
      <w:r>
        <w:rPr>
          <w:lang w:val="en-US" w:eastAsia="zh-CN"/>
        </w:rPr>
        <w:t>中央处理器（CPU）</w:t>
      </w:r>
      <w:r>
        <w:rPr>
          <w:rFonts w:hint="eastAsia"/>
          <w:lang w:val="en-US" w:eastAsia="zh-CN"/>
        </w:rPr>
        <w:t>：</w:t>
      </w:r>
      <w:r>
        <w:t>原厂正品，型号、主频、核心数完全符合投标参数，性能稳定。散热设计合理，满载运行温度正常，无过热降频。</w:t>
      </w:r>
    </w:p>
    <w:p w14:paraId="7A92C440">
      <w:pPr>
        <w:numPr>
          <w:ilvl w:val="0"/>
          <w:numId w:val="2"/>
        </w:numPr>
        <w:bidi w:val="0"/>
        <w:ind w:left="0" w:leftChars="0" w:firstLine="420" w:firstLineChars="0"/>
      </w:pPr>
      <w:r>
        <w:rPr>
          <w:lang w:val="en-US" w:eastAsia="zh-CN"/>
        </w:rPr>
        <w:t>内存（RAM）</w:t>
      </w:r>
      <w:r>
        <w:rPr>
          <w:rFonts w:hint="eastAsia"/>
          <w:lang w:val="en-US" w:eastAsia="zh-CN"/>
        </w:rPr>
        <w:t>：</w:t>
      </w:r>
      <w:r>
        <w:t>原厂品牌内存，容量、频率、规格完全响应标书。</w:t>
      </w:r>
    </w:p>
    <w:p w14:paraId="42656E91">
      <w:pPr>
        <w:bidi w:val="0"/>
      </w:pPr>
      <w:r>
        <w:t>兼容性强，无蓝屏、无卡顿、无接触不良。</w:t>
      </w:r>
    </w:p>
    <w:p w14:paraId="1C548360">
      <w:pPr>
        <w:numPr>
          <w:ilvl w:val="0"/>
          <w:numId w:val="2"/>
        </w:numPr>
        <w:bidi w:val="0"/>
        <w:ind w:left="0" w:leftChars="0" w:firstLine="420" w:firstLineChars="0"/>
      </w:pPr>
      <w:r>
        <w:rPr>
          <w:lang w:val="en-US" w:eastAsia="zh-CN"/>
        </w:rPr>
        <w:t>硬盘 / 固态硬盘（SSD）</w:t>
      </w:r>
      <w:r>
        <w:t>容量、接口、读写速度满足或高于标书要求。</w:t>
      </w:r>
    </w:p>
    <w:p w14:paraId="609D7582">
      <w:pPr>
        <w:bidi w:val="0"/>
      </w:pPr>
      <w:r>
        <w:t>无坏道、无掉盘、无异响，数据读写稳定可靠。</w:t>
      </w:r>
    </w:p>
    <w:p w14:paraId="474D71D5">
      <w:pPr>
        <w:numPr>
          <w:ilvl w:val="0"/>
          <w:numId w:val="2"/>
        </w:numPr>
        <w:bidi w:val="0"/>
        <w:ind w:left="0" w:leftChars="0" w:firstLine="420" w:firstLineChars="0"/>
      </w:pPr>
      <w:r>
        <w:rPr>
          <w:lang w:val="en-US" w:eastAsia="zh-CN"/>
        </w:rPr>
        <w:t>主板 / 显卡 / 网卡 / 声卡</w:t>
      </w:r>
    </w:p>
    <w:p w14:paraId="36CF308E">
      <w:pPr>
        <w:bidi w:val="0"/>
        <w:ind w:firstLine="420" w:firstLineChars="0"/>
      </w:pPr>
      <w:r>
        <w:t>原厂正品，驱动完善，功能全部正常。显示输出、网络连接、音频播放稳定无故障。</w:t>
      </w:r>
    </w:p>
    <w:p w14:paraId="7243DEAB">
      <w:pPr>
        <w:bidi w:val="0"/>
      </w:pPr>
    </w:p>
    <w:p w14:paraId="40634E40">
      <w:pPr>
        <w:numPr>
          <w:ilvl w:val="0"/>
          <w:numId w:val="2"/>
        </w:numPr>
        <w:bidi w:val="0"/>
        <w:ind w:left="0" w:leftChars="0" w:firstLine="420" w:firstLineChars="0"/>
      </w:pPr>
      <w:r>
        <w:rPr>
          <w:lang w:val="en-US" w:eastAsia="zh-CN"/>
        </w:rPr>
        <w:t>电源</w:t>
      </w:r>
      <w:r>
        <w:rPr>
          <w:rFonts w:hint="eastAsia"/>
          <w:lang w:val="en-US" w:eastAsia="zh-CN"/>
        </w:rPr>
        <w:t>：</w:t>
      </w:r>
      <w:r>
        <w:t>电源稳定、宽幅电压、过载保护齐全。</w:t>
      </w:r>
    </w:p>
    <w:p w14:paraId="5F64C918">
      <w:pPr>
        <w:pStyle w:val="3"/>
        <w:bidi w:val="0"/>
      </w:pPr>
      <w:r>
        <w:rPr>
          <w:rFonts w:hint="eastAsia"/>
          <w:lang w:val="en-US" w:eastAsia="zh-CN"/>
        </w:rPr>
        <w:t>10.4</w:t>
      </w:r>
      <w:r>
        <w:t>软件与系统质量标准</w:t>
      </w:r>
    </w:p>
    <w:p w14:paraId="74B42783">
      <w:pPr>
        <w:numPr>
          <w:ilvl w:val="0"/>
          <w:numId w:val="3"/>
        </w:numPr>
        <w:bidi w:val="0"/>
        <w:ind w:firstLine="420" w:firstLineChars="0"/>
      </w:pPr>
      <w:r>
        <w:t>预装正版</w:t>
      </w:r>
      <w:r>
        <w:rPr>
          <w:rFonts w:hint="eastAsia"/>
          <w:lang w:val="en-US" w:eastAsia="zh-CN"/>
        </w:rPr>
        <w:t>预装国产自主可控操作系统</w:t>
      </w:r>
      <w:r>
        <w:t>，激活正常，无盗版、无精简、无捆绑软件。</w:t>
      </w:r>
    </w:p>
    <w:p w14:paraId="39B7541F">
      <w:pPr>
        <w:numPr>
          <w:ilvl w:val="0"/>
          <w:numId w:val="3"/>
        </w:numPr>
        <w:bidi w:val="0"/>
        <w:ind w:left="0" w:leftChars="0" w:firstLine="420" w:firstLineChars="0"/>
      </w:pPr>
      <w:r>
        <w:t>驱动程序完整、官方版本，设备管理器无异常、无感叹号。</w:t>
      </w:r>
    </w:p>
    <w:p w14:paraId="242CF028">
      <w:pPr>
        <w:numPr>
          <w:ilvl w:val="0"/>
          <w:numId w:val="3"/>
        </w:numPr>
        <w:bidi w:val="0"/>
        <w:ind w:left="0" w:leftChars="0" w:firstLine="420" w:firstLineChars="0"/>
      </w:pPr>
      <w:r>
        <w:t>出厂系统干净流畅，开机速度快，无病毒、无木马、无广告插件。</w:t>
      </w:r>
    </w:p>
    <w:p w14:paraId="7527B202">
      <w:pPr>
        <w:pStyle w:val="3"/>
        <w:bidi w:val="0"/>
      </w:pPr>
      <w:r>
        <w:rPr>
          <w:rFonts w:hint="eastAsia"/>
          <w:lang w:val="en-US" w:eastAsia="zh-CN"/>
        </w:rPr>
        <w:t>10.5</w:t>
      </w:r>
      <w:r>
        <w:t>出厂检验与质量控制</w:t>
      </w:r>
    </w:p>
    <w:p w14:paraId="3351F072">
      <w:pPr>
        <w:numPr>
          <w:ilvl w:val="0"/>
          <w:numId w:val="4"/>
        </w:numPr>
        <w:bidi w:val="0"/>
        <w:ind w:left="420" w:leftChars="0"/>
      </w:pPr>
      <w:r>
        <w:t>每台计算机均经过出厂全检：外观、功能、接口、屏幕、散热、稳定性、压力测试全部合格。</w:t>
      </w:r>
    </w:p>
    <w:p w14:paraId="33D3F38F">
      <w:pPr>
        <w:numPr>
          <w:ilvl w:val="0"/>
          <w:numId w:val="4"/>
        </w:numPr>
        <w:bidi w:val="0"/>
        <w:ind w:left="420" w:leftChars="0" w:firstLine="0" w:firstLineChars="0"/>
      </w:pPr>
      <w:r>
        <w:t>提供出厂合格证、序列号、保修卡、配置清单，一机一码，可官网查验真伪。</w:t>
      </w:r>
    </w:p>
    <w:p w14:paraId="02BB826B">
      <w:pPr>
        <w:numPr>
          <w:ilvl w:val="0"/>
          <w:numId w:val="4"/>
        </w:numPr>
        <w:bidi w:val="0"/>
        <w:ind w:left="420" w:leftChars="0" w:firstLine="0" w:firstLineChars="0"/>
      </w:pPr>
      <w:r>
        <w:t>关键部件（CPU、内存、硬盘、屏幕）均为原厂原封，不接受拆机组装。</w:t>
      </w:r>
    </w:p>
    <w:p w14:paraId="6D81E887">
      <w:pPr>
        <w:pStyle w:val="3"/>
        <w:bidi w:val="0"/>
      </w:pPr>
      <w:r>
        <w:rPr>
          <w:rFonts w:hint="eastAsia"/>
          <w:lang w:val="en-US" w:eastAsia="zh-CN"/>
        </w:rPr>
        <w:t>10.6</w:t>
      </w:r>
      <w:r>
        <w:t>包装、运输与到货验收</w:t>
      </w:r>
    </w:p>
    <w:p w14:paraId="78541FF9">
      <w:pPr>
        <w:numPr>
          <w:ilvl w:val="0"/>
          <w:numId w:val="5"/>
        </w:numPr>
        <w:bidi w:val="0"/>
        <w:ind w:left="420" w:leftChars="0"/>
      </w:pPr>
      <w:r>
        <w:t>原厂标准包装，防震、防潮、防压，适合长途运输。</w:t>
      </w:r>
    </w:p>
    <w:p w14:paraId="7EDBAEA4">
      <w:pPr>
        <w:numPr>
          <w:ilvl w:val="0"/>
          <w:numId w:val="5"/>
        </w:numPr>
        <w:bidi w:val="0"/>
        <w:ind w:left="420" w:leftChars="0" w:firstLine="0" w:firstLineChars="0"/>
      </w:pPr>
      <w:r>
        <w:t>到货外包装完好，封条无损，箱内配件齐全（电源线、适配器、说明书等）。</w:t>
      </w:r>
    </w:p>
    <w:p w14:paraId="521AF1DF">
      <w:pPr>
        <w:numPr>
          <w:ilvl w:val="0"/>
          <w:numId w:val="5"/>
        </w:numPr>
        <w:bidi w:val="0"/>
        <w:ind w:left="420" w:leftChars="0" w:firstLine="0" w:firstLineChars="0"/>
      </w:pPr>
      <w:r>
        <w:t>开箱验收：外观无损伤、配置无偏差、开机正常、功能完好。</w:t>
      </w:r>
    </w:p>
    <w:p w14:paraId="3CC92DD5">
      <w:pPr>
        <w:pStyle w:val="3"/>
        <w:bidi w:val="0"/>
      </w:pPr>
      <w:r>
        <w:rPr>
          <w:rFonts w:hint="eastAsia"/>
          <w:lang w:val="en-US" w:eastAsia="zh-CN"/>
        </w:rPr>
        <w:t>10.7</w:t>
      </w:r>
      <w:r>
        <w:t>质量保证与售后服务</w:t>
      </w:r>
    </w:p>
    <w:p w14:paraId="2350F564">
      <w:pPr>
        <w:numPr>
          <w:ilvl w:val="0"/>
          <w:numId w:val="6"/>
        </w:numPr>
        <w:bidi w:val="0"/>
        <w:ind w:left="420" w:leftChars="0"/>
      </w:pPr>
      <w:r>
        <w:t xml:space="preserve">整机质保 </w:t>
      </w:r>
      <w:r>
        <w:rPr>
          <w:rFonts w:hint="eastAsia"/>
          <w:lang w:val="en-US" w:eastAsia="zh-CN"/>
        </w:rPr>
        <w:t>3</w:t>
      </w:r>
      <w:r>
        <w:t xml:space="preserve"> 年 （原厂官方保修），主要部件（CPU、内存、硬盘、主板、电源、屏幕）享受同等质保。</w:t>
      </w:r>
    </w:p>
    <w:p w14:paraId="33440CC3">
      <w:pPr>
        <w:numPr>
          <w:ilvl w:val="0"/>
          <w:numId w:val="6"/>
        </w:numPr>
        <w:bidi w:val="0"/>
        <w:ind w:left="420" w:leftChars="0" w:firstLine="0" w:firstLineChars="0"/>
      </w:pPr>
      <w:r>
        <w:t>质保期内非人为损坏全部免费维修、免费更换配件、免费上门服务。</w:t>
      </w:r>
    </w:p>
    <w:p w14:paraId="3E09299D">
      <w:pPr>
        <w:numPr>
          <w:ilvl w:val="0"/>
          <w:numId w:val="6"/>
        </w:numPr>
        <w:bidi w:val="0"/>
        <w:ind w:left="420" w:leftChars="0" w:firstLine="0" w:firstLineChars="0"/>
      </w:pPr>
      <w:r>
        <w:t>故障响应：7×24 小时技术支持，2 小时响应，4—12 小时上门。</w:t>
      </w:r>
    </w:p>
    <w:p w14:paraId="00957258">
      <w:pPr>
        <w:numPr>
          <w:ilvl w:val="0"/>
          <w:numId w:val="6"/>
        </w:numPr>
        <w:bidi w:val="0"/>
        <w:ind w:left="420" w:leftChars="0" w:firstLine="0" w:firstLineChars="0"/>
      </w:pPr>
      <w:r>
        <w:t>若出现质量不合格、假货、翻新机，我方无条件退货、换货、赔偿损失，并承担一切法律责任。</w:t>
      </w:r>
    </w:p>
    <w:p w14:paraId="211A13F8">
      <w:pPr>
        <w:numPr>
          <w:ilvl w:val="0"/>
          <w:numId w:val="0"/>
        </w:numPr>
        <w:bidi w:val="0"/>
        <w:ind w:left="420" w:leftChars="0"/>
      </w:pPr>
    </w:p>
    <w:p w14:paraId="48B34737">
      <w:pPr>
        <w:numPr>
          <w:ilvl w:val="0"/>
          <w:numId w:val="0"/>
        </w:numPr>
        <w:bidi w:val="0"/>
        <w:ind w:left="420" w:leftChars="0"/>
      </w:pPr>
    </w:p>
    <w:p w14:paraId="15E19BC0">
      <w:pPr>
        <w:numPr>
          <w:ilvl w:val="0"/>
          <w:numId w:val="0"/>
        </w:numPr>
        <w:bidi w:val="0"/>
        <w:ind w:left="420" w:leftChars="0"/>
      </w:pPr>
    </w:p>
    <w:p w14:paraId="59408BFB">
      <w:pPr>
        <w:pStyle w:val="2"/>
        <w:pageBreakBefore w:val="0"/>
        <w:numPr>
          <w:ilvl w:val="0"/>
          <w:numId w:val="1"/>
        </w:numPr>
        <w:kinsoku/>
        <w:bidi w:val="0"/>
        <w:spacing w:afterLines="0"/>
        <w:ind w:left="425" w:leftChars="0" w:hanging="425" w:firstLineChars="0"/>
        <w:rPr>
          <w:rFonts w:hint="eastAsia" w:ascii="宋体" w:hAnsi="宋体" w:eastAsia="宋体" w:cs="宋体"/>
          <w:lang w:val="en-US" w:eastAsia="zh-CN"/>
        </w:rPr>
      </w:pPr>
      <w:bookmarkStart w:id="2" w:name="_Toc26557"/>
      <w:bookmarkStart w:id="3" w:name="_Toc30098"/>
      <w:bookmarkStart w:id="4" w:name="_Hlk209275669"/>
      <w:r>
        <w:rPr>
          <w:rFonts w:hint="eastAsia" w:ascii="宋体" w:hAnsi="宋体" w:eastAsia="宋体" w:cs="宋体"/>
          <w:lang w:val="en-US" w:eastAsia="zh-CN"/>
        </w:rPr>
        <w:t>技术支持资料</w:t>
      </w:r>
      <w:bookmarkEnd w:id="2"/>
      <w:bookmarkEnd w:id="3"/>
    </w:p>
    <w:bookmarkEnd w:id="4"/>
    <w:p w14:paraId="7FDB49CC">
      <w:pPr>
        <w:pStyle w:val="3"/>
        <w:bidi w:val="0"/>
        <w:rPr>
          <w:rFonts w:hint="eastAsia"/>
          <w:lang w:val="en-US" w:eastAsia="zh-CN"/>
        </w:rPr>
      </w:pPr>
      <w:bookmarkStart w:id="5" w:name="_Toc11384"/>
      <w:r>
        <w:rPr>
          <w:rFonts w:hint="eastAsia"/>
          <w:lang w:val="en-US" w:eastAsia="zh-CN"/>
        </w:rPr>
        <w:t>11.1 系统功能</w:t>
      </w:r>
    </w:p>
    <w:p w14:paraId="6D35397C">
      <w:pPr>
        <w:pStyle w:val="5"/>
        <w:bidi w:val="0"/>
        <w:rPr>
          <w:rFonts w:hint="eastAsia"/>
          <w:lang w:val="en-US" w:eastAsia="zh-CN"/>
        </w:rPr>
      </w:pPr>
      <w:r>
        <w:rPr>
          <w:rFonts w:hint="eastAsia"/>
          <w:lang w:val="en-US" w:eastAsia="zh-CN"/>
        </w:rPr>
        <w:t>11.1.1 项目理解与总体响应</w:t>
      </w:r>
    </w:p>
    <w:p w14:paraId="0DFF2B8F">
      <w:pPr>
        <w:pStyle w:val="6"/>
        <w:bidi w:val="0"/>
        <w:rPr>
          <w:rFonts w:hint="eastAsia"/>
          <w:b w:val="0"/>
          <w:bCs w:val="0"/>
          <w:lang w:val="en-US" w:eastAsia="zh-CN"/>
        </w:rPr>
      </w:pPr>
      <w:r>
        <w:rPr>
          <w:rFonts w:hint="eastAsia"/>
          <w:b w:val="0"/>
          <w:bCs w:val="0"/>
          <w:lang w:val="en-US" w:eastAsia="zh-CN"/>
        </w:rPr>
        <w:t>11.1.1.1 项目建设本质理解</w:t>
      </w:r>
    </w:p>
    <w:p w14:paraId="30C2B33D">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不是单纯的软件采购，也不是若干表单页面的拼装，而是围绕监造业务全过程，建设一套可标准化、可执行、可留痕、可追溯、可分析、可考核、可持续运行的监造信息化系统。系统要承接的不仅是“信息录入”，更是监造管理方法、质量控制逻辑、现场监督证据、问题闭环机制和项目级质量管理视图。</w:t>
      </w:r>
    </w:p>
    <w:p w14:paraId="3A1D96D8">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从业务本质上看，本项目至少要同时解决以下五类问题：</w:t>
      </w:r>
    </w:p>
    <w:p w14:paraId="7EA0F167">
      <w:pPr>
        <w:spacing w:after="70" w:line="330" w:lineRule="auto"/>
        <w:ind w:left="420" w:hanging="260"/>
        <w:rPr>
          <w:rFonts w:hint="eastAsia" w:ascii="宋体" w:hAnsi="宋体" w:eastAsia="宋体" w:cs="宋体"/>
        </w:rPr>
      </w:pPr>
      <w:r>
        <w:rPr>
          <w:rFonts w:hint="eastAsia" w:ascii="宋体" w:hAnsi="宋体" w:eastAsia="宋体" w:cs="宋体"/>
          <w:color w:val="1F2937"/>
        </w:rPr>
        <w:t>1. 将采购包、采购物项、质量计划、见证点、质量问题、验收放行、产品追溯等核心业务对象统一纳入平台管理。</w:t>
      </w:r>
    </w:p>
    <w:p w14:paraId="4A2137AE">
      <w:pPr>
        <w:spacing w:after="70" w:line="330" w:lineRule="auto"/>
        <w:ind w:left="420" w:hanging="260"/>
        <w:rPr>
          <w:rFonts w:hint="eastAsia" w:ascii="宋体" w:hAnsi="宋体" w:eastAsia="宋体" w:cs="宋体"/>
        </w:rPr>
      </w:pPr>
      <w:r>
        <w:rPr>
          <w:rFonts w:hint="eastAsia" w:ascii="宋体" w:hAnsi="宋体" w:eastAsia="宋体" w:cs="宋体"/>
          <w:color w:val="1F2937"/>
        </w:rPr>
        <w:t>2. 将标准库建设、任务分配、监造策划、供方文件审核、过程执行、问题处理、验收放行、追溯分析等核心流程统一纳入线上闭环。</w:t>
      </w:r>
    </w:p>
    <w:p w14:paraId="29AA1971">
      <w:pPr>
        <w:spacing w:after="70" w:line="330" w:lineRule="auto"/>
        <w:ind w:left="420" w:hanging="260"/>
        <w:rPr>
          <w:rFonts w:hint="eastAsia" w:ascii="宋体" w:hAnsi="宋体" w:eastAsia="宋体" w:cs="宋体"/>
        </w:rPr>
      </w:pPr>
      <w:r>
        <w:rPr>
          <w:rFonts w:hint="eastAsia" w:ascii="宋体" w:hAnsi="宋体" w:eastAsia="宋体" w:cs="宋体"/>
          <w:color w:val="1F2937"/>
        </w:rPr>
        <w:t>3. 将原材料采购链路和设备采购链路分别沉淀为两套独立但可统一运维的数据接入模块。</w:t>
      </w:r>
    </w:p>
    <w:p w14:paraId="05662A4E">
      <w:pPr>
        <w:spacing w:after="70" w:line="330" w:lineRule="auto"/>
        <w:ind w:left="420" w:hanging="260"/>
        <w:rPr>
          <w:rFonts w:hint="eastAsia" w:ascii="宋体" w:hAnsi="宋体" w:eastAsia="宋体" w:cs="宋体"/>
        </w:rPr>
      </w:pPr>
      <w:r>
        <w:rPr>
          <w:rFonts w:hint="eastAsia" w:ascii="宋体" w:hAnsi="宋体" w:eastAsia="宋体" w:cs="宋体"/>
          <w:color w:val="1F2937"/>
        </w:rPr>
        <w:t>4. 将二维码、图文识别、电子签名、视频远程识别、培训考试、AI基础识别等能力作为业务增效手段，而不是装饰性功能。</w:t>
      </w:r>
    </w:p>
    <w:p w14:paraId="6A391C79">
      <w:pPr>
        <w:spacing w:after="70" w:line="330" w:lineRule="auto"/>
        <w:ind w:left="420" w:hanging="260"/>
        <w:rPr>
          <w:rFonts w:hint="eastAsia" w:ascii="宋体" w:hAnsi="宋体" w:eastAsia="宋体" w:cs="宋体"/>
        </w:rPr>
      </w:pPr>
      <w:r>
        <w:rPr>
          <w:rFonts w:hint="eastAsia" w:ascii="宋体" w:hAnsi="宋体" w:eastAsia="宋体" w:cs="宋体"/>
          <w:color w:val="1F2937"/>
        </w:rPr>
        <w:t>5. 在国产化部署、安全合规、长期运维和知识转移的前提下，完成系统交付、试运行、验收和持续服务。</w:t>
      </w:r>
    </w:p>
    <w:p w14:paraId="59D77E46">
      <w:pPr>
        <w:pStyle w:val="6"/>
        <w:bidi w:val="0"/>
        <w:rPr>
          <w:rFonts w:hint="eastAsia"/>
          <w:b w:val="0"/>
          <w:bCs w:val="0"/>
          <w:lang w:val="en-US" w:eastAsia="zh-CN"/>
        </w:rPr>
      </w:pPr>
      <w:r>
        <w:rPr>
          <w:rFonts w:hint="eastAsia"/>
          <w:b w:val="0"/>
          <w:bCs w:val="0"/>
          <w:lang w:val="en-US" w:eastAsia="zh-CN"/>
        </w:rPr>
        <w:t>11.1.1.2 我方总体响应结论</w:t>
      </w:r>
    </w:p>
    <w:p w14:paraId="00B22CA3">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针对招标文件和项目建设目标，我方总体响应结论如下：</w:t>
      </w:r>
    </w:p>
    <w:p w14:paraId="3C99B1ED">
      <w:pPr>
        <w:spacing w:after="70" w:line="330" w:lineRule="auto"/>
        <w:ind w:left="420" w:hanging="260"/>
        <w:rPr>
          <w:rFonts w:hint="eastAsia" w:ascii="宋体" w:hAnsi="宋体" w:eastAsia="宋体" w:cs="宋体"/>
        </w:rPr>
      </w:pPr>
      <w:r>
        <w:rPr>
          <w:rFonts w:hint="eastAsia" w:ascii="宋体" w:hAnsi="宋体" w:eastAsia="宋体" w:cs="宋体"/>
          <w:color w:val="1F2937"/>
        </w:rPr>
        <w:t>1. 在建设范围上，全面响应招标文件第五章要求，不做删减式建设。</w:t>
      </w:r>
    </w:p>
    <w:p w14:paraId="36000D31">
      <w:pPr>
        <w:spacing w:after="70" w:line="330" w:lineRule="auto"/>
        <w:ind w:left="420" w:hanging="260"/>
        <w:rPr>
          <w:rFonts w:hint="eastAsia" w:ascii="宋体" w:hAnsi="宋体" w:eastAsia="宋体" w:cs="宋体"/>
        </w:rPr>
      </w:pPr>
      <w:r>
        <w:rPr>
          <w:rFonts w:hint="eastAsia" w:ascii="宋体" w:hAnsi="宋体" w:eastAsia="宋体" w:cs="宋体"/>
          <w:color w:val="1F2937"/>
        </w:rPr>
        <w:t>2. 在功能组织上，以“统一平台 + 双模块追溯 + 全链条业务闭环 + 管理分析驾驶舱”为总体方案。</w:t>
      </w:r>
    </w:p>
    <w:p w14:paraId="7B32D3E6">
      <w:pPr>
        <w:spacing w:after="70" w:line="330" w:lineRule="auto"/>
        <w:ind w:left="420" w:hanging="260"/>
        <w:rPr>
          <w:rFonts w:hint="eastAsia" w:ascii="宋体" w:hAnsi="宋体" w:eastAsia="宋体" w:cs="宋体"/>
        </w:rPr>
      </w:pPr>
      <w:r>
        <w:rPr>
          <w:rFonts w:hint="eastAsia" w:ascii="宋体" w:hAnsi="宋体" w:eastAsia="宋体" w:cs="宋体"/>
          <w:color w:val="1F2937"/>
        </w:rPr>
        <w:t>3. 在技术路径上，采用成熟稳定、自主可控、支持扩展的 Java 微服务架构与 B/S 主体模式，并预留移动化延展能力。</w:t>
      </w:r>
    </w:p>
    <w:p w14:paraId="079A28B4">
      <w:pPr>
        <w:spacing w:after="70" w:line="330" w:lineRule="auto"/>
        <w:ind w:left="420" w:hanging="260"/>
        <w:rPr>
          <w:rFonts w:hint="eastAsia" w:ascii="宋体" w:hAnsi="宋体" w:eastAsia="宋体" w:cs="宋体"/>
        </w:rPr>
      </w:pPr>
      <w:r>
        <w:rPr>
          <w:rFonts w:hint="eastAsia" w:ascii="宋体" w:hAnsi="宋体" w:eastAsia="宋体" w:cs="宋体"/>
          <w:color w:val="1F2937"/>
        </w:rPr>
        <w:t>4. 在实施策略上，坚持“需求澄清前置、设计评审前置、试运行前置、资料交付同步、服务保障贯穿全周期”的组织方式。</w:t>
      </w:r>
    </w:p>
    <w:p w14:paraId="19781C78">
      <w:pPr>
        <w:spacing w:after="70" w:line="330" w:lineRule="auto"/>
        <w:ind w:left="420" w:hanging="260"/>
        <w:rPr>
          <w:rFonts w:hint="eastAsia" w:ascii="宋体" w:hAnsi="宋体" w:eastAsia="宋体" w:cs="宋体"/>
        </w:rPr>
      </w:pPr>
      <w:r>
        <w:rPr>
          <w:rFonts w:hint="eastAsia" w:ascii="宋体" w:hAnsi="宋体" w:eastAsia="宋体" w:cs="宋体"/>
          <w:color w:val="1F2937"/>
        </w:rPr>
        <w:t>5. 在评审响应上，把招标文件中的重点响应项全部单独显性展开，避免埋在普通表述中导致响应不充分。</w:t>
      </w:r>
    </w:p>
    <w:p w14:paraId="785AD8AC">
      <w:pPr>
        <w:pStyle w:val="5"/>
        <w:bidi w:val="0"/>
        <w:rPr>
          <w:rFonts w:hint="eastAsia"/>
          <w:lang w:val="en-US" w:eastAsia="zh-CN"/>
        </w:rPr>
      </w:pPr>
      <w:r>
        <w:rPr>
          <w:rFonts w:hint="eastAsia"/>
          <w:lang w:val="en-US" w:eastAsia="zh-CN"/>
        </w:rPr>
        <w:t>11.1.2 全量建设范围</w:t>
      </w:r>
    </w:p>
    <w:p w14:paraId="7BD52644">
      <w:pPr>
        <w:pStyle w:val="6"/>
        <w:bidi w:val="0"/>
        <w:rPr>
          <w:rFonts w:hint="eastAsia"/>
          <w:b w:val="0"/>
          <w:bCs w:val="0"/>
          <w:lang w:val="en-US" w:eastAsia="zh-CN"/>
        </w:rPr>
      </w:pPr>
      <w:r>
        <w:rPr>
          <w:rFonts w:hint="eastAsia"/>
          <w:b w:val="0"/>
          <w:bCs w:val="0"/>
          <w:lang w:val="en-US" w:eastAsia="zh-CN"/>
        </w:rPr>
        <w:t>11.1.2.1 本期建设目标</w:t>
      </w:r>
    </w:p>
    <w:p w14:paraId="2AD7D111">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本项目本期建设目标可归纳为以下五个层面：</w:t>
      </w:r>
    </w:p>
    <w:p w14:paraId="5ADEEF21">
      <w:pPr>
        <w:spacing w:after="70" w:line="330" w:lineRule="auto"/>
        <w:ind w:left="420" w:hanging="260"/>
        <w:rPr>
          <w:rFonts w:hint="eastAsia" w:ascii="宋体" w:hAnsi="宋体" w:eastAsia="宋体" w:cs="宋体"/>
        </w:rPr>
      </w:pPr>
      <w:r>
        <w:rPr>
          <w:rFonts w:hint="eastAsia" w:ascii="宋体" w:hAnsi="宋体" w:eastAsia="宋体" w:cs="宋体"/>
          <w:color w:val="1F2937"/>
        </w:rPr>
        <w:t>1. 建立统一的监造业务入口，将所有监造参与角色纳入统一平台协同。</w:t>
      </w:r>
    </w:p>
    <w:p w14:paraId="2121DE19">
      <w:pPr>
        <w:spacing w:after="70" w:line="330" w:lineRule="auto"/>
        <w:ind w:left="420" w:hanging="260"/>
        <w:rPr>
          <w:rFonts w:hint="eastAsia" w:ascii="宋体" w:hAnsi="宋体" w:eastAsia="宋体" w:cs="宋体"/>
        </w:rPr>
      </w:pPr>
      <w:r>
        <w:rPr>
          <w:rFonts w:hint="eastAsia" w:ascii="宋体" w:hAnsi="宋体" w:eastAsia="宋体" w:cs="宋体"/>
          <w:color w:val="1F2937"/>
        </w:rPr>
        <w:t>2. 建立标准化的监造依据体系，实现体系文件、标准模板和业务表单的版本化管理。</w:t>
      </w:r>
    </w:p>
    <w:p w14:paraId="73FEC479">
      <w:pPr>
        <w:spacing w:after="70" w:line="330" w:lineRule="auto"/>
        <w:ind w:left="420" w:hanging="260"/>
        <w:rPr>
          <w:rFonts w:hint="eastAsia" w:ascii="宋体" w:hAnsi="宋体" w:eastAsia="宋体" w:cs="宋体"/>
        </w:rPr>
      </w:pPr>
      <w:r>
        <w:rPr>
          <w:rFonts w:hint="eastAsia" w:ascii="宋体" w:hAnsi="宋体" w:eastAsia="宋体" w:cs="宋体"/>
          <w:color w:val="1F2937"/>
        </w:rPr>
        <w:t>3. 建立全过程质量控制体系，使质量计划、见证执行、问题单、验收记录、放行资料彼此关联。</w:t>
      </w:r>
    </w:p>
    <w:p w14:paraId="5F0C3FDD">
      <w:pPr>
        <w:spacing w:after="70" w:line="330" w:lineRule="auto"/>
        <w:ind w:left="420" w:hanging="260"/>
        <w:rPr>
          <w:rFonts w:hint="eastAsia" w:ascii="宋体" w:hAnsi="宋体" w:eastAsia="宋体" w:cs="宋体"/>
        </w:rPr>
      </w:pPr>
      <w:r>
        <w:rPr>
          <w:rFonts w:hint="eastAsia" w:ascii="宋体" w:hAnsi="宋体" w:eastAsia="宋体" w:cs="宋体"/>
          <w:color w:val="1F2937"/>
        </w:rPr>
        <w:t>4. 建立从采购物项到二维码追溯的质量数据链，实现可联查、可回溯、可统计。</w:t>
      </w:r>
    </w:p>
    <w:p w14:paraId="445B34A0">
      <w:pPr>
        <w:spacing w:after="70" w:line="330" w:lineRule="auto"/>
        <w:ind w:left="420" w:hanging="260"/>
        <w:rPr>
          <w:rFonts w:hint="eastAsia" w:ascii="宋体" w:hAnsi="宋体" w:eastAsia="宋体" w:cs="宋体"/>
        </w:rPr>
      </w:pPr>
      <w:r>
        <w:rPr>
          <w:rFonts w:hint="eastAsia" w:ascii="宋体" w:hAnsi="宋体" w:eastAsia="宋体" w:cs="宋体"/>
          <w:color w:val="1F2937"/>
        </w:rPr>
        <w:t>5. 建立可服务于试运行、验收、运维、培训和后续扩展的技术与资料交付体系。</w:t>
      </w:r>
    </w:p>
    <w:p w14:paraId="69702F1A">
      <w:pPr>
        <w:pStyle w:val="6"/>
        <w:bidi w:val="0"/>
        <w:rPr>
          <w:rFonts w:hint="eastAsia"/>
          <w:b w:val="0"/>
          <w:bCs w:val="0"/>
          <w:lang w:val="en-US" w:eastAsia="zh-CN"/>
        </w:rPr>
      </w:pPr>
      <w:r>
        <w:rPr>
          <w:rFonts w:hint="eastAsia"/>
          <w:b w:val="0"/>
          <w:bCs w:val="0"/>
          <w:lang w:val="en-US" w:eastAsia="zh-CN"/>
        </w:rPr>
        <w:t>11.1.2.2 本期建设范围总表</w:t>
      </w:r>
    </w:p>
    <w:tbl>
      <w:tblPr>
        <w:tblStyle w:val="17"/>
        <w:tblW w:w="928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333"/>
        <w:gridCol w:w="6277"/>
        <w:gridCol w:w="1676"/>
      </w:tblGrid>
      <w:tr w14:paraId="0AD1D8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1333" w:type="dxa"/>
            <w:tcBorders>
              <w:top w:val="single" w:color="D8DEE9" w:sz="4" w:space="0"/>
              <w:left w:val="single" w:color="D8DEE9" w:sz="4" w:space="0"/>
              <w:bottom w:val="nil"/>
              <w:right w:val="nil"/>
            </w:tcBorders>
            <w:shd w:val="clear" w:color="auto" w:fill="E9F1F8"/>
            <w:noWrap w:val="0"/>
            <w:tcMar>
              <w:top w:w="100" w:type="dxa"/>
              <w:left w:w="120" w:type="dxa"/>
              <w:bottom w:w="100" w:type="dxa"/>
              <w:right w:w="120" w:type="dxa"/>
            </w:tcMar>
            <w:vAlign w:val="center"/>
          </w:tcPr>
          <w:p w14:paraId="6AE465CB">
            <w:pPr>
              <w:snapToGrid w:val="0"/>
              <w:spacing w:after="0" w:line="240" w:lineRule="auto"/>
              <w:ind w:left="0" w:leftChars="0" w:right="0" w:rightChars="0" w:firstLine="0" w:firstLineChars="0"/>
              <w:jc w:val="both"/>
              <w:rPr>
                <w:rFonts w:hint="eastAsia" w:ascii="宋体" w:hAnsi="宋体" w:eastAsia="宋体" w:cs="宋体"/>
                <w:b/>
                <w:sz w:val="18"/>
              </w:rPr>
            </w:pPr>
            <w:r>
              <w:rPr>
                <w:rFonts w:hint="eastAsia" w:ascii="宋体" w:hAnsi="宋体" w:eastAsia="宋体" w:cs="宋体"/>
                <w:b/>
                <w:bCs/>
                <w:color w:val="172033"/>
                <w:sz w:val="18"/>
                <w:szCs w:val="18"/>
              </w:rPr>
              <w:t>范围分类</w:t>
            </w:r>
          </w:p>
        </w:tc>
        <w:tc>
          <w:tcPr>
            <w:tcW w:w="6278" w:type="dxa"/>
            <w:tcBorders>
              <w:top w:val="single" w:color="D8DEE9" w:sz="4" w:space="0"/>
              <w:left w:val="single" w:color="D8DEE9" w:sz="4" w:space="0"/>
              <w:bottom w:val="nil"/>
              <w:right w:val="nil"/>
            </w:tcBorders>
            <w:shd w:val="clear" w:color="auto" w:fill="E9F1F8"/>
            <w:noWrap w:val="0"/>
            <w:tcMar>
              <w:top w:w="100" w:type="dxa"/>
              <w:left w:w="120" w:type="dxa"/>
              <w:bottom w:w="100" w:type="dxa"/>
              <w:right w:w="120" w:type="dxa"/>
            </w:tcMar>
            <w:vAlign w:val="center"/>
          </w:tcPr>
          <w:p w14:paraId="0846332D">
            <w:pPr>
              <w:snapToGrid w:val="0"/>
              <w:spacing w:after="0" w:line="240" w:lineRule="auto"/>
              <w:ind w:left="0" w:leftChars="0" w:right="0" w:rightChars="0" w:firstLine="0" w:firstLineChars="0"/>
              <w:jc w:val="both"/>
              <w:rPr>
                <w:rFonts w:hint="eastAsia" w:ascii="宋体" w:hAnsi="宋体" w:eastAsia="宋体" w:cs="宋体"/>
                <w:b/>
                <w:sz w:val="18"/>
              </w:rPr>
            </w:pPr>
            <w:r>
              <w:rPr>
                <w:rFonts w:hint="eastAsia" w:ascii="宋体" w:hAnsi="宋体" w:eastAsia="宋体" w:cs="宋体"/>
                <w:b/>
                <w:bCs/>
                <w:color w:val="172033"/>
                <w:sz w:val="18"/>
                <w:szCs w:val="18"/>
              </w:rPr>
              <w:t>本期建设内容</w:t>
            </w:r>
          </w:p>
        </w:tc>
        <w:tc>
          <w:tcPr>
            <w:tcW w:w="1676" w:type="dxa"/>
            <w:tcBorders>
              <w:top w:val="single" w:color="D8DEE9" w:sz="4" w:space="0"/>
              <w:left w:val="single" w:color="D8DEE9" w:sz="4" w:space="0"/>
              <w:bottom w:val="nil"/>
              <w:right w:val="single" w:color="D8DEE9" w:sz="4" w:space="0"/>
            </w:tcBorders>
            <w:shd w:val="clear" w:color="auto" w:fill="E9F1F8"/>
            <w:noWrap w:val="0"/>
            <w:tcMar>
              <w:top w:w="100" w:type="dxa"/>
              <w:left w:w="120" w:type="dxa"/>
              <w:bottom w:w="100" w:type="dxa"/>
              <w:right w:w="120" w:type="dxa"/>
            </w:tcMar>
            <w:vAlign w:val="center"/>
          </w:tcPr>
          <w:p w14:paraId="3E071F48">
            <w:pPr>
              <w:snapToGrid w:val="0"/>
              <w:spacing w:after="0" w:line="240" w:lineRule="auto"/>
              <w:ind w:left="0" w:leftChars="0" w:right="0" w:rightChars="0" w:firstLine="0" w:firstLineChars="0"/>
              <w:jc w:val="both"/>
              <w:rPr>
                <w:rFonts w:hint="eastAsia" w:ascii="宋体" w:hAnsi="宋体" w:eastAsia="宋体" w:cs="宋体"/>
                <w:b/>
                <w:sz w:val="18"/>
              </w:rPr>
            </w:pPr>
            <w:r>
              <w:rPr>
                <w:rFonts w:hint="eastAsia" w:ascii="宋体" w:hAnsi="宋体" w:eastAsia="宋体" w:cs="宋体"/>
                <w:b/>
                <w:bCs/>
                <w:color w:val="172033"/>
                <w:sz w:val="18"/>
                <w:szCs w:val="18"/>
              </w:rPr>
              <w:t>说明</w:t>
            </w:r>
          </w:p>
        </w:tc>
      </w:tr>
      <w:tr w14:paraId="64DCBC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333" w:type="dxa"/>
            <w:tcBorders>
              <w:top w:val="single" w:color="D8DEE9" w:sz="4" w:space="0"/>
              <w:left w:val="single" w:color="D8DEE9" w:sz="4" w:space="0"/>
              <w:bottom w:val="nil"/>
              <w:right w:val="nil"/>
            </w:tcBorders>
            <w:noWrap w:val="0"/>
            <w:tcMar>
              <w:top w:w="100" w:type="dxa"/>
              <w:left w:w="120" w:type="dxa"/>
              <w:bottom w:w="100" w:type="dxa"/>
              <w:right w:w="120" w:type="dxa"/>
            </w:tcMar>
            <w:vAlign w:val="center"/>
          </w:tcPr>
          <w:p w14:paraId="5CA99258">
            <w:pPr>
              <w:snapToGrid w:val="0"/>
              <w:spacing w:after="0" w:line="240" w:lineRule="auto"/>
              <w:ind w:left="0" w:leftChars="0" w:right="0" w:rightChars="0" w:firstLine="0" w:firstLineChars="0"/>
              <w:jc w:val="center"/>
              <w:rPr>
                <w:rFonts w:hint="eastAsia" w:ascii="宋体" w:hAnsi="宋体" w:eastAsia="宋体" w:cs="宋体"/>
                <w:sz w:val="18"/>
              </w:rPr>
            </w:pPr>
            <w:r>
              <w:rPr>
                <w:rFonts w:hint="eastAsia" w:ascii="宋体" w:hAnsi="宋体" w:eastAsia="宋体" w:cs="宋体"/>
                <w:b w:val="0"/>
                <w:bCs w:val="0"/>
                <w:color w:val="172033"/>
                <w:sz w:val="18"/>
                <w:szCs w:val="18"/>
              </w:rPr>
              <w:t>统一基础平台</w:t>
            </w:r>
          </w:p>
        </w:tc>
        <w:tc>
          <w:tcPr>
            <w:tcW w:w="6278" w:type="dxa"/>
            <w:tcBorders>
              <w:top w:val="single" w:color="D8DEE9" w:sz="4" w:space="0"/>
              <w:left w:val="single" w:color="D8DEE9" w:sz="4" w:space="0"/>
              <w:bottom w:val="nil"/>
              <w:right w:val="nil"/>
            </w:tcBorders>
            <w:noWrap w:val="0"/>
            <w:tcMar>
              <w:top w:w="100" w:type="dxa"/>
              <w:left w:w="120" w:type="dxa"/>
              <w:bottom w:w="100" w:type="dxa"/>
              <w:right w:w="120" w:type="dxa"/>
            </w:tcMar>
            <w:vAlign w:val="center"/>
          </w:tcPr>
          <w:p w14:paraId="11F87DA5">
            <w:pPr>
              <w:snapToGrid w:val="0"/>
              <w:spacing w:after="0" w:line="240" w:lineRule="auto"/>
              <w:ind w:left="0" w:leftChars="0" w:right="0" w:rightChars="0" w:firstLine="0" w:firstLineChars="0"/>
              <w:jc w:val="left"/>
              <w:rPr>
                <w:rFonts w:hint="eastAsia" w:ascii="宋体" w:hAnsi="宋体" w:eastAsia="宋体" w:cs="宋体"/>
                <w:sz w:val="18"/>
              </w:rPr>
            </w:pPr>
            <w:r>
              <w:rPr>
                <w:rFonts w:hint="eastAsia" w:ascii="宋体" w:hAnsi="宋体" w:eastAsia="宋体" w:cs="宋体"/>
                <w:b w:val="0"/>
                <w:bCs w:val="0"/>
                <w:color w:val="172033"/>
                <w:sz w:val="18"/>
                <w:szCs w:val="18"/>
              </w:rPr>
              <w:t>统一登录、权限控制、待办中心、消息提醒、日志留痕、文档归档</w:t>
            </w:r>
          </w:p>
        </w:tc>
        <w:tc>
          <w:tcPr>
            <w:tcW w:w="1676" w:type="dxa"/>
            <w:tcBorders>
              <w:top w:val="single" w:color="D8DEE9" w:sz="4" w:space="0"/>
              <w:left w:val="single" w:color="D8DEE9" w:sz="4" w:space="0"/>
              <w:bottom w:val="nil"/>
              <w:right w:val="single" w:color="D8DEE9" w:sz="4" w:space="0"/>
            </w:tcBorders>
            <w:noWrap w:val="0"/>
            <w:tcMar>
              <w:top w:w="100" w:type="dxa"/>
              <w:left w:w="120" w:type="dxa"/>
              <w:bottom w:w="100" w:type="dxa"/>
              <w:right w:w="120" w:type="dxa"/>
            </w:tcMar>
            <w:vAlign w:val="center"/>
          </w:tcPr>
          <w:p w14:paraId="64BC6809">
            <w:pPr>
              <w:snapToGrid w:val="0"/>
              <w:spacing w:after="0" w:line="240" w:lineRule="auto"/>
              <w:ind w:left="0" w:leftChars="0" w:right="0" w:rightChars="0" w:firstLine="0" w:firstLineChars="0"/>
              <w:jc w:val="left"/>
              <w:rPr>
                <w:rFonts w:hint="eastAsia" w:ascii="宋体" w:hAnsi="宋体" w:eastAsia="宋体" w:cs="宋体"/>
                <w:sz w:val="18"/>
              </w:rPr>
            </w:pPr>
            <w:r>
              <w:rPr>
                <w:rFonts w:hint="eastAsia" w:ascii="宋体" w:hAnsi="宋体" w:eastAsia="宋体" w:cs="宋体"/>
                <w:b w:val="0"/>
                <w:bCs w:val="0"/>
                <w:color w:val="172033"/>
                <w:sz w:val="18"/>
                <w:szCs w:val="18"/>
              </w:rPr>
              <w:t>作为全系统底座</w:t>
            </w:r>
          </w:p>
        </w:tc>
      </w:tr>
      <w:tr w14:paraId="6A13E7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333" w:type="dxa"/>
            <w:tcBorders>
              <w:top w:val="single" w:color="D8DEE9" w:sz="4" w:space="0"/>
              <w:left w:val="single" w:color="D8DEE9" w:sz="4" w:space="0"/>
              <w:bottom w:val="nil"/>
              <w:right w:val="nil"/>
            </w:tcBorders>
            <w:noWrap w:val="0"/>
            <w:tcMar>
              <w:top w:w="100" w:type="dxa"/>
              <w:left w:w="120" w:type="dxa"/>
              <w:bottom w:w="100" w:type="dxa"/>
              <w:right w:w="120" w:type="dxa"/>
            </w:tcMar>
            <w:vAlign w:val="center"/>
          </w:tcPr>
          <w:p w14:paraId="577103A8">
            <w:pPr>
              <w:snapToGrid w:val="0"/>
              <w:spacing w:after="0" w:line="240" w:lineRule="auto"/>
              <w:ind w:left="0" w:leftChars="0" w:right="0" w:rightChars="0" w:firstLine="0" w:firstLineChars="0"/>
              <w:jc w:val="center"/>
              <w:rPr>
                <w:rFonts w:hint="eastAsia" w:ascii="宋体" w:hAnsi="宋体" w:eastAsia="宋体" w:cs="宋体"/>
                <w:sz w:val="18"/>
              </w:rPr>
            </w:pPr>
            <w:r>
              <w:rPr>
                <w:rFonts w:hint="eastAsia" w:ascii="宋体" w:hAnsi="宋体" w:eastAsia="宋体" w:cs="宋体"/>
                <w:b w:val="0"/>
                <w:bCs w:val="0"/>
                <w:color w:val="172033"/>
                <w:sz w:val="18"/>
                <w:szCs w:val="18"/>
              </w:rPr>
              <w:t>双数据接入模块</w:t>
            </w:r>
          </w:p>
        </w:tc>
        <w:tc>
          <w:tcPr>
            <w:tcW w:w="6278" w:type="dxa"/>
            <w:tcBorders>
              <w:top w:val="single" w:color="D8DEE9" w:sz="4" w:space="0"/>
              <w:left w:val="single" w:color="D8DEE9" w:sz="4" w:space="0"/>
              <w:bottom w:val="nil"/>
              <w:right w:val="nil"/>
            </w:tcBorders>
            <w:noWrap w:val="0"/>
            <w:tcMar>
              <w:top w:w="100" w:type="dxa"/>
              <w:left w:w="120" w:type="dxa"/>
              <w:bottom w:w="100" w:type="dxa"/>
              <w:right w:w="120" w:type="dxa"/>
            </w:tcMar>
            <w:vAlign w:val="center"/>
          </w:tcPr>
          <w:p w14:paraId="17F7BB93">
            <w:pPr>
              <w:snapToGrid w:val="0"/>
              <w:spacing w:after="0" w:line="240" w:lineRule="auto"/>
              <w:ind w:left="0" w:leftChars="0" w:right="0" w:rightChars="0" w:firstLine="0" w:firstLineChars="0"/>
              <w:jc w:val="left"/>
              <w:rPr>
                <w:rFonts w:hint="eastAsia" w:ascii="宋体" w:hAnsi="宋体" w:eastAsia="宋体" w:cs="宋体"/>
                <w:sz w:val="18"/>
              </w:rPr>
            </w:pPr>
            <w:r>
              <w:rPr>
                <w:rFonts w:hint="eastAsia" w:ascii="宋体" w:hAnsi="宋体" w:eastAsia="宋体" w:cs="宋体"/>
                <w:b w:val="0"/>
                <w:bCs w:val="0"/>
                <w:color w:val="172033"/>
                <w:sz w:val="18"/>
                <w:szCs w:val="18"/>
              </w:rPr>
              <w:t>原材料采购全流程追溯模块、设备采购全流程追溯模块</w:t>
            </w:r>
          </w:p>
        </w:tc>
        <w:tc>
          <w:tcPr>
            <w:tcW w:w="1676" w:type="dxa"/>
            <w:tcBorders>
              <w:top w:val="single" w:color="D8DEE9" w:sz="4" w:space="0"/>
              <w:left w:val="single" w:color="D8DEE9" w:sz="4" w:space="0"/>
              <w:bottom w:val="nil"/>
              <w:right w:val="single" w:color="D8DEE9" w:sz="4" w:space="0"/>
            </w:tcBorders>
            <w:noWrap w:val="0"/>
            <w:tcMar>
              <w:top w:w="100" w:type="dxa"/>
              <w:left w:w="120" w:type="dxa"/>
              <w:bottom w:w="100" w:type="dxa"/>
              <w:right w:w="120" w:type="dxa"/>
            </w:tcMar>
            <w:vAlign w:val="center"/>
          </w:tcPr>
          <w:p w14:paraId="10A01B76">
            <w:pPr>
              <w:snapToGrid w:val="0"/>
              <w:spacing w:after="0" w:line="240" w:lineRule="auto"/>
              <w:ind w:left="0" w:leftChars="0" w:right="0" w:rightChars="0" w:firstLine="0" w:firstLineChars="0"/>
              <w:jc w:val="left"/>
              <w:rPr>
                <w:rFonts w:hint="eastAsia" w:ascii="宋体" w:hAnsi="宋体" w:eastAsia="宋体" w:cs="宋体"/>
                <w:sz w:val="18"/>
              </w:rPr>
            </w:pPr>
            <w:r>
              <w:rPr>
                <w:rFonts w:hint="eastAsia" w:ascii="宋体" w:hAnsi="宋体" w:eastAsia="宋体" w:cs="宋体"/>
                <w:b w:val="0"/>
                <w:bCs w:val="0"/>
                <w:color w:val="172033"/>
                <w:sz w:val="18"/>
                <w:szCs w:val="18"/>
              </w:rPr>
              <w:t>必须逻辑隔离、统一管控</w:t>
            </w:r>
          </w:p>
        </w:tc>
      </w:tr>
      <w:tr w14:paraId="76203F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333" w:type="dxa"/>
            <w:tcBorders>
              <w:top w:val="single" w:color="D8DEE9" w:sz="4" w:space="0"/>
              <w:left w:val="single" w:color="D8DEE9" w:sz="4" w:space="0"/>
              <w:bottom w:val="nil"/>
              <w:right w:val="nil"/>
            </w:tcBorders>
            <w:noWrap w:val="0"/>
            <w:tcMar>
              <w:top w:w="100" w:type="dxa"/>
              <w:left w:w="120" w:type="dxa"/>
              <w:bottom w:w="100" w:type="dxa"/>
              <w:right w:w="120" w:type="dxa"/>
            </w:tcMar>
            <w:vAlign w:val="center"/>
          </w:tcPr>
          <w:p w14:paraId="4FE67B51">
            <w:pPr>
              <w:snapToGrid w:val="0"/>
              <w:spacing w:after="0" w:line="240" w:lineRule="auto"/>
              <w:ind w:left="0" w:leftChars="0" w:right="0" w:rightChars="0" w:firstLine="0" w:firstLineChars="0"/>
              <w:jc w:val="center"/>
              <w:rPr>
                <w:rFonts w:hint="eastAsia" w:ascii="宋体" w:hAnsi="宋体" w:eastAsia="宋体" w:cs="宋体"/>
                <w:sz w:val="18"/>
              </w:rPr>
            </w:pPr>
            <w:r>
              <w:rPr>
                <w:rFonts w:hint="eastAsia" w:ascii="宋体" w:hAnsi="宋体" w:eastAsia="宋体" w:cs="宋体"/>
                <w:b w:val="0"/>
                <w:bCs w:val="0"/>
                <w:color w:val="172033"/>
                <w:sz w:val="18"/>
                <w:szCs w:val="18"/>
              </w:rPr>
              <w:t>业务模块</w:t>
            </w:r>
          </w:p>
        </w:tc>
        <w:tc>
          <w:tcPr>
            <w:tcW w:w="6278" w:type="dxa"/>
            <w:tcBorders>
              <w:top w:val="single" w:color="D8DEE9" w:sz="4" w:space="0"/>
              <w:left w:val="single" w:color="D8DEE9" w:sz="4" w:space="0"/>
              <w:bottom w:val="nil"/>
              <w:right w:val="nil"/>
            </w:tcBorders>
            <w:noWrap w:val="0"/>
            <w:tcMar>
              <w:top w:w="100" w:type="dxa"/>
              <w:left w:w="120" w:type="dxa"/>
              <w:bottom w:w="100" w:type="dxa"/>
              <w:right w:w="120" w:type="dxa"/>
            </w:tcMar>
            <w:vAlign w:val="center"/>
          </w:tcPr>
          <w:p w14:paraId="7DF60E08">
            <w:pPr>
              <w:snapToGrid w:val="0"/>
              <w:spacing w:after="0" w:line="240" w:lineRule="auto"/>
              <w:ind w:left="0" w:leftChars="0" w:right="0" w:rightChars="0" w:firstLine="0" w:firstLineChars="0"/>
              <w:jc w:val="left"/>
              <w:rPr>
                <w:rFonts w:hint="eastAsia" w:ascii="宋体" w:hAnsi="宋体" w:eastAsia="宋体" w:cs="宋体"/>
                <w:sz w:val="18"/>
              </w:rPr>
            </w:pPr>
            <w:r>
              <w:rPr>
                <w:rFonts w:hint="eastAsia" w:ascii="宋体" w:hAnsi="宋体" w:eastAsia="宋体" w:cs="宋体"/>
                <w:b w:val="0"/>
                <w:bCs w:val="0"/>
                <w:color w:val="172033"/>
                <w:sz w:val="18"/>
                <w:szCs w:val="18"/>
              </w:rPr>
              <w:t>体系文件、任务分配、监造策划、供方文件审核、质量计划、监造执行、问题处理、巡查抽验、记录完工、验收放行</w:t>
            </w:r>
          </w:p>
        </w:tc>
        <w:tc>
          <w:tcPr>
            <w:tcW w:w="1676" w:type="dxa"/>
            <w:tcBorders>
              <w:top w:val="single" w:color="D8DEE9" w:sz="4" w:space="0"/>
              <w:left w:val="single" w:color="D8DEE9" w:sz="4" w:space="0"/>
              <w:bottom w:val="nil"/>
              <w:right w:val="single" w:color="D8DEE9" w:sz="4" w:space="0"/>
            </w:tcBorders>
            <w:noWrap w:val="0"/>
            <w:tcMar>
              <w:top w:w="100" w:type="dxa"/>
              <w:left w:w="120" w:type="dxa"/>
              <w:bottom w:w="100" w:type="dxa"/>
              <w:right w:w="120" w:type="dxa"/>
            </w:tcMar>
            <w:vAlign w:val="center"/>
          </w:tcPr>
          <w:p w14:paraId="15E39BE3">
            <w:pPr>
              <w:snapToGrid w:val="0"/>
              <w:spacing w:after="0" w:line="240" w:lineRule="auto"/>
              <w:ind w:left="0" w:leftChars="0" w:right="0" w:rightChars="0" w:firstLine="0" w:firstLineChars="0"/>
              <w:jc w:val="left"/>
              <w:rPr>
                <w:rFonts w:hint="eastAsia" w:ascii="宋体" w:hAnsi="宋体" w:eastAsia="宋体" w:cs="宋体"/>
                <w:sz w:val="18"/>
              </w:rPr>
            </w:pPr>
            <w:r>
              <w:rPr>
                <w:rFonts w:hint="eastAsia" w:ascii="宋体" w:hAnsi="宋体" w:eastAsia="宋体" w:cs="宋体"/>
                <w:b w:val="0"/>
                <w:bCs w:val="0"/>
                <w:color w:val="172033"/>
                <w:sz w:val="18"/>
                <w:szCs w:val="18"/>
              </w:rPr>
              <w:t>构成主业务链</w:t>
            </w:r>
          </w:p>
        </w:tc>
      </w:tr>
      <w:tr w14:paraId="55DE61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333" w:type="dxa"/>
            <w:tcBorders>
              <w:top w:val="single" w:color="D8DEE9" w:sz="4" w:space="0"/>
              <w:left w:val="single" w:color="D8DEE9" w:sz="4" w:space="0"/>
              <w:bottom w:val="nil"/>
              <w:right w:val="nil"/>
            </w:tcBorders>
            <w:noWrap w:val="0"/>
            <w:tcMar>
              <w:top w:w="100" w:type="dxa"/>
              <w:left w:w="120" w:type="dxa"/>
              <w:bottom w:w="100" w:type="dxa"/>
              <w:right w:w="120" w:type="dxa"/>
            </w:tcMar>
            <w:vAlign w:val="center"/>
          </w:tcPr>
          <w:p w14:paraId="708321BB">
            <w:pPr>
              <w:snapToGrid w:val="0"/>
              <w:spacing w:after="0" w:line="240" w:lineRule="auto"/>
              <w:ind w:left="0" w:leftChars="0" w:right="0" w:rightChars="0" w:firstLine="0" w:firstLineChars="0"/>
              <w:jc w:val="center"/>
              <w:rPr>
                <w:rFonts w:hint="eastAsia" w:ascii="宋体" w:hAnsi="宋体" w:eastAsia="宋体" w:cs="宋体"/>
                <w:sz w:val="18"/>
              </w:rPr>
            </w:pPr>
            <w:r>
              <w:rPr>
                <w:rFonts w:hint="eastAsia" w:ascii="宋体" w:hAnsi="宋体" w:eastAsia="宋体" w:cs="宋体"/>
                <w:b w:val="0"/>
                <w:bCs w:val="0"/>
                <w:color w:val="172033"/>
                <w:sz w:val="18"/>
                <w:szCs w:val="18"/>
              </w:rPr>
              <w:t>管理分析模块</w:t>
            </w:r>
          </w:p>
        </w:tc>
        <w:tc>
          <w:tcPr>
            <w:tcW w:w="6278" w:type="dxa"/>
            <w:tcBorders>
              <w:top w:val="single" w:color="D8DEE9" w:sz="4" w:space="0"/>
              <w:left w:val="single" w:color="D8DEE9" w:sz="4" w:space="0"/>
              <w:bottom w:val="nil"/>
              <w:right w:val="nil"/>
            </w:tcBorders>
            <w:noWrap w:val="0"/>
            <w:tcMar>
              <w:top w:w="100" w:type="dxa"/>
              <w:left w:w="120" w:type="dxa"/>
              <w:bottom w:w="100" w:type="dxa"/>
              <w:right w:w="120" w:type="dxa"/>
            </w:tcMar>
            <w:vAlign w:val="center"/>
          </w:tcPr>
          <w:p w14:paraId="000F50CA">
            <w:pPr>
              <w:snapToGrid w:val="0"/>
              <w:spacing w:after="0" w:line="240" w:lineRule="auto"/>
              <w:ind w:left="0" w:leftChars="0" w:right="0" w:rightChars="0" w:firstLine="0" w:firstLineChars="0"/>
              <w:jc w:val="left"/>
              <w:rPr>
                <w:rFonts w:hint="eastAsia" w:ascii="宋体" w:hAnsi="宋体" w:eastAsia="宋体" w:cs="宋体"/>
                <w:sz w:val="18"/>
              </w:rPr>
            </w:pPr>
            <w:r>
              <w:rPr>
                <w:rFonts w:hint="eastAsia" w:ascii="宋体" w:hAnsi="宋体" w:eastAsia="宋体" w:cs="宋体"/>
                <w:b w:val="0"/>
                <w:bCs w:val="0"/>
                <w:color w:val="172033"/>
                <w:sz w:val="18"/>
                <w:szCs w:val="18"/>
              </w:rPr>
              <w:t>质量追溯、统计分析、趋势分析、风险预警、可视化管理、工作量量化</w:t>
            </w:r>
          </w:p>
        </w:tc>
        <w:tc>
          <w:tcPr>
            <w:tcW w:w="1676" w:type="dxa"/>
            <w:tcBorders>
              <w:top w:val="single" w:color="D8DEE9" w:sz="4" w:space="0"/>
              <w:left w:val="single" w:color="D8DEE9" w:sz="4" w:space="0"/>
              <w:bottom w:val="nil"/>
              <w:right w:val="single" w:color="D8DEE9" w:sz="4" w:space="0"/>
            </w:tcBorders>
            <w:noWrap w:val="0"/>
            <w:tcMar>
              <w:top w:w="100" w:type="dxa"/>
              <w:left w:w="120" w:type="dxa"/>
              <w:bottom w:w="100" w:type="dxa"/>
              <w:right w:w="120" w:type="dxa"/>
            </w:tcMar>
            <w:vAlign w:val="center"/>
          </w:tcPr>
          <w:p w14:paraId="304E9E62">
            <w:pPr>
              <w:snapToGrid w:val="0"/>
              <w:spacing w:after="0" w:line="240" w:lineRule="auto"/>
              <w:ind w:left="0" w:leftChars="0" w:right="0" w:rightChars="0" w:firstLine="0" w:firstLineChars="0"/>
              <w:jc w:val="left"/>
              <w:rPr>
                <w:rFonts w:hint="eastAsia" w:ascii="宋体" w:hAnsi="宋体" w:eastAsia="宋体" w:cs="宋体"/>
                <w:sz w:val="18"/>
              </w:rPr>
            </w:pPr>
            <w:r>
              <w:rPr>
                <w:rFonts w:hint="eastAsia" w:ascii="宋体" w:hAnsi="宋体" w:eastAsia="宋体" w:cs="宋体"/>
                <w:b w:val="0"/>
                <w:bCs w:val="0"/>
                <w:color w:val="172033"/>
                <w:sz w:val="18"/>
                <w:szCs w:val="18"/>
              </w:rPr>
              <w:t>形成管理驾驶舱</w:t>
            </w:r>
          </w:p>
        </w:tc>
      </w:tr>
      <w:tr w14:paraId="5729C4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333" w:type="dxa"/>
            <w:tcBorders>
              <w:top w:val="single" w:color="D8DEE9" w:sz="4" w:space="0"/>
              <w:left w:val="single" w:color="D8DEE9" w:sz="4" w:space="0"/>
              <w:bottom w:val="nil"/>
              <w:right w:val="nil"/>
            </w:tcBorders>
            <w:noWrap w:val="0"/>
            <w:tcMar>
              <w:top w:w="100" w:type="dxa"/>
              <w:left w:w="120" w:type="dxa"/>
              <w:bottom w:w="100" w:type="dxa"/>
              <w:right w:w="120" w:type="dxa"/>
            </w:tcMar>
            <w:vAlign w:val="center"/>
          </w:tcPr>
          <w:p w14:paraId="0FDAA367">
            <w:pPr>
              <w:snapToGrid w:val="0"/>
              <w:spacing w:after="0" w:line="240" w:lineRule="auto"/>
              <w:ind w:left="0" w:leftChars="0" w:right="0" w:rightChars="0" w:firstLine="0" w:firstLineChars="0"/>
              <w:jc w:val="center"/>
              <w:rPr>
                <w:rFonts w:hint="eastAsia" w:ascii="宋体" w:hAnsi="宋体" w:eastAsia="宋体" w:cs="宋体"/>
                <w:sz w:val="18"/>
              </w:rPr>
            </w:pPr>
            <w:r>
              <w:rPr>
                <w:rFonts w:hint="eastAsia" w:ascii="宋体" w:hAnsi="宋体" w:eastAsia="宋体" w:cs="宋体"/>
                <w:b w:val="0"/>
                <w:bCs w:val="0"/>
                <w:color w:val="172033"/>
                <w:sz w:val="18"/>
                <w:szCs w:val="18"/>
              </w:rPr>
              <w:t>增效能力模块</w:t>
            </w:r>
          </w:p>
        </w:tc>
        <w:tc>
          <w:tcPr>
            <w:tcW w:w="6278" w:type="dxa"/>
            <w:tcBorders>
              <w:top w:val="single" w:color="D8DEE9" w:sz="4" w:space="0"/>
              <w:left w:val="single" w:color="D8DEE9" w:sz="4" w:space="0"/>
              <w:bottom w:val="nil"/>
              <w:right w:val="nil"/>
            </w:tcBorders>
            <w:noWrap w:val="0"/>
            <w:tcMar>
              <w:top w:w="100" w:type="dxa"/>
              <w:left w:w="120" w:type="dxa"/>
              <w:bottom w:w="100" w:type="dxa"/>
              <w:right w:w="120" w:type="dxa"/>
            </w:tcMar>
            <w:vAlign w:val="center"/>
          </w:tcPr>
          <w:p w14:paraId="7C4E6230">
            <w:pPr>
              <w:snapToGrid w:val="0"/>
              <w:spacing w:after="0" w:line="240" w:lineRule="auto"/>
              <w:ind w:left="0" w:leftChars="0" w:right="0" w:rightChars="0" w:firstLine="0" w:firstLineChars="0"/>
              <w:jc w:val="left"/>
              <w:rPr>
                <w:rFonts w:hint="eastAsia" w:ascii="宋体" w:hAnsi="宋体" w:eastAsia="宋体" w:cs="宋体"/>
                <w:sz w:val="18"/>
              </w:rPr>
            </w:pPr>
            <w:r>
              <w:rPr>
                <w:rFonts w:hint="eastAsia" w:ascii="宋体" w:hAnsi="宋体" w:eastAsia="宋体" w:cs="宋体"/>
                <w:b w:val="0"/>
                <w:bCs w:val="0"/>
                <w:color w:val="172033"/>
                <w:sz w:val="18"/>
                <w:szCs w:val="18"/>
              </w:rPr>
              <w:t>二维码、电子签名、图文识别、视频远程识别、培训考试、AI基础识别</w:t>
            </w:r>
          </w:p>
        </w:tc>
        <w:tc>
          <w:tcPr>
            <w:tcW w:w="1676" w:type="dxa"/>
            <w:tcBorders>
              <w:top w:val="single" w:color="D8DEE9" w:sz="4" w:space="0"/>
              <w:left w:val="single" w:color="D8DEE9" w:sz="4" w:space="0"/>
              <w:bottom w:val="nil"/>
              <w:right w:val="single" w:color="D8DEE9" w:sz="4" w:space="0"/>
            </w:tcBorders>
            <w:noWrap w:val="0"/>
            <w:tcMar>
              <w:top w:w="100" w:type="dxa"/>
              <w:left w:w="120" w:type="dxa"/>
              <w:bottom w:w="100" w:type="dxa"/>
              <w:right w:w="120" w:type="dxa"/>
            </w:tcMar>
            <w:vAlign w:val="center"/>
          </w:tcPr>
          <w:p w14:paraId="45365C4F">
            <w:pPr>
              <w:snapToGrid w:val="0"/>
              <w:spacing w:after="0" w:line="240" w:lineRule="auto"/>
              <w:ind w:left="0" w:leftChars="0" w:right="0" w:rightChars="0" w:firstLine="0" w:firstLineChars="0"/>
              <w:jc w:val="left"/>
              <w:rPr>
                <w:rFonts w:hint="eastAsia" w:ascii="宋体" w:hAnsi="宋体" w:eastAsia="宋体" w:cs="宋体"/>
                <w:sz w:val="18"/>
              </w:rPr>
            </w:pPr>
            <w:r>
              <w:rPr>
                <w:rFonts w:hint="eastAsia" w:ascii="宋体" w:hAnsi="宋体" w:eastAsia="宋体" w:cs="宋体"/>
                <w:b w:val="0"/>
                <w:bCs w:val="0"/>
                <w:color w:val="172033"/>
                <w:sz w:val="18"/>
                <w:szCs w:val="18"/>
              </w:rPr>
              <w:t>作为重点特色能力</w:t>
            </w:r>
          </w:p>
        </w:tc>
      </w:tr>
      <w:tr w14:paraId="477239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333" w:type="dxa"/>
            <w:tcBorders>
              <w:top w:val="single" w:color="D8DEE9" w:sz="4" w:space="0"/>
              <w:left w:val="single" w:color="D8DEE9" w:sz="4" w:space="0"/>
              <w:bottom w:val="single" w:color="D8DEE9" w:sz="4" w:space="0"/>
              <w:right w:val="nil"/>
            </w:tcBorders>
            <w:noWrap w:val="0"/>
            <w:tcMar>
              <w:top w:w="100" w:type="dxa"/>
              <w:left w:w="120" w:type="dxa"/>
              <w:bottom w:w="100" w:type="dxa"/>
              <w:right w:w="120" w:type="dxa"/>
            </w:tcMar>
            <w:vAlign w:val="center"/>
          </w:tcPr>
          <w:p w14:paraId="29A146A4">
            <w:pPr>
              <w:snapToGrid w:val="0"/>
              <w:spacing w:after="0" w:line="240" w:lineRule="auto"/>
              <w:ind w:left="0" w:leftChars="0" w:right="0" w:rightChars="0" w:firstLine="0" w:firstLineChars="0"/>
              <w:jc w:val="center"/>
              <w:rPr>
                <w:rFonts w:hint="eastAsia" w:ascii="宋体" w:hAnsi="宋体" w:eastAsia="宋体" w:cs="宋体"/>
                <w:sz w:val="18"/>
              </w:rPr>
            </w:pPr>
            <w:r>
              <w:rPr>
                <w:rFonts w:hint="eastAsia" w:ascii="宋体" w:hAnsi="宋体" w:eastAsia="宋体" w:cs="宋体"/>
                <w:b w:val="0"/>
                <w:bCs w:val="0"/>
                <w:color w:val="172033"/>
                <w:sz w:val="18"/>
                <w:szCs w:val="18"/>
              </w:rPr>
              <w:t>实施交付与服务</w:t>
            </w:r>
          </w:p>
        </w:tc>
        <w:tc>
          <w:tcPr>
            <w:tcW w:w="6278" w:type="dxa"/>
            <w:tcBorders>
              <w:top w:val="single" w:color="D8DEE9" w:sz="4" w:space="0"/>
              <w:left w:val="single" w:color="D8DEE9" w:sz="4" w:space="0"/>
              <w:bottom w:val="single" w:color="D8DEE9" w:sz="4" w:space="0"/>
              <w:right w:val="nil"/>
            </w:tcBorders>
            <w:noWrap w:val="0"/>
            <w:tcMar>
              <w:top w:w="100" w:type="dxa"/>
              <w:left w:w="120" w:type="dxa"/>
              <w:bottom w:w="100" w:type="dxa"/>
              <w:right w:w="120" w:type="dxa"/>
            </w:tcMar>
            <w:vAlign w:val="center"/>
          </w:tcPr>
          <w:p w14:paraId="2E681ECE">
            <w:pPr>
              <w:snapToGrid w:val="0"/>
              <w:spacing w:after="0" w:line="240" w:lineRule="auto"/>
              <w:ind w:left="0" w:leftChars="0" w:right="0" w:rightChars="0" w:firstLine="0" w:firstLineChars="0"/>
              <w:jc w:val="left"/>
              <w:rPr>
                <w:rFonts w:hint="eastAsia" w:ascii="宋体" w:hAnsi="宋体" w:eastAsia="宋体" w:cs="宋体"/>
                <w:sz w:val="18"/>
              </w:rPr>
            </w:pPr>
            <w:r>
              <w:rPr>
                <w:rFonts w:hint="eastAsia" w:ascii="宋体" w:hAnsi="宋体" w:eastAsia="宋体" w:cs="宋体"/>
                <w:b w:val="0"/>
                <w:bCs w:val="0"/>
                <w:color w:val="172033"/>
                <w:sz w:val="18"/>
                <w:szCs w:val="18"/>
              </w:rPr>
              <w:t>需求、设计、开发、测试、试运行、验收、培训、运维、交付资料</w:t>
            </w:r>
          </w:p>
        </w:tc>
        <w:tc>
          <w:tcPr>
            <w:tcW w:w="1676" w:type="dxa"/>
            <w:tcBorders>
              <w:top w:val="single" w:color="D8DEE9" w:sz="4" w:space="0"/>
              <w:left w:val="single" w:color="D8DEE9" w:sz="4" w:space="0"/>
              <w:bottom w:val="single" w:color="D8DEE9" w:sz="4" w:space="0"/>
              <w:right w:val="single" w:color="D8DEE9" w:sz="4" w:space="0"/>
            </w:tcBorders>
            <w:noWrap w:val="0"/>
            <w:tcMar>
              <w:top w:w="100" w:type="dxa"/>
              <w:left w:w="120" w:type="dxa"/>
              <w:bottom w:w="100" w:type="dxa"/>
              <w:right w:w="120" w:type="dxa"/>
            </w:tcMar>
            <w:vAlign w:val="center"/>
          </w:tcPr>
          <w:p w14:paraId="619AAA67">
            <w:pPr>
              <w:snapToGrid w:val="0"/>
              <w:spacing w:after="0" w:line="240" w:lineRule="auto"/>
              <w:ind w:left="0" w:leftChars="0" w:right="0" w:rightChars="0" w:firstLine="0" w:firstLineChars="0"/>
              <w:jc w:val="left"/>
              <w:rPr>
                <w:rFonts w:hint="eastAsia" w:ascii="宋体" w:hAnsi="宋体" w:eastAsia="宋体" w:cs="宋体"/>
                <w:sz w:val="18"/>
              </w:rPr>
            </w:pPr>
            <w:r>
              <w:rPr>
                <w:rFonts w:hint="eastAsia" w:ascii="宋体" w:hAnsi="宋体" w:eastAsia="宋体" w:cs="宋体"/>
                <w:b w:val="0"/>
                <w:bCs w:val="0"/>
                <w:color w:val="172033"/>
                <w:sz w:val="18"/>
                <w:szCs w:val="18"/>
              </w:rPr>
              <w:t>覆盖项目全生命周期</w:t>
            </w:r>
          </w:p>
        </w:tc>
      </w:tr>
    </w:tbl>
    <w:p w14:paraId="4D6C536D">
      <w:pPr>
        <w:spacing w:after="100"/>
        <w:rPr>
          <w:rFonts w:hint="eastAsia" w:ascii="宋体" w:hAnsi="宋体" w:eastAsia="宋体" w:cs="宋体"/>
        </w:rPr>
      </w:pPr>
    </w:p>
    <w:p w14:paraId="64655EBE">
      <w:pPr>
        <w:pStyle w:val="6"/>
        <w:bidi w:val="0"/>
        <w:rPr>
          <w:rFonts w:hint="eastAsia"/>
          <w:b w:val="0"/>
          <w:bCs w:val="0"/>
          <w:lang w:val="en-US" w:eastAsia="zh-CN"/>
        </w:rPr>
      </w:pPr>
      <w:r>
        <w:rPr>
          <w:rFonts w:hint="eastAsia"/>
          <w:b w:val="0"/>
          <w:bCs w:val="0"/>
          <w:lang w:val="en-US" w:eastAsia="zh-CN"/>
        </w:rPr>
        <w:t>11.1.2.3 项目业务现状、痛点与改造目标</w:t>
      </w:r>
    </w:p>
    <w:p w14:paraId="51AF850D">
      <w:pPr>
        <w:pStyle w:val="7"/>
        <w:bidi w:val="0"/>
        <w:rPr>
          <w:rFonts w:hint="eastAsia"/>
        </w:rPr>
      </w:pPr>
      <w:r>
        <w:rPr>
          <w:rFonts w:hint="eastAsia"/>
        </w:rPr>
        <w:t>1. 业务现状和痛点</w:t>
      </w:r>
    </w:p>
    <w:p w14:paraId="1C71FAA2">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结合招标文件和监造业务场景，本项目至少存在以下典型痛点：</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4"/>
        <w:gridCol w:w="3104"/>
        <w:gridCol w:w="3104"/>
      </w:tblGrid>
      <w:tr w14:paraId="2F63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9DCB749">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现状痛点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2CF3307">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典型问题</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206E4B4">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对项目的不利影响</w:t>
            </w:r>
          </w:p>
        </w:tc>
      </w:tr>
      <w:tr w14:paraId="7509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6D312F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监造依据分散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D3CF3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管理文件、第三方监造文件、规程标准、模板资料分散，版本控制弱</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F0C387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现场执行口径不一致</w:t>
            </w:r>
          </w:p>
        </w:tc>
      </w:tr>
      <w:tr w14:paraId="51B7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EA9BCD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任务与责任关系不清</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604EC3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采购包负责人变更、任务下发、权限调整依赖人工管理</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E56642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任务交接断档、责任不清</w:t>
            </w:r>
          </w:p>
        </w:tc>
      </w:tr>
      <w:tr w14:paraId="2519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4F63A6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质量计划与现场执行脱节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25DBE2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计划、见证点、现场记录和问题单未形成稳定关联</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91D26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后续追溯和完工总结困难</w:t>
            </w:r>
          </w:p>
        </w:tc>
      </w:tr>
      <w:tr w14:paraId="6A3D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C2ABAA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问题闭环依赖线下</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04E457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联系单、问题通知单、停工令等处理依赖邮件或纸面</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DDF8F9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整改时效和证据完整性不足</w:t>
            </w:r>
          </w:p>
        </w:tc>
      </w:tr>
      <w:tr w14:paraId="3D4D0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04AAC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管理层视角不足</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125A4B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难以快速掌握风险、进度、供应商表现和问题趋势</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BFCD7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难以进行及时干预</w:t>
            </w:r>
          </w:p>
        </w:tc>
      </w:tr>
      <w:tr w14:paraId="39206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8FDDD5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培训与能力沉淀不足</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56ABF8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培训和考试无法留痕，知识转移依赖口头说明</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610155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上线后使用深度和接管能力不足</w:t>
            </w:r>
          </w:p>
        </w:tc>
      </w:tr>
    </w:tbl>
    <w:p w14:paraId="584C2A32">
      <w:pPr>
        <w:spacing w:after="100"/>
        <w:rPr>
          <w:rFonts w:hint="eastAsia" w:ascii="宋体" w:hAnsi="宋体" w:eastAsia="宋体" w:cs="宋体"/>
        </w:rPr>
      </w:pPr>
    </w:p>
    <w:p w14:paraId="04D30123">
      <w:pPr>
        <w:pStyle w:val="7"/>
        <w:bidi w:val="0"/>
        <w:rPr>
          <w:rFonts w:hint="eastAsia"/>
        </w:rPr>
      </w:pPr>
      <w:r>
        <w:rPr>
          <w:rFonts w:hint="eastAsia"/>
        </w:rPr>
        <w:t>2. 改造目标</w:t>
      </w:r>
    </w:p>
    <w:p w14:paraId="249884B2">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针对上述问题，本项目建设后应达到以下改造目标：</w:t>
      </w:r>
    </w:p>
    <w:p w14:paraId="54E1B22E">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1. 让所有监造依据“进系统、可升版、可引用、可追溯”。</w:t>
      </w:r>
    </w:p>
    <w:p w14:paraId="1D8EF056">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2. 让所有监造任务“有归属、可交接、可留痕、可追责”。</w:t>
      </w:r>
    </w:p>
    <w:p w14:paraId="06C29746">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3. 让所有质量活动“从策划到验收都在线上可闭环”。</w:t>
      </w:r>
    </w:p>
    <w:p w14:paraId="1E7BA5FA">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4. 让所有关键数据“从过程数据变成决策数据”。</w:t>
      </w:r>
    </w:p>
    <w:p w14:paraId="736F0D67">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5. 让所有高风险操作“可审计、可恢复、可检查、可交付”。</w:t>
      </w:r>
    </w:p>
    <w:p w14:paraId="75980FF6">
      <w:pPr>
        <w:pStyle w:val="6"/>
        <w:bidi w:val="0"/>
        <w:rPr>
          <w:rFonts w:hint="eastAsia"/>
          <w:b w:val="0"/>
          <w:bCs w:val="0"/>
          <w:lang w:val="en-US" w:eastAsia="zh-CN"/>
        </w:rPr>
      </w:pPr>
      <w:r>
        <w:rPr>
          <w:rFonts w:hint="eastAsia"/>
          <w:b w:val="0"/>
          <w:bCs w:val="0"/>
          <w:lang w:val="en-US" w:eastAsia="zh-CN"/>
        </w:rPr>
        <w:t>11.1.2.4 核心角色用户画像</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8"/>
        <w:gridCol w:w="2328"/>
        <w:gridCol w:w="2328"/>
        <w:gridCol w:w="2328"/>
      </w:tblGrid>
      <w:tr w14:paraId="3D759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92B48F2">
            <w:pPr>
              <w:spacing w:after="0" w:line="300" w:lineRule="auto"/>
              <w:rPr>
                <w:rFonts w:hint="eastAsia" w:ascii="宋体" w:hAnsi="宋体" w:eastAsia="宋体" w:cs="宋体"/>
              </w:rPr>
            </w:pPr>
            <w:r>
              <w:rPr>
                <w:rFonts w:hint="eastAsia" w:ascii="宋体" w:hAnsi="宋体" w:eastAsia="宋体" w:cs="宋体"/>
                <w:b/>
                <w:bCs/>
                <w:color w:val="172033"/>
                <w:sz w:val="18"/>
                <w:szCs w:val="18"/>
              </w:rPr>
              <w:t>角色</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B53C70A">
            <w:pPr>
              <w:spacing w:after="0" w:line="300" w:lineRule="auto"/>
              <w:rPr>
                <w:rFonts w:hint="eastAsia" w:ascii="宋体" w:hAnsi="宋体" w:eastAsia="宋体" w:cs="宋体"/>
              </w:rPr>
            </w:pPr>
            <w:r>
              <w:rPr>
                <w:rFonts w:hint="eastAsia" w:ascii="宋体" w:hAnsi="宋体" w:eastAsia="宋体" w:cs="宋体"/>
                <w:b/>
                <w:bCs/>
                <w:color w:val="172033"/>
                <w:sz w:val="18"/>
                <w:szCs w:val="18"/>
              </w:rPr>
              <w:t>关注重点</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2EA6009">
            <w:pPr>
              <w:spacing w:after="0" w:line="300" w:lineRule="auto"/>
              <w:rPr>
                <w:rFonts w:hint="eastAsia" w:ascii="宋体" w:hAnsi="宋体" w:eastAsia="宋体" w:cs="宋体"/>
              </w:rPr>
            </w:pPr>
            <w:r>
              <w:rPr>
                <w:rFonts w:hint="eastAsia" w:ascii="宋体" w:hAnsi="宋体" w:eastAsia="宋体" w:cs="宋体"/>
                <w:b/>
                <w:bCs/>
                <w:color w:val="172033"/>
                <w:sz w:val="18"/>
                <w:szCs w:val="18"/>
              </w:rPr>
              <w:t>典型使用动作</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DC575F3">
            <w:pPr>
              <w:spacing w:after="0" w:line="300" w:lineRule="auto"/>
              <w:rPr>
                <w:rFonts w:hint="eastAsia" w:ascii="宋体" w:hAnsi="宋体" w:eastAsia="宋体" w:cs="宋体"/>
              </w:rPr>
            </w:pPr>
            <w:r>
              <w:rPr>
                <w:rFonts w:hint="eastAsia" w:ascii="宋体" w:hAnsi="宋体" w:eastAsia="宋体" w:cs="宋体"/>
                <w:b/>
                <w:bCs/>
                <w:color w:val="172033"/>
                <w:sz w:val="18"/>
                <w:szCs w:val="18"/>
              </w:rPr>
              <w:t>需要系统重点保障的能力</w:t>
            </w:r>
          </w:p>
        </w:tc>
      </w:tr>
      <w:tr w14:paraId="4848D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447419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项目管理层</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A5B06C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项目进展、质量风险、资源投入、关键问题</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D9BEEB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查看驾驶舱、趋势分析、风险预警、工时统计</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DEBE2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管理看板、预警和汇总能力</w:t>
            </w:r>
          </w:p>
        </w:tc>
      </w:tr>
      <w:tr w14:paraId="3F1B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80EB3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总监/采购包负责人</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85C8C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任务分配、策划审批、质量计划、问题闭环</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511637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下发任务、审核策划、查看见证进度、处理问题</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1F9412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任务闭环、审批闭环和权限隔离</w:t>
            </w:r>
          </w:p>
        </w:tc>
      </w:tr>
      <w:tr w14:paraId="0D43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2BCE4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监造工程师</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0A937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现场执行、见证记录、问题创建、报表填报</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8E7C28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录入见证、上传影像、发起问题单、填报日报</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CB6D2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移动便捷、表单高效、附件稳定</w:t>
            </w:r>
          </w:p>
        </w:tc>
      </w:tr>
      <w:tr w14:paraId="74014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5C7559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供应商/设备厂家</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4A74A1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文件提交、问题整改、放行申请</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BA3B42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上传文件、接收意见、回复整改、提交放行</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FE46B1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外部协同入口和权限限制</w:t>
            </w:r>
          </w:p>
        </w:tc>
      </w:tr>
      <w:tr w14:paraId="4F675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7A8F9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系统管理员</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5B8F7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账号权限、参数配置、日志审计、备份巡检</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230305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建账号、调权限、看日志、查备份</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2CD36C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后台配置、安全控制、运维工具</w:t>
            </w:r>
          </w:p>
        </w:tc>
      </w:tr>
      <w:tr w14:paraId="14323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428A99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培训与档案管理人员</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061AC5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培训组织、资料归档、考试留痕</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42989C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上传课件、组织考试、归档手册、留存记录</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E75988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培训模块和知识转移资料管理</w:t>
            </w:r>
          </w:p>
        </w:tc>
      </w:tr>
    </w:tbl>
    <w:p w14:paraId="137F4C7D">
      <w:pPr>
        <w:spacing w:after="100"/>
        <w:rPr>
          <w:rFonts w:hint="eastAsia" w:ascii="宋体" w:hAnsi="宋体" w:eastAsia="宋体" w:cs="宋体"/>
        </w:rPr>
      </w:pPr>
    </w:p>
    <w:p w14:paraId="52665BA0">
      <w:pPr>
        <w:pStyle w:val="6"/>
        <w:bidi w:val="0"/>
        <w:rPr>
          <w:rFonts w:hint="eastAsia"/>
          <w:b w:val="0"/>
          <w:bCs w:val="0"/>
          <w:lang w:val="en-US" w:eastAsia="zh-CN"/>
        </w:rPr>
      </w:pPr>
      <w:r>
        <w:rPr>
          <w:rFonts w:hint="eastAsia"/>
          <w:b w:val="0"/>
          <w:bCs w:val="0"/>
          <w:lang w:val="en-US" w:eastAsia="zh-CN"/>
        </w:rPr>
        <w:t>11.1.2.5 业务主链路和关键难点识别</w:t>
      </w:r>
    </w:p>
    <w:p w14:paraId="5BEFA899">
      <w:pPr>
        <w:pStyle w:val="7"/>
        <w:bidi w:val="0"/>
        <w:rPr>
          <w:rFonts w:hint="eastAsia"/>
        </w:rPr>
      </w:pPr>
      <w:r>
        <w:rPr>
          <w:rFonts w:hint="eastAsia"/>
        </w:rPr>
        <w:t>1. 主业务链路</w:t>
      </w:r>
    </w:p>
    <w:p w14:paraId="280A2F0B">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本项目的主业务链路可概括为：</w:t>
      </w:r>
    </w:p>
    <w:p w14:paraId="2A395340">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标准库准备 -&gt; 任务分配 -&gt; 监造策划 -&gt; 供方文件审核 -&gt; 质量计划建立 -&gt; 见证执行 -&gt; 质量问题处理 -&gt; 巡查与抽查复验 -&gt; 监造记录与完工 -&gt; 预验收/正式验收 -&gt; 质量放行/监造放行 -&gt; 二维码追溯 -&gt; 统计分析与风险预警 -&gt; 培训考核与运维交接</w:t>
      </w:r>
    </w:p>
    <w:p w14:paraId="1C5C0CDE">
      <w:pPr>
        <w:pStyle w:val="7"/>
        <w:bidi w:val="0"/>
        <w:rPr>
          <w:rFonts w:hint="eastAsia"/>
        </w:rPr>
      </w:pPr>
      <w:r>
        <w:rPr>
          <w:rFonts w:hint="eastAsia"/>
        </w:rPr>
        <w:t>2. 关键难点</w:t>
      </w:r>
    </w:p>
    <w:p w14:paraId="0A001E56">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本项目真正难的地方，不在于页面多，而在于以下六点：</w:t>
      </w:r>
    </w:p>
    <w:p w14:paraId="461BF3C7">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1. 同时存在制度管理、过程执行、外部协同、追溯分析和培训考核五类业务。</w:t>
      </w:r>
    </w:p>
    <w:p w14:paraId="16354C07">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2. 同时管理结构化数据和大量非结构化资料，如图片、视频、扫描件和签字文件。</w:t>
      </w:r>
    </w:p>
    <w:p w14:paraId="10EFEE95">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3. 同时要求现场录入效率和事后审计完整性。</w:t>
      </w:r>
    </w:p>
    <w:p w14:paraId="4E185E8D">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4. 同时要求双模块逻辑隔离和统一平台运维。</w:t>
      </w:r>
    </w:p>
    <w:p w14:paraId="5E8447F5">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5. 同时要求国产化适配、安全合规和扩展能力。</w:t>
      </w:r>
    </w:p>
    <w:p w14:paraId="0CE12EFE">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6. 同时要求前期快速上线试运行和后期完整资料交付。</w:t>
      </w:r>
    </w:p>
    <w:p w14:paraId="06B0C6FB">
      <w:pPr>
        <w:pStyle w:val="6"/>
        <w:bidi w:val="0"/>
        <w:rPr>
          <w:rFonts w:hint="eastAsia"/>
          <w:b w:val="0"/>
          <w:bCs w:val="0"/>
          <w:lang w:val="en-US" w:eastAsia="zh-CN"/>
        </w:rPr>
      </w:pPr>
      <w:r>
        <w:rPr>
          <w:rFonts w:hint="eastAsia"/>
          <w:b w:val="0"/>
          <w:bCs w:val="0"/>
          <w:lang w:val="en-US" w:eastAsia="zh-CN"/>
        </w:rPr>
        <w:t>11.1.2.6 范围边界和数据责任说明</w:t>
      </w:r>
    </w:p>
    <w:p w14:paraId="307F55EB">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1. 本期建设范围覆盖招标文件全部核心业务模块，不做“只做部分功能”的偏离式响应。</w:t>
      </w:r>
    </w:p>
    <w:p w14:paraId="711B77FB">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2. 系统以采购包和采购物项为主线组织业务，但统计、预警、质量追溯和培训考试属于平台级能力。</w:t>
      </w:r>
    </w:p>
    <w:p w14:paraId="7CAA9AB9">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3. 双数据接入模块必须逻辑隔离，但日志、身份认证、文件底座、流程引擎、消息提醒和报表框架可以统一建设。</w:t>
      </w:r>
    </w:p>
    <w:p w14:paraId="2BBD414C">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4. 数据中心资源、边界网络和基础安全设施由招标人提供或协调，我方负责软件层、应用层和资料交付层的建设与配合。</w:t>
      </w:r>
    </w:p>
    <w:p w14:paraId="03F78D65">
      <w:pPr>
        <w:pStyle w:val="5"/>
        <w:bidi w:val="0"/>
        <w:rPr>
          <w:rFonts w:hint="eastAsia"/>
          <w:lang w:val="en-US" w:eastAsia="zh-CN"/>
        </w:rPr>
      </w:pPr>
      <w:r>
        <w:rPr>
          <w:rFonts w:hint="eastAsia"/>
          <w:lang w:val="en-US" w:eastAsia="zh-CN"/>
        </w:rPr>
        <w:t>11.1.3 两套逻辑隔离数据接入模块设计</w:t>
      </w:r>
    </w:p>
    <w:p w14:paraId="7E3AAEE2">
      <w:pPr>
        <w:pStyle w:val="6"/>
        <w:bidi w:val="0"/>
        <w:rPr>
          <w:rFonts w:hint="eastAsia"/>
          <w:b w:val="0"/>
          <w:bCs w:val="0"/>
          <w:lang w:val="en-US" w:eastAsia="zh-CN"/>
        </w:rPr>
      </w:pPr>
      <w:r>
        <w:rPr>
          <w:rFonts w:hint="eastAsia"/>
          <w:b w:val="0"/>
          <w:bCs w:val="0"/>
          <w:lang w:val="en-US" w:eastAsia="zh-CN"/>
        </w:rPr>
        <w:t>11.1.3.1 设计原则</w:t>
      </w:r>
    </w:p>
    <w:p w14:paraId="005E7188">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我方对该要求的设计原则如下：</w:t>
      </w:r>
    </w:p>
    <w:p w14:paraId="4998BF77">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1. 在统一平台内建设，不做两套完全割裂的系统，避免运维成本过高。</w:t>
      </w:r>
    </w:p>
    <w:p w14:paraId="021E9403">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2. 在业务对象、流程实例、权限口径和统计口径上实现逻辑隔离，避免数据串用。</w:t>
      </w:r>
    </w:p>
    <w:p w14:paraId="54B8AA2F">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3. 在登录、日志、消息、文件和接口底座上进行统一建设，避免重复开发。</w:t>
      </w:r>
    </w:p>
    <w:p w14:paraId="2C83F108">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4. 在跨模块联查时，只开放查询视图，不开放跨域直接处理权限。</w:t>
      </w:r>
    </w:p>
    <w:p w14:paraId="3B35D744">
      <w:pPr>
        <w:pStyle w:val="6"/>
        <w:bidi w:val="0"/>
        <w:rPr>
          <w:rFonts w:hint="eastAsia"/>
          <w:b w:val="0"/>
          <w:bCs w:val="0"/>
          <w:lang w:val="en-US" w:eastAsia="zh-CN"/>
        </w:rPr>
      </w:pPr>
      <w:r>
        <w:rPr>
          <w:rFonts w:hint="eastAsia"/>
          <w:b w:val="0"/>
          <w:bCs w:val="0"/>
          <w:lang w:val="en-US" w:eastAsia="zh-CN"/>
        </w:rPr>
        <w:t>11.1.3.2 原材料采购全流程追溯模块</w:t>
      </w:r>
    </w:p>
    <w:p w14:paraId="7B49FDDB">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原材料采购全流程追溯模块，重点围绕“原材料批次、制造过程、检验见证、验收资料、发货信息和二维码追溯”展开。该模块的设计目标不是简单记录某个物项状态，而是建立从采购物项编号到制造证据链的全程可追溯关系。</w:t>
      </w:r>
    </w:p>
    <w:p w14:paraId="60889898">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本模块重点建设内容如下：</w:t>
      </w:r>
    </w:p>
    <w:p w14:paraId="43CCB6AC">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1. 维护采购包、合同、供应商、物项、批次、工序、见证点等基础对象。</w:t>
      </w:r>
    </w:p>
    <w:p w14:paraId="64178317">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2. 建立完工文件、源地验收、发货资料、二维码和实际物项之间的对应关系。</w:t>
      </w:r>
    </w:p>
    <w:p w14:paraId="2F8B634A">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3. 记录制造过程中的关键检验、问题处理、验收与放行情况。</w:t>
      </w:r>
    </w:p>
    <w:p w14:paraId="41A3A031">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4. 支持按物项编号、批次号、供应商、合同编号和时间维度倒查。</w:t>
      </w:r>
    </w:p>
    <w:p w14:paraId="7A03BFCF">
      <w:pPr>
        <w:pStyle w:val="6"/>
        <w:bidi w:val="0"/>
        <w:rPr>
          <w:rFonts w:hint="eastAsia"/>
          <w:b w:val="0"/>
          <w:bCs w:val="0"/>
          <w:lang w:val="en-US" w:eastAsia="zh-CN"/>
        </w:rPr>
      </w:pPr>
      <w:r>
        <w:rPr>
          <w:rFonts w:hint="eastAsia"/>
          <w:b w:val="0"/>
          <w:bCs w:val="0"/>
          <w:lang w:val="en-US" w:eastAsia="zh-CN"/>
        </w:rPr>
        <w:t>11.1.3.3 设备采购全流程追溯模块</w:t>
      </w:r>
    </w:p>
    <w:p w14:paraId="5323ED8A">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设备采购全流程追溯模块，重点围绕“设备对象、部组件、制造节点、见证执行、整改过程、出厂验收和监造放行”展开。该模块强调的是复杂设备的全过程质量链条管理。</w:t>
      </w:r>
    </w:p>
    <w:p w14:paraId="1B090A84">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本模块重点建设内容如下：</w:t>
      </w:r>
    </w:p>
    <w:p w14:paraId="7A9F0CB0">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1. 建立设备及部组件层级对象模型。</w:t>
      </w:r>
    </w:p>
    <w:p w14:paraId="429B2839">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2. 将质量计划、见证点、问题单、验收记录和放行资料统一挂接到设备对象。</w:t>
      </w:r>
    </w:p>
    <w:p w14:paraId="03D162DC">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3. 形成设备制造全过程、问题全过程和验收全过程统一视图。</w:t>
      </w:r>
    </w:p>
    <w:p w14:paraId="0017BACB">
      <w:pPr>
        <w:spacing w:after="70" w:line="330" w:lineRule="auto"/>
        <w:ind w:left="420" w:firstLine="0" w:firstLineChars="0"/>
        <w:rPr>
          <w:rFonts w:hint="eastAsia" w:ascii="宋体" w:hAnsi="宋体" w:eastAsia="宋体" w:cs="宋体"/>
        </w:rPr>
      </w:pPr>
      <w:r>
        <w:rPr>
          <w:rFonts w:hint="eastAsia" w:ascii="宋体" w:hAnsi="宋体" w:eastAsia="宋体" w:cs="宋体"/>
          <w:color w:val="1F2937"/>
        </w:rPr>
        <w:t>4. 支持设备级、合同级和供应商级多维追溯。</w:t>
      </w:r>
    </w:p>
    <w:p w14:paraId="54485D64">
      <w:pPr>
        <w:pStyle w:val="6"/>
        <w:bidi w:val="0"/>
        <w:rPr>
          <w:rFonts w:hint="eastAsia"/>
          <w:b w:val="0"/>
          <w:bCs w:val="0"/>
          <w:lang w:val="en-US" w:eastAsia="zh-CN"/>
        </w:rPr>
      </w:pPr>
      <w:r>
        <w:rPr>
          <w:rFonts w:hint="eastAsia"/>
          <w:b w:val="0"/>
          <w:bCs w:val="0"/>
          <w:lang w:val="en-US" w:eastAsia="zh-CN"/>
        </w:rPr>
        <w:t>11.1.3.4 双模块逻辑隔离方式</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8"/>
        <w:gridCol w:w="2328"/>
        <w:gridCol w:w="2328"/>
        <w:gridCol w:w="2328"/>
      </w:tblGrid>
      <w:tr w14:paraId="6F81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1608BD3">
            <w:pPr>
              <w:spacing w:after="0" w:line="300" w:lineRule="auto"/>
              <w:rPr>
                <w:rFonts w:hint="eastAsia" w:ascii="宋体" w:hAnsi="宋体" w:eastAsia="宋体" w:cs="宋体"/>
              </w:rPr>
            </w:pPr>
            <w:r>
              <w:rPr>
                <w:rFonts w:hint="eastAsia" w:ascii="宋体" w:hAnsi="宋体" w:eastAsia="宋体" w:cs="宋体"/>
                <w:b/>
                <w:bCs/>
                <w:color w:val="172033"/>
                <w:sz w:val="18"/>
                <w:szCs w:val="18"/>
              </w:rPr>
              <w:t>隔离维度</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5CC5EF4">
            <w:pPr>
              <w:spacing w:after="0" w:line="300" w:lineRule="auto"/>
              <w:rPr>
                <w:rFonts w:hint="eastAsia" w:ascii="宋体" w:hAnsi="宋体" w:eastAsia="宋体" w:cs="宋体"/>
              </w:rPr>
            </w:pPr>
            <w:r>
              <w:rPr>
                <w:rFonts w:hint="eastAsia" w:ascii="宋体" w:hAnsi="宋体" w:eastAsia="宋体" w:cs="宋体"/>
                <w:b/>
                <w:bCs/>
                <w:color w:val="172033"/>
                <w:sz w:val="18"/>
                <w:szCs w:val="18"/>
              </w:rPr>
              <w:t>原材料模块</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5D2D645">
            <w:pPr>
              <w:spacing w:after="0" w:line="300" w:lineRule="auto"/>
              <w:rPr>
                <w:rFonts w:hint="eastAsia" w:ascii="宋体" w:hAnsi="宋体" w:eastAsia="宋体" w:cs="宋体"/>
              </w:rPr>
            </w:pPr>
            <w:r>
              <w:rPr>
                <w:rFonts w:hint="eastAsia" w:ascii="宋体" w:hAnsi="宋体" w:eastAsia="宋体" w:cs="宋体"/>
                <w:b/>
                <w:bCs/>
                <w:color w:val="172033"/>
                <w:sz w:val="18"/>
                <w:szCs w:val="18"/>
              </w:rPr>
              <w:t>设备模块</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36F6273">
            <w:pPr>
              <w:spacing w:after="0" w:line="300" w:lineRule="auto"/>
              <w:rPr>
                <w:rFonts w:hint="eastAsia" w:ascii="宋体" w:hAnsi="宋体" w:eastAsia="宋体" w:cs="宋体"/>
              </w:rPr>
            </w:pPr>
            <w:r>
              <w:rPr>
                <w:rFonts w:hint="eastAsia" w:ascii="宋体" w:hAnsi="宋体" w:eastAsia="宋体" w:cs="宋体"/>
                <w:b/>
                <w:bCs/>
                <w:color w:val="172033"/>
                <w:sz w:val="18"/>
                <w:szCs w:val="18"/>
              </w:rPr>
              <w:t>说明</w:t>
            </w:r>
          </w:p>
        </w:tc>
      </w:tr>
      <w:tr w14:paraId="3D476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055F3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数据对象</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BC89DC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批次、工序、原材料物项</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F4E115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设备、部组件、装配节点</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78970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对象模型独立</w:t>
            </w:r>
          </w:p>
        </w:tc>
      </w:tr>
      <w:tr w14:paraId="062DB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F7ED60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流程实例</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264AEA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文件审核、见证、问题单、验收流程按模块独立</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82397F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同左</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78D2A9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流程数据不混用</w:t>
            </w:r>
          </w:p>
        </w:tc>
      </w:tr>
      <w:tr w14:paraId="2AF5C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E1D720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权限范围</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1C7040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按采购包/物项/供应商授权</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FC81CB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按设备/合同/供应商授权</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4A431A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授权口径独立</w:t>
            </w:r>
          </w:p>
        </w:tc>
      </w:tr>
      <w:tr w14:paraId="05E9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0D68DB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统计口径</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B75BE6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原材料合格率、批次问题分布等</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407D25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设备合格率、部组件问题分布等</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8E37E4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管理分析维度独立</w:t>
            </w:r>
          </w:p>
        </w:tc>
      </w:tr>
      <w:tr w14:paraId="7995E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7F9CC3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共享底座</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D79EBB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登录、日志、文件、消息、报表框架</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AEC20A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登录、日志、文件、消息、报表框架</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9BABAC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统一建设、统一运维</w:t>
            </w:r>
          </w:p>
        </w:tc>
      </w:tr>
    </w:tbl>
    <w:p w14:paraId="0F3B04F2">
      <w:pPr>
        <w:spacing w:after="100"/>
        <w:rPr>
          <w:rFonts w:hint="eastAsia" w:ascii="宋体" w:hAnsi="宋体" w:eastAsia="宋体" w:cs="宋体"/>
        </w:rPr>
      </w:pPr>
    </w:p>
    <w:p w14:paraId="4E74481D">
      <w:pPr>
        <w:pStyle w:val="5"/>
        <w:bidi w:val="0"/>
        <w:rPr>
          <w:rFonts w:hint="eastAsia"/>
          <w:lang w:val="en-US" w:eastAsia="zh-CN"/>
        </w:rPr>
      </w:pPr>
      <w:r>
        <w:rPr>
          <w:rFonts w:hint="eastAsia"/>
          <w:lang w:val="en-US" w:eastAsia="zh-CN"/>
        </w:rPr>
        <w:t>11.1.4 功能总体架构说明</w:t>
      </w:r>
    </w:p>
    <w:p w14:paraId="6ACC94A8">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系统功能以监造业务全过程为主线组织，围绕“标准库、任务、策划、质量计划、过程执行、问题闭环、验收放行、追溯分析、移动协同、培训知识”构建功能体系。</w:t>
      </w:r>
    </w:p>
    <w:p w14:paraId="39F66F55">
      <w:pPr>
        <w:pStyle w:val="6"/>
        <w:bidi w:val="0"/>
        <w:rPr>
          <w:rFonts w:hint="eastAsia"/>
          <w:b w:val="0"/>
          <w:bCs w:val="0"/>
          <w:lang w:val="en-US" w:eastAsia="zh-CN"/>
        </w:rPr>
      </w:pPr>
      <w:r>
        <w:rPr>
          <w:rFonts w:hint="eastAsia"/>
          <w:b w:val="0"/>
          <w:bCs w:val="0"/>
          <w:lang w:val="en-US" w:eastAsia="zh-CN"/>
        </w:rPr>
        <w:t>11.1.4.1 功能域总表</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4"/>
        <w:gridCol w:w="3104"/>
        <w:gridCol w:w="3104"/>
      </w:tblGrid>
      <w:tr w14:paraId="4102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87DB100">
            <w:pPr>
              <w:spacing w:after="0" w:line="300" w:lineRule="auto"/>
              <w:rPr>
                <w:rFonts w:hint="eastAsia" w:ascii="宋体" w:hAnsi="宋体" w:eastAsia="宋体" w:cs="宋体"/>
              </w:rPr>
            </w:pPr>
            <w:r>
              <w:rPr>
                <w:rFonts w:hint="eastAsia" w:ascii="宋体" w:hAnsi="宋体" w:eastAsia="宋体" w:cs="宋体"/>
                <w:b/>
                <w:bCs/>
                <w:color w:val="172033"/>
                <w:sz w:val="18"/>
                <w:szCs w:val="18"/>
              </w:rPr>
              <w:t>功能域</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AEF4169">
            <w:pPr>
              <w:spacing w:after="0" w:line="300" w:lineRule="auto"/>
              <w:rPr>
                <w:rFonts w:hint="eastAsia" w:ascii="宋体" w:hAnsi="宋体" w:eastAsia="宋体" w:cs="宋体"/>
              </w:rPr>
            </w:pPr>
            <w:r>
              <w:rPr>
                <w:rFonts w:hint="eastAsia" w:ascii="宋体" w:hAnsi="宋体" w:eastAsia="宋体" w:cs="宋体"/>
                <w:b/>
                <w:bCs/>
                <w:color w:val="172033"/>
                <w:sz w:val="18"/>
                <w:szCs w:val="18"/>
              </w:rPr>
              <w:t>建设目标</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E3120DD">
            <w:pPr>
              <w:spacing w:after="0" w:line="300" w:lineRule="auto"/>
              <w:rPr>
                <w:rFonts w:hint="eastAsia" w:ascii="宋体" w:hAnsi="宋体" w:eastAsia="宋体" w:cs="宋体"/>
              </w:rPr>
            </w:pPr>
            <w:r>
              <w:rPr>
                <w:rFonts w:hint="eastAsia" w:ascii="宋体" w:hAnsi="宋体" w:eastAsia="宋体" w:cs="宋体"/>
                <w:b/>
                <w:bCs/>
                <w:color w:val="172033"/>
                <w:sz w:val="18"/>
                <w:szCs w:val="18"/>
              </w:rPr>
              <w:t>核心能力</w:t>
            </w:r>
          </w:p>
        </w:tc>
      </w:tr>
      <w:tr w14:paraId="0DEBB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32CC6C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标准库与体系文件域</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69D32B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建立统一监造依据中心</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CB4B08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分类、版本、引用、检索、升版留痕</w:t>
            </w:r>
          </w:p>
        </w:tc>
      </w:tr>
      <w:tr w14:paraId="7960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B2205D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任务与策划域</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88DD65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明确责任和执行前提</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2D398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采购包授权、任务书、策划、人员投入</w:t>
            </w:r>
          </w:p>
        </w:tc>
      </w:tr>
      <w:tr w14:paraId="205E3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D4F23F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质量控制域</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2C38EE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管住计划、见证、问题、验收、放行</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C895DE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W/R/H点、见证记录、整改闭环、放行凭证</w:t>
            </w:r>
          </w:p>
        </w:tc>
      </w:tr>
      <w:tr w14:paraId="53EB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7A363E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追溯分析域</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9EE2DE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把过程数据变成管理数据</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818EFB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追溯索引、趋势分析、供应商画像、风险预警</w:t>
            </w:r>
          </w:p>
        </w:tc>
      </w:tr>
      <w:tr w14:paraId="19F7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7D247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协同增效域</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594365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提升现场效率和资料处理效率</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AFD4C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移动协同、二维码、电子签名、OCR、视频远程识别</w:t>
            </w:r>
          </w:p>
        </w:tc>
      </w:tr>
      <w:tr w14:paraId="7FC4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C8A78D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培训与知识域</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9AAF99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保证人员能力和项目可接管性</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4EA0C1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培训、考试、资料归档、知识转移</w:t>
            </w:r>
          </w:p>
        </w:tc>
      </w:tr>
    </w:tbl>
    <w:p w14:paraId="4E19CE2D">
      <w:pPr>
        <w:spacing w:after="100"/>
        <w:rPr>
          <w:rFonts w:hint="eastAsia" w:ascii="宋体" w:hAnsi="宋体" w:eastAsia="宋体" w:cs="宋体"/>
        </w:rPr>
      </w:pPr>
    </w:p>
    <w:p w14:paraId="4D36D9BF">
      <w:pPr>
        <w:pStyle w:val="6"/>
        <w:bidi w:val="0"/>
        <w:rPr>
          <w:rFonts w:hint="eastAsia"/>
          <w:b w:val="0"/>
          <w:bCs w:val="0"/>
          <w:lang w:val="en-US" w:eastAsia="zh-CN"/>
        </w:rPr>
      </w:pPr>
      <w:r>
        <w:rPr>
          <w:rFonts w:hint="eastAsia"/>
          <w:b w:val="0"/>
          <w:bCs w:val="0"/>
          <w:lang w:val="en-US" w:eastAsia="zh-CN"/>
        </w:rPr>
        <w:t>11.1.4.2 功能总览流程</w:t>
      </w:r>
    </w:p>
    <w:p w14:paraId="6731DDFC">
      <w:pPr>
        <w:rPr>
          <w:rFonts w:hint="eastAsia"/>
          <w:lang w:val="en-US" w:eastAsia="zh-CN"/>
        </w:rPr>
      </w:pPr>
      <w:r>
        <w:rPr>
          <w:rFonts w:hint="eastAsia" w:eastAsia="微软雅黑"/>
          <w:lang w:eastAsia="zh-CN"/>
        </w:rPr>
        <w:drawing>
          <wp:inline distT="0" distB="0" distL="114300" distR="114300">
            <wp:extent cx="6286500" cy="3797935"/>
            <wp:effectExtent l="0" t="0" r="6985" b="1905"/>
            <wp:docPr id="8" name="图片 8" descr="image5-system-business-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age5-system-business-flow"/>
                    <pic:cNvPicPr>
                      <a:picLocks noChangeAspect="1"/>
                    </pic:cNvPicPr>
                  </pic:nvPicPr>
                  <pic:blipFill>
                    <a:blip r:embed="rId6"/>
                    <a:stretch>
                      <a:fillRect/>
                    </a:stretch>
                  </pic:blipFill>
                  <pic:spPr>
                    <a:xfrm>
                      <a:off x="0" y="0"/>
                      <a:ext cx="6286500" cy="3797935"/>
                    </a:xfrm>
                    <a:prstGeom prst="rect">
                      <a:avLst/>
                    </a:prstGeom>
                  </pic:spPr>
                </pic:pic>
              </a:graphicData>
            </a:graphic>
          </wp:inline>
        </w:drawing>
      </w:r>
    </w:p>
    <w:p w14:paraId="6655D916">
      <w:pPr>
        <w:bidi w:val="0"/>
        <w:rPr>
          <w:rFonts w:hint="eastAsia"/>
          <w:lang w:val="en-US" w:eastAsia="zh-CN"/>
        </w:rPr>
      </w:pPr>
    </w:p>
    <w:p w14:paraId="2D3977E1">
      <w:pPr>
        <w:pStyle w:val="5"/>
        <w:bidi w:val="0"/>
        <w:rPr>
          <w:rFonts w:hint="eastAsia"/>
          <w:lang w:val="en-US" w:eastAsia="zh-CN"/>
        </w:rPr>
      </w:pPr>
      <w:r>
        <w:rPr>
          <w:rFonts w:hint="eastAsia"/>
          <w:lang w:val="en-US" w:eastAsia="zh-CN"/>
        </w:rPr>
        <w:t>11.1.5 功能完整性描述</w:t>
      </w:r>
    </w:p>
    <w:p w14:paraId="1FA0F004">
      <w:pPr>
        <w:pStyle w:val="6"/>
        <w:bidi w:val="0"/>
        <w:rPr>
          <w:rFonts w:hint="eastAsia"/>
          <w:lang w:val="en-US" w:eastAsia="zh-CN"/>
        </w:rPr>
      </w:pPr>
      <w:r>
        <w:rPr>
          <w:rFonts w:hint="eastAsia"/>
          <w:b w:val="0"/>
          <w:bCs w:val="0"/>
          <w:lang w:val="en-US" w:eastAsia="zh-CN"/>
        </w:rPr>
        <w:t xml:space="preserve">11.1.5.1 </w:t>
      </w:r>
      <w:r>
        <w:rPr>
          <w:rFonts w:hint="eastAsia"/>
          <w:lang w:val="en-US" w:eastAsia="zh-CN"/>
        </w:rPr>
        <w:t>关键业务流程实施方案</w:t>
      </w:r>
    </w:p>
    <w:p w14:paraId="36094D4D">
      <w:pPr>
        <w:pStyle w:val="7"/>
        <w:bidi w:val="0"/>
        <w:rPr>
          <w:rFonts w:hint="eastAsia"/>
          <w:b w:val="0"/>
          <w:bCs w:val="0"/>
          <w:lang w:val="en-US" w:eastAsia="zh-CN"/>
        </w:rPr>
      </w:pPr>
      <w:r>
        <w:rPr>
          <w:rFonts w:hint="eastAsia"/>
          <w:b w:val="0"/>
          <w:bCs w:val="0"/>
          <w:lang w:val="en-US" w:eastAsia="zh-CN"/>
        </w:rPr>
        <w:t>11.1.5.1.1 标准准备到任务下达流程</w:t>
      </w:r>
    </w:p>
    <w:p w14:paraId="7AD36382">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该流程解决“依据在哪里、任务谁来干、责任如何变更”的问题，流程要点如下：</w:t>
      </w:r>
    </w:p>
    <w:p w14:paraId="64DA7850">
      <w:pPr>
        <w:spacing w:after="70" w:line="330" w:lineRule="auto"/>
        <w:ind w:left="420" w:hanging="260"/>
        <w:rPr>
          <w:rFonts w:hint="eastAsia" w:ascii="宋体" w:hAnsi="宋体" w:eastAsia="宋体" w:cs="宋体"/>
        </w:rPr>
      </w:pPr>
      <w:r>
        <w:rPr>
          <w:rFonts w:hint="eastAsia" w:ascii="宋体" w:hAnsi="宋体" w:eastAsia="宋体" w:cs="宋体"/>
          <w:color w:val="1F2937"/>
        </w:rPr>
        <w:t>1. 管理员维护体系文件、模板文件、质量计划模板和巡查模板。</w:t>
      </w:r>
    </w:p>
    <w:p w14:paraId="4D8EF084">
      <w:pPr>
        <w:spacing w:after="70" w:line="330" w:lineRule="auto"/>
        <w:ind w:left="420" w:hanging="260"/>
        <w:rPr>
          <w:rFonts w:hint="eastAsia" w:ascii="宋体" w:hAnsi="宋体" w:eastAsia="宋体" w:cs="宋体"/>
        </w:rPr>
      </w:pPr>
      <w:r>
        <w:rPr>
          <w:rFonts w:hint="eastAsia" w:ascii="宋体" w:hAnsi="宋体" w:eastAsia="宋体" w:cs="宋体"/>
          <w:color w:val="1F2937"/>
        </w:rPr>
        <w:t>2. 项目管理层建立采购包/合同包并指定负责人。</w:t>
      </w:r>
    </w:p>
    <w:p w14:paraId="795A73D3">
      <w:pPr>
        <w:spacing w:after="70" w:line="330" w:lineRule="auto"/>
        <w:ind w:left="420" w:hanging="260"/>
        <w:rPr>
          <w:rFonts w:hint="eastAsia" w:ascii="宋体" w:hAnsi="宋体" w:eastAsia="宋体" w:cs="宋体"/>
        </w:rPr>
      </w:pPr>
      <w:r>
        <w:rPr>
          <w:rFonts w:hint="eastAsia" w:ascii="宋体" w:hAnsi="宋体" w:eastAsia="宋体" w:cs="宋体"/>
          <w:color w:val="1F2937"/>
        </w:rPr>
        <w:t>3. 系统自动生成任务书或策划草稿，进入执行准备阶段。</w:t>
      </w:r>
    </w:p>
    <w:p w14:paraId="63B21607">
      <w:pPr>
        <w:spacing w:after="70" w:line="330" w:lineRule="auto"/>
        <w:ind w:left="420" w:hanging="260"/>
        <w:rPr>
          <w:rFonts w:hint="eastAsia" w:ascii="宋体" w:hAnsi="宋体" w:eastAsia="宋体" w:cs="宋体"/>
        </w:rPr>
      </w:pPr>
      <w:r>
        <w:rPr>
          <w:rFonts w:hint="eastAsia" w:ascii="宋体" w:hAnsi="宋体" w:eastAsia="宋体" w:cs="宋体"/>
          <w:color w:val="1F2937"/>
        </w:rPr>
        <w:t>4. 若发生负责人变更，系统同步调整权限和责任归属。</w:t>
      </w:r>
    </w:p>
    <w:p w14:paraId="456AADBA">
      <w:pPr>
        <w:pStyle w:val="7"/>
        <w:bidi w:val="0"/>
        <w:rPr>
          <w:rFonts w:hint="eastAsia"/>
          <w:b w:val="0"/>
          <w:bCs w:val="0"/>
          <w:lang w:val="en-US" w:eastAsia="zh-CN"/>
        </w:rPr>
      </w:pPr>
      <w:r>
        <w:rPr>
          <w:rFonts w:hint="eastAsia"/>
          <w:b w:val="0"/>
          <w:bCs w:val="0"/>
          <w:lang w:val="en-US" w:eastAsia="zh-CN"/>
        </w:rPr>
        <w:t>11.1.5.1.2 质量计划到见证执行流程</w:t>
      </w:r>
    </w:p>
    <w:p w14:paraId="5420368E">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该流程解决“计划怎么变成执行动作”的问题，流程要点如下：</w:t>
      </w:r>
    </w:p>
    <w:p w14:paraId="3958CA9A">
      <w:pPr>
        <w:spacing w:after="70" w:line="330" w:lineRule="auto"/>
        <w:ind w:left="420" w:hanging="260"/>
        <w:rPr>
          <w:rFonts w:hint="eastAsia" w:ascii="宋体" w:hAnsi="宋体" w:eastAsia="宋体" w:cs="宋体"/>
        </w:rPr>
      </w:pPr>
      <w:r>
        <w:rPr>
          <w:rFonts w:hint="eastAsia" w:ascii="宋体" w:hAnsi="宋体" w:eastAsia="宋体" w:cs="宋体"/>
          <w:color w:val="1F2937"/>
        </w:rPr>
        <w:t>1. 监造人员根据合同和策划编制质量计划。</w:t>
      </w:r>
    </w:p>
    <w:p w14:paraId="50983F69">
      <w:pPr>
        <w:spacing w:after="70" w:line="330" w:lineRule="auto"/>
        <w:ind w:left="420" w:hanging="260"/>
        <w:rPr>
          <w:rFonts w:hint="eastAsia" w:ascii="宋体" w:hAnsi="宋体" w:eastAsia="宋体" w:cs="宋体"/>
        </w:rPr>
      </w:pPr>
      <w:r>
        <w:rPr>
          <w:rFonts w:hint="eastAsia" w:ascii="宋体" w:hAnsi="宋体" w:eastAsia="宋体" w:cs="宋体"/>
          <w:color w:val="1F2937"/>
        </w:rPr>
        <w:t>2. 系统自动分解 W/R/H 点形成见证清单。</w:t>
      </w:r>
    </w:p>
    <w:p w14:paraId="07E261BD">
      <w:pPr>
        <w:spacing w:after="70" w:line="330" w:lineRule="auto"/>
        <w:ind w:left="420" w:hanging="260"/>
        <w:rPr>
          <w:rFonts w:hint="eastAsia" w:ascii="宋体" w:hAnsi="宋体" w:eastAsia="宋体" w:cs="宋体"/>
        </w:rPr>
      </w:pPr>
      <w:r>
        <w:rPr>
          <w:rFonts w:hint="eastAsia" w:ascii="宋体" w:hAnsi="宋体" w:eastAsia="宋体" w:cs="宋体"/>
          <w:color w:val="1F2937"/>
        </w:rPr>
        <w:t>3. 监造人员通过 PC 端或移动端接收见证任务。</w:t>
      </w:r>
    </w:p>
    <w:p w14:paraId="79626FE9">
      <w:pPr>
        <w:spacing w:after="70" w:line="330" w:lineRule="auto"/>
        <w:ind w:left="420" w:hanging="260"/>
        <w:rPr>
          <w:rFonts w:hint="eastAsia" w:ascii="宋体" w:hAnsi="宋体" w:eastAsia="宋体" w:cs="宋体"/>
        </w:rPr>
      </w:pPr>
      <w:r>
        <w:rPr>
          <w:rFonts w:hint="eastAsia" w:ascii="宋体" w:hAnsi="宋体" w:eastAsia="宋体" w:cs="宋体"/>
          <w:color w:val="1F2937"/>
        </w:rPr>
        <w:t>4. 现场执行后，记录、附件、照片、视频、问题单与见证点自动关联。</w:t>
      </w:r>
    </w:p>
    <w:p w14:paraId="7EFBEB09">
      <w:pPr>
        <w:pStyle w:val="7"/>
        <w:bidi w:val="0"/>
        <w:rPr>
          <w:rFonts w:hint="eastAsia"/>
          <w:b w:val="0"/>
          <w:bCs w:val="0"/>
          <w:lang w:val="en-US" w:eastAsia="zh-CN"/>
        </w:rPr>
      </w:pPr>
      <w:r>
        <w:rPr>
          <w:rFonts w:hint="eastAsia"/>
          <w:b w:val="0"/>
          <w:bCs w:val="0"/>
          <w:lang w:val="en-US" w:eastAsia="zh-CN"/>
        </w:rPr>
        <w:t>11.1.5.1.3 问题整改到验收放行流程</w:t>
      </w:r>
    </w:p>
    <w:p w14:paraId="51A7E0CD">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该流程解决“问题如何闭环、放行是否有据可查”的问题，流程要点如下：</w:t>
      </w:r>
    </w:p>
    <w:p w14:paraId="30779A86">
      <w:pPr>
        <w:spacing w:after="70" w:line="330" w:lineRule="auto"/>
        <w:ind w:left="420" w:hanging="260"/>
        <w:rPr>
          <w:rFonts w:hint="eastAsia" w:ascii="宋体" w:hAnsi="宋体" w:eastAsia="宋体" w:cs="宋体"/>
        </w:rPr>
      </w:pPr>
      <w:r>
        <w:rPr>
          <w:rFonts w:hint="eastAsia" w:ascii="宋体" w:hAnsi="宋体" w:eastAsia="宋体" w:cs="宋体"/>
          <w:color w:val="1F2937"/>
        </w:rPr>
        <w:t>1. 见证、巡查、验收、放行各场景可一键发起问题单。</w:t>
      </w:r>
    </w:p>
    <w:p w14:paraId="27ECFDA1">
      <w:pPr>
        <w:spacing w:after="70" w:line="330" w:lineRule="auto"/>
        <w:ind w:left="420" w:hanging="260"/>
        <w:rPr>
          <w:rFonts w:hint="eastAsia" w:ascii="宋体" w:hAnsi="宋体" w:eastAsia="宋体" w:cs="宋体"/>
        </w:rPr>
      </w:pPr>
      <w:r>
        <w:rPr>
          <w:rFonts w:hint="eastAsia" w:ascii="宋体" w:hAnsi="宋体" w:eastAsia="宋体" w:cs="宋体"/>
          <w:color w:val="1F2937"/>
        </w:rPr>
        <w:t>2. 供应商接收整改任务并回填说明和佐证资料。</w:t>
      </w:r>
    </w:p>
    <w:p w14:paraId="57D6DF44">
      <w:pPr>
        <w:spacing w:after="70" w:line="330" w:lineRule="auto"/>
        <w:ind w:left="420" w:hanging="260"/>
        <w:rPr>
          <w:rFonts w:hint="eastAsia" w:ascii="宋体" w:hAnsi="宋体" w:eastAsia="宋体" w:cs="宋体"/>
        </w:rPr>
      </w:pPr>
      <w:r>
        <w:rPr>
          <w:rFonts w:hint="eastAsia" w:ascii="宋体" w:hAnsi="宋体" w:eastAsia="宋体" w:cs="宋体"/>
          <w:color w:val="1F2937"/>
        </w:rPr>
        <w:t>3. 监造人员现场复核，审批通过后问题关闭。</w:t>
      </w:r>
    </w:p>
    <w:p w14:paraId="0DA2E168">
      <w:pPr>
        <w:spacing w:after="70" w:line="330" w:lineRule="auto"/>
        <w:ind w:left="420" w:hanging="260"/>
        <w:rPr>
          <w:rFonts w:hint="eastAsia" w:ascii="宋体" w:hAnsi="宋体" w:eastAsia="宋体" w:cs="宋体"/>
        </w:rPr>
      </w:pPr>
      <w:r>
        <w:rPr>
          <w:rFonts w:hint="eastAsia" w:ascii="宋体" w:hAnsi="宋体" w:eastAsia="宋体" w:cs="宋体"/>
          <w:color w:val="1F2937"/>
        </w:rPr>
        <w:t>4. 预验收、正式验收、质量放行和监造放行形成全链条资料。</w:t>
      </w:r>
    </w:p>
    <w:p w14:paraId="206499FD">
      <w:pPr>
        <w:pStyle w:val="6"/>
        <w:bidi w:val="0"/>
        <w:rPr>
          <w:rFonts w:hint="eastAsia"/>
          <w:lang w:val="en-US" w:eastAsia="zh-CN"/>
        </w:rPr>
      </w:pPr>
      <w:r>
        <w:rPr>
          <w:rFonts w:hint="eastAsia"/>
          <w:lang w:val="en-US" w:eastAsia="zh-CN"/>
        </w:rPr>
        <w:t>11.1.5.2 体系文件管理模块</w:t>
      </w:r>
    </w:p>
    <w:p w14:paraId="60E10F01">
      <w:pPr>
        <w:pStyle w:val="7"/>
        <w:bidi w:val="0"/>
        <w:rPr>
          <w:rFonts w:hint="eastAsia"/>
          <w:b w:val="0"/>
          <w:bCs w:val="0"/>
          <w:lang w:val="en-US" w:eastAsia="zh-CN"/>
        </w:rPr>
      </w:pPr>
      <w:r>
        <w:rPr>
          <w:rFonts w:hint="eastAsia"/>
          <w:b w:val="0"/>
          <w:bCs w:val="0"/>
          <w:lang w:val="en-US" w:eastAsia="zh-CN"/>
        </w:rPr>
        <w:t>11.1.5.2.1 建设目标</w:t>
      </w:r>
    </w:p>
    <w:p w14:paraId="41206EF4">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体系文件管理模块用于建设和维护监造体系文件库，支撑监造依据标准化、模板化和版本化。该模块看似基础，实际上决定了后续所有策划、计划、见证、问题单和验收资料是否能够“有据可依、依据可追溯”。</w:t>
      </w:r>
    </w:p>
    <w:p w14:paraId="451E8FD1">
      <w:pPr>
        <w:pStyle w:val="7"/>
        <w:bidi w:val="0"/>
        <w:rPr>
          <w:rFonts w:hint="eastAsia"/>
          <w:b w:val="0"/>
          <w:bCs w:val="0"/>
          <w:lang w:val="en-US" w:eastAsia="zh-CN"/>
        </w:rPr>
      </w:pPr>
      <w:r>
        <w:rPr>
          <w:rFonts w:hint="eastAsia"/>
          <w:b w:val="0"/>
          <w:bCs w:val="0"/>
          <w:lang w:val="en-US" w:eastAsia="zh-CN"/>
        </w:rPr>
        <w:t>11.1.5.2.2 业务场景</w:t>
      </w:r>
    </w:p>
    <w:p w14:paraId="59EB892B">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监造人员在开展采购包监督前，需要快速查找适用的管理文件、第三方监造文件、供应商规程、工序检验标准和模板资料。如果文件版本不清、适用范围不明，容易造成执行依据不一致、现场记录口径不统一、后续验收难以追溯。因此，系统需要把分散的制度、标准、模板和规程集中纳入体系文件库，形成可查询、可引用、可升版、可追溯的标准依据中心。</w:t>
      </w:r>
    </w:p>
    <w:p w14:paraId="4D45B825">
      <w:pPr>
        <w:pStyle w:val="7"/>
        <w:bidi w:val="0"/>
        <w:rPr>
          <w:rFonts w:hint="eastAsia"/>
          <w:b w:val="0"/>
          <w:bCs w:val="0"/>
          <w:lang w:val="en-US" w:eastAsia="zh-CN"/>
        </w:rPr>
      </w:pPr>
      <w:r>
        <w:rPr>
          <w:rFonts w:hint="eastAsia"/>
          <w:b w:val="0"/>
          <w:bCs w:val="0"/>
          <w:lang w:val="en-US" w:eastAsia="zh-CN"/>
        </w:rPr>
        <w:t>11.1.5.2.3 功能设计</w:t>
      </w:r>
    </w:p>
    <w:p w14:paraId="15F80A55">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系统按文件类别、专业领域、采购物项、供应商、适用阶段等维度建立文件分类树。管理员负责文件上传、元数据登记、适用范围维护和版本发布；普通监造人员按权限查询和引用文件。文件一经发布后保留版本记录，升版时记录变更原因、变更人、变更时间和新旧版本关系。任务书、质量计划、巡查记录、问题单等业务对象引用体系文件时，系统记录引用关系，便于后续证明某项监造活动采用了哪一版依据文件。</w:t>
      </w:r>
    </w:p>
    <w:p w14:paraId="118A9646">
      <w:pPr>
        <w:pStyle w:val="7"/>
        <w:bidi w:val="0"/>
        <w:rPr>
          <w:rFonts w:hint="eastAsia"/>
          <w:b w:val="0"/>
          <w:bCs w:val="0"/>
          <w:lang w:val="en-US" w:eastAsia="zh-CN"/>
        </w:rPr>
      </w:pPr>
      <w:r>
        <w:rPr>
          <w:rFonts w:hint="eastAsia"/>
          <w:b w:val="0"/>
          <w:bCs w:val="0"/>
          <w:lang w:val="en-US" w:eastAsia="zh-CN"/>
        </w:rPr>
        <w:t>11.1.5.2.4 功能明细表</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4"/>
        <w:gridCol w:w="3104"/>
        <w:gridCol w:w="3104"/>
      </w:tblGrid>
      <w:tr w14:paraId="1A62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0F128E8">
            <w:pPr>
              <w:spacing w:after="0" w:line="300" w:lineRule="auto"/>
              <w:rPr>
                <w:rFonts w:hint="eastAsia" w:ascii="宋体" w:hAnsi="宋体" w:eastAsia="宋体" w:cs="宋体"/>
              </w:rPr>
            </w:pPr>
            <w:r>
              <w:rPr>
                <w:rFonts w:hint="eastAsia" w:ascii="宋体" w:hAnsi="宋体" w:eastAsia="宋体" w:cs="宋体"/>
                <w:b/>
                <w:bCs/>
                <w:color w:val="172033"/>
                <w:sz w:val="18"/>
                <w:szCs w:val="18"/>
              </w:rPr>
              <w:t>功能项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DEEF131">
            <w:pPr>
              <w:spacing w:after="0" w:line="300" w:lineRule="auto"/>
              <w:rPr>
                <w:rFonts w:hint="eastAsia" w:ascii="宋体" w:hAnsi="宋体" w:eastAsia="宋体" w:cs="宋体"/>
              </w:rPr>
            </w:pPr>
            <w:r>
              <w:rPr>
                <w:rFonts w:hint="eastAsia" w:ascii="宋体" w:hAnsi="宋体" w:eastAsia="宋体" w:cs="宋体"/>
                <w:b/>
                <w:bCs/>
                <w:color w:val="172033"/>
                <w:sz w:val="18"/>
                <w:szCs w:val="18"/>
              </w:rPr>
              <w:t>设计内容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B8FAEC6">
            <w:pPr>
              <w:spacing w:after="0" w:line="300" w:lineRule="auto"/>
              <w:rPr>
                <w:rFonts w:hint="eastAsia" w:ascii="宋体" w:hAnsi="宋体" w:eastAsia="宋体" w:cs="宋体"/>
              </w:rPr>
            </w:pPr>
            <w:r>
              <w:rPr>
                <w:rFonts w:hint="eastAsia" w:ascii="宋体" w:hAnsi="宋体" w:eastAsia="宋体" w:cs="宋体"/>
                <w:b/>
                <w:bCs/>
                <w:color w:val="172033"/>
                <w:sz w:val="18"/>
                <w:szCs w:val="18"/>
              </w:rPr>
              <w:t>管控目标</w:t>
            </w:r>
          </w:p>
        </w:tc>
      </w:tr>
      <w:tr w14:paraId="68C3D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75A489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文件分类</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D0866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按管理文件、第三方监造文件、供应商规程、工序标准、模板文件分类维护</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B50F85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统一标准入口</w:t>
            </w:r>
          </w:p>
        </w:tc>
      </w:tr>
      <w:tr w14:paraId="7FC8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0FE74C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文件上传</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5086A0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上传文件、登记元数据、维护适用范围和附件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555482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保证资料可管理</w:t>
            </w:r>
          </w:p>
        </w:tc>
      </w:tr>
      <w:tr w14:paraId="5B8D0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2496E3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版本控制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02DAD5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保留历史版本、变更原因、升版时间和责任人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EB79F6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防止版本混乱</w:t>
            </w:r>
          </w:p>
        </w:tc>
      </w:tr>
      <w:tr w14:paraId="19B8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2986C8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引用关系</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F00DEE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被任务书、计划、巡查、问题单引用时自动建立关系</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A53528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确保依据可追溯</w:t>
            </w:r>
          </w:p>
        </w:tc>
      </w:tr>
    </w:tbl>
    <w:p w14:paraId="5DD58C1D">
      <w:pPr>
        <w:spacing w:after="100"/>
        <w:rPr>
          <w:rFonts w:hint="eastAsia" w:ascii="宋体" w:hAnsi="宋体" w:eastAsia="宋体" w:cs="宋体"/>
        </w:rPr>
      </w:pPr>
    </w:p>
    <w:p w14:paraId="573D8E26">
      <w:pPr>
        <w:pStyle w:val="6"/>
        <w:bidi w:val="0"/>
        <w:rPr>
          <w:rFonts w:hint="eastAsia"/>
          <w:lang w:val="en-US" w:eastAsia="zh-CN"/>
        </w:rPr>
      </w:pPr>
      <w:r>
        <w:rPr>
          <w:rFonts w:hint="eastAsia"/>
          <w:lang w:val="en-US" w:eastAsia="zh-CN"/>
        </w:rPr>
        <w:t>11.1.5.3 任务分配管理模块</w:t>
      </w:r>
    </w:p>
    <w:p w14:paraId="073E90C0">
      <w:pPr>
        <w:pStyle w:val="7"/>
        <w:bidi w:val="0"/>
        <w:rPr>
          <w:rFonts w:hint="eastAsia"/>
          <w:b w:val="0"/>
          <w:bCs w:val="0"/>
          <w:lang w:val="en-US" w:eastAsia="zh-CN"/>
        </w:rPr>
      </w:pPr>
      <w:r>
        <w:rPr>
          <w:rFonts w:hint="eastAsia"/>
          <w:b w:val="0"/>
          <w:bCs w:val="0"/>
          <w:lang w:val="en-US" w:eastAsia="zh-CN"/>
        </w:rPr>
        <w:t>11.1.5.3.1 建设目标</w:t>
      </w:r>
    </w:p>
    <w:p w14:paraId="4409B362">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任务分配管理模块用于传递准确的技术输入文件，确定监造依据，实现监造任务分配、编制和下发。该模块的核心价值，不是生成一个“待办”，而是把“采购包 - 责任人 - 权限 - 历史执行记录”四者稳定绑定起来。</w:t>
      </w:r>
    </w:p>
    <w:p w14:paraId="763ABC5E">
      <w:pPr>
        <w:pStyle w:val="7"/>
        <w:bidi w:val="0"/>
        <w:rPr>
          <w:rFonts w:hint="eastAsia"/>
          <w:b w:val="0"/>
          <w:bCs w:val="0"/>
          <w:lang w:val="en-US" w:eastAsia="zh-CN"/>
        </w:rPr>
      </w:pPr>
      <w:r>
        <w:rPr>
          <w:rFonts w:hint="eastAsia"/>
          <w:b w:val="0"/>
          <w:bCs w:val="0"/>
          <w:lang w:val="en-US" w:eastAsia="zh-CN"/>
        </w:rPr>
        <w:t>11.1.5.3.2 业务场景</w:t>
      </w:r>
    </w:p>
    <w:p w14:paraId="395F11CC">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总监需要将采购包或采购合同的监造责任分配给具体采购包负责人，采购包负责人再维护任务书、分任务和附件。项目执行期间可能发生负责人调整，原负责人权限必须及时取消，接替负责人必须及时获得授权，否则会出现任务无人处理、权限交叉、资料归属不清等问题。</w:t>
      </w:r>
    </w:p>
    <w:p w14:paraId="2F745116">
      <w:pPr>
        <w:pStyle w:val="7"/>
        <w:bidi w:val="0"/>
        <w:rPr>
          <w:rFonts w:hint="eastAsia"/>
          <w:b w:val="0"/>
          <w:bCs w:val="0"/>
          <w:lang w:val="en-US" w:eastAsia="zh-CN"/>
        </w:rPr>
      </w:pPr>
      <w:r>
        <w:rPr>
          <w:rFonts w:hint="eastAsia"/>
          <w:b w:val="0"/>
          <w:bCs w:val="0"/>
          <w:lang w:val="en-US" w:eastAsia="zh-CN"/>
        </w:rPr>
        <w:t>11.1.5.3.3 功能设计</w:t>
      </w:r>
    </w:p>
    <w:p w14:paraId="51590089">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系统以采购包/合同包为主对象，维护采购合同、供应商、物项范围、技术输入文件和任务附件。总监在系统中指定采购包负责人后，系统自动授予其对应采购包的技术准备、质量监督、见证、质量计划维护等权限；未授权人员不能操作该采购包业务。任务书维护完成后，通过流程下发至相关监造人员、供应商协同用户和管理人员。发生责任人变更时，系统生成变更记录，自动收回原负责人的业务权限，并为接替人员开通权限，同时保留原执行记录和历史责任归属。</w:t>
      </w:r>
    </w:p>
    <w:p w14:paraId="364FB1D6">
      <w:pPr>
        <w:pStyle w:val="7"/>
        <w:bidi w:val="0"/>
        <w:rPr>
          <w:rFonts w:hint="eastAsia"/>
          <w:b w:val="0"/>
          <w:bCs w:val="0"/>
          <w:lang w:val="en-US" w:eastAsia="zh-CN"/>
        </w:rPr>
      </w:pPr>
      <w:r>
        <w:rPr>
          <w:rFonts w:hint="eastAsia"/>
          <w:b w:val="0"/>
          <w:bCs w:val="0"/>
          <w:lang w:val="en-US" w:eastAsia="zh-CN"/>
        </w:rPr>
        <w:t>11.1.5.3.4 功能明细表</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4"/>
        <w:gridCol w:w="3104"/>
        <w:gridCol w:w="3104"/>
      </w:tblGrid>
      <w:tr w14:paraId="425BC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96D6C9A">
            <w:pPr>
              <w:spacing w:after="0" w:line="300" w:lineRule="auto"/>
              <w:rPr>
                <w:rFonts w:hint="eastAsia" w:ascii="宋体" w:hAnsi="宋体" w:eastAsia="宋体" w:cs="宋体"/>
              </w:rPr>
            </w:pPr>
            <w:r>
              <w:rPr>
                <w:rFonts w:hint="eastAsia" w:ascii="宋体" w:hAnsi="宋体" w:eastAsia="宋体" w:cs="宋体"/>
                <w:b/>
                <w:bCs/>
                <w:color w:val="172033"/>
                <w:sz w:val="18"/>
                <w:szCs w:val="18"/>
              </w:rPr>
              <w:t>功能项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195B1B1">
            <w:pPr>
              <w:spacing w:after="0" w:line="300" w:lineRule="auto"/>
              <w:rPr>
                <w:rFonts w:hint="eastAsia" w:ascii="宋体" w:hAnsi="宋体" w:eastAsia="宋体" w:cs="宋体"/>
              </w:rPr>
            </w:pPr>
            <w:r>
              <w:rPr>
                <w:rFonts w:hint="eastAsia" w:ascii="宋体" w:hAnsi="宋体" w:eastAsia="宋体" w:cs="宋体"/>
                <w:b/>
                <w:bCs/>
                <w:color w:val="172033"/>
                <w:sz w:val="18"/>
                <w:szCs w:val="18"/>
              </w:rPr>
              <w:t>设计内容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7AA0E2C">
            <w:pPr>
              <w:spacing w:after="0" w:line="300" w:lineRule="auto"/>
              <w:rPr>
                <w:rFonts w:hint="eastAsia" w:ascii="宋体" w:hAnsi="宋体" w:eastAsia="宋体" w:cs="宋体"/>
              </w:rPr>
            </w:pPr>
            <w:r>
              <w:rPr>
                <w:rFonts w:hint="eastAsia" w:ascii="宋体" w:hAnsi="宋体" w:eastAsia="宋体" w:cs="宋体"/>
                <w:b/>
                <w:bCs/>
                <w:color w:val="172033"/>
                <w:sz w:val="18"/>
                <w:szCs w:val="18"/>
              </w:rPr>
              <w:t>输出成果</w:t>
            </w:r>
          </w:p>
        </w:tc>
      </w:tr>
      <w:tr w14:paraId="380B8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8262F6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采购包维护</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A2EC91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维护采购包、采购合同、供应商、物项范围和基础附件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AFDD6F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采购包主数据</w:t>
            </w:r>
          </w:p>
        </w:tc>
      </w:tr>
      <w:tr w14:paraId="33C49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BA1162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负责人授权</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7E5DF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总监对采购包负责人进行授权</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FB6171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授权记录</w:t>
            </w:r>
          </w:p>
        </w:tc>
      </w:tr>
      <w:tr w14:paraId="2AF72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D8B259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任务书维护</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AB3CCF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维护技术输入文件、监造任务说明、附件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D1BE3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任务书</w:t>
            </w:r>
          </w:p>
        </w:tc>
      </w:tr>
      <w:tr w14:paraId="23CF0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5A282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责任变更</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53AE2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收回原权限并开通新权限，保留历史归属</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6A49E6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变更记录</w:t>
            </w:r>
          </w:p>
        </w:tc>
      </w:tr>
    </w:tbl>
    <w:p w14:paraId="3EFF5DCA">
      <w:pPr>
        <w:spacing w:after="100"/>
        <w:rPr>
          <w:rFonts w:hint="eastAsia" w:ascii="宋体" w:hAnsi="宋体" w:eastAsia="宋体" w:cs="宋体"/>
        </w:rPr>
      </w:pPr>
    </w:p>
    <w:p w14:paraId="260FAFA3">
      <w:pPr>
        <w:spacing w:after="100"/>
        <w:rPr>
          <w:rFonts w:hint="eastAsia" w:ascii="宋体" w:hAnsi="宋体" w:eastAsia="宋体" w:cs="宋体"/>
        </w:rPr>
      </w:pPr>
      <w:r>
        <w:rPr>
          <w:rFonts w:hint="eastAsia" w:ascii="宋体" w:hAnsi="宋体" w:eastAsia="宋体" w:cs="宋体"/>
        </w:rPr>
        <w:drawing>
          <wp:inline distT="0" distB="0" distL="114300" distR="114300">
            <wp:extent cx="6290945" cy="3011170"/>
            <wp:effectExtent l="0" t="0" r="2540" b="6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6290945" cy="3011170"/>
                    </a:xfrm>
                    <a:prstGeom prst="rect">
                      <a:avLst/>
                    </a:prstGeom>
                    <a:noFill/>
                    <a:ln>
                      <a:noFill/>
                    </a:ln>
                  </pic:spPr>
                </pic:pic>
              </a:graphicData>
            </a:graphic>
          </wp:inline>
        </w:drawing>
      </w:r>
    </w:p>
    <w:p w14:paraId="388AEA2C">
      <w:pPr>
        <w:pStyle w:val="11"/>
        <w:spacing w:after="120" w:line="360" w:lineRule="auto"/>
        <w:jc w:val="center"/>
        <w:rPr>
          <w:rFonts w:hint="eastAsia" w:ascii="宋体" w:hAnsi="宋体" w:eastAsia="宋体" w:cs="宋体"/>
          <w:lang w:val="en-US" w:eastAsia="zh-CN"/>
        </w:rPr>
      </w:pPr>
      <w:r>
        <w:rPr>
          <w:rFonts w:hint="eastAsia" w:ascii="宋体" w:hAnsi="宋体" w:eastAsia="宋体" w:cs="宋体"/>
          <w:color w:val="64748B"/>
          <w:sz w:val="18"/>
          <w:szCs w:val="18"/>
          <w:lang w:eastAsia="zh-CN"/>
        </w:rPr>
        <w:t>图11-1-</w:t>
      </w:r>
      <w:r>
        <w:rPr>
          <w:rFonts w:hint="eastAsia" w:ascii="宋体" w:hAnsi="宋体" w:eastAsia="宋体" w:cs="宋体"/>
          <w:color w:val="64748B"/>
          <w:sz w:val="18"/>
          <w:szCs w:val="18"/>
          <w:lang w:val="en-US" w:eastAsia="zh-CN"/>
        </w:rPr>
        <w:t>5</w:t>
      </w:r>
      <w:r>
        <w:rPr>
          <w:rFonts w:hint="eastAsia" w:ascii="宋体" w:hAnsi="宋体" w:eastAsia="宋体" w:cs="宋体"/>
          <w:color w:val="64748B"/>
          <w:sz w:val="18"/>
          <w:szCs w:val="18"/>
        </w:rPr>
        <w:t xml:space="preserve">-1 </w:t>
      </w:r>
      <w:r>
        <w:rPr>
          <w:rFonts w:hint="eastAsia" w:ascii="宋体" w:hAnsi="宋体" w:eastAsia="宋体" w:cs="宋体"/>
          <w:lang w:val="en-US" w:eastAsia="zh-CN"/>
        </w:rPr>
        <w:t>采购包主数据</w:t>
      </w:r>
    </w:p>
    <w:p w14:paraId="25D22E00">
      <w:pPr>
        <w:pStyle w:val="11"/>
        <w:spacing w:after="120" w:line="360" w:lineRule="auto"/>
        <w:jc w:val="center"/>
        <w:rPr>
          <w:rFonts w:hint="eastAsia" w:ascii="宋体" w:hAnsi="宋体" w:eastAsia="宋体" w:cs="宋体"/>
        </w:rPr>
      </w:pPr>
      <w:r>
        <w:rPr>
          <w:rFonts w:hint="eastAsia" w:ascii="宋体" w:hAnsi="宋体" w:eastAsia="宋体" w:cs="宋体"/>
        </w:rPr>
        <w:drawing>
          <wp:inline distT="0" distB="0" distL="114300" distR="114300">
            <wp:extent cx="6290945" cy="3011170"/>
            <wp:effectExtent l="0" t="0" r="2540"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6290945" cy="3011170"/>
                    </a:xfrm>
                    <a:prstGeom prst="rect">
                      <a:avLst/>
                    </a:prstGeom>
                    <a:noFill/>
                    <a:ln>
                      <a:noFill/>
                    </a:ln>
                  </pic:spPr>
                </pic:pic>
              </a:graphicData>
            </a:graphic>
          </wp:inline>
        </w:drawing>
      </w:r>
    </w:p>
    <w:p w14:paraId="0A7BEA55">
      <w:pPr>
        <w:pStyle w:val="11"/>
        <w:spacing w:after="120" w:line="360" w:lineRule="auto"/>
        <w:jc w:val="center"/>
        <w:rPr>
          <w:rFonts w:hint="eastAsia" w:ascii="宋体" w:hAnsi="宋体" w:eastAsia="宋体" w:cs="宋体"/>
          <w:lang w:val="en-US" w:eastAsia="zh-CN"/>
        </w:rPr>
      </w:pPr>
      <w:r>
        <w:rPr>
          <w:rFonts w:hint="eastAsia" w:ascii="宋体" w:hAnsi="宋体" w:eastAsia="宋体" w:cs="宋体"/>
          <w:color w:val="64748B"/>
          <w:sz w:val="18"/>
          <w:szCs w:val="18"/>
          <w:lang w:eastAsia="zh-CN"/>
        </w:rPr>
        <w:t>图11-1-</w:t>
      </w:r>
      <w:r>
        <w:rPr>
          <w:rFonts w:hint="eastAsia" w:ascii="宋体" w:hAnsi="宋体" w:eastAsia="宋体" w:cs="宋体"/>
          <w:color w:val="64748B"/>
          <w:sz w:val="18"/>
          <w:szCs w:val="18"/>
          <w:lang w:val="en-US" w:eastAsia="zh-CN"/>
        </w:rPr>
        <w:t>5</w:t>
      </w:r>
      <w:r>
        <w:rPr>
          <w:rFonts w:hint="eastAsia" w:ascii="宋体" w:hAnsi="宋体" w:eastAsia="宋体" w:cs="宋体"/>
          <w:color w:val="64748B"/>
          <w:sz w:val="18"/>
          <w:szCs w:val="18"/>
        </w:rPr>
        <w:t>-</w:t>
      </w:r>
      <w:r>
        <w:rPr>
          <w:rFonts w:hint="eastAsia" w:ascii="宋体" w:hAnsi="宋体" w:eastAsia="宋体" w:cs="宋体"/>
          <w:color w:val="64748B"/>
          <w:sz w:val="18"/>
          <w:szCs w:val="18"/>
          <w:lang w:val="en-US" w:eastAsia="zh-CN"/>
        </w:rPr>
        <w:t>2</w:t>
      </w:r>
      <w:r>
        <w:rPr>
          <w:rFonts w:hint="eastAsia" w:ascii="宋体" w:hAnsi="宋体" w:eastAsia="宋体" w:cs="宋体"/>
          <w:color w:val="64748B"/>
          <w:sz w:val="18"/>
          <w:szCs w:val="18"/>
        </w:rPr>
        <w:t xml:space="preserve"> </w:t>
      </w:r>
      <w:r>
        <w:rPr>
          <w:rFonts w:hint="eastAsia" w:ascii="宋体" w:hAnsi="宋体" w:eastAsia="宋体" w:cs="宋体"/>
          <w:lang w:val="en-US" w:eastAsia="zh-CN"/>
        </w:rPr>
        <w:t>采购物项与基础信息</w:t>
      </w:r>
    </w:p>
    <w:p w14:paraId="5E06A516">
      <w:pPr>
        <w:pStyle w:val="6"/>
        <w:bidi w:val="0"/>
        <w:rPr>
          <w:rFonts w:hint="eastAsia"/>
          <w:lang w:val="en-US" w:eastAsia="zh-CN"/>
        </w:rPr>
      </w:pPr>
      <w:r>
        <w:rPr>
          <w:rFonts w:hint="eastAsia"/>
          <w:lang w:val="en-US" w:eastAsia="zh-CN"/>
        </w:rPr>
        <w:t>11.1.5.4 监造策划模块</w:t>
      </w:r>
    </w:p>
    <w:p w14:paraId="79CB6DAE">
      <w:pPr>
        <w:pStyle w:val="7"/>
        <w:bidi w:val="0"/>
        <w:rPr>
          <w:rFonts w:hint="eastAsia"/>
          <w:b w:val="0"/>
          <w:bCs w:val="0"/>
          <w:lang w:val="en-US" w:eastAsia="zh-CN"/>
        </w:rPr>
      </w:pPr>
      <w:r>
        <w:rPr>
          <w:rFonts w:hint="eastAsia"/>
          <w:b w:val="0"/>
          <w:bCs w:val="0"/>
          <w:lang w:val="en-US" w:eastAsia="zh-CN"/>
        </w:rPr>
        <w:t>11.1.5.4.1 建设目标</w:t>
      </w:r>
    </w:p>
    <w:p w14:paraId="715CA0A6">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监造策划模块支持从监造任务生成策划，自动带出任务基本信息，由监造人员补充合同关注点、关键点、质量风险、人员安排和执行计划。该模块决定了后续质量计划和现场执行是否“有针对性”，是从任务到执行之间的关键桥梁。</w:t>
      </w:r>
    </w:p>
    <w:p w14:paraId="022EFF4A">
      <w:pPr>
        <w:pStyle w:val="7"/>
        <w:bidi w:val="0"/>
        <w:rPr>
          <w:rFonts w:hint="eastAsia"/>
          <w:b w:val="0"/>
          <w:bCs w:val="0"/>
          <w:lang w:val="en-US" w:eastAsia="zh-CN"/>
        </w:rPr>
      </w:pPr>
      <w:r>
        <w:rPr>
          <w:rFonts w:hint="eastAsia"/>
          <w:b w:val="0"/>
          <w:bCs w:val="0"/>
          <w:lang w:val="en-US" w:eastAsia="zh-CN"/>
        </w:rPr>
        <w:t>11.1.5.4.2 业务场景</w:t>
      </w:r>
    </w:p>
    <w:p w14:paraId="02DD1A4F">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监造任务下发后，监造人员需要结合采购合同、供应商能力、物项特性、关键工序和历史问题，制定本合同包的监造策划。如果策划依赖线下文档编制，后续质量计划、见证任务、巡查重点和问题预警就难以与策划内容联动。</w:t>
      </w:r>
    </w:p>
    <w:p w14:paraId="53DCE854">
      <w:pPr>
        <w:pStyle w:val="7"/>
        <w:bidi w:val="0"/>
        <w:rPr>
          <w:rFonts w:hint="eastAsia"/>
          <w:b w:val="0"/>
          <w:bCs w:val="0"/>
          <w:lang w:val="en-US" w:eastAsia="zh-CN"/>
        </w:rPr>
      </w:pPr>
      <w:r>
        <w:rPr>
          <w:rFonts w:hint="eastAsia"/>
          <w:b w:val="0"/>
          <w:bCs w:val="0"/>
          <w:lang w:val="en-US" w:eastAsia="zh-CN"/>
        </w:rPr>
        <w:t>11.1.5.4.3 功能设计</w:t>
      </w:r>
    </w:p>
    <w:p w14:paraId="1F5292FB">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系统从任务书自动生成监造策划草稿，带出采购包、合同、供应商、物项、负责人等基础信息。监造人员补充合同关注点、关键工序、质量风险、见证策略、巡查安排和人员投入。策划提交后进入审批流程，审批通过后作为质量计划建立、见证点分解、巡查任务和风险预警的前置依据。策划发生变更时，系统要求填写变更原因并保留历史版本，保证策划与实际执行之间可追溯。</w:t>
      </w:r>
    </w:p>
    <w:p w14:paraId="71122D3C">
      <w:pPr>
        <w:pStyle w:val="7"/>
        <w:bidi w:val="0"/>
        <w:rPr>
          <w:rFonts w:hint="eastAsia"/>
          <w:b w:val="0"/>
          <w:bCs w:val="0"/>
          <w:lang w:val="en-US" w:eastAsia="zh-CN"/>
        </w:rPr>
      </w:pPr>
      <w:r>
        <w:rPr>
          <w:rFonts w:hint="eastAsia"/>
          <w:b w:val="0"/>
          <w:bCs w:val="0"/>
          <w:lang w:val="en-US" w:eastAsia="zh-CN"/>
        </w:rPr>
        <w:t>11.1.5.4.4 功能明细表</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6"/>
        <w:gridCol w:w="4656"/>
      </w:tblGrid>
      <w:tr w14:paraId="6909E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0374267">
            <w:pPr>
              <w:spacing w:after="0" w:line="300" w:lineRule="auto"/>
              <w:rPr>
                <w:rFonts w:hint="eastAsia" w:ascii="宋体" w:hAnsi="宋体" w:eastAsia="宋体" w:cs="宋体"/>
              </w:rPr>
            </w:pPr>
            <w:r>
              <w:rPr>
                <w:rFonts w:hint="eastAsia" w:ascii="宋体" w:hAnsi="宋体" w:eastAsia="宋体" w:cs="宋体"/>
                <w:b/>
                <w:bCs/>
                <w:color w:val="172033"/>
                <w:sz w:val="18"/>
                <w:szCs w:val="18"/>
              </w:rPr>
              <w:t>功能项</w:t>
            </w:r>
          </w:p>
        </w:tc>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66D4803">
            <w:pPr>
              <w:spacing w:after="0" w:line="300" w:lineRule="auto"/>
              <w:rPr>
                <w:rFonts w:hint="eastAsia" w:ascii="宋体" w:hAnsi="宋体" w:eastAsia="宋体" w:cs="宋体"/>
              </w:rPr>
            </w:pPr>
            <w:r>
              <w:rPr>
                <w:rFonts w:hint="eastAsia" w:ascii="宋体" w:hAnsi="宋体" w:eastAsia="宋体" w:cs="宋体"/>
                <w:b/>
                <w:bCs/>
                <w:color w:val="172033"/>
                <w:sz w:val="18"/>
                <w:szCs w:val="18"/>
              </w:rPr>
              <w:t>设计内容</w:t>
            </w:r>
          </w:p>
        </w:tc>
      </w:tr>
      <w:tr w14:paraId="3475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5DEB8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自动带出</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1EEBF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从任务书带出采购包、合同、供应商、物项、负责人等基础信息</w:t>
            </w:r>
          </w:p>
        </w:tc>
      </w:tr>
      <w:tr w14:paraId="0FF8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BF195B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关注点识别</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4A3E9F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维护合同关注点、关键工序、质量风险和验收要求</w:t>
            </w:r>
          </w:p>
        </w:tc>
      </w:tr>
      <w:tr w14:paraId="1DE0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6918B0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策划审批</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188741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支持提交、审批、退回、发布</w:t>
            </w:r>
          </w:p>
        </w:tc>
      </w:tr>
      <w:tr w14:paraId="6DBC7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949374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策划升版</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963B4E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记录变更原因、版本号和历史版本</w:t>
            </w:r>
          </w:p>
        </w:tc>
      </w:tr>
    </w:tbl>
    <w:p w14:paraId="11F93C2A">
      <w:pPr>
        <w:spacing w:after="100"/>
        <w:rPr>
          <w:rFonts w:hint="eastAsia" w:ascii="宋体" w:hAnsi="宋体" w:eastAsia="宋体" w:cs="宋体"/>
          <w:color w:val="64748B"/>
          <w:sz w:val="18"/>
          <w:szCs w:val="18"/>
        </w:rPr>
      </w:pPr>
    </w:p>
    <w:p w14:paraId="486A3F6E">
      <w:pPr>
        <w:pStyle w:val="6"/>
        <w:bidi w:val="0"/>
        <w:rPr>
          <w:rFonts w:hint="eastAsia"/>
          <w:lang w:val="en-US" w:eastAsia="zh-CN"/>
        </w:rPr>
      </w:pPr>
      <w:r>
        <w:rPr>
          <w:rFonts w:hint="eastAsia"/>
          <w:lang w:val="en-US" w:eastAsia="zh-CN"/>
        </w:rPr>
        <w:t>11.1.5.5 质量计划标准建立模块</w:t>
      </w:r>
    </w:p>
    <w:p w14:paraId="29733D91">
      <w:pPr>
        <w:pStyle w:val="7"/>
        <w:bidi w:val="0"/>
        <w:rPr>
          <w:rFonts w:hint="eastAsia"/>
          <w:b w:val="0"/>
          <w:bCs w:val="0"/>
          <w:lang w:val="en-US" w:eastAsia="zh-CN"/>
        </w:rPr>
      </w:pPr>
      <w:r>
        <w:rPr>
          <w:rFonts w:hint="eastAsia"/>
          <w:b w:val="0"/>
          <w:bCs w:val="0"/>
          <w:lang w:val="en-US" w:eastAsia="zh-CN"/>
        </w:rPr>
        <w:t>11.1.5.5.1 建设目标</w:t>
      </w:r>
    </w:p>
    <w:p w14:paraId="130FAA83">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质量计划标准建立模块以质量计划编号为唯一编码，建立质量计划、见证点、监理文件、问题记录和验收记录之间的跟踪关系。它既是业务执行的控制主线，也是后续质量追溯、统计分析和完工报告自动汇总的基础主线。</w:t>
      </w:r>
    </w:p>
    <w:p w14:paraId="2DAAC155">
      <w:pPr>
        <w:pStyle w:val="7"/>
        <w:bidi w:val="0"/>
        <w:rPr>
          <w:rFonts w:hint="eastAsia"/>
          <w:b w:val="0"/>
          <w:bCs w:val="0"/>
          <w:lang w:val="en-US" w:eastAsia="zh-CN"/>
        </w:rPr>
      </w:pPr>
      <w:r>
        <w:rPr>
          <w:rFonts w:hint="eastAsia"/>
          <w:b w:val="0"/>
          <w:bCs w:val="0"/>
          <w:lang w:val="en-US" w:eastAsia="zh-CN"/>
        </w:rPr>
        <w:t>11.1.5.5.2 业务场景</w:t>
      </w:r>
    </w:p>
    <w:p w14:paraId="22D2E985">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原材料和设备制造质量计划是合同制造监督的关键依据。监造人员需要依据质量计划开展 W 点、R 点、H 点见证，管理层需要按采购包和项目维度查看质量计划完成情况。如果质量计划、见证点和记录资料之间没有稳定关联，后续质量追溯和完工报告自动汇总会缺少数据基础。</w:t>
      </w:r>
    </w:p>
    <w:p w14:paraId="2307489B">
      <w:pPr>
        <w:pStyle w:val="7"/>
        <w:bidi w:val="0"/>
        <w:rPr>
          <w:rFonts w:hint="eastAsia"/>
          <w:b w:val="0"/>
          <w:bCs w:val="0"/>
          <w:lang w:val="en-US" w:eastAsia="zh-CN"/>
        </w:rPr>
      </w:pPr>
      <w:r>
        <w:rPr>
          <w:rFonts w:hint="eastAsia"/>
          <w:b w:val="0"/>
          <w:bCs w:val="0"/>
          <w:lang w:val="en-US" w:eastAsia="zh-CN"/>
        </w:rPr>
        <w:t>11.1.5.5.3 功能设计</w:t>
      </w:r>
    </w:p>
    <w:p w14:paraId="7F696B2A">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系统支持创建母质量计划、子质量计划和分质量计划，并维护质保分级清单、质量计划编制范围清单、判定标准和依据条款。质量计划确认后，系统自动分解 W/R/H 见证点，形成可执行的见证点清单。每个见证点与采购包、物项、质量计划编号、见证记录、问题单、验收记录建立关联。质量计划升版时保留历史版本和执行影响范围，避免新旧版本混用。</w:t>
      </w:r>
    </w:p>
    <w:p w14:paraId="4FE4AB04">
      <w:pPr>
        <w:pStyle w:val="7"/>
        <w:bidi w:val="0"/>
        <w:rPr>
          <w:rFonts w:hint="eastAsia"/>
          <w:b w:val="0"/>
          <w:bCs w:val="0"/>
          <w:lang w:val="en-US" w:eastAsia="zh-CN"/>
        </w:rPr>
      </w:pPr>
      <w:r>
        <w:rPr>
          <w:rFonts w:hint="eastAsia"/>
          <w:b w:val="0"/>
          <w:bCs w:val="0"/>
          <w:lang w:val="en-US" w:eastAsia="zh-CN"/>
        </w:rPr>
        <w:t>11.1.5.5.4 功能明细表</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4"/>
        <w:gridCol w:w="3104"/>
        <w:gridCol w:w="3104"/>
      </w:tblGrid>
      <w:tr w14:paraId="5CA0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89921E8">
            <w:pPr>
              <w:spacing w:after="0" w:line="300" w:lineRule="auto"/>
              <w:rPr>
                <w:rFonts w:hint="eastAsia" w:ascii="宋体" w:hAnsi="宋体" w:eastAsia="宋体" w:cs="宋体"/>
              </w:rPr>
            </w:pPr>
            <w:r>
              <w:rPr>
                <w:rFonts w:hint="eastAsia" w:ascii="宋体" w:hAnsi="宋体" w:eastAsia="宋体" w:cs="宋体"/>
                <w:b/>
                <w:bCs/>
                <w:color w:val="172033"/>
                <w:sz w:val="18"/>
                <w:szCs w:val="18"/>
              </w:rPr>
              <w:t>功能项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6434224">
            <w:pPr>
              <w:spacing w:after="0" w:line="300" w:lineRule="auto"/>
              <w:rPr>
                <w:rFonts w:hint="eastAsia" w:ascii="宋体" w:hAnsi="宋体" w:eastAsia="宋体" w:cs="宋体"/>
              </w:rPr>
            </w:pPr>
            <w:r>
              <w:rPr>
                <w:rFonts w:hint="eastAsia" w:ascii="宋体" w:hAnsi="宋体" w:eastAsia="宋体" w:cs="宋体"/>
                <w:b/>
                <w:bCs/>
                <w:color w:val="172033"/>
                <w:sz w:val="18"/>
                <w:szCs w:val="18"/>
              </w:rPr>
              <w:t>设计内容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E2EC591">
            <w:pPr>
              <w:spacing w:after="0" w:line="300" w:lineRule="auto"/>
              <w:rPr>
                <w:rFonts w:hint="eastAsia" w:ascii="宋体" w:hAnsi="宋体" w:eastAsia="宋体" w:cs="宋体"/>
              </w:rPr>
            </w:pPr>
            <w:r>
              <w:rPr>
                <w:rFonts w:hint="eastAsia" w:ascii="宋体" w:hAnsi="宋体" w:eastAsia="宋体" w:cs="宋体"/>
                <w:b/>
                <w:bCs/>
                <w:color w:val="172033"/>
                <w:sz w:val="18"/>
                <w:szCs w:val="18"/>
              </w:rPr>
              <w:t>验收关注点</w:t>
            </w:r>
          </w:p>
        </w:tc>
      </w:tr>
      <w:tr w14:paraId="15D75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867A8F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质量计划创建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AA50CB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支持母计划、子计划、分计划维护</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59A40B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结构完整、编号唯一</w:t>
            </w:r>
          </w:p>
        </w:tc>
      </w:tr>
      <w:tr w14:paraId="542B2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FDB87E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质保分级清单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218062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维护质保分级和计划编制范围</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4B4231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清单与采购包/物项关联准确</w:t>
            </w:r>
          </w:p>
        </w:tc>
      </w:tr>
      <w:tr w14:paraId="0E98C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01A345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见证点分解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8B1A77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自动生成 W/R/H 点清单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32712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计划与执行挂钩</w:t>
            </w:r>
          </w:p>
        </w:tc>
      </w:tr>
      <w:tr w14:paraId="418F0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227FDC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计划升版</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405745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保留历史版本、影响范围和执行差异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7B3371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版本可追溯</w:t>
            </w:r>
          </w:p>
        </w:tc>
      </w:tr>
    </w:tbl>
    <w:p w14:paraId="617054FE">
      <w:pPr>
        <w:spacing w:after="100"/>
        <w:rPr>
          <w:rFonts w:hint="eastAsia" w:ascii="宋体" w:hAnsi="宋体" w:eastAsia="宋体" w:cs="宋体"/>
        </w:rPr>
      </w:pPr>
    </w:p>
    <w:p w14:paraId="020739DD">
      <w:pPr>
        <w:spacing w:after="100"/>
        <w:rPr>
          <w:rFonts w:hint="eastAsia" w:ascii="宋体" w:hAnsi="宋体" w:eastAsia="宋体" w:cs="宋体"/>
        </w:rPr>
      </w:pPr>
      <w:r>
        <w:rPr>
          <w:rFonts w:hint="eastAsia" w:ascii="宋体" w:hAnsi="宋体" w:eastAsia="宋体" w:cs="宋体"/>
        </w:rPr>
        <w:drawing>
          <wp:inline distT="0" distB="0" distL="114300" distR="114300">
            <wp:extent cx="6290945" cy="3011170"/>
            <wp:effectExtent l="0" t="0" r="2540" b="63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6290945" cy="3011170"/>
                    </a:xfrm>
                    <a:prstGeom prst="rect">
                      <a:avLst/>
                    </a:prstGeom>
                    <a:noFill/>
                    <a:ln>
                      <a:noFill/>
                    </a:ln>
                  </pic:spPr>
                </pic:pic>
              </a:graphicData>
            </a:graphic>
          </wp:inline>
        </w:drawing>
      </w:r>
    </w:p>
    <w:p w14:paraId="60188071">
      <w:pPr>
        <w:pStyle w:val="11"/>
        <w:spacing w:after="120" w:line="360" w:lineRule="auto"/>
        <w:jc w:val="center"/>
        <w:rPr>
          <w:rFonts w:hint="eastAsia" w:ascii="宋体" w:hAnsi="宋体" w:eastAsia="宋体" w:cs="宋体"/>
          <w:color w:val="64748B"/>
          <w:sz w:val="18"/>
          <w:szCs w:val="18"/>
        </w:rPr>
      </w:pPr>
      <w:r>
        <w:rPr>
          <w:rFonts w:hint="eastAsia" w:ascii="宋体" w:hAnsi="宋体" w:eastAsia="宋体" w:cs="宋体"/>
          <w:color w:val="64748B"/>
          <w:sz w:val="18"/>
          <w:szCs w:val="18"/>
        </w:rPr>
        <w:t>图</w:t>
      </w:r>
      <w:r>
        <w:rPr>
          <w:rFonts w:hint="eastAsia" w:ascii="宋体" w:hAnsi="宋体" w:eastAsia="宋体" w:cs="宋体"/>
          <w:color w:val="64748B"/>
          <w:sz w:val="18"/>
          <w:szCs w:val="18"/>
          <w:lang w:val="en-US" w:eastAsia="zh-CN"/>
        </w:rPr>
        <w:t>11-1-5</w:t>
      </w:r>
      <w:r>
        <w:rPr>
          <w:rFonts w:hint="eastAsia" w:ascii="宋体" w:hAnsi="宋体" w:eastAsia="宋体" w:cs="宋体"/>
          <w:color w:val="64748B"/>
          <w:sz w:val="18"/>
          <w:szCs w:val="18"/>
        </w:rPr>
        <w:t>-</w:t>
      </w:r>
      <w:r>
        <w:rPr>
          <w:rFonts w:hint="eastAsia" w:ascii="宋体" w:hAnsi="宋体" w:eastAsia="宋体" w:cs="宋体"/>
          <w:color w:val="64748B"/>
          <w:sz w:val="18"/>
          <w:szCs w:val="18"/>
          <w:lang w:val="en-US" w:eastAsia="zh-CN"/>
        </w:rPr>
        <w:t>3</w:t>
      </w:r>
      <w:r>
        <w:rPr>
          <w:rFonts w:hint="eastAsia" w:ascii="宋体" w:hAnsi="宋体" w:eastAsia="宋体" w:cs="宋体"/>
          <w:color w:val="64748B"/>
          <w:sz w:val="18"/>
          <w:szCs w:val="18"/>
        </w:rPr>
        <w:t xml:space="preserve"> </w:t>
      </w:r>
      <w:r>
        <w:rPr>
          <w:rFonts w:hint="eastAsia" w:ascii="宋体" w:hAnsi="宋体" w:eastAsia="宋体" w:cs="宋体"/>
          <w:color w:val="64748B"/>
          <w:sz w:val="18"/>
          <w:szCs w:val="18"/>
          <w:lang w:val="en-US" w:eastAsia="zh-CN"/>
        </w:rPr>
        <w:t>检验见证控制要点</w:t>
      </w:r>
    </w:p>
    <w:p w14:paraId="1E9C4277">
      <w:pPr>
        <w:pStyle w:val="6"/>
        <w:bidi w:val="0"/>
        <w:rPr>
          <w:rFonts w:hint="eastAsia"/>
          <w:lang w:val="en-US" w:eastAsia="zh-CN"/>
        </w:rPr>
      </w:pPr>
      <w:r>
        <w:rPr>
          <w:rFonts w:hint="eastAsia"/>
          <w:lang w:val="en-US" w:eastAsia="zh-CN"/>
        </w:rPr>
        <w:t>11.1.5.6 供方文件审核模块</w:t>
      </w:r>
    </w:p>
    <w:p w14:paraId="4B31E599">
      <w:pPr>
        <w:pStyle w:val="7"/>
        <w:bidi w:val="0"/>
        <w:rPr>
          <w:rFonts w:hint="eastAsia"/>
          <w:b w:val="0"/>
          <w:bCs w:val="0"/>
          <w:lang w:val="en-US" w:eastAsia="zh-CN"/>
        </w:rPr>
      </w:pPr>
      <w:r>
        <w:rPr>
          <w:rFonts w:hint="eastAsia"/>
          <w:b w:val="0"/>
          <w:bCs w:val="0"/>
          <w:lang w:val="en-US" w:eastAsia="zh-CN"/>
        </w:rPr>
        <w:t>11.1.5.6.1 建设目标</w:t>
      </w:r>
    </w:p>
    <w:p w14:paraId="0838AD84">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供方文件审核模块建立供方质保大纲、质量计划相关文件、函件、问题和澄清资料的确认、传递和沟通渠道。其本质是把供应商与监造方之间最容易“丢信息、丢版本、丢意见”的环节固化到系统内。</w:t>
      </w:r>
    </w:p>
    <w:p w14:paraId="6A2D20BC">
      <w:pPr>
        <w:pStyle w:val="7"/>
        <w:bidi w:val="0"/>
        <w:rPr>
          <w:rFonts w:hint="eastAsia"/>
          <w:b w:val="0"/>
          <w:bCs w:val="0"/>
          <w:lang w:val="en-US" w:eastAsia="zh-CN"/>
        </w:rPr>
      </w:pPr>
      <w:r>
        <w:rPr>
          <w:rFonts w:hint="eastAsia"/>
          <w:b w:val="0"/>
          <w:bCs w:val="0"/>
          <w:lang w:val="en-US" w:eastAsia="zh-CN"/>
        </w:rPr>
        <w:t>11.1.5.6.2 业务场景</w:t>
      </w:r>
    </w:p>
    <w:p w14:paraId="45FD5084">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供应商在制造过程中需要提交质保大纲、质量计划、函件、问题澄清和其他技术文件。监造人员需对文件进行审查、提出意见并形成审查记录。若文件往来依赖邮件或线下传递，容易出现版本混乱、审核意见丢失、供应商未及时整改等风险。</w:t>
      </w:r>
    </w:p>
    <w:p w14:paraId="3A7029F3">
      <w:pPr>
        <w:pStyle w:val="7"/>
        <w:bidi w:val="0"/>
        <w:rPr>
          <w:rFonts w:hint="eastAsia"/>
          <w:b w:val="0"/>
          <w:bCs w:val="0"/>
          <w:lang w:val="en-US" w:eastAsia="zh-CN"/>
        </w:rPr>
      </w:pPr>
      <w:r>
        <w:rPr>
          <w:rFonts w:hint="eastAsia"/>
          <w:b w:val="0"/>
          <w:bCs w:val="0"/>
          <w:lang w:val="en-US" w:eastAsia="zh-CN"/>
        </w:rPr>
        <w:t>11.1.5.6.3 功能设计</w:t>
      </w:r>
    </w:p>
    <w:p w14:paraId="6C2AAC65">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系统为供应商和监造人员提供统一文件提交入口。供应商上传文件后，系统按采购包、专业、文件类型或配置规则生成审核待办。审核人员可填写通过、退回、补充说明等意见，并上传附件。系统将审核结果反馈给供应商，并记录文件提交、审核、退回、补正、归档全过程。审核通过文件归档至采购包、物项和体系文件库，作为后续见证、验收和完工资料的依据。</w:t>
      </w:r>
    </w:p>
    <w:p w14:paraId="7F634AA5">
      <w:pPr>
        <w:pStyle w:val="7"/>
        <w:bidi w:val="0"/>
        <w:rPr>
          <w:rFonts w:hint="eastAsia"/>
          <w:b w:val="0"/>
          <w:bCs w:val="0"/>
          <w:lang w:val="en-US" w:eastAsia="zh-CN"/>
        </w:rPr>
      </w:pPr>
      <w:r>
        <w:rPr>
          <w:rFonts w:hint="eastAsia"/>
          <w:b w:val="0"/>
          <w:bCs w:val="0"/>
          <w:lang w:val="en-US" w:eastAsia="zh-CN"/>
        </w:rPr>
        <w:t>11.1.5.6.4 功能明细表</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4"/>
        <w:gridCol w:w="3104"/>
        <w:gridCol w:w="3104"/>
      </w:tblGrid>
      <w:tr w14:paraId="52302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1326F95">
            <w:pPr>
              <w:spacing w:after="0" w:line="300" w:lineRule="auto"/>
              <w:rPr>
                <w:rFonts w:hint="eastAsia" w:ascii="宋体" w:hAnsi="宋体" w:eastAsia="宋体" w:cs="宋体"/>
              </w:rPr>
            </w:pPr>
            <w:r>
              <w:rPr>
                <w:rFonts w:hint="eastAsia" w:ascii="宋体" w:hAnsi="宋体" w:eastAsia="宋体" w:cs="宋体"/>
                <w:b/>
                <w:bCs/>
                <w:color w:val="172033"/>
                <w:sz w:val="18"/>
                <w:szCs w:val="18"/>
              </w:rPr>
              <w:t>流程步骤</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B64DE5D">
            <w:pPr>
              <w:spacing w:after="0" w:line="300" w:lineRule="auto"/>
              <w:rPr>
                <w:rFonts w:hint="eastAsia" w:ascii="宋体" w:hAnsi="宋体" w:eastAsia="宋体" w:cs="宋体"/>
              </w:rPr>
            </w:pPr>
            <w:r>
              <w:rPr>
                <w:rFonts w:hint="eastAsia" w:ascii="宋体" w:hAnsi="宋体" w:eastAsia="宋体" w:cs="宋体"/>
                <w:b/>
                <w:bCs/>
                <w:color w:val="172033"/>
                <w:sz w:val="18"/>
                <w:szCs w:val="18"/>
              </w:rPr>
              <w:t>处理动作</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36BC8B2">
            <w:pPr>
              <w:spacing w:after="0" w:line="300" w:lineRule="auto"/>
              <w:rPr>
                <w:rFonts w:hint="eastAsia" w:ascii="宋体" w:hAnsi="宋体" w:eastAsia="宋体" w:cs="宋体"/>
              </w:rPr>
            </w:pPr>
            <w:r>
              <w:rPr>
                <w:rFonts w:hint="eastAsia" w:ascii="宋体" w:hAnsi="宋体" w:eastAsia="宋体" w:cs="宋体"/>
                <w:b/>
                <w:bCs/>
                <w:color w:val="172033"/>
                <w:sz w:val="18"/>
                <w:szCs w:val="18"/>
              </w:rPr>
              <w:t>输出结果</w:t>
            </w:r>
          </w:p>
        </w:tc>
      </w:tr>
      <w:tr w14:paraId="0E0C6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4D649D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文件提交</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94F78E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供应商上传或监造人员录入供方文件及附件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3C2C0F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待审核文件</w:t>
            </w:r>
          </w:p>
        </w:tc>
      </w:tr>
      <w:tr w14:paraId="7A2B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9DC145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审核分派</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F7D1B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按采购包、专业、文件类型分派审核人员</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AB7D52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审核待办</w:t>
            </w:r>
          </w:p>
        </w:tc>
      </w:tr>
      <w:tr w14:paraId="4BA49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18091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审核处理</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CE829A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填写通过、退回、补充说明等意见</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2309C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审核记录</w:t>
            </w:r>
          </w:p>
        </w:tc>
      </w:tr>
      <w:tr w14:paraId="16853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15C8FE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归档回传</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FF0A44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审核结果反馈并归档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A9891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文件闭环台账</w:t>
            </w:r>
          </w:p>
        </w:tc>
      </w:tr>
    </w:tbl>
    <w:p w14:paraId="659D196E">
      <w:pPr>
        <w:spacing w:after="100"/>
        <w:rPr>
          <w:rFonts w:hint="eastAsia" w:ascii="宋体" w:hAnsi="宋体" w:eastAsia="宋体" w:cs="宋体"/>
        </w:rPr>
      </w:pPr>
    </w:p>
    <w:p w14:paraId="49BD1A05">
      <w:pPr>
        <w:pStyle w:val="6"/>
        <w:bidi w:val="0"/>
        <w:rPr>
          <w:rFonts w:hint="eastAsia"/>
          <w:lang w:val="en-US" w:eastAsia="zh-CN"/>
        </w:rPr>
      </w:pPr>
      <w:r>
        <w:rPr>
          <w:rFonts w:hint="eastAsia"/>
          <w:lang w:val="en-US" w:eastAsia="zh-CN"/>
        </w:rPr>
        <w:t>11.1.5.7 监造过程监督和执行模块</w:t>
      </w:r>
    </w:p>
    <w:p w14:paraId="2FC5E4B4">
      <w:pPr>
        <w:pStyle w:val="7"/>
        <w:bidi w:val="0"/>
        <w:rPr>
          <w:rFonts w:hint="eastAsia"/>
          <w:b w:val="0"/>
          <w:bCs w:val="0"/>
          <w:lang w:val="en-US" w:eastAsia="zh-CN"/>
        </w:rPr>
      </w:pPr>
      <w:r>
        <w:rPr>
          <w:rFonts w:hint="eastAsia"/>
          <w:b w:val="0"/>
          <w:bCs w:val="0"/>
          <w:lang w:val="en-US" w:eastAsia="zh-CN"/>
        </w:rPr>
        <w:t>11.1.5.7.1 建设目标</w:t>
      </w:r>
    </w:p>
    <w:p w14:paraId="7EEA3E68">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监造过程监督和执行模块覆盖日常监督、质量计划执行、专项监督、巡检、见证通知、见证记录和影像资料上传，是系统使用频率最高、现场价值最直接的一组模块。</w:t>
      </w:r>
    </w:p>
    <w:p w14:paraId="75925FA5">
      <w:pPr>
        <w:pStyle w:val="7"/>
        <w:bidi w:val="0"/>
        <w:rPr>
          <w:rFonts w:hint="eastAsia"/>
          <w:b w:val="0"/>
          <w:bCs w:val="0"/>
          <w:lang w:val="en-US" w:eastAsia="zh-CN"/>
        </w:rPr>
      </w:pPr>
      <w:r>
        <w:rPr>
          <w:rFonts w:hint="eastAsia"/>
          <w:b w:val="0"/>
          <w:bCs w:val="0"/>
          <w:lang w:val="en-US" w:eastAsia="zh-CN"/>
        </w:rPr>
        <w:t>11.1.5.7.2 业务场景</w:t>
      </w:r>
    </w:p>
    <w:p w14:paraId="7A36B759">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监造人员在供方制造现场开展日常监督、质量计划见证、专项监督和巡检，需要实时记录见证结果、现场问题、照片视频和相关文件。管理人员需要及时掌握见证点完成情况、现场质量风险和监造执行进展。</w:t>
      </w:r>
    </w:p>
    <w:p w14:paraId="78F07CB7">
      <w:pPr>
        <w:pStyle w:val="7"/>
        <w:bidi w:val="0"/>
        <w:rPr>
          <w:rFonts w:hint="eastAsia"/>
          <w:b w:val="0"/>
          <w:bCs w:val="0"/>
          <w:lang w:val="en-US" w:eastAsia="zh-CN"/>
        </w:rPr>
      </w:pPr>
      <w:r>
        <w:rPr>
          <w:rFonts w:hint="eastAsia"/>
          <w:b w:val="0"/>
          <w:bCs w:val="0"/>
          <w:lang w:val="en-US" w:eastAsia="zh-CN"/>
        </w:rPr>
        <w:t>11.1.5.7.2 功能设计</w:t>
      </w:r>
    </w:p>
    <w:p w14:paraId="10623B71">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系统根据质量计划见证点生成见证任务，监造人员在 PC 端或移动端接收待办后填写见证记录，选择实物见证、文件见证等方式，并上传照片、视频和附件。日常监督和专项巡检支持按模板填报，记录问题、结论和行动项。所有过程记录提交后按审批流程流转，审批通过后形成电子档案。系统按采购包、物项、见证点、供应商等维度汇总执行进度，为质量追溯和完工总结提供数据基础。</w:t>
      </w:r>
    </w:p>
    <w:p w14:paraId="006665DB">
      <w:pPr>
        <w:pStyle w:val="7"/>
        <w:bidi w:val="0"/>
        <w:rPr>
          <w:rFonts w:hint="eastAsia"/>
          <w:b w:val="0"/>
          <w:bCs w:val="0"/>
          <w:lang w:val="en-US" w:eastAsia="zh-CN"/>
        </w:rPr>
      </w:pPr>
      <w:r>
        <w:rPr>
          <w:rFonts w:hint="eastAsia"/>
          <w:b w:val="0"/>
          <w:bCs w:val="0"/>
          <w:lang w:val="en-US" w:eastAsia="zh-CN"/>
        </w:rPr>
        <w:t>11.1.5.7.4 功能明细表</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4"/>
        <w:gridCol w:w="3104"/>
        <w:gridCol w:w="3104"/>
      </w:tblGrid>
      <w:tr w14:paraId="04C4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AE2ED79">
            <w:pPr>
              <w:spacing w:after="0" w:line="300" w:lineRule="auto"/>
              <w:rPr>
                <w:rFonts w:hint="eastAsia" w:ascii="宋体" w:hAnsi="宋体" w:eastAsia="宋体" w:cs="宋体"/>
              </w:rPr>
            </w:pPr>
            <w:r>
              <w:rPr>
                <w:rFonts w:hint="eastAsia" w:ascii="宋体" w:hAnsi="宋体" w:eastAsia="宋体" w:cs="宋体"/>
                <w:b/>
                <w:bCs/>
                <w:color w:val="172033"/>
                <w:sz w:val="18"/>
                <w:szCs w:val="18"/>
              </w:rPr>
              <w:t>功能项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9C997DD">
            <w:pPr>
              <w:spacing w:after="0" w:line="300" w:lineRule="auto"/>
              <w:rPr>
                <w:rFonts w:hint="eastAsia" w:ascii="宋体" w:hAnsi="宋体" w:eastAsia="宋体" w:cs="宋体"/>
              </w:rPr>
            </w:pPr>
            <w:r>
              <w:rPr>
                <w:rFonts w:hint="eastAsia" w:ascii="宋体" w:hAnsi="宋体" w:eastAsia="宋体" w:cs="宋体"/>
                <w:b/>
                <w:bCs/>
                <w:color w:val="172033"/>
                <w:sz w:val="18"/>
                <w:szCs w:val="18"/>
              </w:rPr>
              <w:t>设计内容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BAE4904">
            <w:pPr>
              <w:spacing w:after="0" w:line="300" w:lineRule="auto"/>
              <w:rPr>
                <w:rFonts w:hint="eastAsia" w:ascii="宋体" w:hAnsi="宋体" w:eastAsia="宋体" w:cs="宋体"/>
              </w:rPr>
            </w:pPr>
            <w:r>
              <w:rPr>
                <w:rFonts w:hint="eastAsia" w:ascii="宋体" w:hAnsi="宋体" w:eastAsia="宋体" w:cs="宋体"/>
                <w:b/>
                <w:bCs/>
                <w:color w:val="172033"/>
                <w:sz w:val="18"/>
                <w:szCs w:val="18"/>
              </w:rPr>
              <w:t>控制点</w:t>
            </w:r>
          </w:p>
        </w:tc>
      </w:tr>
      <w:tr w14:paraId="4074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887E03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见证通知</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FF6C51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根据质量计划见证点发起见证通知</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6C95D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与采购包、物项、质量计划关联</w:t>
            </w:r>
          </w:p>
        </w:tc>
      </w:tr>
      <w:tr w14:paraId="17F0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9C159A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见证执行</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C19533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监造人员填写见证记录、选择见证方式、上传附件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C8B3DE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记录时间、地点、结论和责任人</w:t>
            </w:r>
          </w:p>
        </w:tc>
      </w:tr>
      <w:tr w14:paraId="046D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CA55B9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影像上传</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14BE4F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上传照片、视频和相关附件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AA78FC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形成现场证据链</w:t>
            </w:r>
          </w:p>
        </w:tc>
      </w:tr>
      <w:tr w14:paraId="6BE3D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245617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审批归档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2BDFF8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记录审批流转并归档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AAC090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过程可追溯</w:t>
            </w:r>
          </w:p>
        </w:tc>
      </w:tr>
    </w:tbl>
    <w:p w14:paraId="6B0F5F6E">
      <w:pPr>
        <w:spacing w:after="100"/>
        <w:rPr>
          <w:rFonts w:hint="eastAsia" w:ascii="宋体" w:hAnsi="宋体" w:eastAsia="宋体" w:cs="宋体"/>
        </w:rPr>
      </w:pPr>
    </w:p>
    <w:p w14:paraId="1E3EEA49">
      <w:pPr>
        <w:spacing w:after="100"/>
        <w:rPr>
          <w:rFonts w:hint="eastAsia" w:ascii="宋体" w:hAnsi="宋体" w:eastAsia="宋体" w:cs="宋体"/>
        </w:rPr>
      </w:pPr>
      <w:r>
        <w:rPr>
          <w:rFonts w:hint="eastAsia" w:ascii="宋体" w:hAnsi="宋体" w:eastAsia="宋体" w:cs="宋体"/>
        </w:rPr>
        <w:drawing>
          <wp:inline distT="0" distB="0" distL="114300" distR="114300">
            <wp:extent cx="6290945" cy="2798445"/>
            <wp:effectExtent l="0" t="0" r="2540" b="82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0"/>
                    <a:stretch>
                      <a:fillRect/>
                    </a:stretch>
                  </pic:blipFill>
                  <pic:spPr>
                    <a:xfrm>
                      <a:off x="0" y="0"/>
                      <a:ext cx="6290945" cy="2798445"/>
                    </a:xfrm>
                    <a:prstGeom prst="rect">
                      <a:avLst/>
                    </a:prstGeom>
                    <a:noFill/>
                    <a:ln>
                      <a:noFill/>
                    </a:ln>
                  </pic:spPr>
                </pic:pic>
              </a:graphicData>
            </a:graphic>
          </wp:inline>
        </w:drawing>
      </w:r>
    </w:p>
    <w:p w14:paraId="7B589B29">
      <w:pPr>
        <w:pStyle w:val="11"/>
        <w:spacing w:after="120" w:line="360" w:lineRule="auto"/>
        <w:jc w:val="center"/>
        <w:rPr>
          <w:rFonts w:hint="eastAsia" w:ascii="宋体" w:hAnsi="宋体" w:eastAsia="宋体" w:cs="宋体"/>
          <w:lang w:val="en-US" w:eastAsia="zh-CN"/>
        </w:rPr>
      </w:pPr>
      <w:r>
        <w:rPr>
          <w:rFonts w:hint="eastAsia" w:ascii="宋体" w:hAnsi="宋体" w:eastAsia="宋体" w:cs="宋体"/>
          <w:color w:val="64748B"/>
          <w:sz w:val="18"/>
          <w:szCs w:val="18"/>
        </w:rPr>
        <w:t>图</w:t>
      </w:r>
      <w:r>
        <w:rPr>
          <w:rFonts w:hint="eastAsia" w:ascii="宋体" w:hAnsi="宋体" w:eastAsia="宋体" w:cs="宋体"/>
          <w:color w:val="64748B"/>
          <w:sz w:val="18"/>
          <w:szCs w:val="18"/>
          <w:lang w:val="en-US" w:eastAsia="zh-CN"/>
        </w:rPr>
        <w:t>11-1-5</w:t>
      </w:r>
      <w:r>
        <w:rPr>
          <w:rFonts w:hint="eastAsia" w:ascii="宋体" w:hAnsi="宋体" w:eastAsia="宋体" w:cs="宋体"/>
          <w:color w:val="64748B"/>
          <w:sz w:val="18"/>
          <w:szCs w:val="18"/>
        </w:rPr>
        <w:t>-</w:t>
      </w:r>
      <w:r>
        <w:rPr>
          <w:rFonts w:hint="eastAsia" w:ascii="宋体" w:hAnsi="宋体" w:eastAsia="宋体" w:cs="宋体"/>
          <w:color w:val="64748B"/>
          <w:sz w:val="18"/>
          <w:szCs w:val="18"/>
          <w:lang w:val="en-US" w:eastAsia="zh-CN"/>
        </w:rPr>
        <w:t>4</w:t>
      </w:r>
      <w:r>
        <w:rPr>
          <w:rFonts w:hint="eastAsia" w:ascii="宋体" w:hAnsi="宋体" w:eastAsia="宋体" w:cs="宋体"/>
          <w:color w:val="64748B"/>
          <w:sz w:val="18"/>
          <w:szCs w:val="18"/>
        </w:rPr>
        <w:t xml:space="preserve"> </w:t>
      </w:r>
      <w:r>
        <w:rPr>
          <w:rFonts w:hint="eastAsia" w:ascii="宋体" w:hAnsi="宋体" w:eastAsia="宋体" w:cs="宋体"/>
          <w:color w:val="64748B"/>
          <w:sz w:val="18"/>
          <w:szCs w:val="18"/>
          <w:lang w:val="en-US" w:eastAsia="zh-CN"/>
        </w:rPr>
        <w:t>见证记录</w:t>
      </w:r>
    </w:p>
    <w:p w14:paraId="743094DF">
      <w:pPr>
        <w:pStyle w:val="6"/>
        <w:bidi w:val="0"/>
        <w:rPr>
          <w:rFonts w:hint="eastAsia"/>
          <w:lang w:val="en-US" w:eastAsia="zh-CN"/>
        </w:rPr>
      </w:pPr>
      <w:r>
        <w:rPr>
          <w:rFonts w:hint="eastAsia"/>
          <w:lang w:val="en-US" w:eastAsia="zh-CN"/>
        </w:rPr>
        <w:t>11.1.5.8 质量问题处理模块</w:t>
      </w:r>
    </w:p>
    <w:p w14:paraId="4BD5885D">
      <w:pPr>
        <w:pStyle w:val="7"/>
        <w:bidi w:val="0"/>
        <w:rPr>
          <w:rFonts w:hint="eastAsia"/>
          <w:b w:val="0"/>
          <w:bCs w:val="0"/>
          <w:lang w:val="en-US" w:eastAsia="zh-CN"/>
        </w:rPr>
      </w:pPr>
      <w:r>
        <w:rPr>
          <w:rFonts w:hint="eastAsia"/>
          <w:b w:val="0"/>
          <w:bCs w:val="0"/>
          <w:lang w:val="en-US" w:eastAsia="zh-CN"/>
        </w:rPr>
        <w:t>11.1.5.8.1 建设目标</w:t>
      </w:r>
    </w:p>
    <w:p w14:paraId="2BBDDA43">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质量问题处理模块支持创建问题质量单、监造工作联系单、质量问题通知单和停工令等单据，形成问题闭环。模块的价值不仅在于“有问题单”，更在于问题能否分派到人、整改有无时限、关闭有无证据、统计能否形成规律。</w:t>
      </w:r>
    </w:p>
    <w:p w14:paraId="555BF510">
      <w:pPr>
        <w:pStyle w:val="7"/>
        <w:bidi w:val="0"/>
        <w:rPr>
          <w:rFonts w:hint="eastAsia"/>
          <w:b w:val="0"/>
          <w:bCs w:val="0"/>
          <w:lang w:val="en-US" w:eastAsia="zh-CN"/>
        </w:rPr>
      </w:pPr>
      <w:r>
        <w:rPr>
          <w:rFonts w:hint="eastAsia"/>
          <w:b w:val="0"/>
          <w:bCs w:val="0"/>
          <w:lang w:val="en-US" w:eastAsia="zh-CN"/>
        </w:rPr>
        <w:t>11.1.5.8.2 业务场景</w:t>
      </w:r>
    </w:p>
    <w:p w14:paraId="7AD0C860">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在巡视检查、专项巡检、见证、出厂验收和监造放行过程中，监造人员可能发现质量问题、不符合项或需供应商澄清整改的事项。问题若只通过口头或线下文件流转，容易出现责任不清、整改不及时、关闭证据不足等问题。</w:t>
      </w:r>
    </w:p>
    <w:p w14:paraId="71C44D1B">
      <w:pPr>
        <w:pStyle w:val="7"/>
        <w:bidi w:val="0"/>
        <w:rPr>
          <w:rFonts w:hint="eastAsia"/>
          <w:b w:val="0"/>
          <w:bCs w:val="0"/>
          <w:lang w:val="en-US" w:eastAsia="zh-CN"/>
        </w:rPr>
      </w:pPr>
      <w:r>
        <w:rPr>
          <w:rFonts w:hint="eastAsia"/>
          <w:b w:val="0"/>
          <w:bCs w:val="0"/>
          <w:lang w:val="en-US" w:eastAsia="zh-CN"/>
        </w:rPr>
        <w:t>11.1.5.8.3 功能设计</w:t>
      </w:r>
    </w:p>
    <w:p w14:paraId="279DD8FD">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系统支持从见证、巡检、验收、放行业务记录中关联创建问题质量单、监造工作联系单、质量问题通知单或停工令，也支持手动新建。问题单自动带出项目编号、合同编号、制造厂、采购物项等信息。发布后供应商收到整改待办，填写整改说明并上传证明材料；监造人员现场确认后提交关闭申请，审批通过后关闭。系统支持到期和超期提醒，并按问题类型、供应商、采购包、状态、关闭周期统计分析。</w:t>
      </w:r>
    </w:p>
    <w:p w14:paraId="76AD9679">
      <w:pPr>
        <w:pStyle w:val="7"/>
        <w:bidi w:val="0"/>
        <w:rPr>
          <w:rFonts w:hint="eastAsia"/>
          <w:b w:val="0"/>
          <w:bCs w:val="0"/>
          <w:lang w:val="en-US" w:eastAsia="zh-CN"/>
        </w:rPr>
      </w:pPr>
      <w:r>
        <w:rPr>
          <w:rFonts w:hint="eastAsia"/>
          <w:b w:val="0"/>
          <w:bCs w:val="0"/>
          <w:lang w:val="en-US" w:eastAsia="zh-CN"/>
        </w:rPr>
        <w:t>11.1.5.8.4 功能明细表</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6"/>
        <w:gridCol w:w="4656"/>
      </w:tblGrid>
      <w:tr w14:paraId="24C8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F16E85A">
            <w:pPr>
              <w:spacing w:after="0" w:line="300" w:lineRule="auto"/>
              <w:rPr>
                <w:rFonts w:hint="eastAsia" w:ascii="宋体" w:hAnsi="宋体" w:eastAsia="宋体" w:cs="宋体"/>
              </w:rPr>
            </w:pPr>
            <w:r>
              <w:rPr>
                <w:rFonts w:hint="eastAsia" w:ascii="宋体" w:hAnsi="宋体" w:eastAsia="宋体" w:cs="宋体"/>
                <w:b/>
                <w:bCs/>
                <w:color w:val="172033"/>
                <w:sz w:val="18"/>
                <w:szCs w:val="18"/>
              </w:rPr>
              <w:t>功能项</w:t>
            </w:r>
          </w:p>
        </w:tc>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56CD348">
            <w:pPr>
              <w:spacing w:after="0" w:line="300" w:lineRule="auto"/>
              <w:rPr>
                <w:rFonts w:hint="eastAsia" w:ascii="宋体" w:hAnsi="宋体" w:eastAsia="宋体" w:cs="宋体"/>
              </w:rPr>
            </w:pPr>
            <w:r>
              <w:rPr>
                <w:rFonts w:hint="eastAsia" w:ascii="宋体" w:hAnsi="宋体" w:eastAsia="宋体" w:cs="宋体"/>
                <w:b/>
                <w:bCs/>
                <w:color w:val="172033"/>
                <w:sz w:val="18"/>
                <w:szCs w:val="18"/>
              </w:rPr>
              <w:t>设计内容</w:t>
            </w:r>
          </w:p>
        </w:tc>
      </w:tr>
      <w:tr w14:paraId="7A445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986FCE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问题创建</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A96AC1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支持从见证、巡检、验收、放行等环节关联发起，也支持手动创建</w:t>
            </w:r>
          </w:p>
        </w:tc>
      </w:tr>
      <w:tr w14:paraId="188F9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476781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自动带出</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292686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自动带出项目编号、合同编号、制造厂、采购物项等基础信息</w:t>
            </w:r>
          </w:p>
        </w:tc>
      </w:tr>
      <w:tr w14:paraId="2250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B42E73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整改回复</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D10F2C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供应商填写整改说明并上传证明材料</w:t>
            </w:r>
          </w:p>
        </w:tc>
      </w:tr>
      <w:tr w14:paraId="1D9D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EED12E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审批关闭</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62638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监造人员现场确认并发起关闭审批</w:t>
            </w:r>
          </w:p>
        </w:tc>
      </w:tr>
      <w:tr w14:paraId="4239F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D03FA4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超期预警</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5B5D7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到期、超期自动提醒并纳入统计</w:t>
            </w:r>
          </w:p>
        </w:tc>
      </w:tr>
    </w:tbl>
    <w:p w14:paraId="4A4E55B2">
      <w:pPr>
        <w:spacing w:after="100"/>
        <w:rPr>
          <w:rFonts w:hint="eastAsia" w:ascii="宋体" w:hAnsi="宋体" w:eastAsia="宋体" w:cs="宋体"/>
        </w:rPr>
      </w:pPr>
    </w:p>
    <w:p w14:paraId="6FC5133D">
      <w:pPr>
        <w:spacing w:after="100"/>
        <w:rPr>
          <w:rFonts w:hint="eastAsia" w:ascii="宋体" w:hAnsi="宋体" w:eastAsia="宋体" w:cs="宋体"/>
        </w:rPr>
      </w:pPr>
      <w:r>
        <w:rPr>
          <w:rFonts w:hint="eastAsia" w:ascii="宋体" w:hAnsi="宋体" w:eastAsia="宋体" w:cs="宋体"/>
        </w:rPr>
        <w:drawing>
          <wp:inline distT="0" distB="0" distL="114300" distR="114300">
            <wp:extent cx="6290945" cy="3011170"/>
            <wp:effectExtent l="0" t="0" r="2540" b="6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1"/>
                    <a:stretch>
                      <a:fillRect/>
                    </a:stretch>
                  </pic:blipFill>
                  <pic:spPr>
                    <a:xfrm>
                      <a:off x="0" y="0"/>
                      <a:ext cx="6290945" cy="3011170"/>
                    </a:xfrm>
                    <a:prstGeom prst="rect">
                      <a:avLst/>
                    </a:prstGeom>
                    <a:noFill/>
                    <a:ln>
                      <a:noFill/>
                    </a:ln>
                  </pic:spPr>
                </pic:pic>
              </a:graphicData>
            </a:graphic>
          </wp:inline>
        </w:drawing>
      </w:r>
    </w:p>
    <w:p w14:paraId="15F86866">
      <w:pPr>
        <w:pStyle w:val="11"/>
        <w:spacing w:after="120" w:line="360" w:lineRule="auto"/>
        <w:jc w:val="center"/>
        <w:rPr>
          <w:rFonts w:hint="eastAsia" w:ascii="宋体" w:hAnsi="宋体" w:eastAsia="宋体" w:cs="宋体"/>
          <w:color w:val="64748B"/>
          <w:sz w:val="18"/>
          <w:szCs w:val="18"/>
          <w:lang w:val="en-US" w:eastAsia="zh-CN"/>
        </w:rPr>
      </w:pPr>
      <w:r>
        <w:rPr>
          <w:rFonts w:hint="eastAsia" w:ascii="宋体" w:hAnsi="宋体" w:eastAsia="宋体" w:cs="宋体"/>
          <w:color w:val="64748B"/>
          <w:sz w:val="18"/>
          <w:szCs w:val="18"/>
          <w:lang w:eastAsia="zh-CN"/>
        </w:rPr>
        <w:t>图11-1-</w:t>
      </w:r>
      <w:r>
        <w:rPr>
          <w:rFonts w:hint="eastAsia" w:ascii="宋体" w:hAnsi="宋体" w:eastAsia="宋体" w:cs="宋体"/>
          <w:color w:val="64748B"/>
          <w:sz w:val="18"/>
          <w:szCs w:val="18"/>
          <w:lang w:val="en-US" w:eastAsia="zh-CN"/>
        </w:rPr>
        <w:t>5</w:t>
      </w:r>
      <w:r>
        <w:rPr>
          <w:rFonts w:hint="eastAsia" w:ascii="宋体" w:hAnsi="宋体" w:eastAsia="宋体" w:cs="宋体"/>
          <w:color w:val="64748B"/>
          <w:sz w:val="18"/>
          <w:szCs w:val="18"/>
        </w:rPr>
        <w:t>-</w:t>
      </w:r>
      <w:r>
        <w:rPr>
          <w:rFonts w:hint="eastAsia" w:ascii="宋体" w:hAnsi="宋体" w:eastAsia="宋体" w:cs="宋体"/>
          <w:color w:val="64748B"/>
          <w:sz w:val="18"/>
          <w:szCs w:val="18"/>
          <w:lang w:val="en-US" w:eastAsia="zh-CN"/>
        </w:rPr>
        <w:t>5</w:t>
      </w:r>
      <w:r>
        <w:rPr>
          <w:rFonts w:hint="eastAsia" w:ascii="宋体" w:hAnsi="宋体" w:eastAsia="宋体" w:cs="宋体"/>
          <w:color w:val="64748B"/>
          <w:sz w:val="18"/>
          <w:szCs w:val="18"/>
        </w:rPr>
        <w:t xml:space="preserve"> </w:t>
      </w:r>
      <w:r>
        <w:rPr>
          <w:rFonts w:hint="eastAsia" w:ascii="宋体" w:hAnsi="宋体" w:eastAsia="宋体" w:cs="宋体"/>
          <w:color w:val="64748B"/>
          <w:sz w:val="18"/>
          <w:szCs w:val="18"/>
          <w:lang w:val="en-US" w:eastAsia="zh-CN"/>
        </w:rPr>
        <w:t>问题质量单</w:t>
      </w:r>
    </w:p>
    <w:p w14:paraId="4F4F6EA1">
      <w:pPr>
        <w:pStyle w:val="11"/>
        <w:spacing w:after="120" w:line="360" w:lineRule="auto"/>
        <w:jc w:val="center"/>
        <w:rPr>
          <w:rFonts w:hint="eastAsia" w:ascii="宋体" w:hAnsi="宋体" w:eastAsia="宋体" w:cs="宋体"/>
        </w:rPr>
      </w:pPr>
      <w:r>
        <w:rPr>
          <w:rFonts w:hint="eastAsia" w:ascii="宋体" w:hAnsi="宋体" w:eastAsia="宋体" w:cs="宋体"/>
        </w:rPr>
        <w:drawing>
          <wp:inline distT="0" distB="0" distL="114300" distR="114300">
            <wp:extent cx="6290945" cy="3011170"/>
            <wp:effectExtent l="0" t="0" r="2540" b="63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2"/>
                    <a:stretch>
                      <a:fillRect/>
                    </a:stretch>
                  </pic:blipFill>
                  <pic:spPr>
                    <a:xfrm>
                      <a:off x="0" y="0"/>
                      <a:ext cx="6290945" cy="3011170"/>
                    </a:xfrm>
                    <a:prstGeom prst="rect">
                      <a:avLst/>
                    </a:prstGeom>
                    <a:noFill/>
                    <a:ln>
                      <a:noFill/>
                    </a:ln>
                  </pic:spPr>
                </pic:pic>
              </a:graphicData>
            </a:graphic>
          </wp:inline>
        </w:drawing>
      </w:r>
    </w:p>
    <w:p w14:paraId="2B8A39C7">
      <w:pPr>
        <w:pStyle w:val="11"/>
        <w:spacing w:after="120" w:line="360" w:lineRule="auto"/>
        <w:jc w:val="center"/>
        <w:rPr>
          <w:rFonts w:hint="eastAsia" w:ascii="宋体" w:hAnsi="宋体" w:eastAsia="宋体" w:cs="宋体"/>
          <w:lang w:val="en-US" w:eastAsia="zh-CN"/>
        </w:rPr>
      </w:pPr>
      <w:r>
        <w:rPr>
          <w:rFonts w:hint="eastAsia" w:ascii="宋体" w:hAnsi="宋体" w:eastAsia="宋体" w:cs="宋体"/>
          <w:color w:val="64748B"/>
          <w:sz w:val="18"/>
          <w:szCs w:val="18"/>
          <w:lang w:eastAsia="zh-CN"/>
        </w:rPr>
        <w:t>图11-1-</w:t>
      </w:r>
      <w:r>
        <w:rPr>
          <w:rFonts w:hint="eastAsia" w:ascii="宋体" w:hAnsi="宋体" w:eastAsia="宋体" w:cs="宋体"/>
          <w:color w:val="64748B"/>
          <w:sz w:val="18"/>
          <w:szCs w:val="18"/>
          <w:lang w:val="en-US" w:eastAsia="zh-CN"/>
        </w:rPr>
        <w:t>5</w:t>
      </w:r>
      <w:r>
        <w:rPr>
          <w:rFonts w:hint="eastAsia" w:ascii="宋体" w:hAnsi="宋体" w:eastAsia="宋体" w:cs="宋体"/>
          <w:color w:val="64748B"/>
          <w:sz w:val="18"/>
          <w:szCs w:val="18"/>
        </w:rPr>
        <w:t>-</w:t>
      </w:r>
      <w:r>
        <w:rPr>
          <w:rFonts w:hint="eastAsia" w:ascii="宋体" w:hAnsi="宋体" w:eastAsia="宋体" w:cs="宋体"/>
          <w:color w:val="64748B"/>
          <w:sz w:val="18"/>
          <w:szCs w:val="18"/>
          <w:lang w:val="en-US" w:eastAsia="zh-CN"/>
        </w:rPr>
        <w:t>6</w:t>
      </w:r>
      <w:r>
        <w:rPr>
          <w:rFonts w:hint="eastAsia" w:ascii="宋体" w:hAnsi="宋体" w:eastAsia="宋体" w:cs="宋体"/>
          <w:color w:val="64748B"/>
          <w:sz w:val="18"/>
          <w:szCs w:val="18"/>
        </w:rPr>
        <w:t xml:space="preserve"> </w:t>
      </w:r>
      <w:r>
        <w:rPr>
          <w:rFonts w:hint="eastAsia" w:ascii="宋体" w:hAnsi="宋体" w:eastAsia="宋体" w:cs="宋体"/>
          <w:color w:val="64748B"/>
          <w:sz w:val="18"/>
          <w:szCs w:val="18"/>
          <w:lang w:val="en-US" w:eastAsia="zh-CN"/>
        </w:rPr>
        <w:t>监理联系单</w:t>
      </w:r>
    </w:p>
    <w:p w14:paraId="53FE35FE">
      <w:pPr>
        <w:pStyle w:val="6"/>
        <w:bidi w:val="0"/>
        <w:rPr>
          <w:rFonts w:hint="eastAsia"/>
          <w:lang w:val="en-US" w:eastAsia="zh-CN"/>
        </w:rPr>
      </w:pPr>
      <w:r>
        <w:rPr>
          <w:rFonts w:hint="eastAsia"/>
          <w:lang w:val="en-US" w:eastAsia="zh-CN"/>
        </w:rPr>
        <w:t>11.1.5.9 巡查管理模块</w:t>
      </w:r>
    </w:p>
    <w:p w14:paraId="176AFDE3">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巡查管理模块主要服务于重点供应商、重点物项、关键工序或高风险合同包的专项管理。系统支持创建巡查计划并发起审批，巡查实施后填写巡查报告，记录问题、结论、附件和行动项。行动项指定责任人、整改期限和关闭流程，系统跟踪整改状态。巡查记录最终进入问题闭环、统计分析和风险预警体系。</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4"/>
        <w:gridCol w:w="3104"/>
        <w:gridCol w:w="3104"/>
      </w:tblGrid>
      <w:tr w14:paraId="73CC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0D3FE9E">
            <w:pPr>
              <w:spacing w:after="0" w:line="300" w:lineRule="auto"/>
              <w:rPr>
                <w:rFonts w:hint="eastAsia" w:ascii="宋体" w:hAnsi="宋体" w:eastAsia="宋体" w:cs="宋体"/>
              </w:rPr>
            </w:pPr>
            <w:r>
              <w:rPr>
                <w:rFonts w:hint="eastAsia" w:ascii="宋体" w:hAnsi="宋体" w:eastAsia="宋体" w:cs="宋体"/>
                <w:b/>
                <w:bCs/>
                <w:color w:val="172033"/>
                <w:sz w:val="18"/>
                <w:szCs w:val="18"/>
              </w:rPr>
              <w:t>模块</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7A2CEDF">
            <w:pPr>
              <w:spacing w:after="0" w:line="300" w:lineRule="auto"/>
              <w:rPr>
                <w:rFonts w:hint="eastAsia" w:ascii="宋体" w:hAnsi="宋体" w:eastAsia="宋体" w:cs="宋体"/>
              </w:rPr>
            </w:pPr>
            <w:r>
              <w:rPr>
                <w:rFonts w:hint="eastAsia" w:ascii="宋体" w:hAnsi="宋体" w:eastAsia="宋体" w:cs="宋体"/>
                <w:b/>
                <w:bCs/>
                <w:color w:val="172033"/>
                <w:sz w:val="18"/>
                <w:szCs w:val="18"/>
              </w:rPr>
              <w:t>设计内容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B2A9412">
            <w:pPr>
              <w:spacing w:after="0" w:line="300" w:lineRule="auto"/>
              <w:rPr>
                <w:rFonts w:hint="eastAsia" w:ascii="宋体" w:hAnsi="宋体" w:eastAsia="宋体" w:cs="宋体"/>
              </w:rPr>
            </w:pPr>
            <w:r>
              <w:rPr>
                <w:rFonts w:hint="eastAsia" w:ascii="宋体" w:hAnsi="宋体" w:eastAsia="宋体" w:cs="宋体"/>
                <w:b/>
                <w:bCs/>
                <w:color w:val="172033"/>
                <w:sz w:val="18"/>
                <w:szCs w:val="18"/>
              </w:rPr>
              <w:t>输出成果</w:t>
            </w:r>
          </w:p>
        </w:tc>
      </w:tr>
      <w:tr w14:paraId="78301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38160E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巡查计划</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9C05B1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创建、变更和审批巡查计划</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76C082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巡查计划</w:t>
            </w:r>
          </w:p>
        </w:tc>
      </w:tr>
      <w:tr w14:paraId="2A90D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C31B7F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巡查报告</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E61D46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记录过程、问题、结论和附件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4DFB02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巡查报告</w:t>
            </w:r>
          </w:p>
        </w:tc>
      </w:tr>
      <w:tr w14:paraId="6A8FE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8ED8EA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行动项</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FD3054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指定责任人、期限、关闭流程</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EA9963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行动项清单</w:t>
            </w:r>
          </w:p>
        </w:tc>
      </w:tr>
    </w:tbl>
    <w:p w14:paraId="1F4591DD">
      <w:pPr>
        <w:spacing w:after="100"/>
        <w:rPr>
          <w:rFonts w:hint="eastAsia" w:ascii="宋体" w:hAnsi="宋体" w:eastAsia="宋体" w:cs="宋体"/>
        </w:rPr>
      </w:pPr>
    </w:p>
    <w:p w14:paraId="09A10120">
      <w:pPr>
        <w:pStyle w:val="6"/>
        <w:bidi w:val="0"/>
        <w:rPr>
          <w:rFonts w:hint="eastAsia"/>
          <w:lang w:val="en-US" w:eastAsia="zh-CN"/>
        </w:rPr>
      </w:pPr>
      <w:r>
        <w:rPr>
          <w:rFonts w:hint="eastAsia"/>
          <w:lang w:val="en-US" w:eastAsia="zh-CN"/>
        </w:rPr>
        <w:t>11.1.5.10 抽查复验模块</w:t>
      </w:r>
    </w:p>
    <w:p w14:paraId="18803691">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抽查复验模块用于支撑常规抽验和随机抽验两类业务场景。系统记录抽查项目、复验结果、附件和结论，并按合同包、物项、供应商统计抽查复验频次和问题情况，为质量风险分析提供依据。</w:t>
      </w:r>
    </w:p>
    <w:p w14:paraId="293FCC02">
      <w:pPr>
        <w:pStyle w:val="6"/>
        <w:bidi w:val="0"/>
        <w:rPr>
          <w:rFonts w:hint="eastAsia"/>
          <w:lang w:val="en-US" w:eastAsia="zh-CN"/>
        </w:rPr>
      </w:pPr>
      <w:r>
        <w:rPr>
          <w:rFonts w:hint="eastAsia"/>
          <w:lang w:val="en-US" w:eastAsia="zh-CN"/>
        </w:rPr>
        <w:t>11.1.5.11 监造记录模块</w:t>
      </w:r>
    </w:p>
    <w:p w14:paraId="62F4F5A8">
      <w:pPr>
        <w:spacing w:after="120" w:line="360" w:lineRule="auto"/>
        <w:ind w:firstLine="480" w:firstLineChars="200"/>
        <w:rPr>
          <w:rFonts w:hint="eastAsia" w:ascii="宋体" w:hAnsi="宋体" w:eastAsia="宋体" w:cs="宋体"/>
          <w:color w:val="1F2937"/>
        </w:rPr>
      </w:pPr>
      <w:r>
        <w:rPr>
          <w:rFonts w:hint="eastAsia" w:ascii="宋体" w:hAnsi="宋体" w:eastAsia="宋体" w:cs="宋体"/>
          <w:color w:val="1F2937"/>
        </w:rPr>
        <w:t>监造记录模块支持日报、周报、月报模板维护、填报、查询和打印输出。系统提供日报、周报、月报模板，支持首次选择监造范围后后续自动继承，也允许人工调整。日报记录中的进度、问题、照片和见证情况可自动汇总到周报、月报和完工总结中，从而减少人工重复整理。</w:t>
      </w:r>
    </w:p>
    <w:p w14:paraId="4588B541">
      <w:pPr>
        <w:spacing w:after="120" w:line="360" w:lineRule="auto"/>
        <w:rPr>
          <w:rFonts w:hint="eastAsia" w:ascii="宋体" w:hAnsi="宋体" w:eastAsia="宋体" w:cs="宋体"/>
        </w:rPr>
      </w:pPr>
      <w:r>
        <w:rPr>
          <w:rFonts w:hint="eastAsia" w:ascii="宋体" w:hAnsi="宋体" w:eastAsia="宋体" w:cs="宋体"/>
        </w:rPr>
        <w:drawing>
          <wp:inline distT="0" distB="0" distL="114300" distR="114300">
            <wp:extent cx="6283325" cy="3141345"/>
            <wp:effectExtent l="0" t="0" r="10160" b="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3"/>
                    <a:stretch>
                      <a:fillRect/>
                    </a:stretch>
                  </pic:blipFill>
                  <pic:spPr>
                    <a:xfrm>
                      <a:off x="0" y="0"/>
                      <a:ext cx="6283325" cy="3141345"/>
                    </a:xfrm>
                    <a:prstGeom prst="rect">
                      <a:avLst/>
                    </a:prstGeom>
                    <a:noFill/>
                    <a:ln>
                      <a:noFill/>
                    </a:ln>
                  </pic:spPr>
                </pic:pic>
              </a:graphicData>
            </a:graphic>
          </wp:inline>
        </w:drawing>
      </w:r>
    </w:p>
    <w:p w14:paraId="4CE3F0C4">
      <w:pPr>
        <w:pStyle w:val="11"/>
        <w:spacing w:after="120" w:line="360" w:lineRule="auto"/>
        <w:jc w:val="center"/>
        <w:rPr>
          <w:rFonts w:hint="eastAsia" w:ascii="宋体" w:hAnsi="宋体" w:eastAsia="宋体" w:cs="宋体"/>
          <w:color w:val="64748B"/>
          <w:sz w:val="18"/>
          <w:szCs w:val="18"/>
        </w:rPr>
      </w:pPr>
      <w:r>
        <w:rPr>
          <w:rFonts w:hint="eastAsia" w:ascii="宋体" w:hAnsi="宋体" w:eastAsia="宋体" w:cs="宋体"/>
          <w:color w:val="64748B"/>
          <w:sz w:val="18"/>
          <w:szCs w:val="18"/>
          <w:lang w:eastAsia="zh-CN"/>
        </w:rPr>
        <w:t>图11-1-</w:t>
      </w:r>
      <w:r>
        <w:rPr>
          <w:rFonts w:hint="eastAsia" w:ascii="宋体" w:hAnsi="宋体" w:eastAsia="宋体" w:cs="宋体"/>
          <w:color w:val="64748B"/>
          <w:sz w:val="18"/>
          <w:szCs w:val="18"/>
          <w:lang w:val="en-US" w:eastAsia="zh-CN"/>
        </w:rPr>
        <w:t>5</w:t>
      </w:r>
      <w:r>
        <w:rPr>
          <w:rFonts w:hint="eastAsia" w:ascii="宋体" w:hAnsi="宋体" w:eastAsia="宋体" w:cs="宋体"/>
          <w:color w:val="64748B"/>
          <w:sz w:val="18"/>
          <w:szCs w:val="18"/>
        </w:rPr>
        <w:t>-</w:t>
      </w:r>
      <w:r>
        <w:rPr>
          <w:rFonts w:hint="eastAsia" w:ascii="宋体" w:hAnsi="宋体" w:eastAsia="宋体" w:cs="宋体"/>
          <w:color w:val="64748B"/>
          <w:sz w:val="18"/>
          <w:szCs w:val="18"/>
          <w:lang w:val="en-US" w:eastAsia="zh-CN"/>
        </w:rPr>
        <w:t>7</w:t>
      </w:r>
      <w:r>
        <w:rPr>
          <w:rFonts w:hint="eastAsia" w:ascii="宋体" w:hAnsi="宋体" w:eastAsia="宋体" w:cs="宋体"/>
          <w:color w:val="64748B"/>
          <w:sz w:val="18"/>
          <w:szCs w:val="18"/>
        </w:rPr>
        <w:t xml:space="preserve"> </w:t>
      </w:r>
      <w:r>
        <w:rPr>
          <w:rFonts w:hint="eastAsia" w:ascii="宋体" w:hAnsi="宋体" w:eastAsia="宋体" w:cs="宋体"/>
          <w:color w:val="64748B"/>
          <w:sz w:val="18"/>
          <w:szCs w:val="18"/>
          <w:lang w:val="en-US" w:eastAsia="zh-CN"/>
        </w:rPr>
        <w:t>监理报告</w:t>
      </w:r>
    </w:p>
    <w:p w14:paraId="5B581B8E">
      <w:pPr>
        <w:pStyle w:val="6"/>
        <w:bidi w:val="0"/>
        <w:rPr>
          <w:rFonts w:hint="eastAsia"/>
          <w:lang w:val="en-US" w:eastAsia="zh-CN"/>
        </w:rPr>
      </w:pPr>
      <w:r>
        <w:rPr>
          <w:rFonts w:hint="eastAsia"/>
          <w:lang w:val="en-US" w:eastAsia="zh-CN"/>
        </w:rPr>
        <w:t>11.1.5.12 监造完工管理模块</w:t>
      </w:r>
    </w:p>
    <w:p w14:paraId="34DC0C7B">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监造完工管理以采购合同为单位，自动收集见证点数量、质量问题、工作联系单、质量问题通知单、不符合项、验收及到货时间等数据，生成完工总结和完工报告。最终批准版记录和报告形成电子档案，支持查询、打印和归档。</w:t>
      </w:r>
    </w:p>
    <w:p w14:paraId="01C6055A">
      <w:pPr>
        <w:pStyle w:val="6"/>
        <w:bidi w:val="0"/>
        <w:rPr>
          <w:rFonts w:hint="eastAsia"/>
          <w:lang w:val="en-US" w:eastAsia="zh-CN"/>
        </w:rPr>
      </w:pPr>
      <w:r>
        <w:rPr>
          <w:rFonts w:hint="eastAsia"/>
          <w:lang w:val="en-US" w:eastAsia="zh-CN"/>
        </w:rPr>
        <w:t>11.1.5.13 监造验收模块</w:t>
      </w:r>
    </w:p>
    <w:p w14:paraId="2E590032">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设备出厂前通常需要经历预验收、正式验收等环节，期间会产生会议纪要、遗留项、整改清单和验收结论。系统分别建立预验收和正式验收功能，支持会议纪要上传、遗留项创建、跟踪和关闭，确保验收资料完整、过程清晰、问题可继续跟踪。</w:t>
      </w:r>
    </w:p>
    <w:p w14:paraId="79906AA1">
      <w:pPr>
        <w:pStyle w:val="6"/>
        <w:bidi w:val="0"/>
        <w:rPr>
          <w:rFonts w:hint="eastAsia"/>
          <w:lang w:val="en-US" w:eastAsia="zh-CN"/>
        </w:rPr>
      </w:pPr>
      <w:r>
        <w:rPr>
          <w:rFonts w:hint="eastAsia"/>
          <w:lang w:val="en-US" w:eastAsia="zh-CN"/>
        </w:rPr>
        <w:t>11.1.5.14 监造放行模块</w:t>
      </w:r>
    </w:p>
    <w:p w14:paraId="4FBBC1CD">
      <w:pPr>
        <w:spacing w:after="120" w:line="360" w:lineRule="auto"/>
        <w:ind w:firstLine="480" w:firstLineChars="200"/>
        <w:rPr>
          <w:rFonts w:hint="eastAsia" w:ascii="宋体" w:hAnsi="宋体" w:eastAsia="宋体" w:cs="宋体"/>
          <w:color w:val="64748B"/>
          <w:sz w:val="18"/>
          <w:szCs w:val="18"/>
        </w:rPr>
      </w:pPr>
      <w:r>
        <w:rPr>
          <w:rFonts w:hint="eastAsia" w:ascii="宋体" w:hAnsi="宋体" w:eastAsia="宋体" w:cs="宋体"/>
          <w:color w:val="1F2937"/>
        </w:rPr>
        <w:t>质量放行由监造人员创建放行单，提交审核后打印和归档，并统计一次合格率。监造放行由供应商提交申请，监造人员创建放行单，上传包装记录、照片影像等资料，填写审查情况和结论，审核通过后系统反馈供应商用于发货。</w:t>
      </w:r>
    </w:p>
    <w:p w14:paraId="4413E6A4">
      <w:pPr>
        <w:pStyle w:val="7"/>
        <w:bidi w:val="0"/>
        <w:rPr>
          <w:rFonts w:hint="eastAsia"/>
          <w:b w:val="0"/>
          <w:bCs w:val="0"/>
          <w:lang w:val="en-US" w:eastAsia="zh-CN"/>
        </w:rPr>
      </w:pPr>
      <w:r>
        <w:rPr>
          <w:rFonts w:hint="eastAsia"/>
          <w:b w:val="0"/>
          <w:bCs w:val="0"/>
          <w:lang w:val="en-US" w:eastAsia="zh-CN"/>
        </w:rPr>
        <w:t>11.1.5.14.1 功能明细表</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6"/>
        <w:gridCol w:w="4656"/>
      </w:tblGrid>
      <w:tr w14:paraId="44C4C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0C8101F">
            <w:pPr>
              <w:spacing w:after="0" w:line="300" w:lineRule="auto"/>
              <w:rPr>
                <w:rFonts w:hint="eastAsia" w:ascii="宋体" w:hAnsi="宋体" w:eastAsia="宋体" w:cs="宋体"/>
              </w:rPr>
            </w:pPr>
            <w:r>
              <w:rPr>
                <w:rFonts w:hint="eastAsia" w:ascii="宋体" w:hAnsi="宋体" w:eastAsia="宋体" w:cs="宋体"/>
                <w:b/>
                <w:bCs/>
                <w:color w:val="172033"/>
                <w:sz w:val="18"/>
                <w:szCs w:val="18"/>
              </w:rPr>
              <w:t>功能项</w:t>
            </w:r>
          </w:p>
        </w:tc>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7F8C547">
            <w:pPr>
              <w:spacing w:after="0" w:line="300" w:lineRule="auto"/>
              <w:rPr>
                <w:rFonts w:hint="eastAsia" w:ascii="宋体" w:hAnsi="宋体" w:eastAsia="宋体" w:cs="宋体"/>
              </w:rPr>
            </w:pPr>
            <w:r>
              <w:rPr>
                <w:rFonts w:hint="eastAsia" w:ascii="宋体" w:hAnsi="宋体" w:eastAsia="宋体" w:cs="宋体"/>
                <w:b/>
                <w:bCs/>
                <w:color w:val="172033"/>
                <w:sz w:val="18"/>
                <w:szCs w:val="18"/>
              </w:rPr>
              <w:t>设计内容</w:t>
            </w:r>
          </w:p>
        </w:tc>
      </w:tr>
      <w:tr w14:paraId="7995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C78784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预验收</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763F24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上传会议纪要、遗留项清单、整改跟踪信息</w:t>
            </w:r>
          </w:p>
        </w:tc>
      </w:tr>
      <w:tr w14:paraId="7DFA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BB2CBA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正式验收</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6BC692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记录正式验收情况并归档相关资料</w:t>
            </w:r>
          </w:p>
        </w:tc>
      </w:tr>
      <w:tr w14:paraId="6FDA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F6C23F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质量放行</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F0C4CA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由监造人员创建放行单、审核、打印和归档</w:t>
            </w:r>
          </w:p>
        </w:tc>
      </w:tr>
      <w:tr w14:paraId="623D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19E31C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监造放行</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B7EAA2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供应商发起申请，系统反馈审核结论用于发货</w:t>
            </w:r>
          </w:p>
        </w:tc>
      </w:tr>
    </w:tbl>
    <w:p w14:paraId="7969F62B">
      <w:pPr>
        <w:spacing w:after="100"/>
        <w:rPr>
          <w:rFonts w:hint="eastAsia" w:ascii="宋体" w:hAnsi="宋体" w:eastAsia="宋体" w:cs="宋体"/>
        </w:rPr>
      </w:pPr>
    </w:p>
    <w:p w14:paraId="68A6AFA9">
      <w:pPr>
        <w:spacing w:after="100"/>
        <w:rPr>
          <w:rFonts w:hint="eastAsia" w:ascii="宋体" w:hAnsi="宋体" w:eastAsia="宋体" w:cs="宋体"/>
        </w:rPr>
      </w:pPr>
      <w:r>
        <w:rPr>
          <w:rFonts w:hint="eastAsia" w:ascii="宋体" w:hAnsi="宋体" w:eastAsia="宋体" w:cs="宋体"/>
        </w:rPr>
        <w:drawing>
          <wp:inline distT="0" distB="0" distL="114300" distR="114300">
            <wp:extent cx="6283325" cy="3141345"/>
            <wp:effectExtent l="0" t="0" r="10160" b="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4"/>
                    <a:stretch>
                      <a:fillRect/>
                    </a:stretch>
                  </pic:blipFill>
                  <pic:spPr>
                    <a:xfrm>
                      <a:off x="0" y="0"/>
                      <a:ext cx="6283325" cy="3141345"/>
                    </a:xfrm>
                    <a:prstGeom prst="rect">
                      <a:avLst/>
                    </a:prstGeom>
                    <a:noFill/>
                    <a:ln>
                      <a:noFill/>
                    </a:ln>
                  </pic:spPr>
                </pic:pic>
              </a:graphicData>
            </a:graphic>
          </wp:inline>
        </w:drawing>
      </w:r>
    </w:p>
    <w:p w14:paraId="6E9E1240">
      <w:pPr>
        <w:pStyle w:val="11"/>
        <w:spacing w:after="120" w:line="360" w:lineRule="auto"/>
        <w:jc w:val="center"/>
        <w:rPr>
          <w:rFonts w:hint="eastAsia" w:ascii="宋体" w:hAnsi="宋体" w:eastAsia="宋体" w:cs="宋体"/>
          <w:color w:val="64748B"/>
          <w:sz w:val="18"/>
          <w:szCs w:val="18"/>
        </w:rPr>
      </w:pPr>
      <w:r>
        <w:rPr>
          <w:rFonts w:hint="eastAsia" w:ascii="宋体" w:hAnsi="宋体" w:eastAsia="宋体" w:cs="宋体"/>
          <w:color w:val="64748B"/>
          <w:sz w:val="18"/>
          <w:szCs w:val="18"/>
          <w:lang w:eastAsia="zh-CN"/>
        </w:rPr>
        <w:t>图11-1-</w:t>
      </w:r>
      <w:r>
        <w:rPr>
          <w:rFonts w:hint="eastAsia" w:ascii="宋体" w:hAnsi="宋体" w:eastAsia="宋体" w:cs="宋体"/>
          <w:color w:val="64748B"/>
          <w:sz w:val="18"/>
          <w:szCs w:val="18"/>
          <w:lang w:val="en-US" w:eastAsia="zh-CN"/>
        </w:rPr>
        <w:t>5</w:t>
      </w:r>
      <w:r>
        <w:rPr>
          <w:rFonts w:hint="eastAsia" w:ascii="宋体" w:hAnsi="宋体" w:eastAsia="宋体" w:cs="宋体"/>
          <w:color w:val="64748B"/>
          <w:sz w:val="18"/>
          <w:szCs w:val="18"/>
        </w:rPr>
        <w:t>-</w:t>
      </w:r>
      <w:r>
        <w:rPr>
          <w:rFonts w:hint="eastAsia" w:ascii="宋体" w:hAnsi="宋体" w:eastAsia="宋体" w:cs="宋体"/>
          <w:color w:val="64748B"/>
          <w:sz w:val="18"/>
          <w:szCs w:val="18"/>
          <w:lang w:val="en-US" w:eastAsia="zh-CN"/>
        </w:rPr>
        <w:t>8</w:t>
      </w:r>
      <w:r>
        <w:rPr>
          <w:rFonts w:hint="eastAsia" w:ascii="宋体" w:hAnsi="宋体" w:eastAsia="宋体" w:cs="宋体"/>
          <w:color w:val="64748B"/>
          <w:sz w:val="18"/>
          <w:szCs w:val="18"/>
        </w:rPr>
        <w:t xml:space="preserve"> </w:t>
      </w:r>
      <w:r>
        <w:rPr>
          <w:rFonts w:hint="eastAsia" w:ascii="宋体" w:hAnsi="宋体" w:eastAsia="宋体" w:cs="宋体"/>
          <w:color w:val="64748B"/>
          <w:sz w:val="18"/>
          <w:szCs w:val="18"/>
          <w:lang w:val="en-US" w:eastAsia="zh-CN"/>
        </w:rPr>
        <w:t>监理放行单</w:t>
      </w:r>
    </w:p>
    <w:p w14:paraId="4307752E">
      <w:pPr>
        <w:pStyle w:val="6"/>
        <w:bidi w:val="0"/>
        <w:rPr>
          <w:rFonts w:hint="eastAsia"/>
          <w:lang w:val="en-US" w:eastAsia="zh-CN"/>
        </w:rPr>
      </w:pPr>
      <w:r>
        <w:rPr>
          <w:rFonts w:hint="eastAsia"/>
          <w:lang w:val="en-US" w:eastAsia="zh-CN"/>
        </w:rPr>
        <w:t>11.1.5.15 质量追溯模块</w:t>
      </w:r>
    </w:p>
    <w:p w14:paraId="65BD4C0F">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质量追溯模块以采购物项编号、质量计划编号和产品二维码为追溯索引，串联质量计划、见证记录、问题单据、验收记录、放行资料、完工报告和影像附件。该模块最终提供的不是“查询页面”，而是完整的质量证据链。</w:t>
      </w:r>
    </w:p>
    <w:p w14:paraId="16C48B29">
      <w:pPr>
        <w:pStyle w:val="6"/>
        <w:bidi w:val="0"/>
        <w:rPr>
          <w:rFonts w:hint="eastAsia"/>
          <w:lang w:val="en-US" w:eastAsia="zh-CN"/>
        </w:rPr>
      </w:pPr>
      <w:r>
        <w:rPr>
          <w:rFonts w:hint="eastAsia"/>
          <w:lang w:val="en-US" w:eastAsia="zh-CN"/>
        </w:rPr>
        <w:t>11.1.5.16 数据统计及质量趋势分析模块</w:t>
      </w:r>
    </w:p>
    <w:p w14:paraId="2631CBEF">
      <w:pPr>
        <w:spacing w:after="120" w:line="360" w:lineRule="auto"/>
        <w:ind w:firstLine="480" w:firstLineChars="200"/>
        <w:rPr>
          <w:rFonts w:hint="eastAsia" w:ascii="宋体" w:hAnsi="宋体" w:eastAsia="宋体" w:cs="宋体"/>
          <w:color w:val="1F2937"/>
        </w:rPr>
      </w:pPr>
      <w:r>
        <w:rPr>
          <w:rFonts w:hint="eastAsia" w:ascii="宋体" w:hAnsi="宋体" w:eastAsia="宋体" w:cs="宋体"/>
          <w:color w:val="1F2937"/>
        </w:rPr>
        <w:t>统计分析模块自动梳理合同包执行过程中的质量问题、不符合项、验收问题和监造问题，形成合格率、缺陷类型、问题关闭周期、供应商问题分布、见证点完成率等指标。分析结果可按项目、合同包、供应商、物项、时间和问题类型等维度钻取。</w:t>
      </w:r>
    </w:p>
    <w:p w14:paraId="4036A508">
      <w:pPr>
        <w:spacing w:after="120" w:line="360" w:lineRule="auto"/>
        <w:rPr>
          <w:rFonts w:hint="eastAsia" w:ascii="宋体" w:hAnsi="宋体" w:eastAsia="宋体" w:cs="宋体"/>
        </w:rPr>
      </w:pPr>
      <w:r>
        <w:rPr>
          <w:rFonts w:hint="eastAsia" w:ascii="宋体" w:hAnsi="宋体" w:eastAsia="宋体" w:cs="宋体"/>
        </w:rPr>
        <w:drawing>
          <wp:inline distT="0" distB="0" distL="114300" distR="114300">
            <wp:extent cx="6283325" cy="3141345"/>
            <wp:effectExtent l="0" t="0" r="10160" b="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5"/>
                    <a:stretch>
                      <a:fillRect/>
                    </a:stretch>
                  </pic:blipFill>
                  <pic:spPr>
                    <a:xfrm>
                      <a:off x="0" y="0"/>
                      <a:ext cx="6283325" cy="3141345"/>
                    </a:xfrm>
                    <a:prstGeom prst="rect">
                      <a:avLst/>
                    </a:prstGeom>
                    <a:noFill/>
                    <a:ln>
                      <a:noFill/>
                    </a:ln>
                  </pic:spPr>
                </pic:pic>
              </a:graphicData>
            </a:graphic>
          </wp:inline>
        </w:drawing>
      </w:r>
    </w:p>
    <w:p w14:paraId="3885B6B3">
      <w:pPr>
        <w:pStyle w:val="11"/>
        <w:spacing w:after="120" w:line="360" w:lineRule="auto"/>
        <w:jc w:val="center"/>
        <w:rPr>
          <w:rFonts w:hint="eastAsia" w:ascii="宋体" w:hAnsi="宋体" w:eastAsia="宋体" w:cs="宋体"/>
          <w:color w:val="64748B"/>
          <w:sz w:val="18"/>
          <w:szCs w:val="18"/>
        </w:rPr>
      </w:pPr>
      <w:r>
        <w:rPr>
          <w:rFonts w:hint="eastAsia" w:ascii="宋体" w:hAnsi="宋体" w:eastAsia="宋体" w:cs="宋体"/>
          <w:color w:val="64748B"/>
          <w:sz w:val="18"/>
          <w:szCs w:val="18"/>
          <w:lang w:eastAsia="zh-CN"/>
        </w:rPr>
        <w:t>图11-1-</w:t>
      </w:r>
      <w:r>
        <w:rPr>
          <w:rFonts w:hint="eastAsia" w:ascii="宋体" w:hAnsi="宋体" w:eastAsia="宋体" w:cs="宋体"/>
          <w:color w:val="64748B"/>
          <w:sz w:val="18"/>
          <w:szCs w:val="18"/>
          <w:lang w:val="en-US" w:eastAsia="zh-CN"/>
        </w:rPr>
        <w:t>5</w:t>
      </w:r>
      <w:r>
        <w:rPr>
          <w:rFonts w:hint="eastAsia" w:ascii="宋体" w:hAnsi="宋体" w:eastAsia="宋体" w:cs="宋体"/>
          <w:color w:val="64748B"/>
          <w:sz w:val="18"/>
          <w:szCs w:val="18"/>
        </w:rPr>
        <w:t>-</w:t>
      </w:r>
      <w:r>
        <w:rPr>
          <w:rFonts w:hint="eastAsia" w:ascii="宋体" w:hAnsi="宋体" w:eastAsia="宋体" w:cs="宋体"/>
          <w:color w:val="64748B"/>
          <w:sz w:val="18"/>
          <w:szCs w:val="18"/>
          <w:lang w:val="en-US" w:eastAsia="zh-CN"/>
        </w:rPr>
        <w:t>9</w:t>
      </w:r>
      <w:r>
        <w:rPr>
          <w:rFonts w:hint="eastAsia" w:ascii="宋体" w:hAnsi="宋体" w:eastAsia="宋体" w:cs="宋体"/>
          <w:color w:val="64748B"/>
          <w:sz w:val="18"/>
          <w:szCs w:val="18"/>
        </w:rPr>
        <w:t xml:space="preserve"> </w:t>
      </w:r>
      <w:r>
        <w:rPr>
          <w:rFonts w:hint="eastAsia" w:ascii="宋体" w:hAnsi="宋体" w:eastAsia="宋体" w:cs="宋体"/>
          <w:color w:val="64748B"/>
          <w:sz w:val="18"/>
          <w:szCs w:val="18"/>
          <w:lang w:val="en-US" w:eastAsia="zh-CN"/>
        </w:rPr>
        <w:t>数据统计分析</w:t>
      </w:r>
    </w:p>
    <w:p w14:paraId="5FB00B6E">
      <w:pPr>
        <w:pStyle w:val="6"/>
        <w:bidi w:val="0"/>
        <w:rPr>
          <w:rFonts w:hint="eastAsia"/>
          <w:lang w:val="en-US" w:eastAsia="zh-CN"/>
        </w:rPr>
      </w:pPr>
      <w:r>
        <w:rPr>
          <w:rFonts w:hint="eastAsia"/>
          <w:lang w:val="en-US" w:eastAsia="zh-CN"/>
        </w:rPr>
        <w:t>11.1.5.17 产品进度跟踪及风险预警模块</w:t>
      </w:r>
    </w:p>
    <w:p w14:paraId="0F3443A6">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系统根据质量风险、问题通知单、联系单和进度数据进行预警，并在管理工作台可视化展示。风险预警不局限于“时间超期”，还包括质量问题集中、见证点长期未关闭、整改周期异常、供应商问题高发等多维触发条件。</w:t>
      </w:r>
    </w:p>
    <w:p w14:paraId="181A5B8D">
      <w:pPr>
        <w:pStyle w:val="6"/>
        <w:bidi w:val="0"/>
        <w:rPr>
          <w:rFonts w:hint="eastAsia"/>
          <w:lang w:val="en-US" w:eastAsia="zh-CN"/>
        </w:rPr>
      </w:pPr>
      <w:r>
        <w:rPr>
          <w:rFonts w:hint="eastAsia"/>
          <w:lang w:val="en-US" w:eastAsia="zh-CN"/>
        </w:rPr>
        <w:t>11.1.5.18 可视化管理模块</w:t>
      </w:r>
    </w:p>
    <w:p w14:paraId="6CB31F8A">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可视化管理模块至少建设以下看板：</w:t>
      </w:r>
    </w:p>
    <w:p w14:paraId="0D8BE1B6">
      <w:pPr>
        <w:spacing w:after="70" w:line="330" w:lineRule="auto"/>
        <w:ind w:left="420" w:hanging="260"/>
        <w:rPr>
          <w:rFonts w:hint="eastAsia" w:ascii="宋体" w:hAnsi="宋体" w:eastAsia="宋体" w:cs="宋体"/>
        </w:rPr>
      </w:pPr>
      <w:r>
        <w:rPr>
          <w:rFonts w:hint="eastAsia" w:ascii="宋体" w:hAnsi="宋体" w:eastAsia="宋体" w:cs="宋体"/>
          <w:color w:val="1F2937"/>
        </w:rPr>
        <w:t>1. 监造总体情况看板</w:t>
      </w:r>
    </w:p>
    <w:p w14:paraId="217EBF12">
      <w:pPr>
        <w:spacing w:after="70" w:line="330" w:lineRule="auto"/>
        <w:ind w:left="420" w:hanging="260"/>
        <w:rPr>
          <w:rFonts w:hint="eastAsia" w:ascii="宋体" w:hAnsi="宋体" w:eastAsia="宋体" w:cs="宋体"/>
        </w:rPr>
      </w:pPr>
      <w:r>
        <w:rPr>
          <w:rFonts w:hint="eastAsia" w:ascii="宋体" w:hAnsi="宋体" w:eastAsia="宋体" w:cs="宋体"/>
          <w:color w:val="1F2937"/>
        </w:rPr>
        <w:t>2. 采购包进度看板</w:t>
      </w:r>
    </w:p>
    <w:p w14:paraId="0F1862E9">
      <w:pPr>
        <w:spacing w:after="70" w:line="330" w:lineRule="auto"/>
        <w:ind w:left="420" w:hanging="260"/>
        <w:rPr>
          <w:rFonts w:hint="eastAsia" w:ascii="宋体" w:hAnsi="宋体" w:eastAsia="宋体" w:cs="宋体"/>
        </w:rPr>
      </w:pPr>
      <w:r>
        <w:rPr>
          <w:rFonts w:hint="eastAsia" w:ascii="宋体" w:hAnsi="宋体" w:eastAsia="宋体" w:cs="宋体"/>
          <w:color w:val="1F2937"/>
        </w:rPr>
        <w:t>3. 质量问题统计看板</w:t>
      </w:r>
    </w:p>
    <w:p w14:paraId="3569C3C0">
      <w:pPr>
        <w:spacing w:after="70" w:line="330" w:lineRule="auto"/>
        <w:ind w:left="420" w:hanging="260"/>
        <w:rPr>
          <w:rFonts w:hint="eastAsia" w:ascii="宋体" w:hAnsi="宋体" w:eastAsia="宋体" w:cs="宋体"/>
        </w:rPr>
      </w:pPr>
      <w:r>
        <w:rPr>
          <w:rFonts w:hint="eastAsia" w:ascii="宋体" w:hAnsi="宋体" w:eastAsia="宋体" w:cs="宋体"/>
          <w:color w:val="1F2937"/>
        </w:rPr>
        <w:t>4. 供应商问题分布看板</w:t>
      </w:r>
    </w:p>
    <w:p w14:paraId="164B53A5">
      <w:pPr>
        <w:spacing w:after="70" w:line="330" w:lineRule="auto"/>
        <w:ind w:left="420" w:hanging="260"/>
        <w:rPr>
          <w:rFonts w:hint="eastAsia" w:ascii="宋体" w:hAnsi="宋体" w:eastAsia="宋体" w:cs="宋体"/>
        </w:rPr>
      </w:pPr>
      <w:r>
        <w:rPr>
          <w:rFonts w:hint="eastAsia" w:ascii="宋体" w:hAnsi="宋体" w:eastAsia="宋体" w:cs="宋体"/>
          <w:color w:val="1F2937"/>
        </w:rPr>
        <w:t>5. 见证点完成率看板</w:t>
      </w:r>
    </w:p>
    <w:p w14:paraId="651F06D5">
      <w:pPr>
        <w:spacing w:after="70" w:line="330" w:lineRule="auto"/>
        <w:ind w:left="420" w:hanging="260"/>
        <w:rPr>
          <w:rFonts w:hint="eastAsia" w:ascii="宋体" w:hAnsi="宋体" w:eastAsia="宋体" w:cs="宋体"/>
        </w:rPr>
      </w:pPr>
      <w:r>
        <w:rPr>
          <w:rFonts w:hint="eastAsia" w:ascii="宋体" w:hAnsi="宋体" w:eastAsia="宋体" w:cs="宋体"/>
          <w:color w:val="1F2937"/>
        </w:rPr>
        <w:t>6. 风险预警看板</w:t>
      </w:r>
    </w:p>
    <w:p w14:paraId="7097BF9E">
      <w:pPr>
        <w:spacing w:after="70" w:line="330" w:lineRule="auto"/>
        <w:ind w:left="420" w:hanging="260"/>
        <w:rPr>
          <w:rFonts w:hint="eastAsia" w:ascii="宋体" w:hAnsi="宋体" w:eastAsia="宋体" w:cs="宋体"/>
        </w:rPr>
      </w:pPr>
      <w:r>
        <w:rPr>
          <w:rFonts w:hint="eastAsia" w:ascii="宋体" w:hAnsi="宋体" w:eastAsia="宋体" w:cs="宋体"/>
          <w:color w:val="1F2937"/>
        </w:rPr>
        <w:t>7. 工作量量化看板</w:t>
      </w:r>
    </w:p>
    <w:p w14:paraId="4A3F0206">
      <w:pPr>
        <w:pStyle w:val="6"/>
        <w:bidi w:val="0"/>
        <w:rPr>
          <w:rFonts w:hint="eastAsia"/>
          <w:lang w:val="en-US" w:eastAsia="zh-CN"/>
        </w:rPr>
      </w:pPr>
      <w:r>
        <w:rPr>
          <w:rFonts w:hint="eastAsia"/>
          <w:lang w:val="en-US" w:eastAsia="zh-CN"/>
        </w:rPr>
        <w:t>11.1.5.19 日常工作量化管理模块</w:t>
      </w:r>
    </w:p>
    <w:p w14:paraId="00699571">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日常工作量化管理模块用于将监造工作从“经验感知”转为“可量化统计”。系统支持按工作项、工日定额、人员维度统计工作量，并支持按部门、角色、时间范围形成工作量分析结果，为资源投入、绩效评估和后续人员调度提供量化依据。</w:t>
      </w:r>
    </w:p>
    <w:p w14:paraId="69C061BD">
      <w:pPr>
        <w:pStyle w:val="6"/>
        <w:bidi w:val="0"/>
        <w:rPr>
          <w:rFonts w:hint="eastAsia"/>
          <w:lang w:val="en-US" w:eastAsia="zh-CN"/>
        </w:rPr>
      </w:pPr>
      <w:r>
        <w:rPr>
          <w:rFonts w:hint="eastAsia"/>
          <w:lang w:val="en-US" w:eastAsia="zh-CN"/>
        </w:rPr>
        <w:t>11.1.5.20 产品二维码模块</w:t>
      </w:r>
    </w:p>
    <w:p w14:paraId="020B92BD">
      <w:pPr>
        <w:pStyle w:val="7"/>
        <w:bidi w:val="0"/>
        <w:rPr>
          <w:rFonts w:hint="eastAsia"/>
          <w:b w:val="0"/>
          <w:bCs w:val="0"/>
          <w:lang w:val="en-US" w:eastAsia="zh-CN"/>
        </w:rPr>
      </w:pPr>
      <w:r>
        <w:rPr>
          <w:rFonts w:hint="eastAsia"/>
          <w:b w:val="0"/>
          <w:bCs w:val="0"/>
          <w:lang w:val="en-US" w:eastAsia="zh-CN"/>
        </w:rPr>
        <w:t>11.1.5.20.1 建设目标</w:t>
      </w:r>
    </w:p>
    <w:p w14:paraId="3718079E">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产品二维码模块用于建立采购物项与系统数据之间的快速关联。监造信息录入后自动生成二维码，供应商发货时打印二维码并随发货清单一起发出，采购与供应部可通过扫码识别发货信息。</w:t>
      </w:r>
    </w:p>
    <w:p w14:paraId="58C45642">
      <w:pPr>
        <w:pStyle w:val="7"/>
        <w:bidi w:val="0"/>
        <w:rPr>
          <w:rFonts w:hint="eastAsia"/>
          <w:b w:val="0"/>
          <w:bCs w:val="0"/>
          <w:lang w:val="en-US" w:eastAsia="zh-CN"/>
        </w:rPr>
      </w:pPr>
      <w:r>
        <w:rPr>
          <w:rFonts w:hint="eastAsia"/>
          <w:b w:val="0"/>
          <w:bCs w:val="0"/>
          <w:lang w:val="en-US" w:eastAsia="zh-CN"/>
        </w:rPr>
        <w:t>11.1.5.20.2 业务场景</w:t>
      </w:r>
    </w:p>
    <w:p w14:paraId="23E05DAA">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采购物项进入发货、到货和后续追溯环节时，采购与供应部需要快速识别物项对应的合同、供应商、质量计划、验收放行和发货信息。如果只依赖纸质单据或人工编号查询，现场核验效率低且容易出错。</w:t>
      </w:r>
    </w:p>
    <w:p w14:paraId="37E8E0BE">
      <w:pPr>
        <w:pStyle w:val="7"/>
        <w:bidi w:val="0"/>
        <w:rPr>
          <w:rFonts w:hint="eastAsia"/>
          <w:b w:val="0"/>
          <w:bCs w:val="0"/>
          <w:lang w:val="en-US" w:eastAsia="zh-CN"/>
        </w:rPr>
      </w:pPr>
      <w:r>
        <w:rPr>
          <w:rFonts w:hint="eastAsia"/>
          <w:b w:val="0"/>
          <w:bCs w:val="0"/>
          <w:lang w:val="en-US" w:eastAsia="zh-CN"/>
        </w:rPr>
        <w:t>11.1.5.20.3 功能设计</w:t>
      </w:r>
    </w:p>
    <w:p w14:paraId="1511F7D0">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系统在物项监造信息形成后自动生成唯一二维码，并将二维码与采购物项、合同包、质量计划、验收放行、发货清单等数据绑定。供应商发货时打印带二维码的发货清单，采购与供应部扫码即可查看物项基本信息、监造状态、验收状态和发货信息。二维码关联数据变更时系统记录日志，确保追溯链条可信。</w:t>
      </w:r>
    </w:p>
    <w:p w14:paraId="7A07762E">
      <w:pPr>
        <w:pStyle w:val="6"/>
        <w:bidi w:val="0"/>
        <w:rPr>
          <w:rFonts w:hint="eastAsia"/>
          <w:lang w:val="en-US" w:eastAsia="zh-CN"/>
        </w:rPr>
      </w:pPr>
      <w:r>
        <w:rPr>
          <w:rFonts w:hint="eastAsia"/>
          <w:lang w:val="en-US" w:eastAsia="zh-CN"/>
        </w:rPr>
        <w:t>11.1.5.21 电子信息应用模块</w:t>
      </w:r>
    </w:p>
    <w:p w14:paraId="1A2804AD">
      <w:pPr>
        <w:pStyle w:val="7"/>
        <w:bidi w:val="0"/>
        <w:rPr>
          <w:rFonts w:hint="eastAsia"/>
          <w:b w:val="0"/>
          <w:bCs w:val="0"/>
          <w:lang w:val="en-US" w:eastAsia="zh-CN"/>
        </w:rPr>
      </w:pPr>
      <w:r>
        <w:rPr>
          <w:rFonts w:hint="eastAsia"/>
          <w:b w:val="0"/>
          <w:bCs w:val="0"/>
          <w:lang w:val="en-US" w:eastAsia="zh-CN"/>
        </w:rPr>
        <w:t>11.1.5.21.1 建设目标</w:t>
      </w:r>
    </w:p>
    <w:p w14:paraId="4CC6C473">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电子信息应用模块聚焦供方要求，提供电子签名和图文识别信息抓取能力，减少纸质流转和人工录入，提升签批可信度与资料处理效率。</w:t>
      </w:r>
    </w:p>
    <w:p w14:paraId="21C5548C">
      <w:pPr>
        <w:pStyle w:val="7"/>
        <w:bidi w:val="0"/>
        <w:rPr>
          <w:rFonts w:hint="eastAsia"/>
          <w:b w:val="0"/>
          <w:bCs w:val="0"/>
          <w:lang w:val="en-US" w:eastAsia="zh-CN"/>
        </w:rPr>
      </w:pPr>
      <w:r>
        <w:rPr>
          <w:rFonts w:hint="eastAsia"/>
          <w:b w:val="0"/>
          <w:bCs w:val="0"/>
          <w:lang w:val="en-US" w:eastAsia="zh-CN"/>
        </w:rPr>
        <w:t>11.1.5.21.2 业务场景</w:t>
      </w:r>
    </w:p>
    <w:p w14:paraId="06070AED">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监造业务中，供方文件审核、质量计划确认、见证记录、验收放行、问题单据处理等环节需要明确操作者身份，并需要将大量纸质文件、扫描件及 PDF 资料快速转化为可编辑、可检索的文本内容。</w:t>
      </w:r>
    </w:p>
    <w:p w14:paraId="66C4CC90">
      <w:pPr>
        <w:pStyle w:val="7"/>
        <w:bidi w:val="0"/>
        <w:rPr>
          <w:rFonts w:hint="eastAsia"/>
          <w:b w:val="0"/>
          <w:bCs w:val="0"/>
          <w:lang w:val="en-US" w:eastAsia="zh-CN"/>
        </w:rPr>
      </w:pPr>
      <w:r>
        <w:rPr>
          <w:rFonts w:hint="eastAsia"/>
          <w:b w:val="0"/>
          <w:bCs w:val="0"/>
          <w:lang w:val="en-US" w:eastAsia="zh-CN"/>
        </w:rPr>
        <w:t>11.1.5.21.3 功能设计</w:t>
      </w:r>
    </w:p>
    <w:p w14:paraId="4A3E54F5">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系统在个人中心建立电子签名维护入口，用户上传签名图片后由系统完成格式校验、账号绑定和权限控制，并在审批、签批、确认、放行等关键业务节点按流程调用签名。图文识别信息抓取面向纸质文件扫描件、照片及 PDF 资料，自动识别主要文字和关键字段，生成可编辑文本内容，经用户校验确认后回填到对应表单、文件索引或附件说明中，同时保留原始文件和识别结果，保证资料可追溯。</w:t>
      </w:r>
    </w:p>
    <w:p w14:paraId="3CB2E990">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11.1.5.22</w:t>
      </w:r>
      <w:r>
        <w:rPr>
          <w:rFonts w:hint="eastAsia" w:ascii="宋体" w:hAnsi="宋体" w:eastAsia="宋体" w:cs="宋体"/>
          <w:b w:val="0"/>
          <w:bCs/>
          <w:lang w:val="en-US" w:eastAsia="zh-CN"/>
        </w:rPr>
        <w:t xml:space="preserve"> 视频远程</w:t>
      </w:r>
      <w:r>
        <w:rPr>
          <w:rStyle w:val="23"/>
          <w:rFonts w:hint="eastAsia"/>
          <w:b/>
          <w:bCs/>
          <w:lang w:val="en-US" w:eastAsia="zh-CN"/>
        </w:rPr>
        <w:t>识别</w:t>
      </w:r>
      <w:r>
        <w:rPr>
          <w:rFonts w:hint="eastAsia" w:ascii="宋体" w:hAnsi="宋体" w:eastAsia="宋体" w:cs="宋体"/>
          <w:b w:val="0"/>
          <w:bCs/>
          <w:lang w:val="en-US" w:eastAsia="zh-CN"/>
        </w:rPr>
        <w:t>模块</w:t>
      </w:r>
    </w:p>
    <w:p w14:paraId="33F2D7FF">
      <w:pPr>
        <w:pStyle w:val="7"/>
        <w:bidi w:val="0"/>
        <w:rPr>
          <w:rFonts w:hint="eastAsia"/>
          <w:b w:val="0"/>
          <w:bCs w:val="0"/>
          <w:lang w:val="en-US" w:eastAsia="zh-CN"/>
        </w:rPr>
      </w:pPr>
      <w:r>
        <w:rPr>
          <w:rFonts w:hint="eastAsia"/>
          <w:b w:val="0"/>
          <w:bCs w:val="0"/>
          <w:lang w:val="en-US" w:eastAsia="zh-CN"/>
        </w:rPr>
        <w:t>11.1.5.22.1 建设目标</w:t>
      </w:r>
    </w:p>
    <w:p w14:paraId="089E6E73">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视频远程识别模块用于支持监控系统、摄像头、记录仪等视频资料的接入、归档和业务关联，服务于远程见证、证据留存和事后追溯。</w:t>
      </w:r>
    </w:p>
    <w:p w14:paraId="4A755651">
      <w:pPr>
        <w:pStyle w:val="7"/>
        <w:bidi w:val="0"/>
        <w:rPr>
          <w:rFonts w:hint="eastAsia"/>
          <w:b w:val="0"/>
          <w:bCs w:val="0"/>
          <w:lang w:val="en-US" w:eastAsia="zh-CN"/>
        </w:rPr>
      </w:pPr>
      <w:r>
        <w:rPr>
          <w:rFonts w:hint="eastAsia"/>
          <w:b w:val="0"/>
          <w:bCs w:val="0"/>
          <w:lang w:val="en-US" w:eastAsia="zh-CN"/>
        </w:rPr>
        <w:t>11.1.5.22.2 功能设计</w:t>
      </w:r>
    </w:p>
    <w:p w14:paraId="2FA94577">
      <w:pPr>
        <w:spacing w:after="70" w:line="330" w:lineRule="auto"/>
        <w:ind w:left="420" w:hanging="260"/>
        <w:rPr>
          <w:rFonts w:hint="eastAsia" w:ascii="宋体" w:hAnsi="宋体" w:eastAsia="宋体" w:cs="宋体"/>
        </w:rPr>
      </w:pPr>
      <w:r>
        <w:rPr>
          <w:rFonts w:hint="eastAsia" w:ascii="宋体" w:hAnsi="宋体" w:eastAsia="宋体" w:cs="宋体"/>
          <w:color w:val="1F2937"/>
        </w:rPr>
        <w:t>1. 支持将视频资料按项目、合同、供应商、见证点进行归档。</w:t>
      </w:r>
    </w:p>
    <w:p w14:paraId="5D6E1270">
      <w:pPr>
        <w:spacing w:after="70" w:line="330" w:lineRule="auto"/>
        <w:ind w:left="420" w:hanging="260"/>
        <w:rPr>
          <w:rFonts w:hint="eastAsia" w:ascii="宋体" w:hAnsi="宋体" w:eastAsia="宋体" w:cs="宋体"/>
        </w:rPr>
      </w:pPr>
      <w:r>
        <w:rPr>
          <w:rFonts w:hint="eastAsia" w:ascii="宋体" w:hAnsi="宋体" w:eastAsia="宋体" w:cs="宋体"/>
          <w:color w:val="1F2937"/>
        </w:rPr>
        <w:t>2. 支持对远程见证视频建立关键时间点和关键帧标识。</w:t>
      </w:r>
    </w:p>
    <w:p w14:paraId="40C2184D">
      <w:pPr>
        <w:spacing w:after="70" w:line="330" w:lineRule="auto"/>
        <w:ind w:left="420" w:hanging="260"/>
        <w:rPr>
          <w:rFonts w:hint="eastAsia" w:ascii="宋体" w:hAnsi="宋体" w:eastAsia="宋体" w:cs="宋体"/>
        </w:rPr>
      </w:pPr>
      <w:r>
        <w:rPr>
          <w:rFonts w:hint="eastAsia" w:ascii="宋体" w:hAnsi="宋体" w:eastAsia="宋体" w:cs="宋体"/>
          <w:color w:val="1F2937"/>
        </w:rPr>
        <w:t>3. 支持视频资料与见证记录、问题单、验收记录和放行资料建立关联。</w:t>
      </w:r>
    </w:p>
    <w:p w14:paraId="47ADD593">
      <w:pPr>
        <w:spacing w:after="70" w:line="330" w:lineRule="auto"/>
        <w:ind w:left="420" w:hanging="260"/>
        <w:rPr>
          <w:rFonts w:hint="eastAsia" w:ascii="宋体" w:hAnsi="宋体" w:eastAsia="宋体" w:cs="宋体"/>
        </w:rPr>
      </w:pPr>
      <w:r>
        <w:rPr>
          <w:rFonts w:hint="eastAsia" w:ascii="宋体" w:hAnsi="宋体" w:eastAsia="宋体" w:cs="宋体"/>
          <w:color w:val="1F2937"/>
        </w:rPr>
        <w:t>4. 支持形成远程监督和远程见证的电子证据链。</w:t>
      </w:r>
    </w:p>
    <w:p w14:paraId="4895029F">
      <w:pPr>
        <w:pStyle w:val="6"/>
        <w:bidi w:val="0"/>
        <w:rPr>
          <w:rFonts w:hint="eastAsia"/>
          <w:lang w:val="en-US" w:eastAsia="zh-CN"/>
        </w:rPr>
      </w:pPr>
      <w:r>
        <w:rPr>
          <w:rFonts w:hint="eastAsia"/>
          <w:lang w:val="en-US" w:eastAsia="zh-CN"/>
        </w:rPr>
        <w:t>11.1.5.23 数据信息资源库模块</w:t>
      </w:r>
    </w:p>
    <w:p w14:paraId="78752289">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数据信息资源库用于承接法规标准、技术规范、经验案例、培训资料和历史知识沉淀。该模块与培训考试、AI基础识别和日常查询联动，既服务业务执行，也服务项目后续知识转移。</w:t>
      </w:r>
    </w:p>
    <w:p w14:paraId="6695C9E2">
      <w:pPr>
        <w:spacing w:after="120" w:line="360" w:lineRule="auto"/>
        <w:rPr>
          <w:rFonts w:hint="eastAsia" w:ascii="宋体" w:hAnsi="宋体" w:eastAsia="宋体" w:cs="宋体"/>
        </w:rPr>
      </w:pPr>
      <w:r>
        <w:rPr>
          <w:rFonts w:hint="eastAsia" w:ascii="宋体" w:hAnsi="宋体" w:eastAsia="宋体" w:cs="宋体"/>
          <w:color w:val="1F2937"/>
        </w:rPr>
        <w:t>至少包括以下库：</w:t>
      </w:r>
    </w:p>
    <w:p w14:paraId="505DCF74">
      <w:pPr>
        <w:spacing w:after="70" w:line="330" w:lineRule="auto"/>
        <w:ind w:left="420" w:hanging="260"/>
        <w:rPr>
          <w:rFonts w:hint="eastAsia" w:ascii="宋体" w:hAnsi="宋体" w:eastAsia="宋体" w:cs="宋体"/>
        </w:rPr>
      </w:pPr>
      <w:r>
        <w:rPr>
          <w:rFonts w:hint="eastAsia" w:ascii="宋体" w:hAnsi="宋体" w:eastAsia="宋体" w:cs="宋体"/>
          <w:color w:val="1F2937"/>
        </w:rPr>
        <w:t>1. 法规标准库</w:t>
      </w:r>
    </w:p>
    <w:p w14:paraId="07EBB526">
      <w:pPr>
        <w:spacing w:after="70" w:line="330" w:lineRule="auto"/>
        <w:ind w:left="420" w:hanging="260"/>
        <w:rPr>
          <w:rFonts w:hint="eastAsia" w:ascii="宋体" w:hAnsi="宋体" w:eastAsia="宋体" w:cs="宋体"/>
        </w:rPr>
      </w:pPr>
      <w:r>
        <w:rPr>
          <w:rFonts w:hint="eastAsia" w:ascii="宋体" w:hAnsi="宋体" w:eastAsia="宋体" w:cs="宋体"/>
          <w:color w:val="1F2937"/>
        </w:rPr>
        <w:t>2. 技术规范库</w:t>
      </w:r>
    </w:p>
    <w:p w14:paraId="4A3866DD">
      <w:pPr>
        <w:spacing w:after="70" w:line="330" w:lineRule="auto"/>
        <w:ind w:left="420" w:hanging="260"/>
        <w:rPr>
          <w:rFonts w:hint="eastAsia" w:ascii="宋体" w:hAnsi="宋体" w:eastAsia="宋体" w:cs="宋体"/>
        </w:rPr>
      </w:pPr>
      <w:r>
        <w:rPr>
          <w:rFonts w:hint="eastAsia" w:ascii="宋体" w:hAnsi="宋体" w:eastAsia="宋体" w:cs="宋体"/>
          <w:color w:val="1F2937"/>
        </w:rPr>
        <w:t>3. 历史案例库</w:t>
      </w:r>
    </w:p>
    <w:p w14:paraId="72B2A5A3">
      <w:pPr>
        <w:spacing w:after="70" w:line="330" w:lineRule="auto"/>
        <w:ind w:left="420" w:hanging="260"/>
        <w:rPr>
          <w:rFonts w:hint="eastAsia" w:ascii="宋体" w:hAnsi="宋体" w:eastAsia="宋体" w:cs="宋体"/>
        </w:rPr>
      </w:pPr>
      <w:r>
        <w:rPr>
          <w:rFonts w:hint="eastAsia" w:ascii="宋体" w:hAnsi="宋体" w:eastAsia="宋体" w:cs="宋体"/>
          <w:color w:val="1F2937"/>
        </w:rPr>
        <w:t>4. 培训资料库</w:t>
      </w:r>
    </w:p>
    <w:p w14:paraId="7F375C0D">
      <w:pPr>
        <w:spacing w:after="70" w:line="330" w:lineRule="auto"/>
        <w:ind w:left="420" w:hanging="260"/>
        <w:rPr>
          <w:rFonts w:hint="eastAsia" w:ascii="宋体" w:hAnsi="宋体" w:eastAsia="宋体" w:cs="宋体"/>
        </w:rPr>
      </w:pPr>
      <w:r>
        <w:rPr>
          <w:rFonts w:hint="eastAsia" w:ascii="宋体" w:hAnsi="宋体" w:eastAsia="宋体" w:cs="宋体"/>
          <w:color w:val="1F2937"/>
        </w:rPr>
        <w:t>5. 项目经验知识库</w:t>
      </w:r>
    </w:p>
    <w:p w14:paraId="1EFCB1A0">
      <w:pPr>
        <w:pStyle w:val="6"/>
        <w:bidi w:val="0"/>
        <w:rPr>
          <w:rFonts w:hint="eastAsia"/>
          <w:lang w:val="en-US" w:eastAsia="zh-CN"/>
        </w:rPr>
      </w:pPr>
      <w:r>
        <w:rPr>
          <w:rFonts w:hint="eastAsia"/>
          <w:lang w:val="en-US" w:eastAsia="zh-CN"/>
        </w:rPr>
        <w:t>11.1.5.24 培训与考试模块</w:t>
      </w:r>
    </w:p>
    <w:p w14:paraId="0CDECB95">
      <w:pPr>
        <w:pStyle w:val="7"/>
        <w:bidi w:val="0"/>
        <w:rPr>
          <w:rFonts w:hint="eastAsia"/>
          <w:b w:val="0"/>
          <w:bCs w:val="0"/>
          <w:lang w:val="en-US" w:eastAsia="zh-CN"/>
        </w:rPr>
      </w:pPr>
      <w:r>
        <w:rPr>
          <w:rFonts w:hint="eastAsia"/>
          <w:b w:val="0"/>
          <w:bCs w:val="0"/>
          <w:lang w:val="en-US" w:eastAsia="zh-CN"/>
        </w:rPr>
        <w:t>11.1.5.24.1 建设目标</w:t>
      </w:r>
    </w:p>
    <w:p w14:paraId="6AB5278B">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培训与考试模块用于支撑专业知识、管理文件、操作规范等内容的在线学习和考核，确保相关人员在上岗前、关键环节前、系统接管前具备足够能力。</w:t>
      </w:r>
    </w:p>
    <w:p w14:paraId="2818D067">
      <w:pPr>
        <w:pStyle w:val="7"/>
        <w:bidi w:val="0"/>
        <w:rPr>
          <w:rFonts w:hint="eastAsia"/>
          <w:b w:val="0"/>
          <w:bCs w:val="0"/>
          <w:lang w:val="en-US" w:eastAsia="zh-CN"/>
        </w:rPr>
      </w:pPr>
      <w:r>
        <w:rPr>
          <w:rFonts w:hint="eastAsia"/>
          <w:b w:val="0"/>
          <w:bCs w:val="0"/>
          <w:lang w:val="en-US" w:eastAsia="zh-CN"/>
        </w:rPr>
        <w:t>11.1.5.24.2 业务场景</w:t>
      </w:r>
    </w:p>
    <w:p w14:paraId="5466854A">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监造人员、供应商及相关用户需要持续学习专业知识、管理文件和操作规范。培训完成情况、考试结果和错题巩固需要在线留痕，确保人员具备相应业务能力后再参与相关工作。</w:t>
      </w:r>
    </w:p>
    <w:p w14:paraId="3494D83D">
      <w:pPr>
        <w:pStyle w:val="7"/>
        <w:bidi w:val="0"/>
        <w:rPr>
          <w:rFonts w:hint="eastAsia"/>
          <w:b w:val="0"/>
          <w:bCs w:val="0"/>
          <w:lang w:val="en-US" w:eastAsia="zh-CN"/>
        </w:rPr>
      </w:pPr>
      <w:r>
        <w:rPr>
          <w:rFonts w:hint="eastAsia"/>
          <w:b w:val="0"/>
          <w:bCs w:val="0"/>
          <w:lang w:val="en-US" w:eastAsia="zh-CN"/>
        </w:rPr>
        <w:t>11.1.5.24.3 功能设计</w:t>
      </w:r>
    </w:p>
    <w:p w14:paraId="6243EFC9">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系统支持按专业知识、管理文件等类别创建差异化培训，上传视频、PDF 等培训资料，并设置最短阅读时长和整体课时。学员学习过程中，系统实时记录各资料学习进度和整体完成度；完成学习后提交培训心得和反馈。考试模块支持题库维护、组卷、在线考试、判分、错题记录和复训机制。培训与考试默认相互独立，学员需完成培训后方可考试；考试未通过时，系统要求再次培训并完成复测。</w:t>
      </w:r>
    </w:p>
    <w:p w14:paraId="59660058">
      <w:pPr>
        <w:pStyle w:val="7"/>
        <w:bidi w:val="0"/>
        <w:rPr>
          <w:rFonts w:hint="eastAsia"/>
          <w:b w:val="0"/>
          <w:bCs w:val="0"/>
          <w:lang w:val="en-US" w:eastAsia="zh-CN"/>
        </w:rPr>
      </w:pPr>
      <w:r>
        <w:rPr>
          <w:rFonts w:hint="eastAsia"/>
          <w:b w:val="0"/>
          <w:bCs w:val="0"/>
          <w:lang w:val="en-US" w:eastAsia="zh-CN"/>
        </w:rPr>
        <w:t>11.1.5.24.4 功能明细表</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6"/>
        <w:gridCol w:w="4656"/>
      </w:tblGrid>
      <w:tr w14:paraId="10F8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425FFDD">
            <w:pPr>
              <w:spacing w:after="0" w:line="300" w:lineRule="auto"/>
              <w:rPr>
                <w:rFonts w:hint="eastAsia" w:ascii="宋体" w:hAnsi="宋体" w:eastAsia="宋体" w:cs="宋体"/>
              </w:rPr>
            </w:pPr>
            <w:r>
              <w:rPr>
                <w:rFonts w:hint="eastAsia" w:ascii="宋体" w:hAnsi="宋体" w:eastAsia="宋体" w:cs="宋体"/>
                <w:b/>
                <w:bCs/>
                <w:color w:val="172033"/>
                <w:sz w:val="18"/>
                <w:szCs w:val="18"/>
              </w:rPr>
              <w:t>功能项</w:t>
            </w:r>
          </w:p>
        </w:tc>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3F63AAD">
            <w:pPr>
              <w:spacing w:after="0" w:line="300" w:lineRule="auto"/>
              <w:rPr>
                <w:rFonts w:hint="eastAsia" w:ascii="宋体" w:hAnsi="宋体" w:eastAsia="宋体" w:cs="宋体"/>
              </w:rPr>
            </w:pPr>
            <w:r>
              <w:rPr>
                <w:rFonts w:hint="eastAsia" w:ascii="宋体" w:hAnsi="宋体" w:eastAsia="宋体" w:cs="宋体"/>
                <w:b/>
                <w:bCs/>
                <w:color w:val="172033"/>
                <w:sz w:val="18"/>
                <w:szCs w:val="18"/>
              </w:rPr>
              <w:t>设计内容</w:t>
            </w:r>
          </w:p>
        </w:tc>
      </w:tr>
      <w:tr w14:paraId="1E77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1394CE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培训分类</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C38F2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支持按专业知识、管理文件等类别创建差异化培训</w:t>
            </w:r>
          </w:p>
        </w:tc>
      </w:tr>
      <w:tr w14:paraId="50044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4CA0B8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培训资料</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6396E3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支持上传视频、PDF 等资料，设置最短阅读时长和课时数</w:t>
            </w:r>
          </w:p>
        </w:tc>
      </w:tr>
      <w:tr w14:paraId="74E0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59832B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学习留痕</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FE48AB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记录学习进度、完成度、心得和反馈</w:t>
            </w:r>
          </w:p>
        </w:tc>
      </w:tr>
      <w:tr w14:paraId="01BF0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28B45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考试管理</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A46E0C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题库、组卷、考试、判分、错题、复训</w:t>
            </w:r>
          </w:p>
        </w:tc>
      </w:tr>
    </w:tbl>
    <w:p w14:paraId="378B0E78">
      <w:pPr>
        <w:spacing w:after="100"/>
        <w:rPr>
          <w:rFonts w:hint="eastAsia" w:ascii="宋体" w:hAnsi="宋体" w:eastAsia="宋体" w:cs="宋体"/>
        </w:rPr>
      </w:pPr>
    </w:p>
    <w:p w14:paraId="1FC80859">
      <w:pPr>
        <w:spacing w:after="100"/>
        <w:rPr>
          <w:rFonts w:hint="eastAsia" w:ascii="宋体" w:hAnsi="宋体" w:eastAsia="宋体" w:cs="宋体"/>
        </w:rPr>
      </w:pPr>
      <w:r>
        <w:rPr>
          <w:rFonts w:hint="eastAsia" w:ascii="宋体" w:hAnsi="宋体" w:eastAsia="宋体" w:cs="宋体"/>
        </w:rPr>
        <w:drawing>
          <wp:inline distT="0" distB="0" distL="114300" distR="114300">
            <wp:extent cx="6290945" cy="3011170"/>
            <wp:effectExtent l="0" t="0" r="2540" b="635"/>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16"/>
                    <a:stretch>
                      <a:fillRect/>
                    </a:stretch>
                  </pic:blipFill>
                  <pic:spPr>
                    <a:xfrm>
                      <a:off x="0" y="0"/>
                      <a:ext cx="6290945" cy="3011170"/>
                    </a:xfrm>
                    <a:prstGeom prst="rect">
                      <a:avLst/>
                    </a:prstGeom>
                    <a:noFill/>
                    <a:ln>
                      <a:noFill/>
                    </a:ln>
                  </pic:spPr>
                </pic:pic>
              </a:graphicData>
            </a:graphic>
          </wp:inline>
        </w:drawing>
      </w:r>
    </w:p>
    <w:p w14:paraId="4762AF30">
      <w:pPr>
        <w:pStyle w:val="11"/>
        <w:spacing w:after="120" w:line="360" w:lineRule="auto"/>
        <w:jc w:val="center"/>
        <w:rPr>
          <w:rFonts w:hint="eastAsia" w:ascii="宋体" w:hAnsi="宋体" w:eastAsia="宋体" w:cs="宋体"/>
          <w:color w:val="64748B"/>
          <w:sz w:val="18"/>
          <w:szCs w:val="18"/>
          <w:lang w:val="en-US" w:eastAsia="zh-CN"/>
        </w:rPr>
      </w:pPr>
      <w:r>
        <w:rPr>
          <w:rFonts w:hint="eastAsia" w:ascii="宋体" w:hAnsi="宋体" w:eastAsia="宋体" w:cs="宋体"/>
          <w:color w:val="64748B"/>
          <w:sz w:val="18"/>
          <w:szCs w:val="18"/>
          <w:lang w:eastAsia="zh-CN"/>
        </w:rPr>
        <w:t>图11-1-</w:t>
      </w:r>
      <w:r>
        <w:rPr>
          <w:rFonts w:hint="eastAsia" w:ascii="宋体" w:hAnsi="宋体" w:eastAsia="宋体" w:cs="宋体"/>
          <w:color w:val="64748B"/>
          <w:sz w:val="18"/>
          <w:szCs w:val="18"/>
          <w:lang w:val="en-US" w:eastAsia="zh-CN"/>
        </w:rPr>
        <w:t>5</w:t>
      </w:r>
      <w:r>
        <w:rPr>
          <w:rFonts w:hint="eastAsia" w:ascii="宋体" w:hAnsi="宋体" w:eastAsia="宋体" w:cs="宋体"/>
          <w:color w:val="64748B"/>
          <w:sz w:val="18"/>
          <w:szCs w:val="18"/>
        </w:rPr>
        <w:t>-</w:t>
      </w:r>
      <w:r>
        <w:rPr>
          <w:rFonts w:hint="eastAsia" w:ascii="宋体" w:hAnsi="宋体" w:eastAsia="宋体" w:cs="宋体"/>
          <w:color w:val="64748B"/>
          <w:sz w:val="18"/>
          <w:szCs w:val="18"/>
          <w:lang w:val="en-US" w:eastAsia="zh-CN"/>
        </w:rPr>
        <w:t>10</w:t>
      </w:r>
      <w:r>
        <w:rPr>
          <w:rFonts w:hint="eastAsia" w:ascii="宋体" w:hAnsi="宋体" w:eastAsia="宋体" w:cs="宋体"/>
          <w:color w:val="64748B"/>
          <w:sz w:val="18"/>
          <w:szCs w:val="18"/>
        </w:rPr>
        <w:t xml:space="preserve"> </w:t>
      </w:r>
      <w:r>
        <w:rPr>
          <w:rFonts w:hint="eastAsia" w:ascii="宋体" w:hAnsi="宋体" w:eastAsia="宋体" w:cs="宋体"/>
          <w:color w:val="64748B"/>
          <w:sz w:val="18"/>
          <w:szCs w:val="18"/>
          <w:lang w:val="en-US" w:eastAsia="zh-CN"/>
        </w:rPr>
        <w:t>培训信息</w:t>
      </w:r>
    </w:p>
    <w:p w14:paraId="4CC6657D">
      <w:pPr>
        <w:pStyle w:val="11"/>
        <w:spacing w:after="120" w:line="360" w:lineRule="auto"/>
        <w:jc w:val="center"/>
        <w:rPr>
          <w:rFonts w:hint="eastAsia" w:ascii="宋体" w:hAnsi="宋体" w:eastAsia="宋体" w:cs="宋体"/>
        </w:rPr>
      </w:pPr>
      <w:r>
        <w:rPr>
          <w:rFonts w:hint="eastAsia" w:ascii="宋体" w:hAnsi="宋体" w:eastAsia="宋体" w:cs="宋体"/>
        </w:rPr>
        <w:drawing>
          <wp:inline distT="0" distB="0" distL="114300" distR="114300">
            <wp:extent cx="6290945" cy="3011170"/>
            <wp:effectExtent l="0" t="0" r="2540" b="635"/>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7"/>
                    <a:stretch>
                      <a:fillRect/>
                    </a:stretch>
                  </pic:blipFill>
                  <pic:spPr>
                    <a:xfrm>
                      <a:off x="0" y="0"/>
                      <a:ext cx="6290945" cy="3011170"/>
                    </a:xfrm>
                    <a:prstGeom prst="rect">
                      <a:avLst/>
                    </a:prstGeom>
                    <a:noFill/>
                    <a:ln>
                      <a:noFill/>
                    </a:ln>
                  </pic:spPr>
                </pic:pic>
              </a:graphicData>
            </a:graphic>
          </wp:inline>
        </w:drawing>
      </w:r>
    </w:p>
    <w:p w14:paraId="5D453BFE">
      <w:pPr>
        <w:pStyle w:val="11"/>
        <w:spacing w:after="120" w:line="360" w:lineRule="auto"/>
        <w:jc w:val="center"/>
        <w:rPr>
          <w:rFonts w:hint="eastAsia" w:ascii="宋体" w:hAnsi="宋体" w:eastAsia="宋体" w:cs="宋体"/>
          <w:lang w:val="en-US" w:eastAsia="zh-CN"/>
        </w:rPr>
      </w:pPr>
      <w:r>
        <w:rPr>
          <w:rFonts w:hint="eastAsia" w:ascii="宋体" w:hAnsi="宋体" w:eastAsia="宋体" w:cs="宋体"/>
          <w:color w:val="64748B"/>
          <w:sz w:val="18"/>
          <w:szCs w:val="18"/>
          <w:lang w:eastAsia="zh-CN"/>
        </w:rPr>
        <w:t>图11-1-</w:t>
      </w:r>
      <w:r>
        <w:rPr>
          <w:rFonts w:hint="eastAsia" w:ascii="宋体" w:hAnsi="宋体" w:eastAsia="宋体" w:cs="宋体"/>
          <w:color w:val="64748B"/>
          <w:sz w:val="18"/>
          <w:szCs w:val="18"/>
          <w:lang w:val="en-US" w:eastAsia="zh-CN"/>
        </w:rPr>
        <w:t>5</w:t>
      </w:r>
      <w:r>
        <w:rPr>
          <w:rFonts w:hint="eastAsia" w:ascii="宋体" w:hAnsi="宋体" w:eastAsia="宋体" w:cs="宋体"/>
          <w:color w:val="64748B"/>
          <w:sz w:val="18"/>
          <w:szCs w:val="18"/>
        </w:rPr>
        <w:t>-</w:t>
      </w:r>
      <w:r>
        <w:rPr>
          <w:rFonts w:hint="eastAsia" w:ascii="宋体" w:hAnsi="宋体" w:eastAsia="宋体" w:cs="宋体"/>
          <w:color w:val="64748B"/>
          <w:sz w:val="18"/>
          <w:szCs w:val="18"/>
          <w:lang w:val="en-US" w:eastAsia="zh-CN"/>
        </w:rPr>
        <w:t>11</w:t>
      </w:r>
      <w:r>
        <w:rPr>
          <w:rFonts w:hint="eastAsia" w:ascii="宋体" w:hAnsi="宋体" w:eastAsia="宋体" w:cs="宋体"/>
          <w:color w:val="64748B"/>
          <w:sz w:val="18"/>
          <w:szCs w:val="18"/>
        </w:rPr>
        <w:t xml:space="preserve"> </w:t>
      </w:r>
      <w:r>
        <w:rPr>
          <w:rFonts w:hint="eastAsia" w:ascii="宋体" w:hAnsi="宋体" w:eastAsia="宋体" w:cs="宋体"/>
          <w:color w:val="64748B"/>
          <w:sz w:val="18"/>
          <w:szCs w:val="18"/>
          <w:lang w:val="en-US" w:eastAsia="zh-CN"/>
        </w:rPr>
        <w:t>考试信息</w:t>
      </w:r>
    </w:p>
    <w:p w14:paraId="1CDF961D">
      <w:pPr>
        <w:pStyle w:val="6"/>
        <w:bidi w:val="0"/>
        <w:rPr>
          <w:rFonts w:hint="eastAsia"/>
          <w:lang w:val="en-US" w:eastAsia="zh-CN"/>
        </w:rPr>
      </w:pPr>
      <w:r>
        <w:rPr>
          <w:rFonts w:hint="eastAsia"/>
          <w:lang w:val="en-US" w:eastAsia="zh-CN"/>
        </w:rPr>
        <w:t>11.1.5.25 AI基础识别功能</w:t>
      </w:r>
    </w:p>
    <w:p w14:paraId="1F9B8888">
      <w:pPr>
        <w:pStyle w:val="7"/>
        <w:bidi w:val="0"/>
        <w:rPr>
          <w:rFonts w:hint="eastAsia"/>
          <w:b w:val="0"/>
          <w:bCs w:val="0"/>
          <w:lang w:val="en-US" w:eastAsia="zh-CN"/>
        </w:rPr>
      </w:pPr>
      <w:r>
        <w:rPr>
          <w:rFonts w:hint="eastAsia"/>
          <w:b w:val="0"/>
          <w:bCs w:val="0"/>
          <w:lang w:val="en-US" w:eastAsia="zh-CN"/>
        </w:rPr>
        <w:t>11.1.5.25.1 功能定位</w:t>
      </w:r>
    </w:p>
    <w:p w14:paraId="77E91428">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本项目中的 AI 基础识别功能，定位于“辅助识别、辅助检索、辅助归类、辅助查阅”，不取代业务审批、不替代专业质量判定、不绕开人工复核。</w:t>
      </w:r>
    </w:p>
    <w:p w14:paraId="3ABF545F">
      <w:pPr>
        <w:pStyle w:val="7"/>
        <w:bidi w:val="0"/>
        <w:rPr>
          <w:rFonts w:hint="eastAsia"/>
          <w:b w:val="0"/>
          <w:bCs w:val="0"/>
          <w:lang w:val="en-US" w:eastAsia="zh-CN"/>
        </w:rPr>
      </w:pPr>
      <w:r>
        <w:rPr>
          <w:rFonts w:hint="eastAsia"/>
          <w:b w:val="0"/>
          <w:bCs w:val="0"/>
          <w:lang w:val="en-US" w:eastAsia="zh-CN"/>
        </w:rPr>
        <w:t>11.1.5.25.2 建设内容</w:t>
      </w:r>
    </w:p>
    <w:p w14:paraId="683F4B14">
      <w:pPr>
        <w:spacing w:after="70" w:line="330" w:lineRule="auto"/>
        <w:ind w:left="420" w:hanging="260"/>
        <w:rPr>
          <w:rFonts w:hint="eastAsia" w:ascii="宋体" w:hAnsi="宋体" w:eastAsia="宋体" w:cs="宋体"/>
        </w:rPr>
      </w:pPr>
      <w:r>
        <w:rPr>
          <w:rFonts w:hint="eastAsia" w:ascii="宋体" w:hAnsi="宋体" w:eastAsia="宋体" w:cs="宋体"/>
          <w:color w:val="1F2937"/>
        </w:rPr>
        <w:t>1. 面向扫描件、PDF 和资料附件的关键信息识别辅助。</w:t>
      </w:r>
    </w:p>
    <w:p w14:paraId="7FAA816D">
      <w:pPr>
        <w:spacing w:after="70" w:line="330" w:lineRule="auto"/>
        <w:ind w:left="420" w:hanging="260"/>
        <w:rPr>
          <w:rFonts w:hint="eastAsia" w:ascii="宋体" w:hAnsi="宋体" w:eastAsia="宋体" w:cs="宋体"/>
        </w:rPr>
      </w:pPr>
      <w:r>
        <w:rPr>
          <w:rFonts w:hint="eastAsia" w:ascii="宋体" w:hAnsi="宋体" w:eastAsia="宋体" w:cs="宋体"/>
          <w:color w:val="1F2937"/>
        </w:rPr>
        <w:t>2. 面向资源库、培训库和历史资料的快速检索辅助。</w:t>
      </w:r>
    </w:p>
    <w:p w14:paraId="36912008">
      <w:pPr>
        <w:spacing w:after="70" w:line="330" w:lineRule="auto"/>
        <w:ind w:left="420" w:hanging="260"/>
        <w:rPr>
          <w:rFonts w:hint="eastAsia" w:ascii="宋体" w:hAnsi="宋体" w:eastAsia="宋体" w:cs="宋体"/>
        </w:rPr>
      </w:pPr>
      <w:r>
        <w:rPr>
          <w:rFonts w:hint="eastAsia" w:ascii="宋体" w:hAnsi="宋体" w:eastAsia="宋体" w:cs="宋体"/>
          <w:color w:val="1F2937"/>
        </w:rPr>
        <w:t>3. 面向相似问题和历史案例的智能查阅辅助。</w:t>
      </w:r>
    </w:p>
    <w:p w14:paraId="20C986A6">
      <w:pPr>
        <w:spacing w:after="70" w:line="330" w:lineRule="auto"/>
        <w:ind w:left="420" w:hanging="260"/>
        <w:rPr>
          <w:rFonts w:hint="eastAsia" w:ascii="宋体" w:hAnsi="宋体" w:eastAsia="宋体" w:cs="宋体"/>
        </w:rPr>
      </w:pPr>
      <w:r>
        <w:rPr>
          <w:rFonts w:hint="eastAsia" w:ascii="宋体" w:hAnsi="宋体" w:eastAsia="宋体" w:cs="宋体"/>
          <w:color w:val="1F2937"/>
        </w:rPr>
        <w:t>4. 面向资料归档时的分类建议和关键字段提取辅助。</w:t>
      </w:r>
    </w:p>
    <w:p w14:paraId="4F9E214F">
      <w:pPr>
        <w:pStyle w:val="7"/>
        <w:bidi w:val="0"/>
        <w:rPr>
          <w:rFonts w:hint="eastAsia"/>
          <w:b w:val="0"/>
          <w:bCs w:val="0"/>
          <w:lang w:val="en-US" w:eastAsia="zh-CN"/>
        </w:rPr>
      </w:pPr>
      <w:r>
        <w:rPr>
          <w:rFonts w:hint="eastAsia"/>
          <w:b w:val="0"/>
          <w:bCs w:val="0"/>
          <w:lang w:val="en-US" w:eastAsia="zh-CN"/>
        </w:rPr>
        <w:t>11.1.5.25.3 风险控制说明</w:t>
      </w:r>
    </w:p>
    <w:p w14:paraId="419A8454">
      <w:pPr>
        <w:spacing w:after="120" w:line="360" w:lineRule="auto"/>
        <w:ind w:firstLine="480" w:firstLineChars="200"/>
        <w:rPr>
          <w:rFonts w:hint="eastAsia" w:ascii="宋体" w:hAnsi="宋体" w:eastAsia="宋体" w:cs="宋体"/>
          <w:color w:val="1F2937"/>
        </w:rPr>
      </w:pPr>
      <w:r>
        <w:rPr>
          <w:rFonts w:hint="eastAsia" w:ascii="宋体" w:hAnsi="宋体" w:eastAsia="宋体" w:cs="宋体"/>
          <w:color w:val="1F2937"/>
        </w:rPr>
        <w:t>所有 AI 识别结果均需要进入人工确认或人工复核环节，避免未经校核的信息直接进入正式业务数据链。该设计既能体现智能化能力，又能符合质量管理严肃性和可追责性要求。</w:t>
      </w:r>
    </w:p>
    <w:p w14:paraId="3B24B8B4">
      <w:pPr>
        <w:spacing w:after="120" w:line="360" w:lineRule="auto"/>
        <w:rPr>
          <w:rFonts w:hint="eastAsia" w:ascii="宋体" w:hAnsi="宋体" w:eastAsia="宋体" w:cs="宋体"/>
          <w:color w:val="1F2937"/>
        </w:rPr>
      </w:pPr>
    </w:p>
    <w:p w14:paraId="43B66670">
      <w:pPr>
        <w:pStyle w:val="5"/>
        <w:bidi w:val="0"/>
        <w:rPr>
          <w:rFonts w:hint="eastAsia"/>
          <w:lang w:val="en-US" w:eastAsia="zh-CN"/>
        </w:rPr>
      </w:pPr>
      <w:r>
        <w:rPr>
          <w:rFonts w:hint="eastAsia"/>
          <w:lang w:val="en-US" w:eastAsia="zh-CN"/>
        </w:rPr>
        <w:t>11.1.6 数据平台功能</w:t>
      </w:r>
    </w:p>
    <w:p w14:paraId="2BD4E87A">
      <w:pPr>
        <w:pStyle w:val="6"/>
        <w:bidi w:val="0"/>
        <w:rPr>
          <w:rFonts w:hint="eastAsia"/>
          <w:b w:val="0"/>
          <w:bCs w:val="0"/>
          <w:lang w:val="en-US" w:eastAsia="zh-CN"/>
        </w:rPr>
      </w:pPr>
      <w:r>
        <w:rPr>
          <w:rFonts w:hint="eastAsia"/>
          <w:b w:val="0"/>
          <w:bCs w:val="0"/>
          <w:lang w:val="en-US" w:eastAsia="zh-CN"/>
        </w:rPr>
        <w:t>11.1.6.1 功能定位</w:t>
      </w:r>
    </w:p>
    <w:p w14:paraId="33AE3F15">
      <w:pPr>
        <w:spacing w:after="120" w:line="360" w:lineRule="auto"/>
        <w:ind w:firstLine="480" w:firstLineChars="200"/>
        <w:rPr>
          <w:rFonts w:hint="default" w:cs="宋体"/>
          <w:color w:val="1F2937"/>
          <w:lang w:val="en-US" w:eastAsia="zh-CN"/>
        </w:rPr>
      </w:pPr>
      <w:r>
        <w:rPr>
          <w:rFonts w:hint="eastAsia" w:ascii="宋体" w:hAnsi="宋体" w:eastAsia="宋体" w:cs="宋体"/>
          <w:color w:val="1F2937"/>
        </w:rPr>
        <w:t>本项目中的</w:t>
      </w:r>
      <w:r>
        <w:rPr>
          <w:rFonts w:hint="eastAsia" w:ascii="宋体" w:hAnsi="宋体" w:eastAsia="宋体" w:cs="宋体"/>
          <w:color w:val="1F2937"/>
          <w:lang w:val="en-US" w:eastAsia="zh-CN"/>
        </w:rPr>
        <w:t>数据平台</w:t>
      </w:r>
      <w:r>
        <w:rPr>
          <w:rFonts w:hint="eastAsia" w:ascii="宋体" w:hAnsi="宋体" w:eastAsia="宋体" w:cs="宋体"/>
          <w:color w:val="1F2937"/>
        </w:rPr>
        <w:t>功能，</w:t>
      </w:r>
      <w:r>
        <w:rPr>
          <w:rFonts w:hint="eastAsia" w:cs="宋体"/>
          <w:color w:val="1F2937"/>
          <w:lang w:val="en-US" w:eastAsia="zh-CN"/>
        </w:rPr>
        <w:t>能够对监造系统全流程</w:t>
      </w:r>
      <w:r>
        <w:rPr>
          <w:rFonts w:hint="eastAsia" w:ascii="宋体" w:hAnsi="宋体" w:eastAsia="宋体" w:cs="宋体"/>
          <w:color w:val="1F2937"/>
        </w:rPr>
        <w:t>业务数据沉</w:t>
      </w:r>
      <w:r>
        <w:rPr>
          <w:rFonts w:hint="eastAsia" w:cs="宋体"/>
          <w:color w:val="1F2937"/>
          <w:lang w:val="en-US" w:eastAsia="zh-CN"/>
        </w:rPr>
        <w:t>进行采集、清洗、转换</w:t>
      </w:r>
      <w:r>
        <w:rPr>
          <w:rFonts w:hint="eastAsia" w:ascii="宋体" w:hAnsi="宋体" w:eastAsia="宋体" w:cs="宋体"/>
          <w:color w:val="1F2937"/>
        </w:rPr>
        <w:t>，通过大数据平台实现分析预警，形成 “业务 - 数据 - 决策” 的闭环。</w:t>
      </w:r>
      <w:r>
        <w:rPr>
          <w:rFonts w:hint="eastAsia" w:cs="宋体"/>
          <w:color w:val="1F2937"/>
          <w:lang w:val="en-US" w:eastAsia="zh-CN"/>
        </w:rPr>
        <w:t>主要包含以下功能：</w:t>
      </w:r>
    </w:p>
    <w:p w14:paraId="0EC1A637">
      <w:pPr>
        <w:numPr>
          <w:ilvl w:val="0"/>
          <w:numId w:val="7"/>
        </w:numPr>
        <w:spacing w:after="120" w:line="360" w:lineRule="auto"/>
        <w:ind w:firstLine="480" w:firstLineChars="200"/>
        <w:rPr>
          <w:rFonts w:hint="eastAsia" w:ascii="宋体" w:hAnsi="宋体" w:eastAsia="宋体" w:cs="宋体"/>
          <w:color w:val="1F2937"/>
        </w:rPr>
      </w:pPr>
      <w:r>
        <w:rPr>
          <w:rFonts w:hint="eastAsia" w:ascii="宋体" w:hAnsi="宋体" w:eastAsia="宋体" w:cs="宋体"/>
          <w:color w:val="1F2937"/>
        </w:rPr>
        <w:t>‌</w:t>
      </w:r>
      <w:r>
        <w:rPr>
          <w:rFonts w:hint="default" w:ascii="宋体" w:hAnsi="宋体" w:eastAsia="宋体" w:cs="宋体"/>
          <w:color w:val="1F2937"/>
        </w:rPr>
        <w:t>数据处理能力‌：指对多源异构数据进行采集、清洗、转换（ETL）、计算（批/流）、建模与分析，支撑实时决策或批量洞察，体现为效率、准确性与可扩展性。</w:t>
      </w:r>
    </w:p>
    <w:p w14:paraId="3779AFC5">
      <w:pPr>
        <w:numPr>
          <w:ilvl w:val="0"/>
          <w:numId w:val="7"/>
        </w:numPr>
        <w:spacing w:after="120" w:line="360" w:lineRule="auto"/>
        <w:ind w:left="0" w:leftChars="0" w:firstLine="480" w:firstLineChars="200"/>
        <w:rPr>
          <w:rFonts w:hint="eastAsia" w:ascii="宋体" w:hAnsi="宋体" w:eastAsia="宋体" w:cs="宋体"/>
          <w:color w:val="1F2937"/>
        </w:rPr>
      </w:pPr>
      <w:r>
        <w:rPr>
          <w:rFonts w:hint="default" w:ascii="宋体" w:hAnsi="宋体" w:eastAsia="宋体" w:cs="宋体"/>
          <w:color w:val="1F2937"/>
        </w:rPr>
        <w:t>‌数据安全能力‌：涵盖数据加密（传输/存储）、访问控制（RBAC/字段级权限）、审计追踪、脱敏备份及合规落地（等保三级），确保机密性、完整性与可用性。</w:t>
      </w:r>
    </w:p>
    <w:p w14:paraId="6E8F043B">
      <w:pPr>
        <w:numPr>
          <w:ilvl w:val="0"/>
          <w:numId w:val="7"/>
        </w:numPr>
        <w:spacing w:after="120" w:line="360" w:lineRule="auto"/>
        <w:ind w:left="0" w:leftChars="0" w:firstLine="480" w:firstLineChars="200"/>
        <w:rPr>
          <w:rFonts w:hint="eastAsia" w:ascii="宋体" w:hAnsi="宋体" w:eastAsia="宋体" w:cs="宋体"/>
          <w:color w:val="1F2937"/>
        </w:rPr>
      </w:pPr>
      <w:r>
        <w:rPr>
          <w:rFonts w:hint="default" w:ascii="宋体" w:hAnsi="宋体" w:eastAsia="宋体" w:cs="宋体"/>
          <w:color w:val="1F2937"/>
        </w:rPr>
        <w:t>‌兼容集成能力‌：指通过标准化API、消息队列、适配器等实现与异构系统（ERP、CRM、数据库、云服务）的互操作与数据互通，支持私有化/混合云部署，打破信息孤岛。‌‌</w:t>
      </w:r>
    </w:p>
    <w:p w14:paraId="44FF5817">
      <w:pPr>
        <w:spacing w:after="120" w:line="360" w:lineRule="auto"/>
        <w:ind w:firstLine="480" w:firstLineChars="200"/>
        <w:rPr>
          <w:rFonts w:hint="eastAsia" w:ascii="宋体" w:hAnsi="宋体" w:eastAsia="宋体" w:cs="宋体"/>
        </w:rPr>
      </w:pPr>
      <w:r>
        <w:rPr>
          <w:rFonts w:hint="default" w:ascii="宋体" w:hAnsi="宋体" w:eastAsia="宋体" w:cs="宋体"/>
          <w:color w:val="1F2937"/>
        </w:rPr>
        <w:t>三者协同构成数据驱动系统的基础：‌集成打通数据源，处理释放数据价值，安全守护数据全生命周期‌。</w:t>
      </w:r>
    </w:p>
    <w:p w14:paraId="0F7D2D31">
      <w:pPr>
        <w:pStyle w:val="6"/>
        <w:bidi w:val="0"/>
        <w:rPr>
          <w:rFonts w:hint="default" w:ascii="宋体" w:hAnsi="宋体" w:eastAsia="宋体" w:cs="宋体"/>
          <w:color w:val="1F2937"/>
        </w:rPr>
      </w:pPr>
      <w:r>
        <w:rPr>
          <w:rFonts w:hint="eastAsia"/>
          <w:b w:val="0"/>
          <w:bCs w:val="0"/>
          <w:lang w:val="en-US" w:eastAsia="zh-CN"/>
        </w:rPr>
        <w:t>11.1.6.2</w:t>
      </w:r>
      <w:r>
        <w:rPr>
          <w:rFonts w:hint="eastAsia" w:ascii="宋体" w:hAnsi="宋体" w:eastAsia="宋体" w:cs="宋体"/>
          <w:color w:val="1F2937"/>
        </w:rPr>
        <w:t>‌</w:t>
      </w:r>
      <w:r>
        <w:rPr>
          <w:rFonts w:hint="default" w:ascii="宋体" w:hAnsi="宋体" w:eastAsia="宋体" w:cs="宋体"/>
          <w:color w:val="1F2937"/>
        </w:rPr>
        <w:t>数据处理能力</w:t>
      </w:r>
    </w:p>
    <w:p w14:paraId="79251857">
      <w:pPr>
        <w:pStyle w:val="12"/>
        <w:numPr>
          <w:ilvl w:val="0"/>
          <w:numId w:val="8"/>
        </w:numPr>
        <w:ind w:firstLine="480"/>
      </w:pPr>
      <w:r>
        <w:rPr>
          <w:rFonts w:hint="eastAsia"/>
          <w:lang w:val="en-US" w:eastAsia="zh-CN"/>
        </w:rPr>
        <w:t>数据采集：</w:t>
      </w:r>
      <w:r>
        <w:rPr>
          <w:rFonts w:hint="eastAsia"/>
        </w:rPr>
        <w:t>将不同来源、格式、特点的数据采集到数据资源池（</w:t>
      </w:r>
      <w:r>
        <w:t>ODS</w:t>
      </w:r>
      <w:r>
        <w:rPr>
          <w:rFonts w:hint="eastAsia"/>
        </w:rPr>
        <w:t>层），实现数据支撑系统具备实时记录各业务系统</w:t>
      </w:r>
      <w:r>
        <w:rPr>
          <w:rFonts w:hint="eastAsia"/>
          <w:lang w:val="en-US" w:eastAsia="zh-CN"/>
        </w:rPr>
        <w:t>数据</w:t>
      </w:r>
      <w:r>
        <w:rPr>
          <w:rFonts w:hint="eastAsia"/>
        </w:rPr>
        <w:t>的能力，完成人工录入数据、信息填报文件、源系统</w:t>
      </w:r>
      <w:r>
        <w:t>API</w:t>
      </w:r>
      <w:r>
        <w:rPr>
          <w:rFonts w:hint="eastAsia"/>
        </w:rPr>
        <w:t>数据、数据库表数据的统一引接，为数据汇聚集成奠定基础，功能框架如图所示。</w:t>
      </w:r>
    </w:p>
    <w:p w14:paraId="621C271F">
      <w:pPr>
        <w:pStyle w:val="29"/>
      </w:pPr>
      <w:r>
        <w:drawing>
          <wp:inline distT="0" distB="0" distL="0" distR="0">
            <wp:extent cx="5192395" cy="3180715"/>
            <wp:effectExtent l="0" t="0" r="0" b="381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192395" cy="3180715"/>
                    </a:xfrm>
                    <a:prstGeom prst="rect">
                      <a:avLst/>
                    </a:prstGeom>
                    <a:noFill/>
                    <a:ln>
                      <a:noFill/>
                    </a:ln>
                  </pic:spPr>
                </pic:pic>
              </a:graphicData>
            </a:graphic>
          </wp:inline>
        </w:drawing>
      </w:r>
    </w:p>
    <w:p w14:paraId="7039221E">
      <w:pPr>
        <w:pStyle w:val="11"/>
        <w:rPr>
          <w:color w:val="auto"/>
          <w:highlight w:val="none"/>
        </w:rPr>
      </w:pPr>
      <w:r>
        <w:rPr>
          <w:rFonts w:hint="eastAsia" w:ascii="宋体" w:hAnsi="宋体" w:eastAsia="宋体" w:cs="宋体"/>
          <w:color w:val="auto"/>
          <w:sz w:val="18"/>
          <w:szCs w:val="18"/>
          <w:highlight w:val="none"/>
          <w:lang w:eastAsia="zh-CN"/>
        </w:rPr>
        <w:t>图11-1-</w:t>
      </w:r>
      <w:r>
        <w:rPr>
          <w:rFonts w:hint="eastAsia" w:ascii="宋体" w:hAnsi="宋体" w:eastAsia="宋体" w:cs="宋体"/>
          <w:color w:val="auto"/>
          <w:sz w:val="18"/>
          <w:szCs w:val="18"/>
          <w:highlight w:val="none"/>
          <w:lang w:val="en-US" w:eastAsia="zh-CN"/>
        </w:rPr>
        <w:t>6</w:t>
      </w:r>
      <w:r>
        <w:rPr>
          <w:rFonts w:hint="eastAsia" w:ascii="宋体" w:hAnsi="宋体" w:eastAsia="宋体" w:cs="宋体"/>
          <w:color w:val="auto"/>
          <w:sz w:val="18"/>
          <w:szCs w:val="18"/>
          <w:highlight w:val="none"/>
        </w:rPr>
        <w:t>-</w:t>
      </w:r>
      <w:r>
        <w:rPr>
          <w:rFonts w:hint="eastAsia" w:ascii="宋体" w:hAnsi="宋体" w:eastAsia="宋体" w:cs="宋体"/>
          <w:color w:val="auto"/>
          <w:sz w:val="18"/>
          <w:szCs w:val="18"/>
          <w:highlight w:val="none"/>
          <w:lang w:val="en-US" w:eastAsia="zh-CN"/>
        </w:rPr>
        <w:t>1</w:t>
      </w:r>
      <w:r>
        <w:rPr>
          <w:rFonts w:hint="eastAsia" w:ascii="宋体" w:hAnsi="宋体" w:eastAsia="宋体" w:cs="宋体"/>
          <w:color w:val="auto"/>
          <w:sz w:val="18"/>
          <w:szCs w:val="18"/>
          <w:highlight w:val="none"/>
        </w:rPr>
        <w:t xml:space="preserve"> </w:t>
      </w:r>
      <w:r>
        <w:rPr>
          <w:rFonts w:hint="eastAsia" w:ascii="宋体" w:hAnsi="宋体" w:eastAsia="宋体" w:cs="宋体"/>
          <w:color w:val="auto"/>
          <w:sz w:val="18"/>
          <w:szCs w:val="18"/>
          <w:highlight w:val="none"/>
          <w:lang w:val="en-US" w:eastAsia="zh-CN"/>
        </w:rPr>
        <w:t>数据引接模型构建功能架构</w:t>
      </w:r>
    </w:p>
    <w:p w14:paraId="380CB030">
      <w:pPr>
        <w:pStyle w:val="12"/>
        <w:ind w:firstLine="480"/>
      </w:pPr>
      <w:r>
        <w:t>a</w:t>
      </w:r>
      <w:r>
        <w:rPr>
          <w:rFonts w:hint="eastAsia"/>
        </w:rPr>
        <w:t>）数据采集</w:t>
      </w:r>
    </w:p>
    <w:p w14:paraId="22821335">
      <w:pPr>
        <w:pStyle w:val="12"/>
        <w:ind w:firstLine="480"/>
      </w:pPr>
      <w:r>
        <w:rPr>
          <w:rFonts w:hint="eastAsia"/>
        </w:rPr>
        <w:t>通过图形化数据采集交互界面，实现在线、离线方式的填报录入、批量转换功能，提供填报数据实时校验、错误提示等功能。</w:t>
      </w:r>
    </w:p>
    <w:p w14:paraId="1A825111">
      <w:pPr>
        <w:pStyle w:val="12"/>
        <w:ind w:firstLine="480"/>
      </w:pPr>
      <w:r>
        <w:t>b</w:t>
      </w:r>
      <w:r>
        <w:rPr>
          <w:rFonts w:hint="eastAsia"/>
        </w:rPr>
        <w:t>）数据加载</w:t>
      </w:r>
    </w:p>
    <w:p w14:paraId="13B95210">
      <w:pPr>
        <w:pStyle w:val="12"/>
        <w:ind w:firstLine="480"/>
      </w:pPr>
      <w:r>
        <w:rPr>
          <w:rFonts w:hint="eastAsia"/>
        </w:rPr>
        <w:t>对在线、离线采集结果进行数据导入，实现导入进程监控、导入信息审验、异常数据处理、日志管理、缓存管理等功能。</w:t>
      </w:r>
    </w:p>
    <w:p w14:paraId="7E2023EA">
      <w:pPr>
        <w:pStyle w:val="12"/>
        <w:ind w:firstLine="480"/>
      </w:pPr>
      <w:r>
        <w:t>c</w:t>
      </w:r>
      <w:r>
        <w:rPr>
          <w:rFonts w:hint="eastAsia"/>
        </w:rPr>
        <w:t>）服务化引接</w:t>
      </w:r>
    </w:p>
    <w:p w14:paraId="4F7D4597">
      <w:pPr>
        <w:pStyle w:val="12"/>
        <w:ind w:firstLine="480"/>
      </w:pPr>
      <w:r>
        <w:rPr>
          <w:rFonts w:hint="eastAsia"/>
        </w:rPr>
        <w:t>从不同物理分布的后台数据库中抽取相关数据，转化汇入数据资源池；从已发布的</w:t>
      </w:r>
      <w:r>
        <w:t>API</w:t>
      </w:r>
      <w:r>
        <w:rPr>
          <w:rFonts w:hint="eastAsia"/>
        </w:rPr>
        <w:t>服务接口进行请求获取数据，并解析汇入数据资源池。</w:t>
      </w:r>
    </w:p>
    <w:p w14:paraId="0768868E">
      <w:pPr>
        <w:pStyle w:val="12"/>
        <w:ind w:firstLine="480"/>
      </w:pPr>
      <w:r>
        <w:t>d</w:t>
      </w:r>
      <w:r>
        <w:rPr>
          <w:rFonts w:hint="eastAsia"/>
        </w:rPr>
        <w:t>）数据同步</w:t>
      </w:r>
    </w:p>
    <w:p w14:paraId="59F51D98">
      <w:pPr>
        <w:pStyle w:val="12"/>
        <w:ind w:firstLine="480"/>
      </w:pPr>
      <w:r>
        <w:rPr>
          <w:rFonts w:hint="eastAsia"/>
        </w:rPr>
        <w:t>通过数据变更捕获、数据库同步等功能，实现结构化和非结构化数据的同步共享。</w:t>
      </w:r>
    </w:p>
    <w:p w14:paraId="399F6552">
      <w:pPr>
        <w:pStyle w:val="12"/>
        <w:ind w:firstLine="480"/>
      </w:pPr>
      <w:r>
        <w:t>e</w:t>
      </w:r>
      <w:r>
        <w:rPr>
          <w:rFonts w:hint="eastAsia"/>
        </w:rPr>
        <w:t>）数据采集任务管理</w:t>
      </w:r>
    </w:p>
    <w:p w14:paraId="0929F1C0">
      <w:pPr>
        <w:rPr>
          <w:rFonts w:hint="eastAsia"/>
          <w:lang w:val="en-US" w:eastAsia="zh-CN"/>
        </w:rPr>
      </w:pPr>
      <w:r>
        <w:rPr>
          <w:rFonts w:hint="eastAsia"/>
        </w:rPr>
        <w:t>通过可视化界面实现对引接的数据源和数据采集任务进行统一管理。</w:t>
      </w:r>
    </w:p>
    <w:p w14:paraId="2F0F0CB2">
      <w:pPr>
        <w:spacing w:after="120" w:line="360" w:lineRule="auto"/>
        <w:rPr>
          <w:rFonts w:hint="eastAsia" w:ascii="宋体" w:hAnsi="宋体" w:eastAsia="宋体" w:cs="宋体"/>
          <w:color w:val="1F2937"/>
        </w:rPr>
      </w:pPr>
    </w:p>
    <w:p w14:paraId="2E574A27">
      <w:pPr>
        <w:pStyle w:val="12"/>
        <w:numPr>
          <w:ilvl w:val="0"/>
          <w:numId w:val="8"/>
        </w:numPr>
        <w:ind w:left="0" w:leftChars="0" w:firstLine="480" w:firstLineChars="200"/>
        <w:rPr>
          <w:rFonts w:hint="eastAsia"/>
        </w:rPr>
      </w:pPr>
      <w:r>
        <w:rPr>
          <w:rFonts w:hint="eastAsia"/>
          <w:lang w:val="en-US" w:eastAsia="zh-CN"/>
        </w:rPr>
        <w:t>数据加工：</w:t>
      </w:r>
      <w:r>
        <w:rPr>
          <w:rFonts w:hint="eastAsia"/>
        </w:rPr>
        <w:t>提供数据统一开发能力，支持处理任务的可视化编排和灵活调度，提供数据质量及全生命周期管理能力</w:t>
      </w:r>
      <w:r>
        <w:rPr>
          <w:rFonts w:hint="eastAsia"/>
          <w:lang w:eastAsia="zh-CN"/>
        </w:rPr>
        <w:t>；</w:t>
      </w:r>
      <w:r>
        <w:rPr>
          <w:rFonts w:hint="eastAsia"/>
        </w:rPr>
        <w:t>提供数据资产的生成、管理功能，为数据分析挖掘支撑服务、数据可视化服务、知识图谱服务、数据主题服务、数据门户服务及数据产品制作服务的功能建设提供支撑。</w:t>
      </w:r>
    </w:p>
    <w:p w14:paraId="331EE4A4">
      <w:pPr>
        <w:pStyle w:val="12"/>
        <w:ind w:firstLine="480"/>
      </w:pPr>
      <w:r>
        <w:rPr>
          <w:rFonts w:hint="eastAsia"/>
        </w:rPr>
        <w:t>功能架构如图所示。</w:t>
      </w:r>
    </w:p>
    <w:p w14:paraId="15DDADD9">
      <w:pPr>
        <w:pStyle w:val="29"/>
      </w:pPr>
      <w:r>
        <w:object>
          <v:shape id="_x0000_i1025" o:spt="75" type="#_x0000_t75" style="height:216pt;width:390.05pt;" o:ole="t" filled="f" o:preferrelative="t" stroked="f" coordsize="21600,21600">
            <v:path/>
            <v:fill on="f" focussize="0,0"/>
            <v:stroke on="f" joinstyle="miter"/>
            <v:imagedata r:id="rId20" o:title=""/>
            <o:lock v:ext="edit" aspectratio="t"/>
            <w10:wrap type="none"/>
            <w10:anchorlock/>
          </v:shape>
          <o:OLEObject Type="Embed" ProgID="Visio.Drawing.15" ShapeID="_x0000_i1025" DrawAspect="Content" ObjectID="_1468075725" r:id="rId19">
            <o:LockedField>false</o:LockedField>
          </o:OLEObject>
        </w:object>
      </w:r>
    </w:p>
    <w:p w14:paraId="30B43039">
      <w:pPr>
        <w:pStyle w:val="11"/>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eastAsia="zh-CN"/>
        </w:rPr>
        <w:t>图11-1-</w:t>
      </w:r>
      <w:r>
        <w:rPr>
          <w:rFonts w:hint="eastAsia" w:ascii="宋体" w:hAnsi="宋体" w:eastAsia="宋体" w:cs="宋体"/>
          <w:color w:val="auto"/>
          <w:sz w:val="18"/>
          <w:szCs w:val="18"/>
          <w:highlight w:val="none"/>
          <w:lang w:val="en-US" w:eastAsia="zh-CN"/>
        </w:rPr>
        <w:t>6</w:t>
      </w:r>
      <w:r>
        <w:rPr>
          <w:rFonts w:hint="eastAsia" w:ascii="宋体" w:hAnsi="宋体" w:eastAsia="宋体" w:cs="宋体"/>
          <w:color w:val="auto"/>
          <w:sz w:val="18"/>
          <w:szCs w:val="18"/>
          <w:highlight w:val="none"/>
        </w:rPr>
        <w:t>-</w:t>
      </w:r>
      <w:r>
        <w:rPr>
          <w:rFonts w:hint="eastAsia" w:ascii="宋体" w:hAnsi="宋体" w:eastAsia="宋体" w:cs="宋体"/>
          <w:color w:val="auto"/>
          <w:sz w:val="18"/>
          <w:szCs w:val="18"/>
          <w:highlight w:val="none"/>
          <w:lang w:val="en-US" w:eastAsia="zh-CN"/>
        </w:rPr>
        <w:t>2</w:t>
      </w:r>
      <w:r>
        <w:rPr>
          <w:rFonts w:hint="eastAsia" w:ascii="宋体" w:hAnsi="宋体" w:eastAsia="宋体" w:cs="宋体"/>
          <w:color w:val="auto"/>
          <w:sz w:val="18"/>
          <w:szCs w:val="18"/>
          <w:highlight w:val="none"/>
        </w:rPr>
        <w:t xml:space="preserve"> </w:t>
      </w:r>
      <w:r>
        <w:rPr>
          <w:rFonts w:hint="eastAsia" w:ascii="宋体" w:hAnsi="宋体" w:eastAsia="宋体" w:cs="宋体"/>
          <w:color w:val="auto"/>
          <w:sz w:val="18"/>
          <w:szCs w:val="18"/>
          <w:highlight w:val="none"/>
          <w:lang w:val="en-US" w:eastAsia="zh-CN"/>
        </w:rPr>
        <w:t>数据加工服务功能架构</w:t>
      </w:r>
    </w:p>
    <w:p w14:paraId="29C1E622">
      <w:pPr>
        <w:pStyle w:val="12"/>
        <w:ind w:firstLine="480"/>
      </w:pPr>
      <w:r>
        <w:t>a</w:t>
      </w:r>
      <w:r>
        <w:rPr>
          <w:rFonts w:hint="eastAsia"/>
        </w:rPr>
        <w:t>）数据统一开发</w:t>
      </w:r>
    </w:p>
    <w:p w14:paraId="66C98D34">
      <w:pPr>
        <w:pStyle w:val="12"/>
        <w:ind w:firstLine="480"/>
      </w:pPr>
      <w:r>
        <w:rPr>
          <w:rFonts w:hint="eastAsia"/>
        </w:rPr>
        <w:t>通过可视化的集成数据开发及管理平台，实现从程序设计、开发过程标准管控到开发上线的一站式数据开发服务。</w:t>
      </w:r>
    </w:p>
    <w:p w14:paraId="39B1B2B8">
      <w:pPr>
        <w:pStyle w:val="12"/>
        <w:ind w:firstLine="480"/>
      </w:pPr>
      <w:r>
        <w:t>b</w:t>
      </w:r>
      <w:r>
        <w:rPr>
          <w:rFonts w:hint="eastAsia"/>
        </w:rPr>
        <w:t>）可视化调度管理</w:t>
      </w:r>
    </w:p>
    <w:p w14:paraId="26CCED9A">
      <w:pPr>
        <w:pStyle w:val="12"/>
        <w:ind w:firstLine="480"/>
      </w:pPr>
      <w:r>
        <w:rPr>
          <w:rFonts w:hint="eastAsia"/>
        </w:rPr>
        <w:t>以数据流为驱动，利用可视化界面创建任务，对任务进行合理编排，监控任务执行情况，实现各项任务的协同运行。</w:t>
      </w:r>
    </w:p>
    <w:p w14:paraId="7F838771">
      <w:pPr>
        <w:pStyle w:val="12"/>
        <w:ind w:firstLine="480"/>
      </w:pPr>
      <w:r>
        <w:t>c</w:t>
      </w:r>
      <w:r>
        <w:rPr>
          <w:rFonts w:hint="eastAsia"/>
        </w:rPr>
        <w:t>）数据质量管理</w:t>
      </w:r>
    </w:p>
    <w:p w14:paraId="0C7AF9A4">
      <w:pPr>
        <w:pStyle w:val="12"/>
        <w:ind w:firstLine="480"/>
      </w:pPr>
      <w:r>
        <w:rPr>
          <w:rFonts w:hint="eastAsia"/>
        </w:rPr>
        <w:t>通过技术手段和方法对数据进行检查，了解数据健康状况，发现故障线索和隐患，分析数据质量问题，提供全过程的常态化、体系化、标准化、自动化的数据质量管理手段。</w:t>
      </w:r>
    </w:p>
    <w:p w14:paraId="5107D6D6">
      <w:pPr>
        <w:pStyle w:val="12"/>
        <w:ind w:firstLine="480"/>
      </w:pPr>
      <w:r>
        <w:t>d</w:t>
      </w:r>
      <w:r>
        <w:rPr>
          <w:rFonts w:hint="eastAsia"/>
        </w:rPr>
        <w:t>）数据共享交换管理</w:t>
      </w:r>
    </w:p>
    <w:p w14:paraId="706AB10D">
      <w:pPr>
        <w:pStyle w:val="12"/>
        <w:ind w:firstLine="480"/>
      </w:pPr>
      <w:r>
        <w:rPr>
          <w:rFonts w:hint="eastAsia"/>
        </w:rPr>
        <w:t>通过搭建统一的共享交换平台，实现数据资源池的数据在系统之间的分发和交换，为系统间的数据交换共享提供支撑和保障。</w:t>
      </w:r>
    </w:p>
    <w:p w14:paraId="3EDA9C00">
      <w:pPr>
        <w:spacing w:after="120" w:line="360" w:lineRule="auto"/>
        <w:rPr>
          <w:rFonts w:hint="eastAsia" w:ascii="宋体" w:hAnsi="宋体" w:eastAsia="宋体" w:cs="宋体"/>
          <w:color w:val="1F2937"/>
        </w:rPr>
      </w:pPr>
    </w:p>
    <w:p w14:paraId="3E14178A">
      <w:pPr>
        <w:pStyle w:val="6"/>
        <w:bidi w:val="0"/>
        <w:rPr>
          <w:rFonts w:hint="eastAsia" w:ascii="宋体" w:hAnsi="宋体" w:eastAsia="宋体" w:cs="宋体"/>
          <w:color w:val="1F2937"/>
          <w:lang w:eastAsia="zh-CN"/>
        </w:rPr>
      </w:pPr>
      <w:r>
        <w:rPr>
          <w:rFonts w:hint="eastAsia"/>
          <w:b w:val="0"/>
          <w:bCs w:val="0"/>
          <w:lang w:val="en-US" w:eastAsia="zh-CN"/>
        </w:rPr>
        <w:t>11.1.6.3</w:t>
      </w:r>
      <w:r>
        <w:rPr>
          <w:rFonts w:hint="eastAsia" w:ascii="宋体" w:hAnsi="宋体" w:eastAsia="宋体" w:cs="宋体"/>
          <w:color w:val="1F2937"/>
        </w:rPr>
        <w:t>‌</w:t>
      </w:r>
      <w:r>
        <w:rPr>
          <w:rFonts w:hint="default" w:ascii="宋体" w:hAnsi="宋体" w:eastAsia="宋体" w:cs="宋体"/>
          <w:color w:val="1F2937"/>
        </w:rPr>
        <w:t>数据</w:t>
      </w:r>
      <w:r>
        <w:rPr>
          <w:rFonts w:hint="eastAsia" w:ascii="宋体" w:hAnsi="宋体" w:cs="宋体"/>
          <w:color w:val="1F2937"/>
          <w:lang w:val="en-US" w:eastAsia="zh-CN"/>
        </w:rPr>
        <w:t>安全管理</w:t>
      </w:r>
    </w:p>
    <w:p w14:paraId="1FAC7845">
      <w:pPr>
        <w:pStyle w:val="12"/>
        <w:ind w:firstLine="480"/>
      </w:pPr>
      <w:r>
        <w:rPr>
          <w:rFonts w:hint="eastAsia"/>
        </w:rPr>
        <w:t>数据安全管理支持数据的权限、交换、存储、分发等层次的安全保护，支持加密、脱敏等内容的安全以及数据认证、授权、审计等行为操作的安全。数据安全系统从数据行为安全、数据内容安全、数据环境安全三个方面出发，实现数据安全管理，如下图所示。</w:t>
      </w:r>
    </w:p>
    <w:p w14:paraId="67549149">
      <w:pPr>
        <w:pStyle w:val="29"/>
      </w:pPr>
      <w:r>
        <w:drawing>
          <wp:inline distT="0" distB="0" distL="0" distR="0">
            <wp:extent cx="3983355" cy="265557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983355" cy="2655570"/>
                    </a:xfrm>
                    <a:prstGeom prst="rect">
                      <a:avLst/>
                    </a:prstGeom>
                    <a:noFill/>
                    <a:ln>
                      <a:noFill/>
                    </a:ln>
                  </pic:spPr>
                </pic:pic>
              </a:graphicData>
            </a:graphic>
          </wp:inline>
        </w:drawing>
      </w:r>
    </w:p>
    <w:p w14:paraId="62741756">
      <w:pPr>
        <w:pStyle w:val="11"/>
        <w:rPr>
          <w:rFonts w:hint="eastAsia" w:ascii="宋体" w:hAnsi="宋体" w:eastAsia="宋体" w:cs="宋体"/>
          <w:color w:val="auto"/>
          <w:sz w:val="18"/>
          <w:szCs w:val="18"/>
          <w:highlight w:val="none"/>
          <w:lang w:eastAsia="zh-CN"/>
        </w:rPr>
      </w:pPr>
      <w:r>
        <w:rPr>
          <w:rFonts w:hint="eastAsia" w:ascii="宋体" w:hAnsi="宋体" w:eastAsia="宋体" w:cs="宋体"/>
          <w:color w:val="auto"/>
          <w:sz w:val="18"/>
          <w:szCs w:val="18"/>
          <w:highlight w:val="none"/>
          <w:lang w:eastAsia="zh-CN"/>
        </w:rPr>
        <w:t>图11-1-</w:t>
      </w:r>
      <w:r>
        <w:rPr>
          <w:rFonts w:hint="eastAsia" w:ascii="宋体" w:hAnsi="宋体" w:eastAsia="宋体" w:cs="宋体"/>
          <w:color w:val="auto"/>
          <w:sz w:val="18"/>
          <w:szCs w:val="18"/>
          <w:highlight w:val="none"/>
          <w:lang w:val="en-US" w:eastAsia="zh-CN"/>
        </w:rPr>
        <w:t>6</w:t>
      </w:r>
      <w:r>
        <w:rPr>
          <w:rFonts w:hint="eastAsia" w:ascii="宋体" w:hAnsi="宋体" w:eastAsia="宋体" w:cs="宋体"/>
          <w:color w:val="auto"/>
          <w:sz w:val="18"/>
          <w:szCs w:val="18"/>
          <w:highlight w:val="none"/>
          <w:lang w:eastAsia="zh-CN"/>
        </w:rPr>
        <w:t>-</w:t>
      </w:r>
      <w:r>
        <w:rPr>
          <w:rFonts w:hint="eastAsia" w:ascii="宋体" w:hAnsi="宋体" w:eastAsia="宋体" w:cs="宋体"/>
          <w:color w:val="auto"/>
          <w:sz w:val="18"/>
          <w:szCs w:val="18"/>
          <w:highlight w:val="none"/>
          <w:lang w:val="en-US" w:eastAsia="zh-CN"/>
        </w:rPr>
        <w:t>3</w:t>
      </w:r>
      <w:r>
        <w:rPr>
          <w:rFonts w:hint="eastAsia" w:ascii="宋体" w:hAnsi="宋体" w:eastAsia="宋体" w:cs="宋体"/>
          <w:color w:val="auto"/>
          <w:sz w:val="18"/>
          <w:szCs w:val="18"/>
          <w:highlight w:val="none"/>
          <w:lang w:eastAsia="zh-CN"/>
        </w:rPr>
        <w:t xml:space="preserve"> </w:t>
      </w:r>
      <w:r>
        <w:rPr>
          <w:rFonts w:hint="eastAsia" w:ascii="宋体" w:hAnsi="宋体" w:eastAsia="宋体" w:cs="宋体"/>
          <w:color w:val="auto"/>
          <w:sz w:val="18"/>
          <w:szCs w:val="18"/>
          <w:highlight w:val="none"/>
          <w:lang w:val="en-US" w:eastAsia="zh-CN"/>
        </w:rPr>
        <w:t>数据安全管理功能架构</w:t>
      </w:r>
    </w:p>
    <w:p w14:paraId="62BA6B20">
      <w:pPr>
        <w:pStyle w:val="12"/>
        <w:ind w:firstLine="480"/>
      </w:pPr>
      <w:r>
        <w:t>a</w:t>
      </w:r>
      <w:r>
        <w:rPr>
          <w:rFonts w:hint="eastAsia"/>
        </w:rPr>
        <w:t>）数据行为安全</w:t>
      </w:r>
    </w:p>
    <w:p w14:paraId="0A1B163B">
      <w:pPr>
        <w:pStyle w:val="12"/>
        <w:ind w:firstLine="480"/>
      </w:pPr>
      <w:r>
        <w:rPr>
          <w:rFonts w:hint="eastAsia"/>
        </w:rPr>
        <w:t>数据行为安全基于用户身份管控、行为管理、过程审计等手段，限制用户操作、监控用户的行为，从而保障数据的所有操作都安全合规。具体包括数据身份管理、数据认证管理、数据授权管理、数据审计监控和数据行为分析。</w:t>
      </w:r>
    </w:p>
    <w:p w14:paraId="4AB24C13">
      <w:pPr>
        <w:pStyle w:val="12"/>
        <w:ind w:firstLine="480"/>
      </w:pPr>
      <w:r>
        <w:t>b</w:t>
      </w:r>
      <w:r>
        <w:rPr>
          <w:rFonts w:hint="eastAsia"/>
        </w:rPr>
        <w:t>）数据内容安全</w:t>
      </w:r>
    </w:p>
    <w:p w14:paraId="3773201C">
      <w:pPr>
        <w:pStyle w:val="12"/>
        <w:ind w:firstLine="480"/>
      </w:pPr>
      <w:r>
        <w:rPr>
          <w:rFonts w:hint="eastAsia"/>
        </w:rPr>
        <w:t>数据内容安全通过对数据本身进行分级、加密、脱敏等，提升数据的安全防护能力，从而保障数据不被轻易破解、获取。具体包括数据加密、数据脱敏、数据分类标记和数据分级管控。</w:t>
      </w:r>
    </w:p>
    <w:p w14:paraId="6DE7EB8F">
      <w:pPr>
        <w:spacing w:after="120" w:line="360" w:lineRule="auto"/>
        <w:rPr>
          <w:rFonts w:hint="eastAsia" w:ascii="宋体" w:hAnsi="宋体" w:eastAsia="宋体" w:cs="宋体"/>
          <w:color w:val="1F2937"/>
        </w:rPr>
      </w:pPr>
    </w:p>
    <w:p w14:paraId="12BFA8F9">
      <w:pPr>
        <w:pStyle w:val="6"/>
        <w:bidi w:val="0"/>
        <w:rPr>
          <w:rFonts w:hint="default" w:ascii="宋体" w:hAnsi="宋体" w:eastAsia="宋体" w:cs="宋体"/>
          <w:color w:val="1F2937"/>
        </w:rPr>
      </w:pPr>
      <w:r>
        <w:rPr>
          <w:rFonts w:hint="eastAsia"/>
          <w:b w:val="0"/>
          <w:bCs w:val="0"/>
          <w:lang w:val="en-US" w:eastAsia="zh-CN"/>
        </w:rPr>
        <w:t>11.1.6.4</w:t>
      </w:r>
      <w:r>
        <w:rPr>
          <w:rFonts w:hint="eastAsia" w:ascii="宋体" w:hAnsi="宋体" w:cs="宋体"/>
          <w:color w:val="1F2937"/>
          <w:lang w:val="en-US" w:eastAsia="zh-CN"/>
        </w:rPr>
        <w:t>兼容继承</w:t>
      </w:r>
      <w:r>
        <w:rPr>
          <w:rFonts w:hint="default" w:ascii="宋体" w:hAnsi="宋体" w:eastAsia="宋体" w:cs="宋体"/>
          <w:color w:val="1F2937"/>
        </w:rPr>
        <w:t>能力</w:t>
      </w:r>
    </w:p>
    <w:p w14:paraId="4C279369">
      <w:pPr>
        <w:pStyle w:val="12"/>
        <w:ind w:firstLine="480"/>
        <w:rPr>
          <w:rFonts w:hint="eastAsia" w:ascii="宋体" w:hAnsi="宋体" w:eastAsia="宋体" w:cs="宋体"/>
        </w:rPr>
      </w:pPr>
      <w:r>
        <w:rPr>
          <w:rFonts w:hint="default" w:ascii="宋体" w:hAnsi="宋体" w:eastAsia="宋体" w:cs="宋体"/>
        </w:rPr>
        <w:t>数据平台的兼容集成能力指其连接、适配与协同异构数据源及系统的综合水平，核心体现在多源接入、协议支持、跨平台部署与业务系统联动四方面。‌‌</w:t>
      </w:r>
    </w:p>
    <w:p w14:paraId="2EED8430">
      <w:pPr>
        <w:pStyle w:val="12"/>
        <w:numPr>
          <w:ilvl w:val="0"/>
          <w:numId w:val="9"/>
        </w:numPr>
        <w:ind w:firstLine="480"/>
        <w:rPr>
          <w:rFonts w:hint="eastAsia" w:ascii="宋体" w:hAnsi="宋体" w:eastAsia="宋体" w:cs="宋体"/>
        </w:rPr>
      </w:pPr>
      <w:r>
        <w:rPr>
          <w:rFonts w:hint="eastAsia" w:ascii="宋体" w:hAnsi="宋体" w:eastAsia="宋体" w:cs="宋体"/>
        </w:rPr>
        <w:t>‌</w:t>
      </w:r>
      <w:r>
        <w:rPr>
          <w:rFonts w:hint="default" w:ascii="宋体" w:hAnsi="宋体" w:eastAsia="宋体" w:cs="宋体"/>
        </w:rPr>
        <w:t>多类型数据源兼容</w:t>
      </w:r>
      <w:r>
        <w:rPr>
          <w:rFonts w:hint="eastAsia" w:ascii="宋体" w:hAnsi="宋体" w:eastAsia="宋体" w:cs="宋体"/>
        </w:rPr>
        <w:t>‌：支持主流关系型数据库（MySQL、Oracle、PostgreSQL、达梦、人大金仓等）、NoSQL（MongoDB、Redis）、云数据库（阿里云RDS、腾讯云CDB）、文件（Excel、CSV、JSON、XML）及API（RESTful、WebService、MQTT等），部分平台还适配IoT设备、Kafka流数据。</w:t>
      </w:r>
    </w:p>
    <w:p w14:paraId="3BF88C49">
      <w:pPr>
        <w:pStyle w:val="12"/>
        <w:numPr>
          <w:ilvl w:val="0"/>
          <w:numId w:val="9"/>
        </w:numPr>
        <w:ind w:left="0" w:leftChars="0" w:firstLine="480" w:firstLineChars="200"/>
        <w:rPr>
          <w:rFonts w:hint="eastAsia" w:ascii="宋体" w:hAnsi="宋体" w:eastAsia="宋体" w:cs="宋体"/>
        </w:rPr>
      </w:pPr>
      <w:r>
        <w:rPr>
          <w:rFonts w:hint="eastAsia" w:ascii="宋体" w:hAnsi="宋体" w:eastAsia="宋体" w:cs="宋体"/>
        </w:rPr>
        <w:t>‌</w:t>
      </w:r>
      <w:r>
        <w:rPr>
          <w:rFonts w:hint="default" w:ascii="宋体" w:hAnsi="宋体" w:eastAsia="宋体" w:cs="宋体"/>
        </w:rPr>
        <w:t>协议与接口开放性</w:t>
      </w:r>
      <w:r>
        <w:rPr>
          <w:rFonts w:hint="eastAsia" w:ascii="宋体" w:hAnsi="宋体" w:eastAsia="宋体" w:cs="宋体"/>
        </w:rPr>
        <w:t>‌：通过JDBC/ODBC、标准API、消息队列（如Kafka、RabbitMQ）或中间件（ESB）实现系统对接，支持信创环境（国产芯片/OS如鲲鹏+统信UOS）及混合云/私有化部署。</w:t>
      </w:r>
    </w:p>
    <w:p w14:paraId="20A41E6D">
      <w:pPr>
        <w:pStyle w:val="12"/>
        <w:numPr>
          <w:ilvl w:val="0"/>
          <w:numId w:val="9"/>
        </w:numPr>
        <w:ind w:left="0" w:leftChars="0" w:firstLine="480" w:firstLineChars="200"/>
        <w:rPr>
          <w:rFonts w:hint="eastAsia" w:ascii="宋体" w:hAnsi="宋体" w:eastAsia="宋体" w:cs="宋体"/>
        </w:rPr>
      </w:pPr>
      <w:r>
        <w:rPr>
          <w:rFonts w:hint="eastAsia" w:ascii="宋体" w:hAnsi="宋体" w:eastAsia="宋体" w:cs="宋体"/>
        </w:rPr>
        <w:t>‌</w:t>
      </w:r>
      <w:r>
        <w:rPr>
          <w:rFonts w:hint="default" w:ascii="宋体" w:hAnsi="宋体" w:eastAsia="宋体" w:cs="宋体"/>
        </w:rPr>
        <w:t>数据融合与转换能力</w:t>
      </w:r>
      <w:r>
        <w:rPr>
          <w:rFonts w:hint="eastAsia" w:ascii="宋体" w:hAnsi="宋体" w:eastAsia="宋体" w:cs="宋体"/>
        </w:rPr>
        <w:t>‌：内置ETL/自助ETL、跨库查询、字段映射、数据清洗和语义统一引擎，减少“数据搬家”，实现逻辑整合而非物理集中。</w:t>
      </w:r>
    </w:p>
    <w:p w14:paraId="073C5ED6">
      <w:pPr>
        <w:pStyle w:val="12"/>
        <w:numPr>
          <w:ilvl w:val="0"/>
          <w:numId w:val="9"/>
        </w:numPr>
        <w:ind w:left="0" w:leftChars="0" w:firstLine="480" w:firstLineChars="200"/>
        <w:rPr>
          <w:rFonts w:hint="eastAsia" w:ascii="宋体" w:hAnsi="宋体" w:eastAsia="宋体" w:cs="宋体"/>
        </w:rPr>
      </w:pPr>
      <w:r>
        <w:rPr>
          <w:rFonts w:hint="eastAsia" w:ascii="宋体" w:hAnsi="宋体" w:eastAsia="宋体" w:cs="宋体"/>
        </w:rPr>
        <w:t>‌</w:t>
      </w:r>
      <w:r>
        <w:rPr>
          <w:rFonts w:hint="default" w:ascii="宋体" w:hAnsi="宋体" w:eastAsia="宋体" w:cs="宋体"/>
        </w:rPr>
        <w:t>业务系统集成深度</w:t>
      </w:r>
      <w:r>
        <w:rPr>
          <w:rFonts w:hint="eastAsia" w:ascii="宋体" w:hAnsi="宋体" w:eastAsia="宋体" w:cs="宋体"/>
        </w:rPr>
        <w:t>‌：可嵌入ERP、CRM、OA等系统（via iframe/SDK/API），支持单点登录（SSO/LDAP）、权限同步与流程自动化（如钉钉/企业微信联动），避免孤岛。</w:t>
      </w:r>
    </w:p>
    <w:p w14:paraId="2DF24425">
      <w:pPr>
        <w:pStyle w:val="12"/>
        <w:numPr>
          <w:ilvl w:val="0"/>
          <w:numId w:val="9"/>
        </w:numPr>
        <w:ind w:left="0" w:leftChars="0" w:firstLine="480" w:firstLineChars="200"/>
        <w:rPr>
          <w:rFonts w:hint="eastAsia" w:ascii="宋体" w:hAnsi="宋体" w:eastAsia="宋体" w:cs="宋体"/>
        </w:rPr>
      </w:pPr>
      <w:r>
        <w:rPr>
          <w:rFonts w:hint="eastAsia" w:ascii="宋体" w:hAnsi="宋体" w:eastAsia="宋体" w:cs="宋体"/>
        </w:rPr>
        <w:t>‌</w:t>
      </w:r>
      <w:r>
        <w:rPr>
          <w:rFonts w:hint="default" w:ascii="宋体" w:hAnsi="宋体" w:eastAsia="宋体" w:cs="宋体"/>
        </w:rPr>
        <w:t>扩展与治理保障</w:t>
      </w:r>
      <w:r>
        <w:rPr>
          <w:rFonts w:hint="eastAsia" w:ascii="宋体" w:hAnsi="宋体" w:eastAsia="宋体" w:cs="宋体"/>
        </w:rPr>
        <w:t>‌：开放插件/二次开发接口（如Java/Python），并配套数据质量校验、血缘追踪、行/列级权限及国密加密，满足合规（等保、GDPR、信创标准）要求。‌‌</w:t>
      </w:r>
    </w:p>
    <w:p w14:paraId="439AE849">
      <w:pPr>
        <w:pStyle w:val="12"/>
        <w:ind w:firstLine="480"/>
        <w:rPr>
          <w:rFonts w:hint="default" w:ascii="宋体" w:hAnsi="宋体" w:eastAsia="宋体" w:cs="宋体"/>
        </w:rPr>
      </w:pPr>
      <w:r>
        <w:rPr>
          <w:rFonts w:hint="eastAsia" w:ascii="宋体" w:hAnsi="宋体" w:eastAsia="宋体" w:cs="宋体"/>
          <w:lang w:val="en-US" w:eastAsia="zh-CN"/>
        </w:rPr>
        <w:t>通过本项目的</w:t>
      </w:r>
      <w:r>
        <w:rPr>
          <w:rFonts w:hint="default" w:ascii="宋体" w:hAnsi="宋体" w:eastAsia="宋体" w:cs="宋体"/>
        </w:rPr>
        <w:t>数据平台</w:t>
      </w:r>
      <w:r>
        <w:rPr>
          <w:rFonts w:hint="eastAsia" w:ascii="宋体" w:hAnsi="宋体" w:eastAsia="宋体" w:cs="宋体"/>
          <w:lang w:val="en-US" w:eastAsia="zh-CN"/>
        </w:rPr>
        <w:t>建设，能够</w:t>
      </w:r>
      <w:r>
        <w:rPr>
          <w:rFonts w:hint="default" w:ascii="宋体" w:hAnsi="宋体" w:eastAsia="宋体" w:cs="宋体"/>
        </w:rPr>
        <w:t>打破“系统烟囱”，</w:t>
      </w:r>
      <w:r>
        <w:rPr>
          <w:rFonts w:hint="eastAsia" w:ascii="宋体" w:hAnsi="宋体" w:eastAsia="宋体" w:cs="宋体"/>
          <w:lang w:val="en-US" w:eastAsia="zh-CN"/>
        </w:rPr>
        <w:t>告别</w:t>
      </w:r>
      <w:r>
        <w:rPr>
          <w:rFonts w:hint="default" w:ascii="宋体" w:hAnsi="宋体" w:eastAsia="宋体" w:cs="宋体"/>
        </w:rPr>
        <w:t>“</w:t>
      </w:r>
      <w:r>
        <w:rPr>
          <w:rFonts w:hint="eastAsia" w:ascii="宋体" w:hAnsi="宋体" w:eastAsia="宋体" w:cs="宋体"/>
          <w:lang w:val="en-US" w:eastAsia="zh-CN"/>
        </w:rPr>
        <w:t>数据孤岛</w:t>
      </w:r>
      <w:r>
        <w:rPr>
          <w:rFonts w:hint="default" w:ascii="宋体" w:hAnsi="宋体" w:eastAsia="宋体" w:cs="宋体"/>
        </w:rPr>
        <w:t>”</w:t>
      </w:r>
      <w:r>
        <w:rPr>
          <w:rFonts w:hint="eastAsia" w:ascii="宋体" w:hAnsi="宋体" w:eastAsia="宋体" w:cs="宋体"/>
          <w:lang w:val="en-US" w:eastAsia="zh-CN"/>
        </w:rPr>
        <w:t>,</w:t>
      </w:r>
      <w:r>
        <w:rPr>
          <w:rFonts w:hint="default" w:ascii="宋体" w:hAnsi="宋体" w:eastAsia="宋体" w:cs="宋体"/>
        </w:rPr>
        <w:t>支撑实时分析、智能决策与数字化转型；</w:t>
      </w:r>
      <w:r>
        <w:rPr>
          <w:rFonts w:hint="eastAsia" w:ascii="宋体" w:hAnsi="宋体" w:eastAsia="宋体" w:cs="宋体"/>
          <w:lang w:val="en-US" w:eastAsia="zh-CN"/>
        </w:rPr>
        <w:t>同时为整个系统的</w:t>
      </w:r>
      <w:r>
        <w:rPr>
          <w:rFonts w:hint="default" w:ascii="宋体" w:hAnsi="宋体" w:eastAsia="宋体" w:cs="宋体"/>
        </w:rPr>
        <w:t>‌协议覆盖度、国产化适配、低代码集成体验及安全合规</w:t>
      </w:r>
      <w:r>
        <w:rPr>
          <w:rFonts w:hint="eastAsia" w:ascii="宋体" w:hAnsi="宋体" w:eastAsia="宋体" w:cs="宋体"/>
          <w:lang w:val="en-US" w:eastAsia="zh-CN"/>
        </w:rPr>
        <w:t>提供</w:t>
      </w:r>
      <w:r>
        <w:rPr>
          <w:rFonts w:hint="default" w:ascii="宋体" w:hAnsi="宋体" w:eastAsia="宋体" w:cs="宋体"/>
        </w:rPr>
        <w:t>支持‌。‌‌</w:t>
      </w:r>
    </w:p>
    <w:p w14:paraId="72925A61">
      <w:pPr>
        <w:spacing w:after="120" w:line="360" w:lineRule="auto"/>
        <w:rPr>
          <w:rFonts w:hint="eastAsia" w:ascii="宋体" w:hAnsi="宋体" w:eastAsia="宋体" w:cs="宋体"/>
          <w:color w:val="1F2937"/>
        </w:rPr>
      </w:pPr>
    </w:p>
    <w:p w14:paraId="376B8D59">
      <w:pPr>
        <w:spacing w:after="120" w:line="360" w:lineRule="auto"/>
        <w:rPr>
          <w:rFonts w:hint="eastAsia" w:ascii="宋体" w:hAnsi="宋体" w:eastAsia="宋体" w:cs="宋体"/>
          <w:color w:val="1F2937"/>
        </w:rPr>
      </w:pPr>
    </w:p>
    <w:p w14:paraId="55C6F584">
      <w:pPr>
        <w:spacing w:after="120" w:line="360" w:lineRule="auto"/>
        <w:rPr>
          <w:rFonts w:hint="eastAsia" w:ascii="宋体" w:hAnsi="宋体" w:eastAsia="宋体" w:cs="宋体"/>
          <w:color w:val="1F2937"/>
        </w:rPr>
      </w:pPr>
    </w:p>
    <w:p w14:paraId="169EA23B">
      <w:pPr>
        <w:spacing w:after="120" w:line="360" w:lineRule="auto"/>
        <w:rPr>
          <w:rFonts w:hint="eastAsia" w:ascii="宋体" w:hAnsi="宋体" w:eastAsia="宋体" w:cs="宋体"/>
          <w:color w:val="1F2937"/>
        </w:rPr>
      </w:pPr>
    </w:p>
    <w:p w14:paraId="4A45FC4B">
      <w:pPr>
        <w:spacing w:after="120" w:line="360" w:lineRule="auto"/>
        <w:rPr>
          <w:rFonts w:hint="eastAsia" w:ascii="宋体" w:hAnsi="宋体" w:eastAsia="宋体" w:cs="宋体"/>
          <w:color w:val="1F2937"/>
        </w:rPr>
      </w:pPr>
    </w:p>
    <w:p w14:paraId="6AD77EB0">
      <w:pPr>
        <w:spacing w:after="120" w:line="360" w:lineRule="auto"/>
        <w:rPr>
          <w:rFonts w:hint="eastAsia" w:ascii="宋体" w:hAnsi="宋体" w:eastAsia="宋体" w:cs="宋体"/>
          <w:color w:val="1F2937"/>
        </w:rPr>
      </w:pPr>
    </w:p>
    <w:p w14:paraId="3E6DE749">
      <w:pPr>
        <w:spacing w:after="120" w:line="360" w:lineRule="auto"/>
        <w:rPr>
          <w:rFonts w:hint="eastAsia" w:ascii="宋体" w:hAnsi="宋体" w:eastAsia="宋体" w:cs="宋体"/>
          <w:color w:val="1F2937"/>
        </w:rPr>
      </w:pPr>
    </w:p>
    <w:p w14:paraId="4460F86D">
      <w:pPr>
        <w:spacing w:after="120" w:line="360" w:lineRule="auto"/>
        <w:rPr>
          <w:rFonts w:hint="eastAsia" w:ascii="宋体" w:hAnsi="宋体" w:eastAsia="宋体" w:cs="宋体"/>
          <w:color w:val="1F2937"/>
        </w:rPr>
      </w:pPr>
    </w:p>
    <w:p w14:paraId="6CB18356">
      <w:pPr>
        <w:spacing w:after="120" w:line="360" w:lineRule="auto"/>
        <w:rPr>
          <w:rFonts w:hint="eastAsia" w:ascii="宋体" w:hAnsi="宋体" w:eastAsia="宋体" w:cs="宋体"/>
          <w:color w:val="1F2937"/>
        </w:rPr>
      </w:pPr>
    </w:p>
    <w:p w14:paraId="58F7B5BC">
      <w:pPr>
        <w:spacing w:after="120" w:line="360" w:lineRule="auto"/>
        <w:rPr>
          <w:rFonts w:hint="eastAsia" w:ascii="宋体" w:hAnsi="宋体" w:eastAsia="宋体" w:cs="宋体"/>
          <w:color w:val="1F2937"/>
        </w:rPr>
      </w:pPr>
    </w:p>
    <w:p w14:paraId="5737247B">
      <w:pPr>
        <w:spacing w:after="120" w:line="360" w:lineRule="auto"/>
        <w:rPr>
          <w:rFonts w:hint="eastAsia" w:ascii="宋体" w:hAnsi="宋体" w:eastAsia="宋体" w:cs="宋体"/>
          <w:color w:val="1F2937"/>
        </w:rPr>
      </w:pPr>
    </w:p>
    <w:p w14:paraId="60C3A910">
      <w:pPr>
        <w:spacing w:after="120" w:line="360" w:lineRule="auto"/>
        <w:rPr>
          <w:rFonts w:hint="eastAsia" w:ascii="宋体" w:hAnsi="宋体" w:eastAsia="宋体" w:cs="宋体"/>
          <w:color w:val="1F2937"/>
        </w:rPr>
      </w:pPr>
    </w:p>
    <w:bookmarkEnd w:id="5"/>
    <w:p w14:paraId="24591CBD">
      <w:pPr>
        <w:pStyle w:val="3"/>
        <w:bidi w:val="0"/>
        <w:rPr>
          <w:rFonts w:hint="eastAsia"/>
          <w:lang w:val="en-US" w:eastAsia="zh-CN"/>
        </w:rPr>
      </w:pPr>
      <w:bookmarkStart w:id="6" w:name="_Toc14968"/>
      <w:r>
        <w:rPr>
          <w:rFonts w:hint="eastAsia"/>
          <w:lang w:val="en-US" w:eastAsia="zh-CN"/>
        </w:rPr>
        <w:t>11.2 系统设计与技术方案</w:t>
      </w:r>
    </w:p>
    <w:p w14:paraId="187E7E83">
      <w:pPr>
        <w:pStyle w:val="5"/>
        <w:bidi w:val="0"/>
        <w:rPr>
          <w:rFonts w:hint="eastAsia"/>
          <w:lang w:val="en-US" w:eastAsia="zh-CN"/>
        </w:rPr>
      </w:pPr>
      <w:r>
        <w:rPr>
          <w:rFonts w:hint="eastAsia"/>
          <w:lang w:val="en-US" w:eastAsia="zh-CN"/>
        </w:rPr>
        <w:t>11.2.1 架构设计目标与原则</w:t>
      </w:r>
    </w:p>
    <w:p w14:paraId="37151CB8">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本项目技术架构设计遵循以下原则：</w:t>
      </w:r>
    </w:p>
    <w:p w14:paraId="60B590C5">
      <w:pPr>
        <w:spacing w:after="70" w:line="330" w:lineRule="auto"/>
        <w:ind w:left="420" w:hanging="260"/>
        <w:rPr>
          <w:rFonts w:hint="eastAsia" w:ascii="宋体" w:hAnsi="宋体" w:eastAsia="宋体" w:cs="宋体"/>
        </w:rPr>
      </w:pPr>
      <w:r>
        <w:rPr>
          <w:rFonts w:hint="eastAsia" w:ascii="宋体" w:hAnsi="宋体" w:eastAsia="宋体" w:cs="宋体"/>
          <w:color w:val="1F2937"/>
        </w:rPr>
        <w:t>1. 业务解耦原则：按业务域划分模块，降低单点耦合和后续扩展风险。</w:t>
      </w:r>
    </w:p>
    <w:p w14:paraId="572EC742">
      <w:pPr>
        <w:spacing w:after="70" w:line="330" w:lineRule="auto"/>
        <w:ind w:left="420" w:hanging="260"/>
        <w:rPr>
          <w:rFonts w:hint="eastAsia" w:ascii="宋体" w:hAnsi="宋体" w:eastAsia="宋体" w:cs="宋体"/>
        </w:rPr>
      </w:pPr>
      <w:r>
        <w:rPr>
          <w:rFonts w:hint="eastAsia" w:ascii="宋体" w:hAnsi="宋体" w:eastAsia="宋体" w:cs="宋体"/>
          <w:color w:val="1F2937"/>
        </w:rPr>
        <w:t>2. 统一底座原则：统一登录、统一权限、统一日志、统一消息、统一文件存储框架。</w:t>
      </w:r>
    </w:p>
    <w:p w14:paraId="72AFA5DC">
      <w:pPr>
        <w:spacing w:after="70" w:line="330" w:lineRule="auto"/>
        <w:ind w:left="420" w:hanging="260"/>
        <w:rPr>
          <w:rFonts w:hint="eastAsia" w:ascii="宋体" w:hAnsi="宋体" w:eastAsia="宋体" w:cs="宋体"/>
        </w:rPr>
      </w:pPr>
      <w:r>
        <w:rPr>
          <w:rFonts w:hint="eastAsia" w:ascii="宋体" w:hAnsi="宋体" w:eastAsia="宋体" w:cs="宋体"/>
          <w:color w:val="1F2937"/>
        </w:rPr>
        <w:t>3. 逻辑隔离原则：原材料模块和设备模块在同一平台下逻辑隔离，避免数据串用。</w:t>
      </w:r>
    </w:p>
    <w:p w14:paraId="62E41E50">
      <w:pPr>
        <w:spacing w:after="70" w:line="330" w:lineRule="auto"/>
        <w:ind w:left="420" w:hanging="260"/>
        <w:rPr>
          <w:rFonts w:hint="eastAsia" w:ascii="宋体" w:hAnsi="宋体" w:eastAsia="宋体" w:cs="宋体"/>
        </w:rPr>
      </w:pPr>
      <w:r>
        <w:rPr>
          <w:rFonts w:hint="eastAsia" w:ascii="宋体" w:hAnsi="宋体" w:eastAsia="宋体" w:cs="宋体"/>
          <w:color w:val="1F2937"/>
        </w:rPr>
        <w:t>4. 安全内建原则：认证、授权、加密、日志、备份恢复与漏洞整改能力前置设计，不在上线前临时补丁式处理。</w:t>
      </w:r>
    </w:p>
    <w:p w14:paraId="794777B8">
      <w:pPr>
        <w:spacing w:after="70" w:line="330" w:lineRule="auto"/>
        <w:ind w:left="420" w:hanging="260"/>
        <w:rPr>
          <w:rFonts w:hint="eastAsia" w:ascii="宋体" w:hAnsi="宋体" w:eastAsia="宋体" w:cs="宋体"/>
        </w:rPr>
      </w:pPr>
      <w:r>
        <w:rPr>
          <w:rFonts w:hint="eastAsia" w:ascii="宋体" w:hAnsi="宋体" w:eastAsia="宋体" w:cs="宋体"/>
          <w:color w:val="1F2937"/>
        </w:rPr>
        <w:t>5. 国产化适配原则：尽量采用成熟、稳定、自主可控的技术路线和运行环境。</w:t>
      </w:r>
    </w:p>
    <w:p w14:paraId="2ED8C9CE">
      <w:pPr>
        <w:spacing w:after="70" w:line="330" w:lineRule="auto"/>
        <w:ind w:left="420" w:hanging="260"/>
        <w:rPr>
          <w:rFonts w:hint="eastAsia" w:ascii="宋体" w:hAnsi="宋体" w:eastAsia="宋体" w:cs="宋体"/>
        </w:rPr>
      </w:pPr>
      <w:r>
        <w:rPr>
          <w:rFonts w:hint="eastAsia" w:ascii="宋体" w:hAnsi="宋体" w:eastAsia="宋体" w:cs="宋体"/>
          <w:color w:val="1F2937"/>
        </w:rPr>
        <w:t>6. 长期可运维原则：充分考虑试运行、验收、运维、知识转移和后续扩展。</w:t>
      </w:r>
    </w:p>
    <w:p w14:paraId="65194DDA">
      <w:pPr>
        <w:pStyle w:val="5"/>
        <w:bidi w:val="0"/>
        <w:rPr>
          <w:rFonts w:hint="eastAsia"/>
          <w:lang w:val="en-US" w:eastAsia="zh-CN"/>
        </w:rPr>
      </w:pPr>
      <w:r>
        <w:rPr>
          <w:rFonts w:hint="eastAsia"/>
          <w:lang w:val="en-US" w:eastAsia="zh-CN"/>
        </w:rPr>
        <w:t>11.2.2 总体技术架构说明</w:t>
      </w:r>
    </w:p>
    <w:p w14:paraId="1D30933C">
      <w:pPr>
        <w:spacing w:before="180" w:after="80"/>
        <w:jc w:val="center"/>
        <w:rPr>
          <w:rFonts w:hint="eastAsia" w:ascii="宋体" w:hAnsi="宋体" w:eastAsia="宋体" w:cs="宋体"/>
        </w:rPr>
      </w:pPr>
      <w:r>
        <w:rPr>
          <w:rFonts w:hint="eastAsia" w:ascii="宋体" w:hAnsi="宋体" w:eastAsia="宋体" w:cs="宋体"/>
        </w:rPr>
        <w:drawing>
          <wp:inline distT="0" distB="0" distL="0" distR="0">
            <wp:extent cx="5334000" cy="4305300"/>
            <wp:effectExtent l="0" t="0" r="952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2"/>
                    <a:srcRect/>
                    <a:stretch>
                      <a:fillRect/>
                    </a:stretch>
                  </pic:blipFill>
                  <pic:spPr>
                    <a:xfrm>
                      <a:off x="0" y="0"/>
                      <a:ext cx="5334000" cy="4305300"/>
                    </a:xfrm>
                    <a:prstGeom prst="rect">
                      <a:avLst/>
                    </a:prstGeom>
                  </pic:spPr>
                </pic:pic>
              </a:graphicData>
            </a:graphic>
          </wp:inline>
        </w:drawing>
      </w:r>
    </w:p>
    <w:p w14:paraId="2E49DAA5">
      <w:pPr>
        <w:pStyle w:val="11"/>
        <w:spacing w:after="120" w:line="360" w:lineRule="auto"/>
        <w:jc w:val="center"/>
        <w:rPr>
          <w:rFonts w:hint="eastAsia" w:ascii="宋体" w:hAnsi="宋体" w:eastAsia="宋体" w:cs="宋体"/>
        </w:rPr>
      </w:pPr>
      <w:r>
        <w:rPr>
          <w:rFonts w:hint="eastAsia" w:ascii="宋体" w:hAnsi="宋体" w:eastAsia="宋体" w:cs="宋体"/>
          <w:color w:val="64748B"/>
          <w:sz w:val="18"/>
          <w:szCs w:val="18"/>
        </w:rPr>
        <w:t>图</w:t>
      </w:r>
      <w:r>
        <w:rPr>
          <w:rFonts w:hint="eastAsia" w:ascii="宋体" w:hAnsi="宋体" w:eastAsia="宋体" w:cs="宋体"/>
          <w:color w:val="64748B"/>
          <w:sz w:val="18"/>
          <w:szCs w:val="18"/>
          <w:lang w:val="en-US" w:eastAsia="zh-CN"/>
        </w:rPr>
        <w:t>11-2-2</w:t>
      </w:r>
      <w:r>
        <w:rPr>
          <w:rFonts w:hint="eastAsia" w:ascii="宋体" w:hAnsi="宋体" w:eastAsia="宋体" w:cs="宋体"/>
          <w:color w:val="64748B"/>
          <w:sz w:val="18"/>
          <w:szCs w:val="18"/>
        </w:rPr>
        <w:t>-1 系统总体架构图</w:t>
      </w:r>
    </w:p>
    <w:p w14:paraId="4F0595A5">
      <w:pPr>
        <w:pStyle w:val="6"/>
        <w:bidi w:val="0"/>
        <w:rPr>
          <w:rFonts w:hint="eastAsia"/>
          <w:b w:val="0"/>
          <w:bCs w:val="0"/>
          <w:lang w:val="en-US" w:eastAsia="zh-CN"/>
        </w:rPr>
      </w:pPr>
      <w:r>
        <w:rPr>
          <w:rFonts w:hint="eastAsia"/>
          <w:b w:val="0"/>
          <w:bCs w:val="0"/>
          <w:lang w:val="en-US" w:eastAsia="zh-CN"/>
        </w:rPr>
        <w:t>11.2.2.1 架构说明</w:t>
      </w:r>
    </w:p>
    <w:p w14:paraId="0E32543A">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本系统</w:t>
      </w:r>
      <w:r>
        <w:rPr>
          <w:rFonts w:hint="eastAsia" w:cs="宋体"/>
          <w:color w:val="1F2937"/>
          <w:lang w:val="en-US" w:eastAsia="zh-CN"/>
        </w:rPr>
        <w:t>采用分布式微服务</w:t>
      </w:r>
      <w:r>
        <w:rPr>
          <w:rFonts w:hint="eastAsia" w:ascii="宋体" w:hAnsi="宋体" w:eastAsia="宋体" w:cs="宋体"/>
          <w:color w:val="1F2937"/>
        </w:rPr>
        <w:t>架构</w:t>
      </w:r>
      <w:r>
        <w:rPr>
          <w:rFonts w:hint="eastAsia" w:cs="宋体"/>
          <w:color w:val="1F2937"/>
          <w:lang w:eastAsia="zh-CN"/>
        </w:rPr>
        <w:t>，</w:t>
      </w:r>
      <w:r>
        <w:rPr>
          <w:rFonts w:ascii="宋体" w:hAnsi="宋体" w:eastAsia="宋体" w:cs="宋体"/>
          <w:sz w:val="24"/>
          <w:szCs w:val="24"/>
        </w:rPr>
        <w:t>整体采用分层、模块化设计，以微服务为核心，适配多终端接入，并通过大数据平台与存储层实现数据闭环。</w:t>
      </w:r>
      <w:r>
        <w:rPr>
          <w:rFonts w:hint="eastAsia" w:ascii="宋体" w:hAnsi="宋体" w:eastAsia="宋体" w:cs="宋体"/>
          <w:color w:val="1F2937"/>
        </w:rPr>
        <w:t>由客户端、服务端、大数据平台和中间件支撑区构成，并体现了统一网关、微服务拆分、统计分析、风险预警、关系型数据库与文件存储协同的设计思路。该架构有以下直接价值：</w:t>
      </w:r>
    </w:p>
    <w:p w14:paraId="41B94D39">
      <w:pPr>
        <w:numPr>
          <w:ilvl w:val="0"/>
          <w:numId w:val="10"/>
        </w:numPr>
        <w:spacing w:after="70" w:line="330" w:lineRule="auto"/>
        <w:ind w:left="420" w:hanging="260"/>
        <w:rPr>
          <w:rFonts w:hint="eastAsia" w:ascii="宋体" w:hAnsi="宋体" w:eastAsia="宋体" w:cs="宋体"/>
          <w:color w:val="1F2937"/>
        </w:rPr>
      </w:pPr>
      <w:r>
        <w:rPr>
          <w:rFonts w:hint="eastAsia" w:ascii="宋体" w:hAnsi="宋体" w:eastAsia="宋体" w:cs="宋体"/>
          <w:color w:val="1F2937"/>
        </w:rPr>
        <w:t>微服务解耦：按业务域拆分服务，降低耦合度，便于独立开发、部署与扩容。</w:t>
      </w:r>
    </w:p>
    <w:p w14:paraId="607E455F">
      <w:pPr>
        <w:numPr>
          <w:ilvl w:val="0"/>
          <w:numId w:val="10"/>
        </w:numPr>
        <w:spacing w:after="70" w:line="330" w:lineRule="auto"/>
        <w:ind w:left="420" w:hanging="260"/>
        <w:rPr>
          <w:rFonts w:hint="eastAsia" w:ascii="宋体" w:hAnsi="宋体" w:eastAsia="宋体" w:cs="宋体"/>
          <w:color w:val="1F2937"/>
        </w:rPr>
      </w:pPr>
      <w:r>
        <w:rPr>
          <w:rFonts w:hint="eastAsia" w:ascii="宋体" w:hAnsi="宋体" w:eastAsia="宋体" w:cs="宋体"/>
          <w:color w:val="1F2937"/>
        </w:rPr>
        <w:t>高可用：单个服务故障不影响整体，可快速扩容（如巡查高峰期扩容巡查管理服务）。</w:t>
      </w:r>
    </w:p>
    <w:p w14:paraId="349A7747">
      <w:pPr>
        <w:numPr>
          <w:ilvl w:val="0"/>
          <w:numId w:val="10"/>
        </w:numPr>
        <w:spacing w:after="70" w:line="330" w:lineRule="auto"/>
        <w:ind w:left="420" w:hanging="260"/>
        <w:rPr>
          <w:rFonts w:hint="eastAsia" w:ascii="宋体" w:hAnsi="宋体" w:eastAsia="宋体" w:cs="宋体"/>
          <w:color w:val="1F2937"/>
        </w:rPr>
      </w:pPr>
      <w:r>
        <w:rPr>
          <w:rFonts w:hint="eastAsia" w:ascii="宋体" w:hAnsi="宋体" w:eastAsia="宋体" w:cs="宋体"/>
          <w:color w:val="1F2937"/>
        </w:rPr>
        <w:t>易迭代：修改某一业务逻辑（如质量问题处理流程），只需要更新对应服务，不影响其他模块</w:t>
      </w:r>
      <w:r>
        <w:rPr>
          <w:rFonts w:hint="eastAsia" w:cs="宋体"/>
          <w:color w:val="1F2937"/>
          <w:lang w:eastAsia="zh-CN"/>
        </w:rPr>
        <w:t>。</w:t>
      </w:r>
    </w:p>
    <w:p w14:paraId="6F7F0A2C">
      <w:pPr>
        <w:numPr>
          <w:ilvl w:val="0"/>
          <w:numId w:val="10"/>
        </w:numPr>
        <w:spacing w:after="70" w:line="330" w:lineRule="auto"/>
        <w:ind w:left="420" w:hanging="260"/>
        <w:rPr>
          <w:rFonts w:hint="eastAsia" w:ascii="宋体" w:hAnsi="宋体" w:eastAsia="宋体" w:cs="宋体"/>
          <w:color w:val="1F2937"/>
        </w:rPr>
      </w:pPr>
      <w:r>
        <w:rPr>
          <w:rFonts w:hint="eastAsia" w:ascii="宋体" w:hAnsi="宋体" w:eastAsia="宋体" w:cs="宋体"/>
          <w:color w:val="1F2937"/>
        </w:rPr>
        <w:t>多终端适配：通过 API 网关统一接入，支持 Web、移动端、第三方系统，覆盖不同用户场景。</w:t>
      </w:r>
    </w:p>
    <w:p w14:paraId="77E2A3E9">
      <w:pPr>
        <w:numPr>
          <w:ilvl w:val="0"/>
          <w:numId w:val="10"/>
        </w:numPr>
        <w:spacing w:after="70" w:line="330" w:lineRule="auto"/>
        <w:ind w:left="420" w:hanging="260"/>
        <w:rPr>
          <w:rFonts w:hint="eastAsia" w:ascii="宋体" w:hAnsi="宋体" w:eastAsia="宋体" w:cs="宋体"/>
          <w:color w:val="1F2937"/>
        </w:rPr>
      </w:pPr>
      <w:r>
        <w:rPr>
          <w:rFonts w:hint="eastAsia" w:ascii="宋体" w:hAnsi="宋体" w:eastAsia="宋体" w:cs="宋体"/>
          <w:color w:val="1F2937"/>
        </w:rPr>
        <w:t>数据闭环：业务数据沉淀后，通过大数据平台实现分析预警，形成 “业务 - 数据 - 决策” 的闭环。</w:t>
      </w:r>
    </w:p>
    <w:p w14:paraId="3FA1350A">
      <w:pPr>
        <w:numPr>
          <w:ilvl w:val="0"/>
          <w:numId w:val="10"/>
        </w:numPr>
        <w:spacing w:after="70" w:line="330" w:lineRule="auto"/>
        <w:ind w:left="420" w:hanging="260"/>
        <w:rPr>
          <w:rFonts w:hint="eastAsia" w:ascii="宋体" w:hAnsi="宋体" w:eastAsia="宋体" w:cs="宋体"/>
          <w:color w:val="1F2937"/>
        </w:rPr>
      </w:pPr>
      <w:r>
        <w:rPr>
          <w:rFonts w:hint="eastAsia" w:ascii="宋体" w:hAnsi="宋体" w:eastAsia="宋体" w:cs="宋体"/>
          <w:color w:val="1F2937"/>
        </w:rPr>
        <w:t>扩展性强：后续新增业务（如设备监造、材料检测），只需新增独立微服务，无需修改现有代码。</w:t>
      </w:r>
    </w:p>
    <w:p w14:paraId="2729ED1C">
      <w:pPr>
        <w:spacing w:after="70" w:line="330" w:lineRule="auto"/>
        <w:ind w:left="420" w:hanging="260"/>
        <w:rPr>
          <w:rFonts w:hint="eastAsia" w:ascii="宋体" w:hAnsi="宋体" w:eastAsia="宋体" w:cs="宋体"/>
          <w:color w:val="1F2937"/>
        </w:rPr>
      </w:pPr>
    </w:p>
    <w:p w14:paraId="03E24159">
      <w:pPr>
        <w:pStyle w:val="6"/>
        <w:bidi w:val="0"/>
        <w:rPr>
          <w:rFonts w:hint="eastAsia"/>
          <w:b w:val="0"/>
          <w:bCs w:val="0"/>
          <w:lang w:val="en-US" w:eastAsia="zh-CN"/>
        </w:rPr>
      </w:pPr>
      <w:r>
        <w:rPr>
          <w:rFonts w:hint="eastAsia"/>
          <w:b w:val="0"/>
          <w:bCs w:val="0"/>
          <w:lang w:val="en-US" w:eastAsia="zh-CN"/>
        </w:rPr>
        <w:t>11.2.2.2 本方案中的架构要点归纳</w:t>
      </w:r>
    </w:p>
    <w:p w14:paraId="56C728F9">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本方案在架构设计部分明确提到以下要点：</w:t>
      </w:r>
    </w:p>
    <w:p w14:paraId="2C4EF068">
      <w:pPr>
        <w:spacing w:after="70" w:line="330" w:lineRule="auto"/>
        <w:ind w:left="420" w:hanging="260"/>
        <w:rPr>
          <w:rFonts w:hint="eastAsia" w:ascii="宋体" w:hAnsi="宋体" w:eastAsia="宋体" w:cs="宋体"/>
        </w:rPr>
      </w:pPr>
      <w:r>
        <w:rPr>
          <w:rFonts w:hint="eastAsia" w:ascii="宋体" w:hAnsi="宋体" w:eastAsia="宋体" w:cs="宋体"/>
          <w:color w:val="1F2937"/>
        </w:rPr>
        <w:t>1. 以采购包/合同包为业务组织单元，将任务分配、监造策划、质量计划、见证执行、问题处理、验收放行和完工总结串联起来。</w:t>
      </w:r>
    </w:p>
    <w:p w14:paraId="211DC8D6">
      <w:pPr>
        <w:spacing w:after="70" w:line="330" w:lineRule="auto"/>
        <w:ind w:left="420" w:hanging="260"/>
        <w:rPr>
          <w:rFonts w:hint="eastAsia" w:ascii="宋体" w:hAnsi="宋体" w:eastAsia="宋体" w:cs="宋体"/>
        </w:rPr>
      </w:pPr>
      <w:r>
        <w:rPr>
          <w:rFonts w:hint="eastAsia" w:ascii="宋体" w:hAnsi="宋体" w:eastAsia="宋体" w:cs="宋体"/>
          <w:color w:val="1F2937"/>
        </w:rPr>
        <w:t>2. 以采购物项编号和产品二维码为追溯主线，将质量计划、见证点、监督记录、问题单据、验收记录、放行资料和影像附件建立关联。</w:t>
      </w:r>
    </w:p>
    <w:p w14:paraId="5D86F7CC">
      <w:pPr>
        <w:spacing w:after="70" w:line="330" w:lineRule="auto"/>
        <w:ind w:left="420" w:hanging="260"/>
        <w:rPr>
          <w:rFonts w:hint="eastAsia" w:ascii="宋体" w:hAnsi="宋体" w:eastAsia="宋体" w:cs="宋体"/>
        </w:rPr>
      </w:pPr>
      <w:r>
        <w:rPr>
          <w:rFonts w:hint="eastAsia" w:ascii="宋体" w:hAnsi="宋体" w:eastAsia="宋体" w:cs="宋体"/>
          <w:color w:val="1F2937"/>
        </w:rPr>
        <w:t>3. 以流程审批和日志留痕为管控手段，确保关键业务节点可审批、可追踪、可回溯。</w:t>
      </w:r>
    </w:p>
    <w:p w14:paraId="61158026">
      <w:pPr>
        <w:spacing w:after="70" w:line="330" w:lineRule="auto"/>
        <w:ind w:left="420" w:hanging="260"/>
        <w:rPr>
          <w:rFonts w:hint="eastAsia" w:ascii="宋体" w:hAnsi="宋体" w:eastAsia="宋体" w:cs="宋体"/>
        </w:rPr>
      </w:pPr>
      <w:r>
        <w:rPr>
          <w:rFonts w:hint="eastAsia" w:ascii="宋体" w:hAnsi="宋体" w:eastAsia="宋体" w:cs="宋体"/>
          <w:color w:val="1F2937"/>
        </w:rPr>
        <w:t>4. 以达梦 V8 数据库和国产化运行环境为技术底座，满足自主可控、数据安全和后续扩展要求。</w:t>
      </w:r>
    </w:p>
    <w:p w14:paraId="512AC7A2">
      <w:pPr>
        <w:spacing w:after="70" w:line="330" w:lineRule="auto"/>
        <w:ind w:left="420" w:hanging="260"/>
        <w:rPr>
          <w:rFonts w:hint="eastAsia" w:ascii="宋体" w:hAnsi="宋体" w:eastAsia="宋体" w:cs="宋体"/>
        </w:rPr>
      </w:pPr>
      <w:r>
        <w:rPr>
          <w:rFonts w:hint="eastAsia" w:ascii="宋体" w:hAnsi="宋体" w:eastAsia="宋体" w:cs="宋体"/>
          <w:color w:val="1F2937"/>
        </w:rPr>
        <w:t>5. 以 PC 端和移动端协同为使用形态，兼顾管理端集中管控和现场端快速填报。</w:t>
      </w:r>
    </w:p>
    <w:p w14:paraId="6EC4043F">
      <w:pPr>
        <w:pStyle w:val="5"/>
        <w:bidi w:val="0"/>
        <w:rPr>
          <w:rFonts w:hint="eastAsia"/>
          <w:lang w:val="en-US" w:eastAsia="zh-CN"/>
        </w:rPr>
      </w:pPr>
      <w:r>
        <w:rPr>
          <w:rFonts w:hint="eastAsia"/>
          <w:lang w:val="en-US" w:eastAsia="zh-CN"/>
        </w:rPr>
        <w:t>11.2.3 分层分域架构设计</w:t>
      </w:r>
    </w:p>
    <w:p w14:paraId="5532D344">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.3.1 分层架构说明</w:t>
      </w:r>
    </w:p>
    <w:p w14:paraId="688012D4">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结合本方案的表 1，本系统总体上可分为以下六层：</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4"/>
        <w:gridCol w:w="3104"/>
        <w:gridCol w:w="3104"/>
      </w:tblGrid>
      <w:tr w14:paraId="38A9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2104A90">
            <w:pPr>
              <w:spacing w:after="0" w:line="300" w:lineRule="auto"/>
              <w:rPr>
                <w:rFonts w:hint="eastAsia" w:ascii="宋体" w:hAnsi="宋体" w:eastAsia="宋体" w:cs="宋体"/>
              </w:rPr>
            </w:pPr>
            <w:r>
              <w:rPr>
                <w:rFonts w:hint="eastAsia" w:ascii="宋体" w:hAnsi="宋体" w:eastAsia="宋体" w:cs="宋体"/>
                <w:b/>
                <w:bCs/>
                <w:color w:val="172033"/>
                <w:sz w:val="18"/>
                <w:szCs w:val="18"/>
              </w:rPr>
              <w:t>架构层级</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DA6EF92">
            <w:pPr>
              <w:spacing w:after="0" w:line="300" w:lineRule="auto"/>
              <w:rPr>
                <w:rFonts w:hint="eastAsia" w:ascii="宋体" w:hAnsi="宋体" w:eastAsia="宋体" w:cs="宋体"/>
              </w:rPr>
            </w:pPr>
            <w:r>
              <w:rPr>
                <w:rFonts w:hint="eastAsia" w:ascii="宋体" w:hAnsi="宋体" w:eastAsia="宋体" w:cs="宋体"/>
                <w:b/>
                <w:bCs/>
                <w:color w:val="172033"/>
                <w:sz w:val="18"/>
                <w:szCs w:val="18"/>
              </w:rPr>
              <w:t>组成内容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30DE9DE">
            <w:pPr>
              <w:spacing w:after="0" w:line="300" w:lineRule="auto"/>
              <w:rPr>
                <w:rFonts w:hint="eastAsia" w:ascii="宋体" w:hAnsi="宋体" w:eastAsia="宋体" w:cs="宋体"/>
              </w:rPr>
            </w:pPr>
            <w:r>
              <w:rPr>
                <w:rFonts w:hint="eastAsia" w:ascii="宋体" w:hAnsi="宋体" w:eastAsia="宋体" w:cs="宋体"/>
                <w:b/>
                <w:bCs/>
                <w:color w:val="172033"/>
                <w:sz w:val="18"/>
                <w:szCs w:val="18"/>
              </w:rPr>
              <w:t>设计说明</w:t>
            </w:r>
          </w:p>
        </w:tc>
      </w:tr>
      <w:tr w14:paraId="0944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212D9D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访问层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B9AFBB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PC 浏览器、移动端、供应商协同入口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8F6458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兼顾管理使用、现场填报和外部协同</w:t>
            </w:r>
          </w:p>
        </w:tc>
      </w:tr>
      <w:tr w14:paraId="5926E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4F37B5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门户与协同层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51C76E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统一登录、待办中心、消息提醒、流程审批、文件签批</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F5142A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避免多入口反复切换</w:t>
            </w:r>
          </w:p>
        </w:tc>
      </w:tr>
      <w:tr w14:paraId="492B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0EE87F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业务应用层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CAEAC9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质量管理、过程监督执行、问题处理、巡查、任务分配、策划、供方文件审核、监造记录等</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0A029D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覆盖监造全过程业务</w:t>
            </w:r>
          </w:p>
        </w:tc>
      </w:tr>
      <w:tr w14:paraId="3CBC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304953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数据支撑层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75D166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数据统计、质量趋势分析、可视化报表、风险预警</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20DC1E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将业务数据转为管理数据</w:t>
            </w:r>
          </w:p>
        </w:tc>
      </w:tr>
      <w:tr w14:paraId="72F6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8FEDA8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集成接口层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655F5C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与第三方系统、二维码、图文识别、视频、消息等能力对接</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46635C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服务系统联通与能力扩展</w:t>
            </w:r>
          </w:p>
        </w:tc>
      </w:tr>
      <w:tr w14:paraId="1777C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BC413C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安全运维层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E31B4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身份认证、权限控制、日志审计、备份恢复、监控巡检</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F1F734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保障安全与可运维性</w:t>
            </w:r>
          </w:p>
        </w:tc>
      </w:tr>
    </w:tbl>
    <w:p w14:paraId="726D94AF">
      <w:pPr>
        <w:pStyle w:val="7"/>
        <w:bidi w:val="0"/>
        <w:rPr>
          <w:rFonts w:hint="eastAsia" w:ascii="宋体" w:hAnsi="宋体" w:eastAsia="宋体" w:cs="宋体"/>
          <w:b w:val="0"/>
          <w:bCs/>
          <w:lang w:val="en-US" w:eastAsia="zh-CN"/>
        </w:rPr>
      </w:pPr>
      <w:r>
        <w:rPr>
          <w:rFonts w:hint="eastAsia" w:cs="宋体"/>
          <w:b w:val="0"/>
          <w:bCs/>
          <w:lang w:val="en-US" w:eastAsia="zh-CN"/>
        </w:rPr>
        <w:t>11.2</w:t>
      </w:r>
      <w:r>
        <w:rPr>
          <w:rFonts w:hint="eastAsia" w:ascii="宋体" w:hAnsi="宋体" w:eastAsia="宋体" w:cs="宋体"/>
          <w:b w:val="0"/>
          <w:bCs/>
          <w:lang w:val="en-US" w:eastAsia="zh-CN"/>
        </w:rPr>
        <w:t>.3.2 分域架构说明</w:t>
      </w:r>
    </w:p>
    <w:p w14:paraId="7F820E9F">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为了避免业务模块过度耦合，本方案至少按以下业务域组织：</w:t>
      </w:r>
    </w:p>
    <w:p w14:paraId="03A1509B">
      <w:pPr>
        <w:spacing w:after="70" w:line="330" w:lineRule="auto"/>
        <w:ind w:left="420" w:hanging="260"/>
        <w:rPr>
          <w:rFonts w:hint="eastAsia" w:ascii="宋体" w:hAnsi="宋体" w:eastAsia="宋体" w:cs="宋体"/>
        </w:rPr>
      </w:pPr>
      <w:r>
        <w:rPr>
          <w:rFonts w:hint="eastAsia" w:ascii="宋体" w:hAnsi="宋体" w:eastAsia="宋体" w:cs="宋体"/>
          <w:color w:val="1F2937"/>
        </w:rPr>
        <w:t>1. 标准与文档域</w:t>
      </w:r>
    </w:p>
    <w:p w14:paraId="40802843">
      <w:pPr>
        <w:spacing w:after="70" w:line="330" w:lineRule="auto"/>
        <w:ind w:left="420" w:hanging="260"/>
        <w:rPr>
          <w:rFonts w:hint="eastAsia" w:ascii="宋体" w:hAnsi="宋体" w:eastAsia="宋体" w:cs="宋体"/>
        </w:rPr>
      </w:pPr>
      <w:r>
        <w:rPr>
          <w:rFonts w:hint="eastAsia" w:ascii="宋体" w:hAnsi="宋体" w:eastAsia="宋体" w:cs="宋体"/>
          <w:color w:val="1F2937"/>
        </w:rPr>
        <w:t>2. 任务与策划域</w:t>
      </w:r>
    </w:p>
    <w:p w14:paraId="756330A7">
      <w:pPr>
        <w:spacing w:after="70" w:line="330" w:lineRule="auto"/>
        <w:ind w:left="420" w:hanging="260"/>
        <w:rPr>
          <w:rFonts w:hint="eastAsia" w:ascii="宋体" w:hAnsi="宋体" w:eastAsia="宋体" w:cs="宋体"/>
        </w:rPr>
      </w:pPr>
      <w:r>
        <w:rPr>
          <w:rFonts w:hint="eastAsia" w:ascii="宋体" w:hAnsi="宋体" w:eastAsia="宋体" w:cs="宋体"/>
          <w:color w:val="1F2937"/>
        </w:rPr>
        <w:t>3. 质量计划与见证域</w:t>
      </w:r>
    </w:p>
    <w:p w14:paraId="628D538D">
      <w:pPr>
        <w:spacing w:after="70" w:line="330" w:lineRule="auto"/>
        <w:ind w:left="420" w:hanging="260"/>
        <w:rPr>
          <w:rFonts w:hint="eastAsia" w:ascii="宋体" w:hAnsi="宋体" w:eastAsia="宋体" w:cs="宋体"/>
        </w:rPr>
      </w:pPr>
      <w:r>
        <w:rPr>
          <w:rFonts w:hint="eastAsia" w:ascii="宋体" w:hAnsi="宋体" w:eastAsia="宋体" w:cs="宋体"/>
          <w:color w:val="1F2937"/>
        </w:rPr>
        <w:t>4. 问题与整改域</w:t>
      </w:r>
    </w:p>
    <w:p w14:paraId="0D8F2211">
      <w:pPr>
        <w:spacing w:after="70" w:line="330" w:lineRule="auto"/>
        <w:ind w:left="420" w:hanging="260"/>
        <w:rPr>
          <w:rFonts w:hint="eastAsia" w:ascii="宋体" w:hAnsi="宋体" w:eastAsia="宋体" w:cs="宋体"/>
        </w:rPr>
      </w:pPr>
      <w:r>
        <w:rPr>
          <w:rFonts w:hint="eastAsia" w:ascii="宋体" w:hAnsi="宋体" w:eastAsia="宋体" w:cs="宋体"/>
          <w:color w:val="1F2937"/>
        </w:rPr>
        <w:t>5. 验收与放行域</w:t>
      </w:r>
    </w:p>
    <w:p w14:paraId="5E147130">
      <w:pPr>
        <w:spacing w:after="70" w:line="330" w:lineRule="auto"/>
        <w:ind w:left="420" w:hanging="260"/>
        <w:rPr>
          <w:rFonts w:hint="eastAsia" w:ascii="宋体" w:hAnsi="宋体" w:eastAsia="宋体" w:cs="宋体"/>
        </w:rPr>
      </w:pPr>
      <w:r>
        <w:rPr>
          <w:rFonts w:hint="eastAsia" w:ascii="宋体" w:hAnsi="宋体" w:eastAsia="宋体" w:cs="宋体"/>
          <w:color w:val="1F2937"/>
        </w:rPr>
        <w:t>6. 追溯与统计域</w:t>
      </w:r>
    </w:p>
    <w:p w14:paraId="365C8777">
      <w:pPr>
        <w:spacing w:after="70" w:line="330" w:lineRule="auto"/>
        <w:ind w:left="420" w:hanging="260"/>
        <w:rPr>
          <w:rFonts w:hint="eastAsia" w:ascii="宋体" w:hAnsi="宋体" w:eastAsia="宋体" w:cs="宋体"/>
        </w:rPr>
      </w:pPr>
      <w:r>
        <w:rPr>
          <w:rFonts w:hint="eastAsia" w:ascii="宋体" w:hAnsi="宋体" w:eastAsia="宋体" w:cs="宋体"/>
          <w:color w:val="1F2937"/>
        </w:rPr>
        <w:t>7. 培训与知识域</w:t>
      </w:r>
    </w:p>
    <w:p w14:paraId="1377FFBA">
      <w:pPr>
        <w:spacing w:after="70" w:line="330" w:lineRule="auto"/>
        <w:ind w:left="420" w:hanging="260"/>
        <w:rPr>
          <w:rFonts w:hint="eastAsia" w:ascii="宋体" w:hAnsi="宋体" w:eastAsia="宋体" w:cs="宋体"/>
        </w:rPr>
      </w:pPr>
      <w:r>
        <w:rPr>
          <w:rFonts w:hint="eastAsia" w:ascii="宋体" w:hAnsi="宋体" w:eastAsia="宋体" w:cs="宋体"/>
          <w:color w:val="1F2937"/>
        </w:rPr>
        <w:t>8. 系统管理与运维域</w:t>
      </w:r>
    </w:p>
    <w:p w14:paraId="20CD36C3">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这样的划分好处是：</w:t>
      </w:r>
    </w:p>
    <w:p w14:paraId="2BB6A648">
      <w:pPr>
        <w:spacing w:after="70" w:line="330" w:lineRule="auto"/>
        <w:ind w:left="420" w:hanging="260"/>
        <w:rPr>
          <w:rFonts w:hint="eastAsia" w:ascii="宋体" w:hAnsi="宋体" w:eastAsia="宋体" w:cs="宋体"/>
        </w:rPr>
      </w:pPr>
      <w:r>
        <w:rPr>
          <w:rFonts w:hint="eastAsia" w:ascii="宋体" w:hAnsi="宋体" w:eastAsia="宋体" w:cs="宋体"/>
          <w:color w:val="1F2937"/>
        </w:rPr>
        <w:t>1. 功能边界清晰。</w:t>
      </w:r>
    </w:p>
    <w:p w14:paraId="7E267D2C">
      <w:pPr>
        <w:spacing w:after="70" w:line="330" w:lineRule="auto"/>
        <w:ind w:left="420" w:hanging="260"/>
        <w:rPr>
          <w:rFonts w:hint="eastAsia" w:ascii="宋体" w:hAnsi="宋体" w:eastAsia="宋体" w:cs="宋体"/>
        </w:rPr>
      </w:pPr>
      <w:r>
        <w:rPr>
          <w:rFonts w:hint="eastAsia" w:ascii="宋体" w:hAnsi="宋体" w:eastAsia="宋体" w:cs="宋体"/>
          <w:color w:val="1F2937"/>
        </w:rPr>
        <w:t>2. 后续扩展新模块更容易。</w:t>
      </w:r>
    </w:p>
    <w:p w14:paraId="5CDA5E6A">
      <w:pPr>
        <w:spacing w:after="70" w:line="330" w:lineRule="auto"/>
        <w:ind w:left="420" w:hanging="260"/>
        <w:rPr>
          <w:rFonts w:hint="eastAsia" w:ascii="宋体" w:hAnsi="宋体" w:eastAsia="宋体" w:cs="宋体"/>
        </w:rPr>
      </w:pPr>
      <w:r>
        <w:rPr>
          <w:rFonts w:hint="eastAsia" w:ascii="宋体" w:hAnsi="宋体" w:eastAsia="宋体" w:cs="宋体"/>
          <w:color w:val="1F2937"/>
        </w:rPr>
        <w:t>3. 问题定位和性能调优更高效。</w:t>
      </w:r>
    </w:p>
    <w:p w14:paraId="77E3465D">
      <w:pPr>
        <w:spacing w:after="70" w:line="330" w:lineRule="auto"/>
        <w:ind w:left="420" w:hanging="260"/>
        <w:rPr>
          <w:rFonts w:hint="eastAsia" w:ascii="宋体" w:hAnsi="宋体" w:eastAsia="宋体" w:cs="宋体"/>
        </w:rPr>
      </w:pPr>
      <w:r>
        <w:rPr>
          <w:rFonts w:hint="eastAsia" w:ascii="宋体" w:hAnsi="宋体" w:eastAsia="宋体" w:cs="宋体"/>
          <w:color w:val="1F2937"/>
        </w:rPr>
        <w:t>4. 试运行阶段更容易分批上线和分阶段验证。</w:t>
      </w:r>
    </w:p>
    <w:p w14:paraId="6EC218B6">
      <w:pPr>
        <w:pStyle w:val="5"/>
        <w:bidi w:val="0"/>
        <w:rPr>
          <w:rFonts w:hint="eastAsia" w:ascii="宋体" w:hAnsi="宋体" w:eastAsia="宋体" w:cs="宋体"/>
          <w:b w:val="0"/>
          <w:bCs/>
          <w:lang w:val="en-US" w:eastAsia="zh-CN"/>
        </w:rPr>
      </w:pPr>
      <w:r>
        <w:rPr>
          <w:rFonts w:hint="eastAsia" w:cs="宋体"/>
          <w:b w:val="0"/>
          <w:bCs/>
          <w:lang w:val="en-US" w:eastAsia="zh-CN"/>
        </w:rPr>
        <w:t>11.2</w:t>
      </w:r>
      <w:r>
        <w:rPr>
          <w:rFonts w:hint="eastAsia" w:ascii="宋体" w:hAnsi="宋体" w:eastAsia="宋体" w:cs="宋体"/>
          <w:b w:val="0"/>
          <w:bCs/>
          <w:lang w:val="en-US" w:eastAsia="zh-CN"/>
        </w:rPr>
        <w:t>.4 双模块逻辑隔离与统一底座设计</w:t>
      </w:r>
    </w:p>
    <w:p w14:paraId="63832B87">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.4.1 为什么必须统一底座、逻辑隔离</w:t>
      </w:r>
    </w:p>
    <w:p w14:paraId="58E801AD">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招标文件要求“两套相互独立且逻辑隔离的数据接入模块”，但并不意味着建设两套完全割裂的系统。若真的完全独立建设两套系统，会带来以下问题：</w:t>
      </w:r>
    </w:p>
    <w:p w14:paraId="44B01E3E">
      <w:pPr>
        <w:spacing w:after="70" w:line="330" w:lineRule="auto"/>
        <w:ind w:left="420" w:hanging="260"/>
        <w:rPr>
          <w:rFonts w:hint="eastAsia" w:ascii="宋体" w:hAnsi="宋体" w:eastAsia="宋体" w:cs="宋体"/>
        </w:rPr>
      </w:pPr>
      <w:r>
        <w:rPr>
          <w:rFonts w:hint="eastAsia" w:ascii="宋体" w:hAnsi="宋体" w:eastAsia="宋体" w:cs="宋体"/>
          <w:color w:val="1F2937"/>
        </w:rPr>
        <w:t>1. 账号体系重复</w:t>
      </w:r>
    </w:p>
    <w:p w14:paraId="63F85963">
      <w:pPr>
        <w:spacing w:after="70" w:line="330" w:lineRule="auto"/>
        <w:ind w:left="420" w:hanging="260"/>
        <w:rPr>
          <w:rFonts w:hint="eastAsia" w:ascii="宋体" w:hAnsi="宋体" w:eastAsia="宋体" w:cs="宋体"/>
        </w:rPr>
      </w:pPr>
      <w:r>
        <w:rPr>
          <w:rFonts w:hint="eastAsia" w:ascii="宋体" w:hAnsi="宋体" w:eastAsia="宋体" w:cs="宋体"/>
          <w:color w:val="1F2937"/>
        </w:rPr>
        <w:t>2. 权限体系重复</w:t>
      </w:r>
    </w:p>
    <w:p w14:paraId="54DDEB72">
      <w:pPr>
        <w:spacing w:after="70" w:line="330" w:lineRule="auto"/>
        <w:ind w:left="420" w:hanging="260"/>
        <w:rPr>
          <w:rFonts w:hint="eastAsia" w:ascii="宋体" w:hAnsi="宋体" w:eastAsia="宋体" w:cs="宋体"/>
        </w:rPr>
      </w:pPr>
      <w:r>
        <w:rPr>
          <w:rFonts w:hint="eastAsia" w:ascii="宋体" w:hAnsi="宋体" w:eastAsia="宋体" w:cs="宋体"/>
          <w:color w:val="1F2937"/>
        </w:rPr>
        <w:t>3. 日志体系重复</w:t>
      </w:r>
    </w:p>
    <w:p w14:paraId="2757D531">
      <w:pPr>
        <w:spacing w:after="70" w:line="330" w:lineRule="auto"/>
        <w:ind w:left="420" w:hanging="260"/>
        <w:rPr>
          <w:rFonts w:hint="eastAsia" w:ascii="宋体" w:hAnsi="宋体" w:eastAsia="宋体" w:cs="宋体"/>
        </w:rPr>
      </w:pPr>
      <w:r>
        <w:rPr>
          <w:rFonts w:hint="eastAsia" w:ascii="宋体" w:hAnsi="宋体" w:eastAsia="宋体" w:cs="宋体"/>
          <w:color w:val="1F2937"/>
        </w:rPr>
        <w:t>4. 运维成本翻倍</w:t>
      </w:r>
    </w:p>
    <w:p w14:paraId="182DD42F">
      <w:pPr>
        <w:spacing w:after="70" w:line="330" w:lineRule="auto"/>
        <w:ind w:left="420" w:hanging="260"/>
        <w:rPr>
          <w:rFonts w:hint="eastAsia" w:ascii="宋体" w:hAnsi="宋体" w:eastAsia="宋体" w:cs="宋体"/>
        </w:rPr>
      </w:pPr>
      <w:r>
        <w:rPr>
          <w:rFonts w:hint="eastAsia" w:ascii="宋体" w:hAnsi="宋体" w:eastAsia="宋体" w:cs="宋体"/>
          <w:color w:val="1F2937"/>
        </w:rPr>
        <w:t>5. 统计分析难以统一</w:t>
      </w:r>
    </w:p>
    <w:p w14:paraId="4A3B48B5">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因此，本方案采用“统一平台底座 + 双模块逻辑隔离”的更优架构。</w:t>
      </w:r>
    </w:p>
    <w:p w14:paraId="4892D5FA">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.4.2 隔离与共享设计表</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4"/>
        <w:gridCol w:w="3104"/>
        <w:gridCol w:w="3104"/>
      </w:tblGrid>
      <w:tr w14:paraId="59BE7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3C77E91">
            <w:pPr>
              <w:spacing w:after="0" w:line="300" w:lineRule="auto"/>
              <w:rPr>
                <w:rFonts w:hint="eastAsia" w:ascii="宋体" w:hAnsi="宋体" w:eastAsia="宋体" w:cs="宋体"/>
              </w:rPr>
            </w:pPr>
            <w:r>
              <w:rPr>
                <w:rFonts w:hint="eastAsia" w:ascii="宋体" w:hAnsi="宋体" w:eastAsia="宋体" w:cs="宋体"/>
                <w:b/>
                <w:bCs/>
                <w:color w:val="172033"/>
                <w:sz w:val="18"/>
                <w:szCs w:val="18"/>
              </w:rPr>
              <w:t>类别</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620969E">
            <w:pPr>
              <w:spacing w:after="0" w:line="300" w:lineRule="auto"/>
              <w:rPr>
                <w:rFonts w:hint="eastAsia" w:ascii="宋体" w:hAnsi="宋体" w:eastAsia="宋体" w:cs="宋体"/>
              </w:rPr>
            </w:pPr>
            <w:r>
              <w:rPr>
                <w:rFonts w:hint="eastAsia" w:ascii="宋体" w:hAnsi="宋体" w:eastAsia="宋体" w:cs="宋体"/>
                <w:b/>
                <w:bCs/>
                <w:color w:val="172033"/>
                <w:sz w:val="18"/>
                <w:szCs w:val="18"/>
              </w:rPr>
              <w:t>统一建设部分</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7299C28">
            <w:pPr>
              <w:spacing w:after="0" w:line="300" w:lineRule="auto"/>
              <w:rPr>
                <w:rFonts w:hint="eastAsia" w:ascii="宋体" w:hAnsi="宋体" w:eastAsia="宋体" w:cs="宋体"/>
              </w:rPr>
            </w:pPr>
            <w:r>
              <w:rPr>
                <w:rFonts w:hint="eastAsia" w:ascii="宋体" w:hAnsi="宋体" w:eastAsia="宋体" w:cs="宋体"/>
                <w:b/>
                <w:bCs/>
                <w:color w:val="172033"/>
                <w:sz w:val="18"/>
                <w:szCs w:val="18"/>
              </w:rPr>
              <w:t>逻辑隔离部分</w:t>
            </w:r>
          </w:p>
        </w:tc>
      </w:tr>
      <w:tr w14:paraId="2AF6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85A6B0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账号与登录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49A26D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统一登录、统一身份认证</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E4F865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不同模块按授权进入对应业务域</w:t>
            </w:r>
          </w:p>
        </w:tc>
      </w:tr>
      <w:tr w14:paraId="530C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C0DAB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权限体系</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F72F4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统一角色、组织、菜单和审计机制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2CA53B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数据范围、流程实例、业务对象隔离</w:t>
            </w:r>
          </w:p>
        </w:tc>
      </w:tr>
      <w:tr w14:paraId="4DC9E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DF8679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文件底座</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E0953B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统一文件服务、统一索引策略</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1B979C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文件归属和业务引用关系隔离</w:t>
            </w:r>
          </w:p>
        </w:tc>
      </w:tr>
      <w:tr w14:paraId="57B2E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E5645D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日志底座</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EC47DF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统一日志格式和审计平台</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018064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日志查询按模块和业务范围隔离</w:t>
            </w:r>
          </w:p>
        </w:tc>
      </w:tr>
      <w:tr w14:paraId="4DD6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D272EB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统计框架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C6D4C5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统一报表和看板框架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ABCB39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统计口径和业务标签独立</w:t>
            </w:r>
          </w:p>
        </w:tc>
      </w:tr>
    </w:tbl>
    <w:p w14:paraId="6716F836">
      <w:pPr>
        <w:spacing w:after="100"/>
        <w:rPr>
          <w:rFonts w:hint="eastAsia" w:ascii="宋体" w:hAnsi="宋体" w:eastAsia="宋体" w:cs="宋体"/>
        </w:rPr>
      </w:pPr>
    </w:p>
    <w:p w14:paraId="44BE0C94">
      <w:pPr>
        <w:pStyle w:val="5"/>
        <w:bidi w:val="0"/>
        <w:rPr>
          <w:rFonts w:hint="eastAsia" w:ascii="宋体" w:hAnsi="宋体" w:eastAsia="宋体" w:cs="宋体"/>
          <w:b w:val="0"/>
          <w:bCs/>
          <w:lang w:val="en-US" w:eastAsia="zh-CN"/>
        </w:rPr>
      </w:pPr>
      <w:r>
        <w:rPr>
          <w:rFonts w:hint="eastAsia" w:cs="宋体"/>
          <w:b w:val="0"/>
          <w:bCs/>
          <w:lang w:val="en-US" w:eastAsia="zh-CN"/>
        </w:rPr>
        <w:t>11.2</w:t>
      </w:r>
      <w:r>
        <w:rPr>
          <w:rFonts w:hint="eastAsia" w:ascii="宋体" w:hAnsi="宋体" w:eastAsia="宋体" w:cs="宋体"/>
          <w:b w:val="0"/>
          <w:bCs/>
          <w:lang w:val="en-US" w:eastAsia="zh-CN"/>
        </w:rPr>
        <w:t>.5 技术选型方案</w:t>
      </w:r>
    </w:p>
    <w:p w14:paraId="1E3A4A91">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.5.1 选型原则</w:t>
      </w:r>
    </w:p>
    <w:p w14:paraId="7321D607">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本方案已经明确技术选型遵循“成熟可靠、自主可控、安全合规、易扩展、易维护”的原则，本方案在方案表达上进一步落细为以下四点：</w:t>
      </w:r>
    </w:p>
    <w:p w14:paraId="4D9F8C03">
      <w:pPr>
        <w:spacing w:after="70" w:line="330" w:lineRule="auto"/>
        <w:ind w:left="420" w:hanging="260"/>
        <w:rPr>
          <w:rFonts w:hint="eastAsia" w:ascii="宋体" w:hAnsi="宋体" w:eastAsia="宋体" w:cs="宋体"/>
        </w:rPr>
      </w:pPr>
      <w:r>
        <w:rPr>
          <w:rFonts w:hint="eastAsia" w:ascii="宋体" w:hAnsi="宋体" w:eastAsia="宋体" w:cs="宋体"/>
          <w:color w:val="1F2937"/>
        </w:rPr>
        <w:t>1. 选成熟的，不选实验性的。</w:t>
      </w:r>
    </w:p>
    <w:p w14:paraId="23CE885C">
      <w:pPr>
        <w:spacing w:after="70" w:line="330" w:lineRule="auto"/>
        <w:ind w:left="420" w:hanging="260"/>
        <w:rPr>
          <w:rFonts w:hint="eastAsia" w:ascii="宋体" w:hAnsi="宋体" w:eastAsia="宋体" w:cs="宋体"/>
        </w:rPr>
      </w:pPr>
      <w:r>
        <w:rPr>
          <w:rFonts w:hint="eastAsia" w:ascii="宋体" w:hAnsi="宋体" w:eastAsia="宋体" w:cs="宋体"/>
          <w:color w:val="1F2937"/>
        </w:rPr>
        <w:t>2. 选可维护的，不选只会在开发阶段方便的。</w:t>
      </w:r>
    </w:p>
    <w:p w14:paraId="7E0CC13C">
      <w:pPr>
        <w:spacing w:after="70" w:line="330" w:lineRule="auto"/>
        <w:ind w:left="420" w:hanging="260"/>
        <w:rPr>
          <w:rFonts w:hint="eastAsia" w:ascii="宋体" w:hAnsi="宋体" w:eastAsia="宋体" w:cs="宋体"/>
        </w:rPr>
      </w:pPr>
      <w:r>
        <w:rPr>
          <w:rFonts w:hint="eastAsia" w:ascii="宋体" w:hAnsi="宋体" w:eastAsia="宋体" w:cs="宋体"/>
          <w:color w:val="1F2937"/>
        </w:rPr>
        <w:t>3. 选自主可控和国产化可落地的，不选后续受制于环境的。</w:t>
      </w:r>
    </w:p>
    <w:p w14:paraId="064A5B4E">
      <w:pPr>
        <w:spacing w:after="70" w:line="330" w:lineRule="auto"/>
        <w:ind w:left="420" w:hanging="260"/>
        <w:rPr>
          <w:rFonts w:hint="eastAsia" w:ascii="宋体" w:hAnsi="宋体" w:eastAsia="宋体" w:cs="宋体"/>
        </w:rPr>
      </w:pPr>
      <w:r>
        <w:rPr>
          <w:rFonts w:hint="eastAsia" w:ascii="宋体" w:hAnsi="宋体" w:eastAsia="宋体" w:cs="宋体"/>
          <w:color w:val="1F2937"/>
        </w:rPr>
        <w:t>4. 选能支撑后续扩展的，不选一次性项目式技术堆叠。</w:t>
      </w:r>
    </w:p>
    <w:p w14:paraId="7409CDB9">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.5.2 技术选型表</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5"/>
        <w:gridCol w:w="3909"/>
        <w:gridCol w:w="3868"/>
      </w:tblGrid>
      <w:tr w14:paraId="5A4E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24"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ED3C185">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技术类别</w:t>
            </w:r>
          </w:p>
        </w:tc>
        <w:tc>
          <w:tcPr>
            <w:tcW w:w="2098"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578E9AD">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选型口径</w:t>
            </w:r>
          </w:p>
        </w:tc>
        <w:tc>
          <w:tcPr>
            <w:tcW w:w="2076"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BCF960D">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选型理由</w:t>
            </w:r>
          </w:p>
        </w:tc>
      </w:tr>
      <w:tr w14:paraId="56FC7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842969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系统架构</w:t>
            </w:r>
          </w:p>
        </w:tc>
        <w:tc>
          <w:tcPr>
            <w:tcW w:w="209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DD04ECC">
            <w:pPr>
              <w:spacing w:after="0" w:line="300" w:lineRule="auto"/>
              <w:rPr>
                <w:rFonts w:hint="eastAsia" w:ascii="宋体" w:hAnsi="宋体" w:eastAsia="宋体" w:cs="宋体"/>
              </w:rPr>
            </w:pPr>
            <w:r>
              <w:rPr>
                <w:rFonts w:hint="eastAsia" w:cs="宋体"/>
                <w:b w:val="0"/>
                <w:bCs w:val="0"/>
                <w:color w:val="172033"/>
                <w:sz w:val="18"/>
                <w:szCs w:val="18"/>
                <w:lang w:val="en-US" w:eastAsia="zh-CN"/>
              </w:rPr>
              <w:t>分布式微服务架构</w:t>
            </w:r>
            <w:r>
              <w:rPr>
                <w:rFonts w:hint="eastAsia" w:ascii="宋体" w:hAnsi="宋体" w:eastAsia="宋体" w:cs="宋体"/>
                <w:b w:val="0"/>
                <w:bCs w:val="0"/>
                <w:color w:val="172033"/>
                <w:sz w:val="18"/>
                <w:szCs w:val="18"/>
              </w:rPr>
              <w:t>，支持移动端访问与后续 APP 扩展</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57B43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满足集中部署、统一运维和多场景使用</w:t>
            </w:r>
          </w:p>
        </w:tc>
      </w:tr>
      <w:tr w14:paraId="5586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D390A8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后端技术</w:t>
            </w:r>
          </w:p>
        </w:tc>
        <w:tc>
          <w:tcPr>
            <w:tcW w:w="209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950DC7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Java 微服务思想、主流业务框架</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3CD505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成熟稳定，便于扩展和团队协作开发</w:t>
            </w:r>
          </w:p>
        </w:tc>
      </w:tr>
      <w:tr w14:paraId="5ED6B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A7F4EE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前端技术</w:t>
            </w:r>
          </w:p>
        </w:tc>
        <w:tc>
          <w:tcPr>
            <w:tcW w:w="209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B71336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组件化前端框架、响应式页面、表单化配置</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93A319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适合复杂表单、流程待办、看板和多角色页面</w:t>
            </w:r>
          </w:p>
        </w:tc>
      </w:tr>
      <w:tr w14:paraId="383F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CCD835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数据库</w:t>
            </w:r>
          </w:p>
        </w:tc>
        <w:tc>
          <w:tcPr>
            <w:tcW w:w="209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D2FB68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达梦 V8</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853A87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响应国产化和自主可控要求</w:t>
            </w:r>
          </w:p>
        </w:tc>
      </w:tr>
      <w:tr w14:paraId="015C8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122024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移动端</w:t>
            </w:r>
          </w:p>
        </w:tc>
        <w:tc>
          <w:tcPr>
            <w:tcW w:w="209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60112D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移动端协同或跨平台技术框架</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932951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满足现场办公和后续延展</w:t>
            </w:r>
          </w:p>
        </w:tc>
      </w:tr>
      <w:tr w14:paraId="0EED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CF2CB0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可视化</w:t>
            </w:r>
          </w:p>
        </w:tc>
        <w:tc>
          <w:tcPr>
            <w:tcW w:w="209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24E9D9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主流图表组件</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0B0F93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支撑驾驶舱、趋势分析和多维图表</w:t>
            </w:r>
          </w:p>
        </w:tc>
      </w:tr>
      <w:tr w14:paraId="6703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0083FC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文件处理</w:t>
            </w:r>
          </w:p>
        </w:tc>
        <w:tc>
          <w:tcPr>
            <w:tcW w:w="209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E8E7F5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PDF/Excel 处理组件与对象化文件存储策略</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F97CE7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满足导入导出和大附件管理</w:t>
            </w:r>
          </w:p>
        </w:tc>
      </w:tr>
    </w:tbl>
    <w:p w14:paraId="59BD83B5">
      <w:pPr>
        <w:spacing w:after="100"/>
        <w:rPr>
          <w:rFonts w:hint="eastAsia" w:ascii="宋体" w:hAnsi="宋体" w:eastAsia="宋体" w:cs="宋体"/>
        </w:rPr>
      </w:pPr>
    </w:p>
    <w:p w14:paraId="16536E60">
      <w:pPr>
        <w:pStyle w:val="5"/>
        <w:bidi w:val="0"/>
        <w:rPr>
          <w:rFonts w:hint="eastAsia" w:ascii="宋体" w:hAnsi="宋体" w:eastAsia="宋体" w:cs="宋体"/>
          <w:b w:val="0"/>
          <w:bCs/>
          <w:lang w:val="en-US" w:eastAsia="zh-CN"/>
        </w:rPr>
      </w:pPr>
      <w:r>
        <w:rPr>
          <w:rFonts w:hint="eastAsia" w:cs="宋体"/>
          <w:b w:val="0"/>
          <w:bCs/>
          <w:lang w:val="en-US" w:eastAsia="zh-CN"/>
        </w:rPr>
        <w:t>11.2</w:t>
      </w:r>
      <w:r>
        <w:rPr>
          <w:rFonts w:hint="eastAsia" w:ascii="宋体" w:hAnsi="宋体" w:eastAsia="宋体" w:cs="宋体"/>
          <w:b w:val="0"/>
          <w:bCs/>
          <w:lang w:val="en-US" w:eastAsia="zh-CN"/>
        </w:rPr>
        <w:t>.6 安全架构设计</w:t>
      </w:r>
    </w:p>
    <w:p w14:paraId="77EDB821">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.6.1 安全设计目标</w:t>
      </w:r>
    </w:p>
    <w:p w14:paraId="5C6477D8">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本方案安全设计的核心原则是“网络可信、身份可信、权限可控、数据可保密、操作可追溯、风险可发现、问题可整改”。安全架构不是一个单点功能，而是体系化能力。</w:t>
      </w:r>
    </w:p>
    <w:p w14:paraId="6A7BA787">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.6.2 安全控制分层</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0"/>
        <w:gridCol w:w="7332"/>
      </w:tblGrid>
      <w:tr w14:paraId="4534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63"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B0136E2">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控制项</w:t>
            </w:r>
          </w:p>
        </w:tc>
        <w:tc>
          <w:tcPr>
            <w:tcW w:w="3936"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EAFABFB">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设计措施</w:t>
            </w:r>
          </w:p>
        </w:tc>
      </w:tr>
      <w:tr w14:paraId="15B52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D17E08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加密传输</w:t>
            </w:r>
          </w:p>
        </w:tc>
        <w:tc>
          <w:tcPr>
            <w:tcW w:w="393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E0CBA7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通过加密通道和安全传输协议保障互联网访问过程中的传输安全</w:t>
            </w:r>
          </w:p>
        </w:tc>
      </w:tr>
      <w:tr w14:paraId="5EBDA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75B30C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访问控制</w:t>
            </w:r>
          </w:p>
        </w:tc>
        <w:tc>
          <w:tcPr>
            <w:tcW w:w="393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BF71B2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按用户身份、角色、组织、访问范围和业务权限控制系统入口</w:t>
            </w:r>
          </w:p>
        </w:tc>
      </w:tr>
      <w:tr w14:paraId="61CCD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36A73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身份认证</w:t>
            </w:r>
          </w:p>
        </w:tc>
        <w:tc>
          <w:tcPr>
            <w:tcW w:w="393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8BABDC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支持用户名/口令认证、密码复杂度、有效期和异常登录控制</w:t>
            </w:r>
          </w:p>
        </w:tc>
      </w:tr>
      <w:tr w14:paraId="03F0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B7C26D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日志审计</w:t>
            </w:r>
          </w:p>
        </w:tc>
        <w:tc>
          <w:tcPr>
            <w:tcW w:w="393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1A9582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登录、审批、导出、变更、放行、归档、发布、备份等关键动作全留痕</w:t>
            </w:r>
          </w:p>
        </w:tc>
      </w:tr>
      <w:tr w14:paraId="24E0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90E1CA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数据保护</w:t>
            </w:r>
          </w:p>
        </w:tc>
        <w:tc>
          <w:tcPr>
            <w:tcW w:w="393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B724FA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对敏感字段和关键附件采取脱敏、加密、最小权限和导出限制</w:t>
            </w:r>
          </w:p>
        </w:tc>
      </w:tr>
    </w:tbl>
    <w:p w14:paraId="56CC1702">
      <w:pPr>
        <w:spacing w:after="100"/>
        <w:rPr>
          <w:rFonts w:hint="eastAsia" w:ascii="宋体" w:hAnsi="宋体" w:eastAsia="宋体" w:cs="宋体"/>
        </w:rPr>
      </w:pPr>
    </w:p>
    <w:p w14:paraId="6C45F586">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.6.3 认证与授权架构</w:t>
      </w:r>
    </w:p>
    <w:p w14:paraId="2588BF68">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本方案中对认证机制设计和授权模型设计已有基础表述，本方案归纳为以下四个重点：</w:t>
      </w:r>
    </w:p>
    <w:p w14:paraId="28530DFF">
      <w:pPr>
        <w:spacing w:after="70" w:line="330" w:lineRule="auto"/>
        <w:ind w:left="420" w:hanging="260"/>
        <w:rPr>
          <w:rFonts w:hint="eastAsia" w:ascii="宋体" w:hAnsi="宋体" w:eastAsia="宋体" w:cs="宋体"/>
        </w:rPr>
      </w:pPr>
      <w:r>
        <w:rPr>
          <w:rFonts w:hint="eastAsia" w:ascii="宋体" w:hAnsi="宋体" w:eastAsia="宋体" w:cs="宋体"/>
          <w:color w:val="1F2937"/>
        </w:rPr>
        <w:t>1. 账号身份必须与用户、组织、岗位和角色绑定。</w:t>
      </w:r>
    </w:p>
    <w:p w14:paraId="679FCF8B">
      <w:pPr>
        <w:spacing w:after="70" w:line="330" w:lineRule="auto"/>
        <w:ind w:left="420" w:hanging="260"/>
        <w:rPr>
          <w:rFonts w:hint="eastAsia" w:ascii="宋体" w:hAnsi="宋体" w:eastAsia="宋体" w:cs="宋体"/>
        </w:rPr>
      </w:pPr>
      <w:r>
        <w:rPr>
          <w:rFonts w:hint="eastAsia" w:ascii="宋体" w:hAnsi="宋体" w:eastAsia="宋体" w:cs="宋体"/>
          <w:color w:val="1F2937"/>
        </w:rPr>
        <w:t>2. 授权必须覆盖菜单、页面、数据、按钮、审批和导出多个层次。</w:t>
      </w:r>
    </w:p>
    <w:p w14:paraId="794CD352">
      <w:pPr>
        <w:spacing w:after="70" w:line="330" w:lineRule="auto"/>
        <w:ind w:left="420" w:hanging="260"/>
        <w:rPr>
          <w:rFonts w:hint="eastAsia" w:ascii="宋体" w:hAnsi="宋体" w:eastAsia="宋体" w:cs="宋体"/>
        </w:rPr>
      </w:pPr>
      <w:r>
        <w:rPr>
          <w:rFonts w:hint="eastAsia" w:ascii="宋体" w:hAnsi="宋体" w:eastAsia="宋体" w:cs="宋体"/>
          <w:color w:val="1F2937"/>
        </w:rPr>
        <w:t>3. 高权限账号不等于拥有全部业务修改权，必须按职责授予。</w:t>
      </w:r>
    </w:p>
    <w:p w14:paraId="576E3CE8">
      <w:pPr>
        <w:spacing w:after="70" w:line="330" w:lineRule="auto"/>
        <w:ind w:left="420" w:hanging="260"/>
        <w:rPr>
          <w:rFonts w:hint="eastAsia" w:ascii="宋体" w:hAnsi="宋体" w:eastAsia="宋体" w:cs="宋体"/>
        </w:rPr>
      </w:pPr>
      <w:r>
        <w:rPr>
          <w:rFonts w:hint="eastAsia" w:ascii="宋体" w:hAnsi="宋体" w:eastAsia="宋体" w:cs="宋体"/>
          <w:color w:val="1F2937"/>
        </w:rPr>
        <w:t>4. 临时授权、变更授权和回收授权必须留痕。</w:t>
      </w:r>
    </w:p>
    <w:p w14:paraId="6242C7F9">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.6.4 日志与审计架构</w:t>
      </w:r>
    </w:p>
    <w:p w14:paraId="6CC39DFF">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日志架构必须满足“查得到、导得出、追得回、删不掉、改不了”。日志至少包括：</w:t>
      </w:r>
    </w:p>
    <w:p w14:paraId="1C983ABD">
      <w:pPr>
        <w:spacing w:after="70" w:line="330" w:lineRule="auto"/>
        <w:ind w:left="420" w:hanging="260"/>
        <w:rPr>
          <w:rFonts w:hint="eastAsia" w:ascii="宋体" w:hAnsi="宋体" w:eastAsia="宋体" w:cs="宋体"/>
        </w:rPr>
      </w:pPr>
      <w:r>
        <w:rPr>
          <w:rFonts w:hint="eastAsia" w:ascii="宋体" w:hAnsi="宋体" w:eastAsia="宋体" w:cs="宋体"/>
          <w:color w:val="1F2937"/>
        </w:rPr>
        <w:t>1. 登录日志</w:t>
      </w:r>
    </w:p>
    <w:p w14:paraId="5CA8564E">
      <w:pPr>
        <w:spacing w:after="70" w:line="330" w:lineRule="auto"/>
        <w:ind w:left="420" w:hanging="260"/>
        <w:rPr>
          <w:rFonts w:hint="eastAsia" w:ascii="宋体" w:hAnsi="宋体" w:eastAsia="宋体" w:cs="宋体"/>
        </w:rPr>
      </w:pPr>
      <w:r>
        <w:rPr>
          <w:rFonts w:hint="eastAsia" w:ascii="宋体" w:hAnsi="宋体" w:eastAsia="宋体" w:cs="宋体"/>
          <w:color w:val="1F2937"/>
        </w:rPr>
        <w:t>2. 操作日志</w:t>
      </w:r>
    </w:p>
    <w:p w14:paraId="765A2E9D">
      <w:pPr>
        <w:spacing w:after="70" w:line="330" w:lineRule="auto"/>
        <w:ind w:left="420" w:hanging="260"/>
        <w:rPr>
          <w:rFonts w:hint="eastAsia" w:ascii="宋体" w:hAnsi="宋体" w:eastAsia="宋体" w:cs="宋体"/>
        </w:rPr>
      </w:pPr>
      <w:r>
        <w:rPr>
          <w:rFonts w:hint="eastAsia" w:ascii="宋体" w:hAnsi="宋体" w:eastAsia="宋体" w:cs="宋体"/>
          <w:color w:val="1F2937"/>
        </w:rPr>
        <w:t>3. 接口日志</w:t>
      </w:r>
    </w:p>
    <w:p w14:paraId="40DE7A54">
      <w:pPr>
        <w:spacing w:after="70" w:line="330" w:lineRule="auto"/>
        <w:ind w:left="420" w:hanging="260"/>
        <w:rPr>
          <w:rFonts w:hint="eastAsia" w:ascii="宋体" w:hAnsi="宋体" w:eastAsia="宋体" w:cs="宋体"/>
        </w:rPr>
      </w:pPr>
      <w:r>
        <w:rPr>
          <w:rFonts w:hint="eastAsia" w:ascii="宋体" w:hAnsi="宋体" w:eastAsia="宋体" w:cs="宋体"/>
          <w:color w:val="1F2937"/>
        </w:rPr>
        <w:t>4. 系统运行日志</w:t>
      </w:r>
    </w:p>
    <w:p w14:paraId="127C5AA5">
      <w:pPr>
        <w:spacing w:after="70" w:line="330" w:lineRule="auto"/>
        <w:ind w:left="420" w:hanging="260"/>
        <w:rPr>
          <w:rFonts w:hint="eastAsia" w:ascii="宋体" w:hAnsi="宋体" w:eastAsia="宋体" w:cs="宋体"/>
        </w:rPr>
      </w:pPr>
      <w:r>
        <w:rPr>
          <w:rFonts w:hint="eastAsia" w:ascii="宋体" w:hAnsi="宋体" w:eastAsia="宋体" w:cs="宋体"/>
          <w:color w:val="1F2937"/>
        </w:rPr>
        <w:t>5. 定时任务日志</w:t>
      </w:r>
    </w:p>
    <w:p w14:paraId="4DD28000">
      <w:pPr>
        <w:spacing w:after="70" w:line="330" w:lineRule="auto"/>
        <w:ind w:left="420" w:hanging="260"/>
        <w:rPr>
          <w:rFonts w:hint="eastAsia" w:ascii="宋体" w:hAnsi="宋体" w:eastAsia="宋体" w:cs="宋体"/>
        </w:rPr>
      </w:pPr>
      <w:r>
        <w:rPr>
          <w:rFonts w:hint="eastAsia" w:ascii="宋体" w:hAnsi="宋体" w:eastAsia="宋体" w:cs="宋体"/>
          <w:color w:val="1F2937"/>
        </w:rPr>
        <w:t>6. 安全事件日志</w:t>
      </w:r>
    </w:p>
    <w:p w14:paraId="18E6B79F">
      <w:pPr>
        <w:pStyle w:val="5"/>
        <w:bidi w:val="0"/>
        <w:rPr>
          <w:rFonts w:hint="eastAsia" w:ascii="宋体" w:hAnsi="宋体" w:eastAsia="宋体" w:cs="宋体"/>
          <w:b w:val="0"/>
          <w:bCs/>
          <w:lang w:val="en-US" w:eastAsia="zh-CN"/>
        </w:rPr>
      </w:pPr>
      <w:r>
        <w:rPr>
          <w:rFonts w:hint="eastAsia" w:cs="宋体"/>
          <w:b w:val="0"/>
          <w:bCs/>
          <w:lang w:val="en-US" w:eastAsia="zh-CN"/>
        </w:rPr>
        <w:t>11.2</w:t>
      </w:r>
      <w:r>
        <w:rPr>
          <w:rFonts w:hint="eastAsia" w:ascii="宋体" w:hAnsi="宋体" w:eastAsia="宋体" w:cs="宋体"/>
          <w:b w:val="0"/>
          <w:bCs/>
          <w:lang w:val="en-US" w:eastAsia="zh-CN"/>
        </w:rPr>
        <w:t>.7 数据架构设计</w:t>
      </w:r>
    </w:p>
    <w:p w14:paraId="0EB46B37">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.7.1 核心数据对象</w:t>
      </w:r>
    </w:p>
    <w:p w14:paraId="59847094">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系统核心数据对象包括但不限于：</w:t>
      </w:r>
    </w:p>
    <w:p w14:paraId="360126D0">
      <w:pPr>
        <w:spacing w:after="70" w:line="330" w:lineRule="auto"/>
        <w:ind w:left="420" w:hanging="260"/>
        <w:rPr>
          <w:rFonts w:hint="eastAsia" w:ascii="宋体" w:hAnsi="宋体" w:eastAsia="宋体" w:cs="宋体"/>
        </w:rPr>
      </w:pPr>
      <w:r>
        <w:rPr>
          <w:rFonts w:hint="eastAsia" w:ascii="宋体" w:hAnsi="宋体" w:eastAsia="宋体" w:cs="宋体"/>
          <w:color w:val="1F2937"/>
        </w:rPr>
        <w:t>1. 采购包</w:t>
      </w:r>
    </w:p>
    <w:p w14:paraId="3BD47815">
      <w:pPr>
        <w:spacing w:after="70" w:line="330" w:lineRule="auto"/>
        <w:ind w:left="420" w:hanging="260"/>
        <w:rPr>
          <w:rFonts w:hint="eastAsia" w:ascii="宋体" w:hAnsi="宋体" w:eastAsia="宋体" w:cs="宋体"/>
        </w:rPr>
      </w:pPr>
      <w:r>
        <w:rPr>
          <w:rFonts w:hint="eastAsia" w:ascii="宋体" w:hAnsi="宋体" w:eastAsia="宋体" w:cs="宋体"/>
          <w:color w:val="1F2937"/>
        </w:rPr>
        <w:t>2. 采购合同</w:t>
      </w:r>
    </w:p>
    <w:p w14:paraId="1578DF62">
      <w:pPr>
        <w:spacing w:after="70" w:line="330" w:lineRule="auto"/>
        <w:ind w:left="420" w:hanging="260"/>
        <w:rPr>
          <w:rFonts w:hint="eastAsia" w:ascii="宋体" w:hAnsi="宋体" w:eastAsia="宋体" w:cs="宋体"/>
        </w:rPr>
      </w:pPr>
      <w:r>
        <w:rPr>
          <w:rFonts w:hint="eastAsia" w:ascii="宋体" w:hAnsi="宋体" w:eastAsia="宋体" w:cs="宋体"/>
          <w:color w:val="1F2937"/>
        </w:rPr>
        <w:t>3. 采购物项</w:t>
      </w:r>
    </w:p>
    <w:p w14:paraId="605C6289">
      <w:pPr>
        <w:spacing w:after="70" w:line="330" w:lineRule="auto"/>
        <w:ind w:left="420" w:hanging="260"/>
        <w:rPr>
          <w:rFonts w:hint="eastAsia" w:ascii="宋体" w:hAnsi="宋体" w:eastAsia="宋体" w:cs="宋体"/>
        </w:rPr>
      </w:pPr>
      <w:r>
        <w:rPr>
          <w:rFonts w:hint="eastAsia" w:ascii="宋体" w:hAnsi="宋体" w:eastAsia="宋体" w:cs="宋体"/>
          <w:color w:val="1F2937"/>
        </w:rPr>
        <w:t>4. 供应商</w:t>
      </w:r>
    </w:p>
    <w:p w14:paraId="0D4D65E2">
      <w:pPr>
        <w:spacing w:after="70" w:line="330" w:lineRule="auto"/>
        <w:ind w:left="420" w:hanging="260"/>
        <w:rPr>
          <w:rFonts w:hint="eastAsia" w:ascii="宋体" w:hAnsi="宋体" w:eastAsia="宋体" w:cs="宋体"/>
        </w:rPr>
      </w:pPr>
      <w:r>
        <w:rPr>
          <w:rFonts w:hint="eastAsia" w:ascii="宋体" w:hAnsi="宋体" w:eastAsia="宋体" w:cs="宋体"/>
          <w:color w:val="1F2937"/>
        </w:rPr>
        <w:t>5. 质量计划</w:t>
      </w:r>
    </w:p>
    <w:p w14:paraId="790668C8">
      <w:pPr>
        <w:spacing w:after="70" w:line="330" w:lineRule="auto"/>
        <w:ind w:left="420" w:hanging="260"/>
        <w:rPr>
          <w:rFonts w:hint="eastAsia" w:ascii="宋体" w:hAnsi="宋体" w:eastAsia="宋体" w:cs="宋体"/>
        </w:rPr>
      </w:pPr>
      <w:r>
        <w:rPr>
          <w:rFonts w:hint="eastAsia" w:ascii="宋体" w:hAnsi="宋体" w:eastAsia="宋体" w:cs="宋体"/>
          <w:color w:val="1F2937"/>
        </w:rPr>
        <w:t>6. 见证点</w:t>
      </w:r>
    </w:p>
    <w:p w14:paraId="3B208CE2">
      <w:pPr>
        <w:spacing w:after="70" w:line="330" w:lineRule="auto"/>
        <w:ind w:left="420" w:hanging="260"/>
        <w:rPr>
          <w:rFonts w:hint="eastAsia" w:ascii="宋体" w:hAnsi="宋体" w:eastAsia="宋体" w:cs="宋体"/>
        </w:rPr>
      </w:pPr>
      <w:r>
        <w:rPr>
          <w:rFonts w:hint="eastAsia" w:ascii="宋体" w:hAnsi="宋体" w:eastAsia="宋体" w:cs="宋体"/>
          <w:color w:val="1F2937"/>
        </w:rPr>
        <w:t>7. 监造记录</w:t>
      </w:r>
    </w:p>
    <w:p w14:paraId="0785135F">
      <w:pPr>
        <w:spacing w:after="70" w:line="330" w:lineRule="auto"/>
        <w:ind w:left="420" w:hanging="260"/>
        <w:rPr>
          <w:rFonts w:hint="eastAsia" w:ascii="宋体" w:hAnsi="宋体" w:eastAsia="宋体" w:cs="宋体"/>
        </w:rPr>
      </w:pPr>
      <w:r>
        <w:rPr>
          <w:rFonts w:hint="eastAsia" w:ascii="宋体" w:hAnsi="宋体" w:eastAsia="宋体" w:cs="宋体"/>
          <w:color w:val="1F2937"/>
        </w:rPr>
        <w:t>8. 质量问题单</w:t>
      </w:r>
    </w:p>
    <w:p w14:paraId="158F9E35">
      <w:pPr>
        <w:spacing w:after="70" w:line="330" w:lineRule="auto"/>
        <w:ind w:left="420" w:hanging="260"/>
        <w:rPr>
          <w:rFonts w:hint="eastAsia" w:ascii="宋体" w:hAnsi="宋体" w:eastAsia="宋体" w:cs="宋体"/>
        </w:rPr>
      </w:pPr>
      <w:r>
        <w:rPr>
          <w:rFonts w:hint="eastAsia" w:ascii="宋体" w:hAnsi="宋体" w:eastAsia="宋体" w:cs="宋体"/>
          <w:color w:val="1F2937"/>
        </w:rPr>
        <w:t>9. 验收记录</w:t>
      </w:r>
    </w:p>
    <w:p w14:paraId="0B4AAEA6">
      <w:pPr>
        <w:spacing w:after="70" w:line="330" w:lineRule="auto"/>
        <w:ind w:left="420" w:hanging="260"/>
        <w:rPr>
          <w:rFonts w:hint="eastAsia" w:ascii="宋体" w:hAnsi="宋体" w:eastAsia="宋体" w:cs="宋体"/>
        </w:rPr>
      </w:pPr>
      <w:r>
        <w:rPr>
          <w:rFonts w:hint="eastAsia" w:ascii="宋体" w:hAnsi="宋体" w:eastAsia="宋体" w:cs="宋体"/>
          <w:color w:val="1F2937"/>
        </w:rPr>
        <w:t>10. 放行记录</w:t>
      </w:r>
    </w:p>
    <w:p w14:paraId="02D90DDA">
      <w:pPr>
        <w:spacing w:after="70" w:line="330" w:lineRule="auto"/>
        <w:ind w:left="420" w:hanging="260"/>
        <w:rPr>
          <w:rFonts w:hint="eastAsia" w:ascii="宋体" w:hAnsi="宋体" w:eastAsia="宋体" w:cs="宋体"/>
        </w:rPr>
      </w:pPr>
      <w:r>
        <w:rPr>
          <w:rFonts w:hint="eastAsia" w:ascii="宋体" w:hAnsi="宋体" w:eastAsia="宋体" w:cs="宋体"/>
          <w:color w:val="1F2937"/>
        </w:rPr>
        <w:t>11. 二维码信息</w:t>
      </w:r>
    </w:p>
    <w:p w14:paraId="5884EB66">
      <w:pPr>
        <w:spacing w:after="70" w:line="330" w:lineRule="auto"/>
        <w:ind w:left="420" w:hanging="260"/>
        <w:rPr>
          <w:rFonts w:hint="eastAsia" w:ascii="宋体" w:hAnsi="宋体" w:eastAsia="宋体" w:cs="宋体"/>
        </w:rPr>
      </w:pPr>
      <w:r>
        <w:rPr>
          <w:rFonts w:hint="eastAsia" w:ascii="宋体" w:hAnsi="宋体" w:eastAsia="宋体" w:cs="宋体"/>
          <w:color w:val="1F2937"/>
        </w:rPr>
        <w:t>12. 培训与考试记录</w:t>
      </w:r>
    </w:p>
    <w:p w14:paraId="19CE5C38">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.7.2 数据关联主线</w:t>
      </w:r>
    </w:p>
    <w:p w14:paraId="33ADBAB8">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本项目数据设计的主线有两条：</w:t>
      </w:r>
    </w:p>
    <w:p w14:paraId="3A2FF27C">
      <w:pPr>
        <w:spacing w:after="70" w:line="330" w:lineRule="auto"/>
        <w:ind w:left="420" w:hanging="260"/>
        <w:rPr>
          <w:rFonts w:hint="eastAsia" w:ascii="宋体" w:hAnsi="宋体" w:eastAsia="宋体" w:cs="宋体"/>
        </w:rPr>
      </w:pPr>
      <w:r>
        <w:rPr>
          <w:rFonts w:hint="eastAsia" w:ascii="宋体" w:hAnsi="宋体" w:eastAsia="宋体" w:cs="宋体"/>
          <w:color w:val="1F2937"/>
        </w:rPr>
        <w:t>1. 以采购包/合同包为业务组织主线</w:t>
      </w:r>
    </w:p>
    <w:p w14:paraId="1826D906">
      <w:pPr>
        <w:spacing w:after="70" w:line="330" w:lineRule="auto"/>
        <w:ind w:left="420" w:hanging="260"/>
        <w:rPr>
          <w:rFonts w:hint="eastAsia" w:ascii="宋体" w:hAnsi="宋体" w:eastAsia="宋体" w:cs="宋体"/>
        </w:rPr>
      </w:pPr>
      <w:r>
        <w:rPr>
          <w:rFonts w:hint="eastAsia" w:ascii="宋体" w:hAnsi="宋体" w:eastAsia="宋体" w:cs="宋体"/>
          <w:color w:val="1F2937"/>
        </w:rPr>
        <w:t>2. 以采购物项编号/二维码为追溯主线</w:t>
      </w:r>
    </w:p>
    <w:p w14:paraId="05CB3ED1">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所有计划、见证、问题、验收、放行、完工总结和影像资料，都应围绕这两条主线建立关联。</w:t>
      </w:r>
    </w:p>
    <w:p w14:paraId="6247F601">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.7.3 数据字典与统一编码</w:t>
      </w:r>
    </w:p>
    <w:p w14:paraId="27234CC1">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统一编码体系至少覆盖：</w:t>
      </w:r>
    </w:p>
    <w:p w14:paraId="026A8BD9">
      <w:pPr>
        <w:spacing w:after="70" w:line="330" w:lineRule="auto"/>
        <w:ind w:left="420" w:hanging="260"/>
        <w:rPr>
          <w:rFonts w:hint="eastAsia" w:ascii="宋体" w:hAnsi="宋体" w:eastAsia="宋体" w:cs="宋体"/>
        </w:rPr>
      </w:pPr>
      <w:r>
        <w:rPr>
          <w:rFonts w:hint="eastAsia" w:ascii="宋体" w:hAnsi="宋体" w:eastAsia="宋体" w:cs="宋体"/>
          <w:color w:val="1F2937"/>
        </w:rPr>
        <w:t>1. 采购包编码</w:t>
      </w:r>
    </w:p>
    <w:p w14:paraId="43967B3A">
      <w:pPr>
        <w:spacing w:after="70" w:line="330" w:lineRule="auto"/>
        <w:ind w:left="420" w:hanging="260"/>
        <w:rPr>
          <w:rFonts w:hint="eastAsia" w:ascii="宋体" w:hAnsi="宋体" w:eastAsia="宋体" w:cs="宋体"/>
        </w:rPr>
      </w:pPr>
      <w:r>
        <w:rPr>
          <w:rFonts w:hint="eastAsia" w:ascii="宋体" w:hAnsi="宋体" w:eastAsia="宋体" w:cs="宋体"/>
          <w:color w:val="1F2937"/>
        </w:rPr>
        <w:t>2. 采购物项编码</w:t>
      </w:r>
    </w:p>
    <w:p w14:paraId="1BEA72FA">
      <w:pPr>
        <w:spacing w:after="70" w:line="330" w:lineRule="auto"/>
        <w:ind w:left="420" w:hanging="260"/>
        <w:rPr>
          <w:rFonts w:hint="eastAsia" w:ascii="宋体" w:hAnsi="宋体" w:eastAsia="宋体" w:cs="宋体"/>
        </w:rPr>
      </w:pPr>
      <w:r>
        <w:rPr>
          <w:rFonts w:hint="eastAsia" w:ascii="宋体" w:hAnsi="宋体" w:eastAsia="宋体" w:cs="宋体"/>
          <w:color w:val="1F2937"/>
        </w:rPr>
        <w:t>3. 质量计划编码</w:t>
      </w:r>
    </w:p>
    <w:p w14:paraId="29DEC75E">
      <w:pPr>
        <w:spacing w:after="70" w:line="330" w:lineRule="auto"/>
        <w:ind w:left="420" w:hanging="260"/>
        <w:rPr>
          <w:rFonts w:hint="eastAsia" w:ascii="宋体" w:hAnsi="宋体" w:eastAsia="宋体" w:cs="宋体"/>
        </w:rPr>
      </w:pPr>
      <w:r>
        <w:rPr>
          <w:rFonts w:hint="eastAsia" w:ascii="宋体" w:hAnsi="宋体" w:eastAsia="宋体" w:cs="宋体"/>
          <w:color w:val="1F2937"/>
        </w:rPr>
        <w:t>4. 问题单编码</w:t>
      </w:r>
    </w:p>
    <w:p w14:paraId="787E9CD9">
      <w:pPr>
        <w:spacing w:after="70" w:line="330" w:lineRule="auto"/>
        <w:ind w:left="420" w:hanging="260"/>
        <w:rPr>
          <w:rFonts w:hint="eastAsia" w:ascii="宋体" w:hAnsi="宋体" w:eastAsia="宋体" w:cs="宋体"/>
        </w:rPr>
      </w:pPr>
      <w:r>
        <w:rPr>
          <w:rFonts w:hint="eastAsia" w:ascii="宋体" w:hAnsi="宋体" w:eastAsia="宋体" w:cs="宋体"/>
          <w:color w:val="1F2937"/>
        </w:rPr>
        <w:t>5. 验收记录编码</w:t>
      </w:r>
    </w:p>
    <w:p w14:paraId="17AE2C4B">
      <w:pPr>
        <w:spacing w:after="70" w:line="330" w:lineRule="auto"/>
        <w:ind w:left="420" w:hanging="260"/>
        <w:rPr>
          <w:rFonts w:hint="eastAsia" w:ascii="宋体" w:hAnsi="宋体" w:eastAsia="宋体" w:cs="宋体"/>
        </w:rPr>
      </w:pPr>
      <w:r>
        <w:rPr>
          <w:rFonts w:hint="eastAsia" w:ascii="宋体" w:hAnsi="宋体" w:eastAsia="宋体" w:cs="宋体"/>
          <w:color w:val="1F2937"/>
        </w:rPr>
        <w:t>6. 放行单编码</w:t>
      </w:r>
    </w:p>
    <w:p w14:paraId="230A1275">
      <w:pPr>
        <w:spacing w:after="70" w:line="330" w:lineRule="auto"/>
        <w:ind w:left="420" w:hanging="260"/>
        <w:rPr>
          <w:rFonts w:hint="eastAsia" w:ascii="宋体" w:hAnsi="宋体" w:eastAsia="宋体" w:cs="宋体"/>
        </w:rPr>
      </w:pPr>
      <w:r>
        <w:rPr>
          <w:rFonts w:hint="eastAsia" w:ascii="宋体" w:hAnsi="宋体" w:eastAsia="宋体" w:cs="宋体"/>
          <w:color w:val="1F2937"/>
        </w:rPr>
        <w:t>7. 培训与考试编码</w:t>
      </w:r>
    </w:p>
    <w:p w14:paraId="5E0A611B">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统一编码的价值在于：</w:t>
      </w:r>
    </w:p>
    <w:p w14:paraId="3612F7EC">
      <w:pPr>
        <w:spacing w:after="70" w:line="330" w:lineRule="auto"/>
        <w:ind w:left="420" w:hanging="260"/>
        <w:rPr>
          <w:rFonts w:hint="eastAsia" w:ascii="宋体" w:hAnsi="宋体" w:eastAsia="宋体" w:cs="宋体"/>
        </w:rPr>
      </w:pPr>
      <w:r>
        <w:rPr>
          <w:rFonts w:hint="eastAsia" w:ascii="宋体" w:hAnsi="宋体" w:eastAsia="宋体" w:cs="宋体"/>
          <w:color w:val="1F2937"/>
        </w:rPr>
        <w:t>1. 利于跨模块关联</w:t>
      </w:r>
    </w:p>
    <w:p w14:paraId="3F0ED472">
      <w:pPr>
        <w:spacing w:after="70" w:line="330" w:lineRule="auto"/>
        <w:ind w:left="420" w:hanging="260"/>
        <w:rPr>
          <w:rFonts w:hint="eastAsia" w:ascii="宋体" w:hAnsi="宋体" w:eastAsia="宋体" w:cs="宋体"/>
        </w:rPr>
      </w:pPr>
      <w:r>
        <w:rPr>
          <w:rFonts w:hint="eastAsia" w:ascii="宋体" w:hAnsi="宋体" w:eastAsia="宋体" w:cs="宋体"/>
          <w:color w:val="1F2937"/>
        </w:rPr>
        <w:t>2. 利于导出与归档</w:t>
      </w:r>
    </w:p>
    <w:p w14:paraId="7B4AF4B7">
      <w:pPr>
        <w:spacing w:after="70" w:line="330" w:lineRule="auto"/>
        <w:ind w:left="420" w:hanging="260"/>
        <w:rPr>
          <w:rFonts w:hint="eastAsia" w:ascii="宋体" w:hAnsi="宋体" w:eastAsia="宋体" w:cs="宋体"/>
        </w:rPr>
      </w:pPr>
      <w:r>
        <w:rPr>
          <w:rFonts w:hint="eastAsia" w:ascii="宋体" w:hAnsi="宋体" w:eastAsia="宋体" w:cs="宋体"/>
          <w:color w:val="1F2937"/>
        </w:rPr>
        <w:t>3. 利于追溯和统计</w:t>
      </w:r>
    </w:p>
    <w:p w14:paraId="05EEEEBA">
      <w:pPr>
        <w:spacing w:after="70" w:line="330" w:lineRule="auto"/>
        <w:ind w:left="420" w:hanging="260"/>
        <w:rPr>
          <w:rFonts w:hint="eastAsia" w:ascii="宋体" w:hAnsi="宋体" w:eastAsia="宋体" w:cs="宋体"/>
        </w:rPr>
      </w:pPr>
      <w:r>
        <w:rPr>
          <w:rFonts w:hint="eastAsia" w:ascii="宋体" w:hAnsi="宋体" w:eastAsia="宋体" w:cs="宋体"/>
          <w:color w:val="1F2937"/>
        </w:rPr>
        <w:t>4. 利于外部系统接口映射</w:t>
      </w:r>
    </w:p>
    <w:p w14:paraId="585AFDAD">
      <w:pPr>
        <w:pStyle w:val="5"/>
        <w:bidi w:val="0"/>
        <w:rPr>
          <w:rFonts w:hint="eastAsia" w:ascii="宋体" w:hAnsi="宋体" w:eastAsia="宋体" w:cs="宋体"/>
          <w:b w:val="0"/>
          <w:bCs/>
          <w:lang w:val="en-US" w:eastAsia="zh-CN"/>
        </w:rPr>
      </w:pPr>
      <w:r>
        <w:rPr>
          <w:rFonts w:hint="eastAsia" w:cs="宋体"/>
          <w:b w:val="0"/>
          <w:bCs/>
          <w:lang w:val="en-US" w:eastAsia="zh-CN"/>
        </w:rPr>
        <w:t>11.2</w:t>
      </w:r>
      <w:r>
        <w:rPr>
          <w:rFonts w:hint="eastAsia" w:ascii="宋体" w:hAnsi="宋体" w:eastAsia="宋体" w:cs="宋体"/>
          <w:b w:val="0"/>
          <w:bCs/>
          <w:lang w:val="en-US" w:eastAsia="zh-CN"/>
        </w:rPr>
        <w:t>.8 扩展性与可维护性设计</w:t>
      </w:r>
    </w:p>
    <w:p w14:paraId="4408CAA9">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.8.1 扩展性设计</w:t>
      </w:r>
    </w:p>
    <w:p w14:paraId="0549D270">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本架构在以下方面预留扩展能力：</w:t>
      </w:r>
    </w:p>
    <w:p w14:paraId="635845EE">
      <w:pPr>
        <w:spacing w:after="70" w:line="330" w:lineRule="auto"/>
        <w:ind w:left="420" w:hanging="260"/>
        <w:rPr>
          <w:rFonts w:hint="eastAsia" w:ascii="宋体" w:hAnsi="宋体" w:eastAsia="宋体" w:cs="宋体"/>
        </w:rPr>
      </w:pPr>
      <w:r>
        <w:rPr>
          <w:rFonts w:hint="eastAsia" w:ascii="宋体" w:hAnsi="宋体" w:eastAsia="宋体" w:cs="宋体"/>
          <w:color w:val="1F2937"/>
        </w:rPr>
        <w:t>1. 业务模块可继续新增</w:t>
      </w:r>
    </w:p>
    <w:p w14:paraId="3ECF03B3">
      <w:pPr>
        <w:spacing w:after="70" w:line="330" w:lineRule="auto"/>
        <w:ind w:left="420" w:hanging="260"/>
        <w:rPr>
          <w:rFonts w:hint="eastAsia" w:ascii="宋体" w:hAnsi="宋体" w:eastAsia="宋体" w:cs="宋体"/>
        </w:rPr>
      </w:pPr>
      <w:r>
        <w:rPr>
          <w:rFonts w:hint="eastAsia" w:ascii="宋体" w:hAnsi="宋体" w:eastAsia="宋体" w:cs="宋体"/>
          <w:color w:val="1F2937"/>
        </w:rPr>
        <w:t>2. 可视化驾驶舱可按管理口径继续扩展</w:t>
      </w:r>
    </w:p>
    <w:p w14:paraId="497DFE11">
      <w:pPr>
        <w:spacing w:after="70" w:line="330" w:lineRule="auto"/>
        <w:ind w:left="420" w:hanging="260"/>
        <w:rPr>
          <w:rFonts w:hint="eastAsia" w:ascii="宋体" w:hAnsi="宋体" w:eastAsia="宋体" w:cs="宋体"/>
        </w:rPr>
      </w:pPr>
      <w:r>
        <w:rPr>
          <w:rFonts w:hint="eastAsia" w:ascii="宋体" w:hAnsi="宋体" w:eastAsia="宋体" w:cs="宋体"/>
          <w:color w:val="1F2937"/>
        </w:rPr>
        <w:t>3. 移动端可从轻量接入演进到独立 APP</w:t>
      </w:r>
    </w:p>
    <w:p w14:paraId="7D7CB0A3">
      <w:pPr>
        <w:spacing w:after="70" w:line="330" w:lineRule="auto"/>
        <w:ind w:left="420" w:hanging="260"/>
        <w:rPr>
          <w:rFonts w:hint="eastAsia" w:ascii="宋体" w:hAnsi="宋体" w:eastAsia="宋体" w:cs="宋体"/>
        </w:rPr>
      </w:pPr>
      <w:r>
        <w:rPr>
          <w:rFonts w:hint="eastAsia" w:ascii="宋体" w:hAnsi="宋体" w:eastAsia="宋体" w:cs="宋体"/>
          <w:color w:val="1F2937"/>
        </w:rPr>
        <w:t>4. 外部系统接口可按统一标准继续扩展</w:t>
      </w:r>
    </w:p>
    <w:p w14:paraId="3A15E258">
      <w:pPr>
        <w:spacing w:after="70" w:line="330" w:lineRule="auto"/>
        <w:ind w:left="420" w:hanging="260"/>
        <w:rPr>
          <w:rFonts w:hint="eastAsia" w:ascii="宋体" w:hAnsi="宋体" w:eastAsia="宋体" w:cs="宋体"/>
        </w:rPr>
      </w:pPr>
      <w:r>
        <w:rPr>
          <w:rFonts w:hint="eastAsia" w:ascii="宋体" w:hAnsi="宋体" w:eastAsia="宋体" w:cs="宋体"/>
          <w:color w:val="1F2937"/>
        </w:rPr>
        <w:t>5. AI、OCR、视频能力可按业务场景继续增强</w:t>
      </w:r>
    </w:p>
    <w:p w14:paraId="020EF441">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11.2</w:t>
      </w:r>
      <w:r>
        <w:rPr>
          <w:rFonts w:hint="eastAsia" w:ascii="宋体" w:hAnsi="宋体" w:eastAsia="宋体" w:cs="宋体"/>
          <w:b w:val="0"/>
          <w:bCs/>
          <w:lang w:val="en-US" w:eastAsia="zh-CN"/>
        </w:rPr>
        <w:t>.8.2 可维护性设计</w:t>
      </w:r>
    </w:p>
    <w:p w14:paraId="11C48749">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可维护性主要体现在：</w:t>
      </w:r>
    </w:p>
    <w:p w14:paraId="27D5FAAA">
      <w:pPr>
        <w:spacing w:after="70" w:line="330" w:lineRule="auto"/>
        <w:ind w:left="420" w:hanging="260"/>
        <w:rPr>
          <w:rFonts w:hint="eastAsia" w:ascii="宋体" w:hAnsi="宋体" w:eastAsia="宋体" w:cs="宋体"/>
        </w:rPr>
      </w:pPr>
      <w:r>
        <w:rPr>
          <w:rFonts w:hint="eastAsia" w:ascii="宋体" w:hAnsi="宋体" w:eastAsia="宋体" w:cs="宋体"/>
          <w:color w:val="1F2937"/>
        </w:rPr>
        <w:t>1. 模块边界清晰</w:t>
      </w:r>
    </w:p>
    <w:p w14:paraId="2ED0CFEE">
      <w:pPr>
        <w:spacing w:after="70" w:line="330" w:lineRule="auto"/>
        <w:ind w:left="420" w:hanging="260"/>
        <w:rPr>
          <w:rFonts w:hint="eastAsia" w:ascii="宋体" w:hAnsi="宋体" w:eastAsia="宋体" w:cs="宋体"/>
        </w:rPr>
      </w:pPr>
      <w:r>
        <w:rPr>
          <w:rFonts w:hint="eastAsia" w:ascii="宋体" w:hAnsi="宋体" w:eastAsia="宋体" w:cs="宋体"/>
          <w:color w:val="1F2937"/>
        </w:rPr>
        <w:t>2. 日志和审计能力完整</w:t>
      </w:r>
    </w:p>
    <w:p w14:paraId="5F1D4EEB">
      <w:pPr>
        <w:spacing w:after="70" w:line="330" w:lineRule="auto"/>
        <w:ind w:left="420" w:hanging="260"/>
        <w:rPr>
          <w:rFonts w:hint="eastAsia" w:ascii="宋体" w:hAnsi="宋体" w:eastAsia="宋体" w:cs="宋体"/>
        </w:rPr>
      </w:pPr>
      <w:r>
        <w:rPr>
          <w:rFonts w:hint="eastAsia" w:ascii="宋体" w:hAnsi="宋体" w:eastAsia="宋体" w:cs="宋体"/>
          <w:color w:val="1F2937"/>
        </w:rPr>
        <w:t>3. 配置、发布、脚本和回滚说明可交付</w:t>
      </w:r>
    </w:p>
    <w:p w14:paraId="7F85ECFB">
      <w:pPr>
        <w:spacing w:after="70" w:line="330" w:lineRule="auto"/>
        <w:ind w:left="420" w:hanging="260"/>
        <w:rPr>
          <w:rFonts w:hint="eastAsia"/>
          <w:lang w:val="en-US" w:eastAsia="zh-CN"/>
        </w:rPr>
      </w:pPr>
      <w:r>
        <w:rPr>
          <w:rFonts w:hint="eastAsia" w:ascii="宋体" w:hAnsi="宋体" w:eastAsia="宋体" w:cs="宋体"/>
          <w:color w:val="1F2937"/>
        </w:rPr>
        <w:t>4. 运维手册和知识转移清单完整</w:t>
      </w:r>
      <w:r>
        <w:br w:type="page"/>
      </w:r>
    </w:p>
    <w:p w14:paraId="1BE7FEE6">
      <w:pPr>
        <w:pStyle w:val="3"/>
        <w:bidi w:val="0"/>
        <w:rPr>
          <w:rFonts w:hint="eastAsia"/>
        </w:rPr>
      </w:pPr>
      <w:r>
        <w:rPr>
          <w:rFonts w:hint="eastAsia"/>
        </w:rPr>
        <w:t>11.3 系统设计要求及成熟度</w:t>
      </w:r>
    </w:p>
    <w:p w14:paraId="5D65B414">
      <w:pPr>
        <w:pStyle w:val="5"/>
        <w:bidi w:val="0"/>
        <w:rPr>
          <w:rFonts w:hint="eastAsia"/>
          <w:lang w:val="en-US" w:eastAsia="zh-CN"/>
        </w:rPr>
      </w:pPr>
      <w:r>
        <w:rPr>
          <w:rFonts w:hint="eastAsia"/>
          <w:lang w:val="en-US" w:eastAsia="zh-CN"/>
        </w:rPr>
        <w:t>11.3.1 系统安全性保障</w:t>
      </w:r>
    </w:p>
    <w:p w14:paraId="5B38F0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系统提供系统化安全保护能力和故障恢复能力，具备多种安全性防护及保障手段，保证系统中网络、数据的安全及完整性，从整体上保护监造管理系统相关信息免遭非授权的泄露和破坏。</w:t>
      </w:r>
    </w:p>
    <w:p w14:paraId="1DAE55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VPN技术：系统采用VPN技术，建立互联网加密传输通道，实现加密传输、身份验证和访问控制，允许监造人员通过VPN远程访问系统。</w:t>
      </w:r>
    </w:p>
    <w:p w14:paraId="00AF7A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等保测评：系统上线前通过等级保护测评（测评机构入选公安部发布的《网络安全等级保护测评机构推荐目录》），并完成问题整改。</w:t>
      </w:r>
    </w:p>
    <w:p w14:paraId="328363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代码安全检测：委托具备中国国家认证认可监督管理委员会（CNCA）认可的软件测试机构资质的检测机构进行第三方代码安全检测。</w:t>
      </w:r>
    </w:p>
    <w:p w14:paraId="2EF285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漏洞检测：委托具备CCRC信息安全服务资质的检测机构进行漏洞检测。</w:t>
      </w:r>
    </w:p>
    <w:p w14:paraId="25CEBB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保密自监管：建设保密自监管设施，定期开展安全保密检查和风险评估，配合保密行政管理部门排查预警事件，及时发现并处置安全保密风险隐患。相关费用由投标人承担。</w:t>
      </w:r>
    </w:p>
    <w:p w14:paraId="40D6E0C7">
      <w:pPr>
        <w:pStyle w:val="5"/>
        <w:bidi w:val="0"/>
        <w:rPr>
          <w:rFonts w:hint="eastAsia"/>
          <w:lang w:val="en-US" w:eastAsia="zh-CN"/>
        </w:rPr>
      </w:pPr>
      <w:r>
        <w:rPr>
          <w:rFonts w:hint="eastAsia"/>
          <w:lang w:val="en-US" w:eastAsia="zh-CN"/>
        </w:rPr>
        <w:t>11.3.2 系统成熟性与自主知识产权</w:t>
      </w:r>
    </w:p>
    <w:p w14:paraId="371B3B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所采用的软件平台拥有成熟的、完整独立的自主知识产权体系。在监造信息化系统相关模块化标准产品上拥有多项软件著作权、专利及行业标准。采用成熟稳定的主流技术，开放的体系结构，基于网络和计算机技术领域的主流技术。</w:t>
      </w:r>
    </w:p>
    <w:p w14:paraId="7FCB371B">
      <w:pPr>
        <w:pStyle w:val="5"/>
        <w:bidi w:val="0"/>
        <w:rPr>
          <w:rFonts w:hint="eastAsia"/>
          <w:lang w:val="en-US" w:eastAsia="zh-CN"/>
        </w:rPr>
      </w:pPr>
      <w:r>
        <w:rPr>
          <w:rFonts w:hint="eastAsia"/>
          <w:lang w:val="en-US" w:eastAsia="zh-CN"/>
        </w:rPr>
        <w:t>11.3.3 系统易用性设计</w:t>
      </w:r>
    </w:p>
    <w:p w14:paraId="090305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系统可操作性强，为用户提供简洁方便的操作界面。该监造信息化系统在互联网上实施，网页界面布局醒目、独特，与其它集团内部工作系统有明显区分。</w:t>
      </w:r>
    </w:p>
    <w:p w14:paraId="01550C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系统权限设计层次清晰，用户、角色设置与权限控制可逐级授权分级管理。</w:t>
      </w:r>
    </w:p>
    <w:p w14:paraId="3F10BC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提供数据备份与恢复功能，保证系统宕机后能够及时恢复，提供备份策略、计划和工具。</w:t>
      </w:r>
    </w:p>
    <w:p w14:paraId="69A00B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系统提供运行情况监控，如资源占用、任务队列信息等，方便系统故障排查。</w:t>
      </w:r>
    </w:p>
    <w:p w14:paraId="2B9F1D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必要时，支持将大量数据转入集团商网，实现互联网与商网数据交互。</w:t>
      </w:r>
    </w:p>
    <w:p w14:paraId="78ADA9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整体的UI/UE设计注重用户体验，参考互联网用户体验经验，对栏目布局、操作次数、页面设计等方面进行综合规划。整合门户及平台的信息与服务，展示信息和资源，突出重点内容，整合布局合理，页面布局充实饱满、整洁清晰、美观大方，同时自适应多种分辨率。</w:t>
      </w:r>
    </w:p>
    <w:p w14:paraId="1611B020">
      <w:pPr>
        <w:pStyle w:val="5"/>
        <w:bidi w:val="0"/>
        <w:rPr>
          <w:rFonts w:hint="eastAsia"/>
          <w:lang w:val="en-US" w:eastAsia="zh-CN"/>
        </w:rPr>
      </w:pPr>
      <w:r>
        <w:rPr>
          <w:rFonts w:hint="eastAsia"/>
          <w:lang w:val="en-US" w:eastAsia="zh-CN"/>
        </w:rPr>
        <w:t>11.3.4 系统扩展性设计</w:t>
      </w:r>
    </w:p>
    <w:p w14:paraId="3742E4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采用稳定可靠、符合业界标准及发展趋势的平台，满足系统不断发展的业务需求和能力需求。通过标准的系统交互接口（RESTful API、WebService），达到与其他应用系统之间的松耦合集成，实现系统的扩展和与其他系统的结合。系统符合三层B/S体系结构，随着应用水平的提高、规模的扩大和需求的增加，无需对系统体系结构做较大改变即可对系统功能实现扩展。架构设计预留扩展空间，支持后期手机APP端的开发与接入（APP端规划实现待办工作查看、文件浏览、文件签批等功能）。</w:t>
      </w:r>
    </w:p>
    <w:p w14:paraId="44DBE62B">
      <w:pPr>
        <w:pStyle w:val="5"/>
        <w:bidi w:val="0"/>
        <w:rPr>
          <w:rFonts w:hint="eastAsia"/>
          <w:lang w:val="en-US" w:eastAsia="zh-CN"/>
        </w:rPr>
      </w:pPr>
      <w:r>
        <w:rPr>
          <w:rFonts w:hint="eastAsia"/>
          <w:lang w:val="en-US" w:eastAsia="zh-CN"/>
        </w:rPr>
        <w:t>11.3.5 系统可维护性设计</w:t>
      </w:r>
    </w:p>
    <w:p w14:paraId="1F9DA5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应用系统采用构件化设计思想，系统框架与业务逻辑分离。当出现异常错误报告时，提供详细的异常信息。当系统负荷加大时，仍能确保所需的服务质量，无需更改整个系统的架构。应用系统支持各构件的单独升级，任一模块更新、加载时，在不更新与上下模块接口的前提下，不影响业务运转和服务。实现对系统的统一监控，监控内容包括运行状态、健康检查、告警、日志、分析等。</w:t>
      </w:r>
    </w:p>
    <w:p w14:paraId="01140ADB">
      <w:pPr>
        <w:pStyle w:val="5"/>
        <w:bidi w:val="0"/>
        <w:rPr>
          <w:rFonts w:hint="eastAsia"/>
          <w:lang w:val="en-US" w:eastAsia="zh-CN"/>
        </w:rPr>
      </w:pPr>
      <w:r>
        <w:rPr>
          <w:rFonts w:hint="eastAsia"/>
          <w:lang w:val="en-US" w:eastAsia="zh-CN"/>
        </w:rPr>
        <w:t>11.3.6 系统性能保障</w:t>
      </w:r>
    </w:p>
    <w:p w14:paraId="3B1378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系统性能指标全面满足并优于招标要求，具体如下：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498B9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vAlign w:val="center"/>
          </w:tcPr>
          <w:p w14:paraId="0C6DEFA7">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性能指标</w:t>
            </w:r>
          </w:p>
        </w:tc>
        <w:tc>
          <w:tcPr>
            <w:tcW w:w="2882" w:type="dxa"/>
            <w:shd w:val="clear" w:color="auto" w:fill="D9E2F3"/>
            <w:vAlign w:val="center"/>
          </w:tcPr>
          <w:p w14:paraId="620E5101">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招标要求</w:t>
            </w:r>
          </w:p>
        </w:tc>
        <w:tc>
          <w:tcPr>
            <w:tcW w:w="2882" w:type="dxa"/>
            <w:shd w:val="clear" w:color="auto" w:fill="D9E2F3"/>
            <w:vAlign w:val="center"/>
          </w:tcPr>
          <w:p w14:paraId="06F65C44">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我方承诺</w:t>
            </w:r>
          </w:p>
        </w:tc>
      </w:tr>
      <w:tr w14:paraId="4F2D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1105AB69">
            <w:pPr>
              <w:spacing w:after="0" w:line="240" w:lineRule="auto"/>
              <w:rPr>
                <w:rFonts w:hint="eastAsia" w:ascii="宋体" w:hAnsi="宋体" w:eastAsia="宋体" w:cs="宋体"/>
                <w:sz w:val="24"/>
                <w:szCs w:val="24"/>
              </w:rPr>
            </w:pPr>
            <w:r>
              <w:rPr>
                <w:rFonts w:hint="eastAsia" w:ascii="宋体" w:hAnsi="宋体" w:eastAsia="宋体" w:cs="宋体"/>
                <w:sz w:val="24"/>
                <w:szCs w:val="24"/>
              </w:rPr>
              <w:t>并发用户数</w:t>
            </w:r>
          </w:p>
        </w:tc>
        <w:tc>
          <w:tcPr>
            <w:tcW w:w="2882" w:type="dxa"/>
            <w:vAlign w:val="center"/>
          </w:tcPr>
          <w:p w14:paraId="4F413C93">
            <w:pPr>
              <w:spacing w:after="0" w:line="240" w:lineRule="auto"/>
              <w:rPr>
                <w:rFonts w:hint="eastAsia" w:ascii="宋体" w:hAnsi="宋体" w:eastAsia="宋体" w:cs="宋体"/>
                <w:sz w:val="24"/>
                <w:szCs w:val="24"/>
              </w:rPr>
            </w:pPr>
            <w:r>
              <w:rPr>
                <w:rFonts w:hint="eastAsia" w:ascii="宋体" w:hAnsi="宋体" w:eastAsia="宋体" w:cs="宋体"/>
                <w:sz w:val="24"/>
                <w:szCs w:val="24"/>
              </w:rPr>
              <w:t>100用户</w:t>
            </w:r>
          </w:p>
        </w:tc>
        <w:tc>
          <w:tcPr>
            <w:tcW w:w="2882" w:type="dxa"/>
            <w:vAlign w:val="center"/>
          </w:tcPr>
          <w:p w14:paraId="7E676D9C">
            <w:pPr>
              <w:spacing w:after="0" w:line="240" w:lineRule="auto"/>
              <w:rPr>
                <w:rFonts w:hint="eastAsia" w:ascii="宋体" w:hAnsi="宋体" w:eastAsia="宋体" w:cs="宋体"/>
                <w:sz w:val="24"/>
                <w:szCs w:val="24"/>
              </w:rPr>
            </w:pPr>
            <w:r>
              <w:rPr>
                <w:rFonts w:hint="eastAsia" w:ascii="宋体" w:hAnsi="宋体" w:eastAsia="宋体" w:cs="宋体"/>
                <w:sz w:val="24"/>
                <w:szCs w:val="24"/>
              </w:rPr>
              <w:t>支持200+用户同时访问</w:t>
            </w:r>
          </w:p>
        </w:tc>
      </w:tr>
      <w:tr w14:paraId="3565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3A1C691C">
            <w:pPr>
              <w:spacing w:after="0" w:line="240" w:lineRule="auto"/>
              <w:rPr>
                <w:rFonts w:hint="eastAsia" w:ascii="宋体" w:hAnsi="宋体" w:eastAsia="宋体" w:cs="宋体"/>
                <w:sz w:val="24"/>
                <w:szCs w:val="24"/>
              </w:rPr>
            </w:pPr>
            <w:r>
              <w:rPr>
                <w:rFonts w:hint="eastAsia" w:ascii="宋体" w:hAnsi="宋体" w:eastAsia="宋体" w:cs="宋体"/>
                <w:sz w:val="24"/>
                <w:szCs w:val="24"/>
              </w:rPr>
              <w:t>CPU利用率峰值</w:t>
            </w:r>
          </w:p>
        </w:tc>
        <w:tc>
          <w:tcPr>
            <w:tcW w:w="2882" w:type="dxa"/>
            <w:vAlign w:val="center"/>
          </w:tcPr>
          <w:p w14:paraId="12F5DD72">
            <w:pPr>
              <w:spacing w:after="0" w:line="240" w:lineRule="auto"/>
              <w:rPr>
                <w:rFonts w:hint="eastAsia" w:ascii="宋体" w:hAnsi="宋体" w:eastAsia="宋体" w:cs="宋体"/>
                <w:sz w:val="24"/>
                <w:szCs w:val="24"/>
              </w:rPr>
            </w:pPr>
            <w:r>
              <w:rPr>
                <w:rFonts w:hint="eastAsia" w:ascii="宋体" w:hAnsi="宋体" w:eastAsia="宋体" w:cs="宋体"/>
                <w:sz w:val="24"/>
                <w:szCs w:val="24"/>
              </w:rPr>
              <w:t>≤70%</w:t>
            </w:r>
          </w:p>
        </w:tc>
        <w:tc>
          <w:tcPr>
            <w:tcW w:w="2882" w:type="dxa"/>
            <w:vAlign w:val="center"/>
          </w:tcPr>
          <w:p w14:paraId="2800CD4F">
            <w:pPr>
              <w:spacing w:after="0" w:line="240" w:lineRule="auto"/>
              <w:rPr>
                <w:rFonts w:hint="eastAsia" w:ascii="宋体" w:hAnsi="宋体" w:eastAsia="宋体" w:cs="宋体"/>
                <w:sz w:val="24"/>
                <w:szCs w:val="24"/>
              </w:rPr>
            </w:pPr>
            <w:r>
              <w:rPr>
                <w:rFonts w:hint="eastAsia" w:ascii="宋体" w:hAnsi="宋体" w:eastAsia="宋体" w:cs="宋体"/>
                <w:sz w:val="24"/>
                <w:szCs w:val="24"/>
              </w:rPr>
              <w:t>≤60%</w:t>
            </w:r>
          </w:p>
        </w:tc>
      </w:tr>
      <w:tr w14:paraId="2DDC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134BFA27">
            <w:pPr>
              <w:spacing w:after="0" w:line="240" w:lineRule="auto"/>
              <w:rPr>
                <w:rFonts w:hint="eastAsia" w:ascii="宋体" w:hAnsi="宋体" w:eastAsia="宋体" w:cs="宋体"/>
                <w:sz w:val="24"/>
                <w:szCs w:val="24"/>
              </w:rPr>
            </w:pPr>
            <w:r>
              <w:rPr>
                <w:rFonts w:hint="eastAsia" w:ascii="宋体" w:hAnsi="宋体" w:eastAsia="宋体" w:cs="宋体"/>
                <w:sz w:val="24"/>
                <w:szCs w:val="24"/>
              </w:rPr>
              <w:t>内存利用率峰值</w:t>
            </w:r>
          </w:p>
        </w:tc>
        <w:tc>
          <w:tcPr>
            <w:tcW w:w="2882" w:type="dxa"/>
            <w:vAlign w:val="center"/>
          </w:tcPr>
          <w:p w14:paraId="1453AE8F">
            <w:pPr>
              <w:spacing w:after="0" w:line="240" w:lineRule="auto"/>
              <w:rPr>
                <w:rFonts w:hint="eastAsia" w:ascii="宋体" w:hAnsi="宋体" w:eastAsia="宋体" w:cs="宋体"/>
                <w:sz w:val="24"/>
                <w:szCs w:val="24"/>
              </w:rPr>
            </w:pPr>
            <w:r>
              <w:rPr>
                <w:rFonts w:hint="eastAsia" w:ascii="宋体" w:hAnsi="宋体" w:eastAsia="宋体" w:cs="宋体"/>
                <w:sz w:val="24"/>
                <w:szCs w:val="24"/>
              </w:rPr>
              <w:t>≤60%</w:t>
            </w:r>
          </w:p>
        </w:tc>
        <w:tc>
          <w:tcPr>
            <w:tcW w:w="2882" w:type="dxa"/>
            <w:vAlign w:val="center"/>
          </w:tcPr>
          <w:p w14:paraId="637BE675">
            <w:pPr>
              <w:spacing w:after="0" w:line="240" w:lineRule="auto"/>
              <w:rPr>
                <w:rFonts w:hint="eastAsia" w:ascii="宋体" w:hAnsi="宋体" w:eastAsia="宋体" w:cs="宋体"/>
                <w:sz w:val="24"/>
                <w:szCs w:val="24"/>
              </w:rPr>
            </w:pPr>
            <w:r>
              <w:rPr>
                <w:rFonts w:hint="eastAsia" w:ascii="宋体" w:hAnsi="宋体" w:eastAsia="宋体" w:cs="宋体"/>
                <w:sz w:val="24"/>
                <w:szCs w:val="24"/>
              </w:rPr>
              <w:t>≤50%</w:t>
            </w:r>
          </w:p>
        </w:tc>
      </w:tr>
      <w:tr w14:paraId="00A13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33F7DF5A">
            <w:pPr>
              <w:spacing w:after="0" w:line="240" w:lineRule="auto"/>
              <w:rPr>
                <w:rFonts w:hint="eastAsia" w:ascii="宋体" w:hAnsi="宋体" w:eastAsia="宋体" w:cs="宋体"/>
                <w:sz w:val="24"/>
                <w:szCs w:val="24"/>
              </w:rPr>
            </w:pPr>
            <w:r>
              <w:rPr>
                <w:rFonts w:hint="eastAsia" w:ascii="宋体" w:hAnsi="宋体" w:eastAsia="宋体" w:cs="宋体"/>
                <w:sz w:val="24"/>
                <w:szCs w:val="24"/>
              </w:rPr>
              <w:t>登录响应时间</w:t>
            </w:r>
          </w:p>
        </w:tc>
        <w:tc>
          <w:tcPr>
            <w:tcW w:w="2882" w:type="dxa"/>
            <w:vAlign w:val="center"/>
          </w:tcPr>
          <w:p w14:paraId="319D19F9">
            <w:pPr>
              <w:spacing w:after="0" w:line="240" w:lineRule="auto"/>
              <w:rPr>
                <w:rFonts w:hint="eastAsia" w:ascii="宋体" w:hAnsi="宋体" w:eastAsia="宋体" w:cs="宋体"/>
                <w:sz w:val="24"/>
                <w:szCs w:val="24"/>
              </w:rPr>
            </w:pPr>
            <w:r>
              <w:rPr>
                <w:rFonts w:hint="eastAsia" w:ascii="宋体" w:hAnsi="宋体" w:eastAsia="宋体" w:cs="宋体"/>
                <w:sz w:val="24"/>
                <w:szCs w:val="24"/>
              </w:rPr>
              <w:t>&lt;1秒</w:t>
            </w:r>
          </w:p>
        </w:tc>
        <w:tc>
          <w:tcPr>
            <w:tcW w:w="2882" w:type="dxa"/>
            <w:vAlign w:val="center"/>
          </w:tcPr>
          <w:p w14:paraId="67B5A353">
            <w:pPr>
              <w:spacing w:after="0" w:line="240" w:lineRule="auto"/>
              <w:rPr>
                <w:rFonts w:hint="eastAsia" w:ascii="宋体" w:hAnsi="宋体" w:eastAsia="宋体" w:cs="宋体"/>
                <w:sz w:val="24"/>
                <w:szCs w:val="24"/>
              </w:rPr>
            </w:pPr>
            <w:r>
              <w:rPr>
                <w:rFonts w:hint="eastAsia" w:ascii="宋体" w:hAnsi="宋体" w:eastAsia="宋体" w:cs="宋体"/>
                <w:sz w:val="24"/>
                <w:szCs w:val="24"/>
              </w:rPr>
              <w:t>&lt;0.5秒</w:t>
            </w:r>
          </w:p>
        </w:tc>
      </w:tr>
      <w:tr w14:paraId="7EFE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5591A7FC">
            <w:pPr>
              <w:spacing w:after="0" w:line="240" w:lineRule="auto"/>
              <w:rPr>
                <w:rFonts w:hint="eastAsia" w:ascii="宋体" w:hAnsi="宋体" w:eastAsia="宋体" w:cs="宋体"/>
                <w:sz w:val="24"/>
                <w:szCs w:val="24"/>
              </w:rPr>
            </w:pPr>
            <w:r>
              <w:rPr>
                <w:rFonts w:hint="eastAsia" w:ascii="宋体" w:hAnsi="宋体" w:eastAsia="宋体" w:cs="宋体"/>
                <w:sz w:val="24"/>
                <w:szCs w:val="24"/>
              </w:rPr>
              <w:t>简单查询响应时间</w:t>
            </w:r>
          </w:p>
        </w:tc>
        <w:tc>
          <w:tcPr>
            <w:tcW w:w="2882" w:type="dxa"/>
            <w:vAlign w:val="center"/>
          </w:tcPr>
          <w:p w14:paraId="4687372A">
            <w:pPr>
              <w:spacing w:after="0" w:line="240" w:lineRule="auto"/>
              <w:rPr>
                <w:rFonts w:hint="eastAsia" w:ascii="宋体" w:hAnsi="宋体" w:eastAsia="宋体" w:cs="宋体"/>
                <w:sz w:val="24"/>
                <w:szCs w:val="24"/>
              </w:rPr>
            </w:pPr>
            <w:r>
              <w:rPr>
                <w:rFonts w:hint="eastAsia" w:ascii="宋体" w:hAnsi="宋体" w:eastAsia="宋体" w:cs="宋体"/>
                <w:sz w:val="24"/>
                <w:szCs w:val="24"/>
              </w:rPr>
              <w:t>&lt;1秒</w:t>
            </w:r>
          </w:p>
        </w:tc>
        <w:tc>
          <w:tcPr>
            <w:tcW w:w="2882" w:type="dxa"/>
            <w:vAlign w:val="center"/>
          </w:tcPr>
          <w:p w14:paraId="12F637F1">
            <w:pPr>
              <w:spacing w:after="0" w:line="240" w:lineRule="auto"/>
              <w:rPr>
                <w:rFonts w:hint="eastAsia" w:ascii="宋体" w:hAnsi="宋体" w:eastAsia="宋体" w:cs="宋体"/>
                <w:sz w:val="24"/>
                <w:szCs w:val="24"/>
              </w:rPr>
            </w:pPr>
            <w:r>
              <w:rPr>
                <w:rFonts w:hint="eastAsia" w:ascii="宋体" w:hAnsi="宋体" w:eastAsia="宋体" w:cs="宋体"/>
                <w:sz w:val="24"/>
                <w:szCs w:val="24"/>
              </w:rPr>
              <w:t>&lt;0.5秒</w:t>
            </w:r>
          </w:p>
        </w:tc>
      </w:tr>
      <w:tr w14:paraId="725EA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7564E4D8">
            <w:pPr>
              <w:spacing w:after="0" w:line="240" w:lineRule="auto"/>
              <w:rPr>
                <w:rFonts w:hint="eastAsia" w:ascii="宋体" w:hAnsi="宋体" w:eastAsia="宋体" w:cs="宋体"/>
                <w:sz w:val="24"/>
                <w:szCs w:val="24"/>
              </w:rPr>
            </w:pPr>
            <w:r>
              <w:rPr>
                <w:rFonts w:hint="eastAsia" w:ascii="宋体" w:hAnsi="宋体" w:eastAsia="宋体" w:cs="宋体"/>
                <w:sz w:val="24"/>
                <w:szCs w:val="24"/>
              </w:rPr>
              <w:t>复杂查询响应时间</w:t>
            </w:r>
          </w:p>
        </w:tc>
        <w:tc>
          <w:tcPr>
            <w:tcW w:w="2882" w:type="dxa"/>
            <w:vAlign w:val="center"/>
          </w:tcPr>
          <w:p w14:paraId="1235C467">
            <w:pPr>
              <w:spacing w:after="0" w:line="240" w:lineRule="auto"/>
              <w:rPr>
                <w:rFonts w:hint="eastAsia" w:ascii="宋体" w:hAnsi="宋体" w:eastAsia="宋体" w:cs="宋体"/>
                <w:sz w:val="24"/>
                <w:szCs w:val="24"/>
              </w:rPr>
            </w:pPr>
            <w:r>
              <w:rPr>
                <w:rFonts w:hint="eastAsia" w:ascii="宋体" w:hAnsi="宋体" w:eastAsia="宋体" w:cs="宋体"/>
                <w:sz w:val="24"/>
                <w:szCs w:val="24"/>
              </w:rPr>
              <w:t>&lt;3秒</w:t>
            </w:r>
          </w:p>
        </w:tc>
        <w:tc>
          <w:tcPr>
            <w:tcW w:w="2882" w:type="dxa"/>
            <w:vAlign w:val="center"/>
          </w:tcPr>
          <w:p w14:paraId="0A3CAD20">
            <w:pPr>
              <w:spacing w:after="0" w:line="240" w:lineRule="auto"/>
              <w:rPr>
                <w:rFonts w:hint="eastAsia" w:ascii="宋体" w:hAnsi="宋体" w:eastAsia="宋体" w:cs="宋体"/>
                <w:sz w:val="24"/>
                <w:szCs w:val="24"/>
              </w:rPr>
            </w:pPr>
            <w:r>
              <w:rPr>
                <w:rFonts w:hint="eastAsia" w:ascii="宋体" w:hAnsi="宋体" w:eastAsia="宋体" w:cs="宋体"/>
                <w:sz w:val="24"/>
                <w:szCs w:val="24"/>
              </w:rPr>
              <w:t>&lt;2秒</w:t>
            </w:r>
          </w:p>
        </w:tc>
      </w:tr>
      <w:tr w14:paraId="5DEB8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2E8DDD51">
            <w:pPr>
              <w:spacing w:after="0" w:line="240" w:lineRule="auto"/>
              <w:rPr>
                <w:rFonts w:hint="eastAsia" w:ascii="宋体" w:hAnsi="宋体" w:eastAsia="宋体" w:cs="宋体"/>
                <w:sz w:val="24"/>
                <w:szCs w:val="24"/>
              </w:rPr>
            </w:pPr>
            <w:r>
              <w:rPr>
                <w:rFonts w:hint="eastAsia" w:ascii="宋体" w:hAnsi="宋体" w:eastAsia="宋体" w:cs="宋体"/>
                <w:sz w:val="24"/>
                <w:szCs w:val="24"/>
              </w:rPr>
              <w:t>系统可靠性</w:t>
            </w:r>
          </w:p>
        </w:tc>
        <w:tc>
          <w:tcPr>
            <w:tcW w:w="2882" w:type="dxa"/>
            <w:vAlign w:val="center"/>
          </w:tcPr>
          <w:p w14:paraId="7B43445E">
            <w:pPr>
              <w:spacing w:after="0" w:line="240" w:lineRule="auto"/>
              <w:rPr>
                <w:rFonts w:hint="eastAsia" w:ascii="宋体" w:hAnsi="宋体" w:eastAsia="宋体" w:cs="宋体"/>
                <w:sz w:val="24"/>
                <w:szCs w:val="24"/>
              </w:rPr>
            </w:pPr>
            <w:r>
              <w:rPr>
                <w:rFonts w:hint="eastAsia" w:ascii="宋体" w:hAnsi="宋体" w:eastAsia="宋体" w:cs="宋体"/>
                <w:sz w:val="24"/>
                <w:szCs w:val="24"/>
              </w:rPr>
              <w:t>99.5%</w:t>
            </w:r>
          </w:p>
        </w:tc>
        <w:tc>
          <w:tcPr>
            <w:tcW w:w="2882" w:type="dxa"/>
            <w:vAlign w:val="center"/>
          </w:tcPr>
          <w:p w14:paraId="220D0C68">
            <w:pPr>
              <w:spacing w:after="0" w:line="240" w:lineRule="auto"/>
              <w:rPr>
                <w:rFonts w:hint="eastAsia" w:ascii="宋体" w:hAnsi="宋体" w:eastAsia="宋体" w:cs="宋体"/>
                <w:sz w:val="24"/>
                <w:szCs w:val="24"/>
              </w:rPr>
            </w:pPr>
            <w:r>
              <w:rPr>
                <w:rFonts w:hint="eastAsia" w:ascii="宋体" w:hAnsi="宋体" w:eastAsia="宋体" w:cs="宋体"/>
                <w:sz w:val="24"/>
                <w:szCs w:val="24"/>
              </w:rPr>
              <w:t>99.9%</w:t>
            </w:r>
          </w:p>
        </w:tc>
      </w:tr>
      <w:tr w14:paraId="1648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5CA81BDD">
            <w:pPr>
              <w:spacing w:after="0" w:line="240" w:lineRule="auto"/>
              <w:rPr>
                <w:rFonts w:hint="eastAsia" w:ascii="宋体" w:hAnsi="宋体" w:eastAsia="宋体" w:cs="宋体"/>
                <w:sz w:val="24"/>
                <w:szCs w:val="24"/>
              </w:rPr>
            </w:pPr>
            <w:r>
              <w:rPr>
                <w:rFonts w:hint="eastAsia" w:ascii="宋体" w:hAnsi="宋体" w:eastAsia="宋体" w:cs="宋体"/>
                <w:sz w:val="24"/>
                <w:szCs w:val="24"/>
              </w:rPr>
              <w:t>平均故障修复时间</w:t>
            </w:r>
          </w:p>
        </w:tc>
        <w:tc>
          <w:tcPr>
            <w:tcW w:w="2882" w:type="dxa"/>
            <w:vAlign w:val="center"/>
          </w:tcPr>
          <w:p w14:paraId="10C8615F">
            <w:pPr>
              <w:spacing w:after="0" w:line="240" w:lineRule="auto"/>
              <w:rPr>
                <w:rFonts w:hint="eastAsia" w:ascii="宋体" w:hAnsi="宋体" w:eastAsia="宋体" w:cs="宋体"/>
                <w:sz w:val="24"/>
                <w:szCs w:val="24"/>
              </w:rPr>
            </w:pPr>
            <w:r>
              <w:rPr>
                <w:rFonts w:hint="eastAsia" w:ascii="宋体" w:hAnsi="宋体" w:eastAsia="宋体" w:cs="宋体"/>
                <w:sz w:val="24"/>
                <w:szCs w:val="24"/>
              </w:rPr>
              <w:t>&lt;2小时</w:t>
            </w:r>
          </w:p>
        </w:tc>
        <w:tc>
          <w:tcPr>
            <w:tcW w:w="2882" w:type="dxa"/>
            <w:vAlign w:val="center"/>
          </w:tcPr>
          <w:p w14:paraId="3A316723">
            <w:pPr>
              <w:spacing w:after="0" w:line="240" w:lineRule="auto"/>
              <w:rPr>
                <w:rFonts w:hint="eastAsia" w:ascii="宋体" w:hAnsi="宋体" w:eastAsia="宋体" w:cs="宋体"/>
                <w:sz w:val="24"/>
                <w:szCs w:val="24"/>
              </w:rPr>
            </w:pPr>
            <w:r>
              <w:rPr>
                <w:rFonts w:hint="eastAsia" w:ascii="宋体" w:hAnsi="宋体" w:eastAsia="宋体" w:cs="宋体"/>
                <w:sz w:val="24"/>
                <w:szCs w:val="24"/>
              </w:rPr>
              <w:t>&lt;1小时</w:t>
            </w:r>
          </w:p>
        </w:tc>
      </w:tr>
      <w:tr w14:paraId="155CA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3F1DB4BD">
            <w:pPr>
              <w:spacing w:after="0" w:line="240" w:lineRule="auto"/>
              <w:rPr>
                <w:rFonts w:hint="eastAsia" w:ascii="宋体" w:hAnsi="宋体" w:eastAsia="宋体" w:cs="宋体"/>
                <w:sz w:val="24"/>
                <w:szCs w:val="24"/>
              </w:rPr>
            </w:pPr>
            <w:r>
              <w:rPr>
                <w:rFonts w:hint="eastAsia" w:ascii="宋体" w:hAnsi="宋体" w:eastAsia="宋体" w:cs="宋体"/>
                <w:sz w:val="24"/>
                <w:szCs w:val="24"/>
              </w:rPr>
              <w:t>RTO</w:t>
            </w:r>
          </w:p>
        </w:tc>
        <w:tc>
          <w:tcPr>
            <w:tcW w:w="2882" w:type="dxa"/>
            <w:vAlign w:val="center"/>
          </w:tcPr>
          <w:p w14:paraId="443171CC">
            <w:pPr>
              <w:spacing w:after="0" w:line="240" w:lineRule="auto"/>
              <w:rPr>
                <w:rFonts w:hint="eastAsia" w:ascii="宋体" w:hAnsi="宋体" w:eastAsia="宋体" w:cs="宋体"/>
                <w:sz w:val="24"/>
                <w:szCs w:val="24"/>
              </w:rPr>
            </w:pPr>
            <w:r>
              <w:rPr>
                <w:rFonts w:hint="eastAsia" w:ascii="宋体" w:hAnsi="宋体" w:eastAsia="宋体" w:cs="宋体"/>
                <w:sz w:val="24"/>
                <w:szCs w:val="24"/>
              </w:rPr>
              <w:t>≤2小时</w:t>
            </w:r>
          </w:p>
        </w:tc>
        <w:tc>
          <w:tcPr>
            <w:tcW w:w="2882" w:type="dxa"/>
            <w:vAlign w:val="center"/>
          </w:tcPr>
          <w:p w14:paraId="17A51CFE">
            <w:pPr>
              <w:spacing w:after="0" w:line="240" w:lineRule="auto"/>
              <w:rPr>
                <w:rFonts w:hint="eastAsia" w:ascii="宋体" w:hAnsi="宋体" w:eastAsia="宋体" w:cs="宋体"/>
                <w:sz w:val="24"/>
                <w:szCs w:val="24"/>
              </w:rPr>
            </w:pPr>
            <w:r>
              <w:rPr>
                <w:rFonts w:hint="eastAsia" w:ascii="宋体" w:hAnsi="宋体" w:eastAsia="宋体" w:cs="宋体"/>
                <w:sz w:val="24"/>
                <w:szCs w:val="24"/>
              </w:rPr>
              <w:t>≤1小时</w:t>
            </w:r>
          </w:p>
        </w:tc>
      </w:tr>
      <w:tr w14:paraId="26E5D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4081AB0C">
            <w:pPr>
              <w:spacing w:after="0" w:line="240" w:lineRule="auto"/>
              <w:rPr>
                <w:rFonts w:hint="eastAsia" w:ascii="宋体" w:hAnsi="宋体" w:eastAsia="宋体" w:cs="宋体"/>
                <w:sz w:val="24"/>
                <w:szCs w:val="24"/>
              </w:rPr>
            </w:pPr>
            <w:r>
              <w:rPr>
                <w:rFonts w:hint="eastAsia" w:ascii="宋体" w:hAnsi="宋体" w:eastAsia="宋体" w:cs="宋体"/>
                <w:sz w:val="24"/>
                <w:szCs w:val="24"/>
              </w:rPr>
              <w:t>RPO</w:t>
            </w:r>
          </w:p>
        </w:tc>
        <w:tc>
          <w:tcPr>
            <w:tcW w:w="2882" w:type="dxa"/>
            <w:vAlign w:val="center"/>
          </w:tcPr>
          <w:p w14:paraId="608B3BE3">
            <w:pPr>
              <w:spacing w:after="0" w:line="240" w:lineRule="auto"/>
              <w:rPr>
                <w:rFonts w:hint="eastAsia" w:ascii="宋体" w:hAnsi="宋体" w:eastAsia="宋体" w:cs="宋体"/>
                <w:sz w:val="24"/>
                <w:szCs w:val="24"/>
              </w:rPr>
            </w:pPr>
            <w:r>
              <w:rPr>
                <w:rFonts w:hint="eastAsia" w:ascii="宋体" w:hAnsi="宋体" w:eastAsia="宋体" w:cs="宋体"/>
                <w:sz w:val="24"/>
                <w:szCs w:val="24"/>
              </w:rPr>
              <w:t>≤15分钟</w:t>
            </w:r>
          </w:p>
        </w:tc>
        <w:tc>
          <w:tcPr>
            <w:tcW w:w="2882" w:type="dxa"/>
            <w:vAlign w:val="center"/>
          </w:tcPr>
          <w:p w14:paraId="64E688D3">
            <w:pPr>
              <w:spacing w:after="0" w:line="240" w:lineRule="auto"/>
              <w:rPr>
                <w:rFonts w:hint="eastAsia" w:ascii="宋体" w:hAnsi="宋体" w:eastAsia="宋体" w:cs="宋体"/>
                <w:sz w:val="24"/>
                <w:szCs w:val="24"/>
              </w:rPr>
            </w:pPr>
            <w:r>
              <w:rPr>
                <w:rFonts w:hint="eastAsia" w:ascii="宋体" w:hAnsi="宋体" w:eastAsia="宋体" w:cs="宋体"/>
                <w:sz w:val="24"/>
                <w:szCs w:val="24"/>
              </w:rPr>
              <w:t>≤10分钟</w:t>
            </w:r>
          </w:p>
        </w:tc>
      </w:tr>
    </w:tbl>
    <w:p w14:paraId="758533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性能保障措施包括：采用负载均衡和集群机制，具备良好的纵向与横向扩展能力；Redis缓存集群减少数据库压力；读写分离提升查询效率；异步任务避免阻塞主流程；系统支持7×24小时不间断运行。</w:t>
      </w:r>
    </w:p>
    <w:p w14:paraId="2F764F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宋体"/>
          <w:b w:val="0"/>
          <w:sz w:val="24"/>
          <w:szCs w:val="24"/>
        </w:rPr>
        <w:t>电脑终端支持银河麒麟V10等主流国产操作系统，以及奇安信、火狐等主流浏览器。后期移动终端支持鸿蒙、Android等主流系统。</w:t>
      </w:r>
    </w:p>
    <w:p w14:paraId="6697D53D">
      <w:pPr>
        <w:pStyle w:val="3"/>
        <w:bidi w:val="0"/>
        <w:rPr>
          <w:rFonts w:hint="default"/>
          <w:lang w:val="en-US" w:eastAsia="zh-CN"/>
        </w:rPr>
      </w:pPr>
      <w:r>
        <w:rPr>
          <w:rFonts w:hint="eastAsia"/>
          <w:lang w:val="en-US" w:eastAsia="zh-CN"/>
        </w:rPr>
        <w:t>11.4 项目实施方案</w:t>
      </w:r>
    </w:p>
    <w:p w14:paraId="7253FBC4">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11.4.1 项目实施总体策略</w:t>
      </w:r>
    </w:p>
    <w:p w14:paraId="0475ADA4">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项目实施能力是本项目评审中需要通过人员配置、计划、组织、沟通、风险和现场支撑等内容综合体现。</w:t>
      </w:r>
    </w:p>
    <w:p w14:paraId="574F4D85">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本项目实施总体策略可概括为：</w:t>
      </w:r>
    </w:p>
    <w:p w14:paraId="5E63EEF8">
      <w:pPr>
        <w:spacing w:after="70" w:line="330" w:lineRule="auto"/>
        <w:ind w:left="420" w:hanging="260"/>
        <w:rPr>
          <w:rFonts w:hint="eastAsia" w:ascii="宋体" w:hAnsi="宋体" w:eastAsia="宋体" w:cs="宋体"/>
        </w:rPr>
      </w:pPr>
      <w:r>
        <w:rPr>
          <w:rFonts w:hint="eastAsia" w:ascii="宋体" w:hAnsi="宋体" w:eastAsia="宋体" w:cs="宋体"/>
          <w:color w:val="1F2937"/>
        </w:rPr>
        <w:t>1. 需求澄清前置：先把需求口径、权限口径、接口边界、字段口径讲透。</w:t>
      </w:r>
    </w:p>
    <w:p w14:paraId="6C33E9C8">
      <w:pPr>
        <w:spacing w:after="70" w:line="330" w:lineRule="auto"/>
        <w:ind w:left="420" w:hanging="260"/>
        <w:rPr>
          <w:rFonts w:hint="eastAsia" w:ascii="宋体" w:hAnsi="宋体" w:eastAsia="宋体" w:cs="宋体"/>
        </w:rPr>
      </w:pPr>
      <w:r>
        <w:rPr>
          <w:rFonts w:hint="eastAsia" w:ascii="宋体" w:hAnsi="宋体" w:eastAsia="宋体" w:cs="宋体"/>
          <w:color w:val="1F2937"/>
        </w:rPr>
        <w:t>2. 设计评审前置：先把总体设计和详细设计评审透，再进入全面开发。</w:t>
      </w:r>
    </w:p>
    <w:p w14:paraId="468F6EEE">
      <w:pPr>
        <w:spacing w:after="70" w:line="330" w:lineRule="auto"/>
        <w:ind w:left="420" w:hanging="260"/>
        <w:rPr>
          <w:rFonts w:hint="eastAsia" w:ascii="宋体" w:hAnsi="宋体" w:eastAsia="宋体" w:cs="宋体"/>
        </w:rPr>
      </w:pPr>
      <w:r>
        <w:rPr>
          <w:rFonts w:hint="eastAsia" w:ascii="宋体" w:hAnsi="宋体" w:eastAsia="宋体" w:cs="宋体"/>
          <w:color w:val="1F2937"/>
        </w:rPr>
        <w:t>3. 试运行条件前置：把“具备试运行条件”的关键节点前置到 T0+4个月。</w:t>
      </w:r>
    </w:p>
    <w:p w14:paraId="60E7E367">
      <w:pPr>
        <w:spacing w:after="70" w:line="330" w:lineRule="auto"/>
        <w:ind w:left="420" w:hanging="260"/>
        <w:rPr>
          <w:rFonts w:hint="eastAsia" w:ascii="宋体" w:hAnsi="宋体" w:eastAsia="宋体" w:cs="宋体"/>
        </w:rPr>
      </w:pPr>
      <w:r>
        <w:rPr>
          <w:rFonts w:hint="eastAsia" w:ascii="宋体" w:hAnsi="宋体" w:eastAsia="宋体" w:cs="宋体"/>
          <w:color w:val="1F2937"/>
        </w:rPr>
        <w:t>4. 文档交付同步：不把资料编写压到项目末期，而是和开发、测试同步推进。</w:t>
      </w:r>
    </w:p>
    <w:p w14:paraId="2AAFD667">
      <w:pPr>
        <w:spacing w:after="70" w:line="330" w:lineRule="auto"/>
        <w:ind w:left="420" w:hanging="260"/>
        <w:rPr>
          <w:rFonts w:hint="eastAsia" w:ascii="宋体" w:hAnsi="宋体" w:eastAsia="宋体" w:cs="宋体"/>
        </w:rPr>
      </w:pPr>
      <w:r>
        <w:rPr>
          <w:rFonts w:hint="eastAsia" w:ascii="宋体" w:hAnsi="宋体" w:eastAsia="宋体" w:cs="宋体"/>
          <w:color w:val="1F2937"/>
        </w:rPr>
        <w:t>5. 风险控制贯穿：从启动会起就建立风险台账、问题台账和变更台账。</w:t>
      </w:r>
    </w:p>
    <w:p w14:paraId="1599BEA3">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11.4.2 项目组织模式</w:t>
      </w:r>
    </w:p>
    <w:p w14:paraId="1A3C67E3">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11.4.2.1 组织结构图</w:t>
      </w:r>
    </w:p>
    <w:p w14:paraId="0BB20ACF">
      <w:pPr>
        <w:spacing w:before="180" w:after="80"/>
        <w:jc w:val="center"/>
        <w:rPr>
          <w:rFonts w:hint="eastAsia" w:ascii="宋体" w:hAnsi="宋体" w:eastAsia="宋体" w:cs="宋体"/>
        </w:rPr>
      </w:pPr>
      <w:r>
        <w:rPr>
          <w:rFonts w:hint="eastAsia" w:ascii="宋体" w:hAnsi="宋体" w:eastAsia="宋体" w:cs="宋体"/>
        </w:rPr>
        <w:drawing>
          <wp:inline distT="0" distB="0" distL="0" distR="0">
            <wp:extent cx="5334000" cy="4371975"/>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3"/>
                    <a:srcRect/>
                    <a:stretch>
                      <a:fillRect/>
                    </a:stretch>
                  </pic:blipFill>
                  <pic:spPr>
                    <a:xfrm>
                      <a:off x="0" y="0"/>
                      <a:ext cx="5334000" cy="4371975"/>
                    </a:xfrm>
                    <a:prstGeom prst="rect">
                      <a:avLst/>
                    </a:prstGeom>
                  </pic:spPr>
                </pic:pic>
              </a:graphicData>
            </a:graphic>
          </wp:inline>
        </w:drawing>
      </w:r>
    </w:p>
    <w:p w14:paraId="4FF76FFF">
      <w:pPr>
        <w:pStyle w:val="11"/>
        <w:spacing w:after="120" w:line="360" w:lineRule="auto"/>
        <w:jc w:val="center"/>
        <w:rPr>
          <w:rFonts w:hint="eastAsia" w:ascii="宋体" w:hAnsi="宋体" w:eastAsia="宋体" w:cs="宋体"/>
        </w:rPr>
      </w:pPr>
      <w:r>
        <w:rPr>
          <w:rFonts w:hint="eastAsia" w:ascii="宋体" w:hAnsi="宋体" w:eastAsia="宋体" w:cs="宋体"/>
          <w:color w:val="64748B"/>
          <w:sz w:val="18"/>
          <w:szCs w:val="18"/>
        </w:rPr>
        <w:t>图</w:t>
      </w:r>
      <w:r>
        <w:rPr>
          <w:rFonts w:hint="eastAsia" w:ascii="宋体" w:hAnsi="宋体" w:eastAsia="宋体" w:cs="宋体"/>
          <w:color w:val="64748B"/>
          <w:sz w:val="18"/>
          <w:szCs w:val="18"/>
          <w:lang w:val="en-US" w:eastAsia="zh-CN"/>
        </w:rPr>
        <w:t>11-4-2</w:t>
      </w:r>
      <w:r>
        <w:rPr>
          <w:rFonts w:hint="eastAsia" w:ascii="宋体" w:hAnsi="宋体" w:eastAsia="宋体" w:cs="宋体"/>
          <w:color w:val="64748B"/>
          <w:sz w:val="18"/>
          <w:szCs w:val="18"/>
        </w:rPr>
        <w:t>-1 项目组织结构图</w:t>
      </w:r>
    </w:p>
    <w:p w14:paraId="5CBC2612">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11.4.2.2 组织模式说明</w:t>
      </w:r>
    </w:p>
    <w:p w14:paraId="5489FAFD">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 xml:space="preserve">从图 </w:t>
      </w:r>
      <w:r>
        <w:rPr>
          <w:rFonts w:hint="eastAsia" w:ascii="宋体" w:hAnsi="宋体" w:eastAsia="宋体" w:cs="宋体"/>
          <w:color w:val="1F2937"/>
          <w:lang w:val="en-US" w:eastAsia="zh-CN"/>
        </w:rPr>
        <w:t>11-4-2</w:t>
      </w:r>
      <w:r>
        <w:rPr>
          <w:rFonts w:hint="eastAsia" w:ascii="宋体" w:hAnsi="宋体" w:eastAsia="宋体" w:cs="宋体"/>
          <w:color w:val="1F2937"/>
        </w:rPr>
        <w:t>-1 可以看出，本方案采用了“项目领导小组 - 项目组长/项目经理 - 评审/配置/开发测试”多层协同结构。该组织方式适合本项目这类既有业务复杂度、又有交付完整性要求的系统建设项目。本方案中进一步把该组织模式表述为：</w:t>
      </w:r>
    </w:p>
    <w:p w14:paraId="46AD3A03">
      <w:pPr>
        <w:spacing w:after="70" w:line="330" w:lineRule="auto"/>
        <w:ind w:left="420" w:hanging="260"/>
        <w:rPr>
          <w:rFonts w:hint="eastAsia" w:ascii="宋体" w:hAnsi="宋体" w:eastAsia="宋体" w:cs="宋体"/>
        </w:rPr>
      </w:pPr>
      <w:r>
        <w:rPr>
          <w:rFonts w:hint="eastAsia" w:ascii="宋体" w:hAnsi="宋体" w:eastAsia="宋体" w:cs="宋体"/>
          <w:color w:val="1F2937"/>
        </w:rPr>
        <w:t>1. 项目领导层负责资源协调、重大决策和里程碑推动。</w:t>
      </w:r>
    </w:p>
    <w:p w14:paraId="3B25540B">
      <w:pPr>
        <w:spacing w:after="70" w:line="330" w:lineRule="auto"/>
        <w:ind w:left="420" w:hanging="260"/>
        <w:rPr>
          <w:rFonts w:hint="eastAsia" w:ascii="宋体" w:hAnsi="宋体" w:eastAsia="宋体" w:cs="宋体"/>
        </w:rPr>
      </w:pPr>
      <w:r>
        <w:rPr>
          <w:rFonts w:hint="eastAsia" w:ascii="宋体" w:hAnsi="宋体" w:eastAsia="宋体" w:cs="宋体"/>
          <w:color w:val="1F2937"/>
        </w:rPr>
        <w:t>2. 项目经理负责计划、质量、资源、沟通、风险、验收和交付。</w:t>
      </w:r>
    </w:p>
    <w:p w14:paraId="5163007E">
      <w:pPr>
        <w:spacing w:after="70" w:line="330" w:lineRule="auto"/>
        <w:ind w:left="420" w:hanging="260"/>
        <w:rPr>
          <w:rFonts w:hint="eastAsia" w:ascii="宋体" w:hAnsi="宋体" w:eastAsia="宋体" w:cs="宋体"/>
        </w:rPr>
      </w:pPr>
      <w:r>
        <w:rPr>
          <w:rFonts w:hint="eastAsia" w:ascii="宋体" w:hAnsi="宋体" w:eastAsia="宋体" w:cs="宋体"/>
          <w:color w:val="1F2937"/>
        </w:rPr>
        <w:t>3. 技术负责人负责总体技术路线、核心架构和关键问题解决。</w:t>
      </w:r>
    </w:p>
    <w:p w14:paraId="0268CA99">
      <w:pPr>
        <w:spacing w:after="70" w:line="330" w:lineRule="auto"/>
        <w:ind w:left="420" w:hanging="260"/>
        <w:rPr>
          <w:rFonts w:hint="eastAsia" w:ascii="宋体" w:hAnsi="宋体" w:eastAsia="宋体" w:cs="宋体"/>
        </w:rPr>
      </w:pPr>
      <w:r>
        <w:rPr>
          <w:rFonts w:hint="eastAsia" w:ascii="宋体" w:hAnsi="宋体" w:eastAsia="宋体" w:cs="宋体"/>
          <w:color w:val="1F2937"/>
        </w:rPr>
        <w:t>4. 实施负责人负责需求调研、业务梳理、用户确认和上线支撑。</w:t>
      </w:r>
    </w:p>
    <w:p w14:paraId="798FBE76">
      <w:pPr>
        <w:spacing w:after="70" w:line="330" w:lineRule="auto"/>
        <w:ind w:left="420" w:hanging="260"/>
        <w:rPr>
          <w:rFonts w:hint="eastAsia" w:ascii="宋体" w:hAnsi="宋体" w:eastAsia="宋体" w:cs="宋体"/>
        </w:rPr>
      </w:pPr>
      <w:r>
        <w:rPr>
          <w:rFonts w:hint="eastAsia" w:ascii="宋体" w:hAnsi="宋体" w:eastAsia="宋体" w:cs="宋体"/>
          <w:color w:val="1F2937"/>
        </w:rPr>
        <w:t>5. 测试负责人负责测试计划、缺陷闭环、回归验证和发布验证。</w:t>
      </w:r>
    </w:p>
    <w:p w14:paraId="129B774C">
      <w:pPr>
        <w:spacing w:after="70" w:line="330" w:lineRule="auto"/>
        <w:ind w:left="420" w:hanging="260"/>
        <w:rPr>
          <w:rFonts w:hint="eastAsia" w:ascii="宋体" w:hAnsi="宋体" w:eastAsia="宋体" w:cs="宋体"/>
        </w:rPr>
      </w:pPr>
      <w:r>
        <w:rPr>
          <w:rFonts w:hint="eastAsia" w:ascii="宋体" w:hAnsi="宋体" w:eastAsia="宋体" w:cs="宋体"/>
          <w:color w:val="1F2937"/>
        </w:rPr>
        <w:t>6. 运维/售后负责人负责部署、巡检、备份、问题响应和知识转移。</w:t>
      </w:r>
    </w:p>
    <w:p w14:paraId="72E5AF54">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11.4.2.3 组织职责总表</w:t>
      </w:r>
    </w:p>
    <w:p w14:paraId="54614880">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本项目采用如下职责划分：</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6"/>
        <w:gridCol w:w="4656"/>
      </w:tblGrid>
      <w:tr w14:paraId="13CCB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0EF14F2">
            <w:pPr>
              <w:spacing w:after="0" w:line="300" w:lineRule="auto"/>
              <w:rPr>
                <w:rFonts w:hint="eastAsia" w:ascii="宋体" w:hAnsi="宋体" w:eastAsia="宋体" w:cs="宋体"/>
              </w:rPr>
            </w:pPr>
            <w:r>
              <w:rPr>
                <w:rFonts w:hint="eastAsia" w:ascii="宋体" w:hAnsi="宋体" w:eastAsia="宋体" w:cs="宋体"/>
                <w:b/>
                <w:bCs/>
                <w:color w:val="172033"/>
                <w:sz w:val="18"/>
                <w:szCs w:val="18"/>
              </w:rPr>
              <w:t>角色</w:t>
            </w:r>
          </w:p>
        </w:tc>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0ACD9AF">
            <w:pPr>
              <w:spacing w:after="0" w:line="300" w:lineRule="auto"/>
              <w:rPr>
                <w:rFonts w:hint="eastAsia" w:ascii="宋体" w:hAnsi="宋体" w:eastAsia="宋体" w:cs="宋体"/>
              </w:rPr>
            </w:pPr>
            <w:r>
              <w:rPr>
                <w:rFonts w:hint="eastAsia" w:ascii="宋体" w:hAnsi="宋体" w:eastAsia="宋体" w:cs="宋体"/>
                <w:b/>
                <w:bCs/>
                <w:color w:val="172033"/>
                <w:sz w:val="18"/>
                <w:szCs w:val="18"/>
              </w:rPr>
              <w:t>主要职责</w:t>
            </w:r>
          </w:p>
        </w:tc>
      </w:tr>
      <w:tr w14:paraId="26D0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143269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项目负责人</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44A242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组织需求调查、协调用户资源、组织需求评审、组织验收、统筹甲乙双方沟通</w:t>
            </w:r>
          </w:p>
        </w:tc>
      </w:tr>
      <w:tr w14:paraId="1F741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E491F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项目经理</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86AD2C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负责计划、进度、成本、质量、阶段评审和验收组织，对项目结果负责</w:t>
            </w:r>
          </w:p>
        </w:tc>
      </w:tr>
      <w:tr w14:paraId="4A98D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665D09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实施项目经理/测试项目经理</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BA5F1B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负责实施与测试协调、方案落地、测试组织和质量把控</w:t>
            </w:r>
          </w:p>
        </w:tc>
      </w:tr>
      <w:tr w14:paraId="7A05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7521DB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配置管理组</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8D9CF3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负责版本冻结、配置入库、成果发布和配置追踪</w:t>
            </w:r>
          </w:p>
        </w:tc>
      </w:tr>
      <w:tr w14:paraId="75DC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8EE09A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开发技术(环境)组</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5A8037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负责开发与测试环境、技术支持和架构实现</w:t>
            </w:r>
          </w:p>
        </w:tc>
      </w:tr>
    </w:tbl>
    <w:p w14:paraId="66229F66">
      <w:pPr>
        <w:spacing w:after="100"/>
        <w:rPr>
          <w:rFonts w:hint="eastAsia" w:ascii="宋体" w:hAnsi="宋体" w:eastAsia="宋体" w:cs="宋体"/>
        </w:rPr>
      </w:pPr>
    </w:p>
    <w:p w14:paraId="1BF74036">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11.4.3 项目岗位设置与分工</w:t>
      </w:r>
    </w:p>
    <w:p w14:paraId="4EBAB52D">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11.4.3.1 核心岗位设置</w:t>
      </w:r>
    </w:p>
    <w:p w14:paraId="5E831DB0">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本项目至少设置以下核心岗位：</w:t>
      </w:r>
    </w:p>
    <w:p w14:paraId="703224E6">
      <w:pPr>
        <w:spacing w:after="70" w:line="330" w:lineRule="auto"/>
        <w:ind w:left="420" w:hanging="260"/>
        <w:rPr>
          <w:rFonts w:hint="eastAsia" w:ascii="宋体" w:hAnsi="宋体" w:eastAsia="宋体" w:cs="宋体"/>
        </w:rPr>
      </w:pPr>
      <w:r>
        <w:rPr>
          <w:rFonts w:hint="eastAsia" w:ascii="宋体" w:hAnsi="宋体" w:eastAsia="宋体" w:cs="宋体"/>
          <w:color w:val="1F2937"/>
        </w:rPr>
        <w:t>1. 项目经理</w:t>
      </w:r>
    </w:p>
    <w:p w14:paraId="19E19E64">
      <w:pPr>
        <w:spacing w:after="70" w:line="330" w:lineRule="auto"/>
        <w:ind w:left="420" w:hanging="260"/>
        <w:rPr>
          <w:rFonts w:hint="eastAsia" w:ascii="宋体" w:hAnsi="宋体" w:eastAsia="宋体" w:cs="宋体"/>
        </w:rPr>
      </w:pPr>
      <w:r>
        <w:rPr>
          <w:rFonts w:hint="eastAsia" w:ascii="宋体" w:hAnsi="宋体" w:eastAsia="宋体" w:cs="宋体"/>
          <w:color w:val="1F2937"/>
        </w:rPr>
        <w:t>2. 技术负责人</w:t>
      </w:r>
    </w:p>
    <w:p w14:paraId="2C6547E9">
      <w:pPr>
        <w:spacing w:after="70" w:line="330" w:lineRule="auto"/>
        <w:ind w:left="420" w:hanging="260"/>
        <w:rPr>
          <w:rFonts w:hint="eastAsia" w:ascii="宋体" w:hAnsi="宋体" w:eastAsia="宋体" w:cs="宋体"/>
        </w:rPr>
      </w:pPr>
      <w:r>
        <w:rPr>
          <w:rFonts w:hint="eastAsia" w:ascii="宋体" w:hAnsi="宋体" w:eastAsia="宋体" w:cs="宋体"/>
          <w:color w:val="1F2937"/>
        </w:rPr>
        <w:t>3. 实施负责人</w:t>
      </w:r>
    </w:p>
    <w:p w14:paraId="66D29D5F">
      <w:pPr>
        <w:spacing w:after="70" w:line="330" w:lineRule="auto"/>
        <w:ind w:left="420" w:hanging="260"/>
        <w:rPr>
          <w:rFonts w:hint="eastAsia" w:ascii="宋体" w:hAnsi="宋体" w:eastAsia="宋体" w:cs="宋体"/>
        </w:rPr>
      </w:pPr>
      <w:r>
        <w:rPr>
          <w:rFonts w:hint="eastAsia" w:ascii="宋体" w:hAnsi="宋体" w:eastAsia="宋体" w:cs="宋体"/>
          <w:color w:val="1F2937"/>
        </w:rPr>
        <w:t>4. 前端负责人</w:t>
      </w:r>
    </w:p>
    <w:p w14:paraId="18E43C33">
      <w:pPr>
        <w:spacing w:after="70" w:line="330" w:lineRule="auto"/>
        <w:ind w:left="420" w:hanging="260"/>
        <w:rPr>
          <w:rFonts w:hint="eastAsia" w:ascii="宋体" w:hAnsi="宋体" w:eastAsia="宋体" w:cs="宋体"/>
        </w:rPr>
      </w:pPr>
      <w:r>
        <w:rPr>
          <w:rFonts w:hint="eastAsia" w:ascii="宋体" w:hAnsi="宋体" w:eastAsia="宋体" w:cs="宋体"/>
          <w:color w:val="1F2937"/>
        </w:rPr>
        <w:t>5. 后端负责人</w:t>
      </w:r>
    </w:p>
    <w:p w14:paraId="58C2015C">
      <w:pPr>
        <w:spacing w:after="70" w:line="330" w:lineRule="auto"/>
        <w:ind w:left="420" w:hanging="260"/>
        <w:rPr>
          <w:rFonts w:hint="eastAsia" w:ascii="宋体" w:hAnsi="宋体" w:eastAsia="宋体" w:cs="宋体"/>
        </w:rPr>
      </w:pPr>
      <w:r>
        <w:rPr>
          <w:rFonts w:hint="eastAsia" w:ascii="宋体" w:hAnsi="宋体" w:eastAsia="宋体" w:cs="宋体"/>
          <w:color w:val="1F2937"/>
        </w:rPr>
        <w:t>6. 测试负责人</w:t>
      </w:r>
    </w:p>
    <w:p w14:paraId="0DAB276C">
      <w:pPr>
        <w:spacing w:after="70" w:line="330" w:lineRule="auto"/>
        <w:ind w:left="420" w:hanging="260"/>
        <w:rPr>
          <w:rFonts w:hint="eastAsia" w:ascii="宋体" w:hAnsi="宋体" w:eastAsia="宋体" w:cs="宋体"/>
        </w:rPr>
      </w:pPr>
      <w:r>
        <w:rPr>
          <w:rFonts w:hint="eastAsia" w:ascii="宋体" w:hAnsi="宋体" w:eastAsia="宋体" w:cs="宋体"/>
          <w:color w:val="1F2937"/>
        </w:rPr>
        <w:t>7. 运维/售后负责人</w:t>
      </w:r>
    </w:p>
    <w:p w14:paraId="5786A4DA">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11.4.3.2 岗位分工说明</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8"/>
        <w:gridCol w:w="4148"/>
        <w:gridCol w:w="3106"/>
      </w:tblGrid>
      <w:tr w14:paraId="3EB22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5"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8D756C4">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岗位</w:t>
            </w:r>
          </w:p>
        </w:tc>
        <w:tc>
          <w:tcPr>
            <w:tcW w:w="2227"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AA52CDC">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核心工作内容</w:t>
            </w:r>
          </w:p>
        </w:tc>
        <w:tc>
          <w:tcPr>
            <w:tcW w:w="1667"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9C10CD1">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交付阶段重点</w:t>
            </w:r>
          </w:p>
        </w:tc>
      </w:tr>
      <w:tr w14:paraId="4082F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D56718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项目经理</w:t>
            </w:r>
          </w:p>
        </w:tc>
        <w:tc>
          <w:tcPr>
            <w:tcW w:w="222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80678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计划、沟通、资源、风险、验收和总体把控</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13F254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全周期</w:t>
            </w:r>
          </w:p>
        </w:tc>
      </w:tr>
      <w:tr w14:paraId="7117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AB4741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技术负责人</w:t>
            </w:r>
          </w:p>
        </w:tc>
        <w:tc>
          <w:tcPr>
            <w:tcW w:w="222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791037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架构设计、关键技术问题、国产化适配、安全与性能把控</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E624CE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设计、开发、联调、上线</w:t>
            </w:r>
          </w:p>
        </w:tc>
      </w:tr>
      <w:tr w14:paraId="3D19F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E630D9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实施负责人</w:t>
            </w:r>
          </w:p>
        </w:tc>
        <w:tc>
          <w:tcPr>
            <w:tcW w:w="222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958419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需求调研、业务梳理、培训上线、用户确认</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6E7935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需求、试运行、验收</w:t>
            </w:r>
          </w:p>
        </w:tc>
      </w:tr>
      <w:tr w14:paraId="35F98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581BF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前端负责人</w:t>
            </w:r>
          </w:p>
        </w:tc>
        <w:tc>
          <w:tcPr>
            <w:tcW w:w="222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6D50C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门户、工作台、表单、看板、移动页面实现</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AA354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开发、联调</w:t>
            </w:r>
          </w:p>
        </w:tc>
      </w:tr>
      <w:tr w14:paraId="301C1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489833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后端负责人</w:t>
            </w:r>
          </w:p>
        </w:tc>
        <w:tc>
          <w:tcPr>
            <w:tcW w:w="222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9C0AED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业务服务、接口、规则、数据、流程实现</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BF997E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开发、联调、性能优化</w:t>
            </w:r>
          </w:p>
        </w:tc>
      </w:tr>
      <w:tr w14:paraId="3002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AF4392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测试负责人</w:t>
            </w:r>
          </w:p>
        </w:tc>
        <w:tc>
          <w:tcPr>
            <w:tcW w:w="222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4E0D42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测试计划、缺陷闭环、回归和验收预检</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9BDEF1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测试、验收</w:t>
            </w:r>
          </w:p>
        </w:tc>
      </w:tr>
      <w:tr w14:paraId="1D279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A958C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运维/售后负责人</w:t>
            </w:r>
          </w:p>
        </w:tc>
        <w:tc>
          <w:tcPr>
            <w:tcW w:w="222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2413E0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部署、监控、备份、巡检、应急和知识转移</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EA4C38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上线、试运行、售后</w:t>
            </w:r>
          </w:p>
        </w:tc>
      </w:tr>
    </w:tbl>
    <w:p w14:paraId="451C5664">
      <w:pPr>
        <w:spacing w:after="100"/>
        <w:rPr>
          <w:rFonts w:hint="eastAsia" w:ascii="宋体" w:hAnsi="宋体" w:eastAsia="宋体" w:cs="宋体"/>
        </w:rPr>
      </w:pPr>
    </w:p>
    <w:p w14:paraId="08419D00">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11.4.4 人员投入计划</w:t>
      </w:r>
    </w:p>
    <w:p w14:paraId="506E4595">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11.4.4.1 资源投入规模</w:t>
      </w:r>
    </w:p>
    <w:p w14:paraId="17802954">
      <w:pPr>
        <w:spacing w:after="70" w:line="330" w:lineRule="auto"/>
        <w:ind w:left="477" w:leftChars="176" w:hanging="55" w:hangingChars="23"/>
        <w:rPr>
          <w:rFonts w:hint="eastAsia" w:ascii="宋体" w:hAnsi="宋体" w:eastAsia="宋体" w:cs="宋体"/>
          <w:color w:val="1F2937"/>
        </w:rPr>
      </w:pPr>
      <w:r>
        <w:rPr>
          <w:rFonts w:hint="eastAsia" w:ascii="宋体" w:hAnsi="宋体" w:eastAsia="宋体" w:cs="宋体"/>
          <w:color w:val="1F2937"/>
        </w:rPr>
        <w:t>资源</w:t>
      </w:r>
      <w:r>
        <w:rPr>
          <w:rFonts w:hint="eastAsia" w:ascii="宋体" w:hAnsi="宋体" w:eastAsia="宋体" w:cs="宋体"/>
          <w:color w:val="1F2937"/>
          <w:lang w:val="en-US" w:eastAsia="zh-CN"/>
        </w:rPr>
        <w:t>投入</w:t>
      </w:r>
      <w:r>
        <w:rPr>
          <w:rFonts w:hint="eastAsia" w:ascii="宋体" w:hAnsi="宋体" w:eastAsia="宋体" w:cs="宋体"/>
          <w:color w:val="1F2937"/>
        </w:rPr>
        <w:t>保障说明方案：</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4"/>
        <w:gridCol w:w="2129"/>
        <w:gridCol w:w="5089"/>
      </w:tblGrid>
      <w:tr w14:paraId="22AF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24"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42B24B5">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资源类别</w:t>
            </w:r>
          </w:p>
        </w:tc>
        <w:tc>
          <w:tcPr>
            <w:tcW w:w="1143"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0EB211C">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计划投入规模</w:t>
            </w:r>
          </w:p>
        </w:tc>
        <w:tc>
          <w:tcPr>
            <w:tcW w:w="2732"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8C23F25">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说明</w:t>
            </w:r>
          </w:p>
        </w:tc>
      </w:tr>
      <w:tr w14:paraId="2795E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1B91F9C">
            <w:pPr>
              <w:spacing w:after="0" w:line="300" w:lineRule="auto"/>
              <w:jc w:val="center"/>
              <w:rPr>
                <w:rFonts w:hint="eastAsia" w:ascii="宋体" w:hAnsi="宋体" w:eastAsia="宋体" w:cs="宋体"/>
              </w:rPr>
            </w:pPr>
            <w:r>
              <w:rPr>
                <w:rFonts w:hint="eastAsia" w:ascii="宋体" w:hAnsi="宋体" w:eastAsia="宋体" w:cs="宋体"/>
                <w:b w:val="0"/>
                <w:bCs w:val="0"/>
                <w:color w:val="172033"/>
                <w:sz w:val="18"/>
                <w:szCs w:val="18"/>
              </w:rPr>
              <w:t>项目经理</w:t>
            </w:r>
          </w:p>
        </w:tc>
        <w:tc>
          <w:tcPr>
            <w:tcW w:w="114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613D735">
            <w:pPr>
              <w:spacing w:after="0" w:line="300" w:lineRule="auto"/>
              <w:jc w:val="center"/>
              <w:rPr>
                <w:rFonts w:hint="eastAsia" w:ascii="宋体" w:hAnsi="宋体" w:eastAsia="宋体" w:cs="宋体"/>
              </w:rPr>
            </w:pPr>
            <w:r>
              <w:rPr>
                <w:rFonts w:hint="eastAsia" w:ascii="宋体" w:hAnsi="宋体" w:eastAsia="宋体" w:cs="宋体"/>
                <w:b w:val="0"/>
                <w:bCs w:val="0"/>
                <w:color w:val="172033"/>
                <w:sz w:val="18"/>
                <w:szCs w:val="18"/>
              </w:rPr>
              <w:t>1人</w:t>
            </w:r>
          </w:p>
        </w:tc>
        <w:tc>
          <w:tcPr>
            <w:tcW w:w="273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5D879E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负责全周期统筹</w:t>
            </w:r>
          </w:p>
        </w:tc>
      </w:tr>
      <w:tr w14:paraId="5DE6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8615D89">
            <w:pPr>
              <w:spacing w:after="0" w:line="300" w:lineRule="auto"/>
              <w:jc w:val="center"/>
              <w:rPr>
                <w:rFonts w:hint="eastAsia" w:ascii="宋体" w:hAnsi="宋体" w:eastAsia="宋体" w:cs="宋体"/>
              </w:rPr>
            </w:pPr>
            <w:r>
              <w:rPr>
                <w:rFonts w:hint="eastAsia" w:ascii="宋体" w:hAnsi="宋体" w:eastAsia="宋体" w:cs="宋体"/>
                <w:b w:val="0"/>
                <w:bCs w:val="0"/>
                <w:color w:val="172033"/>
                <w:sz w:val="18"/>
                <w:szCs w:val="18"/>
              </w:rPr>
              <w:t>前端开发</w:t>
            </w:r>
          </w:p>
        </w:tc>
        <w:tc>
          <w:tcPr>
            <w:tcW w:w="114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5343612">
            <w:pPr>
              <w:spacing w:after="0" w:line="300" w:lineRule="auto"/>
              <w:jc w:val="center"/>
              <w:rPr>
                <w:rFonts w:hint="eastAsia" w:ascii="宋体" w:hAnsi="宋体" w:eastAsia="宋体" w:cs="宋体"/>
              </w:rPr>
            </w:pPr>
            <w:r>
              <w:rPr>
                <w:rFonts w:hint="eastAsia" w:ascii="宋体" w:hAnsi="宋体" w:eastAsia="宋体" w:cs="宋体"/>
                <w:b w:val="0"/>
                <w:bCs w:val="0"/>
                <w:color w:val="172033"/>
                <w:sz w:val="18"/>
                <w:szCs w:val="18"/>
              </w:rPr>
              <w:t>6人</w:t>
            </w:r>
          </w:p>
        </w:tc>
        <w:tc>
          <w:tcPr>
            <w:tcW w:w="273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0ABDA8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负责门户、业务页面、工作台和可视化看板</w:t>
            </w:r>
          </w:p>
        </w:tc>
      </w:tr>
      <w:tr w14:paraId="2DE4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9888271">
            <w:pPr>
              <w:spacing w:after="0" w:line="300" w:lineRule="auto"/>
              <w:jc w:val="center"/>
              <w:rPr>
                <w:rFonts w:hint="eastAsia" w:ascii="宋体" w:hAnsi="宋体" w:eastAsia="宋体" w:cs="宋体"/>
              </w:rPr>
            </w:pPr>
            <w:r>
              <w:rPr>
                <w:rFonts w:hint="eastAsia" w:ascii="宋体" w:hAnsi="宋体" w:eastAsia="宋体" w:cs="宋体"/>
                <w:b w:val="0"/>
                <w:bCs w:val="0"/>
                <w:color w:val="172033"/>
                <w:sz w:val="18"/>
                <w:szCs w:val="18"/>
              </w:rPr>
              <w:t>后端开发</w:t>
            </w:r>
          </w:p>
        </w:tc>
        <w:tc>
          <w:tcPr>
            <w:tcW w:w="114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6B62CE7">
            <w:pPr>
              <w:spacing w:after="0" w:line="300" w:lineRule="auto"/>
              <w:jc w:val="center"/>
              <w:rPr>
                <w:rFonts w:hint="eastAsia" w:ascii="宋体" w:hAnsi="宋体" w:eastAsia="宋体" w:cs="宋体"/>
              </w:rPr>
            </w:pPr>
            <w:r>
              <w:rPr>
                <w:rFonts w:hint="eastAsia" w:ascii="宋体" w:hAnsi="宋体" w:eastAsia="宋体" w:cs="宋体"/>
                <w:b w:val="0"/>
                <w:bCs w:val="0"/>
                <w:color w:val="172033"/>
                <w:sz w:val="18"/>
                <w:szCs w:val="18"/>
              </w:rPr>
              <w:t>8人</w:t>
            </w:r>
          </w:p>
        </w:tc>
        <w:tc>
          <w:tcPr>
            <w:tcW w:w="273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E35B0E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负责服务、接口、数据、流程和规则实现</w:t>
            </w:r>
          </w:p>
        </w:tc>
      </w:tr>
      <w:tr w14:paraId="080E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26B9BE">
            <w:pPr>
              <w:spacing w:after="0" w:line="300" w:lineRule="auto"/>
              <w:jc w:val="center"/>
              <w:rPr>
                <w:rFonts w:hint="eastAsia" w:ascii="宋体" w:hAnsi="宋体" w:eastAsia="宋体" w:cs="宋体"/>
              </w:rPr>
            </w:pPr>
            <w:r>
              <w:rPr>
                <w:rFonts w:hint="eastAsia" w:ascii="宋体" w:hAnsi="宋体" w:eastAsia="宋体" w:cs="宋体"/>
                <w:b w:val="0"/>
                <w:bCs w:val="0"/>
                <w:color w:val="172033"/>
                <w:sz w:val="18"/>
                <w:szCs w:val="18"/>
              </w:rPr>
              <w:t>UI/UE设计</w:t>
            </w:r>
          </w:p>
        </w:tc>
        <w:tc>
          <w:tcPr>
            <w:tcW w:w="114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01C704D">
            <w:pPr>
              <w:spacing w:after="0" w:line="300" w:lineRule="auto"/>
              <w:jc w:val="center"/>
              <w:rPr>
                <w:rFonts w:hint="eastAsia" w:ascii="宋体" w:hAnsi="宋体" w:eastAsia="宋体" w:cs="宋体"/>
              </w:rPr>
            </w:pPr>
            <w:r>
              <w:rPr>
                <w:rFonts w:hint="eastAsia" w:ascii="宋体" w:hAnsi="宋体" w:eastAsia="宋体" w:cs="宋体"/>
                <w:b w:val="0"/>
                <w:bCs w:val="0"/>
                <w:color w:val="172033"/>
                <w:sz w:val="18"/>
                <w:szCs w:val="18"/>
              </w:rPr>
              <w:t>2人</w:t>
            </w:r>
          </w:p>
        </w:tc>
        <w:tc>
          <w:tcPr>
            <w:tcW w:w="273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42B0F7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负责界面结构、交互和统一视觉</w:t>
            </w:r>
          </w:p>
        </w:tc>
      </w:tr>
      <w:tr w14:paraId="41F1E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9964E89">
            <w:pPr>
              <w:spacing w:after="0" w:line="300" w:lineRule="auto"/>
              <w:jc w:val="center"/>
              <w:rPr>
                <w:rFonts w:hint="eastAsia" w:ascii="宋体" w:hAnsi="宋体" w:eastAsia="宋体" w:cs="宋体"/>
              </w:rPr>
            </w:pPr>
            <w:r>
              <w:rPr>
                <w:rFonts w:hint="eastAsia" w:ascii="宋体" w:hAnsi="宋体" w:eastAsia="宋体" w:cs="宋体"/>
                <w:b w:val="0"/>
                <w:bCs w:val="0"/>
                <w:color w:val="172033"/>
                <w:sz w:val="18"/>
                <w:szCs w:val="18"/>
              </w:rPr>
              <w:t>测试工程师</w:t>
            </w:r>
          </w:p>
        </w:tc>
        <w:tc>
          <w:tcPr>
            <w:tcW w:w="114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B61A14">
            <w:pPr>
              <w:spacing w:after="0" w:line="300" w:lineRule="auto"/>
              <w:jc w:val="center"/>
              <w:rPr>
                <w:rFonts w:hint="eastAsia" w:ascii="宋体" w:hAnsi="宋体" w:eastAsia="宋体" w:cs="宋体"/>
              </w:rPr>
            </w:pPr>
            <w:r>
              <w:rPr>
                <w:rFonts w:hint="eastAsia" w:ascii="宋体" w:hAnsi="宋体" w:eastAsia="宋体" w:cs="宋体"/>
                <w:b w:val="0"/>
                <w:bCs w:val="0"/>
                <w:color w:val="172033"/>
                <w:sz w:val="18"/>
                <w:szCs w:val="18"/>
              </w:rPr>
              <w:t>3人</w:t>
            </w:r>
          </w:p>
        </w:tc>
        <w:tc>
          <w:tcPr>
            <w:tcW w:w="273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9A3D24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负责功能、接口、性能、安全和回归验证</w:t>
            </w:r>
          </w:p>
        </w:tc>
      </w:tr>
    </w:tbl>
    <w:p w14:paraId="68EEF0C9">
      <w:pPr>
        <w:spacing w:after="100"/>
        <w:rPr>
          <w:rFonts w:hint="eastAsia" w:ascii="宋体" w:hAnsi="宋体" w:eastAsia="宋体" w:cs="宋体"/>
        </w:rPr>
      </w:pPr>
    </w:p>
    <w:p w14:paraId="1A67BE1D">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资源层级与经验结构说明：</w:t>
      </w:r>
    </w:p>
    <w:p w14:paraId="331908DA">
      <w:pPr>
        <w:spacing w:after="70" w:line="330" w:lineRule="auto"/>
        <w:ind w:left="420" w:hanging="260"/>
        <w:rPr>
          <w:rFonts w:hint="eastAsia" w:ascii="宋体" w:hAnsi="宋体" w:eastAsia="宋体" w:cs="宋体"/>
        </w:rPr>
      </w:pPr>
      <w:r>
        <w:rPr>
          <w:rFonts w:hint="eastAsia" w:ascii="宋体" w:hAnsi="宋体" w:eastAsia="宋体" w:cs="宋体"/>
          <w:color w:val="1F2937"/>
        </w:rPr>
        <w:t>1. 拥有 6 年以上开发经验的高级研发人员 8 人；</w:t>
      </w:r>
    </w:p>
    <w:p w14:paraId="40E263BA">
      <w:pPr>
        <w:spacing w:after="70" w:line="330" w:lineRule="auto"/>
        <w:ind w:left="420" w:hanging="260"/>
        <w:rPr>
          <w:rFonts w:hint="eastAsia" w:ascii="宋体" w:hAnsi="宋体" w:eastAsia="宋体" w:cs="宋体"/>
        </w:rPr>
      </w:pPr>
      <w:r>
        <w:rPr>
          <w:rFonts w:hint="eastAsia" w:ascii="宋体" w:hAnsi="宋体" w:eastAsia="宋体" w:cs="宋体"/>
          <w:color w:val="1F2937"/>
        </w:rPr>
        <w:t>2. 拥有 3-5 年开发经验的中级研发人员 8 人；</w:t>
      </w:r>
    </w:p>
    <w:p w14:paraId="0FB5362F">
      <w:pPr>
        <w:spacing w:after="70" w:line="330" w:lineRule="auto"/>
        <w:ind w:left="420" w:hanging="260"/>
        <w:rPr>
          <w:rFonts w:hint="eastAsia" w:ascii="宋体" w:hAnsi="宋体" w:eastAsia="宋体" w:cs="宋体"/>
        </w:rPr>
      </w:pPr>
      <w:r>
        <w:rPr>
          <w:rFonts w:hint="eastAsia" w:ascii="宋体" w:hAnsi="宋体" w:eastAsia="宋体" w:cs="宋体"/>
          <w:color w:val="1F2937"/>
        </w:rPr>
        <w:t>3. 拥有 1-2 年开发经验的初级研发人员 2 人；</w:t>
      </w:r>
    </w:p>
    <w:p w14:paraId="58859AC3">
      <w:pPr>
        <w:spacing w:after="120" w:line="360" w:lineRule="auto"/>
        <w:ind w:firstLine="240" w:firstLineChars="100"/>
        <w:rPr>
          <w:rFonts w:hint="eastAsia" w:ascii="宋体" w:hAnsi="宋体" w:eastAsia="宋体" w:cs="宋体"/>
        </w:rPr>
      </w:pPr>
      <w:r>
        <w:rPr>
          <w:rFonts w:hint="eastAsia" w:ascii="宋体" w:hAnsi="宋体" w:eastAsia="宋体" w:cs="宋体"/>
          <w:color w:val="1F2937"/>
        </w:rPr>
        <w:t>4. 具有监造信息化系统建设案例经验 6 人。</w:t>
      </w:r>
    </w:p>
    <w:p w14:paraId="41BED395">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11.4.4.2 资源投入策略</w:t>
      </w:r>
    </w:p>
    <w:p w14:paraId="2D4894AB">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本项目的资源投入不是“平均铺人”，而是“分阶段加强”：</w:t>
      </w:r>
    </w:p>
    <w:p w14:paraId="1CBD7BB5">
      <w:pPr>
        <w:spacing w:after="70" w:line="330" w:lineRule="auto"/>
        <w:ind w:left="420" w:hanging="260"/>
        <w:rPr>
          <w:rFonts w:hint="eastAsia" w:ascii="宋体" w:hAnsi="宋体" w:eastAsia="宋体" w:cs="宋体"/>
        </w:rPr>
      </w:pPr>
      <w:r>
        <w:rPr>
          <w:rFonts w:hint="eastAsia" w:ascii="宋体" w:hAnsi="宋体" w:eastAsia="宋体" w:cs="宋体"/>
          <w:color w:val="1F2937"/>
        </w:rPr>
        <w:t>1. 需求与设计阶段：项目经理、实施负责人、技术负责人、核心研发骨干前置投入。</w:t>
      </w:r>
    </w:p>
    <w:p w14:paraId="34C95EBC">
      <w:pPr>
        <w:spacing w:after="70" w:line="330" w:lineRule="auto"/>
        <w:ind w:left="420" w:hanging="260"/>
        <w:rPr>
          <w:rFonts w:hint="eastAsia" w:ascii="宋体" w:hAnsi="宋体" w:eastAsia="宋体" w:cs="宋体"/>
        </w:rPr>
      </w:pPr>
      <w:r>
        <w:rPr>
          <w:rFonts w:hint="eastAsia" w:ascii="宋体" w:hAnsi="宋体" w:eastAsia="宋体" w:cs="宋体"/>
          <w:color w:val="1F2937"/>
        </w:rPr>
        <w:t>2. 开发与联调阶段：前后端资源集中投入，测试同步进入。</w:t>
      </w:r>
    </w:p>
    <w:p w14:paraId="06C7C8A5">
      <w:pPr>
        <w:spacing w:after="70" w:line="330" w:lineRule="auto"/>
        <w:ind w:left="420" w:hanging="260"/>
        <w:rPr>
          <w:rFonts w:hint="eastAsia" w:ascii="宋体" w:hAnsi="宋体" w:eastAsia="宋体" w:cs="宋体"/>
        </w:rPr>
      </w:pPr>
      <w:r>
        <w:rPr>
          <w:rFonts w:hint="eastAsia" w:ascii="宋体" w:hAnsi="宋体" w:eastAsia="宋体" w:cs="宋体"/>
          <w:color w:val="1F2937"/>
        </w:rPr>
        <w:t>3. 试运行阶段：实施、测试、运维和售后支持资源加强。</w:t>
      </w:r>
    </w:p>
    <w:p w14:paraId="359CE4C1">
      <w:pPr>
        <w:spacing w:after="70" w:line="330" w:lineRule="auto"/>
        <w:ind w:left="420" w:hanging="260"/>
        <w:rPr>
          <w:rFonts w:hint="eastAsia" w:ascii="宋体" w:hAnsi="宋体" w:eastAsia="宋体" w:cs="宋体"/>
        </w:rPr>
      </w:pPr>
      <w:r>
        <w:rPr>
          <w:rFonts w:hint="eastAsia" w:ascii="宋体" w:hAnsi="宋体" w:eastAsia="宋体" w:cs="宋体"/>
          <w:color w:val="1F2937"/>
        </w:rPr>
        <w:t>4. 验收与交付阶段：项目经理、实施负责人、测试负责人和运维负责人重点投入。</w:t>
      </w:r>
    </w:p>
    <w:p w14:paraId="49F26F87">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11.4.5 项目经理资格响应</w:t>
      </w:r>
    </w:p>
    <w:p w14:paraId="6FC4F071">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11.4.5.1 配置原则与总体方案</w:t>
      </w:r>
    </w:p>
    <w:p w14:paraId="42FB0F19">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项目经理是本项目实施的第一责任人，不仅承担计划编制和进度跟踪职责，还负责需求口径统一、跨方沟通协调、质量风险控制、阶段成果确认、试运行推进和验收交付闭环。我方拟为本项目配置 1 名专职项目经理，作为甲乙双方项目沟通和交付管理的统一接口，实行“项目经理负责制 + 技术负责人协同 + 实施/测试/运维分线落实”的组织模式。</w:t>
      </w:r>
    </w:p>
    <w:p w14:paraId="01CAE5E2">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项目经理配置如下：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8"/>
        <w:gridCol w:w="7937"/>
      </w:tblGrid>
      <w:tr w14:paraId="4BF9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48" w:type="dxa"/>
            <w:shd w:val="clear" w:color="auto" w:fill="auto"/>
            <w:vAlign w:val="center"/>
          </w:tcPr>
          <w:p w14:paraId="0C4B2D04">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项目</w:t>
            </w:r>
          </w:p>
        </w:tc>
        <w:tc>
          <w:tcPr>
            <w:tcW w:w="7937" w:type="dxa"/>
            <w:shd w:val="clear" w:color="auto" w:fill="auto"/>
            <w:vAlign w:val="center"/>
          </w:tcPr>
          <w:p w14:paraId="39A8283C">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填写内容</w:t>
            </w:r>
          </w:p>
        </w:tc>
      </w:tr>
      <w:tr w14:paraId="7D8E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68960AAD">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姓名</w:t>
            </w:r>
          </w:p>
        </w:tc>
        <w:tc>
          <w:tcPr>
            <w:tcW w:w="7937" w:type="dxa"/>
            <w:vAlign w:val="center"/>
          </w:tcPr>
          <w:p w14:paraId="6D303907">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陈芬</w:t>
            </w:r>
          </w:p>
        </w:tc>
      </w:tr>
      <w:tr w14:paraId="7A263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515A9799">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拟任岗位</w:t>
            </w:r>
          </w:p>
        </w:tc>
        <w:tc>
          <w:tcPr>
            <w:tcW w:w="7937" w:type="dxa"/>
            <w:vAlign w:val="center"/>
          </w:tcPr>
          <w:p w14:paraId="4A2543CB">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项目经理</w:t>
            </w:r>
          </w:p>
        </w:tc>
      </w:tr>
      <w:tr w14:paraId="2AED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06809AEA">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学历</w:t>
            </w:r>
          </w:p>
        </w:tc>
        <w:tc>
          <w:tcPr>
            <w:tcW w:w="7937" w:type="dxa"/>
            <w:vAlign w:val="center"/>
          </w:tcPr>
          <w:p w14:paraId="2839990D">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本科</w:t>
            </w:r>
          </w:p>
        </w:tc>
      </w:tr>
      <w:tr w14:paraId="43C4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35F8075A">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从业年限</w:t>
            </w:r>
          </w:p>
        </w:tc>
        <w:tc>
          <w:tcPr>
            <w:tcW w:w="7937" w:type="dxa"/>
            <w:vAlign w:val="center"/>
          </w:tcPr>
          <w:p w14:paraId="6C61E325">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10年</w:t>
            </w:r>
          </w:p>
        </w:tc>
      </w:tr>
      <w:tr w14:paraId="1B7E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555E2A52">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主要技能</w:t>
            </w:r>
          </w:p>
        </w:tc>
        <w:tc>
          <w:tcPr>
            <w:tcW w:w="7937" w:type="dxa"/>
            <w:vAlign w:val="center"/>
          </w:tcPr>
          <w:p w14:paraId="6916B6CA">
            <w:pPr>
              <w:widowControl w:val="0"/>
              <w:numPr>
                <w:ilvl w:val="0"/>
                <w:numId w:val="11"/>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熟练掌握 Java 基础、集合框架、多线程并发</w:t>
            </w:r>
          </w:p>
          <w:p w14:paraId="125B538C">
            <w:pPr>
              <w:widowControl w:val="0"/>
              <w:numPr>
                <w:ilvl w:val="0"/>
                <w:numId w:val="11"/>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熟练使用SpringBoot、MyBatis、MyBatis-Plus、Flowable工作流</w:t>
            </w:r>
          </w:p>
          <w:p w14:paraId="1380A106">
            <w:pPr>
              <w:widowControl w:val="0"/>
              <w:numPr>
                <w:ilvl w:val="0"/>
                <w:numId w:val="11"/>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熟悉MySQL数据库、具备索引优化、慢查询调优能力</w:t>
            </w:r>
          </w:p>
          <w:p w14:paraId="31CFC544">
            <w:pPr>
              <w:widowControl w:val="0"/>
              <w:numPr>
                <w:ilvl w:val="0"/>
                <w:numId w:val="11"/>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熟悉Redis常用数据结构、缓存使用及缓存问题解决方案</w:t>
            </w:r>
          </w:p>
          <w:p w14:paraId="0B5DF158">
            <w:pPr>
              <w:widowControl w:val="0"/>
              <w:numPr>
                <w:ilvl w:val="0"/>
                <w:numId w:val="11"/>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熟练使用Linux 常用命令以及Shell脚本编写</w:t>
            </w:r>
          </w:p>
          <w:p w14:paraId="526F1DB2">
            <w:pPr>
              <w:widowControl w:val="0"/>
              <w:numPr>
                <w:ilvl w:val="0"/>
                <w:numId w:val="11"/>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 Maven、Git 进行项目构建、版本控制与协作开发</w:t>
            </w:r>
          </w:p>
        </w:tc>
      </w:tr>
      <w:tr w14:paraId="35FFA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2C1C6DFE">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类似项目经验</w:t>
            </w:r>
          </w:p>
        </w:tc>
        <w:tc>
          <w:tcPr>
            <w:tcW w:w="7937" w:type="dxa"/>
            <w:vAlign w:val="center"/>
          </w:tcPr>
          <w:p w14:paraId="2A3A2E77">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PECMS石化工程监理检验检测咨询管理系统</w:t>
            </w:r>
          </w:p>
        </w:tc>
      </w:tr>
      <w:tr w14:paraId="76CA3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755A1406">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相关证书或证明材料</w:t>
            </w:r>
          </w:p>
        </w:tc>
        <w:tc>
          <w:tcPr>
            <w:tcW w:w="7937" w:type="dxa"/>
            <w:vAlign w:val="center"/>
          </w:tcPr>
          <w:p w14:paraId="01178C15">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无</w:t>
            </w:r>
          </w:p>
        </w:tc>
      </w:tr>
      <w:tr w14:paraId="5C7E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1AE16C7C">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本项目职责</w:t>
            </w:r>
          </w:p>
        </w:tc>
        <w:tc>
          <w:tcPr>
            <w:tcW w:w="7937" w:type="dxa"/>
            <w:vAlign w:val="center"/>
          </w:tcPr>
          <w:p w14:paraId="5F7F2DA7">
            <w:pPr>
              <w:widowControl w:val="0"/>
              <w:numPr>
                <w:ilvl w:val="0"/>
                <w:numId w:val="12"/>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负责软件开发项目全生命周期管理，从需求调研、方案规划、项目开发到上线交付</w:t>
            </w:r>
          </w:p>
          <w:p w14:paraId="00866A70">
            <w:pPr>
              <w:widowControl w:val="0"/>
              <w:numPr>
                <w:ilvl w:val="0"/>
                <w:numId w:val="12"/>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制定详细开发计划，管控项目进度，及时处理项目突发问题</w:t>
            </w:r>
          </w:p>
          <w:p w14:paraId="05A6EFEF">
            <w:pPr>
              <w:widowControl w:val="0"/>
              <w:numPr>
                <w:ilvl w:val="0"/>
                <w:numId w:val="12"/>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参与需求评审与技术方案讨论，结合业务需求设计合理方案，完成相应需求的开发</w:t>
            </w:r>
          </w:p>
          <w:p w14:paraId="1FED4557">
            <w:pPr>
              <w:widowControl w:val="0"/>
              <w:numPr>
                <w:ilvl w:val="0"/>
                <w:numId w:val="12"/>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排查系统运行过程中的异常问题，分析问题根源并完成修复</w:t>
            </w:r>
          </w:p>
        </w:tc>
      </w:tr>
    </w:tbl>
    <w:p w14:paraId="6A626D65">
      <w:pPr>
        <w:spacing w:after="100"/>
        <w:rPr>
          <w:rFonts w:hint="eastAsia" w:ascii="宋体" w:hAnsi="宋体" w:eastAsia="宋体" w:cs="宋体"/>
        </w:rPr>
      </w:pPr>
    </w:p>
    <w:p w14:paraId="22CE5D44">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11.4.5.2 项目经理履职方案</w:t>
      </w:r>
    </w:p>
    <w:p w14:paraId="6D4E5901">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项目经理在本项目中按照“前期定范围、中期控过程、后期保交付”的方式开展管理工作，重点落实以下职责：</w:t>
      </w:r>
    </w:p>
    <w:p w14:paraId="73C9075F">
      <w:pPr>
        <w:spacing w:after="70" w:line="330" w:lineRule="auto"/>
        <w:ind w:left="420" w:hanging="260"/>
        <w:rPr>
          <w:rFonts w:hint="eastAsia" w:ascii="宋体" w:hAnsi="宋体" w:eastAsia="宋体" w:cs="宋体"/>
        </w:rPr>
      </w:pPr>
      <w:r>
        <w:rPr>
          <w:rFonts w:hint="eastAsia" w:ascii="宋体" w:hAnsi="宋体" w:eastAsia="宋体" w:cs="宋体"/>
          <w:color w:val="1F2937"/>
        </w:rPr>
        <w:t>1. 启动阶段：组织项目启动会，确认甲乙双方联系人、沟通机制、实施范围、里程碑计划、资料清单和风险台账模板。</w:t>
      </w:r>
    </w:p>
    <w:p w14:paraId="35061024">
      <w:pPr>
        <w:spacing w:after="70" w:line="330" w:lineRule="auto"/>
        <w:ind w:left="420" w:hanging="260"/>
        <w:rPr>
          <w:rFonts w:hint="eastAsia" w:ascii="宋体" w:hAnsi="宋体" w:eastAsia="宋体" w:cs="宋体"/>
        </w:rPr>
      </w:pPr>
      <w:r>
        <w:rPr>
          <w:rFonts w:hint="eastAsia" w:ascii="宋体" w:hAnsi="宋体" w:eastAsia="宋体" w:cs="宋体"/>
          <w:color w:val="1F2937"/>
        </w:rPr>
        <w:t>2. 需求阶段：牵头需求调研和业务流程梳理，组织形成需求确认清单，推动采购包、质量计划、见证点、问题闭环、验收放行等关键业务口径达成一致。</w:t>
      </w:r>
    </w:p>
    <w:p w14:paraId="0AD80F3A">
      <w:pPr>
        <w:spacing w:after="70" w:line="330" w:lineRule="auto"/>
        <w:ind w:left="420" w:hanging="260"/>
        <w:rPr>
          <w:rFonts w:hint="eastAsia" w:ascii="宋体" w:hAnsi="宋体" w:eastAsia="宋体" w:cs="宋体"/>
        </w:rPr>
      </w:pPr>
      <w:r>
        <w:rPr>
          <w:rFonts w:hint="eastAsia" w:ascii="宋体" w:hAnsi="宋体" w:eastAsia="宋体" w:cs="宋体"/>
          <w:color w:val="1F2937"/>
        </w:rPr>
        <w:t>3. 设计阶段：组织总体设计和详细设计评审，协调技术负责人对架构、安全、性能、国产化适配、接口边界和数据迁移方案进行确认。</w:t>
      </w:r>
    </w:p>
    <w:p w14:paraId="4B879FDE">
      <w:pPr>
        <w:spacing w:after="70" w:line="330" w:lineRule="auto"/>
        <w:ind w:left="420" w:hanging="260"/>
        <w:rPr>
          <w:rFonts w:hint="eastAsia" w:ascii="宋体" w:hAnsi="宋体" w:eastAsia="宋体" w:cs="宋体"/>
        </w:rPr>
      </w:pPr>
      <w:r>
        <w:rPr>
          <w:rFonts w:hint="eastAsia" w:ascii="宋体" w:hAnsi="宋体" w:eastAsia="宋体" w:cs="宋体"/>
          <w:color w:val="1F2937"/>
        </w:rPr>
        <w:t>4. 开发联调阶段：按周跟踪功能开发、接口联调、缺陷修复和版本发布情况，对延期风险、需求变更和资源冲突及时升级处理。</w:t>
      </w:r>
    </w:p>
    <w:p w14:paraId="74ECE525">
      <w:pPr>
        <w:spacing w:after="70" w:line="330" w:lineRule="auto"/>
        <w:ind w:left="420" w:hanging="260"/>
        <w:rPr>
          <w:rFonts w:hint="eastAsia" w:ascii="宋体" w:hAnsi="宋体" w:eastAsia="宋体" w:cs="宋体"/>
        </w:rPr>
      </w:pPr>
      <w:r>
        <w:rPr>
          <w:rFonts w:hint="eastAsia" w:ascii="宋体" w:hAnsi="宋体" w:eastAsia="宋体" w:cs="宋体"/>
          <w:color w:val="1F2937"/>
        </w:rPr>
        <w:t>5. 测试验收阶段：组织测试计划、缺陷闭环、用户确认、验收材料准备和验收问题整改，确保交付成果可运行、可验证、可移交。</w:t>
      </w:r>
    </w:p>
    <w:p w14:paraId="0413ECC8">
      <w:pPr>
        <w:spacing w:after="70" w:line="330" w:lineRule="auto"/>
        <w:ind w:left="420" w:hanging="260"/>
        <w:rPr>
          <w:rFonts w:hint="eastAsia" w:ascii="宋体" w:hAnsi="宋体" w:eastAsia="宋体" w:cs="宋体"/>
        </w:rPr>
      </w:pPr>
      <w:r>
        <w:rPr>
          <w:rFonts w:hint="eastAsia" w:ascii="宋体" w:hAnsi="宋体" w:eastAsia="宋体" w:cs="宋体"/>
          <w:color w:val="1F2937"/>
        </w:rPr>
        <w:t>6. 试运行阶段：统筹现场支持、用户培训、运行问题收集、数据校验和优化整改，推动系统达到稳定运行状态。</w:t>
      </w:r>
    </w:p>
    <w:p w14:paraId="108B2703">
      <w:pPr>
        <w:spacing w:after="70" w:line="330" w:lineRule="auto"/>
        <w:ind w:left="420" w:hanging="260"/>
        <w:rPr>
          <w:rFonts w:hint="eastAsia" w:ascii="宋体" w:hAnsi="宋体" w:eastAsia="宋体" w:cs="宋体"/>
        </w:rPr>
      </w:pPr>
      <w:r>
        <w:rPr>
          <w:rFonts w:hint="eastAsia" w:ascii="宋体" w:hAnsi="宋体" w:eastAsia="宋体" w:cs="宋体"/>
          <w:color w:val="1F2937"/>
        </w:rPr>
        <w:t>7. 运维移交阶段：组织源代码、数据库脚本、接口文档、部署手册、用户手册、运维手册、培训资料和问题台账移交，确保招标人具备接管和持续使用条件。</w:t>
      </w:r>
    </w:p>
    <w:p w14:paraId="70292EE1">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11.4.5.3 项目经理投入承诺</w:t>
      </w:r>
    </w:p>
    <w:p w14:paraId="1545E7D2">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我方承诺项目经理在本项目实施周期内保持稳定投入，原则上不随意更换。确需调整时，将提前向招标人说明原因，并提供不低于原项目经理能力条件的替换人员，完成项目资料、风险事项、待办任务、沟通记录和阶段成果交接后再进行调整，确保项目管理连续性不受影响。</w:t>
      </w:r>
    </w:p>
    <w:p w14:paraId="58D411E6">
      <w:pPr>
        <w:spacing w:after="120" w:line="360" w:lineRule="auto"/>
        <w:rPr>
          <w:rFonts w:hint="eastAsia" w:ascii="宋体" w:hAnsi="宋体" w:eastAsia="宋体" w:cs="宋体"/>
        </w:rPr>
      </w:pPr>
      <w:r>
        <w:rPr>
          <w:rFonts w:hint="eastAsia" w:ascii="宋体" w:hAnsi="宋体" w:eastAsia="宋体" w:cs="宋体"/>
          <w:color w:val="1F2937"/>
        </w:rPr>
        <w:t>项目经理将以项目目标为中心，统筹“范围、进度、质量、成本、风险、沟通、交付”七类管理要素，确保本项目按计划推进、按标准建设、按要求验收、按承诺移交。</w:t>
      </w:r>
    </w:p>
    <w:p w14:paraId="433A5030">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11.4.6 核心成员资格响应</w:t>
      </w:r>
    </w:p>
    <w:p w14:paraId="0B8BE295">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11.4.6.1 核心成员配置总体方案</w:t>
      </w:r>
    </w:p>
    <w:p w14:paraId="77C0D7C6">
      <w:pPr>
        <w:spacing w:after="120" w:line="360" w:lineRule="auto"/>
        <w:ind w:firstLine="440" w:firstLineChars="200"/>
        <w:rPr>
          <w:rFonts w:hint="eastAsia" w:ascii="宋体" w:hAnsi="宋体" w:eastAsia="宋体" w:cs="宋体"/>
        </w:rPr>
      </w:pPr>
      <w:r>
        <w:rPr>
          <w:rFonts w:hint="eastAsia" w:ascii="宋体" w:hAnsi="宋体" w:eastAsia="宋体" w:cs="宋体"/>
          <w:color w:val="1F2937"/>
          <w:sz w:val="22"/>
          <w:szCs w:val="22"/>
        </w:rPr>
        <w:t>本项目核心成员配置不采用简单“人员罗列”方式，而采用“岗位明确、职责闭环、阶段投入、成果可验”的组织方案。除项目经理负责总体统筹外，我方拟围绕本项目建设目标配置技术负责人、实施负责人、后端负责人、前端负责人、测试负责人、运维及售后负责人等核心岗位，并根据接口联调、数据治理、安全合规、性能优化、国产化适配等专项工作配置相应支持人员。</w:t>
      </w:r>
    </w:p>
    <w:p w14:paraId="7A7C36ED">
      <w:pPr>
        <w:spacing w:after="120" w:line="360" w:lineRule="auto"/>
        <w:ind w:firstLine="440" w:firstLineChars="200"/>
        <w:rPr>
          <w:rFonts w:hint="eastAsia" w:ascii="宋体" w:hAnsi="宋体" w:eastAsia="宋体" w:cs="宋体"/>
        </w:rPr>
      </w:pPr>
      <w:r>
        <w:rPr>
          <w:rFonts w:hint="eastAsia" w:ascii="宋体" w:hAnsi="宋体" w:eastAsia="宋体" w:cs="宋体"/>
          <w:color w:val="1F2937"/>
          <w:sz w:val="22"/>
          <w:szCs w:val="22"/>
        </w:rPr>
        <w:t>核心成员配置方案如下：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7602"/>
      </w:tblGrid>
      <w:tr w14:paraId="3441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39F328B1">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项目</w:t>
            </w:r>
          </w:p>
        </w:tc>
        <w:tc>
          <w:tcPr>
            <w:tcW w:w="7937" w:type="dxa"/>
            <w:shd w:val="clear" w:color="auto" w:fill="auto"/>
            <w:vAlign w:val="center"/>
          </w:tcPr>
          <w:p w14:paraId="6273BF47">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填写内容</w:t>
            </w:r>
          </w:p>
        </w:tc>
      </w:tr>
      <w:tr w14:paraId="16201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1EB1BB3">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姓名</w:t>
            </w:r>
          </w:p>
        </w:tc>
        <w:tc>
          <w:tcPr>
            <w:tcW w:w="7937" w:type="dxa"/>
            <w:vAlign w:val="center"/>
          </w:tcPr>
          <w:p w14:paraId="54CA1BFA">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陈兴江</w:t>
            </w:r>
          </w:p>
        </w:tc>
      </w:tr>
      <w:tr w14:paraId="7461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252EFCE">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拟任岗位</w:t>
            </w:r>
          </w:p>
        </w:tc>
        <w:tc>
          <w:tcPr>
            <w:tcW w:w="7937" w:type="dxa"/>
            <w:vAlign w:val="center"/>
          </w:tcPr>
          <w:p w14:paraId="06C53882">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color w:val="1F2937"/>
              </w:rPr>
              <w:t>技术负责人</w:t>
            </w:r>
          </w:p>
        </w:tc>
      </w:tr>
      <w:tr w14:paraId="6E95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7B2DE71">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学历</w:t>
            </w:r>
          </w:p>
        </w:tc>
        <w:tc>
          <w:tcPr>
            <w:tcW w:w="7937" w:type="dxa"/>
            <w:vAlign w:val="center"/>
          </w:tcPr>
          <w:p w14:paraId="577D1C67">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专科</w:t>
            </w:r>
          </w:p>
        </w:tc>
      </w:tr>
      <w:tr w14:paraId="1784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9DEAC18">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从业年限</w:t>
            </w:r>
          </w:p>
        </w:tc>
        <w:tc>
          <w:tcPr>
            <w:tcW w:w="7937" w:type="dxa"/>
            <w:vAlign w:val="center"/>
          </w:tcPr>
          <w:p w14:paraId="768A0F3E">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13年</w:t>
            </w:r>
          </w:p>
        </w:tc>
      </w:tr>
      <w:tr w14:paraId="10E93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FF97A4E">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主要技能</w:t>
            </w:r>
          </w:p>
        </w:tc>
        <w:tc>
          <w:tcPr>
            <w:tcW w:w="7937" w:type="dxa"/>
            <w:vAlign w:val="center"/>
          </w:tcPr>
          <w:p w14:paraId="799A984D">
            <w:pPr>
              <w:widowControl w:val="0"/>
              <w:numPr>
                <w:ilvl w:val="0"/>
                <w:numId w:val="13"/>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精通 Java 基础、集合、多线程、JVM 调优</w:t>
            </w:r>
          </w:p>
          <w:p w14:paraId="78DAC329">
            <w:pPr>
              <w:widowControl w:val="0"/>
              <w:numPr>
                <w:ilvl w:val="0"/>
                <w:numId w:val="13"/>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 SpringBoot、Spring Cloud Alibaba、MyBatis-Plus 开发业务系统</w:t>
            </w:r>
          </w:p>
          <w:p w14:paraId="33BE92B7">
            <w:pPr>
              <w:widowControl w:val="0"/>
              <w:numPr>
                <w:ilvl w:val="0"/>
                <w:numId w:val="13"/>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掌握 MySQL 索引优化、Redis 缓存应用、RabbitMQ 消息队列</w:t>
            </w:r>
          </w:p>
          <w:p w14:paraId="756C85E6">
            <w:pPr>
              <w:widowControl w:val="0"/>
              <w:numPr>
                <w:ilvl w:val="0"/>
                <w:numId w:val="13"/>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了解 Docker、Linux 运维部署</w:t>
            </w:r>
          </w:p>
        </w:tc>
      </w:tr>
      <w:tr w14:paraId="05DEE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602BB9A">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类似项目经验</w:t>
            </w:r>
          </w:p>
        </w:tc>
        <w:tc>
          <w:tcPr>
            <w:tcW w:w="7937" w:type="dxa"/>
            <w:vAlign w:val="center"/>
          </w:tcPr>
          <w:p w14:paraId="264503CA">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PECMS石化工程监理检验检测咨询管理系统</w:t>
            </w:r>
          </w:p>
        </w:tc>
      </w:tr>
      <w:tr w14:paraId="7A189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6D2C02D">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相关证书或证明材料</w:t>
            </w:r>
          </w:p>
        </w:tc>
        <w:tc>
          <w:tcPr>
            <w:tcW w:w="7937" w:type="dxa"/>
            <w:vAlign w:val="center"/>
          </w:tcPr>
          <w:p w14:paraId="3847A603">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无</w:t>
            </w:r>
          </w:p>
        </w:tc>
      </w:tr>
      <w:tr w14:paraId="43B3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573BDFB">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本项目职责</w:t>
            </w:r>
          </w:p>
        </w:tc>
        <w:tc>
          <w:tcPr>
            <w:tcW w:w="7937" w:type="dxa"/>
            <w:vAlign w:val="center"/>
          </w:tcPr>
          <w:p w14:paraId="20C4E6A7">
            <w:pPr>
              <w:widowControl w:val="0"/>
              <w:numPr>
                <w:ilvl w:val="0"/>
                <w:numId w:val="14"/>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负责后端业务模块的需求分析、技术方案设计与开发实现</w:t>
            </w:r>
          </w:p>
          <w:p w14:paraId="396E68F2">
            <w:pPr>
              <w:widowControl w:val="0"/>
              <w:numPr>
                <w:ilvl w:val="0"/>
                <w:numId w:val="14"/>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负责代码编写、单元测试与调试，遵循编码规范，优化代码结构，提升代码可读性、可维护性与可扩展性</w:t>
            </w:r>
          </w:p>
          <w:p w14:paraId="60730ADA">
            <w:pPr>
              <w:widowControl w:val="0"/>
              <w:numPr>
                <w:ilvl w:val="0"/>
                <w:numId w:val="14"/>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配合前后端协同开发，完成接口联调，处理数据交互过程中的相关问题</w:t>
            </w:r>
          </w:p>
        </w:tc>
      </w:tr>
    </w:tbl>
    <w:p w14:paraId="555547A4">
      <w:pPr>
        <w:spacing w:after="120"/>
        <w:rPr>
          <w:rFonts w:hint="eastAsia" w:ascii="宋体" w:hAnsi="宋体" w:eastAsia="宋体" w:cs="宋体"/>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7602"/>
      </w:tblGrid>
      <w:tr w14:paraId="67A5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41A4F2E8">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项目</w:t>
            </w:r>
          </w:p>
        </w:tc>
        <w:tc>
          <w:tcPr>
            <w:tcW w:w="7937" w:type="dxa"/>
            <w:shd w:val="clear" w:color="auto" w:fill="auto"/>
            <w:vAlign w:val="center"/>
          </w:tcPr>
          <w:p w14:paraId="2CDD55E7">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填写内容</w:t>
            </w:r>
          </w:p>
        </w:tc>
      </w:tr>
      <w:tr w14:paraId="1E63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E97B60B">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姓名</w:t>
            </w:r>
          </w:p>
        </w:tc>
        <w:tc>
          <w:tcPr>
            <w:tcW w:w="7937" w:type="dxa"/>
            <w:vAlign w:val="center"/>
          </w:tcPr>
          <w:p w14:paraId="582C15BB">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任宇霆</w:t>
            </w:r>
          </w:p>
        </w:tc>
      </w:tr>
      <w:tr w14:paraId="104A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7E46DC7">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拟任岗位</w:t>
            </w:r>
          </w:p>
        </w:tc>
        <w:tc>
          <w:tcPr>
            <w:tcW w:w="7937" w:type="dxa"/>
            <w:vAlign w:val="center"/>
          </w:tcPr>
          <w:p w14:paraId="3BB71571">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color w:val="1F2937"/>
              </w:rPr>
              <w:t>实施负责人</w:t>
            </w:r>
          </w:p>
        </w:tc>
      </w:tr>
      <w:tr w14:paraId="24FF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4703E9F">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学历</w:t>
            </w:r>
          </w:p>
        </w:tc>
        <w:tc>
          <w:tcPr>
            <w:tcW w:w="7937" w:type="dxa"/>
            <w:vAlign w:val="center"/>
          </w:tcPr>
          <w:p w14:paraId="3773C4D1">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本科</w:t>
            </w:r>
          </w:p>
        </w:tc>
      </w:tr>
      <w:tr w14:paraId="24B0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94F2350">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从业年限</w:t>
            </w:r>
          </w:p>
        </w:tc>
        <w:tc>
          <w:tcPr>
            <w:tcW w:w="7937" w:type="dxa"/>
            <w:vAlign w:val="center"/>
          </w:tcPr>
          <w:p w14:paraId="04C34E86">
            <w:pPr>
              <w:widowControl w:val="0"/>
              <w:numPr>
                <w:ilvl w:val="0"/>
                <w:numId w:val="0"/>
              </w:numPr>
              <w:spacing w:after="0" w:line="240" w:lineRule="auto"/>
              <w:ind w:left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10</w:t>
            </w:r>
          </w:p>
        </w:tc>
      </w:tr>
      <w:tr w14:paraId="5BFB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5F786D2">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主要技能</w:t>
            </w:r>
          </w:p>
        </w:tc>
        <w:tc>
          <w:tcPr>
            <w:tcW w:w="7937" w:type="dxa"/>
            <w:vAlign w:val="center"/>
          </w:tcPr>
          <w:p w14:paraId="5504E5FA">
            <w:pPr>
              <w:widowControl w:val="0"/>
              <w:numPr>
                <w:ilvl w:val="0"/>
                <w:numId w:val="15"/>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熟练使用Spring、SprongBoot、MyBatis等主流框架</w:t>
            </w:r>
          </w:p>
          <w:p w14:paraId="50140817">
            <w:pPr>
              <w:widowControl w:val="0"/>
              <w:numPr>
                <w:ilvl w:val="0"/>
                <w:numId w:val="15"/>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熟悉数据库设计与优化</w:t>
            </w:r>
          </w:p>
          <w:p w14:paraId="36443708">
            <w:pPr>
              <w:widowControl w:val="0"/>
              <w:numPr>
                <w:ilvl w:val="0"/>
                <w:numId w:val="15"/>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熟练使用linux系统常用命令、远程服务器部署</w:t>
            </w:r>
          </w:p>
          <w:p w14:paraId="2CD3612C">
            <w:pPr>
              <w:widowControl w:val="0"/>
              <w:numPr>
                <w:ilvl w:val="0"/>
                <w:numId w:val="15"/>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熟练使用kafka、RabbitMQ等中间件</w:t>
            </w:r>
          </w:p>
          <w:p w14:paraId="58DD381F">
            <w:pPr>
              <w:widowControl w:val="0"/>
              <w:numPr>
                <w:ilvl w:val="0"/>
                <w:numId w:val="15"/>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熟练部署tomcat服务器，nginx反向代理服务器</w:t>
            </w:r>
          </w:p>
          <w:p w14:paraId="1C8801BD">
            <w:pPr>
              <w:widowControl w:val="0"/>
              <w:numPr>
                <w:ilvl w:val="0"/>
                <w:numId w:val="15"/>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熟悉shiro安全框架和token权限校验</w:t>
            </w:r>
          </w:p>
        </w:tc>
      </w:tr>
      <w:tr w14:paraId="65C1E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7A68FBD">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类似项目经验</w:t>
            </w:r>
          </w:p>
        </w:tc>
        <w:tc>
          <w:tcPr>
            <w:tcW w:w="7937" w:type="dxa"/>
            <w:vAlign w:val="center"/>
          </w:tcPr>
          <w:p w14:paraId="23FFECDE">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PECMS石化工程监理检验检测咨询管理系统</w:t>
            </w:r>
          </w:p>
        </w:tc>
      </w:tr>
      <w:tr w14:paraId="21DFD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1C96C56">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相关证书或证明材料</w:t>
            </w:r>
          </w:p>
        </w:tc>
        <w:tc>
          <w:tcPr>
            <w:tcW w:w="7937" w:type="dxa"/>
            <w:vAlign w:val="center"/>
          </w:tcPr>
          <w:p w14:paraId="75894751">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无</w:t>
            </w:r>
          </w:p>
        </w:tc>
      </w:tr>
      <w:tr w14:paraId="363B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9C236D3">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本项目职责</w:t>
            </w:r>
          </w:p>
        </w:tc>
        <w:tc>
          <w:tcPr>
            <w:tcW w:w="7937" w:type="dxa"/>
            <w:vAlign w:val="center"/>
          </w:tcPr>
          <w:p w14:paraId="644849B5">
            <w:pPr>
              <w:widowControl w:val="0"/>
              <w:numPr>
                <w:ilvl w:val="0"/>
                <w:numId w:val="16"/>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根据开发进度和任务分配，完成相应模块设计及开发</w:t>
            </w:r>
          </w:p>
          <w:p w14:paraId="787C621D">
            <w:pPr>
              <w:widowControl w:val="0"/>
              <w:numPr>
                <w:ilvl w:val="0"/>
                <w:numId w:val="16"/>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进行程序单元功能的测试，查出存在的缺陷，并保证其质量</w:t>
            </w:r>
          </w:p>
          <w:p w14:paraId="1FF1081A">
            <w:pPr>
              <w:widowControl w:val="0"/>
              <w:numPr>
                <w:ilvl w:val="0"/>
                <w:numId w:val="16"/>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维护软件使之保持可用性和稳定性</w:t>
            </w:r>
          </w:p>
        </w:tc>
      </w:tr>
    </w:tbl>
    <w:p w14:paraId="0FFBEA82">
      <w:pPr>
        <w:spacing w:after="120"/>
        <w:rPr>
          <w:rFonts w:hint="eastAsia" w:ascii="宋体" w:hAnsi="宋体" w:eastAsia="宋体" w:cs="宋体"/>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7602"/>
      </w:tblGrid>
      <w:tr w14:paraId="62EF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4DFF6E06">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项目</w:t>
            </w:r>
          </w:p>
        </w:tc>
        <w:tc>
          <w:tcPr>
            <w:tcW w:w="7937" w:type="dxa"/>
            <w:shd w:val="clear" w:color="auto" w:fill="auto"/>
            <w:vAlign w:val="center"/>
          </w:tcPr>
          <w:p w14:paraId="2C926F0D">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填写内容</w:t>
            </w:r>
          </w:p>
        </w:tc>
      </w:tr>
      <w:tr w14:paraId="4D9BA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C2E7452">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姓名</w:t>
            </w:r>
          </w:p>
        </w:tc>
        <w:tc>
          <w:tcPr>
            <w:tcW w:w="7937" w:type="dxa"/>
            <w:vAlign w:val="center"/>
          </w:tcPr>
          <w:p w14:paraId="01721436">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薛钸丹</w:t>
            </w:r>
          </w:p>
        </w:tc>
      </w:tr>
      <w:tr w14:paraId="38BBF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A9CC522">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拟任岗位</w:t>
            </w:r>
          </w:p>
        </w:tc>
        <w:tc>
          <w:tcPr>
            <w:tcW w:w="7937" w:type="dxa"/>
            <w:vAlign w:val="center"/>
          </w:tcPr>
          <w:p w14:paraId="3399C493">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color w:val="1F2937"/>
              </w:rPr>
              <w:t>前端负责人</w:t>
            </w:r>
          </w:p>
        </w:tc>
      </w:tr>
      <w:tr w14:paraId="0607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410B1B4">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学历</w:t>
            </w:r>
          </w:p>
        </w:tc>
        <w:tc>
          <w:tcPr>
            <w:tcW w:w="7937" w:type="dxa"/>
            <w:vAlign w:val="center"/>
          </w:tcPr>
          <w:p w14:paraId="01374D22">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专科</w:t>
            </w:r>
          </w:p>
        </w:tc>
      </w:tr>
      <w:tr w14:paraId="2913F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FB62535">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从业年限</w:t>
            </w:r>
          </w:p>
        </w:tc>
        <w:tc>
          <w:tcPr>
            <w:tcW w:w="7937" w:type="dxa"/>
            <w:vAlign w:val="center"/>
          </w:tcPr>
          <w:p w14:paraId="372AAEDA">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8年</w:t>
            </w:r>
          </w:p>
        </w:tc>
      </w:tr>
      <w:tr w14:paraId="706C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0A3F02C">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主要技能</w:t>
            </w:r>
          </w:p>
        </w:tc>
        <w:tc>
          <w:tcPr>
            <w:tcW w:w="7937" w:type="dxa"/>
            <w:vAlign w:val="center"/>
          </w:tcPr>
          <w:p w14:paraId="6B6066F8">
            <w:pPr>
              <w:widowControl w:val="0"/>
              <w:numPr>
                <w:ilvl w:val="0"/>
                <w:numId w:val="17"/>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 HTML5、CSS3、JavaScript、ES6 + 语法及原生开发</w:t>
            </w:r>
          </w:p>
          <w:p w14:paraId="72333D06">
            <w:pPr>
              <w:widowControl w:val="0"/>
              <w:numPr>
                <w:ilvl w:val="0"/>
                <w:numId w:val="17"/>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熟练掌握 Vue3、Vue2 全家桶，熟练使用 Vue Router、Pinia/Vuex</w:t>
            </w:r>
          </w:p>
          <w:p w14:paraId="4E4FB098">
            <w:pPr>
              <w:widowControl w:val="0"/>
              <w:numPr>
                <w:ilvl w:val="0"/>
                <w:numId w:val="17"/>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 Element Plus、Element UI、Ant Design Vue 等 UI 组件库</w:t>
            </w:r>
          </w:p>
          <w:p w14:paraId="516B970B">
            <w:pPr>
              <w:widowControl w:val="0"/>
              <w:numPr>
                <w:ilvl w:val="0"/>
                <w:numId w:val="17"/>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熟悉 Ajax、Axios 网络请求，掌握接口封装、请求拦截与响应处理</w:t>
            </w:r>
          </w:p>
          <w:p w14:paraId="1B698FEC">
            <w:pPr>
              <w:widowControl w:val="0"/>
              <w:numPr>
                <w:ilvl w:val="0"/>
                <w:numId w:val="17"/>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 Git 版本控制、VSCode 开发工具及项目工程化搭建</w:t>
            </w:r>
          </w:p>
        </w:tc>
      </w:tr>
      <w:tr w14:paraId="1D47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75610BAF">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类似项目经验</w:t>
            </w:r>
          </w:p>
        </w:tc>
        <w:tc>
          <w:tcPr>
            <w:tcW w:w="7937" w:type="dxa"/>
            <w:vAlign w:val="center"/>
          </w:tcPr>
          <w:p w14:paraId="79106380">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PECMS石化工程监理检验检测咨询管理系统</w:t>
            </w:r>
          </w:p>
        </w:tc>
      </w:tr>
      <w:tr w14:paraId="5A56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742E763D">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相关证书或证明材料</w:t>
            </w:r>
          </w:p>
        </w:tc>
        <w:tc>
          <w:tcPr>
            <w:tcW w:w="7937" w:type="dxa"/>
            <w:vAlign w:val="center"/>
          </w:tcPr>
          <w:p w14:paraId="413212DC">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无</w:t>
            </w:r>
          </w:p>
        </w:tc>
      </w:tr>
      <w:tr w14:paraId="21648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413298C">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本项目职责</w:t>
            </w:r>
          </w:p>
        </w:tc>
        <w:tc>
          <w:tcPr>
            <w:tcW w:w="7937" w:type="dxa"/>
            <w:vAlign w:val="center"/>
          </w:tcPr>
          <w:p w14:paraId="537C09AE">
            <w:pPr>
              <w:widowControl w:val="0"/>
              <w:numPr>
                <w:ilvl w:val="0"/>
                <w:numId w:val="18"/>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基于 HTML5、CSS3、JavaScript、ES6 + 语法，完成前端页面布局、样式开发及交互逻辑实现</w:t>
            </w:r>
          </w:p>
          <w:p w14:paraId="6FC1C566">
            <w:pPr>
              <w:widowControl w:val="0"/>
              <w:numPr>
                <w:ilvl w:val="0"/>
                <w:numId w:val="18"/>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 Vue2/Vue3 全家桶开发单页面应用，负责前端组件封装、复用及页面路由配置</w:t>
            </w:r>
          </w:p>
          <w:p w14:paraId="73287553">
            <w:pPr>
              <w:widowControl w:val="0"/>
              <w:numPr>
                <w:ilvl w:val="0"/>
                <w:numId w:val="18"/>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运用 Element Plus、Ant Design Vue 等 UI 组件库，快速搭建页面结构，优化组件交互体验，提升页面响应速度与用户体验</w:t>
            </w:r>
          </w:p>
        </w:tc>
      </w:tr>
    </w:tbl>
    <w:p w14:paraId="23BD2E36">
      <w:pPr>
        <w:spacing w:after="120"/>
        <w:rPr>
          <w:rFonts w:hint="eastAsia" w:ascii="宋体" w:hAnsi="宋体" w:eastAsia="宋体" w:cs="宋体"/>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7602"/>
      </w:tblGrid>
      <w:tr w14:paraId="3DAB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182796A4">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项目</w:t>
            </w:r>
          </w:p>
        </w:tc>
        <w:tc>
          <w:tcPr>
            <w:tcW w:w="7937" w:type="dxa"/>
            <w:shd w:val="clear" w:color="auto" w:fill="auto"/>
            <w:vAlign w:val="center"/>
          </w:tcPr>
          <w:p w14:paraId="3B4920F4">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填写内容</w:t>
            </w:r>
          </w:p>
        </w:tc>
      </w:tr>
      <w:tr w14:paraId="167E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46E061CC">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姓名</w:t>
            </w:r>
          </w:p>
        </w:tc>
        <w:tc>
          <w:tcPr>
            <w:tcW w:w="7937" w:type="dxa"/>
            <w:vAlign w:val="center"/>
          </w:tcPr>
          <w:p w14:paraId="15066B8B">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邵波涛</w:t>
            </w:r>
          </w:p>
        </w:tc>
      </w:tr>
      <w:tr w14:paraId="3BBC2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EA7CEF2">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拟任岗位</w:t>
            </w:r>
          </w:p>
        </w:tc>
        <w:tc>
          <w:tcPr>
            <w:tcW w:w="7937" w:type="dxa"/>
            <w:vAlign w:val="center"/>
          </w:tcPr>
          <w:p w14:paraId="72BD8E87">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cs="宋体"/>
                <w:color w:val="1F2937"/>
                <w:lang w:val="en-US" w:eastAsia="zh-CN"/>
              </w:rPr>
              <w:t>后</w:t>
            </w:r>
            <w:r>
              <w:rPr>
                <w:rFonts w:hint="eastAsia" w:ascii="宋体" w:hAnsi="宋体" w:eastAsia="宋体" w:cs="宋体"/>
                <w:color w:val="1F2937"/>
              </w:rPr>
              <w:t>端负责人</w:t>
            </w:r>
          </w:p>
        </w:tc>
      </w:tr>
      <w:tr w14:paraId="2F451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90F4875">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学历</w:t>
            </w:r>
          </w:p>
        </w:tc>
        <w:tc>
          <w:tcPr>
            <w:tcW w:w="7937" w:type="dxa"/>
            <w:vAlign w:val="center"/>
          </w:tcPr>
          <w:p w14:paraId="0554A63C">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本科</w:t>
            </w:r>
          </w:p>
        </w:tc>
      </w:tr>
      <w:tr w14:paraId="63D7D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6B28784">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从业年限</w:t>
            </w:r>
          </w:p>
        </w:tc>
        <w:tc>
          <w:tcPr>
            <w:tcW w:w="7937" w:type="dxa"/>
            <w:vAlign w:val="center"/>
          </w:tcPr>
          <w:p w14:paraId="42D4A89C">
            <w:pPr>
              <w:widowControl w:val="0"/>
              <w:numPr>
                <w:ilvl w:val="0"/>
                <w:numId w:val="0"/>
              </w:numPr>
              <w:spacing w:after="0" w:line="240" w:lineRule="auto"/>
              <w:ind w:left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13</w:t>
            </w:r>
          </w:p>
        </w:tc>
      </w:tr>
      <w:tr w14:paraId="25FD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22F0763">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主要技能</w:t>
            </w:r>
          </w:p>
        </w:tc>
        <w:tc>
          <w:tcPr>
            <w:tcW w:w="7937" w:type="dxa"/>
            <w:vAlign w:val="center"/>
          </w:tcPr>
          <w:p w14:paraId="2B78E2B7">
            <w:pPr>
              <w:widowControl w:val="0"/>
              <w:numPr>
                <w:ilvl w:val="0"/>
                <w:numId w:val="19"/>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熟练使用Spring、SprongBoot、MyBatis等主流框架</w:t>
            </w:r>
          </w:p>
          <w:p w14:paraId="4344ECAF">
            <w:pPr>
              <w:widowControl w:val="0"/>
              <w:numPr>
                <w:ilvl w:val="0"/>
                <w:numId w:val="19"/>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熟悉数据库设计与优化</w:t>
            </w:r>
          </w:p>
          <w:p w14:paraId="63804E02">
            <w:pPr>
              <w:widowControl w:val="0"/>
              <w:numPr>
                <w:ilvl w:val="0"/>
                <w:numId w:val="19"/>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熟练使用linux系统常用命令、远程服务器部署</w:t>
            </w:r>
          </w:p>
          <w:p w14:paraId="1067B1D3">
            <w:pPr>
              <w:widowControl w:val="0"/>
              <w:numPr>
                <w:ilvl w:val="0"/>
                <w:numId w:val="19"/>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熟练使用kafka、RabbitMQ等中间件</w:t>
            </w:r>
          </w:p>
          <w:p w14:paraId="6E534F82">
            <w:pPr>
              <w:widowControl w:val="0"/>
              <w:numPr>
                <w:ilvl w:val="0"/>
                <w:numId w:val="19"/>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熟练部署tomcat服务器，nginx反向代理服务器</w:t>
            </w:r>
          </w:p>
        </w:tc>
      </w:tr>
      <w:tr w14:paraId="5F2B2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B84F58B">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类似项目经验</w:t>
            </w:r>
          </w:p>
        </w:tc>
        <w:tc>
          <w:tcPr>
            <w:tcW w:w="7937" w:type="dxa"/>
            <w:vAlign w:val="center"/>
          </w:tcPr>
          <w:p w14:paraId="3F040533">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PECMS石化工程监理检验检测咨询管理系统</w:t>
            </w:r>
          </w:p>
        </w:tc>
      </w:tr>
      <w:tr w14:paraId="1F4B6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76962FF">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相关证书或证明材料</w:t>
            </w:r>
          </w:p>
        </w:tc>
        <w:tc>
          <w:tcPr>
            <w:tcW w:w="7937" w:type="dxa"/>
            <w:vAlign w:val="center"/>
          </w:tcPr>
          <w:p w14:paraId="400D2757">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无</w:t>
            </w:r>
          </w:p>
        </w:tc>
      </w:tr>
      <w:tr w14:paraId="39C56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6B08522">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本项目职责</w:t>
            </w:r>
          </w:p>
        </w:tc>
        <w:tc>
          <w:tcPr>
            <w:tcW w:w="7937" w:type="dxa"/>
            <w:vAlign w:val="center"/>
          </w:tcPr>
          <w:p w14:paraId="051B6A5C">
            <w:pPr>
              <w:widowControl w:val="0"/>
              <w:numPr>
                <w:ilvl w:val="0"/>
                <w:numId w:val="20"/>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根据开发进度和任务分配，完成相应模块设计及开发</w:t>
            </w:r>
          </w:p>
          <w:p w14:paraId="08B8858A">
            <w:pPr>
              <w:widowControl w:val="0"/>
              <w:numPr>
                <w:ilvl w:val="0"/>
                <w:numId w:val="20"/>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进行程序单元功能的测试，查出存在的缺陷，并保证其质量</w:t>
            </w:r>
          </w:p>
          <w:p w14:paraId="2DC8AEB5">
            <w:pPr>
              <w:widowControl w:val="0"/>
              <w:numPr>
                <w:ilvl w:val="0"/>
                <w:numId w:val="20"/>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维护软件使之保持可用性和稳定性</w:t>
            </w:r>
          </w:p>
        </w:tc>
      </w:tr>
    </w:tbl>
    <w:p w14:paraId="552BAC78">
      <w:pPr>
        <w:spacing w:after="120"/>
        <w:rPr>
          <w:rFonts w:hint="eastAsia" w:ascii="宋体" w:hAnsi="宋体" w:eastAsia="宋体" w:cs="宋体"/>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7602"/>
      </w:tblGrid>
      <w:tr w14:paraId="11DC8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686" w:type="dxa"/>
            <w:shd w:val="clear" w:color="auto" w:fill="auto"/>
            <w:vAlign w:val="center"/>
          </w:tcPr>
          <w:p w14:paraId="2B18028F">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项目</w:t>
            </w:r>
          </w:p>
        </w:tc>
        <w:tc>
          <w:tcPr>
            <w:tcW w:w="7602" w:type="dxa"/>
            <w:shd w:val="clear" w:color="auto" w:fill="auto"/>
            <w:vAlign w:val="center"/>
          </w:tcPr>
          <w:p w14:paraId="0BC4103D">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填写内容</w:t>
            </w:r>
          </w:p>
        </w:tc>
      </w:tr>
      <w:tr w14:paraId="60B74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vAlign w:val="center"/>
          </w:tcPr>
          <w:p w14:paraId="1F08155F">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姓名</w:t>
            </w:r>
          </w:p>
        </w:tc>
        <w:tc>
          <w:tcPr>
            <w:tcW w:w="7602" w:type="dxa"/>
            <w:vAlign w:val="center"/>
          </w:tcPr>
          <w:p w14:paraId="66FC118A">
            <w:pPr>
              <w:widowControl w:val="0"/>
              <w:spacing w:after="0" w:line="240" w:lineRule="auto"/>
              <w:ind w:left="0" w:leftChars="0" w:firstLine="0" w:firstLineChars="0"/>
              <w:jc w:val="both"/>
              <w:rPr>
                <w:rFonts w:hint="default" w:ascii="宋体" w:hAnsi="宋体" w:eastAsia="宋体" w:cs="宋体"/>
                <w:b w:val="0"/>
                <w:bCs w:val="0"/>
                <w:kern w:val="2"/>
                <w:sz w:val="21"/>
                <w:szCs w:val="21"/>
                <w:lang w:val="en-US" w:eastAsia="zh-CN" w:bidi="ar"/>
              </w:rPr>
            </w:pPr>
            <w:r>
              <w:rPr>
                <w:rFonts w:hint="eastAsia" w:cs="宋体"/>
                <w:b w:val="0"/>
                <w:bCs w:val="0"/>
                <w:kern w:val="2"/>
                <w:sz w:val="21"/>
                <w:szCs w:val="21"/>
                <w:lang w:val="en-US" w:eastAsia="zh-CN" w:bidi="ar"/>
              </w:rPr>
              <w:t>崔海玲</w:t>
            </w:r>
          </w:p>
        </w:tc>
      </w:tr>
      <w:tr w14:paraId="1ADB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vAlign w:val="center"/>
          </w:tcPr>
          <w:p w14:paraId="76FFE3F4">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拟任岗位</w:t>
            </w:r>
          </w:p>
        </w:tc>
        <w:tc>
          <w:tcPr>
            <w:tcW w:w="7602" w:type="dxa"/>
            <w:vAlign w:val="center"/>
          </w:tcPr>
          <w:p w14:paraId="4A54B595">
            <w:pPr>
              <w:widowControl w:val="0"/>
              <w:spacing w:after="0" w:line="240" w:lineRule="auto"/>
              <w:ind w:left="0" w:leftChars="0" w:firstLine="0" w:firstLineChars="0"/>
              <w:jc w:val="both"/>
              <w:rPr>
                <w:rFonts w:hint="default" w:ascii="宋体" w:hAnsi="宋体" w:eastAsia="宋体" w:cs="宋体"/>
                <w:b w:val="0"/>
                <w:bCs w:val="0"/>
                <w:kern w:val="2"/>
                <w:sz w:val="21"/>
                <w:szCs w:val="21"/>
                <w:lang w:val="en-US" w:eastAsia="zh-CN" w:bidi="ar"/>
              </w:rPr>
            </w:pPr>
            <w:r>
              <w:rPr>
                <w:rFonts w:hint="eastAsia" w:cs="宋体"/>
                <w:b w:val="0"/>
                <w:bCs w:val="0"/>
                <w:kern w:val="2"/>
                <w:sz w:val="21"/>
                <w:szCs w:val="21"/>
                <w:lang w:val="en-US" w:eastAsia="zh-CN" w:bidi="ar"/>
              </w:rPr>
              <w:t>测试负责人</w:t>
            </w:r>
          </w:p>
        </w:tc>
      </w:tr>
      <w:tr w14:paraId="40C25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vAlign w:val="center"/>
          </w:tcPr>
          <w:p w14:paraId="1833B8E8">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学历/专业</w:t>
            </w:r>
          </w:p>
        </w:tc>
        <w:tc>
          <w:tcPr>
            <w:tcW w:w="7602" w:type="dxa"/>
            <w:vAlign w:val="center"/>
          </w:tcPr>
          <w:p w14:paraId="353CB716">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cs="宋体"/>
                <w:b w:val="0"/>
                <w:bCs w:val="0"/>
                <w:kern w:val="2"/>
                <w:sz w:val="21"/>
                <w:szCs w:val="21"/>
                <w:lang w:val="en-US" w:eastAsia="zh-CN" w:bidi="ar"/>
              </w:rPr>
              <w:t>本</w:t>
            </w:r>
            <w:r>
              <w:rPr>
                <w:rFonts w:hint="eastAsia" w:ascii="宋体" w:hAnsi="宋体" w:eastAsia="宋体" w:cs="宋体"/>
                <w:b w:val="0"/>
                <w:bCs w:val="0"/>
                <w:kern w:val="2"/>
                <w:sz w:val="21"/>
                <w:szCs w:val="21"/>
                <w:lang w:val="en-US" w:eastAsia="zh-CN" w:bidi="ar"/>
              </w:rPr>
              <w:t>科</w:t>
            </w:r>
          </w:p>
        </w:tc>
      </w:tr>
      <w:tr w14:paraId="55DC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vAlign w:val="center"/>
          </w:tcPr>
          <w:p w14:paraId="3B9C569E">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从业年限</w:t>
            </w:r>
          </w:p>
        </w:tc>
        <w:tc>
          <w:tcPr>
            <w:tcW w:w="7602" w:type="dxa"/>
            <w:vAlign w:val="center"/>
          </w:tcPr>
          <w:p w14:paraId="6EB533D6">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15年</w:t>
            </w:r>
          </w:p>
        </w:tc>
      </w:tr>
      <w:tr w14:paraId="0317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vAlign w:val="center"/>
          </w:tcPr>
          <w:p w14:paraId="7D0135E9">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主要技能</w:t>
            </w:r>
          </w:p>
        </w:tc>
        <w:tc>
          <w:tcPr>
            <w:tcW w:w="7602" w:type="dxa"/>
            <w:vAlign w:val="center"/>
          </w:tcPr>
          <w:p w14:paraId="3DF1D51D">
            <w:pPr>
              <w:widowControl w:val="0"/>
              <w:numPr>
                <w:ilvl w:val="0"/>
                <w:numId w:val="21"/>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熟练使用缺陷工具 (Jira / 禅道)、接口测试工具(Postman)、性能</w:t>
            </w:r>
            <w:r>
              <w:rPr>
                <w:rFonts w:hint="eastAsia" w:cs="宋体"/>
                <w:b w:val="0"/>
                <w:bCs w:val="0"/>
                <w:kern w:val="2"/>
                <w:sz w:val="21"/>
                <w:szCs w:val="21"/>
                <w:lang w:val="en-US" w:eastAsia="zh-CN" w:bidi="ar"/>
              </w:rPr>
              <w:t>测试工具</w:t>
            </w:r>
            <w:r>
              <w:rPr>
                <w:rFonts w:hint="eastAsia" w:ascii="宋体" w:hAnsi="宋体" w:eastAsia="宋体" w:cs="宋体"/>
                <w:b w:val="0"/>
                <w:bCs w:val="0"/>
                <w:kern w:val="2"/>
                <w:sz w:val="21"/>
                <w:szCs w:val="21"/>
                <w:lang w:val="en-US" w:eastAsia="zh-CN" w:bidi="ar"/>
              </w:rPr>
              <w:t>(JMeter)</w:t>
            </w:r>
          </w:p>
          <w:p w14:paraId="13D04058">
            <w:pPr>
              <w:widowControl w:val="0"/>
              <w:numPr>
                <w:ilvl w:val="0"/>
                <w:numId w:val="21"/>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cs="宋体"/>
                <w:b w:val="0"/>
                <w:bCs w:val="0"/>
                <w:kern w:val="2"/>
                <w:sz w:val="21"/>
                <w:szCs w:val="21"/>
                <w:lang w:val="en-US" w:eastAsia="zh-CN" w:bidi="ar"/>
              </w:rPr>
              <w:t>能够</w:t>
            </w:r>
            <w:r>
              <w:rPr>
                <w:rFonts w:hint="eastAsia" w:ascii="宋体" w:hAnsi="宋体" w:eastAsia="宋体" w:cs="宋体"/>
                <w:b w:val="0"/>
                <w:bCs w:val="0"/>
                <w:kern w:val="2"/>
                <w:sz w:val="21"/>
                <w:szCs w:val="21"/>
                <w:lang w:val="en-US" w:eastAsia="zh-CN" w:bidi="ar"/>
              </w:rPr>
              <w:t>看懂代码逻辑、数据库、网络协议、前后端架构基础</w:t>
            </w:r>
          </w:p>
          <w:p w14:paraId="7A6B78A6">
            <w:pPr>
              <w:widowControl w:val="0"/>
              <w:numPr>
                <w:ilvl w:val="0"/>
                <w:numId w:val="21"/>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cs="宋体"/>
                <w:b w:val="0"/>
                <w:bCs w:val="0"/>
                <w:kern w:val="2"/>
                <w:sz w:val="21"/>
                <w:szCs w:val="21"/>
                <w:lang w:val="en-US" w:eastAsia="zh-CN" w:bidi="ar"/>
              </w:rPr>
              <w:t>具备</w:t>
            </w:r>
            <w:r>
              <w:rPr>
                <w:rFonts w:hint="eastAsia" w:ascii="宋体" w:hAnsi="宋体" w:eastAsia="宋体" w:cs="宋体"/>
                <w:b w:val="0"/>
                <w:bCs w:val="0"/>
                <w:kern w:val="2"/>
                <w:sz w:val="21"/>
                <w:szCs w:val="21"/>
                <w:lang w:val="en-US" w:eastAsia="zh-CN" w:bidi="ar"/>
              </w:rPr>
              <w:t>制定测试流程、准入准出标准、缺陷管理规范</w:t>
            </w:r>
            <w:r>
              <w:rPr>
                <w:rFonts w:hint="eastAsia" w:cs="宋体"/>
                <w:b w:val="0"/>
                <w:bCs w:val="0"/>
                <w:kern w:val="2"/>
                <w:sz w:val="21"/>
                <w:szCs w:val="21"/>
                <w:lang w:val="en-US" w:eastAsia="zh-CN" w:bidi="ar"/>
              </w:rPr>
              <w:t>等能力</w:t>
            </w:r>
          </w:p>
        </w:tc>
      </w:tr>
      <w:tr w14:paraId="0F15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vAlign w:val="center"/>
          </w:tcPr>
          <w:p w14:paraId="56333929">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类似项目经验</w:t>
            </w:r>
          </w:p>
        </w:tc>
        <w:tc>
          <w:tcPr>
            <w:tcW w:w="7602" w:type="dxa"/>
            <w:shd w:val="clear" w:color="auto" w:fill="auto"/>
            <w:vAlign w:val="center"/>
          </w:tcPr>
          <w:p w14:paraId="47041BDF">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PECMS石化工程监理检验检测咨询管理系统</w:t>
            </w:r>
          </w:p>
        </w:tc>
      </w:tr>
      <w:tr w14:paraId="4D77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vAlign w:val="center"/>
          </w:tcPr>
          <w:p w14:paraId="15351D16">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相关证书或证明材料</w:t>
            </w:r>
          </w:p>
        </w:tc>
        <w:tc>
          <w:tcPr>
            <w:tcW w:w="7602" w:type="dxa"/>
            <w:vAlign w:val="center"/>
          </w:tcPr>
          <w:p w14:paraId="7096751E">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无</w:t>
            </w:r>
          </w:p>
        </w:tc>
      </w:tr>
      <w:tr w14:paraId="62B2A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vAlign w:val="center"/>
          </w:tcPr>
          <w:p w14:paraId="04B8F978">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本项目职责</w:t>
            </w:r>
          </w:p>
        </w:tc>
        <w:tc>
          <w:tcPr>
            <w:tcW w:w="7602" w:type="dxa"/>
            <w:vAlign w:val="center"/>
          </w:tcPr>
          <w:p w14:paraId="117D5C66">
            <w:pPr>
              <w:widowControl w:val="0"/>
              <w:numPr>
                <w:ilvl w:val="0"/>
                <w:numId w:val="22"/>
              </w:numPr>
              <w:spacing w:after="0" w:line="240" w:lineRule="auto"/>
              <w:ind w:left="0" w:leftChars="0" w:firstLine="0" w:firstLineChars="0"/>
              <w:jc w:val="both"/>
              <w:rPr>
                <w:rFonts w:hint="default"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制定测试流程、准入准出标准、缺陷管理规范</w:t>
            </w:r>
          </w:p>
          <w:p w14:paraId="3681860F">
            <w:pPr>
              <w:widowControl w:val="0"/>
              <w:numPr>
                <w:ilvl w:val="0"/>
                <w:numId w:val="22"/>
              </w:numPr>
              <w:spacing w:after="0" w:line="240" w:lineRule="auto"/>
              <w:ind w:left="0" w:leftChars="0" w:firstLine="0" w:firstLineChars="0"/>
              <w:jc w:val="both"/>
              <w:rPr>
                <w:rFonts w:hint="default"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评审需求文档、设计文档</w:t>
            </w:r>
          </w:p>
          <w:p w14:paraId="56C7F2D5">
            <w:pPr>
              <w:widowControl w:val="0"/>
              <w:numPr>
                <w:ilvl w:val="0"/>
                <w:numId w:val="22"/>
              </w:numPr>
              <w:spacing w:after="0" w:line="240" w:lineRule="auto"/>
              <w:ind w:left="0" w:leftChars="0" w:firstLine="0" w:firstLineChars="0"/>
              <w:jc w:val="both"/>
              <w:rPr>
                <w:rFonts w:hint="default"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审核各类测试文档，归档用例、报告、缺陷数据等资料</w:t>
            </w:r>
          </w:p>
          <w:p w14:paraId="392252CE">
            <w:pPr>
              <w:widowControl w:val="0"/>
              <w:numPr>
                <w:ilvl w:val="0"/>
                <w:numId w:val="22"/>
              </w:numPr>
              <w:spacing w:after="0" w:line="240" w:lineRule="auto"/>
              <w:ind w:left="0" w:leftChars="0" w:firstLine="0" w:firstLineChars="0"/>
              <w:jc w:val="both"/>
              <w:rPr>
                <w:rFonts w:hint="default"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配合版本发布、预上线验证工作</w:t>
            </w:r>
          </w:p>
        </w:tc>
      </w:tr>
    </w:tbl>
    <w:p w14:paraId="53833FFF">
      <w:pPr>
        <w:spacing w:after="120"/>
        <w:rPr>
          <w:rFonts w:hint="eastAsia" w:ascii="宋体" w:hAnsi="宋体" w:eastAsia="宋体" w:cs="宋体"/>
        </w:rPr>
      </w:pPr>
    </w:p>
    <w:p w14:paraId="3A467A46">
      <w:pPr>
        <w:spacing w:after="120"/>
        <w:rPr>
          <w:rFonts w:hint="eastAsia" w:ascii="宋体" w:hAnsi="宋体" w:eastAsia="宋体" w:cs="宋体"/>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gridCol w:w="7600"/>
      </w:tblGrid>
      <w:tr w14:paraId="0085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2D879175">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项目</w:t>
            </w:r>
          </w:p>
        </w:tc>
        <w:tc>
          <w:tcPr>
            <w:tcW w:w="7937" w:type="dxa"/>
            <w:shd w:val="clear" w:color="auto" w:fill="auto"/>
            <w:vAlign w:val="center"/>
          </w:tcPr>
          <w:p w14:paraId="6E004808">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填写内容</w:t>
            </w:r>
          </w:p>
        </w:tc>
      </w:tr>
      <w:tr w14:paraId="76523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6A5CBEA">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姓名</w:t>
            </w:r>
          </w:p>
        </w:tc>
        <w:tc>
          <w:tcPr>
            <w:tcW w:w="7937" w:type="dxa"/>
            <w:vAlign w:val="center"/>
          </w:tcPr>
          <w:p w14:paraId="526899F2">
            <w:pPr>
              <w:widowControl w:val="0"/>
              <w:spacing w:after="0" w:line="240" w:lineRule="auto"/>
              <w:ind w:left="0" w:leftChars="0" w:firstLine="0" w:firstLineChars="0"/>
              <w:jc w:val="both"/>
              <w:rPr>
                <w:rFonts w:hint="default" w:ascii="宋体" w:hAnsi="宋体" w:eastAsia="宋体" w:cs="宋体"/>
                <w:b w:val="0"/>
                <w:bCs w:val="0"/>
                <w:kern w:val="2"/>
                <w:sz w:val="21"/>
                <w:szCs w:val="21"/>
                <w:lang w:val="en-US" w:eastAsia="zh-CN" w:bidi="ar"/>
              </w:rPr>
            </w:pPr>
            <w:r>
              <w:rPr>
                <w:rFonts w:hint="eastAsia" w:cs="宋体"/>
                <w:b w:val="0"/>
                <w:bCs w:val="0"/>
                <w:kern w:val="2"/>
                <w:sz w:val="21"/>
                <w:szCs w:val="21"/>
                <w:lang w:val="en-US" w:eastAsia="zh-CN" w:bidi="ar"/>
              </w:rPr>
              <w:t>施炳乾</w:t>
            </w:r>
          </w:p>
        </w:tc>
      </w:tr>
      <w:tr w14:paraId="37B8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7176CF72">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拟任岗位</w:t>
            </w:r>
          </w:p>
        </w:tc>
        <w:tc>
          <w:tcPr>
            <w:tcW w:w="7937" w:type="dxa"/>
            <w:vAlign w:val="center"/>
          </w:tcPr>
          <w:p w14:paraId="43D8F5E5">
            <w:pPr>
              <w:widowControl w:val="0"/>
              <w:spacing w:after="0" w:line="240" w:lineRule="auto"/>
              <w:ind w:left="0" w:leftChars="0" w:firstLine="0" w:firstLineChars="0"/>
              <w:jc w:val="both"/>
              <w:rPr>
                <w:rFonts w:hint="default" w:ascii="宋体" w:hAnsi="宋体" w:eastAsia="宋体" w:cs="宋体"/>
                <w:b w:val="0"/>
                <w:bCs w:val="0"/>
                <w:kern w:val="2"/>
                <w:sz w:val="21"/>
                <w:szCs w:val="21"/>
                <w:lang w:val="en-US" w:eastAsia="zh-CN" w:bidi="ar"/>
              </w:rPr>
            </w:pPr>
            <w:r>
              <w:rPr>
                <w:rFonts w:hint="eastAsia" w:ascii="宋体" w:hAnsi="宋体" w:eastAsia="宋体" w:cs="宋体"/>
                <w:color w:val="1F2937"/>
              </w:rPr>
              <w:t>运维/售后负责人</w:t>
            </w:r>
          </w:p>
        </w:tc>
      </w:tr>
      <w:tr w14:paraId="4A71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7290A21">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学历/专业</w:t>
            </w:r>
          </w:p>
        </w:tc>
        <w:tc>
          <w:tcPr>
            <w:tcW w:w="7937" w:type="dxa"/>
            <w:vAlign w:val="center"/>
          </w:tcPr>
          <w:p w14:paraId="79D3E943">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cs="宋体"/>
                <w:b w:val="0"/>
                <w:bCs w:val="0"/>
                <w:kern w:val="2"/>
                <w:sz w:val="21"/>
                <w:szCs w:val="21"/>
                <w:lang w:val="en-US" w:eastAsia="zh-CN" w:bidi="ar"/>
              </w:rPr>
              <w:t>本</w:t>
            </w:r>
            <w:r>
              <w:rPr>
                <w:rFonts w:hint="eastAsia" w:ascii="宋体" w:hAnsi="宋体" w:eastAsia="宋体" w:cs="宋体"/>
                <w:b w:val="0"/>
                <w:bCs w:val="0"/>
                <w:kern w:val="2"/>
                <w:sz w:val="21"/>
                <w:szCs w:val="21"/>
                <w:lang w:val="en-US" w:eastAsia="zh-CN" w:bidi="ar"/>
              </w:rPr>
              <w:t>科</w:t>
            </w:r>
          </w:p>
        </w:tc>
      </w:tr>
      <w:tr w14:paraId="73BD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B846B82">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从业年限</w:t>
            </w:r>
          </w:p>
        </w:tc>
        <w:tc>
          <w:tcPr>
            <w:tcW w:w="7937" w:type="dxa"/>
            <w:vAlign w:val="center"/>
          </w:tcPr>
          <w:p w14:paraId="4C64D307">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cs="宋体"/>
                <w:b w:val="0"/>
                <w:bCs w:val="0"/>
                <w:kern w:val="2"/>
                <w:sz w:val="21"/>
                <w:szCs w:val="21"/>
                <w:lang w:val="en-US" w:eastAsia="zh-CN" w:bidi="ar"/>
              </w:rPr>
              <w:t>17</w:t>
            </w:r>
            <w:r>
              <w:rPr>
                <w:rFonts w:hint="eastAsia" w:ascii="宋体" w:hAnsi="宋体" w:eastAsia="宋体" w:cs="宋体"/>
                <w:b w:val="0"/>
                <w:bCs w:val="0"/>
                <w:kern w:val="2"/>
                <w:sz w:val="21"/>
                <w:szCs w:val="21"/>
                <w:lang w:val="en-US" w:eastAsia="zh-CN" w:bidi="ar"/>
              </w:rPr>
              <w:t>年</w:t>
            </w:r>
          </w:p>
        </w:tc>
      </w:tr>
      <w:tr w14:paraId="65879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70C89177">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主要技能</w:t>
            </w:r>
          </w:p>
        </w:tc>
        <w:tc>
          <w:tcPr>
            <w:tcW w:w="7937" w:type="dxa"/>
            <w:vAlign w:val="center"/>
          </w:tcPr>
          <w:p w14:paraId="5E495F86">
            <w:pPr>
              <w:widowControl w:val="0"/>
              <w:numPr>
                <w:ilvl w:val="0"/>
                <w:numId w:val="23"/>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熟练</w:t>
            </w:r>
            <w:r>
              <w:rPr>
                <w:rFonts w:hint="eastAsia" w:cs="宋体"/>
                <w:b w:val="0"/>
                <w:bCs w:val="0"/>
                <w:kern w:val="2"/>
                <w:sz w:val="21"/>
                <w:szCs w:val="21"/>
                <w:lang w:val="en-US" w:eastAsia="zh-CN" w:bidi="ar"/>
              </w:rPr>
              <w:t>掌握</w:t>
            </w:r>
            <w:r>
              <w:rPr>
                <w:rFonts w:hint="eastAsia" w:ascii="宋体" w:hAnsi="宋体" w:eastAsia="宋体" w:cs="宋体"/>
                <w:b w:val="0"/>
                <w:bCs w:val="0"/>
                <w:kern w:val="2"/>
                <w:sz w:val="21"/>
                <w:szCs w:val="21"/>
                <w:lang w:val="en-US" w:eastAsia="zh-CN" w:bidi="ar"/>
              </w:rPr>
              <w:t xml:space="preserve"> Linux、Windows 主流服务器系统操作、权限、服务管理</w:t>
            </w:r>
          </w:p>
          <w:p w14:paraId="6134BC38">
            <w:pPr>
              <w:widowControl w:val="0"/>
              <w:numPr>
                <w:ilvl w:val="0"/>
                <w:numId w:val="23"/>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掌握磁盘、进程、内存、网络等服务器资源监控排查</w:t>
            </w:r>
          </w:p>
          <w:p w14:paraId="08C8A7D0">
            <w:pPr>
              <w:widowControl w:val="0"/>
              <w:numPr>
                <w:ilvl w:val="0"/>
                <w:numId w:val="23"/>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了解虚拟化、容器 Docker、K8s 基础运维操作</w:t>
            </w:r>
          </w:p>
          <w:p w14:paraId="48257F52">
            <w:pPr>
              <w:widowControl w:val="0"/>
              <w:numPr>
                <w:ilvl w:val="0"/>
                <w:numId w:val="23"/>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熟悉 TCP/IP、防火墙、路由端口、域名、负载均衡</w:t>
            </w:r>
          </w:p>
          <w:p w14:paraId="49F0398D">
            <w:pPr>
              <w:widowControl w:val="0"/>
              <w:numPr>
                <w:ilvl w:val="0"/>
                <w:numId w:val="23"/>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Nginx、Redis、MQ、Tomcat 等中间件部署、调优、故障排查</w:t>
            </w:r>
          </w:p>
        </w:tc>
      </w:tr>
      <w:tr w14:paraId="6AFA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936260E">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类似项目经验</w:t>
            </w:r>
          </w:p>
        </w:tc>
        <w:tc>
          <w:tcPr>
            <w:tcW w:w="7937" w:type="dxa"/>
            <w:vAlign w:val="center"/>
          </w:tcPr>
          <w:p w14:paraId="73716D2C">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PECMS石化工程监理检验检测咨询管理系统</w:t>
            </w:r>
          </w:p>
        </w:tc>
      </w:tr>
      <w:tr w14:paraId="0CB5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DD05882">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相关证书或证明材料</w:t>
            </w:r>
          </w:p>
        </w:tc>
        <w:tc>
          <w:tcPr>
            <w:tcW w:w="7937" w:type="dxa"/>
            <w:vAlign w:val="center"/>
          </w:tcPr>
          <w:p w14:paraId="057E340B">
            <w:pPr>
              <w:widowControl w:val="0"/>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无</w:t>
            </w:r>
          </w:p>
        </w:tc>
      </w:tr>
      <w:tr w14:paraId="1FFEA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4267352">
            <w:pPr>
              <w:widowControl w:val="0"/>
              <w:spacing w:after="0" w:line="240" w:lineRule="auto"/>
              <w:ind w:left="0" w:leftChars="0" w:firstLine="0" w:firstLineChars="0"/>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本项目职责</w:t>
            </w:r>
          </w:p>
        </w:tc>
        <w:tc>
          <w:tcPr>
            <w:tcW w:w="7937" w:type="dxa"/>
            <w:vAlign w:val="center"/>
          </w:tcPr>
          <w:p w14:paraId="5AF2D2A1">
            <w:pPr>
              <w:widowControl w:val="0"/>
              <w:numPr>
                <w:ilvl w:val="0"/>
                <w:numId w:val="24"/>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针对性优化服务器、数据库、中间件运行性能</w:t>
            </w:r>
          </w:p>
          <w:p w14:paraId="00B4B70A">
            <w:pPr>
              <w:widowControl w:val="0"/>
              <w:numPr>
                <w:ilvl w:val="0"/>
                <w:numId w:val="24"/>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定期清理冗余文件、无效日志，释放系统资源</w:t>
            </w:r>
          </w:p>
          <w:p w14:paraId="1DC18431">
            <w:pPr>
              <w:widowControl w:val="0"/>
              <w:numPr>
                <w:ilvl w:val="0"/>
                <w:numId w:val="24"/>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修复安全漏洞，加固系统防护能力</w:t>
            </w:r>
          </w:p>
          <w:p w14:paraId="688D16B2">
            <w:pPr>
              <w:widowControl w:val="0"/>
              <w:numPr>
                <w:ilvl w:val="0"/>
                <w:numId w:val="24"/>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搭建、调试项目测试 / 生产服务器环境，规划资源与目录架构</w:t>
            </w:r>
          </w:p>
          <w:p w14:paraId="66749F4B">
            <w:pPr>
              <w:widowControl w:val="0"/>
              <w:numPr>
                <w:ilvl w:val="0"/>
                <w:numId w:val="24"/>
              </w:numPr>
              <w:spacing w:after="0" w:line="240" w:lineRule="auto"/>
              <w:ind w:left="0" w:leftChars="0" w:firstLine="0" w:firstLineChars="0"/>
              <w:jc w:val="both"/>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kern w:val="2"/>
                <w:sz w:val="21"/>
                <w:szCs w:val="21"/>
                <w:lang w:val="en-US" w:eastAsia="zh-CN" w:bidi="ar"/>
              </w:rPr>
              <w:t>完成操作系统、数据库、中间件、依赖组件安装配置</w:t>
            </w:r>
          </w:p>
        </w:tc>
      </w:tr>
    </w:tbl>
    <w:p w14:paraId="04F14473">
      <w:pPr>
        <w:spacing w:after="120"/>
        <w:rPr>
          <w:rFonts w:hint="eastAsia" w:ascii="宋体" w:hAnsi="宋体" w:eastAsia="宋体" w:cs="宋体"/>
        </w:rPr>
      </w:pPr>
    </w:p>
    <w:p w14:paraId="4A065105">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11.4.6.2 核心成员职责协同机制</w:t>
      </w:r>
    </w:p>
    <w:p w14:paraId="35CDEF94">
      <w:pPr>
        <w:spacing w:after="120" w:line="360" w:lineRule="auto"/>
        <w:ind w:firstLine="440" w:firstLineChars="200"/>
        <w:rPr>
          <w:rFonts w:hint="eastAsia" w:ascii="宋体" w:hAnsi="宋体" w:eastAsia="宋体" w:cs="宋体"/>
        </w:rPr>
      </w:pPr>
      <w:r>
        <w:rPr>
          <w:rFonts w:hint="eastAsia" w:ascii="宋体" w:hAnsi="宋体" w:eastAsia="宋体" w:cs="宋体"/>
          <w:color w:val="1F2937"/>
          <w:sz w:val="22"/>
          <w:szCs w:val="22"/>
        </w:rPr>
        <w:t>为保证核心成员不是分散作业，本项目建立“业务、技术、测试、运维”四线协同机制：</w:t>
      </w:r>
    </w:p>
    <w:p w14:paraId="19FF3E76">
      <w:pPr>
        <w:spacing w:after="70" w:line="330" w:lineRule="auto"/>
        <w:ind w:left="420" w:hanging="260"/>
        <w:rPr>
          <w:rFonts w:hint="eastAsia" w:ascii="宋体" w:hAnsi="宋体" w:eastAsia="宋体" w:cs="宋体"/>
        </w:rPr>
      </w:pPr>
      <w:r>
        <w:rPr>
          <w:rFonts w:hint="eastAsia" w:ascii="宋体" w:hAnsi="宋体" w:eastAsia="宋体" w:cs="宋体"/>
          <w:color w:val="1F2937"/>
          <w:sz w:val="22"/>
          <w:szCs w:val="22"/>
        </w:rPr>
        <w:t>1. 业务线由实施负责人牵头，负责需求调研、流程确认、用户沟通、培训和试运行反馈闭环。</w:t>
      </w:r>
    </w:p>
    <w:p w14:paraId="39BA4F85">
      <w:pPr>
        <w:spacing w:after="70" w:line="330" w:lineRule="auto"/>
        <w:ind w:left="420" w:hanging="260"/>
        <w:rPr>
          <w:rFonts w:hint="eastAsia" w:ascii="宋体" w:hAnsi="宋体" w:eastAsia="宋体" w:cs="宋体"/>
        </w:rPr>
      </w:pPr>
      <w:r>
        <w:rPr>
          <w:rFonts w:hint="eastAsia" w:ascii="宋体" w:hAnsi="宋体" w:eastAsia="宋体" w:cs="宋体"/>
          <w:color w:val="1F2937"/>
          <w:sz w:val="22"/>
          <w:szCs w:val="22"/>
        </w:rPr>
        <w:t>2. 技术线由技术负责人牵头，负责架构设计、关键技术决策、接口边界、性能优化、安全控制和国产化适配。</w:t>
      </w:r>
    </w:p>
    <w:p w14:paraId="4F1A199B">
      <w:pPr>
        <w:spacing w:after="70" w:line="330" w:lineRule="auto"/>
        <w:ind w:left="420" w:hanging="260"/>
        <w:rPr>
          <w:rFonts w:hint="eastAsia" w:ascii="宋体" w:hAnsi="宋体" w:eastAsia="宋体" w:cs="宋体"/>
        </w:rPr>
      </w:pPr>
      <w:r>
        <w:rPr>
          <w:rFonts w:hint="eastAsia" w:ascii="宋体" w:hAnsi="宋体" w:eastAsia="宋体" w:cs="宋体"/>
          <w:color w:val="1F2937"/>
          <w:sz w:val="22"/>
          <w:szCs w:val="22"/>
        </w:rPr>
        <w:t>3. 开发线由后端负责人和前端负责人共同牵头，负责功能实现、页面交互、接口联调、权限控制和版本交付。</w:t>
      </w:r>
    </w:p>
    <w:p w14:paraId="56A30F2C">
      <w:pPr>
        <w:spacing w:after="70" w:line="330" w:lineRule="auto"/>
        <w:ind w:left="420" w:hanging="260"/>
        <w:rPr>
          <w:rFonts w:hint="eastAsia" w:ascii="宋体" w:hAnsi="宋体" w:eastAsia="宋体" w:cs="宋体"/>
        </w:rPr>
      </w:pPr>
      <w:r>
        <w:rPr>
          <w:rFonts w:hint="eastAsia" w:ascii="宋体" w:hAnsi="宋体" w:eastAsia="宋体" w:cs="宋体"/>
          <w:color w:val="1F2937"/>
          <w:sz w:val="22"/>
          <w:szCs w:val="22"/>
        </w:rPr>
        <w:t>4. 质量线由测试负责人牵头，负责测试计划、缺陷分级、回归验证、验收预检和质量报告。</w:t>
      </w:r>
    </w:p>
    <w:p w14:paraId="787E15AC">
      <w:pPr>
        <w:spacing w:after="70" w:line="330" w:lineRule="auto"/>
        <w:ind w:left="420" w:hanging="260"/>
        <w:rPr>
          <w:rFonts w:hint="eastAsia" w:ascii="宋体" w:hAnsi="宋体" w:eastAsia="宋体" w:cs="宋体"/>
        </w:rPr>
      </w:pPr>
      <w:r>
        <w:rPr>
          <w:rFonts w:hint="eastAsia" w:ascii="宋体" w:hAnsi="宋体" w:eastAsia="宋体" w:cs="宋体"/>
          <w:color w:val="1F2937"/>
          <w:sz w:val="22"/>
          <w:szCs w:val="22"/>
        </w:rPr>
        <w:t>5. 运维线由运维及售后负责人牵头，负责环境部署、运行巡检、备份恢复、应急响应和知识转移。</w:t>
      </w:r>
    </w:p>
    <w:p w14:paraId="585228A7">
      <w:pPr>
        <w:spacing w:after="120" w:line="360" w:lineRule="auto"/>
        <w:ind w:firstLine="440" w:firstLineChars="200"/>
        <w:rPr>
          <w:rFonts w:hint="eastAsia" w:ascii="宋体" w:hAnsi="宋体" w:eastAsia="宋体" w:cs="宋体"/>
        </w:rPr>
      </w:pPr>
      <w:r>
        <w:rPr>
          <w:rFonts w:hint="eastAsia" w:ascii="宋体" w:hAnsi="宋体" w:eastAsia="宋体" w:cs="宋体"/>
          <w:color w:val="1F2937"/>
          <w:sz w:val="22"/>
          <w:szCs w:val="22"/>
        </w:rPr>
        <w:t>各核心成员通过周例会、专题评审会、联调问题会、缺陷复盘会和试运行协调会进行协同。对于需求变更、接口阻塞、性能瓶颈、安全整改、上线风险等事项，由对应负责人提出处置意见，项目经理统一协调资源并推动闭环。</w:t>
      </w:r>
    </w:p>
    <w:p w14:paraId="349FD1F3">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11.4.6.3 核心成员稳定投入承诺</w:t>
      </w:r>
    </w:p>
    <w:p w14:paraId="3968EAF4">
      <w:pPr>
        <w:spacing w:after="120" w:line="360" w:lineRule="auto"/>
        <w:ind w:firstLine="440" w:firstLineChars="200"/>
        <w:rPr>
          <w:rFonts w:hint="eastAsia" w:ascii="宋体" w:hAnsi="宋体" w:eastAsia="宋体" w:cs="宋体"/>
        </w:rPr>
      </w:pPr>
      <w:r>
        <w:rPr>
          <w:rFonts w:hint="eastAsia" w:ascii="宋体" w:hAnsi="宋体" w:eastAsia="宋体" w:cs="宋体"/>
          <w:color w:val="1F2937"/>
          <w:sz w:val="22"/>
          <w:szCs w:val="22"/>
        </w:rPr>
        <w:t>我方承诺在本项目实施期间保持核心成员队伍稳定，核心岗位人员原则上不随意更换。确需调整时，将提前向招标人说明原因，安排能力、经验和职责匹配度不低于原人员的替换人员，并完成以下交接工作：</w:t>
      </w:r>
    </w:p>
    <w:p w14:paraId="79802DE3">
      <w:pPr>
        <w:spacing w:after="70" w:line="330" w:lineRule="auto"/>
        <w:ind w:left="420" w:hanging="260"/>
        <w:rPr>
          <w:rFonts w:hint="eastAsia" w:ascii="宋体" w:hAnsi="宋体" w:eastAsia="宋体" w:cs="宋体"/>
        </w:rPr>
      </w:pPr>
      <w:r>
        <w:rPr>
          <w:rFonts w:hint="eastAsia" w:ascii="宋体" w:hAnsi="宋体" w:eastAsia="宋体" w:cs="宋体"/>
          <w:color w:val="1F2937"/>
          <w:sz w:val="22"/>
          <w:szCs w:val="22"/>
        </w:rPr>
        <w:t>1. 已完成工作成果和未完成任务交接。</w:t>
      </w:r>
    </w:p>
    <w:p w14:paraId="66F09D00">
      <w:pPr>
        <w:spacing w:after="70" w:line="330" w:lineRule="auto"/>
        <w:ind w:left="420" w:hanging="260"/>
        <w:rPr>
          <w:rFonts w:hint="eastAsia" w:ascii="宋体" w:hAnsi="宋体" w:eastAsia="宋体" w:cs="宋体"/>
        </w:rPr>
      </w:pPr>
      <w:r>
        <w:rPr>
          <w:rFonts w:hint="eastAsia" w:ascii="宋体" w:hAnsi="宋体" w:eastAsia="宋体" w:cs="宋体"/>
          <w:color w:val="1F2937"/>
          <w:sz w:val="22"/>
          <w:szCs w:val="22"/>
        </w:rPr>
        <w:t>2. 需求、设计、接口、缺陷、风险、变更等台账交接。</w:t>
      </w:r>
    </w:p>
    <w:p w14:paraId="139B21C6">
      <w:pPr>
        <w:spacing w:after="70" w:line="330" w:lineRule="auto"/>
        <w:ind w:left="420" w:hanging="260"/>
        <w:rPr>
          <w:rFonts w:hint="eastAsia" w:ascii="宋体" w:hAnsi="宋体" w:eastAsia="宋体" w:cs="宋体"/>
        </w:rPr>
      </w:pPr>
      <w:r>
        <w:rPr>
          <w:rFonts w:hint="eastAsia" w:ascii="宋体" w:hAnsi="宋体" w:eastAsia="宋体" w:cs="宋体"/>
          <w:color w:val="1F2937"/>
          <w:sz w:val="22"/>
          <w:szCs w:val="22"/>
        </w:rPr>
        <w:t>3. 关键沟通记录和待确认事项交接。</w:t>
      </w:r>
    </w:p>
    <w:p w14:paraId="544DF809">
      <w:pPr>
        <w:spacing w:after="70" w:line="330" w:lineRule="auto"/>
        <w:ind w:left="420" w:hanging="260"/>
        <w:rPr>
          <w:rFonts w:hint="eastAsia" w:ascii="宋体" w:hAnsi="宋体" w:eastAsia="宋体" w:cs="宋体"/>
        </w:rPr>
      </w:pPr>
      <w:r>
        <w:rPr>
          <w:rFonts w:hint="eastAsia" w:ascii="宋体" w:hAnsi="宋体" w:eastAsia="宋体" w:cs="宋体"/>
          <w:color w:val="1F2937"/>
          <w:sz w:val="22"/>
          <w:szCs w:val="22"/>
        </w:rPr>
        <w:t>4. 代码、配置、测试用例、部署脚本和文档资料交接。</w:t>
      </w:r>
    </w:p>
    <w:p w14:paraId="7500B2A0">
      <w:pPr>
        <w:spacing w:after="70" w:line="330" w:lineRule="auto"/>
        <w:ind w:left="420" w:hanging="260"/>
        <w:rPr>
          <w:rFonts w:hint="eastAsia" w:ascii="宋体" w:hAnsi="宋体" w:eastAsia="宋体" w:cs="宋体"/>
        </w:rPr>
      </w:pPr>
      <w:r>
        <w:rPr>
          <w:rFonts w:hint="eastAsia" w:ascii="宋体" w:hAnsi="宋体" w:eastAsia="宋体" w:cs="宋体"/>
          <w:color w:val="1F2937"/>
          <w:sz w:val="22"/>
          <w:szCs w:val="22"/>
        </w:rPr>
        <w:t>5. 经项目经理确认后纳入项目组织和沟通机制。</w:t>
      </w:r>
    </w:p>
    <w:p w14:paraId="3E6BF1C8">
      <w:pPr>
        <w:spacing w:after="120" w:line="360" w:lineRule="auto"/>
        <w:ind w:firstLine="440" w:firstLineChars="200"/>
        <w:rPr>
          <w:rFonts w:hint="eastAsia" w:ascii="宋体" w:hAnsi="宋体" w:eastAsia="宋体" w:cs="宋体"/>
        </w:rPr>
      </w:pPr>
      <w:r>
        <w:rPr>
          <w:rFonts w:hint="eastAsia" w:ascii="宋体" w:hAnsi="宋体" w:eastAsia="宋体" w:cs="宋体"/>
          <w:color w:val="1F2937"/>
          <w:sz w:val="22"/>
          <w:szCs w:val="22"/>
        </w:rPr>
        <w:t>通过上述配置与管理方案，核心成员将从“人员资格响应”转化为“可执行、可追踪、可交付”的项目组织保障，支撑本项目按计划完成建设、试运行、验收和后续服务。</w:t>
      </w:r>
    </w:p>
    <w:p w14:paraId="69EA4AA5">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11.4.7 项目实施方法</w:t>
      </w:r>
    </w:p>
    <w:p w14:paraId="55807202">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11.4.7.1 总体实施方法</w:t>
      </w:r>
    </w:p>
    <w:p w14:paraId="61757453">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本项目实施方法采用“需求澄清 - 设计评审 - 开发联调 - 试运行优化 - 验收移交”的阶段化推进模式。其关键特点是：</w:t>
      </w:r>
    </w:p>
    <w:p w14:paraId="4DD695A7">
      <w:pPr>
        <w:spacing w:after="70" w:line="330" w:lineRule="auto"/>
        <w:ind w:left="420" w:hanging="260"/>
        <w:rPr>
          <w:rFonts w:hint="eastAsia" w:ascii="宋体" w:hAnsi="宋体" w:eastAsia="宋体" w:cs="宋体"/>
        </w:rPr>
      </w:pPr>
      <w:r>
        <w:rPr>
          <w:rFonts w:hint="eastAsia" w:ascii="宋体" w:hAnsi="宋体" w:eastAsia="宋体" w:cs="宋体"/>
          <w:color w:val="1F2937"/>
        </w:rPr>
        <w:t>1. 不是先开发、后确认，而是先确认、后开发。</w:t>
      </w:r>
    </w:p>
    <w:p w14:paraId="3ED299A9">
      <w:pPr>
        <w:spacing w:after="70" w:line="330" w:lineRule="auto"/>
        <w:ind w:left="420" w:hanging="260"/>
        <w:rPr>
          <w:rFonts w:hint="eastAsia" w:ascii="宋体" w:hAnsi="宋体" w:eastAsia="宋体" w:cs="宋体"/>
        </w:rPr>
      </w:pPr>
      <w:r>
        <w:rPr>
          <w:rFonts w:hint="eastAsia" w:ascii="宋体" w:hAnsi="宋体" w:eastAsia="宋体" w:cs="宋体"/>
          <w:color w:val="1F2937"/>
        </w:rPr>
        <w:t>2. 不是开发完成后再补文档，而是阶段成果同步沉淀。</w:t>
      </w:r>
    </w:p>
    <w:p w14:paraId="1332D1E7">
      <w:pPr>
        <w:spacing w:after="70" w:line="330" w:lineRule="auto"/>
        <w:ind w:left="420" w:hanging="260"/>
        <w:rPr>
          <w:rFonts w:hint="eastAsia" w:ascii="宋体" w:hAnsi="宋体" w:eastAsia="宋体" w:cs="宋体"/>
        </w:rPr>
      </w:pPr>
      <w:r>
        <w:rPr>
          <w:rFonts w:hint="eastAsia" w:ascii="宋体" w:hAnsi="宋体" w:eastAsia="宋体" w:cs="宋体"/>
          <w:color w:val="1F2937"/>
        </w:rPr>
        <w:t>3. 不是上线即结束，而是试运行阶段持续优化后再验收。</w:t>
      </w:r>
    </w:p>
    <w:p w14:paraId="6038B0AB">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11.4.7.2 各阶段主要工作</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4"/>
        <w:gridCol w:w="4112"/>
        <w:gridCol w:w="3106"/>
      </w:tblGrid>
      <w:tr w14:paraId="774B0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24"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5C55DE4">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阶段</w:t>
            </w:r>
          </w:p>
        </w:tc>
        <w:tc>
          <w:tcPr>
            <w:tcW w:w="2207"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B488352">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主要工作</w:t>
            </w:r>
          </w:p>
        </w:tc>
        <w:tc>
          <w:tcPr>
            <w:tcW w:w="1667"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0022E85">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主要成果</w:t>
            </w:r>
          </w:p>
        </w:tc>
      </w:tr>
      <w:tr w14:paraId="6E65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DA7A81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启动与调研</w:t>
            </w:r>
          </w:p>
        </w:tc>
        <w:tc>
          <w:tcPr>
            <w:tcW w:w="220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90D271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启动会、需求调研、角色访谈、资料清点</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B94202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启动纪要、调研纪要</w:t>
            </w:r>
          </w:p>
        </w:tc>
      </w:tr>
      <w:tr w14:paraId="0B390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A7AB38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需求与设计</w:t>
            </w:r>
          </w:p>
        </w:tc>
        <w:tc>
          <w:tcPr>
            <w:tcW w:w="220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37667B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需求确认、原型确认、总体设计、详细设计</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33E46D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需求规格说明书、设计说明书</w:t>
            </w:r>
          </w:p>
        </w:tc>
      </w:tr>
      <w:tr w14:paraId="0654A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4855E6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开发与联调</w:t>
            </w:r>
          </w:p>
        </w:tc>
        <w:tc>
          <w:tcPr>
            <w:tcW w:w="220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035BC4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功能开发、接口联调、数据一致性校验</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B19384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开发版本、联调记录</w:t>
            </w:r>
          </w:p>
        </w:tc>
      </w:tr>
      <w:tr w14:paraId="4007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2AB5BA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测试与试运行准备</w:t>
            </w:r>
          </w:p>
        </w:tc>
        <w:tc>
          <w:tcPr>
            <w:tcW w:w="220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0D1C51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功能测试、性能测试、安全检测、发布准备</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E83BB2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测试报告、发布说明</w:t>
            </w:r>
          </w:p>
        </w:tc>
      </w:tr>
      <w:tr w14:paraId="3E45A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AA5D9C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试运行与优化</w:t>
            </w:r>
          </w:p>
        </w:tc>
        <w:tc>
          <w:tcPr>
            <w:tcW w:w="220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7248E4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问题整改、现场支撑、运行监测、巡检优化</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3B87DE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试运行记录、问题台账</w:t>
            </w:r>
          </w:p>
        </w:tc>
      </w:tr>
      <w:tr w14:paraId="6B6F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EAEF20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验收与移交</w:t>
            </w:r>
          </w:p>
        </w:tc>
        <w:tc>
          <w:tcPr>
            <w:tcW w:w="220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E1BA6A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验收配合、资料交付、培训、知识转移</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EE6365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验收报告、培训资料、交付清单</w:t>
            </w:r>
          </w:p>
        </w:tc>
      </w:tr>
    </w:tbl>
    <w:p w14:paraId="2D8C7DC7">
      <w:pPr>
        <w:spacing w:after="70" w:line="330" w:lineRule="auto"/>
        <w:rPr>
          <w:rFonts w:hint="eastAsia" w:ascii="宋体" w:hAnsi="宋体" w:eastAsia="宋体" w:cs="宋体"/>
        </w:rPr>
      </w:pPr>
    </w:p>
    <w:p w14:paraId="3EC1AFD2">
      <w:pPr>
        <w:pStyle w:val="5"/>
        <w:bidi w:val="0"/>
        <w:rPr>
          <w:rFonts w:hint="eastAsia" w:ascii="宋体" w:hAnsi="宋体" w:eastAsia="宋体" w:cs="宋体"/>
          <w:b w:val="0"/>
          <w:bCs/>
          <w:lang w:val="en-US" w:eastAsia="zh-CN"/>
        </w:rPr>
      </w:pPr>
      <w:r>
        <w:rPr>
          <w:rFonts w:hint="eastAsia" w:cs="宋体"/>
          <w:b w:val="0"/>
          <w:bCs/>
          <w:lang w:val="en-US" w:eastAsia="zh-CN"/>
        </w:rPr>
        <w:t>11.4.8</w:t>
      </w:r>
      <w:r>
        <w:rPr>
          <w:rFonts w:hint="eastAsia" w:ascii="宋体" w:hAnsi="宋体" w:eastAsia="宋体" w:cs="宋体"/>
          <w:b w:val="0"/>
          <w:bCs/>
          <w:lang w:val="en-US" w:eastAsia="zh-CN"/>
        </w:rPr>
        <w:t xml:space="preserve"> 沟通汇报机制</w:t>
      </w:r>
    </w:p>
    <w:p w14:paraId="40E619AB">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11.4.8</w:t>
      </w:r>
      <w:r>
        <w:rPr>
          <w:rFonts w:hint="eastAsia" w:ascii="宋体" w:hAnsi="宋体" w:eastAsia="宋体" w:cs="宋体"/>
          <w:b w:val="0"/>
          <w:bCs/>
          <w:lang w:val="en-US" w:eastAsia="zh-CN"/>
        </w:rPr>
        <w:t>.1 沟通机制设计</w:t>
      </w:r>
    </w:p>
    <w:p w14:paraId="43148C40">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项目沟通要做到“有节奏、有纪要、有结论、有跟踪”，采用以下机制：</w:t>
      </w:r>
    </w:p>
    <w:p w14:paraId="6A102528">
      <w:pPr>
        <w:spacing w:after="70" w:line="330" w:lineRule="auto"/>
        <w:ind w:left="420" w:hanging="260"/>
        <w:rPr>
          <w:rFonts w:hint="eastAsia" w:ascii="宋体" w:hAnsi="宋体" w:eastAsia="宋体" w:cs="宋体"/>
        </w:rPr>
      </w:pPr>
      <w:r>
        <w:rPr>
          <w:rFonts w:hint="eastAsia" w:ascii="宋体" w:hAnsi="宋体" w:eastAsia="宋体" w:cs="宋体"/>
          <w:color w:val="1F2937"/>
        </w:rPr>
        <w:t>1. 启动会：明确目标、组织、范围和沟通机制。</w:t>
      </w:r>
    </w:p>
    <w:p w14:paraId="5DD83ACE">
      <w:pPr>
        <w:spacing w:after="70" w:line="330" w:lineRule="auto"/>
        <w:ind w:left="420" w:hanging="260"/>
        <w:rPr>
          <w:rFonts w:hint="eastAsia" w:ascii="宋体" w:hAnsi="宋体" w:eastAsia="宋体" w:cs="宋体"/>
        </w:rPr>
      </w:pPr>
      <w:r>
        <w:rPr>
          <w:rFonts w:hint="eastAsia" w:ascii="宋体" w:hAnsi="宋体" w:eastAsia="宋体" w:cs="宋体"/>
          <w:color w:val="1F2937"/>
        </w:rPr>
        <w:t>2. 周例会：跟踪进度、问题、风险和下周安排。</w:t>
      </w:r>
    </w:p>
    <w:p w14:paraId="4A69DD67">
      <w:pPr>
        <w:spacing w:after="70" w:line="330" w:lineRule="auto"/>
        <w:ind w:left="420" w:hanging="260"/>
        <w:rPr>
          <w:rFonts w:hint="eastAsia" w:ascii="宋体" w:hAnsi="宋体" w:eastAsia="宋体" w:cs="宋体"/>
        </w:rPr>
      </w:pPr>
      <w:r>
        <w:rPr>
          <w:rFonts w:hint="eastAsia" w:ascii="宋体" w:hAnsi="宋体" w:eastAsia="宋体" w:cs="宋体"/>
          <w:color w:val="1F2937"/>
        </w:rPr>
        <w:t>3. 月度会：汇总阶段成果、风险和关键决策事项。</w:t>
      </w:r>
    </w:p>
    <w:p w14:paraId="28E79C94">
      <w:pPr>
        <w:spacing w:after="70" w:line="330" w:lineRule="auto"/>
        <w:ind w:left="420" w:hanging="260"/>
        <w:rPr>
          <w:rFonts w:hint="eastAsia" w:ascii="宋体" w:hAnsi="宋体" w:eastAsia="宋体" w:cs="宋体"/>
        </w:rPr>
      </w:pPr>
      <w:r>
        <w:rPr>
          <w:rFonts w:hint="eastAsia" w:ascii="宋体" w:hAnsi="宋体" w:eastAsia="宋体" w:cs="宋体"/>
          <w:color w:val="1F2937"/>
        </w:rPr>
        <w:t>4. 专题会：针对接口、性能、安全、验收等重点问题单独组织。</w:t>
      </w:r>
    </w:p>
    <w:p w14:paraId="53648919">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11.4.8</w:t>
      </w:r>
      <w:r>
        <w:rPr>
          <w:rFonts w:hint="eastAsia" w:ascii="宋体" w:hAnsi="宋体" w:eastAsia="宋体" w:cs="宋体"/>
          <w:b w:val="0"/>
          <w:bCs/>
          <w:lang w:val="en-US" w:eastAsia="zh-CN"/>
        </w:rPr>
        <w:t>.2 汇报成果要求</w:t>
      </w:r>
    </w:p>
    <w:p w14:paraId="20576E3C">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固定输出：</w:t>
      </w:r>
    </w:p>
    <w:p w14:paraId="0F56738E">
      <w:pPr>
        <w:spacing w:after="70" w:line="330" w:lineRule="auto"/>
        <w:ind w:left="420" w:hanging="260"/>
        <w:rPr>
          <w:rFonts w:hint="eastAsia" w:ascii="宋体" w:hAnsi="宋体" w:eastAsia="宋体" w:cs="宋体"/>
        </w:rPr>
      </w:pPr>
      <w:r>
        <w:rPr>
          <w:rFonts w:hint="eastAsia" w:ascii="宋体" w:hAnsi="宋体" w:eastAsia="宋体" w:cs="宋体"/>
          <w:color w:val="1F2937"/>
        </w:rPr>
        <w:t>1. 项目周报</w:t>
      </w:r>
    </w:p>
    <w:p w14:paraId="253AA92D">
      <w:pPr>
        <w:spacing w:after="70" w:line="330" w:lineRule="auto"/>
        <w:ind w:left="420" w:hanging="260"/>
        <w:rPr>
          <w:rFonts w:hint="eastAsia" w:ascii="宋体" w:hAnsi="宋体" w:eastAsia="宋体" w:cs="宋体"/>
        </w:rPr>
      </w:pPr>
      <w:r>
        <w:rPr>
          <w:rFonts w:hint="eastAsia" w:ascii="宋体" w:hAnsi="宋体" w:eastAsia="宋体" w:cs="宋体"/>
          <w:color w:val="1F2937"/>
        </w:rPr>
        <w:t>2. 风险台账</w:t>
      </w:r>
    </w:p>
    <w:p w14:paraId="0EF750AB">
      <w:pPr>
        <w:spacing w:after="70" w:line="330" w:lineRule="auto"/>
        <w:ind w:left="420" w:hanging="260"/>
        <w:rPr>
          <w:rFonts w:hint="eastAsia" w:ascii="宋体" w:hAnsi="宋体" w:eastAsia="宋体" w:cs="宋体"/>
        </w:rPr>
      </w:pPr>
      <w:r>
        <w:rPr>
          <w:rFonts w:hint="eastAsia" w:ascii="宋体" w:hAnsi="宋体" w:eastAsia="宋体" w:cs="宋体"/>
          <w:color w:val="1F2937"/>
        </w:rPr>
        <w:t>3. 问题台账</w:t>
      </w:r>
    </w:p>
    <w:p w14:paraId="60DF4AED">
      <w:pPr>
        <w:spacing w:after="70" w:line="330" w:lineRule="auto"/>
        <w:ind w:left="420" w:hanging="260"/>
        <w:rPr>
          <w:rFonts w:hint="eastAsia" w:ascii="宋体" w:hAnsi="宋体" w:eastAsia="宋体" w:cs="宋体"/>
        </w:rPr>
      </w:pPr>
      <w:r>
        <w:rPr>
          <w:rFonts w:hint="eastAsia" w:ascii="宋体" w:hAnsi="宋体" w:eastAsia="宋体" w:cs="宋体"/>
          <w:color w:val="1F2937"/>
        </w:rPr>
        <w:t>4. 变更台账</w:t>
      </w:r>
    </w:p>
    <w:p w14:paraId="43881427">
      <w:pPr>
        <w:spacing w:after="70" w:line="330" w:lineRule="auto"/>
        <w:ind w:left="420" w:hanging="260"/>
        <w:rPr>
          <w:rFonts w:hint="eastAsia" w:ascii="宋体" w:hAnsi="宋体" w:eastAsia="宋体" w:cs="宋体"/>
        </w:rPr>
      </w:pPr>
      <w:r>
        <w:rPr>
          <w:rFonts w:hint="eastAsia" w:ascii="宋体" w:hAnsi="宋体" w:eastAsia="宋体" w:cs="宋体"/>
          <w:color w:val="1F2937"/>
        </w:rPr>
        <w:t>5. 专题会议纪要</w:t>
      </w:r>
    </w:p>
    <w:p w14:paraId="4F3F902B">
      <w:pPr>
        <w:pStyle w:val="5"/>
        <w:bidi w:val="0"/>
        <w:rPr>
          <w:rFonts w:hint="eastAsia" w:ascii="宋体" w:hAnsi="宋体" w:eastAsia="宋体" w:cs="宋体"/>
          <w:b w:val="0"/>
          <w:bCs/>
          <w:lang w:val="en-US" w:eastAsia="zh-CN"/>
        </w:rPr>
      </w:pPr>
      <w:r>
        <w:rPr>
          <w:rFonts w:hint="eastAsia" w:cs="宋体"/>
          <w:b w:val="0"/>
          <w:bCs/>
          <w:lang w:val="en-US" w:eastAsia="zh-CN"/>
        </w:rPr>
        <w:t>11.4.9</w:t>
      </w:r>
      <w:r>
        <w:rPr>
          <w:rFonts w:hint="eastAsia" w:ascii="宋体" w:hAnsi="宋体" w:eastAsia="宋体" w:cs="宋体"/>
          <w:b w:val="0"/>
          <w:bCs/>
          <w:lang w:val="en-US" w:eastAsia="zh-CN"/>
        </w:rPr>
        <w:t xml:space="preserve"> 风险管理与</w:t>
      </w:r>
      <w:r>
        <w:rPr>
          <w:rFonts w:hint="eastAsia" w:cs="宋体"/>
          <w:b w:val="0"/>
          <w:bCs/>
          <w:lang w:val="en-US" w:eastAsia="zh-CN"/>
        </w:rPr>
        <w:t>需求</w:t>
      </w:r>
      <w:r>
        <w:rPr>
          <w:rFonts w:hint="eastAsia" w:ascii="宋体" w:hAnsi="宋体" w:eastAsia="宋体" w:cs="宋体"/>
          <w:b w:val="0"/>
          <w:bCs/>
          <w:lang w:val="en-US" w:eastAsia="zh-CN"/>
        </w:rPr>
        <w:t>管理</w:t>
      </w:r>
    </w:p>
    <w:p w14:paraId="614F2552">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11.4.9</w:t>
      </w:r>
      <w:r>
        <w:rPr>
          <w:rFonts w:hint="eastAsia" w:ascii="宋体" w:hAnsi="宋体" w:eastAsia="宋体" w:cs="宋体"/>
          <w:b w:val="0"/>
          <w:bCs/>
          <w:lang w:val="en-US" w:eastAsia="zh-CN"/>
        </w:rPr>
        <w:t>.1 风险管理</w:t>
      </w:r>
    </w:p>
    <w:p w14:paraId="574181AE">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本方案中已明确应关注接口联调、历史数据清洗、APP 兼容、性能、安全、人员稳定和验收资料完整性等风险。本方案中将风险管理写成“风险台账 + 责任人 + 应对策略”的明确结构。</w:t>
      </w:r>
    </w:p>
    <w:p w14:paraId="4B745FD9">
      <w:pPr>
        <w:spacing w:after="120" w:line="360" w:lineRule="auto"/>
        <w:rPr>
          <w:rFonts w:hint="eastAsia" w:ascii="宋体" w:hAnsi="宋体" w:eastAsia="宋体" w:cs="宋体"/>
        </w:rPr>
      </w:pPr>
      <w:r>
        <w:rPr>
          <w:rFonts w:hint="eastAsia" w:ascii="宋体" w:hAnsi="宋体" w:eastAsia="宋体" w:cs="宋体"/>
          <w:color w:val="1F2937"/>
        </w:rPr>
        <w:t>典型风险包括：</w:t>
      </w:r>
    </w:p>
    <w:p w14:paraId="14B5E2ED">
      <w:pPr>
        <w:spacing w:after="70" w:line="330" w:lineRule="auto"/>
        <w:ind w:left="420" w:hanging="260"/>
        <w:rPr>
          <w:rFonts w:hint="eastAsia" w:ascii="宋体" w:hAnsi="宋体" w:eastAsia="宋体" w:cs="宋体"/>
        </w:rPr>
      </w:pPr>
      <w:r>
        <w:rPr>
          <w:rFonts w:hint="eastAsia" w:ascii="宋体" w:hAnsi="宋体" w:eastAsia="宋体" w:cs="宋体"/>
          <w:color w:val="1F2937"/>
        </w:rPr>
        <w:t>1. 需求范围反复变化</w:t>
      </w:r>
    </w:p>
    <w:p w14:paraId="3193B1FF">
      <w:pPr>
        <w:spacing w:after="70" w:line="330" w:lineRule="auto"/>
        <w:ind w:left="420" w:hanging="260"/>
        <w:rPr>
          <w:rFonts w:hint="eastAsia" w:ascii="宋体" w:hAnsi="宋体" w:eastAsia="宋体" w:cs="宋体"/>
        </w:rPr>
      </w:pPr>
      <w:r>
        <w:rPr>
          <w:rFonts w:hint="eastAsia" w:ascii="宋体" w:hAnsi="宋体" w:eastAsia="宋体" w:cs="宋体"/>
          <w:color w:val="1F2937"/>
        </w:rPr>
        <w:t>2. 第三方接口迟延</w:t>
      </w:r>
    </w:p>
    <w:p w14:paraId="72AB9FD1">
      <w:pPr>
        <w:spacing w:after="70" w:line="330" w:lineRule="auto"/>
        <w:ind w:left="420" w:hanging="260"/>
        <w:rPr>
          <w:rFonts w:hint="eastAsia" w:ascii="宋体" w:hAnsi="宋体" w:eastAsia="宋体" w:cs="宋体"/>
        </w:rPr>
      </w:pPr>
      <w:r>
        <w:rPr>
          <w:rFonts w:hint="eastAsia" w:ascii="宋体" w:hAnsi="宋体" w:eastAsia="宋体" w:cs="宋体"/>
          <w:color w:val="1F2937"/>
        </w:rPr>
        <w:t>3. 历史数据质量不足</w:t>
      </w:r>
    </w:p>
    <w:p w14:paraId="2A786005">
      <w:pPr>
        <w:spacing w:after="70" w:line="330" w:lineRule="auto"/>
        <w:ind w:left="420" w:hanging="260"/>
        <w:rPr>
          <w:rFonts w:hint="eastAsia" w:ascii="宋体" w:hAnsi="宋体" w:eastAsia="宋体" w:cs="宋体"/>
        </w:rPr>
      </w:pPr>
      <w:r>
        <w:rPr>
          <w:rFonts w:hint="eastAsia" w:ascii="宋体" w:hAnsi="宋体" w:eastAsia="宋体" w:cs="宋体"/>
          <w:color w:val="1F2937"/>
        </w:rPr>
        <w:t>4. 多现场试运行问题集中暴露</w:t>
      </w:r>
    </w:p>
    <w:p w14:paraId="0CEC36F0">
      <w:pPr>
        <w:spacing w:after="70" w:line="330" w:lineRule="auto"/>
        <w:ind w:left="420" w:hanging="260"/>
        <w:rPr>
          <w:rFonts w:hint="eastAsia" w:ascii="宋体" w:hAnsi="宋体" w:eastAsia="宋体" w:cs="宋体"/>
        </w:rPr>
      </w:pPr>
      <w:r>
        <w:rPr>
          <w:rFonts w:hint="eastAsia" w:ascii="宋体" w:hAnsi="宋体" w:eastAsia="宋体" w:cs="宋体"/>
          <w:color w:val="1F2937"/>
        </w:rPr>
        <w:t>5. 性能瓶颈和安全整改压力</w:t>
      </w:r>
    </w:p>
    <w:p w14:paraId="04E47386">
      <w:pPr>
        <w:spacing w:after="70" w:line="330" w:lineRule="auto"/>
        <w:ind w:left="420" w:hanging="260"/>
        <w:rPr>
          <w:rFonts w:hint="eastAsia" w:ascii="宋体" w:hAnsi="宋体" w:eastAsia="宋体" w:cs="宋体"/>
        </w:rPr>
      </w:pPr>
      <w:r>
        <w:rPr>
          <w:rFonts w:hint="eastAsia" w:ascii="宋体" w:hAnsi="宋体" w:eastAsia="宋体" w:cs="宋体"/>
          <w:color w:val="1F2937"/>
        </w:rPr>
        <w:t>6. 核心人员稳定性</w:t>
      </w:r>
    </w:p>
    <w:p w14:paraId="1BE055AE">
      <w:pPr>
        <w:spacing w:after="70" w:line="330" w:lineRule="auto"/>
        <w:ind w:left="420" w:hanging="260"/>
        <w:rPr>
          <w:rFonts w:hint="eastAsia" w:ascii="宋体" w:hAnsi="宋体" w:eastAsia="宋体" w:cs="宋体"/>
        </w:rPr>
      </w:pPr>
      <w:r>
        <w:rPr>
          <w:rFonts w:hint="eastAsia" w:ascii="宋体" w:hAnsi="宋体" w:eastAsia="宋体" w:cs="宋体"/>
          <w:color w:val="1F2937"/>
        </w:rPr>
        <w:t>7. 验收资料准备不完整</w:t>
      </w:r>
    </w:p>
    <w:p w14:paraId="39977522">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11.4.9</w:t>
      </w:r>
      <w:r>
        <w:rPr>
          <w:rFonts w:hint="eastAsia" w:ascii="宋体" w:hAnsi="宋体" w:eastAsia="宋体" w:cs="宋体"/>
          <w:b w:val="0"/>
          <w:bCs/>
          <w:lang w:val="en-US" w:eastAsia="zh-CN"/>
        </w:rPr>
        <w:t>.</w:t>
      </w:r>
      <w:r>
        <w:rPr>
          <w:rFonts w:hint="eastAsia" w:ascii="宋体" w:hAnsi="宋体" w:cs="宋体"/>
          <w:b w:val="0"/>
          <w:bCs/>
          <w:lang w:val="en-US" w:eastAsia="zh-CN"/>
        </w:rPr>
        <w:t>2</w:t>
      </w:r>
      <w:r>
        <w:rPr>
          <w:rFonts w:hint="eastAsia" w:ascii="宋体" w:hAnsi="宋体" w:eastAsia="宋体" w:cs="宋体"/>
          <w:b w:val="0"/>
          <w:bCs/>
          <w:lang w:val="en-US" w:eastAsia="zh-CN"/>
        </w:rPr>
        <w:t xml:space="preserve"> 需求确认原则</w:t>
      </w:r>
    </w:p>
    <w:p w14:paraId="6D89D135">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需求管理以“逐项确认、形成基线、变更留痕、需求可追踪”为原则。所有需求均与采购文件、会议纪要、原型图、字段字典、接口清单建立对应关系，确保不遗漏、不漂移、不失控。</w:t>
      </w:r>
    </w:p>
    <w:p w14:paraId="1EE94CD9">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11.4.9</w:t>
      </w:r>
      <w:r>
        <w:rPr>
          <w:rFonts w:hint="eastAsia" w:ascii="宋体" w:hAnsi="宋体" w:eastAsia="宋体" w:cs="宋体"/>
          <w:b w:val="0"/>
          <w:bCs/>
          <w:lang w:val="en-US" w:eastAsia="zh-CN"/>
        </w:rPr>
        <w:t>.</w:t>
      </w:r>
      <w:r>
        <w:rPr>
          <w:rFonts w:hint="eastAsia" w:ascii="宋体" w:hAnsi="宋体" w:cs="宋体"/>
          <w:b w:val="0"/>
          <w:bCs/>
          <w:lang w:val="en-US" w:eastAsia="zh-CN"/>
        </w:rPr>
        <w:t>3</w:t>
      </w:r>
      <w:r>
        <w:rPr>
          <w:rFonts w:hint="eastAsia" w:ascii="宋体" w:hAnsi="宋体" w:eastAsia="宋体" w:cs="宋体"/>
          <w:b w:val="0"/>
          <w:bCs/>
          <w:lang w:val="en-US" w:eastAsia="zh-CN"/>
        </w:rPr>
        <w:t xml:space="preserve"> 需求确认实施方式</w:t>
      </w:r>
    </w:p>
    <w:p w14:paraId="7DBDB6C3">
      <w:pPr>
        <w:spacing w:after="70" w:line="330" w:lineRule="auto"/>
        <w:ind w:left="420" w:hanging="260"/>
        <w:rPr>
          <w:rFonts w:hint="eastAsia" w:ascii="宋体" w:hAnsi="宋体" w:eastAsia="宋体" w:cs="宋体"/>
        </w:rPr>
      </w:pPr>
      <w:r>
        <w:rPr>
          <w:rFonts w:hint="eastAsia" w:ascii="宋体" w:hAnsi="宋体" w:eastAsia="宋体" w:cs="宋体"/>
          <w:color w:val="1F2937"/>
        </w:rPr>
        <w:t>1. 按各个功能模块组织需求澄清。</w:t>
      </w:r>
    </w:p>
    <w:p w14:paraId="0E712851">
      <w:pPr>
        <w:spacing w:after="70" w:line="330" w:lineRule="auto"/>
        <w:ind w:left="420" w:hanging="260"/>
        <w:rPr>
          <w:rFonts w:hint="eastAsia" w:ascii="宋体" w:hAnsi="宋体" w:eastAsia="宋体" w:cs="宋体"/>
        </w:rPr>
      </w:pPr>
      <w:r>
        <w:rPr>
          <w:rFonts w:hint="eastAsia" w:ascii="宋体" w:hAnsi="宋体" w:eastAsia="宋体" w:cs="宋体"/>
          <w:color w:val="1F2937"/>
        </w:rPr>
        <w:t>2. 对核心场景绘制流程并确认角色动作。</w:t>
      </w:r>
    </w:p>
    <w:p w14:paraId="343183BC">
      <w:pPr>
        <w:spacing w:after="70" w:line="330" w:lineRule="auto"/>
        <w:ind w:left="420" w:hanging="260"/>
        <w:rPr>
          <w:rFonts w:hint="eastAsia" w:ascii="宋体" w:hAnsi="宋体" w:eastAsia="宋体" w:cs="宋体"/>
        </w:rPr>
      </w:pPr>
      <w:r>
        <w:rPr>
          <w:rFonts w:hint="eastAsia" w:ascii="宋体" w:hAnsi="宋体" w:eastAsia="宋体" w:cs="宋体"/>
          <w:color w:val="1F2937"/>
        </w:rPr>
        <w:t>3. 对合同、派单、设备、人员、培训考试等关键字段做来源确认。</w:t>
      </w:r>
    </w:p>
    <w:p w14:paraId="52C4C43E">
      <w:pPr>
        <w:spacing w:after="70" w:line="330" w:lineRule="auto"/>
        <w:ind w:left="420" w:hanging="260"/>
        <w:rPr>
          <w:rFonts w:hint="eastAsia" w:ascii="宋体" w:hAnsi="宋体" w:eastAsia="宋体" w:cs="宋体"/>
        </w:rPr>
      </w:pPr>
      <w:r>
        <w:rPr>
          <w:rFonts w:hint="eastAsia" w:ascii="宋体" w:hAnsi="宋体" w:eastAsia="宋体" w:cs="宋体"/>
          <w:color w:val="1F2937"/>
        </w:rPr>
        <w:t>4. 对权限、接口、统计口径和导出规则逐项确认。</w:t>
      </w:r>
    </w:p>
    <w:p w14:paraId="11533B9A">
      <w:pPr>
        <w:spacing w:after="70" w:line="330" w:lineRule="auto"/>
        <w:ind w:left="420" w:hanging="260"/>
        <w:rPr>
          <w:rFonts w:hint="eastAsia" w:ascii="宋体" w:hAnsi="宋体" w:eastAsia="宋体" w:cs="宋体"/>
        </w:rPr>
      </w:pPr>
      <w:r>
        <w:rPr>
          <w:rFonts w:hint="eastAsia" w:ascii="宋体" w:hAnsi="宋体" w:eastAsia="宋体" w:cs="宋体"/>
          <w:color w:val="1F2937"/>
        </w:rPr>
        <w:t>5. 形成冻结版需求清单、功能清单和排期表，经甲方确认后执行。</w:t>
      </w:r>
    </w:p>
    <w:p w14:paraId="11BD6AB8">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11.4.9</w:t>
      </w:r>
      <w:r>
        <w:rPr>
          <w:rFonts w:hint="eastAsia" w:ascii="宋体" w:hAnsi="宋体" w:eastAsia="宋体" w:cs="宋体"/>
          <w:b w:val="0"/>
          <w:bCs/>
          <w:lang w:val="en-US" w:eastAsia="zh-CN"/>
        </w:rPr>
        <w:t>.</w:t>
      </w:r>
      <w:r>
        <w:rPr>
          <w:rFonts w:hint="eastAsia" w:ascii="宋体" w:hAnsi="宋体" w:cs="宋体"/>
          <w:b w:val="0"/>
          <w:bCs/>
          <w:lang w:val="en-US" w:eastAsia="zh-CN"/>
        </w:rPr>
        <w:t>4</w:t>
      </w:r>
      <w:r>
        <w:rPr>
          <w:rFonts w:hint="eastAsia" w:ascii="宋体" w:hAnsi="宋体" w:eastAsia="宋体" w:cs="宋体"/>
          <w:b w:val="0"/>
          <w:bCs/>
          <w:lang w:val="en-US" w:eastAsia="zh-CN"/>
        </w:rPr>
        <w:t xml:space="preserve"> 变更控制机制</w:t>
      </w:r>
    </w:p>
    <w:p w14:paraId="0F52C933">
      <w:pPr>
        <w:spacing w:after="70" w:line="330" w:lineRule="auto"/>
        <w:ind w:left="420" w:firstLine="0" w:firstLineChars="0"/>
        <w:rPr>
          <w:rFonts w:hint="eastAsia" w:ascii="宋体" w:hAnsi="宋体" w:eastAsia="宋体" w:cs="宋体"/>
          <w:color w:val="1F2937"/>
        </w:rPr>
      </w:pPr>
      <w:r>
        <w:rPr>
          <w:rFonts w:hint="eastAsia" w:ascii="宋体" w:hAnsi="宋体" w:eastAsia="宋体" w:cs="宋体"/>
          <w:color w:val="1F2937"/>
        </w:rPr>
        <w:t>新增模块、核心流程重构、范围外集成和重大统计口径调整进入变更评估和书面</w:t>
      </w:r>
    </w:p>
    <w:p w14:paraId="1A0E11BE">
      <w:pPr>
        <w:spacing w:after="70" w:line="330" w:lineRule="auto"/>
        <w:rPr>
          <w:rFonts w:hint="eastAsia" w:ascii="宋体" w:hAnsi="宋体" w:eastAsia="宋体" w:cs="宋体"/>
          <w:color w:val="1F2937"/>
        </w:rPr>
      </w:pPr>
      <w:r>
        <w:rPr>
          <w:rFonts w:hint="eastAsia" w:ascii="宋体" w:hAnsi="宋体" w:eastAsia="宋体" w:cs="宋体"/>
          <w:color w:val="1F2937"/>
          <w:lang w:val="en-US" w:eastAsia="zh-CN"/>
        </w:rPr>
        <w:t>确</w:t>
      </w:r>
      <w:r>
        <w:rPr>
          <w:rFonts w:hint="eastAsia" w:ascii="宋体" w:hAnsi="宋体" w:eastAsia="宋体" w:cs="宋体"/>
          <w:color w:val="1F2937"/>
        </w:rPr>
        <w:t>认流程。</w:t>
      </w:r>
    </w:p>
    <w:p w14:paraId="323236E6">
      <w:pPr>
        <w:numPr>
          <w:ilvl w:val="0"/>
          <w:numId w:val="0"/>
        </w:numPr>
        <w:bidi w:val="0"/>
        <w:rPr>
          <w:rFonts w:hint="eastAsia"/>
          <w:lang w:val="en-US" w:eastAsia="zh-CN"/>
        </w:rPr>
      </w:pPr>
      <w:r>
        <w:rPr>
          <w:rFonts w:hint="eastAsia"/>
          <w:lang w:val="en-US" w:eastAsia="zh-CN"/>
        </w:rPr>
        <w:t>1.变更流程的规范化</w:t>
      </w:r>
    </w:p>
    <w:p w14:paraId="0BDC0784">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6" w:beforeAutospacing="0" w:after="86" w:afterAutospacing="0"/>
        <w:ind w:left="0" w:right="0" w:firstLine="480" w:firstLineChars="200"/>
        <w:jc w:val="left"/>
        <w:rPr>
          <w:rFonts w:hint="eastAsia" w:ascii="宋体" w:hAnsi="宋体" w:eastAsia="宋体" w:cs="宋体"/>
          <w:b w:val="0"/>
          <w:bCs w:val="0"/>
          <w:color w:val="1F2937"/>
          <w:kern w:val="2"/>
          <w:sz w:val="24"/>
          <w:szCs w:val="22"/>
          <w:lang w:val="en-US" w:eastAsia="zh-CN" w:bidi="ar-SA"/>
        </w:rPr>
      </w:pPr>
      <w:r>
        <w:rPr>
          <w:rFonts w:hint="eastAsia" w:ascii="宋体" w:hAnsi="宋体" w:eastAsia="宋体" w:cs="宋体"/>
          <w:b w:val="0"/>
          <w:bCs w:val="0"/>
          <w:color w:val="1F2937"/>
          <w:kern w:val="2"/>
          <w:sz w:val="24"/>
          <w:szCs w:val="22"/>
          <w:lang w:val="en-US" w:eastAsia="zh-CN" w:bidi="ar-SA"/>
        </w:rPr>
        <w:t>规范化的变更流程是确保需求变更得到有效控制的关键。首先要建立变更请求的提交机制。任何需求变更都必须以正式的变更请求形式提交，明确变更的内容、原因、期望的完成时间等关键信息。这样可以使变更请求具有可追溯性，便于后续的管理和跟踪。</w:t>
      </w:r>
    </w:p>
    <w:p w14:paraId="41F9B134">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6" w:beforeAutospacing="0" w:after="86" w:afterAutospacing="0"/>
        <w:ind w:left="0" w:right="0" w:firstLine="0"/>
        <w:jc w:val="left"/>
        <w:rPr>
          <w:rFonts w:hint="eastAsia" w:ascii="宋体" w:hAnsi="宋体" w:eastAsia="宋体" w:cs="宋体"/>
          <w:b w:val="0"/>
          <w:bCs w:val="0"/>
          <w:color w:val="1F2937"/>
          <w:kern w:val="2"/>
          <w:sz w:val="24"/>
          <w:szCs w:val="22"/>
          <w:lang w:val="en-US" w:eastAsia="zh-CN" w:bidi="ar-SA"/>
        </w:rPr>
      </w:pPr>
      <w:r>
        <w:rPr>
          <w:rFonts w:hint="eastAsia" w:ascii="宋体" w:hAnsi="宋体" w:eastAsia="宋体" w:cs="宋体"/>
          <w:b w:val="0"/>
          <w:bCs w:val="0"/>
          <w:color w:val="1F2937"/>
          <w:kern w:val="2"/>
          <w:sz w:val="24"/>
          <w:szCs w:val="22"/>
          <w:lang w:val="en-US" w:eastAsia="zh-CN" w:bidi="ar-SA"/>
        </w:rPr>
        <w:t>其次，设立变更控制委员会（CCB）。CCB由项目各方的关键代表组成，负责对变更请求进行评估和决策。当收到变更请求后，CCB要对其必要性、对项目进度、成本和质量的影响进行全面分析。根据评估结果，决定是否批准该变更请求。只有经过CCB批准的变更请求才能进入实施阶段。</w:t>
      </w:r>
    </w:p>
    <w:p w14:paraId="3E1ED994">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6" w:beforeAutospacing="0" w:after="86" w:afterAutospacing="0"/>
        <w:ind w:left="0" w:right="0" w:firstLine="480" w:firstLineChars="200"/>
        <w:jc w:val="left"/>
        <w:rPr>
          <w:rFonts w:hint="eastAsia" w:ascii="宋体" w:hAnsi="宋体" w:eastAsia="宋体" w:cs="宋体"/>
          <w:b w:val="0"/>
          <w:bCs w:val="0"/>
          <w:color w:val="1F2937"/>
          <w:kern w:val="2"/>
          <w:sz w:val="24"/>
          <w:szCs w:val="22"/>
          <w:lang w:val="en-US" w:eastAsia="zh-CN" w:bidi="ar-SA"/>
        </w:rPr>
      </w:pPr>
      <w:r>
        <w:rPr>
          <w:rFonts w:hint="eastAsia" w:ascii="宋体" w:hAnsi="宋体" w:eastAsia="宋体" w:cs="宋体"/>
          <w:b w:val="0"/>
          <w:bCs w:val="0"/>
          <w:color w:val="1F2937"/>
          <w:kern w:val="2"/>
          <w:sz w:val="24"/>
          <w:szCs w:val="22"/>
          <w:lang w:val="en-US" w:eastAsia="zh-CN" w:bidi="ar-SA"/>
        </w:rPr>
        <w:t>在变更实施过程中，要严格按照既定的流程进行。变更实施团队要制定详细的变更计划，明确变更的具体步骤、责任人以及时间节点。同时，要对变更实施过程进行监控，确保变更按照计划顺利进行。变更完成后，要进行严格的测试和验收，确保变更没有引入新的问题，并且满足相关需求。</w:t>
      </w:r>
    </w:p>
    <w:p w14:paraId="0EFBAE1F">
      <w:pPr>
        <w:numPr>
          <w:ilvl w:val="0"/>
          <w:numId w:val="25"/>
        </w:numPr>
        <w:bidi w:val="0"/>
        <w:rPr>
          <w:rFonts w:hint="eastAsia"/>
          <w:lang w:val="en-US" w:eastAsia="zh-CN"/>
        </w:rPr>
      </w:pPr>
      <w:r>
        <w:rPr>
          <w:rFonts w:hint="eastAsia"/>
          <w:lang w:val="en-US" w:eastAsia="zh-CN"/>
        </w:rPr>
        <w:t>变更影响的评估</w:t>
      </w:r>
    </w:p>
    <w:p w14:paraId="64F2BEF8">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6" w:beforeAutospacing="0" w:after="86" w:afterAutospacing="0"/>
        <w:ind w:left="0" w:right="0" w:firstLine="480" w:firstLineChars="200"/>
        <w:jc w:val="left"/>
        <w:rPr>
          <w:rFonts w:hint="eastAsia" w:ascii="宋体" w:hAnsi="宋体" w:eastAsia="宋体" w:cs="宋体"/>
          <w:b w:val="0"/>
          <w:bCs w:val="0"/>
          <w:color w:val="1F2937"/>
          <w:kern w:val="2"/>
          <w:sz w:val="24"/>
          <w:szCs w:val="22"/>
          <w:lang w:val="en-US" w:eastAsia="zh-CN" w:bidi="ar-SA"/>
        </w:rPr>
      </w:pPr>
      <w:r>
        <w:rPr>
          <w:rFonts w:hint="eastAsia" w:ascii="宋体" w:hAnsi="宋体" w:eastAsia="宋体" w:cs="宋体"/>
          <w:b w:val="0"/>
          <w:bCs w:val="0"/>
          <w:color w:val="1F2937"/>
          <w:kern w:val="2"/>
          <w:sz w:val="24"/>
          <w:szCs w:val="22"/>
          <w:lang w:val="en-US" w:eastAsia="zh-CN" w:bidi="ar-SA"/>
        </w:rPr>
        <w:t>准确评估变更对项目的影响是做出合理决策的前提。当收到变更请求后，首先要评估对项目进度的影响。分析变更所需的时间以及对项目关键路径的影响。如果变更导致关键路径上的任务延误，可能会影响整个项目的交付时间。此时，需要考虑是否可以通过调整其他任务的时间安排、增加资源等方式来弥补延误的时间。</w:t>
      </w:r>
    </w:p>
    <w:p w14:paraId="0EA01F0E">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6" w:beforeAutospacing="0" w:after="86" w:afterAutospacing="0"/>
        <w:ind w:left="0" w:right="0" w:firstLine="480" w:firstLineChars="200"/>
        <w:jc w:val="left"/>
        <w:rPr>
          <w:rFonts w:hint="eastAsia" w:ascii="宋体" w:hAnsi="宋体" w:eastAsia="宋体" w:cs="宋体"/>
          <w:b w:val="0"/>
          <w:bCs w:val="0"/>
          <w:color w:val="1F2937"/>
          <w:kern w:val="2"/>
          <w:sz w:val="24"/>
          <w:szCs w:val="22"/>
          <w:lang w:val="en-US" w:eastAsia="zh-CN" w:bidi="ar-SA"/>
        </w:rPr>
      </w:pPr>
      <w:r>
        <w:rPr>
          <w:rFonts w:hint="eastAsia" w:ascii="宋体" w:hAnsi="宋体" w:eastAsia="宋体" w:cs="宋体"/>
          <w:b w:val="0"/>
          <w:bCs w:val="0"/>
          <w:color w:val="1F2937"/>
          <w:kern w:val="2"/>
          <w:sz w:val="24"/>
          <w:szCs w:val="22"/>
          <w:lang w:val="en-US" w:eastAsia="zh-CN" w:bidi="ar-SA"/>
        </w:rPr>
        <w:t>其次，要评估对项目成本的影响。变更可能会导致额外的人力、物力和财力投入。例如，新的需求可能需要采购新的设备、软件，或者增加研发人员的工作时间。项目经理要详细核算这些额外的成本，并与项目预算进行对比。如果变更导致成本超支，要考虑是否有必要进行变更，或者是否可以通过优化方案来降低成本。</w:t>
      </w:r>
    </w:p>
    <w:p w14:paraId="428500F5">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6" w:beforeAutospacing="0" w:after="86" w:afterAutospacing="0"/>
        <w:ind w:left="0" w:right="0" w:firstLine="480" w:firstLineChars="200"/>
        <w:jc w:val="left"/>
        <w:rPr>
          <w:rFonts w:hint="eastAsia" w:ascii="宋体" w:hAnsi="宋体" w:eastAsia="宋体" w:cs="宋体"/>
          <w:b w:val="0"/>
          <w:bCs w:val="0"/>
          <w:color w:val="1F2937"/>
          <w:kern w:val="2"/>
          <w:sz w:val="24"/>
          <w:szCs w:val="22"/>
          <w:lang w:val="en-US" w:eastAsia="zh-CN" w:bidi="ar-SA"/>
        </w:rPr>
      </w:pPr>
      <w:r>
        <w:rPr>
          <w:rFonts w:hint="eastAsia" w:ascii="宋体" w:hAnsi="宋体" w:eastAsia="宋体" w:cs="宋体"/>
          <w:b w:val="0"/>
          <w:bCs w:val="0"/>
          <w:color w:val="1F2937"/>
          <w:kern w:val="2"/>
          <w:sz w:val="24"/>
          <w:szCs w:val="22"/>
          <w:lang w:val="en-US" w:eastAsia="zh-CN" w:bidi="ar-SA"/>
        </w:rPr>
        <w:t>此外，变更对项目质量的影响也不容忽视。新的需求可能会对平台的功能、性能、可靠性等方面产生影响。在评估变更影响时，要充分考虑这些因素。确保变更后的平台仍然能够满足质量标准，不会因为变更而出现质量问题。通过全面、准确的影响评估，为变更决策提供有力依据。</w:t>
      </w:r>
    </w:p>
    <w:p w14:paraId="5FD6CC5B">
      <w:pPr>
        <w:bidi w:val="0"/>
        <w:rPr>
          <w:rFonts w:hint="eastAsia"/>
          <w:lang w:val="en-US" w:eastAsia="zh-CN"/>
        </w:rPr>
      </w:pPr>
      <w:r>
        <w:rPr>
          <w:rFonts w:hint="eastAsia"/>
          <w:lang w:val="en-US" w:eastAsia="zh-CN"/>
        </w:rPr>
        <w:t>3.沟通与协作的强化</w:t>
      </w:r>
    </w:p>
    <w:p w14:paraId="78812D4E">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6" w:beforeAutospacing="0" w:after="86" w:afterAutospacing="0"/>
        <w:ind w:left="0" w:right="0" w:firstLine="480" w:firstLineChars="200"/>
        <w:jc w:val="left"/>
        <w:rPr>
          <w:rFonts w:hint="eastAsia" w:ascii="宋体" w:hAnsi="宋体" w:eastAsia="宋体" w:cs="宋体"/>
          <w:b w:val="0"/>
          <w:bCs w:val="0"/>
          <w:color w:val="1F2937"/>
          <w:kern w:val="2"/>
          <w:sz w:val="24"/>
          <w:szCs w:val="22"/>
          <w:lang w:val="en-US" w:eastAsia="zh-CN" w:bidi="ar-SA"/>
        </w:rPr>
      </w:pPr>
      <w:r>
        <w:rPr>
          <w:rFonts w:hint="eastAsia" w:ascii="宋体" w:hAnsi="宋体" w:eastAsia="宋体" w:cs="宋体"/>
          <w:b w:val="0"/>
          <w:bCs w:val="0"/>
          <w:color w:val="1F2937"/>
          <w:kern w:val="2"/>
          <w:sz w:val="24"/>
          <w:szCs w:val="22"/>
          <w:lang w:val="en-US" w:eastAsia="zh-CN" w:bidi="ar-SA"/>
        </w:rPr>
        <w:t>在需求变更管理中，强化沟通与协作至关重要。首先，要建立良好的沟通渠道。项目团队成员之间、与利益相关者之间要保持及时、有效的沟通。通过定期的项目会议、即时通讯工具等方式，及时传达变更信息，包括变更的原因、内容、影响以及实施计划等。确保各方对变更有清晰的了解，避免因信息不畅而产生误解和冲突。</w:t>
      </w:r>
    </w:p>
    <w:p w14:paraId="502F3916">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6" w:beforeAutospacing="0" w:after="86" w:afterAutospacing="0"/>
        <w:ind w:left="0" w:right="0" w:firstLine="480" w:firstLineChars="200"/>
        <w:jc w:val="left"/>
        <w:rPr>
          <w:rFonts w:hint="eastAsia" w:ascii="宋体" w:hAnsi="宋体" w:eastAsia="宋体" w:cs="宋体"/>
          <w:b w:val="0"/>
          <w:bCs w:val="0"/>
          <w:color w:val="1F2937"/>
          <w:kern w:val="2"/>
          <w:sz w:val="24"/>
          <w:szCs w:val="22"/>
          <w:lang w:val="en-US" w:eastAsia="zh-CN" w:bidi="ar-SA"/>
        </w:rPr>
      </w:pPr>
      <w:r>
        <w:rPr>
          <w:rFonts w:hint="eastAsia" w:ascii="宋体" w:hAnsi="宋体" w:eastAsia="宋体" w:cs="宋体"/>
          <w:b w:val="0"/>
          <w:bCs w:val="0"/>
          <w:color w:val="1F2937"/>
          <w:kern w:val="2"/>
          <w:sz w:val="24"/>
          <w:szCs w:val="22"/>
          <w:lang w:val="en-US" w:eastAsia="zh-CN" w:bidi="ar-SA"/>
        </w:rPr>
        <w:t>其次，要加强团队协作。需求变更往往涉及多个部门和团队的协作。例如，研发团队需要根据变更需求进行代码修改，测试团队需要对变更后的项目进行测试等。各团队之间要密切配合，明确各自的职责和任务，共同推进变更的实施。</w:t>
      </w:r>
    </w:p>
    <w:p w14:paraId="6E1A8287">
      <w:pPr>
        <w:bidi w:val="0"/>
        <w:rPr>
          <w:rFonts w:hint="eastAsia"/>
          <w:lang w:val="en-US" w:eastAsia="zh-CN"/>
        </w:rPr>
      </w:pPr>
      <w:r>
        <w:rPr>
          <w:rFonts w:hint="eastAsia"/>
          <w:lang w:val="en-US" w:eastAsia="zh-CN"/>
        </w:rPr>
        <w:t>4.知识与经验的积累</w:t>
      </w:r>
    </w:p>
    <w:p w14:paraId="075D6493">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6" w:beforeAutospacing="0" w:after="86" w:afterAutospacing="0"/>
        <w:ind w:left="0" w:right="0" w:firstLine="480" w:firstLineChars="200"/>
        <w:jc w:val="left"/>
        <w:rPr>
          <w:rFonts w:hint="eastAsia" w:ascii="宋体" w:hAnsi="宋体" w:eastAsia="宋体" w:cs="宋体"/>
          <w:b w:val="0"/>
          <w:bCs w:val="0"/>
          <w:color w:val="1F2937"/>
          <w:kern w:val="2"/>
          <w:sz w:val="24"/>
          <w:szCs w:val="22"/>
          <w:lang w:val="en-US" w:eastAsia="zh-CN" w:bidi="ar-SA"/>
        </w:rPr>
      </w:pPr>
      <w:r>
        <w:rPr>
          <w:rFonts w:hint="eastAsia" w:ascii="宋体" w:hAnsi="宋体" w:eastAsia="宋体" w:cs="宋体"/>
          <w:b w:val="0"/>
          <w:bCs w:val="0"/>
          <w:color w:val="1F2937"/>
          <w:kern w:val="2"/>
          <w:sz w:val="24"/>
          <w:szCs w:val="22"/>
          <w:lang w:val="en-US" w:eastAsia="zh-CN" w:bidi="ar-SA"/>
        </w:rPr>
        <w:t>知识与经验的积累有助于不断提升需求变更管理的水平。在项目实施过程中，要建立变更记录文档。详细记录每一次变更的请求内容、评估过程、决策结果以及实施情况等信息。</w:t>
      </w:r>
    </w:p>
    <w:p w14:paraId="3ADCB4D7">
      <w:pPr>
        <w:spacing w:after="70" w:line="330" w:lineRule="auto"/>
        <w:ind w:left="420" w:hanging="260"/>
        <w:rPr>
          <w:rFonts w:hint="eastAsia" w:ascii="宋体" w:hAnsi="宋体" w:eastAsia="宋体" w:cs="宋体"/>
          <w:color w:val="1F2937"/>
        </w:rPr>
      </w:pPr>
    </w:p>
    <w:p w14:paraId="5E43140B">
      <w:pPr>
        <w:pStyle w:val="5"/>
        <w:bidi w:val="0"/>
        <w:rPr>
          <w:rFonts w:hint="eastAsia" w:ascii="宋体" w:hAnsi="宋体" w:eastAsia="宋体" w:cs="宋体"/>
          <w:b w:val="0"/>
          <w:bCs/>
          <w:lang w:val="en-US" w:eastAsia="zh-CN"/>
        </w:rPr>
      </w:pPr>
      <w:r>
        <w:rPr>
          <w:rFonts w:hint="eastAsia" w:cs="宋体"/>
          <w:b w:val="0"/>
          <w:bCs/>
          <w:lang w:val="en-US" w:eastAsia="zh-CN"/>
        </w:rPr>
        <w:t>11.4.10</w:t>
      </w:r>
      <w:r>
        <w:rPr>
          <w:rFonts w:hint="eastAsia" w:ascii="宋体" w:hAnsi="宋体" w:eastAsia="宋体" w:cs="宋体"/>
          <w:b w:val="0"/>
          <w:bCs/>
          <w:lang w:val="en-US" w:eastAsia="zh-CN"/>
        </w:rPr>
        <w:t xml:space="preserve"> 现场支撑与试运行保障</w:t>
      </w:r>
    </w:p>
    <w:p w14:paraId="4273A642">
      <w:pPr>
        <w:spacing w:after="70" w:line="330" w:lineRule="auto"/>
        <w:ind w:left="420" w:hanging="260"/>
        <w:rPr>
          <w:rFonts w:hint="eastAsia" w:ascii="宋体" w:hAnsi="宋体" w:eastAsia="宋体" w:cs="宋体"/>
        </w:rPr>
      </w:pPr>
      <w:r>
        <w:rPr>
          <w:rFonts w:hint="eastAsia" w:ascii="宋体" w:hAnsi="宋体" w:eastAsia="宋体" w:cs="宋体"/>
          <w:color w:val="1F2937"/>
        </w:rPr>
        <w:t>1. 试运行前安排实施、测试和运维人员重点投入。</w:t>
      </w:r>
    </w:p>
    <w:p w14:paraId="1775C968">
      <w:pPr>
        <w:spacing w:after="70" w:line="330" w:lineRule="auto"/>
        <w:ind w:left="420" w:hanging="260"/>
        <w:rPr>
          <w:rFonts w:hint="eastAsia" w:ascii="宋体" w:hAnsi="宋体" w:eastAsia="宋体" w:cs="宋体"/>
        </w:rPr>
      </w:pPr>
      <w:r>
        <w:rPr>
          <w:rFonts w:hint="eastAsia" w:ascii="宋体" w:hAnsi="宋体" w:eastAsia="宋体" w:cs="宋体"/>
          <w:color w:val="1F2937"/>
        </w:rPr>
        <w:t>2. 试运行启动阶段安排高频现场或驻场支持。</w:t>
      </w:r>
    </w:p>
    <w:p w14:paraId="19AFD787">
      <w:pPr>
        <w:spacing w:after="70" w:line="330" w:lineRule="auto"/>
        <w:ind w:left="420" w:hanging="260"/>
        <w:rPr>
          <w:rFonts w:hint="eastAsia" w:ascii="宋体" w:hAnsi="宋体" w:eastAsia="宋体" w:cs="宋体"/>
          <w:color w:val="1F2937"/>
        </w:rPr>
      </w:pPr>
      <w:r>
        <w:rPr>
          <w:rFonts w:hint="eastAsia" w:ascii="宋体" w:hAnsi="宋体" w:eastAsia="宋体" w:cs="宋体"/>
          <w:color w:val="1F2937"/>
        </w:rPr>
        <w:t>3. 试运行期间建立问题日清机制和周汇总机制。</w:t>
      </w:r>
    </w:p>
    <w:p w14:paraId="4ED465C8">
      <w:pPr>
        <w:spacing w:after="70" w:line="330" w:lineRule="auto"/>
        <w:ind w:left="420" w:hanging="260"/>
        <w:rPr>
          <w:rFonts w:hint="eastAsia" w:ascii="宋体" w:hAnsi="宋体" w:eastAsia="宋体" w:cs="宋体"/>
          <w:color w:val="1F2937"/>
        </w:rPr>
      </w:pPr>
      <w:r>
        <w:rPr>
          <w:rFonts w:hint="eastAsia" w:ascii="宋体" w:hAnsi="宋体" w:eastAsia="宋体" w:cs="宋体"/>
          <w:color w:val="1F2937"/>
        </w:rPr>
        <w:t>4. 对重点问题、性能问题和安全问题建立专项闭环。</w:t>
      </w:r>
    </w:p>
    <w:p w14:paraId="077CFAE5">
      <w:pPr>
        <w:spacing w:after="70" w:line="330" w:lineRule="auto"/>
        <w:ind w:left="420" w:hanging="260"/>
        <w:rPr>
          <w:rFonts w:hint="eastAsia" w:ascii="宋体" w:hAnsi="宋体" w:eastAsia="宋体" w:cs="宋体"/>
          <w:color w:val="1F2937"/>
          <w:lang w:val="en-US" w:eastAsia="zh-CN"/>
        </w:rPr>
      </w:pPr>
    </w:p>
    <w:p w14:paraId="02D18202">
      <w:pPr>
        <w:pStyle w:val="3"/>
        <w:bidi w:val="0"/>
        <w:rPr>
          <w:rFonts w:hint="eastAsia"/>
          <w:lang w:val="en-US" w:eastAsia="zh-CN"/>
        </w:rPr>
      </w:pPr>
      <w:r>
        <w:rPr>
          <w:rFonts w:hint="eastAsia"/>
          <w:lang w:val="en-US" w:eastAsia="zh-CN"/>
        </w:rPr>
        <w:t>11.5 项目进度管理</w:t>
      </w:r>
    </w:p>
    <w:p w14:paraId="4B738D14">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w:t>
      </w:r>
      <w:r>
        <w:rPr>
          <w:rFonts w:hint="eastAsia" w:cs="宋体"/>
          <w:b w:val="0"/>
          <w:bCs/>
          <w:lang w:val="en-US" w:eastAsia="zh-CN"/>
        </w:rPr>
        <w:t>1</w:t>
      </w:r>
      <w:r>
        <w:rPr>
          <w:rFonts w:hint="eastAsia" w:ascii="宋体" w:hAnsi="宋体" w:eastAsia="宋体" w:cs="宋体"/>
          <w:b w:val="0"/>
          <w:bCs/>
          <w:lang w:val="en-US" w:eastAsia="zh-CN"/>
        </w:rPr>
        <w:t>.</w:t>
      </w:r>
      <w:r>
        <w:rPr>
          <w:rFonts w:hint="eastAsia" w:cs="宋体"/>
          <w:b w:val="0"/>
          <w:bCs/>
          <w:lang w:val="en-US" w:eastAsia="zh-CN"/>
        </w:rPr>
        <w:t>5</w:t>
      </w:r>
      <w:r>
        <w:rPr>
          <w:rFonts w:hint="eastAsia" w:ascii="宋体" w:hAnsi="宋体" w:eastAsia="宋体" w:cs="宋体"/>
          <w:b w:val="0"/>
          <w:bCs/>
          <w:lang w:val="en-US" w:eastAsia="zh-CN"/>
        </w:rPr>
        <w:t>.</w:t>
      </w:r>
      <w:r>
        <w:rPr>
          <w:rFonts w:hint="eastAsia" w:cs="宋体"/>
          <w:b w:val="0"/>
          <w:bCs/>
          <w:lang w:val="en-US" w:eastAsia="zh-CN"/>
        </w:rPr>
        <w:t>1</w:t>
      </w:r>
      <w:r>
        <w:rPr>
          <w:rFonts w:hint="eastAsia" w:ascii="宋体" w:hAnsi="宋体" w:eastAsia="宋体" w:cs="宋体"/>
          <w:b w:val="0"/>
          <w:bCs/>
          <w:lang w:val="en-US" w:eastAsia="zh-CN"/>
        </w:rPr>
        <w:t xml:space="preserve"> 项目实施计划</w:t>
      </w:r>
    </w:p>
    <w:p w14:paraId="048DD7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我司按照CMMI成熟度模型，制定了详细可落地的项目实施计划，执行详细的需求调研、系统开发、部署、测试、用户培训、上线运维计划，时间节点明确、可落地。</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708"/>
        <w:gridCol w:w="1706"/>
        <w:gridCol w:w="1703"/>
        <w:gridCol w:w="1703"/>
      </w:tblGrid>
      <w:tr w14:paraId="4C7E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shd w:val="clear" w:color="auto" w:fill="D9E2F3"/>
            <w:vAlign w:val="center"/>
          </w:tcPr>
          <w:p w14:paraId="44006A84">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阶段</w:t>
            </w:r>
          </w:p>
        </w:tc>
        <w:tc>
          <w:tcPr>
            <w:tcW w:w="1708" w:type="dxa"/>
            <w:shd w:val="clear" w:color="auto" w:fill="D9E2F3"/>
            <w:vAlign w:val="center"/>
          </w:tcPr>
          <w:p w14:paraId="48150D77">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时间</w:t>
            </w:r>
          </w:p>
        </w:tc>
        <w:tc>
          <w:tcPr>
            <w:tcW w:w="1706" w:type="dxa"/>
            <w:shd w:val="clear" w:color="auto" w:fill="D9E2F3"/>
            <w:vAlign w:val="center"/>
          </w:tcPr>
          <w:p w14:paraId="7EB9B220">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主要工作</w:t>
            </w:r>
          </w:p>
        </w:tc>
        <w:tc>
          <w:tcPr>
            <w:tcW w:w="1703" w:type="dxa"/>
            <w:shd w:val="clear" w:color="auto" w:fill="D9E2F3"/>
            <w:vAlign w:val="center"/>
          </w:tcPr>
          <w:p w14:paraId="03FA34CB">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输出物</w:t>
            </w:r>
          </w:p>
        </w:tc>
        <w:tc>
          <w:tcPr>
            <w:tcW w:w="1703" w:type="dxa"/>
            <w:shd w:val="clear" w:color="auto" w:fill="D9E2F3"/>
            <w:vAlign w:val="center"/>
          </w:tcPr>
          <w:p w14:paraId="2988A910">
            <w:pPr>
              <w:pageBreakBefore w:val="0"/>
              <w:widowControl/>
              <w:kinsoku/>
              <w:wordWrap/>
              <w:overflowPunct/>
              <w:topLinePunct w:val="0"/>
              <w:autoSpaceDE/>
              <w:autoSpaceDN/>
              <w:bidi w:val="0"/>
              <w:adjustRightInd/>
              <w:snapToGrid/>
              <w:spacing w:after="0" w:line="580" w:lineRule="atLeast"/>
              <w:jc w:val="center"/>
              <w:textAlignment w:val="auto"/>
              <w:rPr>
                <w:rFonts w:hint="eastAsia" w:ascii="仿宋" w:hAnsi="仿宋" w:eastAsia="仿宋" w:cs="仿宋"/>
              </w:rPr>
            </w:pPr>
            <w:r>
              <w:rPr>
                <w:rFonts w:hint="eastAsia" w:ascii="仿宋" w:hAnsi="仿宋" w:eastAsia="仿宋" w:cs="仿宋"/>
                <w:b/>
                <w:sz w:val="20"/>
              </w:rPr>
              <w:t>评审关口</w:t>
            </w:r>
          </w:p>
        </w:tc>
      </w:tr>
      <w:tr w14:paraId="0F555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40E70686">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项目启动</w:t>
            </w:r>
          </w:p>
        </w:tc>
        <w:tc>
          <w:tcPr>
            <w:tcW w:w="1708" w:type="dxa"/>
            <w:vMerge w:val="restart"/>
            <w:vAlign w:val="center"/>
          </w:tcPr>
          <w:p w14:paraId="13D010F0">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第1-</w:t>
            </w:r>
            <w:r>
              <w:rPr>
                <w:rFonts w:hint="eastAsia" w:ascii="仿宋" w:hAnsi="仿宋" w:eastAsia="仿宋" w:cs="仿宋"/>
                <w:sz w:val="20"/>
                <w:lang w:val="en-US" w:eastAsia="zh-CN"/>
              </w:rPr>
              <w:t>6</w:t>
            </w:r>
            <w:r>
              <w:rPr>
                <w:rFonts w:hint="eastAsia" w:ascii="仿宋" w:hAnsi="仿宋" w:eastAsia="仿宋" w:cs="仿宋"/>
                <w:sz w:val="20"/>
              </w:rPr>
              <w:t>周</w:t>
            </w:r>
          </w:p>
        </w:tc>
        <w:tc>
          <w:tcPr>
            <w:tcW w:w="1706" w:type="dxa"/>
            <w:vAlign w:val="center"/>
          </w:tcPr>
          <w:p w14:paraId="3BAB2190">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团队组建、范围确认、启动会</w:t>
            </w:r>
          </w:p>
        </w:tc>
        <w:tc>
          <w:tcPr>
            <w:tcW w:w="1703" w:type="dxa"/>
            <w:vAlign w:val="center"/>
          </w:tcPr>
          <w:p w14:paraId="7E3BCFD2">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项目启动纪要</w:t>
            </w:r>
          </w:p>
        </w:tc>
        <w:tc>
          <w:tcPr>
            <w:tcW w:w="1703" w:type="dxa"/>
            <w:vAlign w:val="center"/>
          </w:tcPr>
          <w:p w14:paraId="3419D6AA">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启动评审</w:t>
            </w:r>
          </w:p>
        </w:tc>
      </w:tr>
      <w:tr w14:paraId="15395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4239B37C">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需求调研</w:t>
            </w:r>
          </w:p>
        </w:tc>
        <w:tc>
          <w:tcPr>
            <w:tcW w:w="1708" w:type="dxa"/>
            <w:vMerge w:val="continue"/>
            <w:vAlign w:val="center"/>
          </w:tcPr>
          <w:p w14:paraId="11E105D2">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p>
        </w:tc>
        <w:tc>
          <w:tcPr>
            <w:tcW w:w="1706" w:type="dxa"/>
            <w:vAlign w:val="center"/>
          </w:tcPr>
          <w:p w14:paraId="08B4853E">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详细需求调研、业务流程梳理</w:t>
            </w:r>
          </w:p>
        </w:tc>
        <w:tc>
          <w:tcPr>
            <w:tcW w:w="1703" w:type="dxa"/>
            <w:vAlign w:val="center"/>
          </w:tcPr>
          <w:p w14:paraId="4832E29C">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需求规格说明书</w:t>
            </w:r>
          </w:p>
        </w:tc>
        <w:tc>
          <w:tcPr>
            <w:tcW w:w="1703" w:type="dxa"/>
            <w:vAlign w:val="center"/>
          </w:tcPr>
          <w:p w14:paraId="1CC163B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需求评审</w:t>
            </w:r>
          </w:p>
        </w:tc>
      </w:tr>
      <w:tr w14:paraId="203BC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4BB38A40">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方案设计</w:t>
            </w:r>
          </w:p>
        </w:tc>
        <w:tc>
          <w:tcPr>
            <w:tcW w:w="1708" w:type="dxa"/>
            <w:vMerge w:val="continue"/>
            <w:vAlign w:val="center"/>
          </w:tcPr>
          <w:p w14:paraId="158C206F">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p>
        </w:tc>
        <w:tc>
          <w:tcPr>
            <w:tcW w:w="1706" w:type="dxa"/>
            <w:vAlign w:val="center"/>
          </w:tcPr>
          <w:p w14:paraId="344B8980">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总体方案设计、详细方案设计</w:t>
            </w:r>
          </w:p>
        </w:tc>
        <w:tc>
          <w:tcPr>
            <w:tcW w:w="1703" w:type="dxa"/>
            <w:vAlign w:val="center"/>
          </w:tcPr>
          <w:p w14:paraId="51DF474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详细设计方案</w:t>
            </w:r>
          </w:p>
        </w:tc>
        <w:tc>
          <w:tcPr>
            <w:tcW w:w="1703" w:type="dxa"/>
            <w:vAlign w:val="center"/>
          </w:tcPr>
          <w:p w14:paraId="41723071">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方案评审</w:t>
            </w:r>
          </w:p>
        </w:tc>
      </w:tr>
      <w:tr w14:paraId="02AD2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0584FBE6">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系统设计</w:t>
            </w:r>
          </w:p>
        </w:tc>
        <w:tc>
          <w:tcPr>
            <w:tcW w:w="1708" w:type="dxa"/>
            <w:vMerge w:val="continue"/>
            <w:vAlign w:val="center"/>
          </w:tcPr>
          <w:p w14:paraId="5B70B087">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p>
        </w:tc>
        <w:tc>
          <w:tcPr>
            <w:tcW w:w="1706" w:type="dxa"/>
            <w:vAlign w:val="center"/>
          </w:tcPr>
          <w:p w14:paraId="549570C7">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页面设计、接口设计、数据设计</w:t>
            </w:r>
          </w:p>
        </w:tc>
        <w:tc>
          <w:tcPr>
            <w:tcW w:w="1703" w:type="dxa"/>
            <w:vAlign w:val="center"/>
          </w:tcPr>
          <w:p w14:paraId="410A3578">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系统设计文档</w:t>
            </w:r>
          </w:p>
        </w:tc>
        <w:tc>
          <w:tcPr>
            <w:tcW w:w="1703" w:type="dxa"/>
            <w:vAlign w:val="center"/>
          </w:tcPr>
          <w:p w14:paraId="5A381D4F">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设计评审</w:t>
            </w:r>
          </w:p>
        </w:tc>
      </w:tr>
      <w:tr w14:paraId="617F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7C8FFF86">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开发构建</w:t>
            </w:r>
          </w:p>
        </w:tc>
        <w:tc>
          <w:tcPr>
            <w:tcW w:w="1708" w:type="dxa"/>
            <w:vAlign w:val="center"/>
          </w:tcPr>
          <w:p w14:paraId="41DD4D9F">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第</w:t>
            </w:r>
            <w:r>
              <w:rPr>
                <w:rFonts w:hint="eastAsia" w:ascii="仿宋" w:hAnsi="仿宋" w:eastAsia="仿宋" w:cs="仿宋"/>
                <w:sz w:val="20"/>
                <w:lang w:val="en-US" w:eastAsia="zh-CN"/>
              </w:rPr>
              <w:t>7</w:t>
            </w:r>
            <w:r>
              <w:rPr>
                <w:rFonts w:hint="eastAsia" w:ascii="仿宋" w:hAnsi="仿宋" w:eastAsia="仿宋" w:cs="仿宋"/>
                <w:sz w:val="20"/>
              </w:rPr>
              <w:t>-16周</w:t>
            </w:r>
          </w:p>
        </w:tc>
        <w:tc>
          <w:tcPr>
            <w:tcW w:w="1706" w:type="dxa"/>
            <w:vAlign w:val="center"/>
          </w:tcPr>
          <w:p w14:paraId="161D84F9">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模块开发、接口联调、单元测试</w:t>
            </w:r>
          </w:p>
        </w:tc>
        <w:tc>
          <w:tcPr>
            <w:tcW w:w="1703" w:type="dxa"/>
            <w:vAlign w:val="center"/>
          </w:tcPr>
          <w:p w14:paraId="63A66E96">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可运行系统版本</w:t>
            </w:r>
          </w:p>
        </w:tc>
        <w:tc>
          <w:tcPr>
            <w:tcW w:w="1703" w:type="dxa"/>
            <w:vAlign w:val="center"/>
          </w:tcPr>
          <w:p w14:paraId="680B4C1F">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开发自测</w:t>
            </w:r>
          </w:p>
        </w:tc>
      </w:tr>
      <w:tr w14:paraId="63B8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5A3B4147">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测试验证</w:t>
            </w:r>
          </w:p>
        </w:tc>
        <w:tc>
          <w:tcPr>
            <w:tcW w:w="1708" w:type="dxa"/>
            <w:vAlign w:val="center"/>
          </w:tcPr>
          <w:p w14:paraId="7A40A74F">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第17-</w:t>
            </w:r>
            <w:r>
              <w:rPr>
                <w:rFonts w:hint="eastAsia" w:ascii="仿宋" w:hAnsi="仿宋" w:eastAsia="仿宋" w:cs="仿宋"/>
                <w:sz w:val="20"/>
                <w:lang w:val="en-US" w:eastAsia="zh-CN"/>
              </w:rPr>
              <w:t>24</w:t>
            </w:r>
            <w:r>
              <w:rPr>
                <w:rFonts w:hint="eastAsia" w:ascii="仿宋" w:hAnsi="仿宋" w:eastAsia="仿宋" w:cs="仿宋"/>
                <w:sz w:val="20"/>
              </w:rPr>
              <w:t>周</w:t>
            </w:r>
          </w:p>
        </w:tc>
        <w:tc>
          <w:tcPr>
            <w:tcW w:w="1706" w:type="dxa"/>
            <w:vAlign w:val="center"/>
          </w:tcPr>
          <w:p w14:paraId="219FC379">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功能测试、性能测试、安全测试</w:t>
            </w:r>
          </w:p>
        </w:tc>
        <w:tc>
          <w:tcPr>
            <w:tcW w:w="1703" w:type="dxa"/>
            <w:vAlign w:val="center"/>
          </w:tcPr>
          <w:p w14:paraId="024D4A51">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测试报告</w:t>
            </w:r>
          </w:p>
        </w:tc>
        <w:tc>
          <w:tcPr>
            <w:tcW w:w="1703" w:type="dxa"/>
            <w:vAlign w:val="center"/>
          </w:tcPr>
          <w:p w14:paraId="7009BC6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测试评审</w:t>
            </w:r>
          </w:p>
        </w:tc>
      </w:tr>
      <w:tr w14:paraId="6A07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0423B3EC">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用户培训</w:t>
            </w:r>
          </w:p>
        </w:tc>
        <w:tc>
          <w:tcPr>
            <w:tcW w:w="1708" w:type="dxa"/>
            <w:vAlign w:val="center"/>
          </w:tcPr>
          <w:p w14:paraId="70F1D95E">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第</w:t>
            </w:r>
            <w:r>
              <w:rPr>
                <w:rFonts w:hint="eastAsia" w:ascii="仿宋" w:hAnsi="仿宋" w:eastAsia="仿宋" w:cs="仿宋"/>
                <w:sz w:val="20"/>
                <w:lang w:val="en-US" w:eastAsia="zh-CN"/>
              </w:rPr>
              <w:t>25</w:t>
            </w:r>
            <w:r>
              <w:rPr>
                <w:rFonts w:hint="eastAsia" w:ascii="仿宋" w:hAnsi="仿宋" w:eastAsia="仿宋" w:cs="仿宋"/>
                <w:sz w:val="20"/>
              </w:rPr>
              <w:t>周</w:t>
            </w:r>
          </w:p>
        </w:tc>
        <w:tc>
          <w:tcPr>
            <w:tcW w:w="1706" w:type="dxa"/>
            <w:vAlign w:val="center"/>
          </w:tcPr>
          <w:p w14:paraId="3635AA07">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分层培训、操作指导</w:t>
            </w:r>
          </w:p>
        </w:tc>
        <w:tc>
          <w:tcPr>
            <w:tcW w:w="1703" w:type="dxa"/>
            <w:vAlign w:val="center"/>
          </w:tcPr>
          <w:p w14:paraId="4A06856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培训记录</w:t>
            </w:r>
          </w:p>
        </w:tc>
        <w:tc>
          <w:tcPr>
            <w:tcW w:w="1703" w:type="dxa"/>
            <w:vAlign w:val="center"/>
          </w:tcPr>
          <w:p w14:paraId="3A1B27E2">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培训完成</w:t>
            </w:r>
          </w:p>
        </w:tc>
      </w:tr>
      <w:tr w14:paraId="2C80A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17204094">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试运行</w:t>
            </w:r>
          </w:p>
        </w:tc>
        <w:tc>
          <w:tcPr>
            <w:tcW w:w="1708" w:type="dxa"/>
            <w:vAlign w:val="center"/>
          </w:tcPr>
          <w:p w14:paraId="2819CBDB">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第</w:t>
            </w:r>
            <w:r>
              <w:rPr>
                <w:rFonts w:hint="eastAsia" w:ascii="仿宋" w:hAnsi="仿宋" w:eastAsia="仿宋" w:cs="仿宋"/>
                <w:sz w:val="20"/>
                <w:lang w:val="en-US" w:eastAsia="zh-CN"/>
              </w:rPr>
              <w:t>25</w:t>
            </w:r>
            <w:r>
              <w:rPr>
                <w:rFonts w:hint="eastAsia" w:ascii="仿宋" w:hAnsi="仿宋" w:eastAsia="仿宋" w:cs="仿宋"/>
                <w:sz w:val="20"/>
              </w:rPr>
              <w:t>-</w:t>
            </w:r>
            <w:r>
              <w:rPr>
                <w:rFonts w:hint="eastAsia" w:ascii="仿宋" w:hAnsi="仿宋" w:eastAsia="仿宋" w:cs="仿宋"/>
                <w:sz w:val="20"/>
                <w:lang w:val="en-US" w:eastAsia="zh-CN"/>
              </w:rPr>
              <w:t>44</w:t>
            </w:r>
            <w:r>
              <w:rPr>
                <w:rFonts w:hint="eastAsia" w:ascii="仿宋" w:hAnsi="仿宋" w:eastAsia="仿宋" w:cs="仿宋"/>
                <w:sz w:val="20"/>
              </w:rPr>
              <w:t>周</w:t>
            </w:r>
          </w:p>
        </w:tc>
        <w:tc>
          <w:tcPr>
            <w:tcW w:w="1706" w:type="dxa"/>
            <w:vAlign w:val="center"/>
          </w:tcPr>
          <w:p w14:paraId="4F9E729A">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系统上线试运行（</w:t>
            </w:r>
            <w:r>
              <w:rPr>
                <w:rFonts w:hint="eastAsia" w:ascii="仿宋" w:hAnsi="仿宋" w:eastAsia="仿宋" w:cs="仿宋"/>
                <w:sz w:val="20"/>
                <w:lang w:val="en-US" w:eastAsia="zh-CN"/>
              </w:rPr>
              <w:t>5</w:t>
            </w:r>
            <w:r>
              <w:rPr>
                <w:rFonts w:hint="eastAsia" w:ascii="仿宋" w:hAnsi="仿宋" w:eastAsia="仿宋" w:cs="仿宋"/>
                <w:sz w:val="20"/>
              </w:rPr>
              <w:t>个月）</w:t>
            </w:r>
          </w:p>
        </w:tc>
        <w:tc>
          <w:tcPr>
            <w:tcW w:w="1703" w:type="dxa"/>
            <w:vAlign w:val="center"/>
          </w:tcPr>
          <w:p w14:paraId="36AF5883">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试运行报告</w:t>
            </w:r>
          </w:p>
        </w:tc>
        <w:tc>
          <w:tcPr>
            <w:tcW w:w="1703" w:type="dxa"/>
            <w:vAlign w:val="center"/>
          </w:tcPr>
          <w:p w14:paraId="4C497670">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试运行评审</w:t>
            </w:r>
          </w:p>
        </w:tc>
      </w:tr>
      <w:tr w14:paraId="26F4C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Align w:val="center"/>
          </w:tcPr>
          <w:p w14:paraId="3C0C1922">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项目验收</w:t>
            </w:r>
          </w:p>
        </w:tc>
        <w:tc>
          <w:tcPr>
            <w:tcW w:w="1708" w:type="dxa"/>
            <w:vAlign w:val="center"/>
          </w:tcPr>
          <w:p w14:paraId="5D632113">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第</w:t>
            </w:r>
            <w:r>
              <w:rPr>
                <w:rFonts w:hint="eastAsia" w:ascii="仿宋" w:hAnsi="仿宋" w:eastAsia="仿宋" w:cs="仿宋"/>
                <w:sz w:val="20"/>
                <w:lang w:val="en-US" w:eastAsia="zh-CN"/>
              </w:rPr>
              <w:t>45</w:t>
            </w:r>
            <w:r>
              <w:rPr>
                <w:rFonts w:hint="eastAsia" w:ascii="仿宋" w:hAnsi="仿宋" w:eastAsia="仿宋" w:cs="仿宋"/>
                <w:sz w:val="20"/>
              </w:rPr>
              <w:t>-</w:t>
            </w:r>
            <w:r>
              <w:rPr>
                <w:rFonts w:hint="eastAsia" w:ascii="仿宋" w:hAnsi="仿宋" w:eastAsia="仿宋" w:cs="仿宋"/>
                <w:sz w:val="20"/>
                <w:lang w:val="en-US" w:eastAsia="zh-CN"/>
              </w:rPr>
              <w:t>48</w:t>
            </w:r>
            <w:r>
              <w:rPr>
                <w:rFonts w:hint="eastAsia" w:ascii="仿宋" w:hAnsi="仿宋" w:eastAsia="仿宋" w:cs="仿宋"/>
                <w:sz w:val="20"/>
              </w:rPr>
              <w:t>周</w:t>
            </w:r>
          </w:p>
        </w:tc>
        <w:tc>
          <w:tcPr>
            <w:tcW w:w="1706" w:type="dxa"/>
            <w:vAlign w:val="center"/>
          </w:tcPr>
          <w:p w14:paraId="0218BED4">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验收准备、验收测试、正式验收</w:t>
            </w:r>
          </w:p>
        </w:tc>
        <w:tc>
          <w:tcPr>
            <w:tcW w:w="1703" w:type="dxa"/>
            <w:vAlign w:val="center"/>
          </w:tcPr>
          <w:p w14:paraId="02BAE1B7">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验收报告</w:t>
            </w:r>
          </w:p>
        </w:tc>
        <w:tc>
          <w:tcPr>
            <w:tcW w:w="1703" w:type="dxa"/>
            <w:vAlign w:val="center"/>
          </w:tcPr>
          <w:p w14:paraId="47928512">
            <w:pPr>
              <w:pageBreakBefore w:val="0"/>
              <w:widowControl/>
              <w:kinsoku/>
              <w:wordWrap/>
              <w:overflowPunct/>
              <w:topLinePunct w:val="0"/>
              <w:autoSpaceDE/>
              <w:autoSpaceDN/>
              <w:bidi w:val="0"/>
              <w:adjustRightInd/>
              <w:snapToGrid/>
              <w:spacing w:after="0" w:line="580" w:lineRule="atLeast"/>
              <w:textAlignment w:val="auto"/>
              <w:rPr>
                <w:rFonts w:hint="eastAsia" w:ascii="仿宋" w:hAnsi="仿宋" w:eastAsia="仿宋" w:cs="仿宋"/>
              </w:rPr>
            </w:pPr>
            <w:r>
              <w:rPr>
                <w:rFonts w:hint="eastAsia" w:ascii="仿宋" w:hAnsi="仿宋" w:eastAsia="仿宋" w:cs="仿宋"/>
                <w:sz w:val="20"/>
              </w:rPr>
              <w:t>验收评审</w:t>
            </w:r>
          </w:p>
        </w:tc>
      </w:tr>
    </w:tbl>
    <w:p w14:paraId="68726E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我司承诺签订合同后4个月内具备试运行条件，全面满足项目时间要求。</w:t>
      </w:r>
    </w:p>
    <w:p w14:paraId="37CC1D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p>
    <w:p w14:paraId="1CCB7832">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w:t>
      </w:r>
      <w:r>
        <w:rPr>
          <w:rFonts w:hint="eastAsia" w:cs="宋体"/>
          <w:b w:val="0"/>
          <w:bCs/>
          <w:lang w:val="en-US" w:eastAsia="zh-CN"/>
        </w:rPr>
        <w:t>1</w:t>
      </w:r>
      <w:r>
        <w:rPr>
          <w:rFonts w:hint="eastAsia" w:ascii="宋体" w:hAnsi="宋体" w:eastAsia="宋体" w:cs="宋体"/>
          <w:b w:val="0"/>
          <w:bCs/>
          <w:lang w:val="en-US" w:eastAsia="zh-CN"/>
        </w:rPr>
        <w:t>.</w:t>
      </w:r>
      <w:r>
        <w:rPr>
          <w:rFonts w:hint="eastAsia" w:cs="宋体"/>
          <w:b w:val="0"/>
          <w:bCs/>
          <w:lang w:val="en-US" w:eastAsia="zh-CN"/>
        </w:rPr>
        <w:t>5.</w:t>
      </w:r>
      <w:r>
        <w:rPr>
          <w:rFonts w:hint="eastAsia" w:ascii="宋体" w:hAnsi="宋体" w:eastAsia="宋体" w:cs="宋体"/>
          <w:b w:val="0"/>
          <w:bCs/>
          <w:lang w:val="en-US" w:eastAsia="zh-CN"/>
        </w:rPr>
        <w:t>2 项目进度与交付保障</w:t>
      </w:r>
    </w:p>
    <w:p w14:paraId="5FF81E3D">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w:t>
      </w:r>
      <w:r>
        <w:rPr>
          <w:rFonts w:hint="eastAsia" w:ascii="宋体" w:hAnsi="宋体" w:cs="宋体"/>
          <w:b w:val="0"/>
          <w:bCs/>
          <w:lang w:val="en-US" w:eastAsia="zh-CN"/>
        </w:rPr>
        <w:t>1</w:t>
      </w:r>
      <w:r>
        <w:rPr>
          <w:rFonts w:hint="eastAsia" w:ascii="宋体" w:hAnsi="宋体" w:eastAsia="宋体" w:cs="宋体"/>
          <w:b w:val="0"/>
          <w:bCs/>
          <w:lang w:val="en-US" w:eastAsia="zh-CN"/>
        </w:rPr>
        <w:t>.</w:t>
      </w:r>
      <w:r>
        <w:rPr>
          <w:rFonts w:hint="eastAsia" w:ascii="宋体" w:hAnsi="宋体" w:cs="宋体"/>
          <w:b w:val="0"/>
          <w:bCs/>
          <w:lang w:val="en-US" w:eastAsia="zh-CN"/>
        </w:rPr>
        <w:t>5.</w:t>
      </w:r>
      <w:r>
        <w:rPr>
          <w:rFonts w:hint="eastAsia" w:ascii="宋体" w:hAnsi="宋体" w:eastAsia="宋体" w:cs="宋体"/>
          <w:b w:val="0"/>
          <w:bCs/>
          <w:lang w:val="en-US" w:eastAsia="zh-CN"/>
        </w:rPr>
        <w:t>2.1 项目进度计划</w:t>
      </w:r>
    </w:p>
    <w:p w14:paraId="2EE5FB8F">
      <w:pPr>
        <w:rPr>
          <w:rFonts w:hint="eastAsia" w:eastAsia="宋体"/>
          <w:lang w:eastAsia="zh-CN"/>
        </w:rPr>
      </w:pPr>
      <w:r>
        <w:rPr>
          <w:rFonts w:hint="eastAsia" w:eastAsia="宋体"/>
          <w:lang w:eastAsia="zh-CN"/>
        </w:rPr>
        <w:drawing>
          <wp:inline distT="0" distB="0" distL="114300" distR="114300">
            <wp:extent cx="5268595" cy="2940685"/>
            <wp:effectExtent l="0" t="0" r="10160" b="6350"/>
            <wp:docPr id="4" name="图片 4" descr="项目完整周期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项目完整周期甘特图"/>
                    <pic:cNvPicPr>
                      <a:picLocks noChangeAspect="1"/>
                    </pic:cNvPicPr>
                  </pic:nvPicPr>
                  <pic:blipFill>
                    <a:blip r:embed="rId24"/>
                    <a:stretch>
                      <a:fillRect/>
                    </a:stretch>
                  </pic:blipFill>
                  <pic:spPr>
                    <a:xfrm>
                      <a:off x="0" y="0"/>
                      <a:ext cx="5268595" cy="2940685"/>
                    </a:xfrm>
                    <a:prstGeom prst="rect">
                      <a:avLst/>
                    </a:prstGeom>
                  </pic:spPr>
                </pic:pic>
              </a:graphicData>
            </a:graphic>
          </wp:inline>
        </w:drawing>
      </w:r>
    </w:p>
    <w:p w14:paraId="3117E2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本项目合同期限包括"项目实施阶段"和"售后保障阶段"两个部分。项目实施阶段为T0+20个月（T0指签订合同之日），我司将在项目实施阶段截止日前完成需求调研、方案设计、系统开发、部署测试、试运行，最终通过项目验收报告审批。关键里程碑如下：</w:t>
      </w:r>
    </w:p>
    <w:p w14:paraId="47F3C2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T0（合同签订）→ T0+1.5个月：完成详细设计方案编制和评审，取得买方认可。</w:t>
      </w:r>
    </w:p>
    <w:p w14:paraId="57978C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T0+1.5个月 → T0+4个月：完成项目实施部署（含系统开发、集成和部署）。【我司郑重承诺：合同签订后4个月内具备试运行条件】</w:t>
      </w:r>
    </w:p>
    <w:p w14:paraId="4CF67C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T0+4个月 → T0+6个月：平台测试（含功能测试和性能测试，共2个月）。</w:t>
      </w:r>
    </w:p>
    <w:p w14:paraId="393D25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T0+6个月 → T0+11个月：试运行（5个月，期间完成等保测评）。</w:t>
      </w:r>
    </w:p>
    <w:p w14:paraId="78D94D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T0+11个月 → T0+12个月：项目正式验收。</w:t>
      </w:r>
    </w:p>
    <w:p w14:paraId="5E5186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售后保障阶段为T1+24个月（T1指项目验收报告审批通过之日），我司将在售后保障阶段全面履行售后职责。如系统在质保期内出现重大问题且整改时间超过10天，质保时间相应顺延。</w:t>
      </w:r>
    </w:p>
    <w:p w14:paraId="291A9F44">
      <w:pPr>
        <w:pStyle w:val="6"/>
        <w:bidi w:val="0"/>
        <w:rPr>
          <w:rFonts w:hint="eastAsia" w:ascii="宋体" w:hAnsi="宋体" w:eastAsia="宋体" w:cs="宋体"/>
          <w:b w:val="0"/>
          <w:bCs/>
          <w:lang w:val="en-US" w:eastAsia="zh-CN"/>
        </w:rPr>
      </w:pPr>
      <w:r>
        <w:rPr>
          <w:rFonts w:hint="eastAsia" w:ascii="宋体" w:hAnsi="宋体" w:eastAsia="宋体" w:cs="宋体"/>
          <w:b w:val="0"/>
          <w:bCs/>
          <w:lang w:val="en-US" w:eastAsia="zh-CN"/>
        </w:rPr>
        <w:t>1</w:t>
      </w:r>
      <w:r>
        <w:rPr>
          <w:rFonts w:hint="eastAsia" w:ascii="宋体" w:hAnsi="宋体" w:cs="宋体"/>
          <w:b w:val="0"/>
          <w:bCs/>
          <w:lang w:val="en-US" w:eastAsia="zh-CN"/>
        </w:rPr>
        <w:t>1</w:t>
      </w:r>
      <w:r>
        <w:rPr>
          <w:rFonts w:hint="eastAsia" w:ascii="宋体" w:hAnsi="宋体" w:eastAsia="宋体" w:cs="宋体"/>
          <w:b w:val="0"/>
          <w:bCs/>
          <w:lang w:val="en-US" w:eastAsia="zh-CN"/>
        </w:rPr>
        <w:t>.</w:t>
      </w:r>
      <w:r>
        <w:rPr>
          <w:rFonts w:hint="eastAsia" w:ascii="宋体" w:hAnsi="宋体" w:cs="宋体"/>
          <w:b w:val="0"/>
          <w:bCs/>
          <w:lang w:val="en-US" w:eastAsia="zh-CN"/>
        </w:rPr>
        <w:t>5.</w:t>
      </w:r>
      <w:r>
        <w:rPr>
          <w:rFonts w:hint="eastAsia" w:ascii="宋体" w:hAnsi="宋体" w:eastAsia="宋体" w:cs="宋体"/>
          <w:b w:val="0"/>
          <w:bCs/>
          <w:lang w:val="en-US" w:eastAsia="zh-CN"/>
        </w:rPr>
        <w:t>2.2 进度保障措施</w:t>
      </w:r>
    </w:p>
    <w:p w14:paraId="3985A4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人力保障：投入充足的开发实施团队，关键岗位配备AB角，确保项目资源充分。</w:t>
      </w:r>
    </w:p>
    <w:p w14:paraId="158A40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过程管理：每周提交项目进度报告，每月召开项目沟通会，确保信息透明。</w:t>
      </w:r>
    </w:p>
    <w:p w14:paraId="3E3596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风险管理：建立风险识别和应对机制，每月评估项目风险状态，提前预防。</w:t>
      </w:r>
    </w:p>
    <w:p w14:paraId="375C07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质量管理：建立完善的质量保证体系，每个阶段工作成果经内部质量审核后交付。</w:t>
      </w:r>
    </w:p>
    <w:p w14:paraId="68C6D5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变更控制：严格变更管理流程，控制范围蔓延，确保项目按计划推进。</w:t>
      </w:r>
    </w:p>
    <w:p w14:paraId="2FADF9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szCs w:val="24"/>
        </w:rPr>
      </w:pPr>
      <w:r>
        <w:rPr>
          <w:rFonts w:hint="eastAsia" w:ascii="宋体" w:hAnsi="宋体" w:eastAsia="宋体" w:cs="宋体"/>
          <w:b w:val="0"/>
          <w:sz w:val="24"/>
          <w:szCs w:val="24"/>
        </w:rPr>
        <w:t>预案机制：进度滞后时采取加班、增加人力、优化流程等措施加快进度，确保按期交付。</w:t>
      </w:r>
    </w:p>
    <w:p w14:paraId="14A23984">
      <w:pPr>
        <w:rPr>
          <w:rFonts w:hint="default"/>
          <w:lang w:val="en-US" w:eastAsia="zh-CN"/>
        </w:rPr>
      </w:pPr>
    </w:p>
    <w:p w14:paraId="74CE6C09">
      <w:pPr>
        <w:pStyle w:val="3"/>
        <w:bidi w:val="0"/>
        <w:rPr>
          <w:rFonts w:hint="eastAsia"/>
          <w:lang w:val="en-US" w:eastAsia="zh-CN"/>
        </w:rPr>
      </w:pPr>
      <w:r>
        <w:rPr>
          <w:rFonts w:hint="eastAsia"/>
          <w:lang w:val="en-US" w:eastAsia="zh-CN"/>
        </w:rPr>
        <w:t>11.6 质量管控与验收交付方案</w:t>
      </w:r>
    </w:p>
    <w:p w14:paraId="0361F01B">
      <w:pPr>
        <w:pStyle w:val="5"/>
        <w:bidi w:val="0"/>
        <w:rPr>
          <w:rFonts w:hint="eastAsia" w:ascii="宋体" w:hAnsi="宋体" w:eastAsia="宋体" w:cs="宋体"/>
          <w:b w:val="0"/>
          <w:bCs/>
          <w:lang w:val="en-US" w:eastAsia="zh-CN"/>
        </w:rPr>
      </w:pPr>
      <w:r>
        <w:rPr>
          <w:rFonts w:hint="eastAsia" w:cs="宋体"/>
          <w:b w:val="0"/>
          <w:bCs/>
          <w:lang w:val="en-US" w:eastAsia="zh-CN"/>
        </w:rPr>
        <w:t>11.6</w:t>
      </w:r>
      <w:r>
        <w:rPr>
          <w:rFonts w:hint="eastAsia" w:ascii="宋体" w:hAnsi="宋体" w:eastAsia="宋体" w:cs="宋体"/>
          <w:b w:val="0"/>
          <w:bCs/>
          <w:lang w:val="en-US" w:eastAsia="zh-CN"/>
        </w:rPr>
        <w:t>.1 CMMI5 全过程质量管理总体框架</w:t>
      </w:r>
    </w:p>
    <w:p w14:paraId="4FDC8670">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.1.1 总体说明</w:t>
      </w:r>
    </w:p>
    <w:p w14:paraId="570E2150">
      <w:pPr>
        <w:spacing w:after="70" w:line="330" w:lineRule="auto"/>
        <w:ind w:firstLine="500" w:firstLineChars="0"/>
        <w:rPr>
          <w:rFonts w:hint="eastAsia" w:ascii="宋体" w:hAnsi="宋体" w:eastAsia="宋体" w:cs="宋体"/>
          <w:color w:val="1F2937"/>
        </w:rPr>
      </w:pPr>
      <w:r>
        <w:rPr>
          <w:rFonts w:hint="eastAsia" w:ascii="宋体" w:hAnsi="宋体" w:eastAsia="宋体" w:cs="宋体"/>
          <w:color w:val="1F2937"/>
        </w:rPr>
        <w:t>我公司将按照CMMI5成熟度模型的过程管理思想，对本项目实施“策划、需求、设计、开发、集成、验证、确认、配置、度量、风险、改进”全过程质量控制。质量管理不只停留在测试环节，而是从需求确认开始建立基线、从设计阶段建立评审、从开发阶段建立配置和代码质量控制、从联调阶段建立缺陷闭环、从验收阶段建立交付物核查和用户确认，确保本项目功能、性能、安全、文档、源码和运维资料均可验收、可追溯、可移交。</w:t>
      </w:r>
    </w:p>
    <w:p w14:paraId="38930EC6">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.2.2 过程域与本项目动作映射</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5"/>
        <w:gridCol w:w="3039"/>
        <w:gridCol w:w="2763"/>
        <w:gridCol w:w="1895"/>
      </w:tblGrid>
      <w:tr w14:paraId="10AC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67"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773DC71">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CMMI5过程域</w:t>
            </w:r>
          </w:p>
        </w:tc>
        <w:tc>
          <w:tcPr>
            <w:tcW w:w="1631"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361F558">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本项目执行动作</w:t>
            </w:r>
          </w:p>
        </w:tc>
        <w:tc>
          <w:tcPr>
            <w:tcW w:w="1483"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6AB603A">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形成材料</w:t>
            </w:r>
          </w:p>
        </w:tc>
        <w:tc>
          <w:tcPr>
            <w:tcW w:w="1017"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AF6F2BA">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对应价值</w:t>
            </w:r>
          </w:p>
        </w:tc>
      </w:tr>
      <w:tr w14:paraId="29EA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374D49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PP 项目策划</w:t>
            </w:r>
          </w:p>
        </w:tc>
        <w:tc>
          <w:tcPr>
            <w:tcW w:w="16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BC6478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制定项目计划、WBS、里程碑、资源投入、阶段交付清单</w:t>
            </w:r>
          </w:p>
        </w:tc>
        <w:tc>
          <w:tcPr>
            <w:tcW w:w="148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88A7F8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项目计划、WBS、甘特图、阶段交付表</w:t>
            </w:r>
          </w:p>
        </w:tc>
        <w:tc>
          <w:tcPr>
            <w:tcW w:w="101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3ABD70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保障项目按期推进</w:t>
            </w:r>
          </w:p>
        </w:tc>
      </w:tr>
      <w:tr w14:paraId="1C10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876AD6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REQM 需求管理</w:t>
            </w:r>
          </w:p>
        </w:tc>
        <w:tc>
          <w:tcPr>
            <w:tcW w:w="16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1E4D44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需求澄清、原型确认、字段确认、权限确认、需求基线和变更控制</w:t>
            </w:r>
          </w:p>
        </w:tc>
        <w:tc>
          <w:tcPr>
            <w:tcW w:w="148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0E79EF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需求确认单、需求追踪矩阵、变更台账</w:t>
            </w:r>
          </w:p>
        </w:tc>
        <w:tc>
          <w:tcPr>
            <w:tcW w:w="101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A7B2C9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保证需求不跑偏</w:t>
            </w:r>
          </w:p>
        </w:tc>
      </w:tr>
      <w:tr w14:paraId="0F3B1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EA9425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TS 技术解决方案</w:t>
            </w:r>
          </w:p>
        </w:tc>
        <w:tc>
          <w:tcPr>
            <w:tcW w:w="16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D3F223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总体架构、模块设计、接口、安全、性能、部署评审</w:t>
            </w:r>
          </w:p>
        </w:tc>
        <w:tc>
          <w:tcPr>
            <w:tcW w:w="148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9E17EE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总体设计、详细设计、评审纪要</w:t>
            </w:r>
          </w:p>
        </w:tc>
        <w:tc>
          <w:tcPr>
            <w:tcW w:w="101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DDDB3F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保证设计可落地</w:t>
            </w:r>
          </w:p>
        </w:tc>
      </w:tr>
      <w:tr w14:paraId="77515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CF1AAC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PI 产品集成</w:t>
            </w:r>
          </w:p>
        </w:tc>
        <w:tc>
          <w:tcPr>
            <w:tcW w:w="16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EFD150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模块自测、接口联调、端到端业务链联调</w:t>
            </w:r>
          </w:p>
        </w:tc>
        <w:tc>
          <w:tcPr>
            <w:tcW w:w="148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33349D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联调计划、联调记录、问题清单</w:t>
            </w:r>
          </w:p>
        </w:tc>
        <w:tc>
          <w:tcPr>
            <w:tcW w:w="101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E0849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保证跨模块联通</w:t>
            </w:r>
          </w:p>
        </w:tc>
      </w:tr>
      <w:tr w14:paraId="2A12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37502E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VER 验证测试</w:t>
            </w:r>
          </w:p>
        </w:tc>
        <w:tc>
          <w:tcPr>
            <w:tcW w:w="16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B35599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功能、接口、性能、安全、兼容性测试</w:t>
            </w:r>
          </w:p>
        </w:tc>
        <w:tc>
          <w:tcPr>
            <w:tcW w:w="148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661A38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测试方案、测试报告、缺陷台账</w:t>
            </w:r>
          </w:p>
        </w:tc>
        <w:tc>
          <w:tcPr>
            <w:tcW w:w="101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9E117F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保证质量达标</w:t>
            </w:r>
          </w:p>
        </w:tc>
      </w:tr>
      <w:tr w14:paraId="5026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8A7F9D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VAL 用户确认</w:t>
            </w:r>
          </w:p>
        </w:tc>
        <w:tc>
          <w:tcPr>
            <w:tcW w:w="16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92B14F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阶段验收、试运行验证、最终验收</w:t>
            </w:r>
          </w:p>
        </w:tc>
        <w:tc>
          <w:tcPr>
            <w:tcW w:w="148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7B69D0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验收计划、验收记录、试运行报告</w:t>
            </w:r>
          </w:p>
        </w:tc>
        <w:tc>
          <w:tcPr>
            <w:tcW w:w="101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C023CB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保证用户可接受</w:t>
            </w:r>
          </w:p>
        </w:tc>
      </w:tr>
      <w:tr w14:paraId="702D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184AB9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CM 配置管理</w:t>
            </w:r>
          </w:p>
        </w:tc>
        <w:tc>
          <w:tcPr>
            <w:tcW w:w="16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1F2C7D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源码、脚本、配置、发布包、文档版本管理</w:t>
            </w:r>
          </w:p>
        </w:tc>
        <w:tc>
          <w:tcPr>
            <w:tcW w:w="148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CF2FBC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发布说明、版本记录、配置清单</w:t>
            </w:r>
          </w:p>
        </w:tc>
        <w:tc>
          <w:tcPr>
            <w:tcW w:w="101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EC3963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保证版本可控</w:t>
            </w:r>
          </w:p>
        </w:tc>
      </w:tr>
      <w:tr w14:paraId="005D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DC0660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PPQA/MA</w:t>
            </w:r>
          </w:p>
        </w:tc>
        <w:tc>
          <w:tcPr>
            <w:tcW w:w="16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B4906F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过程检查、质量审计、度量分析</w:t>
            </w:r>
          </w:p>
        </w:tc>
        <w:tc>
          <w:tcPr>
            <w:tcW w:w="148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AE2D3E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审计记录、指标统计</w:t>
            </w:r>
          </w:p>
        </w:tc>
        <w:tc>
          <w:tcPr>
            <w:tcW w:w="101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0EDCEB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保证过程真实有效</w:t>
            </w:r>
          </w:p>
        </w:tc>
      </w:tr>
      <w:tr w14:paraId="59C6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4FB032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RSKM/CAR</w:t>
            </w:r>
          </w:p>
        </w:tc>
        <w:tc>
          <w:tcPr>
            <w:tcW w:w="16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6550D1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风险识别、问题复盘、持续改进</w:t>
            </w:r>
          </w:p>
        </w:tc>
        <w:tc>
          <w:tcPr>
            <w:tcW w:w="1483"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BC718E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风险台账、RCA分析、改进清单</w:t>
            </w:r>
          </w:p>
        </w:tc>
        <w:tc>
          <w:tcPr>
            <w:tcW w:w="101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AE16FF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保证问题不反复发生</w:t>
            </w:r>
          </w:p>
        </w:tc>
      </w:tr>
    </w:tbl>
    <w:p w14:paraId="67D50773">
      <w:pPr>
        <w:spacing w:after="100"/>
        <w:rPr>
          <w:rFonts w:hint="eastAsia" w:ascii="宋体" w:hAnsi="宋体" w:eastAsia="宋体" w:cs="宋体"/>
        </w:rPr>
      </w:pPr>
    </w:p>
    <w:p w14:paraId="199F64B4">
      <w:pPr>
        <w:pStyle w:val="5"/>
        <w:bidi w:val="0"/>
        <w:rPr>
          <w:rFonts w:hint="eastAsia" w:ascii="宋体" w:hAnsi="宋体" w:eastAsia="宋体" w:cs="宋体"/>
          <w:b w:val="0"/>
          <w:bCs/>
          <w:lang w:val="en-US" w:eastAsia="zh-CN"/>
        </w:rPr>
      </w:pPr>
      <w:r>
        <w:rPr>
          <w:rFonts w:hint="eastAsia" w:cs="宋体"/>
          <w:b w:val="0"/>
          <w:bCs/>
          <w:lang w:val="en-US" w:eastAsia="zh-CN"/>
        </w:rPr>
        <w:t>11.6</w:t>
      </w:r>
      <w:r>
        <w:rPr>
          <w:rFonts w:hint="eastAsia" w:ascii="宋体" w:hAnsi="宋体" w:eastAsia="宋体" w:cs="宋体"/>
          <w:b w:val="0"/>
          <w:bCs/>
          <w:lang w:val="en-US" w:eastAsia="zh-CN"/>
        </w:rPr>
        <w:t>.2 PP 项目策划实施方案</w:t>
      </w:r>
    </w:p>
    <w:p w14:paraId="36876846">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.2.1 项目启动与策划动作</w:t>
      </w:r>
    </w:p>
    <w:p w14:paraId="1FE31067">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项目启动后，我方组织项目经理、架构师、业务分析、开发、测试、实施运维人员召开启动会，明确项目目标、范围、组织、沟通机制、交付节点和验收要求。</w:t>
      </w:r>
    </w:p>
    <w:p w14:paraId="50F93B9C">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.2.2 实施步骤</w:t>
      </w:r>
    </w:p>
    <w:p w14:paraId="274F3508">
      <w:pPr>
        <w:spacing w:after="70" w:line="330" w:lineRule="auto"/>
        <w:ind w:left="420" w:hanging="260"/>
        <w:rPr>
          <w:rFonts w:hint="eastAsia" w:ascii="宋体" w:hAnsi="宋体" w:eastAsia="宋体" w:cs="宋体"/>
        </w:rPr>
      </w:pPr>
      <w:r>
        <w:rPr>
          <w:rFonts w:hint="eastAsia" w:ascii="宋体" w:hAnsi="宋体" w:eastAsia="宋体" w:cs="宋体"/>
          <w:color w:val="1F2937"/>
        </w:rPr>
        <w:t>1. 确认项目章程、项目组织、甲乙双方联系人和沟通机制。</w:t>
      </w:r>
    </w:p>
    <w:p w14:paraId="5580E4F8">
      <w:pPr>
        <w:spacing w:after="70" w:line="330" w:lineRule="auto"/>
        <w:ind w:left="420" w:hanging="260"/>
        <w:rPr>
          <w:rFonts w:hint="eastAsia" w:ascii="宋体" w:hAnsi="宋体" w:eastAsia="宋体" w:cs="宋体"/>
        </w:rPr>
      </w:pPr>
      <w:r>
        <w:rPr>
          <w:rFonts w:hint="eastAsia" w:ascii="宋体" w:hAnsi="宋体" w:eastAsia="宋体" w:cs="宋体"/>
          <w:color w:val="1F2937"/>
        </w:rPr>
        <w:t>2. 按模块拆解 WBS，明确每个工作包的责任人、前置条件、产出物和验收方式。</w:t>
      </w:r>
    </w:p>
    <w:p w14:paraId="537C2B49">
      <w:pPr>
        <w:spacing w:after="70" w:line="330" w:lineRule="auto"/>
        <w:ind w:left="420" w:hanging="260"/>
        <w:rPr>
          <w:rFonts w:hint="eastAsia" w:ascii="宋体" w:hAnsi="宋体" w:eastAsia="宋体" w:cs="宋体"/>
        </w:rPr>
      </w:pPr>
      <w:r>
        <w:rPr>
          <w:rFonts w:hint="eastAsia" w:ascii="宋体" w:hAnsi="宋体" w:eastAsia="宋体" w:cs="宋体"/>
          <w:color w:val="1F2937"/>
        </w:rPr>
        <w:t>3. 按交货期倒排计划，形成阶段里程碑和周计划。</w:t>
      </w:r>
    </w:p>
    <w:p w14:paraId="2EEA52F9">
      <w:pPr>
        <w:spacing w:after="70" w:line="330" w:lineRule="auto"/>
        <w:ind w:left="420" w:hanging="260"/>
        <w:rPr>
          <w:rFonts w:hint="eastAsia" w:ascii="宋体" w:hAnsi="宋体" w:eastAsia="宋体" w:cs="宋体"/>
        </w:rPr>
      </w:pPr>
      <w:r>
        <w:rPr>
          <w:rFonts w:hint="eastAsia" w:ascii="宋体" w:hAnsi="宋体" w:eastAsia="宋体" w:cs="宋体"/>
          <w:color w:val="1F2937"/>
        </w:rPr>
        <w:t>4. 对接口联调、历史数据清洗、APP 兼容、性能、安全、归档交付等高风险任务设置专项计划。</w:t>
      </w:r>
    </w:p>
    <w:p w14:paraId="057F8571">
      <w:pPr>
        <w:spacing w:after="70" w:line="330" w:lineRule="auto"/>
        <w:ind w:left="420" w:hanging="260"/>
        <w:rPr>
          <w:rFonts w:hint="eastAsia" w:ascii="宋体" w:hAnsi="宋体" w:eastAsia="宋体" w:cs="宋体"/>
        </w:rPr>
      </w:pPr>
      <w:r>
        <w:rPr>
          <w:rFonts w:hint="eastAsia" w:ascii="宋体" w:hAnsi="宋体" w:eastAsia="宋体" w:cs="宋体"/>
          <w:color w:val="1F2937"/>
        </w:rPr>
        <w:t>5. 每周更新进度、风险、问题和下周计划，形成项目周报。</w:t>
      </w:r>
    </w:p>
    <w:p w14:paraId="1B638DE9">
      <w:pPr>
        <w:spacing w:after="70" w:line="330" w:lineRule="auto"/>
        <w:ind w:left="420" w:hanging="260"/>
        <w:rPr>
          <w:rFonts w:hint="eastAsia" w:ascii="宋体" w:hAnsi="宋体" w:eastAsia="宋体" w:cs="宋体"/>
        </w:rPr>
      </w:pPr>
      <w:r>
        <w:rPr>
          <w:rFonts w:hint="eastAsia" w:ascii="宋体" w:hAnsi="宋体" w:eastAsia="宋体" w:cs="宋体"/>
          <w:color w:val="1F2937"/>
        </w:rPr>
        <w:t>6. 阶段交付前组织内部质量检查，确认代码、脚本、文档、测试报告齐备后再提交用户确认。</w:t>
      </w:r>
    </w:p>
    <w:p w14:paraId="056A1504">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.2.3 输出成果</w:t>
      </w:r>
    </w:p>
    <w:p w14:paraId="30A60E26">
      <w:pPr>
        <w:spacing w:after="70" w:line="330" w:lineRule="auto"/>
        <w:ind w:left="420" w:hanging="260"/>
        <w:rPr>
          <w:rFonts w:hint="eastAsia" w:ascii="宋体" w:hAnsi="宋体" w:eastAsia="宋体" w:cs="宋体"/>
        </w:rPr>
      </w:pPr>
      <w:r>
        <w:rPr>
          <w:rFonts w:hint="eastAsia" w:ascii="宋体" w:hAnsi="宋体" w:eastAsia="宋体" w:cs="宋体"/>
          <w:color w:val="1F2937"/>
        </w:rPr>
        <w:t>1. 《项目实施计划》</w:t>
      </w:r>
    </w:p>
    <w:p w14:paraId="358ECA26">
      <w:pPr>
        <w:spacing w:after="70" w:line="330" w:lineRule="auto"/>
        <w:ind w:left="420" w:hanging="260"/>
        <w:rPr>
          <w:rFonts w:hint="eastAsia" w:ascii="宋体" w:hAnsi="宋体" w:eastAsia="宋体" w:cs="宋体"/>
        </w:rPr>
      </w:pPr>
      <w:r>
        <w:rPr>
          <w:rFonts w:hint="eastAsia" w:ascii="宋体" w:hAnsi="宋体" w:eastAsia="宋体" w:cs="宋体"/>
          <w:color w:val="1F2937"/>
        </w:rPr>
        <w:t>2. 《WBS工作分解结构》</w:t>
      </w:r>
    </w:p>
    <w:p w14:paraId="09168DA7">
      <w:pPr>
        <w:spacing w:after="70" w:line="330" w:lineRule="auto"/>
        <w:ind w:left="420" w:hanging="260"/>
        <w:rPr>
          <w:rFonts w:hint="eastAsia" w:ascii="宋体" w:hAnsi="宋体" w:eastAsia="宋体" w:cs="宋体"/>
        </w:rPr>
      </w:pPr>
      <w:r>
        <w:rPr>
          <w:rFonts w:hint="eastAsia" w:ascii="宋体" w:hAnsi="宋体" w:eastAsia="宋体" w:cs="宋体"/>
          <w:color w:val="1F2937"/>
        </w:rPr>
        <w:t>3. 《甘特图》</w:t>
      </w:r>
    </w:p>
    <w:p w14:paraId="395E4BAC">
      <w:pPr>
        <w:spacing w:after="70" w:line="330" w:lineRule="auto"/>
        <w:ind w:left="420" w:hanging="260"/>
        <w:rPr>
          <w:rFonts w:hint="eastAsia" w:ascii="宋体" w:hAnsi="宋体" w:eastAsia="宋体" w:cs="宋体"/>
        </w:rPr>
      </w:pPr>
      <w:r>
        <w:rPr>
          <w:rFonts w:hint="eastAsia" w:ascii="宋体" w:hAnsi="宋体" w:eastAsia="宋体" w:cs="宋体"/>
          <w:color w:val="1F2937"/>
        </w:rPr>
        <w:t>4. 《人员投入计划》</w:t>
      </w:r>
    </w:p>
    <w:p w14:paraId="59A2D67A">
      <w:pPr>
        <w:spacing w:after="70" w:line="330" w:lineRule="auto"/>
        <w:ind w:left="420" w:hanging="260"/>
        <w:rPr>
          <w:rFonts w:hint="eastAsia" w:ascii="宋体" w:hAnsi="宋体" w:eastAsia="宋体" w:cs="宋体"/>
        </w:rPr>
      </w:pPr>
      <w:r>
        <w:rPr>
          <w:rFonts w:hint="eastAsia" w:ascii="宋体" w:hAnsi="宋体" w:eastAsia="宋体" w:cs="宋体"/>
          <w:color w:val="1F2937"/>
        </w:rPr>
        <w:t>5. 《阶段交付清单》</w:t>
      </w:r>
    </w:p>
    <w:p w14:paraId="5E93FFBD">
      <w:pPr>
        <w:spacing w:after="70" w:line="330" w:lineRule="auto"/>
        <w:ind w:left="420" w:hanging="260"/>
        <w:rPr>
          <w:rFonts w:hint="eastAsia" w:ascii="宋体" w:hAnsi="宋体" w:eastAsia="宋体" w:cs="宋体"/>
        </w:rPr>
      </w:pPr>
      <w:r>
        <w:rPr>
          <w:rFonts w:hint="eastAsia" w:ascii="宋体" w:hAnsi="宋体" w:eastAsia="宋体" w:cs="宋体"/>
          <w:color w:val="1F2937"/>
        </w:rPr>
        <w:t>6. 《项目周报》</w:t>
      </w:r>
    </w:p>
    <w:p w14:paraId="442477BD">
      <w:pPr>
        <w:pStyle w:val="5"/>
        <w:bidi w:val="0"/>
        <w:rPr>
          <w:rFonts w:hint="eastAsia" w:ascii="宋体" w:hAnsi="宋体" w:eastAsia="宋体" w:cs="宋体"/>
          <w:b w:val="0"/>
          <w:bCs/>
          <w:lang w:val="en-US" w:eastAsia="zh-CN"/>
        </w:rPr>
      </w:pPr>
      <w:r>
        <w:rPr>
          <w:rFonts w:hint="eastAsia" w:cs="宋体"/>
          <w:b w:val="0"/>
          <w:bCs/>
          <w:lang w:val="en-US" w:eastAsia="zh-CN"/>
        </w:rPr>
        <w:t>11.6</w:t>
      </w:r>
      <w:r>
        <w:rPr>
          <w:rFonts w:hint="eastAsia" w:ascii="宋体" w:hAnsi="宋体" w:eastAsia="宋体" w:cs="宋体"/>
          <w:b w:val="0"/>
          <w:bCs/>
          <w:lang w:val="en-US" w:eastAsia="zh-CN"/>
        </w:rPr>
        <w:t>.3 REQM 需求管理实施方案</w:t>
      </w:r>
    </w:p>
    <w:p w14:paraId="24171C70">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.3.1 管理原则</w:t>
      </w:r>
    </w:p>
    <w:p w14:paraId="7502CAAE">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需求管理以“逐项确认、形成基线、变更留痕、需求可追踪”为原则。所有需求均与采购文件、需求文档、会议纪要、原型图和功能清单建立对应关系，确保评审和验收时可以回溯“为什么做、做了什么、做到什么程度”。</w:t>
      </w:r>
    </w:p>
    <w:p w14:paraId="36EF4AA9">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.3.2 实施步骤</w:t>
      </w:r>
    </w:p>
    <w:p w14:paraId="414B47BA">
      <w:pPr>
        <w:spacing w:after="70" w:line="330" w:lineRule="auto"/>
        <w:ind w:left="420" w:hanging="260"/>
        <w:rPr>
          <w:rFonts w:hint="eastAsia" w:ascii="宋体" w:hAnsi="宋体" w:eastAsia="宋体" w:cs="宋体"/>
        </w:rPr>
      </w:pPr>
      <w:r>
        <w:rPr>
          <w:rFonts w:hint="eastAsia" w:ascii="宋体" w:hAnsi="宋体" w:eastAsia="宋体" w:cs="宋体"/>
          <w:color w:val="1F2937"/>
        </w:rPr>
        <w:t>1. 需求澄清：按功能模块和角色组织逐项澄清。</w:t>
      </w:r>
    </w:p>
    <w:p w14:paraId="7FDB3F58">
      <w:pPr>
        <w:spacing w:after="70" w:line="330" w:lineRule="auto"/>
        <w:ind w:left="420" w:hanging="260"/>
        <w:rPr>
          <w:rFonts w:hint="eastAsia" w:ascii="宋体" w:hAnsi="宋体" w:eastAsia="宋体" w:cs="宋体"/>
        </w:rPr>
      </w:pPr>
      <w:r>
        <w:rPr>
          <w:rFonts w:hint="eastAsia" w:ascii="宋体" w:hAnsi="宋体" w:eastAsia="宋体" w:cs="宋体"/>
          <w:color w:val="1F2937"/>
        </w:rPr>
        <w:t>2. 场景梳理：对核心场景绘制流程和用例。</w:t>
      </w:r>
    </w:p>
    <w:p w14:paraId="324B4B27">
      <w:pPr>
        <w:spacing w:after="70" w:line="330" w:lineRule="auto"/>
        <w:ind w:left="420" w:hanging="260"/>
        <w:rPr>
          <w:rFonts w:hint="eastAsia" w:ascii="宋体" w:hAnsi="宋体" w:eastAsia="宋体" w:cs="宋体"/>
        </w:rPr>
      </w:pPr>
      <w:r>
        <w:rPr>
          <w:rFonts w:hint="eastAsia" w:ascii="宋体" w:hAnsi="宋体" w:eastAsia="宋体" w:cs="宋体"/>
          <w:color w:val="1F2937"/>
        </w:rPr>
        <w:t>3. 字段确认：确认合同、派单、设备、人员、培训考试等字段来源、格式、必填规则和展示规则。</w:t>
      </w:r>
    </w:p>
    <w:p w14:paraId="2D4EFD14">
      <w:pPr>
        <w:spacing w:after="70" w:line="330" w:lineRule="auto"/>
        <w:ind w:left="420" w:hanging="260"/>
        <w:rPr>
          <w:rFonts w:hint="eastAsia" w:ascii="宋体" w:hAnsi="宋体" w:eastAsia="宋体" w:cs="宋体"/>
        </w:rPr>
      </w:pPr>
      <w:r>
        <w:rPr>
          <w:rFonts w:hint="eastAsia" w:ascii="宋体" w:hAnsi="宋体" w:eastAsia="宋体" w:cs="宋体"/>
          <w:color w:val="1F2937"/>
        </w:rPr>
        <w:t>4. 权限确认：确认项目总监、监造人员、供应商、档案管理员、系统管理员等角色权限。</w:t>
      </w:r>
    </w:p>
    <w:p w14:paraId="7F75223A">
      <w:pPr>
        <w:spacing w:after="70" w:line="330" w:lineRule="auto"/>
        <w:ind w:left="420" w:hanging="260"/>
        <w:rPr>
          <w:rFonts w:hint="eastAsia" w:ascii="宋体" w:hAnsi="宋体" w:eastAsia="宋体" w:cs="宋体"/>
        </w:rPr>
      </w:pPr>
      <w:r>
        <w:rPr>
          <w:rFonts w:hint="eastAsia" w:ascii="宋体" w:hAnsi="宋体" w:eastAsia="宋体" w:cs="宋体"/>
          <w:color w:val="1F2937"/>
        </w:rPr>
        <w:t>5. 接口确认：确认各模块与第三方系统之间的数据范围和同步频率。</w:t>
      </w:r>
    </w:p>
    <w:p w14:paraId="45AAF93C">
      <w:pPr>
        <w:spacing w:after="70" w:line="330" w:lineRule="auto"/>
        <w:ind w:left="420" w:hanging="260"/>
        <w:rPr>
          <w:rFonts w:hint="eastAsia" w:ascii="宋体" w:hAnsi="宋体" w:eastAsia="宋体" w:cs="宋体"/>
        </w:rPr>
      </w:pPr>
      <w:r>
        <w:rPr>
          <w:rFonts w:hint="eastAsia" w:ascii="宋体" w:hAnsi="宋体" w:eastAsia="宋体" w:cs="宋体"/>
          <w:color w:val="1F2937"/>
        </w:rPr>
        <w:t>6. 基线确认：形成冻结版需求清单、功能清单和排期表，经甲方确认后执行。</w:t>
      </w:r>
    </w:p>
    <w:p w14:paraId="72B9D718">
      <w:pPr>
        <w:spacing w:after="70" w:line="330" w:lineRule="auto"/>
        <w:ind w:left="420" w:hanging="260"/>
        <w:rPr>
          <w:rFonts w:hint="eastAsia" w:ascii="宋体" w:hAnsi="宋体" w:eastAsia="宋体" w:cs="宋体"/>
        </w:rPr>
      </w:pPr>
      <w:r>
        <w:rPr>
          <w:rFonts w:hint="eastAsia" w:ascii="宋体" w:hAnsi="宋体" w:eastAsia="宋体" w:cs="宋体"/>
          <w:color w:val="1F2937"/>
        </w:rPr>
        <w:t>7. 变更控制：新增模块、重大流程重构和范围外集成进入书面变更流程。</w:t>
      </w:r>
    </w:p>
    <w:p w14:paraId="6D62A5FE">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.3.3 输出成果</w:t>
      </w:r>
    </w:p>
    <w:p w14:paraId="4572EDBB">
      <w:pPr>
        <w:spacing w:after="70" w:line="330" w:lineRule="auto"/>
        <w:ind w:left="420" w:hanging="260"/>
        <w:rPr>
          <w:rFonts w:hint="eastAsia" w:ascii="宋体" w:hAnsi="宋体" w:eastAsia="宋体" w:cs="宋体"/>
        </w:rPr>
      </w:pPr>
      <w:r>
        <w:rPr>
          <w:rFonts w:hint="eastAsia" w:ascii="宋体" w:hAnsi="宋体" w:eastAsia="宋体" w:cs="宋体"/>
          <w:color w:val="1F2937"/>
        </w:rPr>
        <w:t>1. 《需求确认单》</w:t>
      </w:r>
    </w:p>
    <w:p w14:paraId="5671A9C0">
      <w:pPr>
        <w:spacing w:after="70" w:line="330" w:lineRule="auto"/>
        <w:ind w:left="420" w:hanging="260"/>
        <w:rPr>
          <w:rFonts w:hint="eastAsia" w:ascii="宋体" w:hAnsi="宋体" w:eastAsia="宋体" w:cs="宋体"/>
        </w:rPr>
      </w:pPr>
      <w:r>
        <w:rPr>
          <w:rFonts w:hint="eastAsia" w:ascii="宋体" w:hAnsi="宋体" w:eastAsia="宋体" w:cs="宋体"/>
          <w:color w:val="1F2937"/>
        </w:rPr>
        <w:t>2. 《功能清单及排期表》</w:t>
      </w:r>
    </w:p>
    <w:p w14:paraId="0064E5DC">
      <w:pPr>
        <w:spacing w:after="70" w:line="330" w:lineRule="auto"/>
        <w:ind w:left="420" w:hanging="260"/>
        <w:rPr>
          <w:rFonts w:hint="eastAsia" w:ascii="宋体" w:hAnsi="宋体" w:eastAsia="宋体" w:cs="宋体"/>
        </w:rPr>
      </w:pPr>
      <w:r>
        <w:rPr>
          <w:rFonts w:hint="eastAsia" w:ascii="宋体" w:hAnsi="宋体" w:eastAsia="宋体" w:cs="宋体"/>
          <w:color w:val="1F2937"/>
        </w:rPr>
        <w:t>3. 《需求追踪矩阵》</w:t>
      </w:r>
    </w:p>
    <w:p w14:paraId="76A52B03">
      <w:pPr>
        <w:spacing w:after="70" w:line="330" w:lineRule="auto"/>
        <w:ind w:left="420" w:hanging="260"/>
        <w:rPr>
          <w:rFonts w:hint="eastAsia" w:ascii="宋体" w:hAnsi="宋体" w:eastAsia="宋体" w:cs="宋体"/>
        </w:rPr>
      </w:pPr>
      <w:r>
        <w:rPr>
          <w:rFonts w:hint="eastAsia" w:ascii="宋体" w:hAnsi="宋体" w:eastAsia="宋体" w:cs="宋体"/>
          <w:color w:val="1F2937"/>
        </w:rPr>
        <w:t>4. 《字段字典》</w:t>
      </w:r>
    </w:p>
    <w:p w14:paraId="65ECFD69">
      <w:pPr>
        <w:spacing w:after="70" w:line="330" w:lineRule="auto"/>
        <w:ind w:left="420" w:hanging="260"/>
        <w:rPr>
          <w:rFonts w:hint="eastAsia" w:ascii="宋体" w:hAnsi="宋体" w:eastAsia="宋体" w:cs="宋体"/>
        </w:rPr>
      </w:pPr>
      <w:r>
        <w:rPr>
          <w:rFonts w:hint="eastAsia" w:ascii="宋体" w:hAnsi="宋体" w:eastAsia="宋体" w:cs="宋体"/>
          <w:color w:val="1F2937"/>
        </w:rPr>
        <w:t>5. 《权限矩阵》</w:t>
      </w:r>
    </w:p>
    <w:p w14:paraId="4273692F">
      <w:pPr>
        <w:spacing w:after="70" w:line="330" w:lineRule="auto"/>
        <w:ind w:left="420" w:hanging="260"/>
        <w:rPr>
          <w:rFonts w:hint="eastAsia" w:ascii="宋体" w:hAnsi="宋体" w:eastAsia="宋体" w:cs="宋体"/>
        </w:rPr>
      </w:pPr>
      <w:r>
        <w:rPr>
          <w:rFonts w:hint="eastAsia" w:ascii="宋体" w:hAnsi="宋体" w:eastAsia="宋体" w:cs="宋体"/>
          <w:color w:val="1F2937"/>
        </w:rPr>
        <w:t>6. 《接口确认表》</w:t>
      </w:r>
    </w:p>
    <w:p w14:paraId="14552E2A">
      <w:pPr>
        <w:spacing w:after="70" w:line="330" w:lineRule="auto"/>
        <w:ind w:left="420" w:hanging="260"/>
        <w:rPr>
          <w:rFonts w:hint="eastAsia" w:ascii="宋体" w:hAnsi="宋体" w:eastAsia="宋体" w:cs="宋体"/>
        </w:rPr>
      </w:pPr>
      <w:r>
        <w:rPr>
          <w:rFonts w:hint="eastAsia" w:ascii="宋体" w:hAnsi="宋体" w:eastAsia="宋体" w:cs="宋体"/>
          <w:color w:val="1F2937"/>
        </w:rPr>
        <w:t>7. 《变更台账》</w:t>
      </w:r>
    </w:p>
    <w:p w14:paraId="795AAA0C">
      <w:pPr>
        <w:pStyle w:val="5"/>
        <w:bidi w:val="0"/>
        <w:rPr>
          <w:rFonts w:hint="eastAsia" w:ascii="宋体" w:hAnsi="宋体" w:eastAsia="宋体" w:cs="宋体"/>
          <w:b w:val="0"/>
          <w:bCs/>
          <w:lang w:val="en-US" w:eastAsia="zh-CN"/>
        </w:rPr>
      </w:pPr>
      <w:r>
        <w:rPr>
          <w:rFonts w:hint="eastAsia" w:cs="宋体"/>
          <w:b w:val="0"/>
          <w:bCs/>
          <w:lang w:val="en-US" w:eastAsia="zh-CN"/>
        </w:rPr>
        <w:t>11.6</w:t>
      </w:r>
      <w:r>
        <w:rPr>
          <w:rFonts w:hint="eastAsia" w:ascii="宋体" w:hAnsi="宋体" w:eastAsia="宋体" w:cs="宋体"/>
          <w:b w:val="0"/>
          <w:bCs/>
          <w:lang w:val="en-US" w:eastAsia="zh-CN"/>
        </w:rPr>
        <w:t>.4 TS 技术解决方案评审方案</w:t>
      </w:r>
    </w:p>
    <w:p w14:paraId="0D4CB356">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技术设计阶段将总体架构、分系统架构、接口、数据、安全、性能和部署方案纳入评审。评审结论作为开发、测试、上线和验收依据，而不是仅作为内部存档材料。</w:t>
      </w:r>
    </w:p>
    <w:p w14:paraId="1DBDBD62">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.4.1 评审对象与评审重点</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3"/>
        <w:gridCol w:w="3261"/>
        <w:gridCol w:w="2642"/>
        <w:gridCol w:w="2016"/>
      </w:tblGrid>
      <w:tr w14:paraId="57CE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48"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D0C1257">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评审对象</w:t>
            </w:r>
          </w:p>
        </w:tc>
        <w:tc>
          <w:tcPr>
            <w:tcW w:w="17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F9C4A05">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评审内容</w:t>
            </w:r>
          </w:p>
        </w:tc>
        <w:tc>
          <w:tcPr>
            <w:tcW w:w="1418"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B46DC60">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评审重点</w:t>
            </w:r>
          </w:p>
        </w:tc>
        <w:tc>
          <w:tcPr>
            <w:tcW w:w="1082"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F798FF7">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输出材料</w:t>
            </w:r>
          </w:p>
        </w:tc>
      </w:tr>
      <w:tr w14:paraId="3024A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1B5C03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总体架构</w:t>
            </w:r>
          </w:p>
        </w:tc>
        <w:tc>
          <w:tcPr>
            <w:tcW w:w="17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0F082B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各模块之间关系、数据与信息传递机制</w:t>
            </w:r>
          </w:p>
        </w:tc>
        <w:tc>
          <w:tcPr>
            <w:tcW w:w="141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7F9A54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系统边界、数据流向、扩展性</w:t>
            </w:r>
          </w:p>
        </w:tc>
        <w:tc>
          <w:tcPr>
            <w:tcW w:w="108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23C0FF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总体架构设计说明</w:t>
            </w:r>
          </w:p>
        </w:tc>
      </w:tr>
      <w:tr w14:paraId="63D2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06FD02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各模块设计</w:t>
            </w:r>
          </w:p>
        </w:tc>
        <w:tc>
          <w:tcPr>
            <w:tcW w:w="17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664665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功能完整性、状态流转、审批逻辑</w:t>
            </w:r>
          </w:p>
        </w:tc>
        <w:tc>
          <w:tcPr>
            <w:tcW w:w="141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6C9B4B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逻辑正确性、闭环性</w:t>
            </w:r>
          </w:p>
        </w:tc>
        <w:tc>
          <w:tcPr>
            <w:tcW w:w="108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FB38F7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详细设计说明</w:t>
            </w:r>
          </w:p>
        </w:tc>
      </w:tr>
      <w:tr w14:paraId="079DF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2F8AC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接口设计</w:t>
            </w:r>
          </w:p>
        </w:tc>
        <w:tc>
          <w:tcPr>
            <w:tcW w:w="17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F39F2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字段、鉴权、错误码、同步机制</w:t>
            </w:r>
          </w:p>
        </w:tc>
        <w:tc>
          <w:tcPr>
            <w:tcW w:w="141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780965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可联调、可追踪</w:t>
            </w:r>
          </w:p>
        </w:tc>
        <w:tc>
          <w:tcPr>
            <w:tcW w:w="108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9B411A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接口文档</w:t>
            </w:r>
          </w:p>
        </w:tc>
      </w:tr>
      <w:tr w14:paraId="6898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C5D45C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安全设计</w:t>
            </w:r>
          </w:p>
        </w:tc>
        <w:tc>
          <w:tcPr>
            <w:tcW w:w="17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2C519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认证、授权、加密、日志、漏洞整改</w:t>
            </w:r>
          </w:p>
        </w:tc>
        <w:tc>
          <w:tcPr>
            <w:tcW w:w="141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613420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能通过测评和检测</w:t>
            </w:r>
          </w:p>
        </w:tc>
        <w:tc>
          <w:tcPr>
            <w:tcW w:w="108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A7D361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安全设计说明</w:t>
            </w:r>
          </w:p>
        </w:tc>
      </w:tr>
      <w:tr w14:paraId="71F1E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780A39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性能设计</w:t>
            </w:r>
          </w:p>
        </w:tc>
        <w:tc>
          <w:tcPr>
            <w:tcW w:w="17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4B1A89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并发、统计、附件、容量和扩容</w:t>
            </w:r>
          </w:p>
        </w:tc>
        <w:tc>
          <w:tcPr>
            <w:tcW w:w="141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B1FDD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能达标、可调优</w:t>
            </w:r>
          </w:p>
        </w:tc>
        <w:tc>
          <w:tcPr>
            <w:tcW w:w="108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3BE8A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性能设计说明</w:t>
            </w:r>
          </w:p>
        </w:tc>
      </w:tr>
    </w:tbl>
    <w:p w14:paraId="08D5B5AE">
      <w:pPr>
        <w:spacing w:after="100"/>
        <w:rPr>
          <w:rFonts w:hint="eastAsia" w:ascii="宋体" w:hAnsi="宋体" w:eastAsia="宋体" w:cs="宋体"/>
        </w:rPr>
      </w:pPr>
    </w:p>
    <w:p w14:paraId="36560354">
      <w:pPr>
        <w:pStyle w:val="5"/>
        <w:bidi w:val="0"/>
        <w:rPr>
          <w:rFonts w:hint="eastAsia" w:ascii="宋体" w:hAnsi="宋体" w:eastAsia="宋体" w:cs="宋体"/>
          <w:b w:val="0"/>
          <w:bCs/>
          <w:lang w:val="en-US" w:eastAsia="zh-CN"/>
        </w:rPr>
      </w:pPr>
      <w:r>
        <w:rPr>
          <w:rFonts w:hint="eastAsia" w:cs="宋体"/>
          <w:b w:val="0"/>
          <w:bCs/>
          <w:lang w:val="en-US" w:eastAsia="zh-CN"/>
        </w:rPr>
        <w:t>11.6</w:t>
      </w:r>
      <w:r>
        <w:rPr>
          <w:rFonts w:hint="eastAsia" w:ascii="宋体" w:hAnsi="宋体" w:eastAsia="宋体" w:cs="宋体"/>
          <w:b w:val="0"/>
          <w:bCs/>
          <w:lang w:val="en-US" w:eastAsia="zh-CN"/>
        </w:rPr>
        <w:t>.5 PI 产品集成与联调方案</w:t>
      </w:r>
    </w:p>
    <w:p w14:paraId="134CE78C">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.5.1 集成原则</w:t>
      </w:r>
    </w:p>
    <w:p w14:paraId="5CDF5ECE">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产品集成按“先单模块自测、再接口联调、再业务链路联调、最后全系统验收”的顺序执行，避免一开始就大面积并行联调导致问题不可控。</w:t>
      </w:r>
    </w:p>
    <w:p w14:paraId="66BA357A">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.5.2 联调步骤</w:t>
      </w:r>
    </w:p>
    <w:p w14:paraId="2ECE61FD">
      <w:pPr>
        <w:spacing w:after="70" w:line="330" w:lineRule="auto"/>
        <w:ind w:left="420" w:hanging="260"/>
        <w:rPr>
          <w:rFonts w:hint="eastAsia" w:ascii="宋体" w:hAnsi="宋体" w:eastAsia="宋体" w:cs="宋体"/>
        </w:rPr>
      </w:pPr>
      <w:r>
        <w:rPr>
          <w:rFonts w:hint="eastAsia" w:ascii="宋体" w:hAnsi="宋体" w:eastAsia="宋体" w:cs="宋体"/>
          <w:color w:val="1F2937"/>
        </w:rPr>
        <w:t>1. 单模块集成：各模块分别完成模块内部功能和数据库脚本集成。</w:t>
      </w:r>
    </w:p>
    <w:p w14:paraId="7B228633">
      <w:pPr>
        <w:spacing w:after="70" w:line="330" w:lineRule="auto"/>
        <w:ind w:left="420" w:hanging="260"/>
        <w:rPr>
          <w:rFonts w:hint="eastAsia" w:ascii="宋体" w:hAnsi="宋体" w:eastAsia="宋体" w:cs="宋体"/>
        </w:rPr>
      </w:pPr>
      <w:r>
        <w:rPr>
          <w:rFonts w:hint="eastAsia" w:ascii="宋体" w:hAnsi="宋体" w:eastAsia="宋体" w:cs="宋体"/>
          <w:color w:val="1F2937"/>
        </w:rPr>
        <w:t>2. 接口联调：按接口清单逐项联调。</w:t>
      </w:r>
    </w:p>
    <w:p w14:paraId="68416B84">
      <w:pPr>
        <w:spacing w:after="70" w:line="330" w:lineRule="auto"/>
        <w:ind w:left="420" w:hanging="260"/>
        <w:rPr>
          <w:rFonts w:hint="eastAsia" w:ascii="宋体" w:hAnsi="宋体" w:eastAsia="宋体" w:cs="宋体"/>
        </w:rPr>
      </w:pPr>
      <w:r>
        <w:rPr>
          <w:rFonts w:hint="eastAsia" w:ascii="宋体" w:hAnsi="宋体" w:eastAsia="宋体" w:cs="宋体"/>
          <w:color w:val="1F2937"/>
        </w:rPr>
        <w:t>3. 业务链路联调：按任务、策划、计划、见证、问题、验收、放行等主链路逐项验证。</w:t>
      </w:r>
    </w:p>
    <w:p w14:paraId="49E34EF8">
      <w:pPr>
        <w:spacing w:after="70" w:line="330" w:lineRule="auto"/>
        <w:ind w:left="420" w:hanging="260"/>
        <w:rPr>
          <w:rFonts w:hint="eastAsia" w:ascii="宋体" w:hAnsi="宋体" w:eastAsia="宋体" w:cs="宋体"/>
        </w:rPr>
      </w:pPr>
      <w:r>
        <w:rPr>
          <w:rFonts w:hint="eastAsia" w:ascii="宋体" w:hAnsi="宋体" w:eastAsia="宋体" w:cs="宋体"/>
          <w:color w:val="1F2937"/>
        </w:rPr>
        <w:t>4. 数据一致性校验：对合同编号、派单编号、人员账号、业务主键、消息编号等关键字段做一致性比对。</w:t>
      </w:r>
    </w:p>
    <w:p w14:paraId="17CAF88C">
      <w:pPr>
        <w:spacing w:after="70" w:line="330" w:lineRule="auto"/>
        <w:ind w:left="420" w:hanging="260"/>
        <w:rPr>
          <w:rFonts w:hint="eastAsia" w:ascii="宋体" w:hAnsi="宋体" w:eastAsia="宋体" w:cs="宋体"/>
        </w:rPr>
      </w:pPr>
      <w:r>
        <w:rPr>
          <w:rFonts w:hint="eastAsia" w:ascii="宋体" w:hAnsi="宋体" w:eastAsia="宋体" w:cs="宋体"/>
          <w:color w:val="1F2937"/>
        </w:rPr>
        <w:t>5. 异常补偿验证：模拟接口失败、重复推送、同步中断、导出失败等场景，验证重试和补偿机制。</w:t>
      </w:r>
    </w:p>
    <w:p w14:paraId="1DCFFBE7">
      <w:pPr>
        <w:spacing w:after="70" w:line="330" w:lineRule="auto"/>
        <w:ind w:left="420" w:hanging="260"/>
        <w:rPr>
          <w:rFonts w:hint="eastAsia" w:ascii="宋体" w:hAnsi="宋体" w:eastAsia="宋体" w:cs="宋体"/>
        </w:rPr>
      </w:pPr>
      <w:r>
        <w:rPr>
          <w:rFonts w:hint="eastAsia" w:ascii="宋体" w:hAnsi="宋体" w:eastAsia="宋体" w:cs="宋体"/>
          <w:color w:val="1F2937"/>
        </w:rPr>
        <w:t>6. 联调问题闭环：所有联调问题进入缺陷台账，记录责任人、修复措施、复测结果和关闭时间。</w:t>
      </w:r>
    </w:p>
    <w:p w14:paraId="67CBBB49">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.5.3 输出成果</w:t>
      </w:r>
    </w:p>
    <w:p w14:paraId="2E5958EF">
      <w:pPr>
        <w:spacing w:after="70" w:line="330" w:lineRule="auto"/>
        <w:ind w:left="420" w:hanging="260"/>
        <w:rPr>
          <w:rFonts w:hint="eastAsia" w:ascii="宋体" w:hAnsi="宋体" w:eastAsia="宋体" w:cs="宋体"/>
        </w:rPr>
      </w:pPr>
      <w:r>
        <w:rPr>
          <w:rFonts w:hint="eastAsia" w:ascii="宋体" w:hAnsi="宋体" w:eastAsia="宋体" w:cs="宋体"/>
          <w:color w:val="1F2937"/>
        </w:rPr>
        <w:t>1. 《联调计划》</w:t>
      </w:r>
    </w:p>
    <w:p w14:paraId="1A2654A2">
      <w:pPr>
        <w:spacing w:after="70" w:line="330" w:lineRule="auto"/>
        <w:ind w:left="420" w:hanging="260"/>
        <w:rPr>
          <w:rFonts w:hint="eastAsia" w:ascii="宋体" w:hAnsi="宋体" w:eastAsia="宋体" w:cs="宋体"/>
        </w:rPr>
      </w:pPr>
      <w:r>
        <w:rPr>
          <w:rFonts w:hint="eastAsia" w:ascii="宋体" w:hAnsi="宋体" w:eastAsia="宋体" w:cs="宋体"/>
          <w:color w:val="1F2937"/>
        </w:rPr>
        <w:t>2. 《接口联调记录》</w:t>
      </w:r>
    </w:p>
    <w:p w14:paraId="750F52B5">
      <w:pPr>
        <w:spacing w:after="70" w:line="330" w:lineRule="auto"/>
        <w:ind w:left="420" w:hanging="260"/>
        <w:rPr>
          <w:rFonts w:hint="eastAsia" w:ascii="宋体" w:hAnsi="宋体" w:eastAsia="宋体" w:cs="宋体"/>
        </w:rPr>
      </w:pPr>
      <w:r>
        <w:rPr>
          <w:rFonts w:hint="eastAsia" w:ascii="宋体" w:hAnsi="宋体" w:eastAsia="宋体" w:cs="宋体"/>
          <w:color w:val="1F2937"/>
        </w:rPr>
        <w:t>3. 《端到端业务链路验证记录》</w:t>
      </w:r>
    </w:p>
    <w:p w14:paraId="6B29E660">
      <w:pPr>
        <w:spacing w:after="70" w:line="330" w:lineRule="auto"/>
        <w:ind w:left="420" w:hanging="260"/>
        <w:rPr>
          <w:rFonts w:hint="eastAsia" w:ascii="宋体" w:hAnsi="宋体" w:eastAsia="宋体" w:cs="宋体"/>
        </w:rPr>
      </w:pPr>
      <w:r>
        <w:rPr>
          <w:rFonts w:hint="eastAsia" w:ascii="宋体" w:hAnsi="宋体" w:eastAsia="宋体" w:cs="宋体"/>
          <w:color w:val="1F2937"/>
        </w:rPr>
        <w:t>4. 《数据一致性核验表》</w:t>
      </w:r>
    </w:p>
    <w:p w14:paraId="5B60B7B8">
      <w:pPr>
        <w:spacing w:after="70" w:line="330" w:lineRule="auto"/>
        <w:ind w:left="420" w:hanging="260"/>
        <w:rPr>
          <w:rFonts w:hint="eastAsia" w:ascii="宋体" w:hAnsi="宋体" w:eastAsia="宋体" w:cs="宋体"/>
        </w:rPr>
      </w:pPr>
      <w:r>
        <w:rPr>
          <w:rFonts w:hint="eastAsia" w:ascii="宋体" w:hAnsi="宋体" w:eastAsia="宋体" w:cs="宋体"/>
          <w:color w:val="1F2937"/>
        </w:rPr>
        <w:t>5. 《联调缺陷清单》</w:t>
      </w:r>
    </w:p>
    <w:p w14:paraId="4F621F35">
      <w:pPr>
        <w:pStyle w:val="5"/>
        <w:bidi w:val="0"/>
        <w:rPr>
          <w:rFonts w:hint="eastAsia" w:ascii="宋体" w:hAnsi="宋体" w:eastAsia="宋体" w:cs="宋体"/>
          <w:b w:val="0"/>
          <w:bCs/>
          <w:lang w:val="en-US" w:eastAsia="zh-CN"/>
        </w:rPr>
      </w:pPr>
      <w:r>
        <w:rPr>
          <w:rFonts w:hint="eastAsia" w:cs="宋体"/>
          <w:b w:val="0"/>
          <w:bCs/>
          <w:lang w:val="en-US" w:eastAsia="zh-CN"/>
        </w:rPr>
        <w:t>11.6</w:t>
      </w:r>
      <w:r>
        <w:rPr>
          <w:rFonts w:hint="eastAsia" w:ascii="宋体" w:hAnsi="宋体" w:eastAsia="宋体" w:cs="宋体"/>
          <w:b w:val="0"/>
          <w:bCs/>
          <w:lang w:val="en-US" w:eastAsia="zh-CN"/>
        </w:rPr>
        <w:t>.6 VER 验证与测试方案</w:t>
      </w:r>
    </w:p>
    <w:p w14:paraId="4D536E0A">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.6.1 测试范围</w:t>
      </w:r>
    </w:p>
    <w:p w14:paraId="5D204800">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测试范围覆盖各模块功能、跨模块流程、外部接口、统计报表、二维码、图文识别、培训考试、权限控制、日志审计、性能和安全能力，不允许只测试单页面、不测试跨流程。</w:t>
      </w:r>
    </w:p>
    <w:p w14:paraId="6C166B64">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.6.2 测试类型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4"/>
        <w:gridCol w:w="3104"/>
        <w:gridCol w:w="3104"/>
      </w:tblGrid>
      <w:tr w14:paraId="09F2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96F28A5">
            <w:pPr>
              <w:spacing w:after="0" w:line="300" w:lineRule="auto"/>
              <w:rPr>
                <w:rFonts w:hint="eastAsia" w:ascii="宋体" w:hAnsi="宋体" w:eastAsia="宋体" w:cs="宋体"/>
              </w:rPr>
            </w:pPr>
            <w:r>
              <w:rPr>
                <w:rFonts w:hint="eastAsia" w:ascii="宋体" w:hAnsi="宋体" w:eastAsia="宋体" w:cs="宋体"/>
                <w:b/>
                <w:bCs/>
                <w:color w:val="172033"/>
                <w:sz w:val="18"/>
                <w:szCs w:val="18"/>
              </w:rPr>
              <w:t>测试类型</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45EC140">
            <w:pPr>
              <w:spacing w:after="0" w:line="300" w:lineRule="auto"/>
              <w:rPr>
                <w:rFonts w:hint="eastAsia" w:ascii="宋体" w:hAnsi="宋体" w:eastAsia="宋体" w:cs="宋体"/>
              </w:rPr>
            </w:pPr>
            <w:r>
              <w:rPr>
                <w:rFonts w:hint="eastAsia" w:ascii="宋体" w:hAnsi="宋体" w:eastAsia="宋体" w:cs="宋体"/>
                <w:b/>
                <w:bCs/>
                <w:color w:val="172033"/>
                <w:sz w:val="18"/>
                <w:szCs w:val="18"/>
              </w:rPr>
              <w:t>测试内容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F502404">
            <w:pPr>
              <w:spacing w:after="0" w:line="300" w:lineRule="auto"/>
              <w:rPr>
                <w:rFonts w:hint="eastAsia" w:ascii="宋体" w:hAnsi="宋体" w:eastAsia="宋体" w:cs="宋体"/>
              </w:rPr>
            </w:pPr>
            <w:r>
              <w:rPr>
                <w:rFonts w:hint="eastAsia" w:ascii="宋体" w:hAnsi="宋体" w:eastAsia="宋体" w:cs="宋体"/>
                <w:b/>
                <w:bCs/>
                <w:color w:val="172033"/>
                <w:sz w:val="18"/>
                <w:szCs w:val="18"/>
              </w:rPr>
              <w:t>达标要求</w:t>
            </w:r>
          </w:p>
        </w:tc>
      </w:tr>
      <w:tr w14:paraId="30D3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24E6BA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功能测试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0DD4AD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各模块功能、页面交互、查询筛选、导入导出、审批流、权限、报表</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787252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用例执行率 100%，通过率不低于 95%</w:t>
            </w:r>
          </w:p>
        </w:tc>
      </w:tr>
      <w:tr w14:paraId="5B64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09C061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接口测试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503FF1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参数、鉴权、返回、错误码、幂等、重试、补偿、日志</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71F158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接口文档与实际一致，异常可追踪</w:t>
            </w:r>
          </w:p>
        </w:tc>
      </w:tr>
      <w:tr w14:paraId="6DF6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44376F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性能测试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7CFC47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并发访问、响应时间、报表查询、附件上传下载</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B458E2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满足招标要求和试运行要求</w:t>
            </w:r>
          </w:p>
        </w:tc>
      </w:tr>
      <w:tr w14:paraId="36EA5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E78FB4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安全测试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D1E22C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口令策略、权限越权、日志留痕、常见漏洞</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D2C239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不存在高危中危漏洞遗留</w:t>
            </w:r>
          </w:p>
        </w:tc>
      </w:tr>
      <w:tr w14:paraId="2F120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59961A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兼容性测试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2F8708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国产浏览器、操作系统和移动访问场景</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D97D81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关键业务可稳定运行</w:t>
            </w:r>
          </w:p>
        </w:tc>
      </w:tr>
    </w:tbl>
    <w:p w14:paraId="666041B2">
      <w:pPr>
        <w:spacing w:after="100"/>
        <w:rPr>
          <w:rFonts w:hint="eastAsia" w:ascii="宋体" w:hAnsi="宋体" w:eastAsia="宋体" w:cs="宋体"/>
        </w:rPr>
      </w:pPr>
    </w:p>
    <w:p w14:paraId="4DB4DE93">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.6.3 缺陷闭环流程</w:t>
      </w:r>
    </w:p>
    <w:p w14:paraId="5862C055">
      <w:pPr>
        <w:spacing w:before="180" w:after="80"/>
        <w:jc w:val="center"/>
        <w:rPr>
          <w:rFonts w:hint="eastAsia" w:ascii="宋体" w:hAnsi="宋体" w:eastAsia="宋体" w:cs="宋体"/>
        </w:rPr>
      </w:pPr>
      <w:r>
        <w:rPr>
          <w:rFonts w:hint="eastAsia" w:ascii="宋体" w:hAnsi="宋体" w:eastAsia="宋体" w:cs="宋体"/>
        </w:rPr>
        <w:drawing>
          <wp:inline distT="0" distB="0" distL="0" distR="0">
            <wp:extent cx="3914775" cy="5905500"/>
            <wp:effectExtent l="0" t="0" r="381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5"/>
                    <a:srcRect/>
                    <a:stretch>
                      <a:fillRect/>
                    </a:stretch>
                  </pic:blipFill>
                  <pic:spPr>
                    <a:xfrm>
                      <a:off x="0" y="0"/>
                      <a:ext cx="3914775" cy="5905500"/>
                    </a:xfrm>
                    <a:prstGeom prst="rect">
                      <a:avLst/>
                    </a:prstGeom>
                  </pic:spPr>
                </pic:pic>
              </a:graphicData>
            </a:graphic>
          </wp:inline>
        </w:drawing>
      </w:r>
    </w:p>
    <w:p w14:paraId="6AC52C49">
      <w:pPr>
        <w:pStyle w:val="11"/>
        <w:spacing w:after="120" w:line="360" w:lineRule="auto"/>
        <w:jc w:val="center"/>
        <w:rPr>
          <w:rFonts w:hint="eastAsia" w:ascii="宋体" w:hAnsi="宋体" w:eastAsia="宋体" w:cs="宋体"/>
        </w:rPr>
      </w:pPr>
      <w:r>
        <w:rPr>
          <w:rFonts w:hint="eastAsia" w:ascii="宋体" w:hAnsi="宋体" w:eastAsia="宋体" w:cs="宋体"/>
          <w:color w:val="64748B"/>
          <w:sz w:val="18"/>
          <w:szCs w:val="18"/>
        </w:rPr>
        <w:t>图</w:t>
      </w:r>
      <w:r>
        <w:rPr>
          <w:rFonts w:hint="eastAsia" w:ascii="宋体" w:hAnsi="宋体" w:eastAsia="宋体" w:cs="宋体"/>
          <w:color w:val="64748B"/>
          <w:sz w:val="18"/>
          <w:szCs w:val="18"/>
          <w:lang w:val="en-US" w:eastAsia="zh-CN"/>
        </w:rPr>
        <w:t>11-5-6</w:t>
      </w:r>
      <w:r>
        <w:rPr>
          <w:rFonts w:hint="eastAsia" w:ascii="宋体" w:hAnsi="宋体" w:eastAsia="宋体" w:cs="宋体"/>
          <w:color w:val="64748B"/>
          <w:sz w:val="18"/>
          <w:szCs w:val="18"/>
        </w:rPr>
        <w:t>-1 缺陷闭环流程图</w:t>
      </w:r>
    </w:p>
    <w:p w14:paraId="2F509885">
      <w:pPr>
        <w:spacing w:after="120" w:line="360" w:lineRule="auto"/>
        <w:rPr>
          <w:rFonts w:hint="eastAsia" w:ascii="宋体" w:hAnsi="宋体" w:eastAsia="宋体" w:cs="宋体"/>
        </w:rPr>
      </w:pPr>
      <w:r>
        <w:rPr>
          <w:rFonts w:hint="eastAsia" w:ascii="宋体" w:hAnsi="宋体" w:eastAsia="宋体" w:cs="宋体"/>
          <w:color w:val="1F2937"/>
        </w:rPr>
        <w:t>缺陷闭环机制要求如下：</w:t>
      </w:r>
    </w:p>
    <w:p w14:paraId="446BCF1E">
      <w:pPr>
        <w:spacing w:after="70" w:line="330" w:lineRule="auto"/>
        <w:ind w:left="420" w:hanging="260"/>
        <w:rPr>
          <w:rFonts w:hint="eastAsia" w:ascii="宋体" w:hAnsi="宋体" w:eastAsia="宋体" w:cs="宋体"/>
        </w:rPr>
      </w:pPr>
      <w:r>
        <w:rPr>
          <w:rFonts w:hint="eastAsia" w:ascii="宋体" w:hAnsi="宋体" w:eastAsia="宋体" w:cs="宋体"/>
          <w:color w:val="1F2937"/>
        </w:rPr>
        <w:t>1. 测试人员登记缺陷，标注模块、严重等级、复现步骤、截图或日志。</w:t>
      </w:r>
    </w:p>
    <w:p w14:paraId="0F6C480D">
      <w:pPr>
        <w:spacing w:after="70" w:line="330" w:lineRule="auto"/>
        <w:ind w:left="420" w:hanging="260"/>
        <w:rPr>
          <w:rFonts w:hint="eastAsia" w:ascii="宋体" w:hAnsi="宋体" w:eastAsia="宋体" w:cs="宋体"/>
        </w:rPr>
      </w:pPr>
      <w:r>
        <w:rPr>
          <w:rFonts w:hint="eastAsia" w:ascii="宋体" w:hAnsi="宋体" w:eastAsia="宋体" w:cs="宋体"/>
          <w:color w:val="1F2937"/>
        </w:rPr>
        <w:t>2. 项目经理或测试负责人分派责任人和修复时限。</w:t>
      </w:r>
    </w:p>
    <w:p w14:paraId="08DDC1E2">
      <w:pPr>
        <w:spacing w:after="70" w:line="330" w:lineRule="auto"/>
        <w:ind w:left="420" w:hanging="260"/>
        <w:rPr>
          <w:rFonts w:hint="eastAsia" w:ascii="宋体" w:hAnsi="宋体" w:eastAsia="宋体" w:cs="宋体"/>
        </w:rPr>
      </w:pPr>
      <w:r>
        <w:rPr>
          <w:rFonts w:hint="eastAsia" w:ascii="宋体" w:hAnsi="宋体" w:eastAsia="宋体" w:cs="宋体"/>
          <w:color w:val="1F2937"/>
        </w:rPr>
        <w:t>3. 开发人员修复并提交代码、脚本或配置变更说明。</w:t>
      </w:r>
    </w:p>
    <w:p w14:paraId="6C4B2F32">
      <w:pPr>
        <w:spacing w:after="70" w:line="330" w:lineRule="auto"/>
        <w:ind w:left="420" w:hanging="260"/>
        <w:rPr>
          <w:rFonts w:hint="eastAsia" w:ascii="宋体" w:hAnsi="宋体" w:eastAsia="宋体" w:cs="宋体"/>
        </w:rPr>
      </w:pPr>
      <w:r>
        <w:rPr>
          <w:rFonts w:hint="eastAsia" w:ascii="宋体" w:hAnsi="宋体" w:eastAsia="宋体" w:cs="宋体"/>
          <w:color w:val="1F2937"/>
        </w:rPr>
        <w:t>4. 测试人员复测，通过后关闭；未通过则退回继续修复。</w:t>
      </w:r>
    </w:p>
    <w:p w14:paraId="4B0696C2">
      <w:pPr>
        <w:spacing w:after="70" w:line="330" w:lineRule="auto"/>
        <w:ind w:left="420" w:hanging="260"/>
        <w:rPr>
          <w:rFonts w:hint="eastAsia" w:ascii="宋体" w:hAnsi="宋体" w:eastAsia="宋体" w:cs="宋体"/>
        </w:rPr>
      </w:pPr>
      <w:r>
        <w:rPr>
          <w:rFonts w:hint="eastAsia" w:ascii="宋体" w:hAnsi="宋体" w:eastAsia="宋体" w:cs="宋体"/>
          <w:color w:val="1F2937"/>
        </w:rPr>
        <w:t>5. 致命和严重缺陷必须 100% 修复，中低级缺陷需经甲方确认后方可遗留。</w:t>
      </w:r>
    </w:p>
    <w:p w14:paraId="11621613">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.6.4 阶段输出要求</w:t>
      </w:r>
    </w:p>
    <w:p w14:paraId="2556B93C">
      <w:pPr>
        <w:spacing w:after="70" w:line="330" w:lineRule="auto"/>
        <w:ind w:left="420" w:hanging="260"/>
        <w:rPr>
          <w:rFonts w:hint="eastAsia" w:ascii="宋体" w:hAnsi="宋体" w:eastAsia="宋体" w:cs="宋体"/>
        </w:rPr>
      </w:pPr>
      <w:r>
        <w:rPr>
          <w:rFonts w:hint="eastAsia" w:ascii="宋体" w:hAnsi="宋体" w:eastAsia="宋体" w:cs="宋体"/>
          <w:color w:val="1F2937"/>
        </w:rPr>
        <w:t>1. 阶段验收前输出缺陷统计、修复率、关闭率和遗留风险说明。</w:t>
      </w:r>
    </w:p>
    <w:p w14:paraId="2CBF18B9">
      <w:pPr>
        <w:spacing w:after="70" w:line="330" w:lineRule="auto"/>
        <w:ind w:left="420" w:hanging="260"/>
        <w:rPr>
          <w:rFonts w:hint="eastAsia" w:ascii="宋体" w:hAnsi="宋体" w:eastAsia="宋体" w:cs="宋体"/>
        </w:rPr>
      </w:pPr>
      <w:r>
        <w:rPr>
          <w:rFonts w:hint="eastAsia" w:ascii="宋体" w:hAnsi="宋体" w:eastAsia="宋体" w:cs="宋体"/>
          <w:color w:val="1F2937"/>
        </w:rPr>
        <w:t>2. 上线前输出测试报告、缺陷清单、问题闭环记录和冒烟验证记录。</w:t>
      </w:r>
    </w:p>
    <w:p w14:paraId="29925592">
      <w:pPr>
        <w:spacing w:after="70" w:line="330" w:lineRule="auto"/>
        <w:ind w:left="420" w:hanging="260"/>
        <w:rPr>
          <w:rFonts w:hint="eastAsia" w:ascii="宋体" w:hAnsi="宋体" w:eastAsia="宋体" w:cs="宋体"/>
        </w:rPr>
      </w:pPr>
      <w:r>
        <w:rPr>
          <w:rFonts w:hint="eastAsia" w:ascii="宋体" w:hAnsi="宋体" w:eastAsia="宋体" w:cs="宋体"/>
          <w:color w:val="1F2937"/>
        </w:rPr>
        <w:t>3. 验收前输出最终测试结论和功能对标核查结果。</w:t>
      </w:r>
    </w:p>
    <w:p w14:paraId="30B11A7E">
      <w:pPr>
        <w:pStyle w:val="5"/>
        <w:bidi w:val="0"/>
        <w:rPr>
          <w:rFonts w:hint="eastAsia" w:ascii="宋体" w:hAnsi="宋体" w:eastAsia="宋体" w:cs="宋体"/>
          <w:b w:val="0"/>
          <w:bCs/>
          <w:lang w:val="en-US" w:eastAsia="zh-CN"/>
        </w:rPr>
      </w:pPr>
      <w:r>
        <w:rPr>
          <w:rFonts w:hint="eastAsia" w:cs="宋体"/>
          <w:b w:val="0"/>
          <w:bCs/>
          <w:lang w:val="en-US" w:eastAsia="zh-CN"/>
        </w:rPr>
        <w:t>11.6</w:t>
      </w:r>
      <w:r>
        <w:rPr>
          <w:rFonts w:hint="eastAsia" w:ascii="宋体" w:hAnsi="宋体" w:eastAsia="宋体" w:cs="宋体"/>
          <w:b w:val="0"/>
          <w:bCs/>
          <w:lang w:val="en-US" w:eastAsia="zh-CN"/>
        </w:rPr>
        <w:t>.7 VAL 用户确认与验收方案</w:t>
      </w:r>
    </w:p>
    <w:p w14:paraId="219D6DA6">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.7.1 验收模式</w:t>
      </w:r>
    </w:p>
    <w:p w14:paraId="638EBCB8">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验收按“阶段验收 - 试运行验证 - 最终验收”三层执行。这样做的目的是把问题尽量前置暴露，而不是等到终验时集中爆发。</w:t>
      </w:r>
    </w:p>
    <w:p w14:paraId="339B299D">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.7.2 验收依据</w:t>
      </w:r>
    </w:p>
    <w:p w14:paraId="5B34F516">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每次验收均以以下材料为依据：</w:t>
      </w:r>
    </w:p>
    <w:p w14:paraId="7FC716C0">
      <w:pPr>
        <w:spacing w:after="70" w:line="330" w:lineRule="auto"/>
        <w:ind w:left="420" w:hanging="260"/>
        <w:rPr>
          <w:rFonts w:hint="eastAsia" w:ascii="宋体" w:hAnsi="宋体" w:eastAsia="宋体" w:cs="宋体"/>
        </w:rPr>
      </w:pPr>
      <w:r>
        <w:rPr>
          <w:rFonts w:hint="eastAsia" w:ascii="宋体" w:hAnsi="宋体" w:eastAsia="宋体" w:cs="宋体"/>
          <w:color w:val="1F2937"/>
        </w:rPr>
        <w:t>1. 需求清单</w:t>
      </w:r>
    </w:p>
    <w:p w14:paraId="33464663">
      <w:pPr>
        <w:spacing w:after="70" w:line="330" w:lineRule="auto"/>
        <w:ind w:left="420" w:hanging="260"/>
        <w:rPr>
          <w:rFonts w:hint="eastAsia" w:ascii="宋体" w:hAnsi="宋体" w:eastAsia="宋体" w:cs="宋体"/>
        </w:rPr>
      </w:pPr>
      <w:r>
        <w:rPr>
          <w:rFonts w:hint="eastAsia" w:ascii="宋体" w:hAnsi="宋体" w:eastAsia="宋体" w:cs="宋体"/>
          <w:color w:val="1F2937"/>
        </w:rPr>
        <w:t>2. 测试报告</w:t>
      </w:r>
    </w:p>
    <w:p w14:paraId="2BB7F12E">
      <w:pPr>
        <w:spacing w:after="70" w:line="330" w:lineRule="auto"/>
        <w:ind w:left="420" w:hanging="260"/>
        <w:rPr>
          <w:rFonts w:hint="eastAsia" w:ascii="宋体" w:hAnsi="宋体" w:eastAsia="宋体" w:cs="宋体"/>
        </w:rPr>
      </w:pPr>
      <w:r>
        <w:rPr>
          <w:rFonts w:hint="eastAsia" w:ascii="宋体" w:hAnsi="宋体" w:eastAsia="宋体" w:cs="宋体"/>
          <w:color w:val="1F2937"/>
        </w:rPr>
        <w:t>3. 缺陷闭环记录</w:t>
      </w:r>
    </w:p>
    <w:p w14:paraId="1288D249">
      <w:pPr>
        <w:spacing w:after="70" w:line="330" w:lineRule="auto"/>
        <w:ind w:left="420" w:hanging="260"/>
        <w:rPr>
          <w:rFonts w:hint="eastAsia" w:ascii="宋体" w:hAnsi="宋体" w:eastAsia="宋体" w:cs="宋体"/>
        </w:rPr>
      </w:pPr>
      <w:r>
        <w:rPr>
          <w:rFonts w:hint="eastAsia" w:ascii="宋体" w:hAnsi="宋体" w:eastAsia="宋体" w:cs="宋体"/>
          <w:color w:val="1F2937"/>
        </w:rPr>
        <w:t>4. 交付物清单</w:t>
      </w:r>
    </w:p>
    <w:p w14:paraId="3EC275A0">
      <w:pPr>
        <w:spacing w:after="70" w:line="330" w:lineRule="auto"/>
        <w:ind w:left="420" w:hanging="260"/>
        <w:rPr>
          <w:rFonts w:hint="eastAsia" w:ascii="宋体" w:hAnsi="宋体" w:eastAsia="宋体" w:cs="宋体"/>
        </w:rPr>
      </w:pPr>
      <w:r>
        <w:rPr>
          <w:rFonts w:hint="eastAsia" w:ascii="宋体" w:hAnsi="宋体" w:eastAsia="宋体" w:cs="宋体"/>
          <w:color w:val="1F2937"/>
        </w:rPr>
        <w:t>5. 甲方业务确认结果</w:t>
      </w:r>
    </w:p>
    <w:p w14:paraId="27A493E3">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.7.3 验收硬指标</w:t>
      </w:r>
    </w:p>
    <w:p w14:paraId="188ACCB9">
      <w:pPr>
        <w:spacing w:after="70" w:line="330" w:lineRule="auto"/>
        <w:ind w:left="420" w:hanging="260"/>
        <w:rPr>
          <w:rFonts w:hint="eastAsia" w:ascii="宋体" w:hAnsi="宋体" w:eastAsia="宋体" w:cs="宋体"/>
        </w:rPr>
      </w:pPr>
      <w:r>
        <w:rPr>
          <w:rFonts w:hint="eastAsia" w:ascii="宋体" w:hAnsi="宋体" w:eastAsia="宋体" w:cs="宋体"/>
          <w:color w:val="1F2937"/>
        </w:rPr>
        <w:t>1. 功能测试用例执行率必须达到 100%。</w:t>
      </w:r>
    </w:p>
    <w:p w14:paraId="036DFE80">
      <w:pPr>
        <w:spacing w:after="70" w:line="330" w:lineRule="auto"/>
        <w:ind w:left="420" w:hanging="260"/>
        <w:rPr>
          <w:rFonts w:hint="eastAsia" w:ascii="宋体" w:hAnsi="宋体" w:eastAsia="宋体" w:cs="宋体"/>
        </w:rPr>
      </w:pPr>
      <w:r>
        <w:rPr>
          <w:rFonts w:hint="eastAsia" w:ascii="宋体" w:hAnsi="宋体" w:eastAsia="宋体" w:cs="宋体"/>
          <w:color w:val="1F2937"/>
        </w:rPr>
        <w:t>2. 功能整体测试通过率不低于 95%。</w:t>
      </w:r>
    </w:p>
    <w:p w14:paraId="4B007D90">
      <w:pPr>
        <w:spacing w:after="70" w:line="330" w:lineRule="auto"/>
        <w:ind w:left="420" w:hanging="260"/>
        <w:rPr>
          <w:rFonts w:hint="eastAsia" w:ascii="宋体" w:hAnsi="宋体" w:eastAsia="宋体" w:cs="宋体"/>
        </w:rPr>
      </w:pPr>
      <w:r>
        <w:rPr>
          <w:rFonts w:hint="eastAsia" w:ascii="宋体" w:hAnsi="宋体" w:eastAsia="宋体" w:cs="宋体"/>
          <w:color w:val="1F2937"/>
        </w:rPr>
        <w:t>3. P0 级（致命）与 P1 级（严重）缺陷必须 100% 修复清零。</w:t>
      </w:r>
    </w:p>
    <w:p w14:paraId="34C0FD1A">
      <w:pPr>
        <w:spacing w:after="70" w:line="330" w:lineRule="auto"/>
        <w:ind w:left="420" w:hanging="260"/>
        <w:rPr>
          <w:rFonts w:hint="eastAsia" w:ascii="宋体" w:hAnsi="宋体" w:eastAsia="宋体" w:cs="宋体"/>
        </w:rPr>
      </w:pPr>
      <w:r>
        <w:rPr>
          <w:rFonts w:hint="eastAsia" w:ascii="宋体" w:hAnsi="宋体" w:eastAsia="宋体" w:cs="宋体"/>
          <w:color w:val="1F2937"/>
        </w:rPr>
        <w:t>4. 核心业务流程不得存在逻辑错误、功能异常或数据错误。</w:t>
      </w:r>
    </w:p>
    <w:p w14:paraId="61D3A3B2">
      <w:pPr>
        <w:spacing w:after="70" w:line="330" w:lineRule="auto"/>
        <w:ind w:left="420" w:hanging="260"/>
        <w:rPr>
          <w:rFonts w:hint="eastAsia" w:ascii="宋体" w:hAnsi="宋体" w:eastAsia="宋体" w:cs="宋体"/>
        </w:rPr>
      </w:pPr>
      <w:r>
        <w:rPr>
          <w:rFonts w:hint="eastAsia" w:ascii="宋体" w:hAnsi="宋体" w:eastAsia="宋体" w:cs="宋体"/>
          <w:color w:val="1F2937"/>
        </w:rPr>
        <w:t>5. 安全扫描不得存在高危、中危漏洞。</w:t>
      </w:r>
    </w:p>
    <w:p w14:paraId="7831B08F">
      <w:pPr>
        <w:spacing w:after="70" w:line="330" w:lineRule="auto"/>
        <w:ind w:left="420" w:hanging="260"/>
        <w:rPr>
          <w:rFonts w:hint="eastAsia" w:ascii="宋体" w:hAnsi="宋体" w:eastAsia="宋体" w:cs="宋体"/>
        </w:rPr>
      </w:pPr>
      <w:r>
        <w:rPr>
          <w:rFonts w:hint="eastAsia" w:ascii="宋体" w:hAnsi="宋体" w:eastAsia="宋体" w:cs="宋体"/>
          <w:color w:val="1F2937"/>
        </w:rPr>
        <w:t>6. 源代码必须在纯净环境中可编译、可部署、可运行。</w:t>
      </w:r>
    </w:p>
    <w:p w14:paraId="1B1AE646">
      <w:pPr>
        <w:spacing w:after="70" w:line="330" w:lineRule="auto"/>
        <w:ind w:left="420" w:hanging="260"/>
        <w:rPr>
          <w:rFonts w:hint="eastAsia" w:ascii="宋体" w:hAnsi="宋体" w:eastAsia="宋体" w:cs="宋体"/>
        </w:rPr>
      </w:pPr>
      <w:r>
        <w:rPr>
          <w:rFonts w:hint="eastAsia" w:ascii="宋体" w:hAnsi="宋体" w:eastAsia="宋体" w:cs="宋体"/>
          <w:color w:val="1F2937"/>
        </w:rPr>
        <w:t>7. 文档、接口、系统功能、部署环境配置必须保持一致。</w:t>
      </w:r>
    </w:p>
    <w:p w14:paraId="70A70B8A">
      <w:pPr>
        <w:pStyle w:val="5"/>
        <w:bidi w:val="0"/>
        <w:rPr>
          <w:rFonts w:hint="eastAsia" w:ascii="宋体" w:hAnsi="宋体" w:eastAsia="宋体" w:cs="宋体"/>
          <w:b w:val="0"/>
          <w:bCs/>
          <w:lang w:val="en-US" w:eastAsia="zh-CN"/>
        </w:rPr>
      </w:pPr>
      <w:r>
        <w:rPr>
          <w:rFonts w:hint="eastAsia" w:cs="宋体"/>
          <w:b w:val="0"/>
          <w:bCs/>
          <w:lang w:val="en-US" w:eastAsia="zh-CN"/>
        </w:rPr>
        <w:t>11.6</w:t>
      </w:r>
      <w:r>
        <w:rPr>
          <w:rFonts w:hint="eastAsia" w:ascii="宋体" w:hAnsi="宋体" w:eastAsia="宋体" w:cs="宋体"/>
          <w:b w:val="0"/>
          <w:bCs/>
          <w:lang w:val="en-US" w:eastAsia="zh-CN"/>
        </w:rPr>
        <w:t>.8 CM 配置管理与发布控制</w:t>
      </w:r>
    </w:p>
    <w:p w14:paraId="1800589F">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.8.1 配置管理范围</w:t>
      </w:r>
    </w:p>
    <w:p w14:paraId="4FE967A3">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配置管理覆盖：</w:t>
      </w:r>
    </w:p>
    <w:p w14:paraId="4B8281C4">
      <w:pPr>
        <w:spacing w:after="70" w:line="330" w:lineRule="auto"/>
        <w:ind w:left="420" w:hanging="260"/>
        <w:rPr>
          <w:rFonts w:hint="eastAsia" w:ascii="宋体" w:hAnsi="宋体" w:eastAsia="宋体" w:cs="宋体"/>
        </w:rPr>
      </w:pPr>
      <w:r>
        <w:rPr>
          <w:rFonts w:hint="eastAsia" w:ascii="宋体" w:hAnsi="宋体" w:eastAsia="宋体" w:cs="宋体"/>
          <w:color w:val="1F2937"/>
        </w:rPr>
        <w:t>1. 源代码</w:t>
      </w:r>
    </w:p>
    <w:p w14:paraId="14FCFC0E">
      <w:pPr>
        <w:spacing w:after="70" w:line="330" w:lineRule="auto"/>
        <w:ind w:left="420" w:hanging="260"/>
        <w:rPr>
          <w:rFonts w:hint="eastAsia" w:ascii="宋体" w:hAnsi="宋体" w:eastAsia="宋体" w:cs="宋体"/>
        </w:rPr>
      </w:pPr>
      <w:r>
        <w:rPr>
          <w:rFonts w:hint="eastAsia" w:ascii="宋体" w:hAnsi="宋体" w:eastAsia="宋体" w:cs="宋体"/>
          <w:color w:val="1F2937"/>
        </w:rPr>
        <w:t>2. 数据库脚本</w:t>
      </w:r>
    </w:p>
    <w:p w14:paraId="13242723">
      <w:pPr>
        <w:spacing w:after="70" w:line="330" w:lineRule="auto"/>
        <w:ind w:left="420" w:hanging="260"/>
        <w:rPr>
          <w:rFonts w:hint="eastAsia" w:ascii="宋体" w:hAnsi="宋体" w:eastAsia="宋体" w:cs="宋体"/>
        </w:rPr>
      </w:pPr>
      <w:r>
        <w:rPr>
          <w:rFonts w:hint="eastAsia" w:ascii="宋体" w:hAnsi="宋体" w:eastAsia="宋体" w:cs="宋体"/>
          <w:color w:val="1F2937"/>
        </w:rPr>
        <w:t>3. 配置文件</w:t>
      </w:r>
    </w:p>
    <w:p w14:paraId="1BBE1DEF">
      <w:pPr>
        <w:spacing w:after="70" w:line="330" w:lineRule="auto"/>
        <w:ind w:left="420" w:hanging="260"/>
        <w:rPr>
          <w:rFonts w:hint="eastAsia" w:ascii="宋体" w:hAnsi="宋体" w:eastAsia="宋体" w:cs="宋体"/>
        </w:rPr>
      </w:pPr>
      <w:r>
        <w:rPr>
          <w:rFonts w:hint="eastAsia" w:ascii="宋体" w:hAnsi="宋体" w:eastAsia="宋体" w:cs="宋体"/>
          <w:color w:val="1F2937"/>
        </w:rPr>
        <w:t>4. 部署包</w:t>
      </w:r>
    </w:p>
    <w:p w14:paraId="45C93F10">
      <w:pPr>
        <w:spacing w:after="70" w:line="330" w:lineRule="auto"/>
        <w:ind w:left="420" w:hanging="260"/>
        <w:rPr>
          <w:rFonts w:hint="eastAsia" w:ascii="宋体" w:hAnsi="宋体" w:eastAsia="宋体" w:cs="宋体"/>
        </w:rPr>
      </w:pPr>
      <w:r>
        <w:rPr>
          <w:rFonts w:hint="eastAsia" w:ascii="宋体" w:hAnsi="宋体" w:eastAsia="宋体" w:cs="宋体"/>
          <w:color w:val="1F2937"/>
        </w:rPr>
        <w:t>5. 接口文档</w:t>
      </w:r>
    </w:p>
    <w:p w14:paraId="15403B7C">
      <w:pPr>
        <w:spacing w:after="70" w:line="330" w:lineRule="auto"/>
        <w:ind w:left="420" w:hanging="260"/>
        <w:rPr>
          <w:rFonts w:hint="eastAsia" w:ascii="宋体" w:hAnsi="宋体" w:eastAsia="宋体" w:cs="宋体"/>
        </w:rPr>
      </w:pPr>
      <w:r>
        <w:rPr>
          <w:rFonts w:hint="eastAsia" w:ascii="宋体" w:hAnsi="宋体" w:eastAsia="宋体" w:cs="宋体"/>
          <w:color w:val="1F2937"/>
        </w:rPr>
        <w:t>6. 测试用例</w:t>
      </w:r>
    </w:p>
    <w:p w14:paraId="022EA819">
      <w:pPr>
        <w:spacing w:after="70" w:line="330" w:lineRule="auto"/>
        <w:ind w:left="420" w:hanging="260"/>
        <w:rPr>
          <w:rFonts w:hint="eastAsia" w:ascii="宋体" w:hAnsi="宋体" w:eastAsia="宋体" w:cs="宋体"/>
        </w:rPr>
      </w:pPr>
      <w:r>
        <w:rPr>
          <w:rFonts w:hint="eastAsia" w:ascii="宋体" w:hAnsi="宋体" w:eastAsia="宋体" w:cs="宋体"/>
          <w:color w:val="1F2937"/>
        </w:rPr>
        <w:t>7. 用户手册</w:t>
      </w:r>
    </w:p>
    <w:p w14:paraId="48E9C67B">
      <w:pPr>
        <w:spacing w:after="70" w:line="330" w:lineRule="auto"/>
        <w:ind w:left="420" w:hanging="260"/>
        <w:rPr>
          <w:rFonts w:hint="eastAsia" w:ascii="宋体" w:hAnsi="宋体" w:eastAsia="宋体" w:cs="宋体"/>
        </w:rPr>
      </w:pPr>
      <w:r>
        <w:rPr>
          <w:rFonts w:hint="eastAsia" w:ascii="宋体" w:hAnsi="宋体" w:eastAsia="宋体" w:cs="宋体"/>
          <w:color w:val="1F2937"/>
        </w:rPr>
        <w:t>8. 运维手册</w:t>
      </w:r>
    </w:p>
    <w:p w14:paraId="4A02AA18">
      <w:pPr>
        <w:spacing w:after="70" w:line="330" w:lineRule="auto"/>
        <w:ind w:left="420" w:hanging="260"/>
        <w:rPr>
          <w:rFonts w:hint="eastAsia" w:ascii="宋体" w:hAnsi="宋体" w:eastAsia="宋体" w:cs="宋体"/>
        </w:rPr>
      </w:pPr>
      <w:r>
        <w:rPr>
          <w:rFonts w:hint="eastAsia" w:ascii="宋体" w:hAnsi="宋体" w:eastAsia="宋体" w:cs="宋体"/>
          <w:color w:val="1F2937"/>
        </w:rPr>
        <w:t>9. 培训资料</w:t>
      </w:r>
    </w:p>
    <w:p w14:paraId="26B07B30">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.8.2 发布控制要求</w:t>
      </w:r>
    </w:p>
    <w:p w14:paraId="3A71EC48">
      <w:pPr>
        <w:spacing w:after="70" w:line="330" w:lineRule="auto"/>
        <w:ind w:left="420" w:hanging="260"/>
        <w:rPr>
          <w:rFonts w:hint="eastAsia" w:ascii="宋体" w:hAnsi="宋体" w:eastAsia="宋体" w:cs="宋体"/>
        </w:rPr>
      </w:pPr>
      <w:r>
        <w:rPr>
          <w:rFonts w:hint="eastAsia" w:ascii="宋体" w:hAnsi="宋体" w:eastAsia="宋体" w:cs="宋体"/>
          <w:color w:val="1F2937"/>
        </w:rPr>
        <w:t>1. 建立代码分支和版本号规则，开发、测试、发布分支分离。</w:t>
      </w:r>
    </w:p>
    <w:p w14:paraId="1339B15F">
      <w:pPr>
        <w:spacing w:after="70" w:line="330" w:lineRule="auto"/>
        <w:ind w:left="420" w:hanging="260"/>
        <w:rPr>
          <w:rFonts w:hint="eastAsia" w:ascii="宋体" w:hAnsi="宋体" w:eastAsia="宋体" w:cs="宋体"/>
        </w:rPr>
      </w:pPr>
      <w:r>
        <w:rPr>
          <w:rFonts w:hint="eastAsia" w:ascii="宋体" w:hAnsi="宋体" w:eastAsia="宋体" w:cs="宋体"/>
          <w:color w:val="1F2937"/>
        </w:rPr>
        <w:t>2. 数据库脚本按版本管理，包含建表、变更、初始化、字典、权限、历史数据清洗和回滚脚本。</w:t>
      </w:r>
    </w:p>
    <w:p w14:paraId="0337AD39">
      <w:pPr>
        <w:spacing w:after="70" w:line="330" w:lineRule="auto"/>
        <w:ind w:left="420" w:hanging="260"/>
        <w:rPr>
          <w:rFonts w:hint="eastAsia" w:ascii="宋体" w:hAnsi="宋体" w:eastAsia="宋体" w:cs="宋体"/>
        </w:rPr>
      </w:pPr>
      <w:r>
        <w:rPr>
          <w:rFonts w:hint="eastAsia" w:ascii="宋体" w:hAnsi="宋体" w:eastAsia="宋体" w:cs="宋体"/>
          <w:color w:val="1F2937"/>
        </w:rPr>
        <w:t>3. 每次发布形成发布说明，列明版本号、功能范围、脚本清单、配置变更、影响范围和回滚方式。</w:t>
      </w:r>
    </w:p>
    <w:p w14:paraId="3C9A7741">
      <w:pPr>
        <w:spacing w:after="70" w:line="330" w:lineRule="auto"/>
        <w:ind w:left="420" w:hanging="260"/>
        <w:rPr>
          <w:rFonts w:hint="eastAsia" w:ascii="宋体" w:hAnsi="宋体" w:eastAsia="宋体" w:cs="宋体"/>
        </w:rPr>
      </w:pPr>
      <w:r>
        <w:rPr>
          <w:rFonts w:hint="eastAsia" w:ascii="宋体" w:hAnsi="宋体" w:eastAsia="宋体" w:cs="宋体"/>
          <w:color w:val="1F2937"/>
        </w:rPr>
        <w:t>4. 上线前执行发布评审，确认测试报告、备份和回滚方案。</w:t>
      </w:r>
    </w:p>
    <w:p w14:paraId="0750AB27">
      <w:pPr>
        <w:spacing w:after="70" w:line="330" w:lineRule="auto"/>
        <w:ind w:left="420" w:hanging="260"/>
        <w:rPr>
          <w:rFonts w:hint="eastAsia" w:ascii="宋体" w:hAnsi="宋体" w:eastAsia="宋体" w:cs="宋体"/>
        </w:rPr>
      </w:pPr>
      <w:r>
        <w:rPr>
          <w:rFonts w:hint="eastAsia" w:ascii="宋体" w:hAnsi="宋体" w:eastAsia="宋体" w:cs="宋体"/>
          <w:color w:val="1F2937"/>
        </w:rPr>
        <w:t>5. 发布后执行冒烟测试和业务验证。</w:t>
      </w:r>
    </w:p>
    <w:p w14:paraId="0760240E">
      <w:pPr>
        <w:spacing w:after="70" w:line="330" w:lineRule="auto"/>
        <w:ind w:left="420" w:hanging="260"/>
        <w:rPr>
          <w:rFonts w:hint="eastAsia" w:ascii="宋体" w:hAnsi="宋体" w:eastAsia="宋体" w:cs="宋体"/>
        </w:rPr>
      </w:pPr>
      <w:r>
        <w:rPr>
          <w:rFonts w:hint="eastAsia" w:ascii="宋体" w:hAnsi="宋体" w:eastAsia="宋体" w:cs="宋体"/>
          <w:color w:val="1F2937"/>
        </w:rPr>
        <w:t>6. 阶段交付时同步更新接口文档、部署说明、用户手册和运维手册。</w:t>
      </w:r>
    </w:p>
    <w:p w14:paraId="101D23FE">
      <w:pPr>
        <w:pStyle w:val="5"/>
        <w:bidi w:val="0"/>
        <w:rPr>
          <w:rFonts w:hint="eastAsia" w:ascii="宋体" w:hAnsi="宋体" w:eastAsia="宋体" w:cs="宋体"/>
          <w:b w:val="0"/>
          <w:bCs/>
          <w:lang w:val="en-US" w:eastAsia="zh-CN"/>
        </w:rPr>
      </w:pPr>
      <w:r>
        <w:rPr>
          <w:rFonts w:hint="eastAsia" w:cs="宋体"/>
          <w:b w:val="0"/>
          <w:bCs/>
          <w:lang w:val="en-US" w:eastAsia="zh-CN"/>
        </w:rPr>
        <w:t>11.6</w:t>
      </w:r>
      <w:r>
        <w:rPr>
          <w:rFonts w:hint="eastAsia" w:ascii="宋体" w:hAnsi="宋体" w:eastAsia="宋体" w:cs="宋体"/>
          <w:b w:val="0"/>
          <w:bCs/>
          <w:lang w:val="en-US" w:eastAsia="zh-CN"/>
        </w:rPr>
        <w:t>.9 PPQA 过程质量保证与 MA 度量分析</w:t>
      </w:r>
    </w:p>
    <w:p w14:paraId="7635ED3C">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我方设置过程质量检查点，对需求、设计、开发、测试、发布、交付进行质量审计。质量检查不仅检查最终结果，也检查过程资料是否齐全、审批是否完成、记录是否可追溯。</w:t>
      </w:r>
    </w:p>
    <w:p w14:paraId="261A3817">
      <w:pPr>
        <w:spacing w:after="120" w:line="360" w:lineRule="auto"/>
        <w:rPr>
          <w:rFonts w:hint="eastAsia" w:ascii="宋体" w:hAnsi="宋体" w:eastAsia="宋体" w:cs="宋体"/>
        </w:rPr>
      </w:pPr>
      <w:r>
        <w:rPr>
          <w:rFonts w:hint="eastAsia" w:ascii="宋体" w:hAnsi="宋体" w:eastAsia="宋体" w:cs="宋体"/>
          <w:color w:val="1F2937"/>
        </w:rPr>
        <w:t>重点度量以下指标：</w:t>
      </w:r>
    </w:p>
    <w:p w14:paraId="2793C39F">
      <w:pPr>
        <w:spacing w:after="70" w:line="330" w:lineRule="auto"/>
        <w:ind w:left="420" w:hanging="260"/>
        <w:rPr>
          <w:rFonts w:hint="eastAsia" w:ascii="宋体" w:hAnsi="宋体" w:eastAsia="宋体" w:cs="宋体"/>
        </w:rPr>
      </w:pPr>
      <w:r>
        <w:rPr>
          <w:rFonts w:hint="eastAsia" w:ascii="宋体" w:hAnsi="宋体" w:eastAsia="宋体" w:cs="宋体"/>
          <w:color w:val="1F2937"/>
        </w:rPr>
        <w:t>1. 需求确认率</w:t>
      </w:r>
    </w:p>
    <w:p w14:paraId="08C6EAD7">
      <w:pPr>
        <w:spacing w:after="70" w:line="330" w:lineRule="auto"/>
        <w:ind w:left="420" w:hanging="260"/>
        <w:rPr>
          <w:rFonts w:hint="eastAsia" w:ascii="宋体" w:hAnsi="宋体" w:eastAsia="宋体" w:cs="宋体"/>
        </w:rPr>
      </w:pPr>
      <w:r>
        <w:rPr>
          <w:rFonts w:hint="eastAsia" w:ascii="宋体" w:hAnsi="宋体" w:eastAsia="宋体" w:cs="宋体"/>
          <w:color w:val="1F2937"/>
        </w:rPr>
        <w:t>2. 需求变更数</w:t>
      </w:r>
    </w:p>
    <w:p w14:paraId="5A63B895">
      <w:pPr>
        <w:spacing w:after="70" w:line="330" w:lineRule="auto"/>
        <w:ind w:left="420" w:hanging="260"/>
        <w:rPr>
          <w:rFonts w:hint="eastAsia" w:ascii="宋体" w:hAnsi="宋体" w:eastAsia="宋体" w:cs="宋体"/>
        </w:rPr>
      </w:pPr>
      <w:r>
        <w:rPr>
          <w:rFonts w:hint="eastAsia" w:ascii="宋体" w:hAnsi="宋体" w:eastAsia="宋体" w:cs="宋体"/>
          <w:color w:val="1F2937"/>
        </w:rPr>
        <w:t>3. 设计评审通过率</w:t>
      </w:r>
    </w:p>
    <w:p w14:paraId="527CB136">
      <w:pPr>
        <w:spacing w:after="70" w:line="330" w:lineRule="auto"/>
        <w:ind w:left="420" w:hanging="260"/>
        <w:rPr>
          <w:rFonts w:hint="eastAsia" w:ascii="宋体" w:hAnsi="宋体" w:eastAsia="宋体" w:cs="宋体"/>
        </w:rPr>
      </w:pPr>
      <w:r>
        <w:rPr>
          <w:rFonts w:hint="eastAsia" w:ascii="宋体" w:hAnsi="宋体" w:eastAsia="宋体" w:cs="宋体"/>
          <w:color w:val="1F2937"/>
        </w:rPr>
        <w:t>4. 缺陷修复率</w:t>
      </w:r>
    </w:p>
    <w:p w14:paraId="3E305623">
      <w:pPr>
        <w:spacing w:after="70" w:line="330" w:lineRule="auto"/>
        <w:ind w:left="420" w:hanging="260"/>
        <w:rPr>
          <w:rFonts w:hint="eastAsia" w:ascii="宋体" w:hAnsi="宋体" w:eastAsia="宋体" w:cs="宋体"/>
        </w:rPr>
      </w:pPr>
      <w:r>
        <w:rPr>
          <w:rFonts w:hint="eastAsia" w:ascii="宋体" w:hAnsi="宋体" w:eastAsia="宋体" w:cs="宋体"/>
          <w:color w:val="1F2937"/>
        </w:rPr>
        <w:t>5. 严重缺陷关闭率</w:t>
      </w:r>
    </w:p>
    <w:p w14:paraId="2D1686F0">
      <w:pPr>
        <w:spacing w:after="70" w:line="330" w:lineRule="auto"/>
        <w:ind w:left="420" w:hanging="260"/>
        <w:rPr>
          <w:rFonts w:hint="eastAsia" w:ascii="宋体" w:hAnsi="宋体" w:eastAsia="宋体" w:cs="宋体"/>
        </w:rPr>
      </w:pPr>
      <w:r>
        <w:rPr>
          <w:rFonts w:hint="eastAsia" w:ascii="宋体" w:hAnsi="宋体" w:eastAsia="宋体" w:cs="宋体"/>
          <w:color w:val="1F2937"/>
        </w:rPr>
        <w:t>6. 发布成功率</w:t>
      </w:r>
    </w:p>
    <w:p w14:paraId="290D1696">
      <w:pPr>
        <w:spacing w:after="70" w:line="330" w:lineRule="auto"/>
        <w:ind w:left="420" w:hanging="260"/>
        <w:rPr>
          <w:rFonts w:hint="eastAsia" w:ascii="宋体" w:hAnsi="宋体" w:eastAsia="宋体" w:cs="宋体"/>
        </w:rPr>
      </w:pPr>
      <w:r>
        <w:rPr>
          <w:rFonts w:hint="eastAsia" w:ascii="宋体" w:hAnsi="宋体" w:eastAsia="宋体" w:cs="宋体"/>
          <w:color w:val="1F2937"/>
        </w:rPr>
        <w:t>7. 交付资料完整率</w:t>
      </w:r>
    </w:p>
    <w:p w14:paraId="5AECE2A5">
      <w:pPr>
        <w:pStyle w:val="5"/>
        <w:bidi w:val="0"/>
        <w:rPr>
          <w:rFonts w:hint="eastAsia" w:ascii="宋体" w:hAnsi="宋体" w:eastAsia="宋体" w:cs="宋体"/>
          <w:b w:val="0"/>
          <w:bCs/>
          <w:lang w:val="en-US" w:eastAsia="zh-CN"/>
        </w:rPr>
      </w:pPr>
      <w:r>
        <w:rPr>
          <w:rFonts w:hint="eastAsia" w:cs="宋体"/>
          <w:b w:val="0"/>
          <w:bCs/>
          <w:lang w:val="en-US" w:eastAsia="zh-CN"/>
        </w:rPr>
        <w:t>11.6</w:t>
      </w:r>
      <w:r>
        <w:rPr>
          <w:rFonts w:hint="eastAsia" w:ascii="宋体" w:hAnsi="宋体" w:eastAsia="宋体" w:cs="宋体"/>
          <w:b w:val="0"/>
          <w:bCs/>
          <w:lang w:val="en-US" w:eastAsia="zh-CN"/>
        </w:rPr>
        <w:t>.10 RSKM 风险管理与 CAR 持续改进</w:t>
      </w:r>
    </w:p>
    <w:p w14:paraId="7DECE2CE">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.10.1 风险管理</w:t>
      </w:r>
    </w:p>
    <w:p w14:paraId="05D822F2">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项目实施期间建立风险台账，对需求范围、跨系统接口、历史数据质量、移动端兼容、性能瓶颈、安全整改、人员稳定和验收资料完整性等风险进行识别、评估、跟踪和处置。</w:t>
      </w:r>
    </w:p>
    <w:p w14:paraId="0712A1A1">
      <w:pPr>
        <w:spacing w:after="120" w:line="360" w:lineRule="auto"/>
        <w:rPr>
          <w:rFonts w:hint="eastAsia" w:ascii="宋体" w:hAnsi="宋体" w:eastAsia="宋体" w:cs="宋体"/>
        </w:rPr>
      </w:pPr>
      <w:r>
        <w:rPr>
          <w:rFonts w:hint="eastAsia" w:ascii="宋体" w:hAnsi="宋体" w:eastAsia="宋体" w:cs="宋体"/>
          <w:color w:val="1F2937"/>
        </w:rPr>
        <w:t>风险台账至少包含：</w:t>
      </w:r>
    </w:p>
    <w:p w14:paraId="4E1C5D83">
      <w:pPr>
        <w:spacing w:after="70" w:line="330" w:lineRule="auto"/>
        <w:ind w:left="420" w:hanging="260"/>
        <w:rPr>
          <w:rFonts w:hint="eastAsia" w:ascii="宋体" w:hAnsi="宋体" w:eastAsia="宋体" w:cs="宋体"/>
        </w:rPr>
      </w:pPr>
      <w:r>
        <w:rPr>
          <w:rFonts w:hint="eastAsia" w:ascii="宋体" w:hAnsi="宋体" w:eastAsia="宋体" w:cs="宋体"/>
          <w:color w:val="1F2937"/>
        </w:rPr>
        <w:t>1. 风险事项</w:t>
      </w:r>
    </w:p>
    <w:p w14:paraId="6BFBBCF8">
      <w:pPr>
        <w:spacing w:after="70" w:line="330" w:lineRule="auto"/>
        <w:ind w:left="420" w:hanging="260"/>
        <w:rPr>
          <w:rFonts w:hint="eastAsia" w:ascii="宋体" w:hAnsi="宋体" w:eastAsia="宋体" w:cs="宋体"/>
        </w:rPr>
      </w:pPr>
      <w:r>
        <w:rPr>
          <w:rFonts w:hint="eastAsia" w:ascii="宋体" w:hAnsi="宋体" w:eastAsia="宋体" w:cs="宋体"/>
          <w:color w:val="1F2937"/>
        </w:rPr>
        <w:t>2. 风险等级</w:t>
      </w:r>
    </w:p>
    <w:p w14:paraId="637812FA">
      <w:pPr>
        <w:spacing w:after="70" w:line="330" w:lineRule="auto"/>
        <w:ind w:left="420" w:hanging="260"/>
        <w:rPr>
          <w:rFonts w:hint="eastAsia" w:ascii="宋体" w:hAnsi="宋体" w:eastAsia="宋体" w:cs="宋体"/>
        </w:rPr>
      </w:pPr>
      <w:r>
        <w:rPr>
          <w:rFonts w:hint="eastAsia" w:ascii="宋体" w:hAnsi="宋体" w:eastAsia="宋体" w:cs="宋体"/>
          <w:color w:val="1F2937"/>
        </w:rPr>
        <w:t>3. 影响说明</w:t>
      </w:r>
    </w:p>
    <w:p w14:paraId="32A6AA99">
      <w:pPr>
        <w:spacing w:after="70" w:line="330" w:lineRule="auto"/>
        <w:ind w:left="420" w:hanging="260"/>
        <w:rPr>
          <w:rFonts w:hint="eastAsia" w:ascii="宋体" w:hAnsi="宋体" w:eastAsia="宋体" w:cs="宋体"/>
        </w:rPr>
      </w:pPr>
      <w:r>
        <w:rPr>
          <w:rFonts w:hint="eastAsia" w:ascii="宋体" w:hAnsi="宋体" w:eastAsia="宋体" w:cs="宋体"/>
          <w:color w:val="1F2937"/>
        </w:rPr>
        <w:t>4. 预防措施</w:t>
      </w:r>
    </w:p>
    <w:p w14:paraId="4181B6BA">
      <w:pPr>
        <w:spacing w:after="70" w:line="330" w:lineRule="auto"/>
        <w:ind w:left="420" w:hanging="260"/>
        <w:rPr>
          <w:rFonts w:hint="eastAsia" w:ascii="宋体" w:hAnsi="宋体" w:eastAsia="宋体" w:cs="宋体"/>
        </w:rPr>
      </w:pPr>
      <w:r>
        <w:rPr>
          <w:rFonts w:hint="eastAsia" w:ascii="宋体" w:hAnsi="宋体" w:eastAsia="宋体" w:cs="宋体"/>
          <w:color w:val="1F2937"/>
        </w:rPr>
        <w:t>5. 应急措施</w:t>
      </w:r>
    </w:p>
    <w:p w14:paraId="019EA976">
      <w:pPr>
        <w:spacing w:after="70" w:line="330" w:lineRule="auto"/>
        <w:ind w:left="420" w:hanging="260"/>
        <w:rPr>
          <w:rFonts w:hint="eastAsia" w:ascii="宋体" w:hAnsi="宋体" w:eastAsia="宋体" w:cs="宋体"/>
        </w:rPr>
      </w:pPr>
      <w:r>
        <w:rPr>
          <w:rFonts w:hint="eastAsia" w:ascii="宋体" w:hAnsi="宋体" w:eastAsia="宋体" w:cs="宋体"/>
          <w:color w:val="1F2937"/>
        </w:rPr>
        <w:t>6. 责任人</w:t>
      </w:r>
    </w:p>
    <w:p w14:paraId="37ADDCA7">
      <w:pPr>
        <w:spacing w:after="70" w:line="330" w:lineRule="auto"/>
        <w:ind w:left="420" w:hanging="260"/>
        <w:rPr>
          <w:rFonts w:hint="eastAsia" w:ascii="宋体" w:hAnsi="宋体" w:eastAsia="宋体" w:cs="宋体"/>
        </w:rPr>
      </w:pPr>
      <w:r>
        <w:rPr>
          <w:rFonts w:hint="eastAsia" w:ascii="宋体" w:hAnsi="宋体" w:eastAsia="宋体" w:cs="宋体"/>
          <w:color w:val="1F2937"/>
        </w:rPr>
        <w:t>7. 当前状态</w:t>
      </w:r>
    </w:p>
    <w:p w14:paraId="30D0A3A4">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.10.2 CAR 持续改进</w:t>
      </w:r>
    </w:p>
    <w:p w14:paraId="01ACF00F">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对重大缺陷、重大延期、性能瓶颈、安全漏洞等问题，执行原因分析与纠正预防流程：</w:t>
      </w:r>
    </w:p>
    <w:p w14:paraId="1066B775">
      <w:pPr>
        <w:spacing w:after="70" w:line="330" w:lineRule="auto"/>
        <w:ind w:left="420" w:hanging="260"/>
        <w:rPr>
          <w:rFonts w:hint="eastAsia" w:ascii="宋体" w:hAnsi="宋体" w:eastAsia="宋体" w:cs="宋体"/>
        </w:rPr>
      </w:pPr>
      <w:r>
        <w:rPr>
          <w:rFonts w:hint="eastAsia" w:ascii="宋体" w:hAnsi="宋体" w:eastAsia="宋体" w:cs="宋体"/>
          <w:color w:val="1F2937"/>
        </w:rPr>
        <w:t>1. 收集问题现象、日志、数据和影响范围。</w:t>
      </w:r>
    </w:p>
    <w:p w14:paraId="62F73DBF">
      <w:pPr>
        <w:spacing w:after="70" w:line="330" w:lineRule="auto"/>
        <w:ind w:left="420" w:hanging="260"/>
        <w:rPr>
          <w:rFonts w:hint="eastAsia" w:ascii="宋体" w:hAnsi="宋体" w:eastAsia="宋体" w:cs="宋体"/>
        </w:rPr>
      </w:pPr>
      <w:r>
        <w:rPr>
          <w:rFonts w:hint="eastAsia" w:ascii="宋体" w:hAnsi="宋体" w:eastAsia="宋体" w:cs="宋体"/>
          <w:color w:val="1F2937"/>
        </w:rPr>
        <w:t>2. 判断直接原因、根本原因和管理原因。</w:t>
      </w:r>
    </w:p>
    <w:p w14:paraId="4AE9BE1F">
      <w:pPr>
        <w:spacing w:after="70" w:line="330" w:lineRule="auto"/>
        <w:ind w:left="420" w:hanging="260"/>
        <w:rPr>
          <w:rFonts w:hint="eastAsia" w:ascii="宋体" w:hAnsi="宋体" w:eastAsia="宋体" w:cs="宋体"/>
        </w:rPr>
      </w:pPr>
      <w:r>
        <w:rPr>
          <w:rFonts w:hint="eastAsia" w:ascii="宋体" w:hAnsi="宋体" w:eastAsia="宋体" w:cs="宋体"/>
          <w:color w:val="1F2937"/>
        </w:rPr>
        <w:t>3. 制定纠正措施和预防措施。</w:t>
      </w:r>
    </w:p>
    <w:p w14:paraId="63ADA475">
      <w:pPr>
        <w:spacing w:after="70" w:line="330" w:lineRule="auto"/>
        <w:ind w:left="420" w:hanging="260"/>
        <w:rPr>
          <w:rFonts w:hint="eastAsia" w:ascii="宋体" w:hAnsi="宋体" w:eastAsia="宋体" w:cs="宋体"/>
        </w:rPr>
      </w:pPr>
      <w:r>
        <w:rPr>
          <w:rFonts w:hint="eastAsia" w:ascii="宋体" w:hAnsi="宋体" w:eastAsia="宋体" w:cs="宋体"/>
          <w:color w:val="1F2937"/>
        </w:rPr>
        <w:t>4. 明确责任人和完成时间。</w:t>
      </w:r>
    </w:p>
    <w:p w14:paraId="7321A93B">
      <w:pPr>
        <w:spacing w:after="70" w:line="330" w:lineRule="auto"/>
        <w:ind w:left="420" w:hanging="260"/>
        <w:rPr>
          <w:rFonts w:hint="eastAsia" w:ascii="宋体" w:hAnsi="宋体" w:eastAsia="宋体" w:cs="宋体"/>
        </w:rPr>
      </w:pPr>
      <w:r>
        <w:rPr>
          <w:rFonts w:hint="eastAsia" w:ascii="宋体" w:hAnsi="宋体" w:eastAsia="宋体" w:cs="宋体"/>
          <w:color w:val="1F2937"/>
        </w:rPr>
        <w:t>5. 完成整改后复测验证。</w:t>
      </w:r>
    </w:p>
    <w:p w14:paraId="2AE6AED5">
      <w:pPr>
        <w:spacing w:after="70" w:line="330" w:lineRule="auto"/>
        <w:ind w:left="420" w:hanging="260"/>
        <w:rPr>
          <w:rFonts w:hint="eastAsia" w:ascii="宋体" w:hAnsi="宋体" w:eastAsia="宋体" w:cs="宋体"/>
        </w:rPr>
      </w:pPr>
      <w:r>
        <w:rPr>
          <w:rFonts w:hint="eastAsia" w:ascii="宋体" w:hAnsi="宋体" w:eastAsia="宋体" w:cs="宋体"/>
          <w:color w:val="1F2937"/>
        </w:rPr>
        <w:t>6. 将经验纳入规范、用例、检查表或运维 SOP。</w:t>
      </w:r>
    </w:p>
    <w:p w14:paraId="7CC0BAE3">
      <w:pPr>
        <w:pStyle w:val="5"/>
        <w:bidi w:val="0"/>
        <w:rPr>
          <w:rFonts w:hint="eastAsia" w:ascii="宋体" w:hAnsi="宋体" w:eastAsia="宋体" w:cs="宋体"/>
          <w:b w:val="0"/>
          <w:bCs/>
          <w:lang w:val="en-US" w:eastAsia="zh-CN"/>
        </w:rPr>
      </w:pPr>
      <w:r>
        <w:rPr>
          <w:rFonts w:hint="eastAsia" w:cs="宋体"/>
          <w:b w:val="0"/>
          <w:bCs/>
          <w:lang w:val="en-US" w:eastAsia="zh-CN"/>
        </w:rPr>
        <w:t>11.6</w:t>
      </w:r>
      <w:r>
        <w:rPr>
          <w:rFonts w:hint="eastAsia" w:ascii="宋体" w:hAnsi="宋体" w:eastAsia="宋体" w:cs="宋体"/>
          <w:b w:val="0"/>
          <w:bCs/>
          <w:lang w:val="en-US" w:eastAsia="zh-CN"/>
        </w:rPr>
        <w:t>.11 核心交付物清单</w:t>
      </w:r>
    </w:p>
    <w:p w14:paraId="14A09D2E">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.11.1 交付物总表</w:t>
      </w:r>
    </w:p>
    <w:p w14:paraId="7BD917D6">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本项目以“可运行、可接管、可追溯”为标准组织交付：</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1"/>
        <w:gridCol w:w="4285"/>
        <w:gridCol w:w="3106"/>
      </w:tblGrid>
      <w:tr w14:paraId="2AB1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31"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262CF9B">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交付物</w:t>
            </w:r>
          </w:p>
        </w:tc>
        <w:tc>
          <w:tcPr>
            <w:tcW w:w="23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15AD974">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覆盖范围</w:t>
            </w:r>
          </w:p>
        </w:tc>
        <w:tc>
          <w:tcPr>
            <w:tcW w:w="1667"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C02DB94">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验收方式</w:t>
            </w:r>
          </w:p>
        </w:tc>
      </w:tr>
      <w:tr w14:paraId="2C101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546A69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源代码及注释</w:t>
            </w:r>
          </w:p>
        </w:tc>
        <w:tc>
          <w:tcPr>
            <w:tcW w:w="23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B88DD4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平台全部源码</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A5F14E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可编译、可部署、可运行</w:t>
            </w:r>
          </w:p>
        </w:tc>
      </w:tr>
      <w:tr w14:paraId="178DE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C415D5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数据库脚本</w:t>
            </w:r>
          </w:p>
        </w:tc>
        <w:tc>
          <w:tcPr>
            <w:tcW w:w="23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3F29E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建表、变更、初始化、字典、权限、回滚脚本</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2EB712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在测试环境执行通过</w:t>
            </w:r>
          </w:p>
        </w:tc>
      </w:tr>
      <w:tr w14:paraId="6E8CD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EBFEEB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接口文档</w:t>
            </w:r>
          </w:p>
        </w:tc>
        <w:tc>
          <w:tcPr>
            <w:tcW w:w="23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97B362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平台全部接口</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ED431B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字段、鉴权、错误码、示例完整</w:t>
            </w:r>
          </w:p>
        </w:tc>
      </w:tr>
      <w:tr w14:paraId="68510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753B542">
            <w:pPr>
              <w:spacing w:after="0" w:line="300" w:lineRule="auto"/>
              <w:rPr>
                <w:rFonts w:hint="eastAsia" w:ascii="宋体" w:hAnsi="宋体" w:eastAsia="宋体" w:cs="宋体"/>
                <w:lang w:val="en-US" w:eastAsia="zh-CN"/>
              </w:rPr>
            </w:pPr>
            <w:r>
              <w:rPr>
                <w:rFonts w:hint="eastAsia" w:ascii="宋体" w:hAnsi="宋体" w:eastAsia="宋体" w:cs="宋体"/>
                <w:b w:val="0"/>
                <w:bCs w:val="0"/>
                <w:color w:val="172033"/>
                <w:sz w:val="18"/>
                <w:szCs w:val="18"/>
                <w:lang w:val="en-US" w:eastAsia="zh-CN"/>
              </w:rPr>
              <w:t>项目</w:t>
            </w:r>
            <w:r>
              <w:rPr>
                <w:rFonts w:hint="eastAsia" w:ascii="宋体" w:hAnsi="宋体" w:eastAsia="宋体" w:cs="宋体"/>
                <w:b w:val="0"/>
                <w:bCs w:val="0"/>
                <w:color w:val="172033"/>
                <w:sz w:val="18"/>
                <w:szCs w:val="18"/>
              </w:rPr>
              <w:t>部署说明</w:t>
            </w:r>
            <w:r>
              <w:rPr>
                <w:rFonts w:hint="eastAsia" w:ascii="宋体" w:hAnsi="宋体" w:eastAsia="宋体" w:cs="宋体"/>
                <w:b w:val="0"/>
                <w:bCs w:val="0"/>
                <w:color w:val="172033"/>
                <w:sz w:val="18"/>
                <w:szCs w:val="18"/>
                <w:lang w:val="en-US" w:eastAsia="zh-CN"/>
              </w:rPr>
              <w:t>书</w:t>
            </w:r>
          </w:p>
        </w:tc>
        <w:tc>
          <w:tcPr>
            <w:tcW w:w="23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CD0EC3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服务部署、参数配置、依赖、启停、回滚</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F58E53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可按文档独立部署</w:t>
            </w:r>
          </w:p>
        </w:tc>
      </w:tr>
      <w:tr w14:paraId="2A58D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D8FCB86">
            <w:pPr>
              <w:spacing w:after="0" w:line="300" w:lineRule="auto"/>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lang w:val="en-US" w:eastAsia="zh-CN"/>
              </w:rPr>
              <w:t>项目系统</w:t>
            </w:r>
            <w:r>
              <w:rPr>
                <w:rFonts w:hint="eastAsia" w:ascii="宋体" w:hAnsi="宋体" w:eastAsia="宋体" w:cs="宋体"/>
                <w:b w:val="0"/>
                <w:bCs w:val="0"/>
                <w:color w:val="172033"/>
                <w:sz w:val="18"/>
                <w:szCs w:val="18"/>
              </w:rPr>
              <w:t>测试报告</w:t>
            </w:r>
          </w:p>
        </w:tc>
        <w:tc>
          <w:tcPr>
            <w:tcW w:w="23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6B1155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功能、接口、性能、安全、兼容性测试</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24543E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指标达标，缺陷闭环</w:t>
            </w:r>
          </w:p>
        </w:tc>
      </w:tr>
      <w:tr w14:paraId="070D7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D9FC1FE">
            <w:pPr>
              <w:spacing w:after="0" w:line="300" w:lineRule="auto"/>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lang w:val="en-US" w:eastAsia="zh-CN"/>
              </w:rPr>
              <w:t>系统</w:t>
            </w:r>
            <w:r>
              <w:rPr>
                <w:rFonts w:hint="eastAsia" w:ascii="宋体" w:hAnsi="宋体" w:eastAsia="宋体" w:cs="宋体"/>
                <w:b w:val="0"/>
                <w:bCs w:val="0"/>
                <w:color w:val="172033"/>
                <w:sz w:val="18"/>
                <w:szCs w:val="18"/>
              </w:rPr>
              <w:t>操作手册</w:t>
            </w:r>
          </w:p>
        </w:tc>
        <w:tc>
          <w:tcPr>
            <w:tcW w:w="23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614EEF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平台全部模块、全部角色</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73A83B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图文清晰，覆盖流程与异常处理</w:t>
            </w:r>
          </w:p>
        </w:tc>
      </w:tr>
      <w:tr w14:paraId="28EC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58AB20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系统运维手册</w:t>
            </w:r>
          </w:p>
        </w:tc>
        <w:tc>
          <w:tcPr>
            <w:tcW w:w="23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A243E1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日志、备份、恢复、巡检、故障处理</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3221D8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支持甲方独立运维</w:t>
            </w:r>
          </w:p>
        </w:tc>
      </w:tr>
      <w:tr w14:paraId="4716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CB7C1CE">
            <w:pPr>
              <w:spacing w:after="0" w:line="300" w:lineRule="auto"/>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lang w:val="en-US" w:eastAsia="zh-CN"/>
              </w:rPr>
              <w:t>项目实施计划</w:t>
            </w:r>
          </w:p>
        </w:tc>
        <w:tc>
          <w:tcPr>
            <w:tcW w:w="23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58A711D">
            <w:pPr>
              <w:spacing w:after="0" w:line="300" w:lineRule="auto"/>
              <w:rPr>
                <w:rFonts w:hint="default" w:ascii="宋体" w:hAnsi="宋体" w:eastAsia="宋体" w:cs="宋体"/>
                <w:b w:val="0"/>
                <w:bCs w:val="0"/>
                <w:color w:val="172033"/>
                <w:sz w:val="18"/>
                <w:szCs w:val="18"/>
                <w:lang w:val="en-US" w:eastAsia="zh-CN"/>
              </w:rPr>
            </w:pPr>
            <w:r>
              <w:rPr>
                <w:rFonts w:hint="eastAsia" w:ascii="宋体" w:hAnsi="宋体" w:eastAsia="宋体" w:cs="宋体"/>
                <w:b w:val="0"/>
                <w:bCs w:val="0"/>
                <w:color w:val="172033"/>
                <w:sz w:val="18"/>
                <w:szCs w:val="18"/>
                <w:lang w:val="en-US" w:eastAsia="zh-CN"/>
              </w:rPr>
              <w:t>资源投入计划、需求排期计划</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69191C4">
            <w:pPr>
              <w:spacing w:after="0" w:line="300" w:lineRule="auto"/>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lang w:val="en-US" w:eastAsia="zh-CN"/>
              </w:rPr>
              <w:t>电子版、</w:t>
            </w:r>
            <w:r>
              <w:rPr>
                <w:rFonts w:hint="eastAsia" w:ascii="宋体" w:hAnsi="宋体" w:eastAsia="宋体" w:cs="宋体"/>
                <w:b w:val="0"/>
                <w:bCs w:val="0"/>
                <w:color w:val="172033"/>
                <w:sz w:val="18"/>
                <w:szCs w:val="18"/>
              </w:rPr>
              <w:t>纸质</w:t>
            </w:r>
            <w:r>
              <w:rPr>
                <w:rFonts w:hint="eastAsia" w:ascii="宋体" w:hAnsi="宋体" w:eastAsia="宋体" w:cs="宋体"/>
                <w:b w:val="0"/>
                <w:bCs w:val="0"/>
                <w:color w:val="172033"/>
                <w:sz w:val="18"/>
                <w:szCs w:val="18"/>
                <w:lang w:val="en-US" w:eastAsia="zh-CN"/>
              </w:rPr>
              <w:t>版</w:t>
            </w:r>
            <w:r>
              <w:rPr>
                <w:rFonts w:hint="eastAsia" w:ascii="宋体" w:hAnsi="宋体" w:eastAsia="宋体" w:cs="宋体"/>
                <w:b w:val="0"/>
                <w:bCs w:val="0"/>
                <w:color w:val="172033"/>
                <w:sz w:val="18"/>
                <w:szCs w:val="18"/>
              </w:rPr>
              <w:t>归档确认</w:t>
            </w:r>
          </w:p>
        </w:tc>
      </w:tr>
      <w:tr w14:paraId="0EDB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CFC2D4D">
            <w:pPr>
              <w:spacing w:after="0" w:line="300" w:lineRule="auto"/>
              <w:rPr>
                <w:rFonts w:hint="default" w:ascii="宋体" w:hAnsi="宋体" w:eastAsia="宋体" w:cs="宋体"/>
                <w:b w:val="0"/>
                <w:bCs w:val="0"/>
                <w:color w:val="172033"/>
                <w:sz w:val="18"/>
                <w:szCs w:val="18"/>
                <w:lang w:val="en-US"/>
              </w:rPr>
            </w:pPr>
            <w:r>
              <w:rPr>
                <w:rFonts w:hint="eastAsia" w:ascii="宋体" w:hAnsi="宋体" w:eastAsia="宋体" w:cs="宋体"/>
                <w:b w:val="0"/>
                <w:bCs w:val="0"/>
                <w:color w:val="172033"/>
                <w:sz w:val="18"/>
                <w:szCs w:val="18"/>
                <w:lang w:val="en-US" w:eastAsia="zh-CN"/>
              </w:rPr>
              <w:t>项目需求规格说明书</w:t>
            </w:r>
          </w:p>
        </w:tc>
        <w:tc>
          <w:tcPr>
            <w:tcW w:w="23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D2B976A">
            <w:pPr>
              <w:spacing w:after="0" w:line="300" w:lineRule="auto"/>
              <w:rPr>
                <w:rFonts w:hint="default" w:ascii="宋体" w:hAnsi="宋体" w:eastAsia="宋体" w:cs="宋体"/>
                <w:b w:val="0"/>
                <w:bCs w:val="0"/>
                <w:color w:val="172033"/>
                <w:sz w:val="18"/>
                <w:szCs w:val="18"/>
                <w:lang w:val="en-US" w:eastAsia="zh-CN"/>
              </w:rPr>
            </w:pPr>
            <w:r>
              <w:rPr>
                <w:rFonts w:hint="eastAsia" w:ascii="宋体" w:hAnsi="宋体" w:eastAsia="宋体" w:cs="宋体"/>
                <w:b w:val="0"/>
                <w:bCs w:val="0"/>
                <w:color w:val="172033"/>
                <w:sz w:val="18"/>
                <w:szCs w:val="18"/>
                <w:lang w:val="en-US" w:eastAsia="zh-CN"/>
              </w:rPr>
              <w:t>平台全部功能</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AD5EC7E">
            <w:pPr>
              <w:spacing w:after="0" w:line="300" w:lineRule="auto"/>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lang w:val="en-US" w:eastAsia="zh-CN"/>
              </w:rPr>
              <w:t>电子版、</w:t>
            </w:r>
            <w:r>
              <w:rPr>
                <w:rFonts w:hint="eastAsia" w:ascii="宋体" w:hAnsi="宋体" w:eastAsia="宋体" w:cs="宋体"/>
                <w:b w:val="0"/>
                <w:bCs w:val="0"/>
                <w:color w:val="172033"/>
                <w:sz w:val="18"/>
                <w:szCs w:val="18"/>
              </w:rPr>
              <w:t>纸质</w:t>
            </w:r>
            <w:r>
              <w:rPr>
                <w:rFonts w:hint="eastAsia" w:ascii="宋体" w:hAnsi="宋体" w:eastAsia="宋体" w:cs="宋体"/>
                <w:b w:val="0"/>
                <w:bCs w:val="0"/>
                <w:color w:val="172033"/>
                <w:sz w:val="18"/>
                <w:szCs w:val="18"/>
                <w:lang w:val="en-US" w:eastAsia="zh-CN"/>
              </w:rPr>
              <w:t>版</w:t>
            </w:r>
            <w:r>
              <w:rPr>
                <w:rFonts w:hint="eastAsia" w:ascii="宋体" w:hAnsi="宋体" w:eastAsia="宋体" w:cs="宋体"/>
                <w:b w:val="0"/>
                <w:bCs w:val="0"/>
                <w:color w:val="172033"/>
                <w:sz w:val="18"/>
                <w:szCs w:val="18"/>
              </w:rPr>
              <w:t>归档确认</w:t>
            </w:r>
          </w:p>
        </w:tc>
      </w:tr>
      <w:tr w14:paraId="373A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54781D7">
            <w:pPr>
              <w:spacing w:after="0" w:line="300" w:lineRule="auto"/>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lang w:val="en-US" w:eastAsia="zh-CN"/>
              </w:rPr>
              <w:t>项目设计方案</w:t>
            </w:r>
          </w:p>
        </w:tc>
        <w:tc>
          <w:tcPr>
            <w:tcW w:w="23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0EC4F3D">
            <w:pPr>
              <w:spacing w:after="0" w:line="300" w:lineRule="auto"/>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lang w:val="en-US" w:eastAsia="zh-CN"/>
              </w:rPr>
              <w:t>平台全部功能</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04B1BC2">
            <w:pPr>
              <w:spacing w:after="0" w:line="300" w:lineRule="auto"/>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lang w:val="en-US" w:eastAsia="zh-CN"/>
              </w:rPr>
              <w:t>电子版、</w:t>
            </w:r>
            <w:r>
              <w:rPr>
                <w:rFonts w:hint="eastAsia" w:ascii="宋体" w:hAnsi="宋体" w:eastAsia="宋体" w:cs="宋体"/>
                <w:b w:val="0"/>
                <w:bCs w:val="0"/>
                <w:color w:val="172033"/>
                <w:sz w:val="18"/>
                <w:szCs w:val="18"/>
              </w:rPr>
              <w:t>纸质</w:t>
            </w:r>
            <w:r>
              <w:rPr>
                <w:rFonts w:hint="eastAsia" w:ascii="宋体" w:hAnsi="宋体" w:eastAsia="宋体" w:cs="宋体"/>
                <w:b w:val="0"/>
                <w:bCs w:val="0"/>
                <w:color w:val="172033"/>
                <w:sz w:val="18"/>
                <w:szCs w:val="18"/>
                <w:lang w:val="en-US" w:eastAsia="zh-CN"/>
              </w:rPr>
              <w:t>版</w:t>
            </w:r>
            <w:r>
              <w:rPr>
                <w:rFonts w:hint="eastAsia" w:ascii="宋体" w:hAnsi="宋体" w:eastAsia="宋体" w:cs="宋体"/>
                <w:b w:val="0"/>
                <w:bCs w:val="0"/>
                <w:color w:val="172033"/>
                <w:sz w:val="18"/>
                <w:szCs w:val="18"/>
              </w:rPr>
              <w:t>归档确认</w:t>
            </w:r>
          </w:p>
        </w:tc>
      </w:tr>
      <w:tr w14:paraId="7814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DE1741F">
            <w:pPr>
              <w:spacing w:after="0" w:line="300" w:lineRule="auto"/>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lang w:val="en-US" w:eastAsia="zh-CN"/>
              </w:rPr>
              <w:t>项目验收报告</w:t>
            </w:r>
          </w:p>
        </w:tc>
        <w:tc>
          <w:tcPr>
            <w:tcW w:w="23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D303523">
            <w:pPr>
              <w:spacing w:after="0" w:line="300" w:lineRule="auto"/>
              <w:rPr>
                <w:rFonts w:hint="default" w:ascii="宋体" w:hAnsi="宋体" w:eastAsia="宋体" w:cs="宋体"/>
                <w:b w:val="0"/>
                <w:bCs w:val="0"/>
                <w:color w:val="172033"/>
                <w:sz w:val="18"/>
                <w:szCs w:val="18"/>
                <w:lang w:val="en-US"/>
              </w:rPr>
            </w:pPr>
            <w:r>
              <w:rPr>
                <w:rFonts w:hint="eastAsia" w:ascii="宋体" w:hAnsi="宋体" w:eastAsia="宋体" w:cs="宋体"/>
                <w:b w:val="0"/>
                <w:bCs w:val="0"/>
                <w:color w:val="172033"/>
                <w:sz w:val="18"/>
                <w:szCs w:val="18"/>
                <w:lang w:val="en-US" w:eastAsia="zh-CN"/>
              </w:rPr>
              <w:t>平台全部功能、所有测试用例</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2B7C52E">
            <w:pPr>
              <w:spacing w:after="0" w:line="300" w:lineRule="auto"/>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lang w:val="en-US" w:eastAsia="zh-CN"/>
              </w:rPr>
              <w:t>电子版、</w:t>
            </w:r>
            <w:r>
              <w:rPr>
                <w:rFonts w:hint="eastAsia" w:ascii="宋体" w:hAnsi="宋体" w:eastAsia="宋体" w:cs="宋体"/>
                <w:b w:val="0"/>
                <w:bCs w:val="0"/>
                <w:color w:val="172033"/>
                <w:sz w:val="18"/>
                <w:szCs w:val="18"/>
              </w:rPr>
              <w:t>纸质</w:t>
            </w:r>
            <w:r>
              <w:rPr>
                <w:rFonts w:hint="eastAsia" w:ascii="宋体" w:hAnsi="宋体" w:eastAsia="宋体" w:cs="宋体"/>
                <w:b w:val="0"/>
                <w:bCs w:val="0"/>
                <w:color w:val="172033"/>
                <w:sz w:val="18"/>
                <w:szCs w:val="18"/>
                <w:lang w:val="en-US" w:eastAsia="zh-CN"/>
              </w:rPr>
              <w:t>版</w:t>
            </w:r>
            <w:r>
              <w:rPr>
                <w:rFonts w:hint="eastAsia" w:ascii="宋体" w:hAnsi="宋体" w:eastAsia="宋体" w:cs="宋体"/>
                <w:b w:val="0"/>
                <w:bCs w:val="0"/>
                <w:color w:val="172033"/>
                <w:sz w:val="18"/>
                <w:szCs w:val="18"/>
              </w:rPr>
              <w:t>归档确认</w:t>
            </w:r>
          </w:p>
        </w:tc>
      </w:tr>
      <w:tr w14:paraId="5F981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D79F6E0">
            <w:pPr>
              <w:spacing w:after="0" w:line="300" w:lineRule="auto"/>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lang w:val="en-US" w:eastAsia="zh-CN"/>
              </w:rPr>
              <w:t>相关培训资料</w:t>
            </w:r>
          </w:p>
        </w:tc>
        <w:tc>
          <w:tcPr>
            <w:tcW w:w="23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09515C1">
            <w:pPr>
              <w:spacing w:after="0" w:line="300" w:lineRule="auto"/>
              <w:rPr>
                <w:rFonts w:hint="eastAsia" w:ascii="宋体" w:hAnsi="宋体" w:eastAsia="宋体" w:cs="宋体"/>
                <w:b w:val="0"/>
                <w:bCs w:val="0"/>
                <w:color w:val="172033"/>
                <w:sz w:val="18"/>
                <w:szCs w:val="18"/>
                <w:lang w:val="en-US" w:eastAsia="zh-CN"/>
              </w:rPr>
            </w:pPr>
            <w:r>
              <w:rPr>
                <w:rFonts w:hint="eastAsia" w:ascii="宋体" w:hAnsi="宋体" w:eastAsia="宋体" w:cs="宋体"/>
                <w:b w:val="0"/>
                <w:bCs w:val="0"/>
                <w:color w:val="172033"/>
                <w:sz w:val="18"/>
                <w:szCs w:val="18"/>
                <w:lang w:val="en-US" w:eastAsia="zh-CN"/>
              </w:rPr>
              <w:t>系统架构、配置、工作原理、安装调测、操作维护和升级优化等方面</w:t>
            </w:r>
          </w:p>
          <w:p w14:paraId="2EBBC882">
            <w:pPr>
              <w:spacing w:after="0" w:line="300" w:lineRule="auto"/>
              <w:rPr>
                <w:rFonts w:hint="eastAsia" w:ascii="宋体" w:hAnsi="宋体" w:eastAsia="宋体" w:cs="宋体"/>
                <w:b w:val="0"/>
                <w:bCs w:val="0"/>
                <w:color w:val="172033"/>
                <w:sz w:val="18"/>
                <w:szCs w:val="18"/>
              </w:rPr>
            </w:pP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C62831">
            <w:pPr>
              <w:spacing w:after="0" w:line="300" w:lineRule="auto"/>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lang w:val="en-US" w:eastAsia="zh-CN"/>
              </w:rPr>
              <w:t>电子版、</w:t>
            </w:r>
            <w:r>
              <w:rPr>
                <w:rFonts w:hint="eastAsia" w:ascii="宋体" w:hAnsi="宋体" w:eastAsia="宋体" w:cs="宋体"/>
                <w:b w:val="0"/>
                <w:bCs w:val="0"/>
                <w:color w:val="172033"/>
                <w:sz w:val="18"/>
                <w:szCs w:val="18"/>
              </w:rPr>
              <w:t>纸质</w:t>
            </w:r>
            <w:r>
              <w:rPr>
                <w:rFonts w:hint="eastAsia" w:ascii="宋体" w:hAnsi="宋体" w:eastAsia="宋体" w:cs="宋体"/>
                <w:b w:val="0"/>
                <w:bCs w:val="0"/>
                <w:color w:val="172033"/>
                <w:sz w:val="18"/>
                <w:szCs w:val="18"/>
                <w:lang w:val="en-US" w:eastAsia="zh-CN"/>
              </w:rPr>
              <w:t>版</w:t>
            </w:r>
            <w:r>
              <w:rPr>
                <w:rFonts w:hint="eastAsia" w:ascii="宋体" w:hAnsi="宋体" w:eastAsia="宋体" w:cs="宋体"/>
                <w:b w:val="0"/>
                <w:bCs w:val="0"/>
                <w:color w:val="172033"/>
                <w:sz w:val="18"/>
                <w:szCs w:val="18"/>
              </w:rPr>
              <w:t>归档确认</w:t>
            </w:r>
          </w:p>
        </w:tc>
      </w:tr>
      <w:tr w14:paraId="4F1E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1"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0E32A22">
            <w:pPr>
              <w:spacing w:after="0" w:line="300" w:lineRule="auto"/>
              <w:rPr>
                <w:rFonts w:hint="eastAsia" w:ascii="宋体" w:hAnsi="宋体" w:eastAsia="宋体" w:cs="宋体"/>
                <w:b w:val="0"/>
                <w:bCs w:val="0"/>
                <w:color w:val="172033"/>
                <w:sz w:val="18"/>
                <w:szCs w:val="18"/>
                <w:lang w:val="en-US" w:eastAsia="zh-CN"/>
              </w:rPr>
            </w:pPr>
            <w:r>
              <w:rPr>
                <w:rFonts w:hint="eastAsia" w:ascii="宋体" w:hAnsi="宋体" w:eastAsia="宋体" w:cs="宋体"/>
                <w:b w:val="0"/>
                <w:bCs w:val="0"/>
                <w:color w:val="172033"/>
                <w:sz w:val="18"/>
                <w:szCs w:val="18"/>
                <w:lang w:val="en-US" w:eastAsia="zh-CN"/>
              </w:rPr>
              <w:t>项目试运行报告</w:t>
            </w:r>
          </w:p>
        </w:tc>
        <w:tc>
          <w:tcPr>
            <w:tcW w:w="23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84ADF7B">
            <w:pPr>
              <w:spacing w:after="0" w:line="300" w:lineRule="auto"/>
              <w:rPr>
                <w:rFonts w:hint="default" w:ascii="宋体" w:hAnsi="宋体" w:eastAsia="宋体" w:cs="宋体"/>
                <w:b w:val="0"/>
                <w:bCs w:val="0"/>
                <w:color w:val="172033"/>
                <w:sz w:val="18"/>
                <w:szCs w:val="18"/>
                <w:lang w:val="en-US" w:eastAsia="zh-CN"/>
              </w:rPr>
            </w:pPr>
            <w:r>
              <w:rPr>
                <w:rFonts w:hint="eastAsia" w:ascii="宋体" w:hAnsi="宋体" w:eastAsia="宋体" w:cs="宋体"/>
                <w:b w:val="0"/>
                <w:bCs w:val="0"/>
                <w:color w:val="172033"/>
                <w:sz w:val="18"/>
                <w:szCs w:val="18"/>
                <w:lang w:val="en-US" w:eastAsia="zh-CN"/>
              </w:rPr>
              <w:t>试运行范围、试运行过程、试运行效果</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7FA0FB">
            <w:pPr>
              <w:spacing w:after="0" w:line="300" w:lineRule="auto"/>
              <w:rPr>
                <w:rFonts w:hint="eastAsia" w:ascii="宋体" w:hAnsi="宋体" w:eastAsia="宋体" w:cs="宋体"/>
                <w:b w:val="0"/>
                <w:bCs w:val="0"/>
                <w:color w:val="172033"/>
                <w:sz w:val="18"/>
                <w:szCs w:val="18"/>
                <w:lang w:val="en-US" w:eastAsia="zh-CN"/>
              </w:rPr>
            </w:pPr>
            <w:r>
              <w:rPr>
                <w:rFonts w:hint="eastAsia" w:ascii="宋体" w:hAnsi="宋体" w:eastAsia="宋体" w:cs="宋体"/>
                <w:b w:val="0"/>
                <w:bCs w:val="0"/>
                <w:color w:val="172033"/>
                <w:sz w:val="18"/>
                <w:szCs w:val="18"/>
                <w:lang w:val="en-US" w:eastAsia="zh-CN"/>
              </w:rPr>
              <w:t>电子版、</w:t>
            </w:r>
            <w:r>
              <w:rPr>
                <w:rFonts w:hint="eastAsia" w:ascii="宋体" w:hAnsi="宋体" w:eastAsia="宋体" w:cs="宋体"/>
                <w:b w:val="0"/>
                <w:bCs w:val="0"/>
                <w:color w:val="172033"/>
                <w:sz w:val="18"/>
                <w:szCs w:val="18"/>
              </w:rPr>
              <w:t>纸质</w:t>
            </w:r>
            <w:r>
              <w:rPr>
                <w:rFonts w:hint="eastAsia" w:ascii="宋体" w:hAnsi="宋体" w:eastAsia="宋体" w:cs="宋体"/>
                <w:b w:val="0"/>
                <w:bCs w:val="0"/>
                <w:color w:val="172033"/>
                <w:sz w:val="18"/>
                <w:szCs w:val="18"/>
                <w:lang w:val="en-US" w:eastAsia="zh-CN"/>
              </w:rPr>
              <w:t>版</w:t>
            </w:r>
            <w:r>
              <w:rPr>
                <w:rFonts w:hint="eastAsia" w:ascii="宋体" w:hAnsi="宋体" w:eastAsia="宋体" w:cs="宋体"/>
                <w:b w:val="0"/>
                <w:bCs w:val="0"/>
                <w:color w:val="172033"/>
                <w:sz w:val="18"/>
                <w:szCs w:val="18"/>
              </w:rPr>
              <w:t>归档确认</w:t>
            </w:r>
          </w:p>
        </w:tc>
      </w:tr>
    </w:tbl>
    <w:p w14:paraId="518ED49A">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11.6</w:t>
      </w:r>
      <w:r>
        <w:rPr>
          <w:rFonts w:hint="eastAsia" w:ascii="宋体" w:hAnsi="宋体" w:eastAsia="宋体" w:cs="宋体"/>
          <w:b w:val="0"/>
          <w:bCs/>
          <w:lang w:val="en-US" w:eastAsia="zh-CN"/>
        </w:rPr>
        <w:t>.11.2 标准化交付资产目录</w:t>
      </w:r>
    </w:p>
    <w:p w14:paraId="74E7E2EC">
      <w:pPr>
        <w:spacing w:after="120" w:line="360" w:lineRule="auto"/>
        <w:ind w:firstLine="480" w:firstLineChars="200"/>
        <w:rPr>
          <w:rFonts w:hint="eastAsia" w:ascii="宋体" w:hAnsi="宋体" w:eastAsia="宋体" w:cs="宋体"/>
          <w:color w:val="1F2937"/>
          <w:lang w:eastAsia="zh-CN"/>
        </w:rPr>
      </w:pPr>
      <w:r>
        <w:rPr>
          <w:rFonts w:hint="eastAsia" w:ascii="宋体" w:hAnsi="宋体" w:eastAsia="宋体" w:cs="宋体"/>
          <w:color w:val="1F2937"/>
          <w:lang w:eastAsia="zh-CN"/>
        </w:rPr>
        <w:t>针对项目交付中常见的文件杂乱问题，我方特别构建了一套结构化的归档目录，如下所示：</w:t>
      </w:r>
    </w:p>
    <w:p w14:paraId="66462803">
      <w:pPr>
        <w:spacing w:after="120" w:line="360" w:lineRule="auto"/>
        <w:rPr>
          <w:rFonts w:hint="eastAsia" w:ascii="宋体" w:hAnsi="宋体" w:eastAsia="宋体" w:cs="宋体"/>
          <w:color w:val="1F2937"/>
          <w:lang w:eastAsia="zh-CN"/>
        </w:rPr>
      </w:pPr>
      <w:r>
        <w:rPr>
          <w:rFonts w:hint="eastAsia" w:ascii="宋体" w:hAnsi="宋体" w:eastAsia="宋体" w:cs="宋体"/>
          <w:color w:val="1F2937"/>
          <w:lang w:eastAsia="zh-CN"/>
        </w:rPr>
        <w:drawing>
          <wp:inline distT="0" distB="0" distL="114300" distR="114300">
            <wp:extent cx="6286500" cy="4453255"/>
            <wp:effectExtent l="0" t="0" r="6985" b="5080"/>
            <wp:docPr id="17" name="图片 17" descr="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age5"/>
                    <pic:cNvPicPr>
                      <a:picLocks noChangeAspect="1"/>
                    </pic:cNvPicPr>
                  </pic:nvPicPr>
                  <pic:blipFill>
                    <a:blip r:embed="rId26"/>
                    <a:stretch>
                      <a:fillRect/>
                    </a:stretch>
                  </pic:blipFill>
                  <pic:spPr>
                    <a:xfrm>
                      <a:off x="0" y="0"/>
                      <a:ext cx="6286500" cy="4453255"/>
                    </a:xfrm>
                    <a:prstGeom prst="rect">
                      <a:avLst/>
                    </a:prstGeom>
                  </pic:spPr>
                </pic:pic>
              </a:graphicData>
            </a:graphic>
          </wp:inline>
        </w:drawing>
      </w:r>
    </w:p>
    <w:p w14:paraId="4EFD5421">
      <w:pPr>
        <w:pStyle w:val="5"/>
        <w:bidi w:val="0"/>
        <w:rPr>
          <w:rFonts w:hint="eastAsia" w:ascii="宋体" w:hAnsi="宋体" w:eastAsia="宋体" w:cs="宋体"/>
          <w:b w:val="0"/>
          <w:bCs/>
          <w:lang w:val="en-US" w:eastAsia="zh-CN"/>
        </w:rPr>
      </w:pPr>
      <w:r>
        <w:rPr>
          <w:rFonts w:hint="eastAsia" w:cs="宋体"/>
          <w:b w:val="0"/>
          <w:bCs/>
          <w:lang w:val="en-US" w:eastAsia="zh-CN"/>
        </w:rPr>
        <w:t>11.6</w:t>
      </w:r>
      <w:r>
        <w:rPr>
          <w:rFonts w:hint="eastAsia" w:ascii="宋体" w:hAnsi="宋体" w:eastAsia="宋体" w:cs="宋体"/>
          <w:b w:val="0"/>
          <w:bCs/>
          <w:lang w:val="en-US" w:eastAsia="zh-CN"/>
        </w:rPr>
        <w:t>.12 验收前自检与交付检查表</w:t>
      </w:r>
    </w:p>
    <w:p w14:paraId="71038848">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本方案中的交付完整性检查表可以作为验收前自检工具，明确以下检查维度：</w:t>
      </w:r>
    </w:p>
    <w:p w14:paraId="06301BCA">
      <w:pPr>
        <w:spacing w:after="70" w:line="330" w:lineRule="auto"/>
        <w:ind w:left="420" w:hanging="260"/>
        <w:rPr>
          <w:rFonts w:hint="eastAsia" w:ascii="宋体" w:hAnsi="宋体" w:eastAsia="宋体" w:cs="宋体"/>
        </w:rPr>
      </w:pPr>
      <w:r>
        <w:rPr>
          <w:rFonts w:hint="eastAsia" w:ascii="宋体" w:hAnsi="宋体" w:eastAsia="宋体" w:cs="宋体"/>
          <w:color w:val="1F2937"/>
        </w:rPr>
        <w:t>1. 源代码是否全量移交</w:t>
      </w:r>
    </w:p>
    <w:p w14:paraId="47B7AAD6">
      <w:pPr>
        <w:spacing w:after="70" w:line="330" w:lineRule="auto"/>
        <w:ind w:left="420" w:hanging="260"/>
        <w:rPr>
          <w:rFonts w:hint="eastAsia" w:ascii="宋体" w:hAnsi="宋体" w:eastAsia="宋体" w:cs="宋体"/>
        </w:rPr>
      </w:pPr>
      <w:r>
        <w:rPr>
          <w:rFonts w:hint="eastAsia" w:ascii="宋体" w:hAnsi="宋体" w:eastAsia="宋体" w:cs="宋体"/>
          <w:color w:val="1F2937"/>
        </w:rPr>
        <w:t>2. 代码注释是否完整</w:t>
      </w:r>
    </w:p>
    <w:p w14:paraId="1D3D55FB">
      <w:pPr>
        <w:spacing w:after="70" w:line="330" w:lineRule="auto"/>
        <w:ind w:left="420" w:hanging="260"/>
        <w:rPr>
          <w:rFonts w:hint="eastAsia" w:ascii="宋体" w:hAnsi="宋体" w:eastAsia="宋体" w:cs="宋体"/>
        </w:rPr>
      </w:pPr>
      <w:r>
        <w:rPr>
          <w:rFonts w:hint="eastAsia" w:ascii="宋体" w:hAnsi="宋体" w:eastAsia="宋体" w:cs="宋体"/>
          <w:color w:val="1F2937"/>
        </w:rPr>
        <w:t>3. 数据库脚本是否完整、可执行</w:t>
      </w:r>
    </w:p>
    <w:p w14:paraId="10DD9284">
      <w:pPr>
        <w:spacing w:after="70" w:line="330" w:lineRule="auto"/>
        <w:ind w:left="420" w:hanging="260"/>
        <w:rPr>
          <w:rFonts w:hint="eastAsia" w:ascii="宋体" w:hAnsi="宋体" w:eastAsia="宋体" w:cs="宋体"/>
        </w:rPr>
      </w:pPr>
      <w:r>
        <w:rPr>
          <w:rFonts w:hint="eastAsia" w:ascii="宋体" w:hAnsi="宋体" w:eastAsia="宋体" w:cs="宋体"/>
          <w:color w:val="1F2937"/>
        </w:rPr>
        <w:t>4. 数据字典是否齐全</w:t>
      </w:r>
    </w:p>
    <w:p w14:paraId="725D56C6">
      <w:pPr>
        <w:spacing w:after="70" w:line="330" w:lineRule="auto"/>
        <w:ind w:left="420" w:hanging="260"/>
        <w:rPr>
          <w:rFonts w:hint="eastAsia" w:ascii="宋体" w:hAnsi="宋体" w:eastAsia="宋体" w:cs="宋体"/>
        </w:rPr>
      </w:pPr>
      <w:r>
        <w:rPr>
          <w:rFonts w:hint="eastAsia" w:ascii="宋体" w:hAnsi="宋体" w:eastAsia="宋体" w:cs="宋体"/>
          <w:color w:val="1F2937"/>
        </w:rPr>
        <w:t>5. 接口文档是否与实际一致</w:t>
      </w:r>
    </w:p>
    <w:p w14:paraId="52EE0645">
      <w:pPr>
        <w:spacing w:after="70" w:line="330" w:lineRule="auto"/>
        <w:ind w:left="420" w:hanging="260"/>
        <w:rPr>
          <w:rFonts w:hint="eastAsia" w:ascii="宋体" w:hAnsi="宋体" w:eastAsia="宋体" w:cs="宋体"/>
        </w:rPr>
      </w:pPr>
      <w:r>
        <w:rPr>
          <w:rFonts w:hint="eastAsia" w:ascii="宋体" w:hAnsi="宋体" w:eastAsia="宋体" w:cs="宋体"/>
          <w:color w:val="1F2937"/>
        </w:rPr>
        <w:t>6. 部署手册是否可独立执行</w:t>
      </w:r>
    </w:p>
    <w:p w14:paraId="29B75D11">
      <w:pPr>
        <w:spacing w:after="70" w:line="330" w:lineRule="auto"/>
        <w:ind w:left="420" w:hanging="260"/>
        <w:rPr>
          <w:rFonts w:hint="eastAsia" w:ascii="宋体" w:hAnsi="宋体" w:eastAsia="宋体" w:cs="宋体"/>
          <w:color w:val="1F2937"/>
        </w:rPr>
      </w:pPr>
      <w:r>
        <w:rPr>
          <w:rFonts w:hint="eastAsia" w:ascii="宋体" w:hAnsi="宋体" w:eastAsia="宋体" w:cs="宋体"/>
          <w:color w:val="1F2937"/>
        </w:rPr>
        <w:t>7. 用户手册是否覆盖全角色</w:t>
      </w:r>
    </w:p>
    <w:p w14:paraId="34A8D47C">
      <w:pPr>
        <w:pStyle w:val="5"/>
        <w:bidi w:val="0"/>
        <w:rPr>
          <w:rFonts w:hint="default" w:ascii="宋体" w:hAnsi="宋体" w:eastAsia="宋体" w:cs="宋体"/>
          <w:b w:val="0"/>
          <w:bCs/>
          <w:lang w:val="en-US" w:eastAsia="zh-CN"/>
        </w:rPr>
      </w:pPr>
      <w:r>
        <w:rPr>
          <w:rFonts w:hint="eastAsia" w:cs="宋体"/>
          <w:b w:val="0"/>
          <w:bCs/>
          <w:lang w:val="en-US" w:eastAsia="zh-CN"/>
        </w:rPr>
        <w:t>11.6</w:t>
      </w:r>
      <w:r>
        <w:rPr>
          <w:rFonts w:hint="eastAsia" w:ascii="宋体" w:hAnsi="宋体" w:eastAsia="宋体" w:cs="宋体"/>
          <w:b w:val="0"/>
          <w:bCs/>
          <w:lang w:val="en-US" w:eastAsia="zh-CN"/>
        </w:rPr>
        <w:t>.13 项目管理工具</w:t>
      </w:r>
    </w:p>
    <w:p w14:paraId="53A7B5E6">
      <w:pPr>
        <w:spacing w:after="120" w:line="360" w:lineRule="auto"/>
        <w:ind w:firstLine="480" w:firstLineChars="200"/>
        <w:rPr>
          <w:rFonts w:hint="default" w:ascii="宋体" w:hAnsi="宋体" w:eastAsia="宋体" w:cs="宋体"/>
          <w:lang w:val="en-US"/>
        </w:rPr>
      </w:pPr>
      <w:r>
        <w:rPr>
          <w:rFonts w:hint="eastAsia" w:ascii="宋体" w:hAnsi="宋体" w:eastAsia="宋体" w:cs="宋体"/>
          <w:color w:val="1F2937"/>
        </w:rPr>
        <w:t>本</w:t>
      </w:r>
      <w:r>
        <w:rPr>
          <w:rFonts w:hint="eastAsia" w:ascii="宋体" w:hAnsi="宋体" w:eastAsia="宋体" w:cs="宋体"/>
          <w:color w:val="1F2937"/>
          <w:lang w:val="en-US" w:eastAsia="zh-CN"/>
        </w:rPr>
        <w:t>项目采用禅道（开源版）作为项目管理工具，支持项目开发的完整生命周期管理，涵盖研发核心流程及各细分项；甲方也可以通过该软件实时获取项目开发进度和过程材料验收。</w:t>
      </w:r>
    </w:p>
    <w:p w14:paraId="6694BB3C">
      <w:pPr>
        <w:spacing w:after="70" w:line="330" w:lineRule="auto"/>
        <w:ind w:left="420" w:firstLine="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禅道（开源版）核心功能如下：</w:t>
      </w:r>
    </w:p>
    <w:p w14:paraId="27C39CCC">
      <w:pPr>
        <w:keepNext w:val="0"/>
        <w:keepLines w:val="0"/>
        <w:widowControl/>
        <w:numPr>
          <w:ilvl w:val="0"/>
          <w:numId w:val="26"/>
        </w:numPr>
        <w:suppressLineNumbers w:val="0"/>
        <w:spacing w:before="0" w:beforeAutospacing="1" w:after="69" w:afterAutospacing="0" w:line="189" w:lineRule="atLeast"/>
        <w:ind w:left="720" w:hanging="360"/>
        <w:rPr>
          <w:rFonts w:hint="eastAsia" w:ascii="宋体" w:hAnsi="宋体" w:eastAsia="宋体" w:cs="宋体"/>
          <w:color w:val="1F2937"/>
          <w:lang w:val="en-US" w:eastAsia="zh-CN"/>
        </w:rPr>
      </w:pPr>
      <w:r>
        <w:rPr>
          <w:rFonts w:hint="eastAsia" w:ascii="宋体" w:hAnsi="宋体" w:eastAsia="宋体" w:cs="宋体"/>
          <w:color w:val="1F2937"/>
          <w:lang w:val="en-US" w:eastAsia="zh-CN"/>
        </w:rPr>
        <w:t>1. 需求管理：提供需求管理、排期管理和发布管理。</w:t>
      </w:r>
    </w:p>
    <w:p w14:paraId="0D1333CC">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需求条目化管理</w:t>
      </w:r>
    </w:p>
    <w:p w14:paraId="12D597D0">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需求变更管理</w:t>
      </w:r>
    </w:p>
    <w:p w14:paraId="60A26BAA">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需求版本管理</w:t>
      </w:r>
    </w:p>
    <w:p w14:paraId="69F1DFC9">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需求评审管理</w:t>
      </w:r>
    </w:p>
    <w:p w14:paraId="2797EFC9">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需求模块管理</w:t>
      </w:r>
    </w:p>
    <w:p w14:paraId="636EE0A0">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父子需求管理</w:t>
      </w:r>
    </w:p>
    <w:p w14:paraId="467BFEE5">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需求跟踪矩阵</w:t>
      </w:r>
    </w:p>
    <w:p w14:paraId="7668ABC2">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需求导入导出</w:t>
      </w:r>
    </w:p>
    <w:p w14:paraId="723BFED1">
      <w:pPr>
        <w:keepNext w:val="0"/>
        <w:keepLines w:val="0"/>
        <w:widowControl/>
        <w:numPr>
          <w:ilvl w:val="0"/>
          <w:numId w:val="26"/>
        </w:numPr>
        <w:suppressLineNumbers w:val="0"/>
        <w:spacing w:before="0" w:beforeAutospacing="1" w:after="69" w:afterAutospacing="0" w:line="189" w:lineRule="atLeast"/>
        <w:ind w:left="720" w:hanging="360"/>
        <w:rPr>
          <w:rFonts w:hint="eastAsia" w:ascii="宋体" w:hAnsi="宋体" w:eastAsia="宋体" w:cs="宋体"/>
          <w:color w:val="1F2937"/>
          <w:lang w:val="en-US" w:eastAsia="zh-CN"/>
        </w:rPr>
      </w:pPr>
      <w:r>
        <w:rPr>
          <w:rFonts w:hint="eastAsia" w:ascii="宋体" w:hAnsi="宋体" w:eastAsia="宋体" w:cs="宋体"/>
          <w:color w:val="1F2937"/>
          <w:lang w:val="en-US" w:eastAsia="zh-CN"/>
        </w:rPr>
        <w:t>2. 项目管理：提供目标管理、团队管理、任务管理、进度管理、质量管理和发布管理。</w:t>
      </w:r>
    </w:p>
    <w:p w14:paraId="03C1606F">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项目目标管理</w:t>
      </w:r>
    </w:p>
    <w:p w14:paraId="52081054">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项目团队管理</w:t>
      </w:r>
    </w:p>
    <w:p w14:paraId="0858DB31">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项目迭代管理</w:t>
      </w:r>
    </w:p>
    <w:p w14:paraId="1A013A04">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项目任务管理</w:t>
      </w:r>
    </w:p>
    <w:p w14:paraId="561B644A">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项目工时管理</w:t>
      </w:r>
    </w:p>
    <w:p w14:paraId="60EE8D31">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项目进度管理</w:t>
      </w:r>
    </w:p>
    <w:p w14:paraId="76A32B17">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项目质量管理</w:t>
      </w:r>
    </w:p>
    <w:p w14:paraId="110FC9A4">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交付物管理</w:t>
      </w:r>
    </w:p>
    <w:p w14:paraId="2189742D">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项目看板管理</w:t>
      </w:r>
    </w:p>
    <w:p w14:paraId="1B858DA4">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项目构建管理</w:t>
      </w:r>
    </w:p>
    <w:p w14:paraId="54F0A0A5">
      <w:pPr>
        <w:keepNext w:val="0"/>
        <w:keepLines w:val="0"/>
        <w:widowControl/>
        <w:numPr>
          <w:ilvl w:val="0"/>
          <w:numId w:val="26"/>
        </w:numPr>
        <w:suppressLineNumbers w:val="0"/>
        <w:spacing w:before="0" w:beforeAutospacing="1" w:after="69" w:afterAutospacing="0" w:line="189" w:lineRule="atLeast"/>
        <w:ind w:left="720" w:hanging="360"/>
        <w:rPr>
          <w:rFonts w:hint="eastAsia" w:ascii="宋体" w:hAnsi="宋体" w:eastAsia="宋体" w:cs="宋体"/>
          <w:color w:val="1F2937"/>
          <w:lang w:val="en-US" w:eastAsia="zh-CN"/>
        </w:rPr>
      </w:pPr>
      <w:r>
        <w:rPr>
          <w:rFonts w:hint="eastAsia" w:ascii="宋体" w:hAnsi="宋体" w:eastAsia="宋体" w:cs="宋体"/>
          <w:color w:val="1F2937"/>
          <w:lang w:val="en-US" w:eastAsia="zh-CN"/>
        </w:rPr>
        <w:t>3. 质量管理：提供测试单、测试用例、Bug、测试报告等管理。</w:t>
      </w:r>
    </w:p>
    <w:p w14:paraId="265488B7">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缺陷管理</w:t>
      </w:r>
    </w:p>
    <w:p w14:paraId="219CEC0B">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用例管理</w:t>
      </w:r>
    </w:p>
    <w:p w14:paraId="206777A2">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测试单管理</w:t>
      </w:r>
    </w:p>
    <w:p w14:paraId="78C50D4B">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测试执行</w:t>
      </w:r>
    </w:p>
    <w:p w14:paraId="148821B5">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测试结果管理</w:t>
      </w:r>
    </w:p>
    <w:p w14:paraId="6AB3EC58">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测试报告</w:t>
      </w:r>
    </w:p>
    <w:p w14:paraId="38019372">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用例库管理</w:t>
      </w:r>
    </w:p>
    <w:p w14:paraId="17DFF032">
      <w:pPr>
        <w:keepNext w:val="0"/>
        <w:keepLines w:val="0"/>
        <w:widowControl/>
        <w:numPr>
          <w:ilvl w:val="0"/>
          <w:numId w:val="27"/>
        </w:numPr>
        <w:suppressLineNumbers w:val="0"/>
        <w:spacing w:before="0" w:beforeAutospacing="1" w:after="69" w:afterAutospacing="0" w:line="189" w:lineRule="atLeast"/>
        <w:ind w:left="1680" w:leftChars="0" w:hanging="420" w:firstLineChars="0"/>
        <w:rPr>
          <w:rFonts w:hint="eastAsia" w:ascii="宋体" w:hAnsi="宋体" w:eastAsia="宋体" w:cs="宋体"/>
          <w:color w:val="1F2937"/>
          <w:lang w:val="en-US" w:eastAsia="zh-CN"/>
        </w:rPr>
      </w:pPr>
      <w:r>
        <w:rPr>
          <w:rFonts w:hint="eastAsia" w:ascii="宋体" w:hAnsi="宋体" w:eastAsia="宋体" w:cs="宋体"/>
          <w:color w:val="1F2937"/>
          <w:lang w:val="en-US" w:eastAsia="zh-CN"/>
        </w:rPr>
        <w:t>自动化测试</w:t>
      </w:r>
    </w:p>
    <w:p w14:paraId="784D3B15">
      <w:pPr>
        <w:numPr>
          <w:ilvl w:val="0"/>
          <w:numId w:val="0"/>
        </w:numPr>
        <w:spacing w:after="70" w:line="330" w:lineRule="auto"/>
        <w:ind w:left="420" w:leftChars="0" w:firstLine="420" w:firstLineChars="0"/>
        <w:rPr>
          <w:rFonts w:hint="default" w:ascii="宋体" w:hAnsi="宋体" w:eastAsia="宋体" w:cs="宋体"/>
          <w:color w:val="1F2937"/>
          <w:lang w:val="en-US" w:eastAsia="zh-CN"/>
        </w:rPr>
      </w:pPr>
    </w:p>
    <w:p w14:paraId="148E21D2">
      <w:pPr>
        <w:pStyle w:val="3"/>
        <w:bidi w:val="0"/>
        <w:rPr>
          <w:rFonts w:hint="eastAsia"/>
          <w:lang w:val="en-US" w:eastAsia="zh-CN"/>
        </w:rPr>
      </w:pPr>
      <w:r>
        <w:rPr>
          <w:rFonts w:hint="eastAsia"/>
          <w:lang w:val="en-US" w:eastAsia="zh-CN"/>
        </w:rPr>
        <w:t>11.7 安全与合规保障方案</w:t>
      </w:r>
    </w:p>
    <w:p w14:paraId="22C7B2E6">
      <w:pPr>
        <w:pStyle w:val="5"/>
        <w:bidi w:val="0"/>
        <w:rPr>
          <w:rFonts w:hint="eastAsia" w:ascii="宋体" w:hAnsi="宋体" w:eastAsia="宋体" w:cs="宋体"/>
          <w:b w:val="0"/>
          <w:bCs/>
          <w:lang w:val="en-US" w:eastAsia="zh-CN"/>
        </w:rPr>
      </w:pPr>
      <w:r>
        <w:rPr>
          <w:rFonts w:hint="eastAsia" w:cs="宋体"/>
          <w:b w:val="0"/>
          <w:bCs/>
          <w:lang w:val="en-US" w:eastAsia="zh-CN"/>
        </w:rPr>
        <w:t>11.7</w:t>
      </w:r>
      <w:r>
        <w:rPr>
          <w:rFonts w:hint="eastAsia" w:ascii="宋体" w:hAnsi="宋体" w:eastAsia="宋体" w:cs="宋体"/>
          <w:b w:val="0"/>
          <w:bCs/>
          <w:lang w:val="en-US" w:eastAsia="zh-CN"/>
        </w:rPr>
        <w:t>.1 安全合规总体原则</w:t>
      </w:r>
    </w:p>
    <w:p w14:paraId="20BF7237">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涉及多系统交互，沉淀了大量核心业务数据、监造文档及人员操作轨迹数据。系统不但要防外部渗透，更要防内部越权和数据外泄，同时还要满足国家网络安全、数据安全和个人信息保护相关要求。安全合规能力必须贯穿需求、设计、开发、测试、上线、运维和退出全周期，而不能只在上线前做一次安全检查。</w:t>
      </w:r>
    </w:p>
    <w:p w14:paraId="46DFA2CA">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本项目安全合规建设坚持以下原则：</w:t>
      </w:r>
    </w:p>
    <w:p w14:paraId="21C7A4BE">
      <w:pPr>
        <w:spacing w:after="70" w:line="330" w:lineRule="auto"/>
        <w:ind w:left="420" w:hanging="260"/>
        <w:rPr>
          <w:rFonts w:hint="eastAsia" w:ascii="宋体" w:hAnsi="宋体" w:eastAsia="宋体" w:cs="宋体"/>
        </w:rPr>
      </w:pPr>
      <w:r>
        <w:rPr>
          <w:rFonts w:hint="eastAsia" w:ascii="宋体" w:hAnsi="宋体" w:eastAsia="宋体" w:cs="宋体"/>
          <w:color w:val="1F2937"/>
        </w:rPr>
        <w:t>1. 合规前置原则：从设计阶段就按等保 2.0 三级要求考虑应用侧控制点。</w:t>
      </w:r>
    </w:p>
    <w:p w14:paraId="414CB71B">
      <w:pPr>
        <w:spacing w:after="70" w:line="330" w:lineRule="auto"/>
        <w:ind w:left="420" w:hanging="260"/>
        <w:rPr>
          <w:rFonts w:hint="eastAsia" w:ascii="宋体" w:hAnsi="宋体" w:eastAsia="宋体" w:cs="宋体"/>
        </w:rPr>
      </w:pPr>
      <w:r>
        <w:rPr>
          <w:rFonts w:hint="eastAsia" w:ascii="宋体" w:hAnsi="宋体" w:eastAsia="宋体" w:cs="宋体"/>
          <w:color w:val="1F2937"/>
        </w:rPr>
        <w:t>2. 最小权限原则：所有角色、菜单、数据、导出和审批操作按最小必要原则授权。</w:t>
      </w:r>
    </w:p>
    <w:p w14:paraId="7BFCBF67">
      <w:pPr>
        <w:spacing w:after="70" w:line="330" w:lineRule="auto"/>
        <w:ind w:left="420" w:hanging="260"/>
        <w:rPr>
          <w:rFonts w:hint="eastAsia" w:ascii="宋体" w:hAnsi="宋体" w:eastAsia="宋体" w:cs="宋体"/>
        </w:rPr>
      </w:pPr>
      <w:r>
        <w:rPr>
          <w:rFonts w:hint="eastAsia" w:ascii="宋体" w:hAnsi="宋体" w:eastAsia="宋体" w:cs="宋体"/>
          <w:color w:val="1F2937"/>
        </w:rPr>
        <w:t>3. 全程留痕原则：关键操作、关键审批、关键配置和关键运维动作全部可追溯。</w:t>
      </w:r>
    </w:p>
    <w:p w14:paraId="589281DE">
      <w:pPr>
        <w:spacing w:after="70" w:line="330" w:lineRule="auto"/>
        <w:ind w:left="420" w:hanging="260"/>
        <w:rPr>
          <w:rFonts w:hint="eastAsia" w:ascii="宋体" w:hAnsi="宋体" w:eastAsia="宋体" w:cs="宋体"/>
        </w:rPr>
      </w:pPr>
      <w:r>
        <w:rPr>
          <w:rFonts w:hint="eastAsia" w:ascii="宋体" w:hAnsi="宋体" w:eastAsia="宋体" w:cs="宋体"/>
          <w:color w:val="1F2937"/>
        </w:rPr>
        <w:t>4. 数据分级保护原则：对身份信息、合同信息、问题单、放行资料、影像资料等敏感数据分层防护。</w:t>
      </w:r>
    </w:p>
    <w:p w14:paraId="013447BF">
      <w:pPr>
        <w:spacing w:after="70" w:line="330" w:lineRule="auto"/>
        <w:ind w:left="420" w:hanging="260"/>
        <w:rPr>
          <w:rFonts w:hint="eastAsia" w:ascii="宋体" w:hAnsi="宋体" w:eastAsia="宋体" w:cs="宋体"/>
        </w:rPr>
      </w:pPr>
      <w:r>
        <w:rPr>
          <w:rFonts w:hint="eastAsia" w:ascii="宋体" w:hAnsi="宋体" w:eastAsia="宋体" w:cs="宋体"/>
          <w:color w:val="1F2937"/>
        </w:rPr>
        <w:t>5. 可恢复原则：对数据和配置建立清晰备份恢复机制，保障试运行和正式运行安全。</w:t>
      </w:r>
    </w:p>
    <w:p w14:paraId="565F1E7A">
      <w:pPr>
        <w:pStyle w:val="5"/>
        <w:bidi w:val="0"/>
        <w:rPr>
          <w:rFonts w:hint="eastAsia" w:ascii="宋体" w:hAnsi="宋体" w:eastAsia="宋体" w:cs="宋体"/>
          <w:b w:val="0"/>
          <w:bCs/>
          <w:lang w:val="en-US" w:eastAsia="zh-CN"/>
        </w:rPr>
      </w:pPr>
      <w:r>
        <w:rPr>
          <w:rFonts w:hint="eastAsia" w:cs="宋体"/>
          <w:b w:val="0"/>
          <w:bCs/>
          <w:lang w:val="en-US" w:eastAsia="zh-CN"/>
        </w:rPr>
        <w:t>11.7</w:t>
      </w:r>
      <w:r>
        <w:rPr>
          <w:rFonts w:hint="eastAsia" w:ascii="宋体" w:hAnsi="宋体" w:eastAsia="宋体" w:cs="宋体"/>
          <w:b w:val="0"/>
          <w:bCs/>
          <w:lang w:val="en-US" w:eastAsia="zh-CN"/>
        </w:rPr>
        <w:t>.2 法规依据与合规目标</w:t>
      </w:r>
    </w:p>
    <w:p w14:paraId="3FD800AE">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.2.1 法规依据</w:t>
      </w:r>
    </w:p>
    <w:p w14:paraId="54C7C3C7">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本项目安全合规保障主要依据：</w:t>
      </w:r>
    </w:p>
    <w:p w14:paraId="51C36737">
      <w:pPr>
        <w:spacing w:after="70" w:line="330" w:lineRule="auto"/>
        <w:ind w:left="420" w:hanging="260"/>
        <w:rPr>
          <w:rFonts w:hint="eastAsia" w:ascii="宋体" w:hAnsi="宋体" w:eastAsia="宋体" w:cs="宋体"/>
        </w:rPr>
      </w:pPr>
      <w:r>
        <w:rPr>
          <w:rFonts w:hint="eastAsia" w:ascii="宋体" w:hAnsi="宋体" w:eastAsia="宋体" w:cs="宋体"/>
          <w:color w:val="1F2937"/>
        </w:rPr>
        <w:t>1. 《中华人民共和国网络安全法》</w:t>
      </w:r>
    </w:p>
    <w:p w14:paraId="2E52B194">
      <w:pPr>
        <w:spacing w:after="70" w:line="330" w:lineRule="auto"/>
        <w:ind w:left="420" w:hanging="260"/>
        <w:rPr>
          <w:rFonts w:hint="eastAsia" w:ascii="宋体" w:hAnsi="宋体" w:eastAsia="宋体" w:cs="宋体"/>
        </w:rPr>
      </w:pPr>
      <w:r>
        <w:rPr>
          <w:rFonts w:hint="eastAsia" w:ascii="宋体" w:hAnsi="宋体" w:eastAsia="宋体" w:cs="宋体"/>
          <w:color w:val="1F2937"/>
        </w:rPr>
        <w:t>2. 《中华人民共和国数据安全法》</w:t>
      </w:r>
    </w:p>
    <w:p w14:paraId="45101875">
      <w:pPr>
        <w:spacing w:after="70" w:line="330" w:lineRule="auto"/>
        <w:ind w:left="420" w:hanging="260"/>
        <w:rPr>
          <w:rFonts w:hint="eastAsia" w:ascii="宋体" w:hAnsi="宋体" w:eastAsia="宋体" w:cs="宋体"/>
        </w:rPr>
      </w:pPr>
      <w:r>
        <w:rPr>
          <w:rFonts w:hint="eastAsia" w:ascii="宋体" w:hAnsi="宋体" w:eastAsia="宋体" w:cs="宋体"/>
          <w:color w:val="1F2937"/>
        </w:rPr>
        <w:t>3. 《中华人民共和国个人信息保护法》</w:t>
      </w:r>
    </w:p>
    <w:p w14:paraId="5A3D9019">
      <w:pPr>
        <w:spacing w:after="70" w:line="330" w:lineRule="auto"/>
        <w:ind w:left="420" w:hanging="260"/>
        <w:rPr>
          <w:rFonts w:hint="eastAsia" w:ascii="宋体" w:hAnsi="宋体" w:eastAsia="宋体" w:cs="宋体"/>
        </w:rPr>
      </w:pPr>
      <w:r>
        <w:rPr>
          <w:rFonts w:hint="eastAsia" w:ascii="宋体" w:hAnsi="宋体" w:eastAsia="宋体" w:cs="宋体"/>
          <w:color w:val="1F2937"/>
        </w:rPr>
        <w:t>4. 国家等级保护相关标准与规范</w:t>
      </w:r>
    </w:p>
    <w:p w14:paraId="550C6827">
      <w:pPr>
        <w:spacing w:after="70" w:line="330" w:lineRule="auto"/>
        <w:ind w:left="420" w:hanging="260"/>
        <w:rPr>
          <w:rFonts w:hint="eastAsia" w:ascii="宋体" w:hAnsi="宋体" w:eastAsia="宋体" w:cs="宋体"/>
        </w:rPr>
      </w:pPr>
      <w:r>
        <w:rPr>
          <w:rFonts w:hint="eastAsia" w:ascii="宋体" w:hAnsi="宋体" w:eastAsia="宋体" w:cs="宋体"/>
          <w:color w:val="1F2937"/>
        </w:rPr>
        <w:t>5. 招标人内部信息安全管理制度</w:t>
      </w:r>
    </w:p>
    <w:p w14:paraId="77873DD0">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.2.2 合规目标</w:t>
      </w:r>
    </w:p>
    <w:p w14:paraId="102B763B">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本项目安全合规目标可概括为：</w:t>
      </w:r>
    </w:p>
    <w:p w14:paraId="3C4FBFD4">
      <w:pPr>
        <w:spacing w:after="70" w:line="330" w:lineRule="auto"/>
        <w:ind w:left="420" w:hanging="260"/>
        <w:rPr>
          <w:rFonts w:hint="eastAsia" w:ascii="宋体" w:hAnsi="宋体" w:eastAsia="宋体" w:cs="宋体"/>
        </w:rPr>
      </w:pPr>
      <w:r>
        <w:rPr>
          <w:rFonts w:hint="eastAsia" w:ascii="宋体" w:hAnsi="宋体" w:eastAsia="宋体" w:cs="宋体"/>
          <w:color w:val="1F2937"/>
        </w:rPr>
        <w:t>1. 保证用户身份可信、访问受控、操作留痕。</w:t>
      </w:r>
    </w:p>
    <w:p w14:paraId="02719785">
      <w:pPr>
        <w:spacing w:after="70" w:line="330" w:lineRule="auto"/>
        <w:ind w:left="420" w:hanging="260"/>
        <w:rPr>
          <w:rFonts w:hint="eastAsia" w:ascii="宋体" w:hAnsi="宋体" w:eastAsia="宋体" w:cs="宋体"/>
        </w:rPr>
      </w:pPr>
      <w:r>
        <w:rPr>
          <w:rFonts w:hint="eastAsia" w:ascii="宋体" w:hAnsi="宋体" w:eastAsia="宋体" w:cs="宋体"/>
          <w:color w:val="1F2937"/>
        </w:rPr>
        <w:t>2. 保证业务数据、附件数据和日志数据可控、可查、可恢复。</w:t>
      </w:r>
    </w:p>
    <w:p w14:paraId="1212825F">
      <w:pPr>
        <w:spacing w:after="70" w:line="330" w:lineRule="auto"/>
        <w:ind w:left="420" w:hanging="260"/>
        <w:rPr>
          <w:rFonts w:hint="eastAsia" w:ascii="宋体" w:hAnsi="宋体" w:eastAsia="宋体" w:cs="宋体"/>
        </w:rPr>
      </w:pPr>
      <w:r>
        <w:rPr>
          <w:rFonts w:hint="eastAsia" w:ascii="宋体" w:hAnsi="宋体" w:eastAsia="宋体" w:cs="宋体"/>
          <w:color w:val="1F2937"/>
        </w:rPr>
        <w:t>3. 保证系统上线前能够配合完成安全检测、漏洞整改和等保测评工作。</w:t>
      </w:r>
    </w:p>
    <w:p w14:paraId="032A7042">
      <w:pPr>
        <w:spacing w:after="70" w:line="330" w:lineRule="auto"/>
        <w:ind w:left="420" w:hanging="260"/>
        <w:rPr>
          <w:rFonts w:hint="eastAsia" w:ascii="宋体" w:hAnsi="宋体" w:eastAsia="宋体" w:cs="宋体"/>
        </w:rPr>
      </w:pPr>
      <w:r>
        <w:rPr>
          <w:rFonts w:hint="eastAsia" w:ascii="宋体" w:hAnsi="宋体" w:eastAsia="宋体" w:cs="宋体"/>
          <w:color w:val="1F2937"/>
        </w:rPr>
        <w:t>4. 保证项目结束或退出时数据、代码、文档和资料的移交、删除和销毁受控。</w:t>
      </w:r>
    </w:p>
    <w:p w14:paraId="75F2D414">
      <w:pPr>
        <w:pStyle w:val="5"/>
        <w:bidi w:val="0"/>
        <w:rPr>
          <w:rFonts w:hint="eastAsia" w:ascii="宋体" w:hAnsi="宋体" w:eastAsia="宋体" w:cs="宋体"/>
          <w:b w:val="0"/>
          <w:bCs/>
          <w:lang w:val="en-US" w:eastAsia="zh-CN"/>
        </w:rPr>
      </w:pPr>
      <w:r>
        <w:rPr>
          <w:rFonts w:hint="eastAsia" w:cs="宋体"/>
          <w:b w:val="0"/>
          <w:bCs/>
          <w:lang w:val="en-US" w:eastAsia="zh-CN"/>
        </w:rPr>
        <w:t>11.7</w:t>
      </w:r>
      <w:r>
        <w:rPr>
          <w:rFonts w:hint="eastAsia" w:ascii="宋体" w:hAnsi="宋体" w:eastAsia="宋体" w:cs="宋体"/>
          <w:b w:val="0"/>
          <w:bCs/>
          <w:lang w:val="en-US" w:eastAsia="zh-CN"/>
        </w:rPr>
        <w:t>.3 数据安全保护实施方案</w:t>
      </w:r>
    </w:p>
    <w:p w14:paraId="4D294BFB">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.3.1 设计思路</w:t>
      </w:r>
    </w:p>
    <w:p w14:paraId="49FBE07A">
      <w:pPr>
        <w:spacing w:after="70" w:line="330" w:lineRule="auto"/>
        <w:ind w:left="420" w:hanging="260"/>
        <w:rPr>
          <w:rFonts w:hint="eastAsia" w:ascii="宋体" w:hAnsi="宋体" w:eastAsia="宋体" w:cs="宋体"/>
          <w:color w:val="1F2937"/>
        </w:rPr>
      </w:pPr>
      <w:r>
        <w:rPr>
          <w:rFonts w:hint="eastAsia" w:ascii="宋体" w:hAnsi="宋体" w:eastAsia="宋体" w:cs="宋体"/>
          <w:b/>
          <w:bCs/>
          <w:color w:val="1F2937"/>
        </w:rPr>
        <w:t>实施策略：</w:t>
      </w:r>
      <w:r>
        <w:rPr>
          <w:rFonts w:hint="eastAsia" w:ascii="宋体" w:hAnsi="宋体" w:eastAsia="宋体" w:cs="宋体"/>
          <w:color w:val="1F2937"/>
        </w:rPr>
        <w:t>将数据生命周期切分为7个卡点，确保数据“进得来、管得住、看不穿、带不走”。</w:t>
      </w:r>
    </w:p>
    <w:p w14:paraId="42C003CA">
      <w:pPr>
        <w:spacing w:after="120" w:line="360" w:lineRule="auto"/>
        <w:ind w:firstLine="480" w:firstLineChars="200"/>
        <w:rPr>
          <w:rFonts w:hint="eastAsia" w:ascii="宋体" w:hAnsi="宋体" w:eastAsia="宋体" w:cs="宋体"/>
          <w:color w:val="1F2937"/>
        </w:rPr>
      </w:pPr>
      <w:r>
        <w:rPr>
          <w:rFonts w:hint="eastAsia" w:ascii="宋体" w:hAnsi="宋体" w:eastAsia="宋体" w:cs="宋体"/>
          <w:color w:val="1F2937"/>
        </w:rPr>
        <w:t>我公司采取分层数据安全保护措施，对身份认证、传输、存储、展示、导出、共享、销毁各环节进行控制。</w:t>
      </w:r>
    </w:p>
    <w:p w14:paraId="56882746">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.3.2 数据生命周期控制点</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6"/>
        <w:gridCol w:w="3438"/>
        <w:gridCol w:w="3868"/>
      </w:tblGrid>
      <w:tr w14:paraId="64BD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77"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85F98DA">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生命周期环节</w:t>
            </w:r>
          </w:p>
        </w:tc>
        <w:tc>
          <w:tcPr>
            <w:tcW w:w="1845"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349047A">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主要控制目标</w:t>
            </w:r>
          </w:p>
        </w:tc>
        <w:tc>
          <w:tcPr>
            <w:tcW w:w="2076"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DD11EFB">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主要措施</w:t>
            </w:r>
          </w:p>
        </w:tc>
      </w:tr>
      <w:tr w14:paraId="1D9A8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A546EC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数据接入</w:t>
            </w:r>
          </w:p>
        </w:tc>
        <w:tc>
          <w:tcPr>
            <w:tcW w:w="184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47D2E0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数据来源可识别、接入过程可控</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7D8C8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权限校验、来源标识、接口鉴权</w:t>
            </w:r>
          </w:p>
        </w:tc>
      </w:tr>
      <w:tr w14:paraId="47116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07B0A92">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数据传输</w:t>
            </w:r>
          </w:p>
        </w:tc>
        <w:tc>
          <w:tcPr>
            <w:tcW w:w="184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81CDC1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防止传输过程泄露和篡改</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3B3C11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加密传输、通道保护</w:t>
            </w:r>
          </w:p>
        </w:tc>
      </w:tr>
      <w:tr w14:paraId="5D74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9DB2BD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数据存储</w:t>
            </w:r>
          </w:p>
        </w:tc>
        <w:tc>
          <w:tcPr>
            <w:tcW w:w="184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61961F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防止明文滥存和越权访问</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AD3267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脱敏、加密、分层存储、最小权限</w:t>
            </w:r>
          </w:p>
        </w:tc>
      </w:tr>
      <w:tr w14:paraId="5530E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E801DD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数据展示</w:t>
            </w:r>
          </w:p>
        </w:tc>
        <w:tc>
          <w:tcPr>
            <w:tcW w:w="184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6A5F99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防止超范围查看</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BCE868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角色控制、范围控制、敏感信息脱敏</w:t>
            </w:r>
          </w:p>
        </w:tc>
      </w:tr>
      <w:tr w14:paraId="543A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BBC1E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数据导出</w:t>
            </w:r>
          </w:p>
        </w:tc>
        <w:tc>
          <w:tcPr>
            <w:tcW w:w="184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6C1FCF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防止任意下载带走</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BBE529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导出权限控制、日志记录、审批控制</w:t>
            </w:r>
          </w:p>
        </w:tc>
      </w:tr>
      <w:tr w14:paraId="15AA1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365CE3">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数据共享</w:t>
            </w:r>
          </w:p>
        </w:tc>
        <w:tc>
          <w:tcPr>
            <w:tcW w:w="184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B552C0B">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防止无序传播</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76876F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授权共享、范围限定、留痕审计</w:t>
            </w:r>
          </w:p>
        </w:tc>
      </w:tr>
      <w:tr w14:paraId="699BC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26030D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数据销毁</w:t>
            </w:r>
          </w:p>
        </w:tc>
        <w:tc>
          <w:tcPr>
            <w:tcW w:w="184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468935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防止项目结束后残留</w:t>
            </w:r>
          </w:p>
        </w:tc>
        <w:tc>
          <w:tcPr>
            <w:tcW w:w="2076"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7606D3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交接确认、销毁记录、书面说明</w:t>
            </w:r>
          </w:p>
        </w:tc>
      </w:tr>
    </w:tbl>
    <w:p w14:paraId="391A8189">
      <w:pPr>
        <w:spacing w:after="100"/>
        <w:rPr>
          <w:rFonts w:hint="eastAsia" w:ascii="宋体" w:hAnsi="宋体" w:eastAsia="宋体" w:cs="宋体"/>
        </w:rPr>
      </w:pPr>
    </w:p>
    <w:p w14:paraId="78D74DC1">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.3.3 分层数据安全措施</w:t>
      </w:r>
    </w:p>
    <w:p w14:paraId="19C73635">
      <w:pPr>
        <w:spacing w:after="70" w:line="330" w:lineRule="auto"/>
        <w:ind w:left="420" w:hanging="260"/>
        <w:rPr>
          <w:rFonts w:hint="eastAsia" w:ascii="宋体" w:hAnsi="宋体" w:eastAsia="宋体" w:cs="宋体"/>
        </w:rPr>
      </w:pPr>
      <w:r>
        <w:rPr>
          <w:rFonts w:hint="eastAsia" w:ascii="宋体" w:hAnsi="宋体" w:eastAsia="宋体" w:cs="宋体"/>
          <w:color w:val="1F2937"/>
        </w:rPr>
        <w:t>1. 身份认证层：保证登录主体合法。</w:t>
      </w:r>
    </w:p>
    <w:p w14:paraId="23E7D9E1">
      <w:pPr>
        <w:spacing w:after="70" w:line="330" w:lineRule="auto"/>
        <w:ind w:left="420" w:hanging="260"/>
        <w:rPr>
          <w:rFonts w:hint="eastAsia" w:ascii="宋体" w:hAnsi="宋体" w:eastAsia="宋体" w:cs="宋体"/>
        </w:rPr>
      </w:pPr>
      <w:r>
        <w:rPr>
          <w:rFonts w:hint="eastAsia" w:ascii="宋体" w:hAnsi="宋体" w:eastAsia="宋体" w:cs="宋体"/>
          <w:color w:val="1F2937"/>
        </w:rPr>
        <w:t>2. 传输层：保证数据链路不被窃取或篡改。</w:t>
      </w:r>
    </w:p>
    <w:p w14:paraId="32385DB0">
      <w:pPr>
        <w:spacing w:after="70" w:line="330" w:lineRule="auto"/>
        <w:ind w:left="420" w:hanging="260"/>
        <w:rPr>
          <w:rFonts w:hint="eastAsia" w:ascii="宋体" w:hAnsi="宋体" w:eastAsia="宋体" w:cs="宋体"/>
        </w:rPr>
      </w:pPr>
      <w:r>
        <w:rPr>
          <w:rFonts w:hint="eastAsia" w:ascii="宋体" w:hAnsi="宋体" w:eastAsia="宋体" w:cs="宋体"/>
          <w:color w:val="1F2937"/>
        </w:rPr>
        <w:t>3. 存储层：对敏感字段和重要附件实施加密或脱敏管理。</w:t>
      </w:r>
    </w:p>
    <w:p w14:paraId="6BD0FEF4">
      <w:pPr>
        <w:spacing w:after="70" w:line="330" w:lineRule="auto"/>
        <w:ind w:left="420" w:hanging="260"/>
        <w:rPr>
          <w:rFonts w:hint="eastAsia" w:ascii="宋体" w:hAnsi="宋体" w:eastAsia="宋体" w:cs="宋体"/>
        </w:rPr>
      </w:pPr>
      <w:r>
        <w:rPr>
          <w:rFonts w:hint="eastAsia" w:ascii="宋体" w:hAnsi="宋体" w:eastAsia="宋体" w:cs="宋体"/>
          <w:color w:val="1F2937"/>
        </w:rPr>
        <w:t>4. 展示层：按角色、组织、采购包、供应商、流程节点控制可见范围。</w:t>
      </w:r>
    </w:p>
    <w:p w14:paraId="3183F8E1">
      <w:pPr>
        <w:spacing w:after="70" w:line="330" w:lineRule="auto"/>
        <w:ind w:left="420" w:hanging="260"/>
        <w:rPr>
          <w:rFonts w:hint="eastAsia" w:ascii="宋体" w:hAnsi="宋体" w:eastAsia="宋体" w:cs="宋体"/>
        </w:rPr>
      </w:pPr>
      <w:r>
        <w:rPr>
          <w:rFonts w:hint="eastAsia" w:ascii="宋体" w:hAnsi="宋体" w:eastAsia="宋体" w:cs="宋体"/>
          <w:color w:val="1F2937"/>
        </w:rPr>
        <w:t>5. 导出层：对导出、打印、打包等敏感动作进行授权和审计。</w:t>
      </w:r>
    </w:p>
    <w:p w14:paraId="0A0BB434">
      <w:pPr>
        <w:pStyle w:val="5"/>
        <w:bidi w:val="0"/>
        <w:rPr>
          <w:rFonts w:hint="eastAsia" w:ascii="宋体" w:hAnsi="宋体" w:eastAsia="宋体" w:cs="宋体"/>
          <w:b w:val="0"/>
          <w:bCs/>
          <w:lang w:val="en-US" w:eastAsia="zh-CN"/>
        </w:rPr>
      </w:pPr>
      <w:r>
        <w:rPr>
          <w:rFonts w:hint="eastAsia" w:cs="宋体"/>
          <w:b w:val="0"/>
          <w:bCs/>
          <w:lang w:val="en-US" w:eastAsia="zh-CN"/>
        </w:rPr>
        <w:t>11.7</w:t>
      </w:r>
      <w:r>
        <w:rPr>
          <w:rFonts w:hint="eastAsia" w:ascii="宋体" w:hAnsi="宋体" w:eastAsia="宋体" w:cs="宋体"/>
          <w:b w:val="0"/>
          <w:bCs/>
          <w:lang w:val="en-US" w:eastAsia="zh-CN"/>
        </w:rPr>
        <w:t>.4 身份认证与访问控制</w:t>
      </w:r>
    </w:p>
    <w:p w14:paraId="43D45099">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.4.1 身份认证设计</w:t>
      </w:r>
    </w:p>
    <w:p w14:paraId="5F5629FC">
      <w:pPr>
        <w:spacing w:after="70" w:line="330" w:lineRule="auto"/>
        <w:ind w:left="420" w:hanging="260"/>
        <w:rPr>
          <w:rFonts w:hint="eastAsia" w:ascii="宋体" w:hAnsi="宋体" w:eastAsia="宋体" w:cs="宋体"/>
        </w:rPr>
      </w:pPr>
      <w:r>
        <w:rPr>
          <w:rFonts w:hint="eastAsia" w:ascii="宋体" w:hAnsi="宋体" w:eastAsia="宋体" w:cs="宋体"/>
          <w:color w:val="1F2937"/>
        </w:rPr>
        <w:t>1. 账号认证采用统一入口，用户身份与岗位、组织、角色绑定。</w:t>
      </w:r>
    </w:p>
    <w:p w14:paraId="7DA4C6BC">
      <w:pPr>
        <w:spacing w:after="70" w:line="330" w:lineRule="auto"/>
        <w:ind w:left="420" w:hanging="260"/>
        <w:rPr>
          <w:rFonts w:hint="eastAsia" w:ascii="宋体" w:hAnsi="宋体" w:eastAsia="宋体" w:cs="宋体"/>
        </w:rPr>
      </w:pPr>
      <w:r>
        <w:rPr>
          <w:rFonts w:hint="eastAsia" w:ascii="宋体" w:hAnsi="宋体" w:eastAsia="宋体" w:cs="宋体"/>
          <w:color w:val="1F2937"/>
        </w:rPr>
        <w:t>2. 密码策略满足复杂度、有效期、错误次数锁定和到期提醒要求。</w:t>
      </w:r>
    </w:p>
    <w:p w14:paraId="50AC85BE">
      <w:pPr>
        <w:spacing w:after="70" w:line="330" w:lineRule="auto"/>
        <w:ind w:left="420" w:hanging="260"/>
        <w:rPr>
          <w:rFonts w:hint="eastAsia" w:ascii="宋体" w:hAnsi="宋体" w:eastAsia="宋体" w:cs="宋体"/>
        </w:rPr>
      </w:pPr>
      <w:r>
        <w:rPr>
          <w:rFonts w:hint="eastAsia" w:ascii="宋体" w:hAnsi="宋体" w:eastAsia="宋体" w:cs="宋体"/>
          <w:color w:val="1F2937"/>
        </w:rPr>
        <w:t>3. 支持超时退出、排他性登录和异常登录留痕。</w:t>
      </w:r>
    </w:p>
    <w:p w14:paraId="5D2C48A2">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.4.2 授权模型设计</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4"/>
        <w:gridCol w:w="4113"/>
        <w:gridCol w:w="3105"/>
      </w:tblGrid>
      <w:tr w14:paraId="4CF74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24"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3DD876F">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权限维度</w:t>
            </w:r>
          </w:p>
        </w:tc>
        <w:tc>
          <w:tcPr>
            <w:tcW w:w="2208"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89B90D9">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控制方式</w:t>
            </w:r>
          </w:p>
        </w:tc>
        <w:tc>
          <w:tcPr>
            <w:tcW w:w="1667"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AADC5E4">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典型场景</w:t>
            </w:r>
          </w:p>
        </w:tc>
      </w:tr>
      <w:tr w14:paraId="3E0E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4B05E8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用户权限</w:t>
            </w:r>
          </w:p>
        </w:tc>
        <w:tc>
          <w:tcPr>
            <w:tcW w:w="220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CC05E8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对单个用户直接授权或撤权</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2DE22A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临时专项任务、临时协同</w:t>
            </w:r>
          </w:p>
        </w:tc>
      </w:tr>
      <w:tr w14:paraId="475D0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A4A08C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组织权限</w:t>
            </w:r>
          </w:p>
        </w:tc>
        <w:tc>
          <w:tcPr>
            <w:tcW w:w="220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FE6391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按部门、项目组、区域或管理范围授权</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8A293E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管理人员查看本组织统计数据</w:t>
            </w:r>
          </w:p>
        </w:tc>
      </w:tr>
      <w:tr w14:paraId="466F1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564CDC9">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采购包权限</w:t>
            </w:r>
          </w:p>
        </w:tc>
        <w:tc>
          <w:tcPr>
            <w:tcW w:w="220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9AD3DB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按采购包/合同包范围授权</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186576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采购包负责人只处理本包业务</w:t>
            </w:r>
          </w:p>
        </w:tc>
      </w:tr>
      <w:tr w14:paraId="006DD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D7ED8A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供应商权限</w:t>
            </w:r>
          </w:p>
        </w:tc>
        <w:tc>
          <w:tcPr>
            <w:tcW w:w="220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55BAE6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仅访问本供应商相关数据</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FF74B74">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供应商协同处理本单位资料</w:t>
            </w:r>
          </w:p>
        </w:tc>
      </w:tr>
      <w:tr w14:paraId="36C5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93E6C0">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菜单与按钮权限</w:t>
            </w:r>
          </w:p>
        </w:tc>
        <w:tc>
          <w:tcPr>
            <w:tcW w:w="220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844CA3A">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控制功能入口和操作动作</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B1DCA7D">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防止越权导出、越权审批</w:t>
            </w:r>
          </w:p>
        </w:tc>
      </w:tr>
      <w:tr w14:paraId="315C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4"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C6ACD1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数据范围权限</w:t>
            </w:r>
          </w:p>
        </w:tc>
        <w:tc>
          <w:tcPr>
            <w:tcW w:w="2208"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08AB57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控制列表、详情和报表范围</w:t>
            </w:r>
          </w:p>
        </w:tc>
        <w:tc>
          <w:tcPr>
            <w:tcW w:w="1667"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8618F5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防止跨项目、跨合同查看</w:t>
            </w:r>
          </w:p>
        </w:tc>
      </w:tr>
    </w:tbl>
    <w:p w14:paraId="27824E99">
      <w:pPr>
        <w:spacing w:after="100"/>
        <w:rPr>
          <w:rFonts w:hint="eastAsia" w:ascii="宋体" w:hAnsi="宋体" w:eastAsia="宋体" w:cs="宋体"/>
        </w:rPr>
      </w:pPr>
    </w:p>
    <w:p w14:paraId="0BB948A5">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.4.3 双模块权限隔离</w:t>
      </w:r>
    </w:p>
    <w:p w14:paraId="664374E3">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由于本项目存在原材料模块和设备模块两套逻辑隔离的数据接入模块，因此授权体系中必须明确：</w:t>
      </w:r>
    </w:p>
    <w:p w14:paraId="006DD9C5">
      <w:pPr>
        <w:spacing w:after="70" w:line="330" w:lineRule="auto"/>
        <w:ind w:left="420" w:hanging="260"/>
        <w:rPr>
          <w:rFonts w:hint="eastAsia" w:ascii="宋体" w:hAnsi="宋体" w:eastAsia="宋体" w:cs="宋体"/>
        </w:rPr>
      </w:pPr>
      <w:r>
        <w:rPr>
          <w:rFonts w:hint="eastAsia" w:ascii="宋体" w:hAnsi="宋体" w:eastAsia="宋体" w:cs="宋体"/>
          <w:color w:val="1F2937"/>
        </w:rPr>
        <w:t>1. 用户可以同时拥有两个模块权限，也可以只拥有其中一个。</w:t>
      </w:r>
    </w:p>
    <w:p w14:paraId="384775F7">
      <w:pPr>
        <w:spacing w:after="70" w:line="330" w:lineRule="auto"/>
        <w:ind w:left="420" w:hanging="260"/>
        <w:rPr>
          <w:rFonts w:hint="eastAsia" w:ascii="宋体" w:hAnsi="宋体" w:eastAsia="宋体" w:cs="宋体"/>
        </w:rPr>
      </w:pPr>
      <w:r>
        <w:rPr>
          <w:rFonts w:hint="eastAsia" w:ascii="宋体" w:hAnsi="宋体" w:eastAsia="宋体" w:cs="宋体"/>
          <w:color w:val="1F2937"/>
        </w:rPr>
        <w:t>2. 未授权模块对用户不可见或只开放与其职责相关的查询视图。</w:t>
      </w:r>
    </w:p>
    <w:p w14:paraId="46459B5E">
      <w:pPr>
        <w:spacing w:after="70" w:line="330" w:lineRule="auto"/>
        <w:ind w:left="420" w:hanging="260"/>
        <w:rPr>
          <w:rFonts w:hint="eastAsia" w:ascii="宋体" w:hAnsi="宋体" w:eastAsia="宋体" w:cs="宋体"/>
        </w:rPr>
      </w:pPr>
      <w:r>
        <w:rPr>
          <w:rFonts w:hint="eastAsia" w:ascii="宋体" w:hAnsi="宋体" w:eastAsia="宋体" w:cs="宋体"/>
          <w:color w:val="1F2937"/>
        </w:rPr>
        <w:t>3. 模块之间的数据导出、问题处理和审批动作不可串用。</w:t>
      </w:r>
    </w:p>
    <w:p w14:paraId="454C8294">
      <w:pPr>
        <w:pStyle w:val="5"/>
        <w:bidi w:val="0"/>
        <w:rPr>
          <w:rFonts w:hint="eastAsia" w:ascii="宋体" w:hAnsi="宋体" w:eastAsia="宋体" w:cs="宋体"/>
          <w:b w:val="0"/>
          <w:bCs/>
          <w:lang w:val="en-US" w:eastAsia="zh-CN"/>
        </w:rPr>
      </w:pPr>
      <w:r>
        <w:rPr>
          <w:rFonts w:hint="eastAsia" w:cs="宋体"/>
          <w:b w:val="0"/>
          <w:bCs/>
          <w:lang w:val="en-US" w:eastAsia="zh-CN"/>
        </w:rPr>
        <w:t>11.7</w:t>
      </w:r>
      <w:r>
        <w:rPr>
          <w:rFonts w:hint="eastAsia" w:ascii="宋体" w:hAnsi="宋体" w:eastAsia="宋体" w:cs="宋体"/>
          <w:b w:val="0"/>
          <w:bCs/>
          <w:lang w:val="en-US" w:eastAsia="zh-CN"/>
        </w:rPr>
        <w:t>.5 日志审计实施方案</w:t>
      </w:r>
    </w:p>
    <w:p w14:paraId="322493B4">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.5.1 日志范围</w:t>
      </w:r>
    </w:p>
    <w:p w14:paraId="4F255F0C">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日志应覆盖以下对象：</w:t>
      </w:r>
    </w:p>
    <w:p w14:paraId="3DF78A0B">
      <w:pPr>
        <w:spacing w:after="70" w:line="330" w:lineRule="auto"/>
        <w:ind w:left="420" w:hanging="260"/>
        <w:rPr>
          <w:rFonts w:hint="eastAsia" w:ascii="宋体" w:hAnsi="宋体" w:eastAsia="宋体" w:cs="宋体"/>
        </w:rPr>
      </w:pPr>
      <w:r>
        <w:rPr>
          <w:rFonts w:hint="eastAsia" w:ascii="宋体" w:hAnsi="宋体" w:eastAsia="宋体" w:cs="宋体"/>
          <w:color w:val="1F2937"/>
        </w:rPr>
        <w:t>1. 登录日志</w:t>
      </w:r>
    </w:p>
    <w:p w14:paraId="595DA8A7">
      <w:pPr>
        <w:spacing w:after="70" w:line="330" w:lineRule="auto"/>
        <w:ind w:left="420" w:hanging="260"/>
        <w:rPr>
          <w:rFonts w:hint="eastAsia" w:ascii="宋体" w:hAnsi="宋体" w:eastAsia="宋体" w:cs="宋体"/>
        </w:rPr>
      </w:pPr>
      <w:r>
        <w:rPr>
          <w:rFonts w:hint="eastAsia" w:ascii="宋体" w:hAnsi="宋体" w:eastAsia="宋体" w:cs="宋体"/>
          <w:color w:val="1F2937"/>
        </w:rPr>
        <w:t>2. 操作日志</w:t>
      </w:r>
    </w:p>
    <w:p w14:paraId="0E960251">
      <w:pPr>
        <w:spacing w:after="70" w:line="330" w:lineRule="auto"/>
        <w:ind w:left="420" w:hanging="260"/>
        <w:rPr>
          <w:rFonts w:hint="eastAsia" w:ascii="宋体" w:hAnsi="宋体" w:eastAsia="宋体" w:cs="宋体"/>
        </w:rPr>
      </w:pPr>
      <w:r>
        <w:rPr>
          <w:rFonts w:hint="eastAsia" w:ascii="宋体" w:hAnsi="宋体" w:eastAsia="宋体" w:cs="宋体"/>
          <w:color w:val="1F2937"/>
        </w:rPr>
        <w:t>3. 接口调用日志</w:t>
      </w:r>
    </w:p>
    <w:p w14:paraId="6FE1C6A0">
      <w:pPr>
        <w:spacing w:after="70" w:line="330" w:lineRule="auto"/>
        <w:ind w:left="420" w:hanging="260"/>
        <w:rPr>
          <w:rFonts w:hint="eastAsia" w:ascii="宋体" w:hAnsi="宋体" w:eastAsia="宋体" w:cs="宋体"/>
        </w:rPr>
      </w:pPr>
      <w:r>
        <w:rPr>
          <w:rFonts w:hint="eastAsia" w:ascii="宋体" w:hAnsi="宋体" w:eastAsia="宋体" w:cs="宋体"/>
          <w:color w:val="1F2937"/>
        </w:rPr>
        <w:t>4. 系统运行日志</w:t>
      </w:r>
    </w:p>
    <w:p w14:paraId="1D240847">
      <w:pPr>
        <w:spacing w:after="70" w:line="330" w:lineRule="auto"/>
        <w:ind w:left="420" w:hanging="260"/>
        <w:rPr>
          <w:rFonts w:hint="eastAsia" w:ascii="宋体" w:hAnsi="宋体" w:eastAsia="宋体" w:cs="宋体"/>
        </w:rPr>
      </w:pPr>
      <w:r>
        <w:rPr>
          <w:rFonts w:hint="eastAsia" w:ascii="宋体" w:hAnsi="宋体" w:eastAsia="宋体" w:cs="宋体"/>
          <w:color w:val="1F2937"/>
        </w:rPr>
        <w:t>5. 定时任务日志</w:t>
      </w:r>
    </w:p>
    <w:p w14:paraId="4FC7C7F4">
      <w:pPr>
        <w:spacing w:after="70" w:line="330" w:lineRule="auto"/>
        <w:ind w:left="420" w:hanging="260"/>
        <w:rPr>
          <w:rFonts w:hint="eastAsia" w:ascii="宋体" w:hAnsi="宋体" w:eastAsia="宋体" w:cs="宋体"/>
        </w:rPr>
      </w:pPr>
      <w:r>
        <w:rPr>
          <w:rFonts w:hint="eastAsia" w:ascii="宋体" w:hAnsi="宋体" w:eastAsia="宋体" w:cs="宋体"/>
          <w:color w:val="1F2937"/>
        </w:rPr>
        <w:t>6. 安全事件日志</w:t>
      </w:r>
    </w:p>
    <w:p w14:paraId="1F62C038">
      <w:pPr>
        <w:spacing w:after="70" w:line="330" w:lineRule="auto"/>
        <w:ind w:left="420" w:hanging="260"/>
        <w:rPr>
          <w:rFonts w:hint="eastAsia" w:ascii="宋体" w:hAnsi="宋体" w:eastAsia="宋体" w:cs="宋体"/>
        </w:rPr>
      </w:pPr>
      <w:r>
        <w:rPr>
          <w:rFonts w:hint="eastAsia" w:ascii="宋体" w:hAnsi="宋体" w:eastAsia="宋体" w:cs="宋体"/>
          <w:color w:val="1F2937"/>
        </w:rPr>
        <w:t>7. 备份恢复和发布操作日志</w:t>
      </w:r>
    </w:p>
    <w:p w14:paraId="1DB9987A">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.5.2 日志留存与审计机制</w:t>
      </w:r>
    </w:p>
    <w:p w14:paraId="32C08433">
      <w:pPr>
        <w:spacing w:after="70" w:line="330" w:lineRule="auto"/>
        <w:ind w:left="420" w:hanging="260"/>
        <w:rPr>
          <w:rFonts w:hint="eastAsia" w:ascii="宋体" w:hAnsi="宋体" w:eastAsia="宋体" w:cs="宋体"/>
        </w:rPr>
      </w:pPr>
      <w:r>
        <w:rPr>
          <w:rFonts w:hint="eastAsia" w:ascii="宋体" w:hAnsi="宋体" w:eastAsia="宋体" w:cs="宋体"/>
          <w:color w:val="1F2937"/>
        </w:rPr>
        <w:t>1. 日志留存周期不少于 180 天。</w:t>
      </w:r>
    </w:p>
    <w:p w14:paraId="3BCD4911">
      <w:pPr>
        <w:spacing w:after="70" w:line="330" w:lineRule="auto"/>
        <w:ind w:left="420" w:hanging="260"/>
        <w:rPr>
          <w:rFonts w:hint="eastAsia" w:ascii="宋体" w:hAnsi="宋体" w:eastAsia="宋体" w:cs="宋体"/>
        </w:rPr>
      </w:pPr>
      <w:r>
        <w:rPr>
          <w:rFonts w:hint="eastAsia" w:ascii="宋体" w:hAnsi="宋体" w:eastAsia="宋体" w:cs="宋体"/>
          <w:color w:val="1F2937"/>
        </w:rPr>
        <w:t>2. 日志具备可检索、可导出、可追溯、防篡改、防误删能力。</w:t>
      </w:r>
    </w:p>
    <w:p w14:paraId="3F27113C">
      <w:pPr>
        <w:spacing w:after="70" w:line="330" w:lineRule="auto"/>
        <w:ind w:left="420" w:hanging="260"/>
        <w:rPr>
          <w:rFonts w:hint="eastAsia" w:ascii="宋体" w:hAnsi="宋体" w:eastAsia="宋体" w:cs="宋体"/>
        </w:rPr>
      </w:pPr>
      <w:r>
        <w:rPr>
          <w:rFonts w:hint="eastAsia" w:ascii="宋体" w:hAnsi="宋体" w:eastAsia="宋体" w:cs="宋体"/>
          <w:color w:val="1F2937"/>
        </w:rPr>
        <w:t>3. 日志纳入备份和巡检，避免“只记录、不核查”。</w:t>
      </w:r>
    </w:p>
    <w:p w14:paraId="3954F7C3">
      <w:pPr>
        <w:spacing w:after="70" w:line="330" w:lineRule="auto"/>
        <w:ind w:left="420" w:hanging="260"/>
        <w:rPr>
          <w:rFonts w:hint="eastAsia" w:ascii="宋体" w:hAnsi="宋体" w:eastAsia="宋体" w:cs="宋体"/>
        </w:rPr>
      </w:pPr>
      <w:r>
        <w:rPr>
          <w:rFonts w:hint="eastAsia" w:ascii="宋体" w:hAnsi="宋体" w:eastAsia="宋体" w:cs="宋体"/>
          <w:color w:val="1F2937"/>
        </w:rPr>
        <w:t>4. 发生安全事件或业务争议时，可按业务ID、用户、时间、接口链路进行追踪分析。</w:t>
      </w:r>
    </w:p>
    <w:p w14:paraId="06C61BDC">
      <w:pPr>
        <w:pStyle w:val="5"/>
        <w:bidi w:val="0"/>
        <w:rPr>
          <w:rFonts w:hint="eastAsia" w:ascii="宋体" w:hAnsi="宋体" w:eastAsia="宋体" w:cs="宋体"/>
          <w:b w:val="0"/>
          <w:bCs/>
          <w:lang w:val="en-US" w:eastAsia="zh-CN"/>
        </w:rPr>
      </w:pPr>
      <w:r>
        <w:rPr>
          <w:rFonts w:hint="eastAsia" w:cs="宋体"/>
          <w:b w:val="0"/>
          <w:bCs/>
          <w:lang w:val="en-US" w:eastAsia="zh-CN"/>
        </w:rPr>
        <w:t>11.7</w:t>
      </w:r>
      <w:r>
        <w:rPr>
          <w:rFonts w:hint="eastAsia" w:ascii="宋体" w:hAnsi="宋体" w:eastAsia="宋体" w:cs="宋体"/>
          <w:b w:val="0"/>
          <w:bCs/>
          <w:lang w:val="en-US" w:eastAsia="zh-CN"/>
        </w:rPr>
        <w:t>.6 备份恢复具体实施方案</w:t>
      </w:r>
    </w:p>
    <w:p w14:paraId="20968100">
      <w:pPr>
        <w:pStyle w:val="26"/>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color w:val="1F2937"/>
          <w:sz w:val="21"/>
          <w:szCs w:val="21"/>
        </w:rPr>
        <w:t>备份恢复不只作为原则承诺，而作为上线和运维的强制控制项执行。系统上线、重大版本发布、数据库脚本执行、磁盘治理、归档迁移等高风险操作前必须确认备份和回滚方案。</w:t>
      </w:r>
    </w:p>
    <w:p w14:paraId="2F5F0F55">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.6.1 备份对象</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3"/>
        <w:gridCol w:w="5052"/>
        <w:gridCol w:w="2537"/>
      </w:tblGrid>
      <w:tr w14:paraId="6B35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25"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4210116">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备份对象</w:t>
            </w:r>
          </w:p>
        </w:tc>
        <w:tc>
          <w:tcPr>
            <w:tcW w:w="2712"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24BB078">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内容范围</w:t>
            </w:r>
          </w:p>
        </w:tc>
        <w:tc>
          <w:tcPr>
            <w:tcW w:w="1362"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E016BE6">
            <w:pPr>
              <w:spacing w:after="0" w:line="300" w:lineRule="auto"/>
              <w:jc w:val="center"/>
              <w:rPr>
                <w:rFonts w:hint="eastAsia" w:ascii="宋体" w:hAnsi="宋体" w:eastAsia="宋体" w:cs="宋体"/>
              </w:rPr>
            </w:pPr>
            <w:r>
              <w:rPr>
                <w:rFonts w:hint="eastAsia" w:ascii="宋体" w:hAnsi="宋体" w:eastAsia="宋体" w:cs="宋体"/>
                <w:b/>
                <w:bCs/>
                <w:color w:val="172033"/>
                <w:sz w:val="18"/>
                <w:szCs w:val="18"/>
              </w:rPr>
              <w:t>备份目的</w:t>
            </w:r>
          </w:p>
        </w:tc>
      </w:tr>
      <w:tr w14:paraId="502F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C2B77C7">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数据库</w:t>
            </w:r>
          </w:p>
        </w:tc>
        <w:tc>
          <w:tcPr>
            <w:tcW w:w="271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A27942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系统数据库、配置库、字典库</w:t>
            </w:r>
          </w:p>
        </w:tc>
        <w:tc>
          <w:tcPr>
            <w:tcW w:w="136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21D46A5">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保障业务数据可恢复</w:t>
            </w:r>
          </w:p>
        </w:tc>
      </w:tr>
      <w:tr w14:paraId="049C6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31A850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附件与文件</w:t>
            </w:r>
          </w:p>
        </w:tc>
        <w:tc>
          <w:tcPr>
            <w:tcW w:w="271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238008C">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监造文件、签字版文件、PDF、Excel、归档压缩包、培训材料</w:t>
            </w:r>
          </w:p>
        </w:tc>
        <w:tc>
          <w:tcPr>
            <w:tcW w:w="136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9C017D1">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保障资料完整</w:t>
            </w:r>
          </w:p>
        </w:tc>
      </w:tr>
      <w:tr w14:paraId="0B3CB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23E2586">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配置文件</w:t>
            </w:r>
          </w:p>
        </w:tc>
        <w:tc>
          <w:tcPr>
            <w:tcW w:w="271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77082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部署参数、服务配置、权限配置</w:t>
            </w:r>
          </w:p>
        </w:tc>
        <w:tc>
          <w:tcPr>
            <w:tcW w:w="136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772007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保障环境快速恢复</w:t>
            </w:r>
          </w:p>
        </w:tc>
      </w:tr>
      <w:tr w14:paraId="539C5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5"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9ED6F8">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日志数据</w:t>
            </w:r>
          </w:p>
        </w:tc>
        <w:tc>
          <w:tcPr>
            <w:tcW w:w="271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1A0F7DE">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操作日志、运行日志、安全日志</w:t>
            </w:r>
          </w:p>
        </w:tc>
        <w:tc>
          <w:tcPr>
            <w:tcW w:w="1362"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7C4CCDF">
            <w:pPr>
              <w:spacing w:after="0" w:line="300" w:lineRule="auto"/>
              <w:rPr>
                <w:rFonts w:hint="eastAsia" w:ascii="宋体" w:hAnsi="宋体" w:eastAsia="宋体" w:cs="宋体"/>
              </w:rPr>
            </w:pPr>
            <w:r>
              <w:rPr>
                <w:rFonts w:hint="eastAsia" w:ascii="宋体" w:hAnsi="宋体" w:eastAsia="宋体" w:cs="宋体"/>
                <w:b w:val="0"/>
                <w:bCs w:val="0"/>
                <w:color w:val="172033"/>
                <w:sz w:val="18"/>
                <w:szCs w:val="18"/>
              </w:rPr>
              <w:t>保障审计和追溯</w:t>
            </w:r>
          </w:p>
        </w:tc>
      </w:tr>
    </w:tbl>
    <w:p w14:paraId="65B6763C">
      <w:pPr>
        <w:spacing w:after="100"/>
        <w:rPr>
          <w:rFonts w:hint="eastAsia" w:ascii="宋体" w:hAnsi="宋体" w:eastAsia="宋体" w:cs="宋体"/>
        </w:rPr>
      </w:pPr>
    </w:p>
    <w:p w14:paraId="496FB642">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.6.2 备份策略和频率</w:t>
      </w:r>
    </w:p>
    <w:p w14:paraId="45F4A766">
      <w:pPr>
        <w:spacing w:after="70" w:line="330" w:lineRule="auto"/>
        <w:ind w:left="420" w:hanging="260"/>
        <w:rPr>
          <w:rFonts w:hint="eastAsia" w:ascii="宋体" w:hAnsi="宋体" w:eastAsia="宋体" w:cs="宋体"/>
        </w:rPr>
      </w:pPr>
      <w:r>
        <w:rPr>
          <w:rFonts w:hint="eastAsia" w:ascii="宋体" w:hAnsi="宋体" w:eastAsia="宋体" w:cs="宋体"/>
          <w:color w:val="1F2937"/>
        </w:rPr>
        <w:t>1. 日常运行：数据库增量备份、日志归档，每日执行。</w:t>
      </w:r>
    </w:p>
    <w:p w14:paraId="51FCDB65">
      <w:pPr>
        <w:spacing w:after="70" w:line="330" w:lineRule="auto"/>
        <w:ind w:left="420" w:hanging="260"/>
        <w:rPr>
          <w:rFonts w:hint="eastAsia" w:ascii="宋体" w:hAnsi="宋体" w:eastAsia="宋体" w:cs="宋体"/>
        </w:rPr>
      </w:pPr>
      <w:r>
        <w:rPr>
          <w:rFonts w:hint="eastAsia" w:ascii="宋体" w:hAnsi="宋体" w:eastAsia="宋体" w:cs="宋体"/>
          <w:color w:val="1F2937"/>
        </w:rPr>
        <w:t>2. 周期保护：数据库全量备份、附件增量核验，每周执行。</w:t>
      </w:r>
    </w:p>
    <w:p w14:paraId="28CA3DE4">
      <w:pPr>
        <w:spacing w:after="70" w:line="330" w:lineRule="auto"/>
        <w:ind w:left="420" w:hanging="260"/>
        <w:rPr>
          <w:rFonts w:hint="eastAsia" w:ascii="宋体" w:hAnsi="宋体" w:eastAsia="宋体" w:cs="宋体"/>
        </w:rPr>
      </w:pPr>
      <w:r>
        <w:rPr>
          <w:rFonts w:hint="eastAsia" w:ascii="宋体" w:hAnsi="宋体" w:eastAsia="宋体" w:cs="宋体"/>
          <w:color w:val="1F2937"/>
        </w:rPr>
        <w:t>3. 高风险操作前：重大版本发布、数据库脚本执行、归档迁移前，必须先确认备份和回滚方案。</w:t>
      </w:r>
    </w:p>
    <w:p w14:paraId="62740359">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.6.3 恢复流程</w:t>
      </w:r>
    </w:p>
    <w:p w14:paraId="738CD161">
      <w:pPr>
        <w:spacing w:before="180" w:after="80"/>
        <w:jc w:val="center"/>
        <w:rPr>
          <w:rFonts w:hint="eastAsia" w:ascii="宋体" w:hAnsi="宋体" w:eastAsia="宋体" w:cs="宋体"/>
        </w:rPr>
      </w:pPr>
      <w:r>
        <w:rPr>
          <w:rFonts w:hint="eastAsia" w:ascii="宋体" w:hAnsi="宋体" w:eastAsia="宋体" w:cs="宋体"/>
        </w:rPr>
        <w:drawing>
          <wp:inline distT="0" distB="0" distL="0" distR="0">
            <wp:extent cx="2076450" cy="5905500"/>
            <wp:effectExtent l="0" t="0" r="698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7"/>
                    <a:srcRect/>
                    <a:stretch>
                      <a:fillRect/>
                    </a:stretch>
                  </pic:blipFill>
                  <pic:spPr>
                    <a:xfrm>
                      <a:off x="0" y="0"/>
                      <a:ext cx="2076450" cy="5905500"/>
                    </a:xfrm>
                    <a:prstGeom prst="rect">
                      <a:avLst/>
                    </a:prstGeom>
                  </pic:spPr>
                </pic:pic>
              </a:graphicData>
            </a:graphic>
          </wp:inline>
        </w:drawing>
      </w:r>
    </w:p>
    <w:p w14:paraId="4F2C0AC4">
      <w:pPr>
        <w:pStyle w:val="11"/>
        <w:spacing w:after="120" w:line="360" w:lineRule="auto"/>
        <w:jc w:val="center"/>
        <w:rPr>
          <w:rFonts w:hint="eastAsia" w:ascii="宋体" w:hAnsi="宋体" w:eastAsia="宋体" w:cs="宋体"/>
        </w:rPr>
      </w:pPr>
      <w:r>
        <w:rPr>
          <w:rFonts w:hint="eastAsia" w:ascii="宋体" w:hAnsi="宋体" w:eastAsia="宋体" w:cs="宋体"/>
          <w:color w:val="64748B"/>
          <w:sz w:val="18"/>
          <w:szCs w:val="18"/>
        </w:rPr>
        <w:t>图6-1 备份恢复流程图</w:t>
      </w:r>
    </w:p>
    <w:p w14:paraId="4E183F01">
      <w:pPr>
        <w:spacing w:after="120" w:line="360" w:lineRule="auto"/>
        <w:rPr>
          <w:rFonts w:hint="eastAsia" w:ascii="宋体" w:hAnsi="宋体" w:eastAsia="宋体" w:cs="宋体"/>
        </w:rPr>
      </w:pPr>
      <w:r>
        <w:rPr>
          <w:rFonts w:hint="eastAsia" w:ascii="宋体" w:hAnsi="宋体" w:eastAsia="宋体" w:cs="宋体"/>
          <w:color w:val="1F2937"/>
        </w:rPr>
        <w:t>恢复步骤包括：</w:t>
      </w:r>
    </w:p>
    <w:p w14:paraId="19BC0E05">
      <w:pPr>
        <w:spacing w:after="70" w:line="330" w:lineRule="auto"/>
        <w:ind w:left="420" w:hanging="260"/>
        <w:rPr>
          <w:rFonts w:hint="eastAsia" w:ascii="宋体" w:hAnsi="宋体" w:eastAsia="宋体" w:cs="宋体"/>
        </w:rPr>
      </w:pPr>
      <w:r>
        <w:rPr>
          <w:rFonts w:hint="eastAsia" w:ascii="宋体" w:hAnsi="宋体" w:eastAsia="宋体" w:cs="宋体"/>
          <w:color w:val="1F2937"/>
        </w:rPr>
        <w:t>1. 故障确认：确认故障类型、影响范围、发生时间和涉及对象。</w:t>
      </w:r>
    </w:p>
    <w:p w14:paraId="707C0F88">
      <w:pPr>
        <w:spacing w:after="70" w:line="330" w:lineRule="auto"/>
        <w:ind w:left="420" w:hanging="260"/>
        <w:rPr>
          <w:rFonts w:hint="eastAsia" w:ascii="宋体" w:hAnsi="宋体" w:eastAsia="宋体" w:cs="宋体"/>
        </w:rPr>
      </w:pPr>
      <w:r>
        <w:rPr>
          <w:rFonts w:hint="eastAsia" w:ascii="宋体" w:hAnsi="宋体" w:eastAsia="宋体" w:cs="宋体"/>
          <w:color w:val="1F2937"/>
        </w:rPr>
        <w:t>2. 恢复申请：由甲方或授权运维人员确认是否启动恢复。</w:t>
      </w:r>
    </w:p>
    <w:p w14:paraId="13449E51">
      <w:pPr>
        <w:spacing w:after="70" w:line="330" w:lineRule="auto"/>
        <w:ind w:left="420" w:hanging="260"/>
        <w:rPr>
          <w:rFonts w:hint="eastAsia" w:ascii="宋体" w:hAnsi="宋体" w:eastAsia="宋体" w:cs="宋体"/>
        </w:rPr>
      </w:pPr>
      <w:r>
        <w:rPr>
          <w:rFonts w:hint="eastAsia" w:ascii="宋体" w:hAnsi="宋体" w:eastAsia="宋体" w:cs="宋体"/>
          <w:color w:val="1F2937"/>
        </w:rPr>
        <w:t>3. 备份校验：检查备份完整性、时间点、文件大小和校验值。</w:t>
      </w:r>
    </w:p>
    <w:p w14:paraId="284E5757">
      <w:pPr>
        <w:spacing w:after="70" w:line="330" w:lineRule="auto"/>
        <w:ind w:left="420" w:hanging="260"/>
        <w:rPr>
          <w:rFonts w:hint="eastAsia" w:ascii="宋体" w:hAnsi="宋体" w:eastAsia="宋体" w:cs="宋体"/>
        </w:rPr>
      </w:pPr>
      <w:r>
        <w:rPr>
          <w:rFonts w:hint="eastAsia" w:ascii="宋体" w:hAnsi="宋体" w:eastAsia="宋体" w:cs="宋体"/>
          <w:color w:val="1F2937"/>
        </w:rPr>
        <w:t>4. 环境准备：优先在隔离环境验证恢复可行性。</w:t>
      </w:r>
    </w:p>
    <w:p w14:paraId="3913109F">
      <w:pPr>
        <w:spacing w:after="70" w:line="330" w:lineRule="auto"/>
        <w:ind w:left="420" w:hanging="260"/>
        <w:rPr>
          <w:rFonts w:hint="eastAsia" w:ascii="宋体" w:hAnsi="宋体" w:eastAsia="宋体" w:cs="宋体"/>
        </w:rPr>
      </w:pPr>
      <w:r>
        <w:rPr>
          <w:rFonts w:hint="eastAsia" w:ascii="宋体" w:hAnsi="宋体" w:eastAsia="宋体" w:cs="宋体"/>
          <w:color w:val="1F2937"/>
        </w:rPr>
        <w:t>5. 数据恢复：按数据库、附件、配置、脚本顺序恢复。</w:t>
      </w:r>
    </w:p>
    <w:p w14:paraId="7C0FB68D">
      <w:pPr>
        <w:spacing w:after="70" w:line="330" w:lineRule="auto"/>
        <w:ind w:left="420" w:hanging="260"/>
        <w:rPr>
          <w:rFonts w:hint="eastAsia" w:ascii="宋体" w:hAnsi="宋体" w:eastAsia="宋体" w:cs="宋体"/>
        </w:rPr>
      </w:pPr>
      <w:r>
        <w:rPr>
          <w:rFonts w:hint="eastAsia" w:ascii="宋体" w:hAnsi="宋体" w:eastAsia="宋体" w:cs="宋体"/>
          <w:color w:val="1F2937"/>
        </w:rPr>
        <w:t>6. 数据校验：校验关键表行数、业务ID、附件数量、权限配置和接口可用性。</w:t>
      </w:r>
    </w:p>
    <w:p w14:paraId="419C2AD6">
      <w:pPr>
        <w:spacing w:after="70" w:line="330" w:lineRule="auto"/>
        <w:ind w:left="420" w:hanging="260"/>
        <w:rPr>
          <w:rFonts w:hint="eastAsia" w:ascii="宋体" w:hAnsi="宋体" w:eastAsia="宋体" w:cs="宋体"/>
        </w:rPr>
      </w:pPr>
      <w:r>
        <w:rPr>
          <w:rFonts w:hint="eastAsia" w:ascii="宋体" w:hAnsi="宋体" w:eastAsia="宋体" w:cs="宋体"/>
          <w:color w:val="1F2937"/>
        </w:rPr>
        <w:t>7. 业务验证：由业务用户验证核心场景。</w:t>
      </w:r>
    </w:p>
    <w:p w14:paraId="2B7B971B">
      <w:pPr>
        <w:spacing w:after="70" w:line="330" w:lineRule="auto"/>
        <w:ind w:left="420" w:hanging="260"/>
        <w:rPr>
          <w:rFonts w:hint="eastAsia" w:ascii="宋体" w:hAnsi="宋体" w:eastAsia="宋体" w:cs="宋体"/>
        </w:rPr>
      </w:pPr>
      <w:r>
        <w:rPr>
          <w:rFonts w:hint="eastAsia" w:ascii="宋体" w:hAnsi="宋体" w:eastAsia="宋体" w:cs="宋体"/>
          <w:color w:val="1F2937"/>
        </w:rPr>
        <w:t>8. 输出恢复记录并组织复盘。</w:t>
      </w:r>
    </w:p>
    <w:p w14:paraId="178D9031">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.6.4 恢复演练</w:t>
      </w:r>
    </w:p>
    <w:p w14:paraId="535A4FC2">
      <w:pPr>
        <w:spacing w:after="120" w:line="360" w:lineRule="auto"/>
        <w:rPr>
          <w:rFonts w:hint="eastAsia" w:ascii="宋体" w:hAnsi="宋体" w:eastAsia="宋体" w:cs="宋体"/>
        </w:rPr>
      </w:pPr>
      <w:r>
        <w:rPr>
          <w:rFonts w:hint="eastAsia" w:ascii="宋体" w:hAnsi="宋体" w:eastAsia="宋体" w:cs="宋体"/>
          <w:color w:val="1F2937"/>
        </w:rPr>
        <w:t>恢复演练至少覆盖：</w:t>
      </w:r>
    </w:p>
    <w:p w14:paraId="4DF3F1C7">
      <w:pPr>
        <w:spacing w:after="70" w:line="330" w:lineRule="auto"/>
        <w:ind w:left="420" w:hanging="260"/>
        <w:rPr>
          <w:rFonts w:hint="eastAsia" w:ascii="宋体" w:hAnsi="宋体" w:eastAsia="宋体" w:cs="宋体"/>
        </w:rPr>
      </w:pPr>
      <w:r>
        <w:rPr>
          <w:rFonts w:hint="eastAsia" w:ascii="宋体" w:hAnsi="宋体" w:eastAsia="宋体" w:cs="宋体"/>
          <w:color w:val="1F2937"/>
        </w:rPr>
        <w:t>1. 数据库恢复</w:t>
      </w:r>
    </w:p>
    <w:p w14:paraId="4EC2B63B">
      <w:pPr>
        <w:spacing w:after="70" w:line="330" w:lineRule="auto"/>
        <w:ind w:left="420" w:hanging="260"/>
        <w:rPr>
          <w:rFonts w:hint="eastAsia" w:ascii="宋体" w:hAnsi="宋体" w:eastAsia="宋体" w:cs="宋体"/>
        </w:rPr>
      </w:pPr>
      <w:r>
        <w:rPr>
          <w:rFonts w:hint="eastAsia" w:ascii="宋体" w:hAnsi="宋体" w:eastAsia="宋体" w:cs="宋体"/>
          <w:color w:val="1F2937"/>
        </w:rPr>
        <w:t>2. 附件恢复</w:t>
      </w:r>
    </w:p>
    <w:p w14:paraId="5C993071">
      <w:pPr>
        <w:spacing w:after="70" w:line="330" w:lineRule="auto"/>
        <w:ind w:left="420" w:hanging="260"/>
        <w:rPr>
          <w:rFonts w:hint="eastAsia" w:ascii="宋体" w:hAnsi="宋体" w:eastAsia="宋体" w:cs="宋体"/>
        </w:rPr>
      </w:pPr>
      <w:r>
        <w:rPr>
          <w:rFonts w:hint="eastAsia" w:ascii="宋体" w:hAnsi="宋体" w:eastAsia="宋体" w:cs="宋体"/>
          <w:color w:val="1F2937"/>
        </w:rPr>
        <w:t>3. 配置恢复</w:t>
      </w:r>
    </w:p>
    <w:p w14:paraId="1EC3EFB7">
      <w:pPr>
        <w:spacing w:after="70" w:line="330" w:lineRule="auto"/>
        <w:ind w:left="420" w:hanging="260"/>
        <w:rPr>
          <w:rFonts w:hint="eastAsia" w:ascii="宋体" w:hAnsi="宋体" w:eastAsia="宋体" w:cs="宋体"/>
        </w:rPr>
      </w:pPr>
      <w:r>
        <w:rPr>
          <w:rFonts w:hint="eastAsia" w:ascii="宋体" w:hAnsi="宋体" w:eastAsia="宋体" w:cs="宋体"/>
          <w:color w:val="1F2937"/>
        </w:rPr>
        <w:t>4. 应用服务启动验证</w:t>
      </w:r>
    </w:p>
    <w:p w14:paraId="62B2E7EF">
      <w:pPr>
        <w:spacing w:after="70" w:line="330" w:lineRule="auto"/>
        <w:ind w:left="420" w:hanging="260"/>
        <w:rPr>
          <w:rFonts w:hint="eastAsia" w:ascii="宋体" w:hAnsi="宋体" w:eastAsia="宋体" w:cs="宋体"/>
        </w:rPr>
      </w:pPr>
      <w:r>
        <w:rPr>
          <w:rFonts w:hint="eastAsia" w:ascii="宋体" w:hAnsi="宋体" w:eastAsia="宋体" w:cs="宋体"/>
          <w:color w:val="1F2937"/>
        </w:rPr>
        <w:t>5. 核心业务场景验证</w:t>
      </w:r>
    </w:p>
    <w:p w14:paraId="2A7F3A58">
      <w:pPr>
        <w:spacing w:after="120" w:line="360" w:lineRule="auto"/>
        <w:rPr>
          <w:rFonts w:hint="eastAsia" w:ascii="宋体" w:hAnsi="宋体" w:eastAsia="宋体" w:cs="宋体"/>
        </w:rPr>
      </w:pPr>
      <w:r>
        <w:rPr>
          <w:rFonts w:hint="eastAsia" w:ascii="宋体" w:hAnsi="宋体" w:eastAsia="宋体" w:cs="宋体"/>
          <w:color w:val="1F2937"/>
        </w:rPr>
        <w:t>输出成果应为《备份恢复演练报告》。</w:t>
      </w:r>
    </w:p>
    <w:p w14:paraId="2B90282E">
      <w:pPr>
        <w:pStyle w:val="5"/>
        <w:bidi w:val="0"/>
        <w:rPr>
          <w:rFonts w:hint="eastAsia" w:ascii="宋体" w:hAnsi="宋体" w:eastAsia="宋体" w:cs="宋体"/>
          <w:b w:val="0"/>
          <w:bCs/>
          <w:lang w:val="en-US" w:eastAsia="zh-CN"/>
        </w:rPr>
      </w:pPr>
      <w:r>
        <w:rPr>
          <w:rFonts w:hint="eastAsia" w:cs="宋体"/>
          <w:b w:val="0"/>
          <w:bCs/>
          <w:lang w:val="en-US" w:eastAsia="zh-CN"/>
        </w:rPr>
        <w:t>11.7</w:t>
      </w:r>
      <w:r>
        <w:rPr>
          <w:rFonts w:hint="eastAsia" w:ascii="宋体" w:hAnsi="宋体" w:eastAsia="宋体" w:cs="宋体"/>
          <w:b w:val="0"/>
          <w:bCs/>
          <w:lang w:val="en-US" w:eastAsia="zh-CN"/>
        </w:rPr>
        <w:t>.7 等保实施配合与整改流程</w:t>
      </w:r>
    </w:p>
    <w:p w14:paraId="30590E4E">
      <w:pPr>
        <w:pStyle w:val="26"/>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sz w:val="21"/>
          <w:szCs w:val="21"/>
        </w:rPr>
      </w:pPr>
      <w:r>
        <w:rPr>
          <w:rFonts w:hint="eastAsia" w:ascii="宋体" w:hAnsi="宋体" w:eastAsia="宋体" w:cs="宋体"/>
          <w:b/>
          <w:bCs/>
          <w:sz w:val="21"/>
          <w:szCs w:val="21"/>
        </w:rPr>
        <w:t>配合承诺</w:t>
      </w:r>
      <w:r>
        <w:rPr>
          <w:rFonts w:hint="eastAsia" w:ascii="宋体" w:hAnsi="宋体" w:eastAsia="宋体" w:cs="宋体"/>
          <w:sz w:val="21"/>
          <w:szCs w:val="21"/>
        </w:rPr>
        <w:t>：我公司不只提供文档，更深度参与漏洞修复与基线加固，确保应用层满足等保测评的高级要求。</w:t>
      </w:r>
    </w:p>
    <w:p w14:paraId="07BDDE62">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我公司不只承诺“配合等保”，而是按等保测评和整改需要提供系统边界梳理、材料准备、技术整改、复测支撑和持续改进。</w:t>
      </w:r>
    </w:p>
    <w:tbl>
      <w:tblPr>
        <w:tblStyle w:val="28"/>
        <w:tblW w:w="0" w:type="auto"/>
        <w:tblInd w:w="0" w:type="dxa"/>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Layout w:type="autofit"/>
        <w:tblCellMar>
          <w:top w:w="0" w:type="dxa"/>
          <w:left w:w="108" w:type="dxa"/>
          <w:bottom w:w="0" w:type="dxa"/>
          <w:right w:w="108" w:type="dxa"/>
        </w:tblCellMar>
      </w:tblPr>
      <w:tblGrid>
        <w:gridCol w:w="2261"/>
        <w:gridCol w:w="4593"/>
        <w:gridCol w:w="2432"/>
      </w:tblGrid>
      <w:tr w14:paraId="549B9DB5">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tblHeader/>
        </w:trPr>
        <w:tc>
          <w:tcPr>
            <w:tcW w:w="2261" w:type="dxa"/>
            <w:tcBorders>
              <w:tl2br w:val="nil"/>
              <w:tr2bl w:val="nil"/>
            </w:tcBorders>
            <w:shd w:val="clear" w:color="auto" w:fill="E9F1F8"/>
          </w:tcPr>
          <w:p w14:paraId="6D175788">
            <w:pPr>
              <w:pStyle w:val="27"/>
              <w:jc w:val="center"/>
              <w:rPr>
                <w:rFonts w:hint="eastAsia" w:ascii="宋体" w:hAnsi="宋体" w:eastAsia="宋体" w:cs="宋体"/>
                <w:b/>
                <w:bCs/>
                <w:sz w:val="18"/>
                <w:szCs w:val="18"/>
              </w:rPr>
            </w:pPr>
            <w:r>
              <w:rPr>
                <w:rFonts w:hint="eastAsia" w:ascii="宋体" w:hAnsi="宋体" w:eastAsia="宋体" w:cs="宋体"/>
                <w:b/>
                <w:bCs/>
                <w:sz w:val="18"/>
                <w:szCs w:val="18"/>
              </w:rPr>
              <w:t>阶段</w:t>
            </w:r>
          </w:p>
        </w:tc>
        <w:tc>
          <w:tcPr>
            <w:tcW w:w="4593" w:type="dxa"/>
            <w:tcBorders>
              <w:tl2br w:val="nil"/>
              <w:tr2bl w:val="nil"/>
            </w:tcBorders>
            <w:shd w:val="clear" w:color="auto" w:fill="E9F1F8"/>
          </w:tcPr>
          <w:p w14:paraId="58274718">
            <w:pPr>
              <w:pStyle w:val="27"/>
              <w:jc w:val="center"/>
              <w:rPr>
                <w:rFonts w:hint="eastAsia" w:ascii="宋体" w:hAnsi="宋体" w:eastAsia="宋体" w:cs="宋体"/>
                <w:b/>
                <w:bCs/>
                <w:sz w:val="18"/>
                <w:szCs w:val="18"/>
              </w:rPr>
            </w:pPr>
            <w:r>
              <w:rPr>
                <w:rFonts w:hint="eastAsia" w:ascii="宋体" w:hAnsi="宋体" w:eastAsia="宋体" w:cs="宋体"/>
                <w:b/>
                <w:bCs/>
                <w:sz w:val="18"/>
                <w:szCs w:val="18"/>
              </w:rPr>
              <w:t>实施内容</w:t>
            </w:r>
          </w:p>
        </w:tc>
        <w:tc>
          <w:tcPr>
            <w:tcW w:w="2432" w:type="dxa"/>
            <w:tcBorders>
              <w:tl2br w:val="nil"/>
              <w:tr2bl w:val="nil"/>
            </w:tcBorders>
            <w:shd w:val="clear" w:color="auto" w:fill="E9F1F8"/>
          </w:tcPr>
          <w:p w14:paraId="4C8A7157">
            <w:pPr>
              <w:pStyle w:val="27"/>
              <w:jc w:val="center"/>
              <w:rPr>
                <w:rFonts w:hint="eastAsia" w:ascii="宋体" w:hAnsi="宋体" w:eastAsia="宋体" w:cs="宋体"/>
                <w:b/>
                <w:bCs/>
                <w:sz w:val="18"/>
                <w:szCs w:val="18"/>
              </w:rPr>
            </w:pPr>
            <w:r>
              <w:rPr>
                <w:rFonts w:hint="eastAsia" w:ascii="宋体" w:hAnsi="宋体" w:eastAsia="宋体" w:cs="宋体"/>
                <w:b/>
                <w:bCs/>
                <w:sz w:val="18"/>
                <w:szCs w:val="18"/>
              </w:rPr>
              <w:t>我方交付/配合材料</w:t>
            </w:r>
          </w:p>
        </w:tc>
      </w:tr>
      <w:tr w14:paraId="4BFCAAE2">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261" w:type="dxa"/>
            <w:tcBorders>
              <w:tl2br w:val="nil"/>
              <w:tr2bl w:val="nil"/>
            </w:tcBorders>
          </w:tcPr>
          <w:p w14:paraId="2FE212DD">
            <w:pPr>
              <w:pStyle w:val="27"/>
              <w:rPr>
                <w:rFonts w:hint="eastAsia" w:ascii="宋体" w:hAnsi="宋体" w:eastAsia="宋体" w:cs="宋体"/>
                <w:sz w:val="18"/>
                <w:szCs w:val="18"/>
              </w:rPr>
            </w:pPr>
            <w:r>
              <w:rPr>
                <w:rFonts w:hint="eastAsia" w:ascii="宋体" w:hAnsi="宋体" w:eastAsia="宋体" w:cs="宋体"/>
                <w:sz w:val="18"/>
                <w:szCs w:val="18"/>
              </w:rPr>
              <w:t>1. 资产和边界梳理</w:t>
            </w:r>
          </w:p>
        </w:tc>
        <w:tc>
          <w:tcPr>
            <w:tcW w:w="4593" w:type="dxa"/>
            <w:tcBorders>
              <w:tl2br w:val="nil"/>
              <w:tr2bl w:val="nil"/>
            </w:tcBorders>
          </w:tcPr>
          <w:p w14:paraId="59FC6C2D">
            <w:pPr>
              <w:pStyle w:val="27"/>
              <w:rPr>
                <w:rFonts w:hint="eastAsia" w:ascii="宋体" w:hAnsi="宋体" w:eastAsia="宋体" w:cs="宋体"/>
                <w:sz w:val="18"/>
                <w:szCs w:val="18"/>
              </w:rPr>
            </w:pPr>
            <w:r>
              <w:rPr>
                <w:rFonts w:hint="eastAsia" w:ascii="宋体" w:hAnsi="宋体" w:eastAsia="宋体" w:cs="宋体"/>
                <w:sz w:val="18"/>
                <w:szCs w:val="18"/>
              </w:rPr>
              <w:t>梳理系统、服务器、数据库、接口、用户、数据流向、外部连接</w:t>
            </w:r>
          </w:p>
        </w:tc>
        <w:tc>
          <w:tcPr>
            <w:tcW w:w="2432" w:type="dxa"/>
            <w:tcBorders>
              <w:tl2br w:val="nil"/>
              <w:tr2bl w:val="nil"/>
            </w:tcBorders>
          </w:tcPr>
          <w:p w14:paraId="18799CAA">
            <w:pPr>
              <w:pStyle w:val="27"/>
              <w:rPr>
                <w:rFonts w:hint="eastAsia" w:ascii="宋体" w:hAnsi="宋体" w:eastAsia="宋体" w:cs="宋体"/>
                <w:sz w:val="18"/>
                <w:szCs w:val="18"/>
              </w:rPr>
            </w:pPr>
            <w:r>
              <w:rPr>
                <w:rFonts w:hint="eastAsia" w:ascii="宋体" w:hAnsi="宋体" w:eastAsia="宋体" w:cs="宋体"/>
                <w:sz w:val="18"/>
                <w:szCs w:val="18"/>
              </w:rPr>
              <w:t>系统清单、资产清单、数据流向图、接口清单</w:t>
            </w:r>
          </w:p>
        </w:tc>
      </w:tr>
      <w:tr w14:paraId="67C22359">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261" w:type="dxa"/>
            <w:tcBorders>
              <w:tl2br w:val="nil"/>
              <w:tr2bl w:val="nil"/>
            </w:tcBorders>
          </w:tcPr>
          <w:p w14:paraId="18C84155">
            <w:pPr>
              <w:pStyle w:val="27"/>
              <w:rPr>
                <w:rFonts w:hint="eastAsia" w:ascii="宋体" w:hAnsi="宋体" w:eastAsia="宋体" w:cs="宋体"/>
                <w:sz w:val="18"/>
                <w:szCs w:val="18"/>
              </w:rPr>
            </w:pPr>
            <w:r>
              <w:rPr>
                <w:rFonts w:hint="eastAsia" w:ascii="宋体" w:hAnsi="宋体" w:eastAsia="宋体" w:cs="宋体"/>
                <w:sz w:val="18"/>
                <w:szCs w:val="18"/>
              </w:rPr>
              <w:t>2. 定级备案支撑</w:t>
            </w:r>
          </w:p>
        </w:tc>
        <w:tc>
          <w:tcPr>
            <w:tcW w:w="4593" w:type="dxa"/>
            <w:tcBorders>
              <w:tl2br w:val="nil"/>
              <w:tr2bl w:val="nil"/>
            </w:tcBorders>
          </w:tcPr>
          <w:p w14:paraId="1F0C160B">
            <w:pPr>
              <w:pStyle w:val="27"/>
              <w:rPr>
                <w:rFonts w:hint="eastAsia" w:ascii="宋体" w:hAnsi="宋体" w:eastAsia="宋体" w:cs="宋体"/>
                <w:sz w:val="18"/>
                <w:szCs w:val="18"/>
              </w:rPr>
            </w:pPr>
            <w:r>
              <w:rPr>
                <w:rFonts w:hint="eastAsia" w:ascii="宋体" w:hAnsi="宋体" w:eastAsia="宋体" w:cs="宋体"/>
                <w:sz w:val="18"/>
                <w:szCs w:val="18"/>
              </w:rPr>
              <w:t>配合甲方确认系统定级范围和业务影响</w:t>
            </w:r>
          </w:p>
        </w:tc>
        <w:tc>
          <w:tcPr>
            <w:tcW w:w="2432" w:type="dxa"/>
            <w:tcBorders>
              <w:tl2br w:val="nil"/>
              <w:tr2bl w:val="nil"/>
            </w:tcBorders>
          </w:tcPr>
          <w:p w14:paraId="52B9D499">
            <w:pPr>
              <w:pStyle w:val="27"/>
              <w:rPr>
                <w:rFonts w:hint="eastAsia" w:ascii="宋体" w:hAnsi="宋体" w:eastAsia="宋体" w:cs="宋体"/>
                <w:sz w:val="18"/>
                <w:szCs w:val="18"/>
              </w:rPr>
            </w:pPr>
            <w:r>
              <w:rPr>
                <w:rFonts w:hint="eastAsia" w:ascii="宋体" w:hAnsi="宋体" w:eastAsia="宋体" w:cs="宋体"/>
                <w:sz w:val="18"/>
                <w:szCs w:val="18"/>
              </w:rPr>
              <w:t>系统说明、业务说明、部署说明</w:t>
            </w:r>
          </w:p>
        </w:tc>
      </w:tr>
      <w:tr w14:paraId="15E41011">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261" w:type="dxa"/>
            <w:tcBorders>
              <w:tl2br w:val="nil"/>
              <w:tr2bl w:val="nil"/>
            </w:tcBorders>
          </w:tcPr>
          <w:p w14:paraId="081A7B67">
            <w:pPr>
              <w:pStyle w:val="27"/>
              <w:rPr>
                <w:rFonts w:hint="eastAsia" w:ascii="宋体" w:hAnsi="宋体" w:eastAsia="宋体" w:cs="宋体"/>
                <w:sz w:val="18"/>
                <w:szCs w:val="18"/>
              </w:rPr>
            </w:pPr>
            <w:r>
              <w:rPr>
                <w:rFonts w:hint="eastAsia" w:ascii="宋体" w:hAnsi="宋体" w:eastAsia="宋体" w:cs="宋体"/>
                <w:sz w:val="18"/>
                <w:szCs w:val="18"/>
              </w:rPr>
              <w:t>3. 差距评估</w:t>
            </w:r>
          </w:p>
        </w:tc>
        <w:tc>
          <w:tcPr>
            <w:tcW w:w="4593" w:type="dxa"/>
            <w:tcBorders>
              <w:tl2br w:val="nil"/>
              <w:tr2bl w:val="nil"/>
            </w:tcBorders>
          </w:tcPr>
          <w:p w14:paraId="4C3DB5EF">
            <w:pPr>
              <w:pStyle w:val="27"/>
              <w:rPr>
                <w:rFonts w:hint="eastAsia" w:ascii="宋体" w:hAnsi="宋体" w:eastAsia="宋体" w:cs="宋体"/>
                <w:sz w:val="18"/>
                <w:szCs w:val="18"/>
              </w:rPr>
            </w:pPr>
            <w:r>
              <w:rPr>
                <w:rFonts w:hint="eastAsia" w:ascii="宋体" w:hAnsi="宋体" w:eastAsia="宋体" w:cs="宋体"/>
                <w:sz w:val="18"/>
                <w:szCs w:val="18"/>
              </w:rPr>
              <w:t>对身份鉴别、访问控制、日志审计、数据备份、通信安全进行差距分析</w:t>
            </w:r>
          </w:p>
        </w:tc>
        <w:tc>
          <w:tcPr>
            <w:tcW w:w="2432" w:type="dxa"/>
            <w:tcBorders>
              <w:tl2br w:val="nil"/>
              <w:tr2bl w:val="nil"/>
            </w:tcBorders>
          </w:tcPr>
          <w:p w14:paraId="7074F5AF">
            <w:pPr>
              <w:pStyle w:val="27"/>
              <w:rPr>
                <w:rFonts w:hint="eastAsia" w:ascii="宋体" w:hAnsi="宋体" w:eastAsia="宋体" w:cs="宋体"/>
                <w:sz w:val="18"/>
                <w:szCs w:val="18"/>
              </w:rPr>
            </w:pPr>
            <w:r>
              <w:rPr>
                <w:rFonts w:hint="eastAsia" w:ascii="宋体" w:hAnsi="宋体" w:eastAsia="宋体" w:cs="宋体"/>
                <w:sz w:val="18"/>
                <w:szCs w:val="18"/>
              </w:rPr>
              <w:t>差距清单、整改建议</w:t>
            </w:r>
          </w:p>
        </w:tc>
      </w:tr>
      <w:tr w14:paraId="3F851CC7">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261" w:type="dxa"/>
            <w:tcBorders>
              <w:tl2br w:val="nil"/>
              <w:tr2bl w:val="nil"/>
            </w:tcBorders>
          </w:tcPr>
          <w:p w14:paraId="24C82516">
            <w:pPr>
              <w:pStyle w:val="27"/>
              <w:rPr>
                <w:rFonts w:hint="eastAsia" w:ascii="宋体" w:hAnsi="宋体" w:eastAsia="宋体" w:cs="宋体"/>
                <w:sz w:val="18"/>
                <w:szCs w:val="18"/>
              </w:rPr>
            </w:pPr>
            <w:r>
              <w:rPr>
                <w:rFonts w:hint="eastAsia" w:ascii="宋体" w:hAnsi="宋体" w:eastAsia="宋体" w:cs="宋体"/>
                <w:sz w:val="18"/>
                <w:szCs w:val="18"/>
              </w:rPr>
              <w:t>4. 漏洞扫描和基线检查</w:t>
            </w:r>
          </w:p>
        </w:tc>
        <w:tc>
          <w:tcPr>
            <w:tcW w:w="4593" w:type="dxa"/>
            <w:tcBorders>
              <w:tl2br w:val="nil"/>
              <w:tr2bl w:val="nil"/>
            </w:tcBorders>
          </w:tcPr>
          <w:p w14:paraId="4EF58D12">
            <w:pPr>
              <w:pStyle w:val="27"/>
              <w:rPr>
                <w:rFonts w:hint="eastAsia" w:ascii="宋体" w:hAnsi="宋体" w:eastAsia="宋体" w:cs="宋体"/>
                <w:sz w:val="18"/>
                <w:szCs w:val="18"/>
              </w:rPr>
            </w:pPr>
            <w:r>
              <w:rPr>
                <w:rFonts w:hint="eastAsia" w:ascii="宋体" w:hAnsi="宋体" w:eastAsia="宋体" w:cs="宋体"/>
                <w:sz w:val="18"/>
                <w:szCs w:val="18"/>
              </w:rPr>
              <w:t>配合开展漏洞扫描、弱口令检查、配置基线检查</w:t>
            </w:r>
          </w:p>
        </w:tc>
        <w:tc>
          <w:tcPr>
            <w:tcW w:w="2432" w:type="dxa"/>
            <w:tcBorders>
              <w:tl2br w:val="nil"/>
              <w:tr2bl w:val="nil"/>
            </w:tcBorders>
          </w:tcPr>
          <w:p w14:paraId="331F0C58">
            <w:pPr>
              <w:pStyle w:val="27"/>
              <w:rPr>
                <w:rFonts w:hint="eastAsia" w:ascii="宋体" w:hAnsi="宋体" w:eastAsia="宋体" w:cs="宋体"/>
                <w:sz w:val="18"/>
                <w:szCs w:val="18"/>
              </w:rPr>
            </w:pPr>
            <w:r>
              <w:rPr>
                <w:rFonts w:hint="eastAsia" w:ascii="宋体" w:hAnsi="宋体" w:eastAsia="宋体" w:cs="宋体"/>
                <w:sz w:val="18"/>
                <w:szCs w:val="18"/>
              </w:rPr>
              <w:t>扫描配合记录、问题清单</w:t>
            </w:r>
          </w:p>
        </w:tc>
      </w:tr>
      <w:tr w14:paraId="77736CC4">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261" w:type="dxa"/>
            <w:tcBorders>
              <w:tl2br w:val="nil"/>
              <w:tr2bl w:val="nil"/>
            </w:tcBorders>
          </w:tcPr>
          <w:p w14:paraId="035FC192">
            <w:pPr>
              <w:pStyle w:val="27"/>
              <w:rPr>
                <w:rFonts w:hint="eastAsia" w:ascii="宋体" w:hAnsi="宋体" w:eastAsia="宋体" w:cs="宋体"/>
                <w:sz w:val="18"/>
                <w:szCs w:val="18"/>
              </w:rPr>
            </w:pPr>
            <w:r>
              <w:rPr>
                <w:rFonts w:hint="eastAsia" w:ascii="宋体" w:hAnsi="宋体" w:eastAsia="宋体" w:cs="宋体"/>
                <w:sz w:val="18"/>
                <w:szCs w:val="18"/>
              </w:rPr>
              <w:t>5. 账号权限整改</w:t>
            </w:r>
          </w:p>
        </w:tc>
        <w:tc>
          <w:tcPr>
            <w:tcW w:w="4593" w:type="dxa"/>
            <w:tcBorders>
              <w:tl2br w:val="nil"/>
              <w:tr2bl w:val="nil"/>
            </w:tcBorders>
          </w:tcPr>
          <w:p w14:paraId="119C9B85">
            <w:pPr>
              <w:pStyle w:val="27"/>
              <w:rPr>
                <w:rFonts w:hint="eastAsia" w:ascii="宋体" w:hAnsi="宋体" w:eastAsia="宋体" w:cs="宋体"/>
                <w:sz w:val="18"/>
                <w:szCs w:val="18"/>
              </w:rPr>
            </w:pPr>
            <w:r>
              <w:rPr>
                <w:rFonts w:hint="eastAsia" w:ascii="宋体" w:hAnsi="宋体" w:eastAsia="宋体" w:cs="宋体"/>
                <w:sz w:val="18"/>
                <w:szCs w:val="18"/>
              </w:rPr>
              <w:t>清理无效账号、共享账号、过大权限，完善最小权限</w:t>
            </w:r>
          </w:p>
        </w:tc>
        <w:tc>
          <w:tcPr>
            <w:tcW w:w="2432" w:type="dxa"/>
            <w:tcBorders>
              <w:tl2br w:val="nil"/>
              <w:tr2bl w:val="nil"/>
            </w:tcBorders>
          </w:tcPr>
          <w:p w14:paraId="4F44EFAD">
            <w:pPr>
              <w:pStyle w:val="27"/>
              <w:rPr>
                <w:rFonts w:hint="eastAsia" w:ascii="宋体" w:hAnsi="宋体" w:eastAsia="宋体" w:cs="宋体"/>
                <w:sz w:val="18"/>
                <w:szCs w:val="18"/>
              </w:rPr>
            </w:pPr>
            <w:r>
              <w:rPr>
                <w:rFonts w:hint="eastAsia" w:ascii="宋体" w:hAnsi="宋体" w:eastAsia="宋体" w:cs="宋体"/>
                <w:sz w:val="18"/>
                <w:szCs w:val="18"/>
              </w:rPr>
              <w:t>权限矩阵、整改记录</w:t>
            </w:r>
          </w:p>
        </w:tc>
      </w:tr>
      <w:tr w14:paraId="712989DD">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261" w:type="dxa"/>
            <w:tcBorders>
              <w:tl2br w:val="nil"/>
              <w:tr2bl w:val="nil"/>
            </w:tcBorders>
          </w:tcPr>
          <w:p w14:paraId="3FB7EE43">
            <w:pPr>
              <w:pStyle w:val="27"/>
              <w:rPr>
                <w:rFonts w:hint="eastAsia" w:ascii="宋体" w:hAnsi="宋体" w:eastAsia="宋体" w:cs="宋体"/>
                <w:sz w:val="18"/>
                <w:szCs w:val="18"/>
              </w:rPr>
            </w:pPr>
            <w:r>
              <w:rPr>
                <w:rFonts w:hint="eastAsia" w:ascii="宋体" w:hAnsi="宋体" w:eastAsia="宋体" w:cs="宋体"/>
                <w:sz w:val="18"/>
                <w:szCs w:val="18"/>
              </w:rPr>
              <w:t>6. 日志审计加固</w:t>
            </w:r>
          </w:p>
        </w:tc>
        <w:tc>
          <w:tcPr>
            <w:tcW w:w="4593" w:type="dxa"/>
            <w:tcBorders>
              <w:tl2br w:val="nil"/>
              <w:tr2bl w:val="nil"/>
            </w:tcBorders>
          </w:tcPr>
          <w:p w14:paraId="3207CF62">
            <w:pPr>
              <w:pStyle w:val="27"/>
              <w:rPr>
                <w:rFonts w:hint="eastAsia" w:ascii="宋体" w:hAnsi="宋体" w:eastAsia="宋体" w:cs="宋体"/>
                <w:sz w:val="18"/>
                <w:szCs w:val="18"/>
              </w:rPr>
            </w:pPr>
            <w:r>
              <w:rPr>
                <w:rFonts w:hint="eastAsia" w:ascii="宋体" w:hAnsi="宋体" w:eastAsia="宋体" w:cs="宋体"/>
                <w:sz w:val="18"/>
                <w:szCs w:val="18"/>
              </w:rPr>
              <w:t>完善登录、接口、审批、导出、权限变更、备份恢复日志</w:t>
            </w:r>
          </w:p>
        </w:tc>
        <w:tc>
          <w:tcPr>
            <w:tcW w:w="2432" w:type="dxa"/>
            <w:tcBorders>
              <w:tl2br w:val="nil"/>
              <w:tr2bl w:val="nil"/>
            </w:tcBorders>
          </w:tcPr>
          <w:p w14:paraId="74421EF9">
            <w:pPr>
              <w:pStyle w:val="27"/>
              <w:rPr>
                <w:rFonts w:hint="eastAsia" w:ascii="宋体" w:hAnsi="宋体" w:eastAsia="宋体" w:cs="宋体"/>
                <w:sz w:val="18"/>
                <w:szCs w:val="18"/>
              </w:rPr>
            </w:pPr>
            <w:r>
              <w:rPr>
                <w:rFonts w:hint="eastAsia" w:ascii="宋体" w:hAnsi="宋体" w:eastAsia="宋体" w:cs="宋体"/>
                <w:sz w:val="18"/>
                <w:szCs w:val="18"/>
              </w:rPr>
              <w:t>日志清单、日志样例</w:t>
            </w:r>
          </w:p>
        </w:tc>
      </w:tr>
      <w:tr w14:paraId="20CC31FD">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261" w:type="dxa"/>
            <w:tcBorders>
              <w:tl2br w:val="nil"/>
              <w:tr2bl w:val="nil"/>
            </w:tcBorders>
          </w:tcPr>
          <w:p w14:paraId="073BCF49">
            <w:pPr>
              <w:pStyle w:val="27"/>
              <w:rPr>
                <w:rFonts w:hint="eastAsia" w:ascii="宋体" w:hAnsi="宋体" w:eastAsia="宋体" w:cs="宋体"/>
                <w:sz w:val="18"/>
                <w:szCs w:val="18"/>
              </w:rPr>
            </w:pPr>
            <w:r>
              <w:rPr>
                <w:rFonts w:hint="eastAsia" w:ascii="宋体" w:hAnsi="宋体" w:eastAsia="宋体" w:cs="宋体"/>
                <w:sz w:val="18"/>
                <w:szCs w:val="18"/>
              </w:rPr>
              <w:t>7. 数据备份和安全策略整改</w:t>
            </w:r>
          </w:p>
        </w:tc>
        <w:tc>
          <w:tcPr>
            <w:tcW w:w="4593" w:type="dxa"/>
            <w:tcBorders>
              <w:tl2br w:val="nil"/>
              <w:tr2bl w:val="nil"/>
            </w:tcBorders>
          </w:tcPr>
          <w:p w14:paraId="06CF1C27">
            <w:pPr>
              <w:pStyle w:val="27"/>
              <w:rPr>
                <w:rFonts w:hint="eastAsia" w:ascii="宋体" w:hAnsi="宋体" w:eastAsia="宋体" w:cs="宋体"/>
                <w:sz w:val="18"/>
                <w:szCs w:val="18"/>
              </w:rPr>
            </w:pPr>
            <w:r>
              <w:rPr>
                <w:rFonts w:hint="eastAsia" w:ascii="宋体" w:hAnsi="宋体" w:eastAsia="宋体" w:cs="宋体"/>
                <w:sz w:val="18"/>
                <w:szCs w:val="18"/>
              </w:rPr>
              <w:t>完善备份任务、恢复演练、敏感数据脱敏、导出控制</w:t>
            </w:r>
          </w:p>
        </w:tc>
        <w:tc>
          <w:tcPr>
            <w:tcW w:w="2432" w:type="dxa"/>
            <w:tcBorders>
              <w:tl2br w:val="nil"/>
              <w:tr2bl w:val="nil"/>
            </w:tcBorders>
          </w:tcPr>
          <w:p w14:paraId="69D21F4B">
            <w:pPr>
              <w:pStyle w:val="27"/>
              <w:rPr>
                <w:rFonts w:hint="eastAsia" w:ascii="宋体" w:hAnsi="宋体" w:eastAsia="宋体" w:cs="宋体"/>
                <w:sz w:val="18"/>
                <w:szCs w:val="18"/>
              </w:rPr>
            </w:pPr>
            <w:r>
              <w:rPr>
                <w:rFonts w:hint="eastAsia" w:ascii="宋体" w:hAnsi="宋体" w:eastAsia="宋体" w:cs="宋体"/>
                <w:sz w:val="18"/>
                <w:szCs w:val="18"/>
              </w:rPr>
              <w:t>备份策略、演练报告、脱敏说明</w:t>
            </w:r>
          </w:p>
        </w:tc>
      </w:tr>
      <w:tr w14:paraId="0686E3A5">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261" w:type="dxa"/>
            <w:tcBorders>
              <w:tl2br w:val="nil"/>
              <w:tr2bl w:val="nil"/>
            </w:tcBorders>
          </w:tcPr>
          <w:p w14:paraId="266399FC">
            <w:pPr>
              <w:pStyle w:val="27"/>
              <w:rPr>
                <w:rFonts w:hint="eastAsia" w:ascii="宋体" w:hAnsi="宋体" w:eastAsia="宋体" w:cs="宋体"/>
                <w:sz w:val="18"/>
                <w:szCs w:val="18"/>
              </w:rPr>
            </w:pPr>
            <w:r>
              <w:rPr>
                <w:rFonts w:hint="eastAsia" w:ascii="宋体" w:hAnsi="宋体" w:eastAsia="宋体" w:cs="宋体"/>
                <w:sz w:val="18"/>
                <w:szCs w:val="18"/>
              </w:rPr>
              <w:t>8. 安全测试整改</w:t>
            </w:r>
          </w:p>
        </w:tc>
        <w:tc>
          <w:tcPr>
            <w:tcW w:w="4593" w:type="dxa"/>
            <w:tcBorders>
              <w:tl2br w:val="nil"/>
              <w:tr2bl w:val="nil"/>
            </w:tcBorders>
          </w:tcPr>
          <w:p w14:paraId="08FE3EB7">
            <w:pPr>
              <w:pStyle w:val="27"/>
              <w:rPr>
                <w:rFonts w:hint="eastAsia" w:ascii="宋体" w:hAnsi="宋体" w:eastAsia="宋体" w:cs="宋体"/>
                <w:sz w:val="18"/>
                <w:szCs w:val="18"/>
              </w:rPr>
            </w:pPr>
            <w:r>
              <w:rPr>
                <w:rFonts w:hint="eastAsia" w:ascii="宋体" w:hAnsi="宋体" w:eastAsia="宋体" w:cs="宋体"/>
                <w:sz w:val="18"/>
                <w:szCs w:val="18"/>
              </w:rPr>
              <w:t>对扫描、渗透或测评发现问题进行修复</w:t>
            </w:r>
          </w:p>
        </w:tc>
        <w:tc>
          <w:tcPr>
            <w:tcW w:w="2432" w:type="dxa"/>
            <w:tcBorders>
              <w:tl2br w:val="nil"/>
              <w:tr2bl w:val="nil"/>
            </w:tcBorders>
          </w:tcPr>
          <w:p w14:paraId="5884C510">
            <w:pPr>
              <w:pStyle w:val="27"/>
              <w:rPr>
                <w:rFonts w:hint="eastAsia" w:ascii="宋体" w:hAnsi="宋体" w:eastAsia="宋体" w:cs="宋体"/>
                <w:sz w:val="18"/>
                <w:szCs w:val="18"/>
              </w:rPr>
            </w:pPr>
            <w:r>
              <w:rPr>
                <w:rFonts w:hint="eastAsia" w:ascii="宋体" w:hAnsi="宋体" w:eastAsia="宋体" w:cs="宋体"/>
                <w:sz w:val="18"/>
                <w:szCs w:val="18"/>
              </w:rPr>
              <w:t>修复记录、版本说明</w:t>
            </w:r>
          </w:p>
        </w:tc>
      </w:tr>
      <w:tr w14:paraId="26AE5EC2">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261" w:type="dxa"/>
            <w:tcBorders>
              <w:tl2br w:val="nil"/>
              <w:tr2bl w:val="nil"/>
            </w:tcBorders>
          </w:tcPr>
          <w:p w14:paraId="3CE3E600">
            <w:pPr>
              <w:pStyle w:val="27"/>
              <w:rPr>
                <w:rFonts w:hint="eastAsia" w:ascii="宋体" w:hAnsi="宋体" w:eastAsia="宋体" w:cs="宋体"/>
                <w:sz w:val="18"/>
                <w:szCs w:val="18"/>
              </w:rPr>
            </w:pPr>
            <w:r>
              <w:rPr>
                <w:rFonts w:hint="eastAsia" w:ascii="宋体" w:hAnsi="宋体" w:eastAsia="宋体" w:cs="宋体"/>
                <w:sz w:val="18"/>
                <w:szCs w:val="18"/>
              </w:rPr>
              <w:t>9. 整改复测</w:t>
            </w:r>
          </w:p>
        </w:tc>
        <w:tc>
          <w:tcPr>
            <w:tcW w:w="4593" w:type="dxa"/>
            <w:tcBorders>
              <w:tl2br w:val="nil"/>
              <w:tr2bl w:val="nil"/>
            </w:tcBorders>
          </w:tcPr>
          <w:p w14:paraId="524BEB2A">
            <w:pPr>
              <w:pStyle w:val="27"/>
              <w:rPr>
                <w:rFonts w:hint="eastAsia" w:ascii="宋体" w:hAnsi="宋体" w:eastAsia="宋体" w:cs="宋体"/>
                <w:sz w:val="18"/>
                <w:szCs w:val="18"/>
              </w:rPr>
            </w:pPr>
            <w:r>
              <w:rPr>
                <w:rFonts w:hint="eastAsia" w:ascii="宋体" w:hAnsi="宋体" w:eastAsia="宋体" w:cs="宋体"/>
                <w:sz w:val="18"/>
                <w:szCs w:val="18"/>
              </w:rPr>
              <w:t>配合测评机构或甲方复测整改结果</w:t>
            </w:r>
          </w:p>
        </w:tc>
        <w:tc>
          <w:tcPr>
            <w:tcW w:w="2432" w:type="dxa"/>
            <w:tcBorders>
              <w:tl2br w:val="nil"/>
              <w:tr2bl w:val="nil"/>
            </w:tcBorders>
          </w:tcPr>
          <w:p w14:paraId="5E0A5994">
            <w:pPr>
              <w:pStyle w:val="27"/>
              <w:rPr>
                <w:rFonts w:hint="eastAsia" w:ascii="宋体" w:hAnsi="宋体" w:eastAsia="宋体" w:cs="宋体"/>
                <w:sz w:val="18"/>
                <w:szCs w:val="18"/>
              </w:rPr>
            </w:pPr>
            <w:r>
              <w:rPr>
                <w:rFonts w:hint="eastAsia" w:ascii="宋体" w:hAnsi="宋体" w:eastAsia="宋体" w:cs="宋体"/>
                <w:sz w:val="18"/>
                <w:szCs w:val="18"/>
              </w:rPr>
              <w:t>复测支撑材料</w:t>
            </w:r>
          </w:p>
        </w:tc>
      </w:tr>
      <w:tr w14:paraId="3F96DF0D">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261" w:type="dxa"/>
            <w:tcBorders>
              <w:tl2br w:val="nil"/>
              <w:tr2bl w:val="nil"/>
            </w:tcBorders>
          </w:tcPr>
          <w:p w14:paraId="26B19B19">
            <w:pPr>
              <w:pStyle w:val="27"/>
              <w:rPr>
                <w:rFonts w:hint="eastAsia" w:ascii="宋体" w:hAnsi="宋体" w:eastAsia="宋体" w:cs="宋体"/>
                <w:sz w:val="18"/>
                <w:szCs w:val="18"/>
              </w:rPr>
            </w:pPr>
            <w:r>
              <w:rPr>
                <w:rFonts w:hint="eastAsia" w:ascii="宋体" w:hAnsi="宋体" w:eastAsia="宋体" w:cs="宋体"/>
                <w:sz w:val="18"/>
                <w:szCs w:val="18"/>
              </w:rPr>
              <w:t>10. 材料归档和持续改进</w:t>
            </w:r>
          </w:p>
        </w:tc>
        <w:tc>
          <w:tcPr>
            <w:tcW w:w="4593" w:type="dxa"/>
            <w:tcBorders>
              <w:tl2br w:val="nil"/>
              <w:tr2bl w:val="nil"/>
            </w:tcBorders>
          </w:tcPr>
          <w:p w14:paraId="3E6B9761">
            <w:pPr>
              <w:pStyle w:val="27"/>
              <w:rPr>
                <w:rFonts w:hint="eastAsia" w:ascii="宋体" w:hAnsi="宋体" w:eastAsia="宋体" w:cs="宋体"/>
                <w:sz w:val="18"/>
                <w:szCs w:val="18"/>
              </w:rPr>
            </w:pPr>
            <w:r>
              <w:rPr>
                <w:rFonts w:hint="eastAsia" w:ascii="宋体" w:hAnsi="宋体" w:eastAsia="宋体" w:cs="宋体"/>
                <w:sz w:val="18"/>
                <w:szCs w:val="18"/>
              </w:rPr>
              <w:t>归档制度、记录、报告和后续整改计划</w:t>
            </w:r>
          </w:p>
        </w:tc>
        <w:tc>
          <w:tcPr>
            <w:tcW w:w="2432" w:type="dxa"/>
            <w:tcBorders>
              <w:tl2br w:val="nil"/>
              <w:tr2bl w:val="nil"/>
            </w:tcBorders>
          </w:tcPr>
          <w:p w14:paraId="6D4C3C5F">
            <w:pPr>
              <w:pStyle w:val="27"/>
              <w:rPr>
                <w:rFonts w:hint="eastAsia" w:ascii="宋体" w:hAnsi="宋体" w:eastAsia="宋体" w:cs="宋体"/>
                <w:sz w:val="18"/>
                <w:szCs w:val="18"/>
              </w:rPr>
            </w:pPr>
            <w:r>
              <w:rPr>
                <w:rFonts w:hint="eastAsia" w:ascii="宋体" w:hAnsi="宋体" w:eastAsia="宋体" w:cs="宋体"/>
                <w:sz w:val="18"/>
                <w:szCs w:val="18"/>
              </w:rPr>
              <w:t>等保整改材料包</w:t>
            </w:r>
          </w:p>
        </w:tc>
      </w:tr>
    </w:tbl>
    <w:p w14:paraId="2D907334">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等保整改过程中，如涉及甲方基础设施、网络设备、安全设备或第三方系统，我公司牵头本项目软件侧分析和整改，并配合甲方协调相关单位完成闭环。</w:t>
      </w:r>
    </w:p>
    <w:p w14:paraId="10743B3D">
      <w:pPr>
        <w:pStyle w:val="5"/>
        <w:bidi w:val="0"/>
        <w:rPr>
          <w:rFonts w:hint="eastAsia" w:ascii="宋体" w:hAnsi="宋体" w:eastAsia="宋体" w:cs="宋体"/>
          <w:b w:val="0"/>
          <w:bCs/>
          <w:lang w:val="en-US" w:eastAsia="zh-CN"/>
        </w:rPr>
      </w:pPr>
      <w:r>
        <w:rPr>
          <w:rFonts w:hint="eastAsia" w:cs="宋体"/>
          <w:b w:val="0"/>
          <w:bCs/>
          <w:lang w:val="en-US" w:eastAsia="zh-CN"/>
        </w:rPr>
        <w:t>11.7</w:t>
      </w:r>
      <w:r>
        <w:rPr>
          <w:rFonts w:hint="eastAsia" w:ascii="宋体" w:hAnsi="宋体" w:eastAsia="宋体" w:cs="宋体"/>
          <w:b w:val="0"/>
          <w:bCs/>
          <w:lang w:val="en-US" w:eastAsia="zh-CN"/>
        </w:rPr>
        <w:t>.8 DCMM 实施配合与数据治理流程</w:t>
      </w:r>
    </w:p>
    <w:p w14:paraId="2B1BDC1D">
      <w:pPr>
        <w:pStyle w:val="26"/>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sz w:val="21"/>
          <w:szCs w:val="21"/>
        </w:rPr>
      </w:pPr>
      <w:r>
        <w:rPr>
          <w:rFonts w:hint="eastAsia" w:ascii="宋体" w:hAnsi="宋体" w:eastAsia="宋体" w:cs="宋体"/>
          <w:b/>
          <w:bCs/>
          <w:sz w:val="21"/>
          <w:szCs w:val="21"/>
        </w:rPr>
        <w:t>闭环价值</w:t>
      </w:r>
      <w:r>
        <w:rPr>
          <w:rFonts w:hint="eastAsia" w:ascii="宋体" w:hAnsi="宋体" w:eastAsia="宋体" w:cs="宋体"/>
          <w:sz w:val="21"/>
          <w:szCs w:val="21"/>
        </w:rPr>
        <w:t>：将数据视为项目最核心资产，不仅保证数据安全，更通过标准化的流程拉升甲方整体的数据管理成熟度。</w:t>
      </w:r>
    </w:p>
    <w:p w14:paraId="51218881">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我公司按DCMM数据管理能力成熟度评估关注点，对本项目相关数据资源、数据标准、数据质量、数据安全、数据共享和数据生命周期进行梳理和整改支撑。</w:t>
      </w:r>
    </w:p>
    <w:tbl>
      <w:tblPr>
        <w:tblStyle w:val="28"/>
        <w:tblW w:w="0" w:type="auto"/>
        <w:tblInd w:w="0" w:type="dxa"/>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Layout w:type="autofit"/>
        <w:tblCellMar>
          <w:top w:w="0" w:type="dxa"/>
          <w:left w:w="108" w:type="dxa"/>
          <w:bottom w:w="0" w:type="dxa"/>
          <w:right w:w="108" w:type="dxa"/>
        </w:tblCellMar>
      </w:tblPr>
      <w:tblGrid>
        <w:gridCol w:w="2021"/>
        <w:gridCol w:w="4254"/>
        <w:gridCol w:w="3011"/>
      </w:tblGrid>
      <w:tr w14:paraId="6C6EBB64">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tblHeader/>
        </w:trPr>
        <w:tc>
          <w:tcPr>
            <w:tcW w:w="2021" w:type="dxa"/>
            <w:tcBorders>
              <w:tl2br w:val="nil"/>
              <w:tr2bl w:val="nil"/>
            </w:tcBorders>
            <w:shd w:val="clear" w:color="auto" w:fill="E9F1F8"/>
          </w:tcPr>
          <w:p w14:paraId="4772EAA3">
            <w:pPr>
              <w:pStyle w:val="27"/>
              <w:jc w:val="center"/>
              <w:rPr>
                <w:rFonts w:hint="eastAsia" w:ascii="宋体" w:hAnsi="宋体" w:eastAsia="宋体" w:cs="宋体"/>
                <w:b/>
                <w:bCs/>
                <w:sz w:val="18"/>
                <w:szCs w:val="18"/>
              </w:rPr>
            </w:pPr>
            <w:r>
              <w:rPr>
                <w:rFonts w:hint="eastAsia" w:ascii="宋体" w:hAnsi="宋体" w:eastAsia="宋体" w:cs="宋体"/>
                <w:b/>
                <w:bCs/>
                <w:sz w:val="18"/>
                <w:szCs w:val="18"/>
              </w:rPr>
              <w:t>阶段</w:t>
            </w:r>
          </w:p>
        </w:tc>
        <w:tc>
          <w:tcPr>
            <w:tcW w:w="4254" w:type="dxa"/>
            <w:tcBorders>
              <w:tl2br w:val="nil"/>
              <w:tr2bl w:val="nil"/>
            </w:tcBorders>
            <w:shd w:val="clear" w:color="auto" w:fill="E9F1F8"/>
          </w:tcPr>
          <w:p w14:paraId="18D6575D">
            <w:pPr>
              <w:pStyle w:val="27"/>
              <w:jc w:val="center"/>
              <w:rPr>
                <w:rFonts w:hint="eastAsia" w:ascii="宋体" w:hAnsi="宋体" w:eastAsia="宋体" w:cs="宋体"/>
                <w:b/>
                <w:bCs/>
                <w:sz w:val="18"/>
                <w:szCs w:val="18"/>
              </w:rPr>
            </w:pPr>
            <w:r>
              <w:rPr>
                <w:rFonts w:hint="eastAsia" w:ascii="宋体" w:hAnsi="宋体" w:eastAsia="宋体" w:cs="宋体"/>
                <w:b/>
                <w:bCs/>
                <w:sz w:val="18"/>
                <w:szCs w:val="18"/>
              </w:rPr>
              <w:t>实施内容</w:t>
            </w:r>
          </w:p>
        </w:tc>
        <w:tc>
          <w:tcPr>
            <w:tcW w:w="3011" w:type="dxa"/>
            <w:tcBorders>
              <w:tl2br w:val="nil"/>
              <w:tr2bl w:val="nil"/>
            </w:tcBorders>
            <w:shd w:val="clear" w:color="auto" w:fill="E9F1F8"/>
          </w:tcPr>
          <w:p w14:paraId="729F90BD">
            <w:pPr>
              <w:pStyle w:val="27"/>
              <w:jc w:val="center"/>
              <w:rPr>
                <w:rFonts w:hint="eastAsia" w:ascii="宋体" w:hAnsi="宋体" w:eastAsia="宋体" w:cs="宋体"/>
                <w:b/>
                <w:bCs/>
                <w:sz w:val="18"/>
                <w:szCs w:val="18"/>
              </w:rPr>
            </w:pPr>
            <w:r>
              <w:rPr>
                <w:rFonts w:hint="eastAsia" w:ascii="宋体" w:hAnsi="宋体" w:eastAsia="宋体" w:cs="宋体"/>
                <w:b/>
                <w:bCs/>
                <w:sz w:val="18"/>
                <w:szCs w:val="18"/>
              </w:rPr>
              <w:t>本项目落地方式</w:t>
            </w:r>
          </w:p>
        </w:tc>
      </w:tr>
      <w:tr w14:paraId="73F87A05">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757FA2F1">
            <w:pPr>
              <w:pStyle w:val="27"/>
              <w:jc w:val="center"/>
              <w:rPr>
                <w:rFonts w:hint="eastAsia" w:ascii="宋体" w:hAnsi="宋体" w:eastAsia="宋体" w:cs="宋体"/>
                <w:sz w:val="18"/>
                <w:szCs w:val="18"/>
              </w:rPr>
            </w:pPr>
            <w:r>
              <w:rPr>
                <w:rFonts w:hint="eastAsia" w:ascii="宋体" w:hAnsi="宋体" w:eastAsia="宋体" w:cs="宋体"/>
                <w:sz w:val="18"/>
                <w:szCs w:val="18"/>
              </w:rPr>
              <w:t>1. 数据资源梳理</w:t>
            </w:r>
          </w:p>
        </w:tc>
        <w:tc>
          <w:tcPr>
            <w:tcW w:w="4254" w:type="dxa"/>
            <w:tcBorders>
              <w:tl2br w:val="nil"/>
              <w:tr2bl w:val="nil"/>
            </w:tcBorders>
          </w:tcPr>
          <w:p w14:paraId="24B1D9E4">
            <w:pPr>
              <w:pStyle w:val="27"/>
              <w:rPr>
                <w:rFonts w:hint="eastAsia" w:ascii="宋体" w:hAnsi="宋体" w:eastAsia="宋体" w:cs="宋体"/>
                <w:sz w:val="18"/>
                <w:szCs w:val="18"/>
              </w:rPr>
            </w:pPr>
            <w:r>
              <w:rPr>
                <w:rFonts w:hint="eastAsia" w:ascii="宋体" w:hAnsi="宋体" w:eastAsia="宋体" w:cs="宋体"/>
                <w:sz w:val="18"/>
                <w:szCs w:val="18"/>
              </w:rPr>
              <w:t>梳理</w:t>
            </w:r>
            <w:r>
              <w:rPr>
                <w:rFonts w:hint="eastAsia" w:ascii="宋体" w:hAnsi="宋体" w:eastAsia="宋体" w:cs="宋体"/>
                <w:sz w:val="18"/>
                <w:szCs w:val="18"/>
                <w:lang w:val="en-US" w:eastAsia="zh-CN"/>
              </w:rPr>
              <w:t>各模块</w:t>
            </w:r>
            <w:r>
              <w:rPr>
                <w:rFonts w:hint="eastAsia" w:ascii="宋体" w:hAnsi="宋体" w:eastAsia="宋体" w:cs="宋体"/>
                <w:sz w:val="18"/>
                <w:szCs w:val="18"/>
              </w:rPr>
              <w:t>数据</w:t>
            </w:r>
          </w:p>
        </w:tc>
        <w:tc>
          <w:tcPr>
            <w:tcW w:w="3011" w:type="dxa"/>
            <w:tcBorders>
              <w:tl2br w:val="nil"/>
              <w:tr2bl w:val="nil"/>
            </w:tcBorders>
          </w:tcPr>
          <w:p w14:paraId="119347A3">
            <w:pPr>
              <w:pStyle w:val="27"/>
              <w:rPr>
                <w:rFonts w:hint="eastAsia" w:ascii="宋体" w:hAnsi="宋体" w:eastAsia="宋体" w:cs="宋体"/>
                <w:sz w:val="18"/>
                <w:szCs w:val="18"/>
              </w:rPr>
            </w:pPr>
            <w:r>
              <w:rPr>
                <w:rFonts w:hint="eastAsia" w:ascii="宋体" w:hAnsi="宋体" w:eastAsia="宋体" w:cs="宋体"/>
                <w:sz w:val="18"/>
                <w:szCs w:val="18"/>
              </w:rPr>
              <w:t>形成数据资源目录和数据责任边界</w:t>
            </w:r>
          </w:p>
        </w:tc>
      </w:tr>
      <w:tr w14:paraId="53891386">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36C66377">
            <w:pPr>
              <w:pStyle w:val="27"/>
              <w:jc w:val="center"/>
              <w:rPr>
                <w:rFonts w:hint="eastAsia" w:ascii="宋体" w:hAnsi="宋体" w:eastAsia="宋体" w:cs="宋体"/>
                <w:sz w:val="18"/>
                <w:szCs w:val="18"/>
              </w:rPr>
            </w:pPr>
            <w:r>
              <w:rPr>
                <w:rFonts w:hint="eastAsia" w:ascii="宋体" w:hAnsi="宋体" w:eastAsia="宋体" w:cs="宋体"/>
                <w:sz w:val="18"/>
                <w:szCs w:val="18"/>
              </w:rPr>
              <w:t>2. 数据分类分级</w:t>
            </w:r>
          </w:p>
        </w:tc>
        <w:tc>
          <w:tcPr>
            <w:tcW w:w="4254" w:type="dxa"/>
            <w:tcBorders>
              <w:tl2br w:val="nil"/>
              <w:tr2bl w:val="nil"/>
            </w:tcBorders>
          </w:tcPr>
          <w:p w14:paraId="6FED6BAC">
            <w:pPr>
              <w:pStyle w:val="27"/>
              <w:rPr>
                <w:rFonts w:hint="eastAsia" w:ascii="宋体" w:hAnsi="宋体" w:eastAsia="宋体" w:cs="宋体"/>
                <w:sz w:val="18"/>
                <w:szCs w:val="18"/>
              </w:rPr>
            </w:pPr>
            <w:r>
              <w:rPr>
                <w:rFonts w:hint="eastAsia" w:ascii="宋体" w:hAnsi="宋体" w:eastAsia="宋体" w:cs="宋体"/>
                <w:sz w:val="18"/>
                <w:szCs w:val="18"/>
              </w:rPr>
              <w:t>对合同、派单、人员、培训考试等数据分类</w:t>
            </w:r>
          </w:p>
        </w:tc>
        <w:tc>
          <w:tcPr>
            <w:tcW w:w="3011" w:type="dxa"/>
            <w:tcBorders>
              <w:tl2br w:val="nil"/>
              <w:tr2bl w:val="nil"/>
            </w:tcBorders>
          </w:tcPr>
          <w:p w14:paraId="3E39767A">
            <w:pPr>
              <w:pStyle w:val="27"/>
              <w:rPr>
                <w:rFonts w:hint="eastAsia" w:ascii="宋体" w:hAnsi="宋体" w:eastAsia="宋体" w:cs="宋体"/>
                <w:sz w:val="18"/>
                <w:szCs w:val="18"/>
              </w:rPr>
            </w:pPr>
            <w:r>
              <w:rPr>
                <w:rFonts w:hint="eastAsia" w:ascii="宋体" w:hAnsi="宋体" w:eastAsia="宋体" w:cs="宋体"/>
                <w:sz w:val="18"/>
                <w:szCs w:val="18"/>
              </w:rPr>
              <w:t>标注敏感等级和访问控制要求</w:t>
            </w:r>
          </w:p>
        </w:tc>
      </w:tr>
      <w:tr w14:paraId="35C0F869">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6526A108">
            <w:pPr>
              <w:pStyle w:val="27"/>
              <w:jc w:val="center"/>
              <w:rPr>
                <w:rFonts w:hint="eastAsia" w:ascii="宋体" w:hAnsi="宋体" w:eastAsia="宋体" w:cs="宋体"/>
                <w:sz w:val="18"/>
                <w:szCs w:val="18"/>
              </w:rPr>
            </w:pPr>
            <w:r>
              <w:rPr>
                <w:rFonts w:hint="eastAsia" w:ascii="宋体" w:hAnsi="宋体" w:eastAsia="宋体" w:cs="宋体"/>
                <w:sz w:val="18"/>
                <w:szCs w:val="18"/>
              </w:rPr>
              <w:t>3. 数据流向梳理</w:t>
            </w:r>
          </w:p>
        </w:tc>
        <w:tc>
          <w:tcPr>
            <w:tcW w:w="4254" w:type="dxa"/>
            <w:tcBorders>
              <w:tl2br w:val="nil"/>
              <w:tr2bl w:val="nil"/>
            </w:tcBorders>
          </w:tcPr>
          <w:p w14:paraId="6EEFF1A2">
            <w:pPr>
              <w:pStyle w:val="27"/>
              <w:rPr>
                <w:rFonts w:hint="eastAsia" w:ascii="宋体" w:hAnsi="宋体" w:eastAsia="宋体" w:cs="宋体"/>
                <w:sz w:val="18"/>
                <w:szCs w:val="18"/>
              </w:rPr>
            </w:pPr>
            <w:r>
              <w:rPr>
                <w:rFonts w:hint="eastAsia" w:ascii="宋体" w:hAnsi="宋体" w:eastAsia="宋体" w:cs="宋体"/>
                <w:sz w:val="18"/>
                <w:szCs w:val="18"/>
              </w:rPr>
              <w:t>梳理</w:t>
            </w:r>
            <w:r>
              <w:rPr>
                <w:rFonts w:hint="eastAsia" w:ascii="宋体" w:hAnsi="宋体" w:eastAsia="宋体" w:cs="宋体"/>
                <w:sz w:val="18"/>
                <w:szCs w:val="18"/>
                <w:lang w:val="en-US" w:eastAsia="zh-CN"/>
              </w:rPr>
              <w:t>各个子服务之间</w:t>
            </w:r>
            <w:r>
              <w:rPr>
                <w:rFonts w:hint="eastAsia" w:ascii="宋体" w:hAnsi="宋体" w:eastAsia="宋体" w:cs="宋体"/>
                <w:sz w:val="18"/>
                <w:szCs w:val="18"/>
              </w:rPr>
              <w:t>的数据流</w:t>
            </w:r>
          </w:p>
        </w:tc>
        <w:tc>
          <w:tcPr>
            <w:tcW w:w="3011" w:type="dxa"/>
            <w:tcBorders>
              <w:tl2br w:val="nil"/>
              <w:tr2bl w:val="nil"/>
            </w:tcBorders>
          </w:tcPr>
          <w:p w14:paraId="1EAA8200">
            <w:pPr>
              <w:pStyle w:val="27"/>
              <w:rPr>
                <w:rFonts w:hint="eastAsia" w:ascii="宋体" w:hAnsi="宋体" w:eastAsia="宋体" w:cs="宋体"/>
                <w:sz w:val="18"/>
                <w:szCs w:val="18"/>
              </w:rPr>
            </w:pPr>
            <w:r>
              <w:rPr>
                <w:rFonts w:hint="eastAsia" w:ascii="宋体" w:hAnsi="宋体" w:eastAsia="宋体" w:cs="宋体"/>
                <w:sz w:val="18"/>
                <w:szCs w:val="18"/>
              </w:rPr>
              <w:t>形成数据流向图和接口清单</w:t>
            </w:r>
          </w:p>
        </w:tc>
      </w:tr>
      <w:tr w14:paraId="7E772DF0">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2E53B674">
            <w:pPr>
              <w:pStyle w:val="27"/>
              <w:jc w:val="center"/>
              <w:rPr>
                <w:rFonts w:hint="eastAsia" w:ascii="宋体" w:hAnsi="宋体" w:eastAsia="宋体" w:cs="宋体"/>
                <w:sz w:val="18"/>
                <w:szCs w:val="18"/>
              </w:rPr>
            </w:pPr>
            <w:r>
              <w:rPr>
                <w:rFonts w:hint="eastAsia" w:ascii="宋体" w:hAnsi="宋体" w:eastAsia="宋体" w:cs="宋体"/>
                <w:sz w:val="18"/>
                <w:szCs w:val="18"/>
                <w:lang w:val="en-US" w:eastAsia="zh-CN"/>
              </w:rPr>
              <w:t xml:space="preserve">  </w:t>
            </w:r>
            <w:r>
              <w:rPr>
                <w:rFonts w:hint="eastAsia" w:ascii="宋体" w:hAnsi="宋体" w:eastAsia="宋体" w:cs="宋体"/>
                <w:sz w:val="18"/>
                <w:szCs w:val="18"/>
              </w:rPr>
              <w:t>4. 数据权限和脱敏</w:t>
            </w:r>
          </w:p>
        </w:tc>
        <w:tc>
          <w:tcPr>
            <w:tcW w:w="4254" w:type="dxa"/>
            <w:tcBorders>
              <w:tl2br w:val="nil"/>
              <w:tr2bl w:val="nil"/>
            </w:tcBorders>
          </w:tcPr>
          <w:p w14:paraId="0B05BF82">
            <w:pPr>
              <w:pStyle w:val="27"/>
              <w:rPr>
                <w:rFonts w:hint="eastAsia" w:ascii="宋体" w:hAnsi="宋体" w:eastAsia="宋体" w:cs="宋体"/>
                <w:sz w:val="18"/>
                <w:szCs w:val="18"/>
              </w:rPr>
            </w:pPr>
            <w:r>
              <w:rPr>
                <w:rFonts w:hint="eastAsia" w:ascii="宋体" w:hAnsi="宋体" w:eastAsia="宋体" w:cs="宋体"/>
                <w:sz w:val="18"/>
                <w:szCs w:val="18"/>
              </w:rPr>
              <w:t>明确角色可见范围、导出权限、敏感字段脱敏规则</w:t>
            </w:r>
          </w:p>
        </w:tc>
        <w:tc>
          <w:tcPr>
            <w:tcW w:w="3011" w:type="dxa"/>
            <w:tcBorders>
              <w:tl2br w:val="nil"/>
              <w:tr2bl w:val="nil"/>
            </w:tcBorders>
          </w:tcPr>
          <w:p w14:paraId="117A8B7E">
            <w:pPr>
              <w:pStyle w:val="27"/>
              <w:rPr>
                <w:rFonts w:hint="eastAsia" w:ascii="宋体" w:hAnsi="宋体" w:eastAsia="宋体" w:cs="宋体"/>
                <w:sz w:val="18"/>
                <w:szCs w:val="18"/>
              </w:rPr>
            </w:pPr>
            <w:r>
              <w:rPr>
                <w:rFonts w:hint="eastAsia" w:ascii="宋体" w:hAnsi="宋体" w:eastAsia="宋体" w:cs="宋体"/>
                <w:sz w:val="18"/>
                <w:szCs w:val="18"/>
              </w:rPr>
              <w:t>权限矩阵、脱敏策略、导出控制</w:t>
            </w:r>
          </w:p>
        </w:tc>
      </w:tr>
      <w:tr w14:paraId="49169A3F">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194BF72C">
            <w:pPr>
              <w:pStyle w:val="27"/>
              <w:jc w:val="center"/>
              <w:rPr>
                <w:rFonts w:hint="eastAsia" w:ascii="宋体" w:hAnsi="宋体" w:eastAsia="宋体" w:cs="宋体"/>
                <w:sz w:val="18"/>
                <w:szCs w:val="18"/>
              </w:rPr>
            </w:pPr>
            <w:r>
              <w:rPr>
                <w:rFonts w:hint="eastAsia" w:ascii="宋体" w:hAnsi="宋体" w:eastAsia="宋体" w:cs="宋体"/>
                <w:sz w:val="18"/>
                <w:szCs w:val="18"/>
              </w:rPr>
              <w:t>5. 数据质量规则</w:t>
            </w:r>
          </w:p>
        </w:tc>
        <w:tc>
          <w:tcPr>
            <w:tcW w:w="4254" w:type="dxa"/>
            <w:tcBorders>
              <w:tl2br w:val="nil"/>
              <w:tr2bl w:val="nil"/>
            </w:tcBorders>
          </w:tcPr>
          <w:p w14:paraId="66B640BF">
            <w:pPr>
              <w:pStyle w:val="27"/>
              <w:rPr>
                <w:rFonts w:hint="eastAsia" w:ascii="宋体" w:hAnsi="宋体" w:eastAsia="宋体" w:cs="宋体"/>
                <w:sz w:val="18"/>
                <w:szCs w:val="18"/>
              </w:rPr>
            </w:pPr>
            <w:r>
              <w:rPr>
                <w:rFonts w:hint="eastAsia" w:ascii="宋体" w:hAnsi="宋体" w:eastAsia="宋体" w:cs="宋体"/>
                <w:sz w:val="18"/>
                <w:szCs w:val="18"/>
              </w:rPr>
              <w:t>建立合同编号、派单编号、人员、时间字段校验</w:t>
            </w:r>
          </w:p>
        </w:tc>
        <w:tc>
          <w:tcPr>
            <w:tcW w:w="3011" w:type="dxa"/>
            <w:tcBorders>
              <w:tl2br w:val="nil"/>
              <w:tr2bl w:val="nil"/>
            </w:tcBorders>
          </w:tcPr>
          <w:p w14:paraId="160BB8C3">
            <w:pPr>
              <w:pStyle w:val="27"/>
              <w:rPr>
                <w:rFonts w:hint="eastAsia" w:ascii="宋体" w:hAnsi="宋体" w:eastAsia="宋体" w:cs="宋体"/>
                <w:sz w:val="18"/>
                <w:szCs w:val="18"/>
              </w:rPr>
            </w:pPr>
            <w:r>
              <w:rPr>
                <w:rFonts w:hint="eastAsia" w:ascii="宋体" w:hAnsi="宋体" w:eastAsia="宋体" w:cs="宋体"/>
                <w:sz w:val="18"/>
                <w:szCs w:val="18"/>
              </w:rPr>
              <w:t>数据质量校验清单、异常数据处理记录</w:t>
            </w:r>
          </w:p>
        </w:tc>
      </w:tr>
      <w:tr w14:paraId="0CF6A562">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2CA0CAB9">
            <w:pPr>
              <w:pStyle w:val="27"/>
              <w:jc w:val="center"/>
              <w:rPr>
                <w:rFonts w:hint="eastAsia" w:ascii="宋体" w:hAnsi="宋体" w:eastAsia="宋体" w:cs="宋体"/>
                <w:sz w:val="18"/>
                <w:szCs w:val="18"/>
              </w:rPr>
            </w:pPr>
            <w:r>
              <w:rPr>
                <w:rFonts w:hint="eastAsia" w:ascii="宋体" w:hAnsi="宋体" w:eastAsia="宋体" w:cs="宋体"/>
                <w:sz w:val="18"/>
                <w:szCs w:val="18"/>
              </w:rPr>
              <w:t>6. 数据备份恢复</w:t>
            </w:r>
          </w:p>
        </w:tc>
        <w:tc>
          <w:tcPr>
            <w:tcW w:w="4254" w:type="dxa"/>
            <w:tcBorders>
              <w:tl2br w:val="nil"/>
              <w:tr2bl w:val="nil"/>
            </w:tcBorders>
          </w:tcPr>
          <w:p w14:paraId="3FF550B2">
            <w:pPr>
              <w:pStyle w:val="27"/>
              <w:rPr>
                <w:rFonts w:hint="eastAsia" w:ascii="宋体" w:hAnsi="宋体" w:eastAsia="宋体" w:cs="宋体"/>
                <w:sz w:val="18"/>
                <w:szCs w:val="18"/>
              </w:rPr>
            </w:pPr>
            <w:r>
              <w:rPr>
                <w:rFonts w:hint="eastAsia" w:ascii="宋体" w:hAnsi="宋体" w:eastAsia="宋体" w:cs="宋体"/>
                <w:sz w:val="18"/>
                <w:szCs w:val="18"/>
              </w:rPr>
              <w:t>将数据库、附件、配置、归档包纳入备份恢复</w:t>
            </w:r>
          </w:p>
        </w:tc>
        <w:tc>
          <w:tcPr>
            <w:tcW w:w="3011" w:type="dxa"/>
            <w:tcBorders>
              <w:tl2br w:val="nil"/>
              <w:tr2bl w:val="nil"/>
            </w:tcBorders>
          </w:tcPr>
          <w:p w14:paraId="6D71C16D">
            <w:pPr>
              <w:pStyle w:val="27"/>
              <w:rPr>
                <w:rFonts w:hint="eastAsia" w:ascii="宋体" w:hAnsi="宋体" w:eastAsia="宋体" w:cs="宋体"/>
                <w:sz w:val="18"/>
                <w:szCs w:val="18"/>
              </w:rPr>
            </w:pPr>
            <w:r>
              <w:rPr>
                <w:rFonts w:hint="eastAsia" w:ascii="宋体" w:hAnsi="宋体" w:eastAsia="宋体" w:cs="宋体"/>
                <w:sz w:val="18"/>
                <w:szCs w:val="18"/>
              </w:rPr>
              <w:t>备份策略、恢复演练报告</w:t>
            </w:r>
          </w:p>
        </w:tc>
      </w:tr>
      <w:tr w14:paraId="7ACFBE7C">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7A91B40F">
            <w:pPr>
              <w:pStyle w:val="27"/>
              <w:jc w:val="center"/>
              <w:rPr>
                <w:rFonts w:hint="eastAsia" w:ascii="宋体" w:hAnsi="宋体" w:eastAsia="宋体" w:cs="宋体"/>
                <w:sz w:val="18"/>
                <w:szCs w:val="18"/>
              </w:rPr>
            </w:pPr>
            <w:r>
              <w:rPr>
                <w:rFonts w:hint="eastAsia" w:ascii="宋体" w:hAnsi="宋体" w:eastAsia="宋体" w:cs="宋体"/>
                <w:sz w:val="18"/>
                <w:szCs w:val="18"/>
              </w:rPr>
              <w:t>7. 数据安全管理</w:t>
            </w:r>
          </w:p>
        </w:tc>
        <w:tc>
          <w:tcPr>
            <w:tcW w:w="4254" w:type="dxa"/>
            <w:tcBorders>
              <w:tl2br w:val="nil"/>
              <w:tr2bl w:val="nil"/>
            </w:tcBorders>
          </w:tcPr>
          <w:p w14:paraId="57363868">
            <w:pPr>
              <w:pStyle w:val="27"/>
              <w:rPr>
                <w:rFonts w:hint="eastAsia" w:ascii="宋体" w:hAnsi="宋体" w:eastAsia="宋体" w:cs="宋体"/>
                <w:sz w:val="18"/>
                <w:szCs w:val="18"/>
              </w:rPr>
            </w:pPr>
            <w:r>
              <w:rPr>
                <w:rFonts w:hint="eastAsia" w:ascii="宋体" w:hAnsi="宋体" w:eastAsia="宋体" w:cs="宋体"/>
                <w:sz w:val="18"/>
                <w:szCs w:val="18"/>
              </w:rPr>
              <w:t>建立日志、审计、数据返还、销毁和保密要求</w:t>
            </w:r>
          </w:p>
        </w:tc>
        <w:tc>
          <w:tcPr>
            <w:tcW w:w="3011" w:type="dxa"/>
            <w:tcBorders>
              <w:tl2br w:val="nil"/>
              <w:tr2bl w:val="nil"/>
            </w:tcBorders>
          </w:tcPr>
          <w:p w14:paraId="26EE3983">
            <w:pPr>
              <w:pStyle w:val="27"/>
              <w:rPr>
                <w:rFonts w:hint="eastAsia" w:ascii="宋体" w:hAnsi="宋体" w:eastAsia="宋体" w:cs="宋体"/>
                <w:sz w:val="18"/>
                <w:szCs w:val="18"/>
              </w:rPr>
            </w:pPr>
            <w:r>
              <w:rPr>
                <w:rFonts w:hint="eastAsia" w:ascii="宋体" w:hAnsi="宋体" w:eastAsia="宋体" w:cs="宋体"/>
                <w:sz w:val="18"/>
                <w:szCs w:val="18"/>
              </w:rPr>
              <w:t>审计日志、保密承诺、销毁说明</w:t>
            </w:r>
          </w:p>
        </w:tc>
      </w:tr>
      <w:tr w14:paraId="01678EF8">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2EA51D94">
            <w:pPr>
              <w:pStyle w:val="27"/>
              <w:jc w:val="center"/>
              <w:rPr>
                <w:rFonts w:hint="eastAsia" w:ascii="宋体" w:hAnsi="宋体" w:eastAsia="宋体" w:cs="宋体"/>
                <w:sz w:val="18"/>
                <w:szCs w:val="18"/>
              </w:rPr>
            </w:pPr>
            <w:r>
              <w:rPr>
                <w:rFonts w:hint="eastAsia" w:ascii="宋体" w:hAnsi="宋体" w:eastAsia="宋体" w:cs="宋体"/>
                <w:sz w:val="18"/>
                <w:szCs w:val="18"/>
              </w:rPr>
              <w:t>8. 评估材料准备</w:t>
            </w:r>
          </w:p>
        </w:tc>
        <w:tc>
          <w:tcPr>
            <w:tcW w:w="4254" w:type="dxa"/>
            <w:tcBorders>
              <w:tl2br w:val="nil"/>
              <w:tr2bl w:val="nil"/>
            </w:tcBorders>
          </w:tcPr>
          <w:p w14:paraId="60BCB7EE">
            <w:pPr>
              <w:pStyle w:val="27"/>
              <w:rPr>
                <w:rFonts w:hint="eastAsia" w:ascii="宋体" w:hAnsi="宋体" w:eastAsia="宋体" w:cs="宋体"/>
                <w:sz w:val="18"/>
                <w:szCs w:val="18"/>
              </w:rPr>
            </w:pPr>
            <w:r>
              <w:rPr>
                <w:rFonts w:hint="eastAsia" w:ascii="宋体" w:hAnsi="宋体" w:eastAsia="宋体" w:cs="宋体"/>
                <w:sz w:val="18"/>
                <w:szCs w:val="18"/>
              </w:rPr>
              <w:t>配合提供数据目录、制度、流程、记录、样例</w:t>
            </w:r>
          </w:p>
        </w:tc>
        <w:tc>
          <w:tcPr>
            <w:tcW w:w="3011" w:type="dxa"/>
            <w:tcBorders>
              <w:tl2br w:val="nil"/>
              <w:tr2bl w:val="nil"/>
            </w:tcBorders>
          </w:tcPr>
          <w:p w14:paraId="2314C221">
            <w:pPr>
              <w:pStyle w:val="27"/>
              <w:rPr>
                <w:rFonts w:hint="eastAsia" w:ascii="宋体" w:hAnsi="宋体" w:eastAsia="宋体" w:cs="宋体"/>
                <w:sz w:val="18"/>
                <w:szCs w:val="18"/>
              </w:rPr>
            </w:pPr>
            <w:r>
              <w:rPr>
                <w:rFonts w:hint="eastAsia" w:ascii="宋体" w:hAnsi="宋体" w:eastAsia="宋体" w:cs="宋体"/>
                <w:sz w:val="18"/>
                <w:szCs w:val="18"/>
              </w:rPr>
              <w:t>DCMM支撑材料包</w:t>
            </w:r>
          </w:p>
        </w:tc>
      </w:tr>
      <w:tr w14:paraId="563B58C2">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12B5F723">
            <w:pPr>
              <w:pStyle w:val="27"/>
              <w:jc w:val="center"/>
              <w:rPr>
                <w:rFonts w:hint="eastAsia" w:ascii="宋体" w:hAnsi="宋体" w:eastAsia="宋体" w:cs="宋体"/>
                <w:sz w:val="18"/>
                <w:szCs w:val="18"/>
              </w:rPr>
            </w:pPr>
            <w:r>
              <w:rPr>
                <w:rFonts w:hint="eastAsia" w:ascii="宋体" w:hAnsi="宋体" w:eastAsia="宋体" w:cs="宋体"/>
                <w:sz w:val="18"/>
                <w:szCs w:val="18"/>
              </w:rPr>
              <w:t>9. 问题整改闭环</w:t>
            </w:r>
          </w:p>
        </w:tc>
        <w:tc>
          <w:tcPr>
            <w:tcW w:w="4254" w:type="dxa"/>
            <w:tcBorders>
              <w:tl2br w:val="nil"/>
              <w:tr2bl w:val="nil"/>
            </w:tcBorders>
          </w:tcPr>
          <w:p w14:paraId="1473C84A">
            <w:pPr>
              <w:pStyle w:val="27"/>
              <w:rPr>
                <w:rFonts w:hint="eastAsia" w:ascii="宋体" w:hAnsi="宋体" w:eastAsia="宋体" w:cs="宋体"/>
                <w:sz w:val="18"/>
                <w:szCs w:val="18"/>
              </w:rPr>
            </w:pPr>
            <w:r>
              <w:rPr>
                <w:rFonts w:hint="eastAsia" w:ascii="宋体" w:hAnsi="宋体" w:eastAsia="宋体" w:cs="宋体"/>
                <w:sz w:val="18"/>
                <w:szCs w:val="18"/>
              </w:rPr>
              <w:t>对评估发现的数据管理问题进行整改</w:t>
            </w:r>
          </w:p>
        </w:tc>
        <w:tc>
          <w:tcPr>
            <w:tcW w:w="3011" w:type="dxa"/>
            <w:tcBorders>
              <w:tl2br w:val="nil"/>
              <w:tr2bl w:val="nil"/>
            </w:tcBorders>
          </w:tcPr>
          <w:p w14:paraId="6E647E7B">
            <w:pPr>
              <w:pStyle w:val="27"/>
              <w:rPr>
                <w:rFonts w:hint="eastAsia" w:ascii="宋体" w:hAnsi="宋体" w:eastAsia="宋体" w:cs="宋体"/>
                <w:sz w:val="18"/>
                <w:szCs w:val="18"/>
              </w:rPr>
            </w:pPr>
            <w:r>
              <w:rPr>
                <w:rFonts w:hint="eastAsia" w:ascii="宋体" w:hAnsi="宋体" w:eastAsia="宋体" w:cs="宋体"/>
                <w:sz w:val="18"/>
                <w:szCs w:val="18"/>
              </w:rPr>
              <w:t>整改台账、复测记录</w:t>
            </w:r>
          </w:p>
        </w:tc>
      </w:tr>
      <w:tr w14:paraId="19C2D51F">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31D3E45E">
            <w:pPr>
              <w:pStyle w:val="27"/>
              <w:ind w:firstLine="180" w:firstLineChars="100"/>
              <w:jc w:val="both"/>
              <w:rPr>
                <w:rFonts w:hint="eastAsia" w:ascii="宋体" w:hAnsi="宋体" w:eastAsia="宋体" w:cs="宋体"/>
                <w:sz w:val="18"/>
                <w:szCs w:val="18"/>
              </w:rPr>
            </w:pPr>
            <w:r>
              <w:rPr>
                <w:rFonts w:hint="eastAsia" w:ascii="宋体" w:hAnsi="宋体" w:eastAsia="宋体" w:cs="宋体"/>
                <w:sz w:val="18"/>
                <w:szCs w:val="18"/>
              </w:rPr>
              <w:t>10. 持续优化</w:t>
            </w:r>
          </w:p>
        </w:tc>
        <w:tc>
          <w:tcPr>
            <w:tcW w:w="4254" w:type="dxa"/>
            <w:tcBorders>
              <w:tl2br w:val="nil"/>
              <w:tr2bl w:val="nil"/>
            </w:tcBorders>
          </w:tcPr>
          <w:p w14:paraId="41C53A7F">
            <w:pPr>
              <w:pStyle w:val="27"/>
              <w:rPr>
                <w:rFonts w:hint="eastAsia" w:ascii="宋体" w:hAnsi="宋体" w:eastAsia="宋体" w:cs="宋体"/>
                <w:sz w:val="18"/>
                <w:szCs w:val="18"/>
              </w:rPr>
            </w:pPr>
            <w:r>
              <w:rPr>
                <w:rFonts w:hint="eastAsia" w:ascii="宋体" w:hAnsi="宋体" w:eastAsia="宋体" w:cs="宋体"/>
                <w:sz w:val="18"/>
                <w:szCs w:val="18"/>
              </w:rPr>
              <w:t>将数据质量、权限和备份纳入月度巡检</w:t>
            </w:r>
          </w:p>
        </w:tc>
        <w:tc>
          <w:tcPr>
            <w:tcW w:w="3011" w:type="dxa"/>
            <w:tcBorders>
              <w:tl2br w:val="nil"/>
              <w:tr2bl w:val="nil"/>
            </w:tcBorders>
          </w:tcPr>
          <w:p w14:paraId="6BA1CD4A">
            <w:pPr>
              <w:pStyle w:val="27"/>
              <w:rPr>
                <w:rFonts w:hint="eastAsia" w:ascii="宋体" w:hAnsi="宋体" w:eastAsia="宋体" w:cs="宋体"/>
                <w:sz w:val="18"/>
                <w:szCs w:val="18"/>
              </w:rPr>
            </w:pPr>
            <w:r>
              <w:rPr>
                <w:rFonts w:hint="eastAsia" w:ascii="宋体" w:hAnsi="宋体" w:eastAsia="宋体" w:cs="宋体"/>
                <w:sz w:val="18"/>
                <w:szCs w:val="18"/>
              </w:rPr>
              <w:t>巡检报告、优化建议</w:t>
            </w:r>
          </w:p>
        </w:tc>
      </w:tr>
    </w:tbl>
    <w:p w14:paraId="618B2BA6">
      <w:pPr>
        <w:pStyle w:val="5"/>
        <w:bidi w:val="0"/>
        <w:rPr>
          <w:rFonts w:hint="eastAsia" w:ascii="宋体" w:hAnsi="宋体" w:eastAsia="宋体" w:cs="宋体"/>
          <w:b w:val="0"/>
          <w:bCs/>
          <w:lang w:val="en-US" w:eastAsia="zh-CN"/>
        </w:rPr>
      </w:pPr>
      <w:r>
        <w:rPr>
          <w:rFonts w:hint="eastAsia" w:cs="宋体"/>
          <w:b w:val="0"/>
          <w:bCs/>
          <w:lang w:val="en-US" w:eastAsia="zh-CN"/>
        </w:rPr>
        <w:t>11.7</w:t>
      </w:r>
      <w:r>
        <w:rPr>
          <w:rFonts w:hint="eastAsia" w:ascii="宋体" w:hAnsi="宋体" w:eastAsia="宋体" w:cs="宋体"/>
          <w:b w:val="0"/>
          <w:bCs/>
          <w:lang w:val="en-US" w:eastAsia="zh-CN"/>
        </w:rPr>
        <w:t>.9 开源组件与第三方软件合规</w:t>
      </w:r>
    </w:p>
    <w:p w14:paraId="72ED90C8">
      <w:pPr>
        <w:pStyle w:val="26"/>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项目使用的开源组件、第三方框架、中间件、工具软件等均满足合法、合规、可商用要求，不存在版权纠纷、授权缺陷或侵权风险。我公司向甲方提供完整开源组件清单，列明组件名称、版本号、用途、授权协议类型、商用合规说明及相关授权文件。</w:t>
      </w:r>
    </w:p>
    <w:p w14:paraId="2F7B6CEA">
      <w:pPr>
        <w:pStyle w:val="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开源合规实施步骤如下：</w:t>
      </w:r>
    </w:p>
    <w:p w14:paraId="6B97479D">
      <w:pPr>
        <w:numPr>
          <w:ilvl w:val="0"/>
          <w:numId w:val="28"/>
        </w:numPr>
        <w:rPr>
          <w:rFonts w:hint="eastAsia" w:ascii="宋体" w:hAnsi="宋体" w:eastAsia="宋体" w:cs="宋体"/>
        </w:rPr>
      </w:pPr>
      <w:r>
        <w:rPr>
          <w:rFonts w:hint="eastAsia" w:ascii="宋体" w:hAnsi="宋体" w:eastAsia="宋体" w:cs="宋体"/>
        </w:rPr>
        <w:t>开发阶段建立第三方组件清单，记录名称、版本、用途和许可证。</w:t>
      </w:r>
    </w:p>
    <w:p w14:paraId="78E41086">
      <w:pPr>
        <w:numPr>
          <w:ilvl w:val="0"/>
          <w:numId w:val="28"/>
        </w:numPr>
        <w:rPr>
          <w:rFonts w:hint="eastAsia" w:ascii="宋体" w:hAnsi="宋体" w:eastAsia="宋体" w:cs="宋体"/>
        </w:rPr>
      </w:pPr>
      <w:r>
        <w:rPr>
          <w:rFonts w:hint="eastAsia" w:ascii="宋体" w:hAnsi="宋体" w:eastAsia="宋体" w:cs="宋体"/>
        </w:rPr>
        <w:t>对GPL、AGPL等可能影响甲方后续使用和二次开发的协议进行风险识别，未经甲方书面同意不引入。</w:t>
      </w:r>
    </w:p>
    <w:p w14:paraId="30080036">
      <w:pPr>
        <w:numPr>
          <w:ilvl w:val="0"/>
          <w:numId w:val="28"/>
        </w:numPr>
        <w:rPr>
          <w:rFonts w:hint="eastAsia" w:ascii="宋体" w:hAnsi="宋体" w:eastAsia="宋体" w:cs="宋体"/>
        </w:rPr>
      </w:pPr>
      <w:r>
        <w:rPr>
          <w:rFonts w:hint="eastAsia" w:ascii="宋体" w:hAnsi="宋体" w:eastAsia="宋体" w:cs="宋体"/>
        </w:rPr>
        <w:t>对组件漏洞进行版本检查，发现高危、中危漏洞及时升级或替换。</w:t>
      </w:r>
    </w:p>
    <w:p w14:paraId="398C7123">
      <w:pPr>
        <w:numPr>
          <w:ilvl w:val="0"/>
          <w:numId w:val="28"/>
        </w:numPr>
        <w:rPr>
          <w:rFonts w:hint="eastAsia" w:ascii="宋体" w:hAnsi="宋体" w:eastAsia="宋体" w:cs="宋体"/>
        </w:rPr>
      </w:pPr>
      <w:r>
        <w:rPr>
          <w:rFonts w:hint="eastAsia" w:ascii="宋体" w:hAnsi="宋体" w:eastAsia="宋体" w:cs="宋体"/>
        </w:rPr>
        <w:t>交付时提供开源组件清单、授权说明和风险说明。</w:t>
      </w:r>
    </w:p>
    <w:p w14:paraId="44EE9C1D">
      <w:pPr>
        <w:numPr>
          <w:ilvl w:val="0"/>
          <w:numId w:val="28"/>
        </w:numPr>
        <w:rPr>
          <w:rFonts w:hint="eastAsia" w:ascii="宋体" w:hAnsi="宋体" w:eastAsia="宋体" w:cs="宋体"/>
        </w:rPr>
      </w:pPr>
      <w:r>
        <w:rPr>
          <w:rFonts w:hint="eastAsia" w:ascii="宋体" w:hAnsi="宋体" w:eastAsia="宋体" w:cs="宋体"/>
        </w:rPr>
        <w:t>质保期内如发现组件安全漏洞，配合甲方完成评估、升级和验证。</w:t>
      </w:r>
    </w:p>
    <w:p w14:paraId="1AECD42F">
      <w:pPr>
        <w:pStyle w:val="5"/>
        <w:bidi w:val="0"/>
        <w:rPr>
          <w:rFonts w:hint="eastAsia" w:ascii="宋体" w:hAnsi="宋体" w:eastAsia="宋体" w:cs="宋体"/>
          <w:b w:val="0"/>
          <w:bCs/>
          <w:lang w:val="en-US" w:eastAsia="zh-CN"/>
        </w:rPr>
      </w:pPr>
      <w:r>
        <w:rPr>
          <w:rFonts w:hint="eastAsia" w:cs="宋体"/>
          <w:b w:val="0"/>
          <w:bCs/>
          <w:lang w:val="en-US" w:eastAsia="zh-CN"/>
        </w:rPr>
        <w:t>11.7</w:t>
      </w:r>
      <w:r>
        <w:rPr>
          <w:rFonts w:hint="eastAsia" w:ascii="宋体" w:hAnsi="宋体" w:eastAsia="宋体" w:cs="宋体"/>
          <w:b w:val="0"/>
          <w:bCs/>
          <w:lang w:val="en-US" w:eastAsia="zh-CN"/>
        </w:rPr>
        <w:t>.10 保密、退出和数据销毁</w:t>
      </w:r>
    </w:p>
    <w:p w14:paraId="407CF134">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.10.1 保密要求</w:t>
      </w:r>
    </w:p>
    <w:p w14:paraId="5442A0C3">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未经甲方书面同意，我方不复制、留存、转移、使用或向第三方披露甲方业务数据、测试数据、生产数据和项目资料。项目实施期间接触的数据仅限本项目开发、测试、联调、运维和验收使用。</w:t>
      </w:r>
    </w:p>
    <w:p w14:paraId="4870E160">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.10.2 退出交接要求</w:t>
      </w:r>
    </w:p>
    <w:p w14:paraId="07B65576">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合同期满或提前终止时，我方按甲方要求完成数据和资料移交，内容包括：</w:t>
      </w:r>
    </w:p>
    <w:p w14:paraId="0FA4CE51">
      <w:pPr>
        <w:spacing w:after="70" w:line="330" w:lineRule="auto"/>
        <w:ind w:left="420" w:hanging="260"/>
        <w:rPr>
          <w:rFonts w:hint="eastAsia" w:ascii="宋体" w:hAnsi="宋体" w:eastAsia="宋体" w:cs="宋体"/>
        </w:rPr>
      </w:pPr>
      <w:r>
        <w:rPr>
          <w:rFonts w:hint="eastAsia" w:ascii="宋体" w:hAnsi="宋体" w:eastAsia="宋体" w:cs="宋体"/>
          <w:color w:val="1F2937"/>
        </w:rPr>
        <w:t>1. 源代码</w:t>
      </w:r>
    </w:p>
    <w:p w14:paraId="714466CC">
      <w:pPr>
        <w:spacing w:after="70" w:line="330" w:lineRule="auto"/>
        <w:ind w:left="420" w:hanging="260"/>
        <w:rPr>
          <w:rFonts w:hint="eastAsia" w:ascii="宋体" w:hAnsi="宋体" w:eastAsia="宋体" w:cs="宋体"/>
        </w:rPr>
      </w:pPr>
      <w:r>
        <w:rPr>
          <w:rFonts w:hint="eastAsia" w:ascii="宋体" w:hAnsi="宋体" w:eastAsia="宋体" w:cs="宋体"/>
          <w:color w:val="1F2937"/>
        </w:rPr>
        <w:t>2. 数据库脚本</w:t>
      </w:r>
    </w:p>
    <w:p w14:paraId="5E39C824">
      <w:pPr>
        <w:spacing w:after="70" w:line="330" w:lineRule="auto"/>
        <w:ind w:left="420" w:hanging="260"/>
        <w:rPr>
          <w:rFonts w:hint="eastAsia" w:ascii="宋体" w:hAnsi="宋体" w:eastAsia="宋体" w:cs="宋体"/>
        </w:rPr>
      </w:pPr>
      <w:r>
        <w:rPr>
          <w:rFonts w:hint="eastAsia" w:ascii="宋体" w:hAnsi="宋体" w:eastAsia="宋体" w:cs="宋体"/>
          <w:color w:val="1F2937"/>
        </w:rPr>
        <w:t>3. 部署包</w:t>
      </w:r>
    </w:p>
    <w:p w14:paraId="413986F8">
      <w:pPr>
        <w:spacing w:after="70" w:line="330" w:lineRule="auto"/>
        <w:ind w:left="420" w:hanging="260"/>
        <w:rPr>
          <w:rFonts w:hint="eastAsia" w:ascii="宋体" w:hAnsi="宋体" w:eastAsia="宋体" w:cs="宋体"/>
        </w:rPr>
      </w:pPr>
      <w:r>
        <w:rPr>
          <w:rFonts w:hint="eastAsia" w:ascii="宋体" w:hAnsi="宋体" w:eastAsia="宋体" w:cs="宋体"/>
          <w:color w:val="1F2937"/>
        </w:rPr>
        <w:t>4. 接口文档</w:t>
      </w:r>
    </w:p>
    <w:p w14:paraId="5CE2EA77">
      <w:pPr>
        <w:spacing w:after="70" w:line="330" w:lineRule="auto"/>
        <w:ind w:left="420" w:hanging="260"/>
        <w:rPr>
          <w:rFonts w:hint="eastAsia" w:ascii="宋体" w:hAnsi="宋体" w:eastAsia="宋体" w:cs="宋体"/>
        </w:rPr>
      </w:pPr>
      <w:r>
        <w:rPr>
          <w:rFonts w:hint="eastAsia" w:ascii="宋体" w:hAnsi="宋体" w:eastAsia="宋体" w:cs="宋体"/>
          <w:color w:val="1F2937"/>
        </w:rPr>
        <w:t>5. 运行配置</w:t>
      </w:r>
    </w:p>
    <w:p w14:paraId="469559F6">
      <w:pPr>
        <w:spacing w:after="70" w:line="330" w:lineRule="auto"/>
        <w:ind w:left="420" w:hanging="260"/>
        <w:rPr>
          <w:rFonts w:hint="eastAsia" w:ascii="宋体" w:hAnsi="宋体" w:eastAsia="宋体" w:cs="宋体"/>
        </w:rPr>
      </w:pPr>
      <w:r>
        <w:rPr>
          <w:rFonts w:hint="eastAsia" w:ascii="宋体" w:hAnsi="宋体" w:eastAsia="宋体" w:cs="宋体"/>
          <w:color w:val="1F2937"/>
        </w:rPr>
        <w:t>6. 备份文件</w:t>
      </w:r>
    </w:p>
    <w:p w14:paraId="21FDC18C">
      <w:pPr>
        <w:spacing w:after="70" w:line="330" w:lineRule="auto"/>
        <w:ind w:left="420" w:hanging="260"/>
        <w:rPr>
          <w:rFonts w:hint="eastAsia" w:ascii="宋体" w:hAnsi="宋体" w:eastAsia="宋体" w:cs="宋体"/>
        </w:rPr>
      </w:pPr>
      <w:r>
        <w:rPr>
          <w:rFonts w:hint="eastAsia" w:ascii="宋体" w:hAnsi="宋体" w:eastAsia="宋体" w:cs="宋体"/>
          <w:color w:val="1F2937"/>
        </w:rPr>
        <w:t>7. 业务资料</w:t>
      </w:r>
    </w:p>
    <w:p w14:paraId="0AF362D2">
      <w:pPr>
        <w:spacing w:after="70" w:line="330" w:lineRule="auto"/>
        <w:ind w:left="420" w:hanging="260"/>
        <w:rPr>
          <w:rFonts w:hint="eastAsia" w:ascii="宋体" w:hAnsi="宋体" w:eastAsia="宋体" w:cs="宋体"/>
        </w:rPr>
      </w:pPr>
      <w:r>
        <w:rPr>
          <w:rFonts w:hint="eastAsia" w:ascii="宋体" w:hAnsi="宋体" w:eastAsia="宋体" w:cs="宋体"/>
          <w:color w:val="1F2937"/>
        </w:rPr>
        <w:t>8. 未关闭问题清单</w:t>
      </w:r>
    </w:p>
    <w:p w14:paraId="367BCB30">
      <w:pPr>
        <w:pStyle w:val="6"/>
        <w:bidi w:val="0"/>
        <w:rPr>
          <w:rFonts w:hint="eastAsia" w:ascii="宋体" w:hAnsi="宋体" w:eastAsia="宋体" w:cs="宋体"/>
          <w:b w:val="0"/>
          <w:bCs/>
          <w:lang w:val="en-US" w:eastAsia="zh-CN"/>
        </w:rPr>
      </w:pPr>
      <w:r>
        <w:rPr>
          <w:rFonts w:hint="eastAsia" w:ascii="宋体" w:hAnsi="宋体" w:cs="宋体"/>
          <w:b w:val="0"/>
          <w:bCs/>
          <w:lang w:val="en-US" w:eastAsia="zh-CN"/>
        </w:rPr>
        <w:t>11.7</w:t>
      </w:r>
      <w:r>
        <w:rPr>
          <w:rFonts w:hint="eastAsia" w:ascii="宋体" w:hAnsi="宋体" w:eastAsia="宋体" w:cs="宋体"/>
          <w:b w:val="0"/>
          <w:bCs/>
          <w:lang w:val="en-US" w:eastAsia="zh-CN"/>
        </w:rPr>
        <w:t>.10.3 数据销毁要求</w:t>
      </w:r>
    </w:p>
    <w:p w14:paraId="3E0DA0E0">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甲方确认移交完成后，我方删除或销毁保留副本，并按要求出具书面数据销毁说明。</w:t>
      </w:r>
    </w:p>
    <w:bookmarkEnd w:id="6"/>
    <w:p w14:paraId="4364E8CB">
      <w:pPr>
        <w:pStyle w:val="3"/>
        <w:bidi w:val="0"/>
        <w:rPr>
          <w:rFonts w:hint="eastAsia"/>
          <w:lang w:val="en-US" w:eastAsia="zh-CN"/>
        </w:rPr>
      </w:pPr>
      <w:bookmarkStart w:id="7" w:name="_Toc5519"/>
      <w:bookmarkStart w:id="8" w:name="_Toc19985"/>
      <w:r>
        <w:rPr>
          <w:rFonts w:hint="eastAsia"/>
          <w:lang w:val="en-US" w:eastAsia="zh-CN"/>
        </w:rPr>
        <w:t>11.8 知识产权与项目交付保障</w:t>
      </w:r>
    </w:p>
    <w:p w14:paraId="09E78735">
      <w:pPr>
        <w:pStyle w:val="6"/>
        <w:bidi w:val="0"/>
        <w:rPr>
          <w:rFonts w:hint="eastAsia" w:ascii="宋体" w:hAnsi="宋体" w:cs="宋体"/>
          <w:b w:val="0"/>
          <w:bCs/>
          <w:lang w:val="en-US" w:eastAsia="zh-CN"/>
        </w:rPr>
      </w:pPr>
      <w:bookmarkStart w:id="9" w:name="_Toc680"/>
      <w:r>
        <w:rPr>
          <w:rFonts w:hint="eastAsia" w:ascii="宋体" w:hAnsi="宋体" w:cs="宋体"/>
          <w:b w:val="0"/>
          <w:bCs/>
          <w:lang w:val="en-US" w:eastAsia="zh-CN"/>
        </w:rPr>
        <w:t>11.8.1知识产权归属</w:t>
      </w:r>
      <w:bookmarkEnd w:id="9"/>
    </w:p>
    <w:p w14:paraId="50F0E84E">
      <w:pPr>
        <w:pStyle w:val="26"/>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本项目形成的源代码、文档、设计文件、接口资料、配置文件、数据库结构、业务数据及其他交付成果，其知识产权及相关权益按合同约定归属甲方。原则上，我公司为本项目专门开发并交付甲方使用的成果，其相关权利归甲方所有。我公司配合甲方完成软件著作权登记及相关权属确认工作。</w:t>
      </w:r>
    </w:p>
    <w:p w14:paraId="6AD147C9">
      <w:pPr>
        <w:pStyle w:val="4"/>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sz w:val="21"/>
          <w:szCs w:val="21"/>
        </w:rPr>
      </w:pPr>
      <w:r>
        <w:rPr>
          <w:rFonts w:hint="eastAsia" w:ascii="宋体" w:hAnsi="宋体" w:eastAsia="宋体" w:cs="宋体"/>
          <w:b/>
          <w:bCs/>
          <w:sz w:val="21"/>
          <w:szCs w:val="21"/>
        </w:rPr>
        <w:t>权属保障增强措施</w:t>
      </w:r>
      <w:r>
        <w:rPr>
          <w:rFonts w:hint="eastAsia" w:ascii="宋体" w:hAnsi="宋体" w:eastAsia="宋体" w:cs="宋体"/>
          <w:sz w:val="21"/>
          <w:szCs w:val="21"/>
        </w:rPr>
        <w:t>：</w:t>
      </w:r>
    </w:p>
    <w:p w14:paraId="2B24AFEC">
      <w:pPr>
        <w:numPr>
          <w:ilvl w:val="0"/>
          <w:numId w:val="29"/>
        </w:numPr>
        <w:rPr>
          <w:rFonts w:hint="eastAsia" w:ascii="宋体" w:hAnsi="宋体" w:eastAsia="宋体" w:cs="宋体"/>
          <w:sz w:val="21"/>
          <w:szCs w:val="21"/>
        </w:rPr>
      </w:pPr>
      <w:r>
        <w:rPr>
          <w:rFonts w:hint="eastAsia" w:ascii="宋体" w:hAnsi="宋体" w:eastAsia="宋体" w:cs="宋体"/>
          <w:b/>
          <w:bCs/>
          <w:sz w:val="21"/>
          <w:szCs w:val="21"/>
        </w:rPr>
        <w:t>软件著作权登记协助</w:t>
      </w:r>
      <w:r>
        <w:rPr>
          <w:rFonts w:hint="eastAsia" w:ascii="宋体" w:hAnsi="宋体" w:eastAsia="宋体" w:cs="宋体"/>
          <w:sz w:val="21"/>
          <w:szCs w:val="21"/>
        </w:rPr>
        <w:t>：如甲方需要就本项目交付的软件成果申请软件著作权登记，我公司在合理范围内提供技术描述文档、功能说明材料和代码清单等登记所需的辅助材料，配合甲方或甲方指定的代理机构完成登记工作。</w:t>
      </w:r>
    </w:p>
    <w:p w14:paraId="13D501C4">
      <w:pPr>
        <w:numPr>
          <w:ilvl w:val="0"/>
          <w:numId w:val="29"/>
        </w:numPr>
        <w:rPr>
          <w:rFonts w:hint="eastAsia" w:ascii="宋体" w:hAnsi="宋体" w:eastAsia="宋体" w:cs="宋体"/>
          <w:sz w:val="21"/>
          <w:szCs w:val="21"/>
        </w:rPr>
      </w:pPr>
      <w:r>
        <w:rPr>
          <w:rFonts w:hint="eastAsia" w:ascii="宋体" w:hAnsi="宋体" w:eastAsia="宋体" w:cs="宋体"/>
          <w:b/>
          <w:bCs/>
          <w:sz w:val="21"/>
          <w:szCs w:val="21"/>
        </w:rPr>
        <w:t>权属争议免责</w:t>
      </w:r>
      <w:r>
        <w:rPr>
          <w:rFonts w:hint="eastAsia" w:ascii="宋体" w:hAnsi="宋体" w:eastAsia="宋体" w:cs="宋体"/>
          <w:sz w:val="21"/>
          <w:szCs w:val="21"/>
        </w:rPr>
        <w:t>：我公司保证本项目交付成果中由我方原创开发的部分不侵犯任何第三方的知识产权。如因我方原创代码部分引发的知识产权争议，由我方负责处理并承担相应法律责任，确保甲方的正常使用不受影响。</w:t>
      </w:r>
    </w:p>
    <w:p w14:paraId="66BF9827">
      <w:pPr>
        <w:numPr>
          <w:ilvl w:val="0"/>
          <w:numId w:val="29"/>
        </w:numPr>
        <w:rPr>
          <w:rFonts w:hint="eastAsia" w:ascii="宋体" w:hAnsi="宋体" w:eastAsia="宋体" w:cs="宋体"/>
          <w:sz w:val="21"/>
          <w:szCs w:val="21"/>
        </w:rPr>
      </w:pPr>
      <w:r>
        <w:rPr>
          <w:rFonts w:hint="eastAsia" w:ascii="宋体" w:hAnsi="宋体" w:eastAsia="宋体" w:cs="宋体"/>
          <w:b/>
          <w:bCs/>
          <w:sz w:val="21"/>
          <w:szCs w:val="21"/>
        </w:rPr>
        <w:t>底层框架声明</w:t>
      </w:r>
      <w:r>
        <w:rPr>
          <w:rFonts w:hint="eastAsia" w:ascii="宋体" w:hAnsi="宋体" w:eastAsia="宋体" w:cs="宋体"/>
          <w:sz w:val="21"/>
          <w:szCs w:val="21"/>
        </w:rPr>
        <w:t>：本项目基于 Spring Cloud Alibaba</w:t>
      </w:r>
      <w:r>
        <w:rPr>
          <w:rFonts w:hint="eastAsia" w:cs="宋体"/>
          <w:sz w:val="21"/>
          <w:szCs w:val="21"/>
          <w:lang w:val="en-US" w:eastAsia="zh-CN"/>
        </w:rPr>
        <w:t>(</w:t>
      </w:r>
      <w:r>
        <w:rPr>
          <w:rFonts w:hint="eastAsia" w:ascii="宋体" w:hAnsi="宋体" w:eastAsia="宋体" w:cs="宋体"/>
          <w:sz w:val="21"/>
          <w:szCs w:val="21"/>
        </w:rPr>
        <w:t xml:space="preserve"> Apache 2.0 协议</w:t>
      </w:r>
      <w:r>
        <w:rPr>
          <w:rFonts w:hint="eastAsia" w:cs="宋体"/>
          <w:sz w:val="21"/>
          <w:szCs w:val="21"/>
          <w:lang w:val="en-US" w:eastAsia="zh-CN"/>
        </w:rPr>
        <w:t>)</w:t>
      </w:r>
      <w:r>
        <w:rPr>
          <w:rFonts w:hint="eastAsia" w:ascii="宋体" w:hAnsi="宋体" w:eastAsia="宋体" w:cs="宋体"/>
          <w:sz w:val="21"/>
          <w:szCs w:val="21"/>
        </w:rPr>
        <w:t>、Spring Boot（Apache 2.0 协议）、Vue.js（MIT 协议）等开源框架进行二次开发，上述框架本身不转让著作权，但其许可协议允许甲方无限制地使用、修改和分发基于该框架的应用代码。</w:t>
      </w:r>
    </w:p>
    <w:p w14:paraId="31B4CAA5">
      <w:pPr>
        <w:pStyle w:val="5"/>
        <w:bidi w:val="0"/>
        <w:rPr>
          <w:rFonts w:hint="eastAsia" w:ascii="宋体" w:hAnsi="宋体" w:eastAsia="宋体" w:cs="Tahoma"/>
          <w:b w:val="0"/>
          <w:bCs/>
          <w:kern w:val="2"/>
          <w:sz w:val="24"/>
          <w:szCs w:val="24"/>
          <w:highlight w:val="none"/>
          <w:lang w:val="en-US" w:eastAsia="zh-CN" w:bidi="ar-SA"/>
        </w:rPr>
      </w:pPr>
      <w:bookmarkStart w:id="10" w:name="_Toc18107"/>
      <w:bookmarkStart w:id="11" w:name="Xf028b29bc83def57dba2d8f32a0dd2174554fa7"/>
      <w:bookmarkStart w:id="12" w:name="_Toc25886"/>
      <w:bookmarkStart w:id="13" w:name="X6e0125bbec5f214a3fe55f03c2007e9fce03738"/>
      <w:r>
        <w:rPr>
          <w:rFonts w:hint="eastAsia" w:cs="Tahoma"/>
          <w:b w:val="0"/>
          <w:bCs/>
          <w:kern w:val="2"/>
          <w:sz w:val="24"/>
          <w:szCs w:val="24"/>
          <w:highlight w:val="none"/>
          <w:lang w:val="en-US" w:eastAsia="zh-CN" w:bidi="ar-SA"/>
        </w:rPr>
        <w:t>11.8</w:t>
      </w:r>
      <w:r>
        <w:rPr>
          <w:rFonts w:hint="eastAsia" w:ascii="宋体" w:hAnsi="宋体" w:eastAsia="宋体" w:cs="Tahoma"/>
          <w:b w:val="0"/>
          <w:bCs/>
          <w:kern w:val="2"/>
          <w:sz w:val="24"/>
          <w:szCs w:val="24"/>
          <w:highlight w:val="none"/>
          <w:lang w:val="en-US" w:eastAsia="zh-CN" w:bidi="ar-SA"/>
        </w:rPr>
        <w:t>.2全量成果交付</w:t>
      </w:r>
      <w:bookmarkEnd w:id="10"/>
    </w:p>
    <w:p w14:paraId="6E5CFDD6">
      <w:pPr>
        <w:pStyle w:val="26"/>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我公司完整交付项目对应的全部源代码、部署包、数据库建表脚本、初始化脚本、配置说明、发布说明、第三方授权文件及项目运行所需其他必要资产，确保甲方在合理条件下能够脱离我公司原有环境，独立完成系统部署、运行、测试、验证及后续维护。</w:t>
      </w:r>
    </w:p>
    <w:p w14:paraId="2C38A62F">
      <w:pPr>
        <w:pStyle w:val="4"/>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sz w:val="21"/>
          <w:szCs w:val="21"/>
        </w:rPr>
      </w:pPr>
      <w:r>
        <w:rPr>
          <w:rFonts w:hint="eastAsia" w:ascii="宋体" w:hAnsi="宋体" w:eastAsia="宋体" w:cs="宋体"/>
          <w:b/>
          <w:bCs/>
          <w:sz w:val="21"/>
          <w:szCs w:val="21"/>
        </w:rPr>
        <w:t>交付完整性保障增强措施</w:t>
      </w:r>
      <w:r>
        <w:rPr>
          <w:rFonts w:hint="eastAsia" w:ascii="宋体" w:hAnsi="宋体" w:eastAsia="宋体" w:cs="宋体"/>
          <w:sz w:val="21"/>
          <w:szCs w:val="21"/>
        </w:rPr>
        <w:t>：</w:t>
      </w:r>
    </w:p>
    <w:p w14:paraId="418487FC">
      <w:pPr>
        <w:numPr>
          <w:ilvl w:val="0"/>
          <w:numId w:val="30"/>
        </w:numPr>
        <w:rPr>
          <w:rFonts w:hint="eastAsia" w:ascii="宋体" w:hAnsi="宋体" w:eastAsia="宋体" w:cs="宋体"/>
          <w:sz w:val="21"/>
          <w:szCs w:val="21"/>
        </w:rPr>
      </w:pPr>
      <w:r>
        <w:rPr>
          <w:rFonts w:hint="eastAsia" w:ascii="宋体" w:hAnsi="宋体" w:eastAsia="宋体" w:cs="宋体"/>
          <w:b/>
          <w:bCs/>
          <w:sz w:val="21"/>
          <w:szCs w:val="21"/>
        </w:rPr>
        <w:t>交付物全量覆盖</w:t>
      </w:r>
      <w:r>
        <w:rPr>
          <w:rFonts w:hint="eastAsia" w:ascii="宋体" w:hAnsi="宋体" w:eastAsia="宋体" w:cs="宋体"/>
          <w:sz w:val="21"/>
          <w:szCs w:val="21"/>
        </w:rPr>
        <w:t>：本项目交付物涵盖源代码及注释、数据库脚本、接口文档、</w:t>
      </w:r>
      <w:r>
        <w:rPr>
          <w:rFonts w:hint="eastAsia" w:ascii="宋体" w:hAnsi="宋体" w:eastAsia="宋体" w:cs="宋体"/>
          <w:sz w:val="21"/>
          <w:szCs w:val="21"/>
          <w:lang w:val="en-US" w:eastAsia="zh-CN"/>
        </w:rPr>
        <w:t>设计文档、实施文档、</w:t>
      </w:r>
      <w:r>
        <w:rPr>
          <w:rFonts w:hint="eastAsia" w:ascii="宋体" w:hAnsi="宋体" w:eastAsia="宋体" w:cs="宋体"/>
          <w:sz w:val="21"/>
          <w:szCs w:val="21"/>
        </w:rPr>
        <w:t>部署说明、测试报告、用户操作手册、系统运维手册、培训资料、</w:t>
      </w:r>
      <w:r>
        <w:rPr>
          <w:rFonts w:hint="eastAsia" w:ascii="宋体" w:hAnsi="宋体" w:eastAsia="宋体" w:cs="宋体"/>
          <w:sz w:val="21"/>
          <w:szCs w:val="21"/>
          <w:lang w:val="en-US" w:eastAsia="zh-CN"/>
        </w:rPr>
        <w:t>验收文档、试运行文档</w:t>
      </w:r>
      <w:r>
        <w:rPr>
          <w:rFonts w:hint="eastAsia" w:ascii="宋体" w:hAnsi="宋体" w:eastAsia="宋体" w:cs="宋体"/>
          <w:sz w:val="21"/>
          <w:szCs w:val="21"/>
        </w:rPr>
        <w:t>、缺陷清单及整改闭环记录、需求追踪矩阵共1</w:t>
      </w:r>
      <w:r>
        <w:rPr>
          <w:rFonts w:hint="eastAsia" w:ascii="宋体" w:hAnsi="宋体" w:eastAsia="宋体" w:cs="宋体"/>
          <w:sz w:val="21"/>
          <w:szCs w:val="21"/>
          <w:lang w:val="en-US" w:eastAsia="zh-CN"/>
        </w:rPr>
        <w:t>4</w:t>
      </w:r>
      <w:r>
        <w:rPr>
          <w:rFonts w:hint="eastAsia" w:ascii="宋体" w:hAnsi="宋体" w:eastAsia="宋体" w:cs="宋体"/>
          <w:sz w:val="21"/>
          <w:szCs w:val="21"/>
        </w:rPr>
        <w:t>大类，覆盖从开发到运维的完整生命周期。</w:t>
      </w:r>
    </w:p>
    <w:p w14:paraId="3AED6240">
      <w:pPr>
        <w:numPr>
          <w:ilvl w:val="0"/>
          <w:numId w:val="30"/>
        </w:numPr>
        <w:rPr>
          <w:rFonts w:hint="eastAsia" w:ascii="宋体" w:hAnsi="宋体" w:eastAsia="宋体" w:cs="宋体"/>
          <w:sz w:val="21"/>
          <w:szCs w:val="21"/>
        </w:rPr>
      </w:pPr>
      <w:r>
        <w:rPr>
          <w:rFonts w:hint="eastAsia" w:ascii="宋体" w:hAnsi="宋体" w:eastAsia="宋体" w:cs="宋体"/>
          <w:b/>
          <w:bCs/>
          <w:sz w:val="21"/>
          <w:szCs w:val="21"/>
        </w:rPr>
        <w:t>交付资产结构化归档</w:t>
      </w:r>
      <w:r>
        <w:rPr>
          <w:rFonts w:hint="eastAsia" w:ascii="宋体" w:hAnsi="宋体" w:eastAsia="宋体" w:cs="宋体"/>
          <w:sz w:val="21"/>
          <w:szCs w:val="21"/>
        </w:rPr>
        <w:t>：所有交付资产按项目管理基线文档、需求与架构设计图纸、质量保证与测试报告、源代码与部署配置资产、用户培训与运维操作手册共5大目录进行分层归档，确保甲方接手后即查即用。</w:t>
      </w:r>
    </w:p>
    <w:p w14:paraId="4F7E4005">
      <w:pPr>
        <w:numPr>
          <w:ilvl w:val="0"/>
          <w:numId w:val="30"/>
        </w:numPr>
        <w:rPr>
          <w:rFonts w:hint="eastAsia" w:ascii="宋体" w:hAnsi="宋体" w:eastAsia="宋体" w:cs="宋体"/>
          <w:sz w:val="21"/>
          <w:szCs w:val="21"/>
        </w:rPr>
      </w:pPr>
      <w:r>
        <w:rPr>
          <w:rFonts w:hint="eastAsia" w:ascii="宋体" w:hAnsi="宋体" w:eastAsia="宋体" w:cs="宋体"/>
          <w:b/>
          <w:bCs/>
          <w:sz w:val="21"/>
          <w:szCs w:val="21"/>
        </w:rPr>
        <w:t>交付完整性自检标准</w:t>
      </w:r>
      <w:r>
        <w:rPr>
          <w:rFonts w:hint="eastAsia" w:ascii="宋体" w:hAnsi="宋体" w:eastAsia="宋体" w:cs="宋体"/>
          <w:sz w:val="21"/>
          <w:szCs w:val="21"/>
        </w:rPr>
        <w:t>：</w:t>
      </w:r>
    </w:p>
    <w:p w14:paraId="48D9E118">
      <w:pPr>
        <w:numPr>
          <w:ilvl w:val="1"/>
          <w:numId w:val="31"/>
        </w:numPr>
        <w:rPr>
          <w:rFonts w:hint="eastAsia" w:ascii="宋体" w:hAnsi="宋体" w:eastAsia="宋体" w:cs="宋体"/>
          <w:sz w:val="21"/>
          <w:szCs w:val="21"/>
        </w:rPr>
      </w:pPr>
      <w:r>
        <w:rPr>
          <w:rFonts w:hint="eastAsia" w:ascii="宋体" w:hAnsi="宋体" w:eastAsia="宋体" w:cs="宋体"/>
          <w:sz w:val="21"/>
          <w:szCs w:val="21"/>
        </w:rPr>
        <w:t>源代码在纯净环境中可编译、可部署、可运行（不依赖我方私有仓库或专属工具链）。</w:t>
      </w:r>
    </w:p>
    <w:p w14:paraId="1D7FC94D">
      <w:pPr>
        <w:numPr>
          <w:ilvl w:val="1"/>
          <w:numId w:val="31"/>
        </w:numPr>
        <w:rPr>
          <w:rFonts w:hint="eastAsia" w:ascii="宋体" w:hAnsi="宋体" w:eastAsia="宋体" w:cs="宋体"/>
          <w:sz w:val="21"/>
          <w:szCs w:val="21"/>
        </w:rPr>
      </w:pPr>
      <w:r>
        <w:rPr>
          <w:rFonts w:hint="eastAsia" w:ascii="宋体" w:hAnsi="宋体" w:eastAsia="宋体" w:cs="宋体"/>
          <w:sz w:val="21"/>
          <w:szCs w:val="21"/>
        </w:rPr>
        <w:t>数据库脚本可在甲方测试环境中独立执行通过，且历史数据不丢失。</w:t>
      </w:r>
    </w:p>
    <w:p w14:paraId="4858E5D1">
      <w:pPr>
        <w:numPr>
          <w:ilvl w:val="1"/>
          <w:numId w:val="31"/>
        </w:numPr>
        <w:rPr>
          <w:rFonts w:hint="eastAsia" w:ascii="宋体" w:hAnsi="宋体" w:eastAsia="宋体" w:cs="宋体"/>
          <w:sz w:val="21"/>
          <w:szCs w:val="21"/>
        </w:rPr>
      </w:pPr>
      <w:r>
        <w:rPr>
          <w:rFonts w:hint="eastAsia" w:ascii="宋体" w:hAnsi="宋体" w:eastAsia="宋体" w:cs="宋体"/>
          <w:sz w:val="21"/>
          <w:szCs w:val="21"/>
        </w:rPr>
        <w:t>全部接口文档与系统实际接口保持一致（字段、错误码、鉴权方式、补偿机制均准确反映当前版本）。</w:t>
      </w:r>
    </w:p>
    <w:p w14:paraId="25712D94">
      <w:pPr>
        <w:numPr>
          <w:ilvl w:val="1"/>
          <w:numId w:val="31"/>
        </w:numPr>
        <w:rPr>
          <w:rFonts w:hint="eastAsia" w:ascii="宋体" w:hAnsi="宋体" w:eastAsia="宋体" w:cs="宋体"/>
          <w:sz w:val="21"/>
          <w:szCs w:val="21"/>
        </w:rPr>
      </w:pPr>
      <w:r>
        <w:rPr>
          <w:rFonts w:hint="eastAsia" w:ascii="宋体" w:hAnsi="宋体" w:eastAsia="宋体" w:cs="宋体"/>
          <w:sz w:val="21"/>
          <w:szCs w:val="21"/>
        </w:rPr>
        <w:t>用户手册和运维手册能够指导甲方人员在无我方介入的情况下完成基本操作和故障排查。</w:t>
      </w:r>
    </w:p>
    <w:bookmarkEnd w:id="11"/>
    <w:p w14:paraId="1901FE6E">
      <w:pPr>
        <w:pStyle w:val="5"/>
        <w:bidi w:val="0"/>
        <w:rPr>
          <w:rFonts w:hint="eastAsia" w:ascii="宋体" w:hAnsi="宋体" w:eastAsia="宋体" w:cs="Tahoma"/>
          <w:b w:val="0"/>
          <w:bCs/>
          <w:kern w:val="2"/>
          <w:sz w:val="24"/>
          <w:szCs w:val="24"/>
          <w:highlight w:val="none"/>
          <w:lang w:val="en-US" w:eastAsia="zh-CN" w:bidi="ar-SA"/>
        </w:rPr>
      </w:pPr>
      <w:r>
        <w:rPr>
          <w:rFonts w:hint="eastAsia" w:cs="Tahoma"/>
          <w:b w:val="0"/>
          <w:bCs/>
          <w:kern w:val="2"/>
          <w:sz w:val="24"/>
          <w:szCs w:val="24"/>
          <w:highlight w:val="none"/>
          <w:lang w:val="en-US" w:eastAsia="zh-CN" w:bidi="ar-SA"/>
        </w:rPr>
        <w:t>11.8</w:t>
      </w:r>
      <w:r>
        <w:rPr>
          <w:rFonts w:hint="eastAsia" w:ascii="宋体" w:hAnsi="宋体" w:eastAsia="宋体" w:cs="Tahoma"/>
          <w:b w:val="0"/>
          <w:bCs/>
          <w:kern w:val="2"/>
          <w:sz w:val="24"/>
          <w:szCs w:val="24"/>
          <w:highlight w:val="none"/>
          <w:lang w:val="en-US" w:eastAsia="zh-CN" w:bidi="ar-SA"/>
        </w:rPr>
        <w:t>.3第三方组件与侵权防控</w:t>
      </w:r>
      <w:bookmarkEnd w:id="12"/>
    </w:p>
    <w:p w14:paraId="65FF91BC">
      <w:pPr>
        <w:pStyle w:val="26"/>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我公司完整披露项目中使用的第三方开源组件、商业组件及其授权协议情况，提供相应清单和授权说明。未经甲方书面同意，不使用可能对甲方后续使用、部署、修改或再开发形成明显限制的协议或组件。如因我公司选型、使用或提供的代码、素材、字体、插件、接口或其他第三方资源引起侵权纠纷，由我公司负责解决并承担相应责任。</w:t>
      </w:r>
    </w:p>
    <w:p w14:paraId="775F3FDE">
      <w:pPr>
        <w:pStyle w:val="4"/>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sz w:val="21"/>
          <w:szCs w:val="21"/>
        </w:rPr>
      </w:pPr>
      <w:r>
        <w:rPr>
          <w:rFonts w:hint="eastAsia" w:ascii="宋体" w:hAnsi="宋体" w:eastAsia="宋体" w:cs="宋体"/>
          <w:b/>
          <w:bCs/>
          <w:sz w:val="21"/>
          <w:szCs w:val="21"/>
        </w:rPr>
        <w:t>第三方组件治理增强措施</w:t>
      </w:r>
      <w:r>
        <w:rPr>
          <w:rFonts w:hint="eastAsia" w:ascii="宋体" w:hAnsi="宋体" w:eastAsia="宋体" w:cs="宋体"/>
          <w:sz w:val="21"/>
          <w:szCs w:val="21"/>
        </w:rPr>
        <w:t>：</w:t>
      </w:r>
    </w:p>
    <w:p w14:paraId="55F198CA">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为使甲方对本项目的技术底座有完整的掌控力，我公司将随交付资产一并提供如下格式的《第三方组件合规声明清单》：</w:t>
      </w:r>
    </w:p>
    <w:tbl>
      <w:tblPr>
        <w:tblStyle w:val="28"/>
        <w:tblW w:w="0" w:type="auto"/>
        <w:tblInd w:w="0" w:type="dxa"/>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Layout w:type="autofit"/>
        <w:tblCellMar>
          <w:top w:w="0" w:type="dxa"/>
          <w:left w:w="108" w:type="dxa"/>
          <w:bottom w:w="0" w:type="dxa"/>
          <w:right w:w="108" w:type="dxa"/>
        </w:tblCellMar>
      </w:tblPr>
      <w:tblGrid>
        <w:gridCol w:w="1868"/>
        <w:gridCol w:w="1178"/>
        <w:gridCol w:w="1762"/>
        <w:gridCol w:w="1096"/>
        <w:gridCol w:w="1245"/>
        <w:gridCol w:w="880"/>
        <w:gridCol w:w="1259"/>
      </w:tblGrid>
      <w:tr w14:paraId="4DBD18ED">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tblHeader/>
        </w:trPr>
        <w:tc>
          <w:tcPr>
            <w:tcW w:w="1351" w:type="dxa"/>
            <w:tcBorders>
              <w:tl2br w:val="nil"/>
              <w:tr2bl w:val="nil"/>
            </w:tcBorders>
            <w:shd w:val="clear" w:color="auto" w:fill="E9F1F8"/>
            <w:vAlign w:val="center"/>
          </w:tcPr>
          <w:p w14:paraId="087E22F3">
            <w:pPr>
              <w:pStyle w:val="27"/>
              <w:jc w:val="center"/>
              <w:rPr>
                <w:rFonts w:hint="eastAsia" w:ascii="宋体" w:hAnsi="宋体" w:eastAsia="宋体" w:cs="宋体"/>
                <w:b/>
                <w:bCs/>
                <w:sz w:val="18"/>
                <w:szCs w:val="18"/>
              </w:rPr>
            </w:pPr>
            <w:r>
              <w:rPr>
                <w:rFonts w:hint="eastAsia" w:ascii="宋体" w:hAnsi="宋体" w:eastAsia="宋体" w:cs="宋体"/>
                <w:b/>
                <w:bCs/>
                <w:sz w:val="18"/>
                <w:szCs w:val="18"/>
              </w:rPr>
              <w:t>组件名称</w:t>
            </w:r>
          </w:p>
        </w:tc>
        <w:tc>
          <w:tcPr>
            <w:tcW w:w="1231" w:type="dxa"/>
            <w:tcBorders>
              <w:tl2br w:val="nil"/>
              <w:tr2bl w:val="nil"/>
            </w:tcBorders>
            <w:shd w:val="clear" w:color="auto" w:fill="E9F1F8"/>
            <w:vAlign w:val="center"/>
          </w:tcPr>
          <w:p w14:paraId="3C99638F">
            <w:pPr>
              <w:pStyle w:val="27"/>
              <w:jc w:val="center"/>
              <w:rPr>
                <w:rFonts w:hint="eastAsia" w:ascii="宋体" w:hAnsi="宋体" w:eastAsia="宋体" w:cs="宋体"/>
                <w:b/>
                <w:bCs/>
                <w:sz w:val="18"/>
                <w:szCs w:val="18"/>
              </w:rPr>
            </w:pPr>
            <w:r>
              <w:rPr>
                <w:rFonts w:hint="eastAsia" w:ascii="宋体" w:hAnsi="宋体" w:eastAsia="宋体" w:cs="宋体"/>
                <w:b/>
                <w:bCs/>
                <w:sz w:val="18"/>
                <w:szCs w:val="18"/>
              </w:rPr>
              <w:t>版本号</w:t>
            </w:r>
          </w:p>
        </w:tc>
        <w:tc>
          <w:tcPr>
            <w:tcW w:w="1936" w:type="dxa"/>
            <w:tcBorders>
              <w:tl2br w:val="nil"/>
              <w:tr2bl w:val="nil"/>
            </w:tcBorders>
            <w:shd w:val="clear" w:color="auto" w:fill="E9F1F8"/>
            <w:vAlign w:val="center"/>
          </w:tcPr>
          <w:p w14:paraId="571215F5">
            <w:pPr>
              <w:pStyle w:val="27"/>
              <w:jc w:val="center"/>
              <w:rPr>
                <w:rFonts w:hint="eastAsia" w:ascii="宋体" w:hAnsi="宋体" w:eastAsia="宋体" w:cs="宋体"/>
                <w:b/>
                <w:bCs/>
                <w:sz w:val="18"/>
                <w:szCs w:val="18"/>
              </w:rPr>
            </w:pPr>
            <w:r>
              <w:rPr>
                <w:rFonts w:hint="eastAsia" w:ascii="宋体" w:hAnsi="宋体" w:eastAsia="宋体" w:cs="宋体"/>
                <w:b/>
                <w:bCs/>
                <w:sz w:val="18"/>
                <w:szCs w:val="18"/>
              </w:rPr>
              <w:t>用途说明</w:t>
            </w:r>
          </w:p>
        </w:tc>
        <w:tc>
          <w:tcPr>
            <w:tcW w:w="1150" w:type="dxa"/>
            <w:tcBorders>
              <w:tl2br w:val="nil"/>
              <w:tr2bl w:val="nil"/>
            </w:tcBorders>
            <w:shd w:val="clear" w:color="auto" w:fill="E9F1F8"/>
            <w:vAlign w:val="center"/>
          </w:tcPr>
          <w:p w14:paraId="2CF497EE">
            <w:pPr>
              <w:pStyle w:val="27"/>
              <w:jc w:val="center"/>
              <w:rPr>
                <w:rFonts w:hint="eastAsia" w:ascii="宋体" w:hAnsi="宋体" w:eastAsia="宋体" w:cs="宋体"/>
                <w:b/>
                <w:bCs/>
                <w:sz w:val="18"/>
                <w:szCs w:val="18"/>
              </w:rPr>
            </w:pPr>
            <w:r>
              <w:rPr>
                <w:rFonts w:hint="eastAsia" w:ascii="宋体" w:hAnsi="宋体" w:eastAsia="宋体" w:cs="宋体"/>
                <w:b/>
                <w:bCs/>
                <w:sz w:val="18"/>
                <w:szCs w:val="18"/>
              </w:rPr>
              <w:t>许可协议</w:t>
            </w:r>
          </w:p>
        </w:tc>
        <w:tc>
          <w:tcPr>
            <w:tcW w:w="1293" w:type="dxa"/>
            <w:tcBorders>
              <w:tl2br w:val="nil"/>
              <w:tr2bl w:val="nil"/>
            </w:tcBorders>
            <w:shd w:val="clear" w:color="auto" w:fill="E9F1F8"/>
            <w:vAlign w:val="center"/>
          </w:tcPr>
          <w:p w14:paraId="47355CCD">
            <w:pPr>
              <w:pStyle w:val="27"/>
              <w:jc w:val="center"/>
              <w:rPr>
                <w:rFonts w:hint="eastAsia" w:ascii="宋体" w:hAnsi="宋体" w:eastAsia="宋体" w:cs="宋体"/>
                <w:b/>
                <w:bCs/>
                <w:sz w:val="18"/>
                <w:szCs w:val="18"/>
              </w:rPr>
            </w:pPr>
            <w:r>
              <w:rPr>
                <w:rFonts w:hint="eastAsia" w:ascii="宋体" w:hAnsi="宋体" w:eastAsia="宋体" w:cs="宋体"/>
                <w:b/>
                <w:bCs/>
                <w:sz w:val="18"/>
                <w:szCs w:val="18"/>
              </w:rPr>
              <w:t>是否有GPL/AGPL传染风险</w:t>
            </w:r>
          </w:p>
        </w:tc>
        <w:tc>
          <w:tcPr>
            <w:tcW w:w="957" w:type="dxa"/>
            <w:tcBorders>
              <w:tl2br w:val="nil"/>
              <w:tr2bl w:val="nil"/>
            </w:tcBorders>
            <w:shd w:val="clear" w:color="auto" w:fill="E9F1F8"/>
            <w:vAlign w:val="center"/>
          </w:tcPr>
          <w:p w14:paraId="2D7B48E8">
            <w:pPr>
              <w:pStyle w:val="27"/>
              <w:jc w:val="center"/>
              <w:rPr>
                <w:rFonts w:hint="eastAsia" w:ascii="宋体" w:hAnsi="宋体" w:eastAsia="宋体" w:cs="宋体"/>
                <w:b/>
                <w:bCs/>
                <w:sz w:val="18"/>
                <w:szCs w:val="18"/>
              </w:rPr>
            </w:pPr>
            <w:r>
              <w:rPr>
                <w:rFonts w:hint="eastAsia" w:ascii="宋体" w:hAnsi="宋体" w:eastAsia="宋体" w:cs="宋体"/>
                <w:b/>
                <w:bCs/>
                <w:sz w:val="18"/>
                <w:szCs w:val="18"/>
              </w:rPr>
              <w:t>已知安全漏洞</w:t>
            </w:r>
          </w:p>
        </w:tc>
        <w:tc>
          <w:tcPr>
            <w:tcW w:w="1368" w:type="dxa"/>
            <w:tcBorders>
              <w:tl2br w:val="nil"/>
              <w:tr2bl w:val="nil"/>
            </w:tcBorders>
            <w:shd w:val="clear" w:color="auto" w:fill="E9F1F8"/>
            <w:vAlign w:val="center"/>
          </w:tcPr>
          <w:p w14:paraId="35F6BDF7">
            <w:pPr>
              <w:pStyle w:val="27"/>
              <w:jc w:val="center"/>
              <w:rPr>
                <w:rFonts w:hint="eastAsia" w:ascii="宋体" w:hAnsi="宋体" w:eastAsia="宋体" w:cs="宋体"/>
                <w:b/>
                <w:bCs/>
                <w:sz w:val="18"/>
                <w:szCs w:val="18"/>
              </w:rPr>
            </w:pPr>
            <w:r>
              <w:rPr>
                <w:rFonts w:hint="eastAsia" w:ascii="宋体" w:hAnsi="宋体" w:eastAsia="宋体" w:cs="宋体"/>
                <w:b/>
                <w:bCs/>
                <w:sz w:val="18"/>
                <w:szCs w:val="18"/>
              </w:rPr>
              <w:t>处置状态</w:t>
            </w:r>
          </w:p>
        </w:tc>
      </w:tr>
      <w:tr w14:paraId="32D8472D">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14FB3DB2">
            <w:pPr>
              <w:pStyle w:val="27"/>
              <w:jc w:val="center"/>
              <w:rPr>
                <w:rFonts w:hint="eastAsia" w:ascii="宋体" w:hAnsi="宋体" w:eastAsia="宋体" w:cs="宋体"/>
                <w:sz w:val="18"/>
                <w:szCs w:val="18"/>
              </w:rPr>
            </w:pPr>
            <w:r>
              <w:rPr>
                <w:rFonts w:hint="eastAsia" w:ascii="宋体" w:hAnsi="宋体" w:eastAsia="宋体" w:cs="宋体"/>
                <w:sz w:val="18"/>
                <w:szCs w:val="18"/>
              </w:rPr>
              <w:t>Spring Cloud Alibaba</w:t>
            </w:r>
          </w:p>
        </w:tc>
        <w:tc>
          <w:tcPr>
            <w:tcW w:w="1231" w:type="dxa"/>
            <w:tcBorders>
              <w:tl2br w:val="nil"/>
              <w:tr2bl w:val="nil"/>
            </w:tcBorders>
          </w:tcPr>
          <w:p w14:paraId="761B1F6C">
            <w:pPr>
              <w:pStyle w:val="27"/>
              <w:rPr>
                <w:rFonts w:hint="default" w:ascii="宋体" w:hAnsi="宋体" w:eastAsia="宋体" w:cs="宋体"/>
                <w:sz w:val="18"/>
                <w:szCs w:val="18"/>
                <w:lang w:val="en-US" w:eastAsia="zh-CN"/>
              </w:rPr>
            </w:pPr>
            <w:r>
              <w:rPr>
                <w:rFonts w:hint="eastAsia" w:cs="宋体"/>
                <w:sz w:val="18"/>
                <w:szCs w:val="18"/>
                <w:lang w:val="en-US" w:eastAsia="zh-CN"/>
              </w:rPr>
              <w:t>2.2.x</w:t>
            </w:r>
            <w:bookmarkStart w:id="24" w:name="_GoBack"/>
            <w:bookmarkEnd w:id="24"/>
          </w:p>
        </w:tc>
        <w:tc>
          <w:tcPr>
            <w:tcW w:w="1936" w:type="dxa"/>
            <w:tcBorders>
              <w:tl2br w:val="nil"/>
              <w:tr2bl w:val="nil"/>
            </w:tcBorders>
          </w:tcPr>
          <w:p w14:paraId="43BD722C">
            <w:pPr>
              <w:pStyle w:val="27"/>
              <w:rPr>
                <w:rFonts w:hint="eastAsia" w:ascii="宋体" w:hAnsi="宋体" w:eastAsia="宋体" w:cs="宋体"/>
                <w:sz w:val="18"/>
                <w:szCs w:val="18"/>
              </w:rPr>
            </w:pPr>
            <w:r>
              <w:rPr>
                <w:rFonts w:hint="eastAsia" w:ascii="宋体" w:hAnsi="宋体" w:eastAsia="宋体" w:cs="宋体"/>
                <w:sz w:val="18"/>
                <w:szCs w:val="18"/>
              </w:rPr>
              <w:t>后端快速开发平台</w:t>
            </w:r>
          </w:p>
        </w:tc>
        <w:tc>
          <w:tcPr>
            <w:tcW w:w="1150" w:type="dxa"/>
            <w:tcBorders>
              <w:tl2br w:val="nil"/>
              <w:tr2bl w:val="nil"/>
            </w:tcBorders>
          </w:tcPr>
          <w:p w14:paraId="089BA504">
            <w:pPr>
              <w:pStyle w:val="27"/>
              <w:rPr>
                <w:rFonts w:hint="eastAsia" w:ascii="宋体" w:hAnsi="宋体" w:eastAsia="宋体" w:cs="宋体"/>
                <w:sz w:val="18"/>
                <w:szCs w:val="18"/>
              </w:rPr>
            </w:pPr>
            <w:r>
              <w:rPr>
                <w:rFonts w:hint="eastAsia" w:ascii="宋体" w:hAnsi="宋体" w:eastAsia="宋体" w:cs="宋体"/>
                <w:sz w:val="18"/>
                <w:szCs w:val="18"/>
              </w:rPr>
              <w:t>Apache 2.0</w:t>
            </w:r>
          </w:p>
        </w:tc>
        <w:tc>
          <w:tcPr>
            <w:tcW w:w="1293" w:type="dxa"/>
            <w:tcBorders>
              <w:tl2br w:val="nil"/>
              <w:tr2bl w:val="nil"/>
            </w:tcBorders>
          </w:tcPr>
          <w:p w14:paraId="414EC356">
            <w:pPr>
              <w:pStyle w:val="27"/>
              <w:jc w:val="center"/>
              <w:rPr>
                <w:rFonts w:hint="eastAsia" w:ascii="宋体" w:hAnsi="宋体" w:eastAsia="宋体" w:cs="宋体"/>
                <w:sz w:val="18"/>
                <w:szCs w:val="18"/>
              </w:rPr>
            </w:pPr>
            <w:r>
              <w:rPr>
                <w:rFonts w:hint="eastAsia" w:ascii="宋体" w:hAnsi="宋体" w:eastAsia="宋体" w:cs="宋体"/>
                <w:sz w:val="18"/>
                <w:szCs w:val="18"/>
              </w:rPr>
              <w:t>否</w:t>
            </w:r>
          </w:p>
        </w:tc>
        <w:tc>
          <w:tcPr>
            <w:tcW w:w="957" w:type="dxa"/>
            <w:tcBorders>
              <w:tl2br w:val="nil"/>
              <w:tr2bl w:val="nil"/>
            </w:tcBorders>
          </w:tcPr>
          <w:p w14:paraId="5BAD442D">
            <w:pPr>
              <w:pStyle w:val="27"/>
              <w:jc w:val="center"/>
              <w:rPr>
                <w:rFonts w:hint="eastAsia" w:ascii="宋体" w:hAnsi="宋体" w:eastAsia="宋体" w:cs="宋体"/>
                <w:sz w:val="18"/>
                <w:szCs w:val="18"/>
              </w:rPr>
            </w:pPr>
            <w:r>
              <w:rPr>
                <w:rFonts w:hint="eastAsia" w:ascii="宋体" w:hAnsi="宋体" w:eastAsia="宋体" w:cs="宋体"/>
                <w:sz w:val="18"/>
                <w:szCs w:val="18"/>
              </w:rPr>
              <w:t>无</w:t>
            </w:r>
          </w:p>
        </w:tc>
        <w:tc>
          <w:tcPr>
            <w:tcW w:w="1368" w:type="dxa"/>
            <w:tcBorders>
              <w:tl2br w:val="nil"/>
              <w:tr2bl w:val="nil"/>
            </w:tcBorders>
          </w:tcPr>
          <w:p w14:paraId="5287E279">
            <w:pPr>
              <w:pStyle w:val="27"/>
              <w:rPr>
                <w:rFonts w:hint="eastAsia" w:ascii="宋体" w:hAnsi="宋体" w:eastAsia="宋体" w:cs="宋体"/>
                <w:sz w:val="18"/>
                <w:szCs w:val="18"/>
              </w:rPr>
            </w:pPr>
            <w:r>
              <w:rPr>
                <w:rFonts w:hint="eastAsia" w:ascii="宋体" w:hAnsi="宋体" w:eastAsia="宋体" w:cs="宋体"/>
                <w:sz w:val="18"/>
                <w:szCs w:val="18"/>
              </w:rPr>
              <w:t>正常使用</w:t>
            </w:r>
          </w:p>
        </w:tc>
      </w:tr>
      <w:tr w14:paraId="12884EED">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1C9294C8">
            <w:pPr>
              <w:pStyle w:val="27"/>
              <w:jc w:val="center"/>
              <w:rPr>
                <w:rFonts w:hint="eastAsia" w:ascii="宋体" w:hAnsi="宋体" w:eastAsia="宋体" w:cs="宋体"/>
                <w:sz w:val="18"/>
                <w:szCs w:val="18"/>
              </w:rPr>
            </w:pPr>
            <w:r>
              <w:rPr>
                <w:rFonts w:hint="eastAsia" w:ascii="宋体" w:hAnsi="宋体" w:eastAsia="宋体" w:cs="宋体"/>
                <w:sz w:val="18"/>
                <w:szCs w:val="18"/>
              </w:rPr>
              <w:t>Spring Boot</w:t>
            </w:r>
          </w:p>
        </w:tc>
        <w:tc>
          <w:tcPr>
            <w:tcW w:w="1231" w:type="dxa"/>
            <w:tcBorders>
              <w:tl2br w:val="nil"/>
              <w:tr2bl w:val="nil"/>
            </w:tcBorders>
          </w:tcPr>
          <w:p w14:paraId="171FB101">
            <w:pPr>
              <w:pStyle w:val="27"/>
              <w:rPr>
                <w:rFonts w:hint="eastAsia" w:ascii="宋体" w:hAnsi="宋体" w:eastAsia="宋体" w:cs="宋体"/>
                <w:sz w:val="18"/>
                <w:szCs w:val="18"/>
              </w:rPr>
            </w:pPr>
            <w:r>
              <w:rPr>
                <w:rFonts w:hint="eastAsia" w:ascii="宋体" w:hAnsi="宋体" w:eastAsia="宋体" w:cs="宋体"/>
                <w:sz w:val="18"/>
                <w:szCs w:val="18"/>
              </w:rPr>
              <w:t>2.7.x</w:t>
            </w:r>
          </w:p>
        </w:tc>
        <w:tc>
          <w:tcPr>
            <w:tcW w:w="1936" w:type="dxa"/>
            <w:tcBorders>
              <w:tl2br w:val="nil"/>
              <w:tr2bl w:val="nil"/>
            </w:tcBorders>
          </w:tcPr>
          <w:p w14:paraId="6D89807B">
            <w:pPr>
              <w:pStyle w:val="27"/>
              <w:rPr>
                <w:rFonts w:hint="eastAsia" w:ascii="宋体" w:hAnsi="宋体" w:eastAsia="宋体" w:cs="宋体"/>
                <w:sz w:val="18"/>
                <w:szCs w:val="18"/>
              </w:rPr>
            </w:pPr>
            <w:r>
              <w:rPr>
                <w:rFonts w:hint="eastAsia" w:ascii="宋体" w:hAnsi="宋体" w:eastAsia="宋体" w:cs="宋体"/>
                <w:sz w:val="18"/>
                <w:szCs w:val="18"/>
              </w:rPr>
              <w:t>后端微服务框架</w:t>
            </w:r>
          </w:p>
        </w:tc>
        <w:tc>
          <w:tcPr>
            <w:tcW w:w="1150" w:type="dxa"/>
            <w:tcBorders>
              <w:tl2br w:val="nil"/>
              <w:tr2bl w:val="nil"/>
            </w:tcBorders>
          </w:tcPr>
          <w:p w14:paraId="0FC129EC">
            <w:pPr>
              <w:pStyle w:val="27"/>
              <w:rPr>
                <w:rFonts w:hint="eastAsia" w:ascii="宋体" w:hAnsi="宋体" w:eastAsia="宋体" w:cs="宋体"/>
                <w:sz w:val="18"/>
                <w:szCs w:val="18"/>
              </w:rPr>
            </w:pPr>
            <w:r>
              <w:rPr>
                <w:rFonts w:hint="eastAsia" w:ascii="宋体" w:hAnsi="宋体" w:eastAsia="宋体" w:cs="宋体"/>
                <w:sz w:val="18"/>
                <w:szCs w:val="18"/>
              </w:rPr>
              <w:t>Apache 2.0</w:t>
            </w:r>
          </w:p>
        </w:tc>
        <w:tc>
          <w:tcPr>
            <w:tcW w:w="1293" w:type="dxa"/>
            <w:tcBorders>
              <w:tl2br w:val="nil"/>
              <w:tr2bl w:val="nil"/>
            </w:tcBorders>
          </w:tcPr>
          <w:p w14:paraId="4B74B40C">
            <w:pPr>
              <w:pStyle w:val="27"/>
              <w:jc w:val="center"/>
              <w:rPr>
                <w:rFonts w:hint="eastAsia" w:ascii="宋体" w:hAnsi="宋体" w:eastAsia="宋体" w:cs="宋体"/>
                <w:sz w:val="18"/>
                <w:szCs w:val="18"/>
              </w:rPr>
            </w:pPr>
            <w:r>
              <w:rPr>
                <w:rFonts w:hint="eastAsia" w:ascii="宋体" w:hAnsi="宋体" w:eastAsia="宋体" w:cs="宋体"/>
                <w:sz w:val="18"/>
                <w:szCs w:val="18"/>
              </w:rPr>
              <w:t>否</w:t>
            </w:r>
          </w:p>
        </w:tc>
        <w:tc>
          <w:tcPr>
            <w:tcW w:w="957" w:type="dxa"/>
            <w:tcBorders>
              <w:tl2br w:val="nil"/>
              <w:tr2bl w:val="nil"/>
            </w:tcBorders>
          </w:tcPr>
          <w:p w14:paraId="3935E070">
            <w:pPr>
              <w:pStyle w:val="27"/>
              <w:jc w:val="center"/>
              <w:rPr>
                <w:rFonts w:hint="eastAsia" w:ascii="宋体" w:hAnsi="宋体" w:eastAsia="宋体" w:cs="宋体"/>
                <w:sz w:val="18"/>
                <w:szCs w:val="18"/>
              </w:rPr>
            </w:pPr>
            <w:r>
              <w:rPr>
                <w:rFonts w:hint="eastAsia" w:ascii="宋体" w:hAnsi="宋体" w:eastAsia="宋体" w:cs="宋体"/>
                <w:sz w:val="18"/>
                <w:szCs w:val="18"/>
              </w:rPr>
              <w:t>无</w:t>
            </w:r>
          </w:p>
        </w:tc>
        <w:tc>
          <w:tcPr>
            <w:tcW w:w="1368" w:type="dxa"/>
            <w:tcBorders>
              <w:tl2br w:val="nil"/>
              <w:tr2bl w:val="nil"/>
            </w:tcBorders>
          </w:tcPr>
          <w:p w14:paraId="62348A77">
            <w:pPr>
              <w:pStyle w:val="27"/>
              <w:rPr>
                <w:rFonts w:hint="eastAsia" w:ascii="宋体" w:hAnsi="宋体" w:eastAsia="宋体" w:cs="宋体"/>
                <w:sz w:val="18"/>
                <w:szCs w:val="18"/>
              </w:rPr>
            </w:pPr>
            <w:r>
              <w:rPr>
                <w:rFonts w:hint="eastAsia" w:ascii="宋体" w:hAnsi="宋体" w:eastAsia="宋体" w:cs="宋体"/>
                <w:sz w:val="18"/>
                <w:szCs w:val="18"/>
              </w:rPr>
              <w:t>正常使用</w:t>
            </w:r>
          </w:p>
        </w:tc>
      </w:tr>
      <w:tr w14:paraId="5FEB7193">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49B92CDE">
            <w:pPr>
              <w:pStyle w:val="27"/>
              <w:jc w:val="center"/>
              <w:rPr>
                <w:rFonts w:hint="eastAsia" w:ascii="宋体" w:hAnsi="宋体" w:eastAsia="宋体" w:cs="宋体"/>
                <w:sz w:val="18"/>
                <w:szCs w:val="18"/>
              </w:rPr>
            </w:pPr>
            <w:r>
              <w:rPr>
                <w:rFonts w:hint="eastAsia" w:ascii="宋体" w:hAnsi="宋体" w:eastAsia="宋体" w:cs="宋体"/>
                <w:sz w:val="18"/>
                <w:szCs w:val="18"/>
              </w:rPr>
              <w:t>Vue.js</w:t>
            </w:r>
          </w:p>
        </w:tc>
        <w:tc>
          <w:tcPr>
            <w:tcW w:w="1231" w:type="dxa"/>
            <w:tcBorders>
              <w:tl2br w:val="nil"/>
              <w:tr2bl w:val="nil"/>
            </w:tcBorders>
          </w:tcPr>
          <w:p w14:paraId="09B06B77">
            <w:pPr>
              <w:pStyle w:val="27"/>
              <w:rPr>
                <w:rFonts w:hint="eastAsia" w:ascii="宋体" w:hAnsi="宋体" w:eastAsia="宋体" w:cs="宋体"/>
                <w:sz w:val="18"/>
                <w:szCs w:val="18"/>
              </w:rPr>
            </w:pPr>
            <w:r>
              <w:rPr>
                <w:rFonts w:hint="eastAsia" w:ascii="宋体" w:hAnsi="宋体" w:eastAsia="宋体" w:cs="宋体"/>
                <w:sz w:val="18"/>
                <w:szCs w:val="18"/>
              </w:rPr>
              <w:t>2.x/3.x</w:t>
            </w:r>
          </w:p>
        </w:tc>
        <w:tc>
          <w:tcPr>
            <w:tcW w:w="1936" w:type="dxa"/>
            <w:tcBorders>
              <w:tl2br w:val="nil"/>
              <w:tr2bl w:val="nil"/>
            </w:tcBorders>
          </w:tcPr>
          <w:p w14:paraId="69D4E900">
            <w:pPr>
              <w:pStyle w:val="27"/>
              <w:rPr>
                <w:rFonts w:hint="eastAsia" w:ascii="宋体" w:hAnsi="宋体" w:eastAsia="宋体" w:cs="宋体"/>
                <w:sz w:val="18"/>
                <w:szCs w:val="18"/>
              </w:rPr>
            </w:pPr>
            <w:r>
              <w:rPr>
                <w:rFonts w:hint="eastAsia" w:ascii="宋体" w:hAnsi="宋体" w:eastAsia="宋体" w:cs="宋体"/>
                <w:sz w:val="18"/>
                <w:szCs w:val="18"/>
              </w:rPr>
              <w:t>前端渲染框架</w:t>
            </w:r>
          </w:p>
        </w:tc>
        <w:tc>
          <w:tcPr>
            <w:tcW w:w="1150" w:type="dxa"/>
            <w:tcBorders>
              <w:tl2br w:val="nil"/>
              <w:tr2bl w:val="nil"/>
            </w:tcBorders>
          </w:tcPr>
          <w:p w14:paraId="4F1B3D6F">
            <w:pPr>
              <w:pStyle w:val="27"/>
              <w:rPr>
                <w:rFonts w:hint="eastAsia" w:ascii="宋体" w:hAnsi="宋体" w:eastAsia="宋体" w:cs="宋体"/>
                <w:sz w:val="18"/>
                <w:szCs w:val="18"/>
              </w:rPr>
            </w:pPr>
            <w:r>
              <w:rPr>
                <w:rFonts w:hint="eastAsia" w:ascii="宋体" w:hAnsi="宋体" w:eastAsia="宋体" w:cs="宋体"/>
                <w:sz w:val="18"/>
                <w:szCs w:val="18"/>
              </w:rPr>
              <w:t>MIT</w:t>
            </w:r>
          </w:p>
        </w:tc>
        <w:tc>
          <w:tcPr>
            <w:tcW w:w="1293" w:type="dxa"/>
            <w:tcBorders>
              <w:tl2br w:val="nil"/>
              <w:tr2bl w:val="nil"/>
            </w:tcBorders>
          </w:tcPr>
          <w:p w14:paraId="0EB0A89A">
            <w:pPr>
              <w:pStyle w:val="27"/>
              <w:jc w:val="center"/>
              <w:rPr>
                <w:rFonts w:hint="eastAsia" w:ascii="宋体" w:hAnsi="宋体" w:eastAsia="宋体" w:cs="宋体"/>
                <w:sz w:val="18"/>
                <w:szCs w:val="18"/>
              </w:rPr>
            </w:pPr>
            <w:r>
              <w:rPr>
                <w:rFonts w:hint="eastAsia" w:ascii="宋体" w:hAnsi="宋体" w:eastAsia="宋体" w:cs="宋体"/>
                <w:sz w:val="18"/>
                <w:szCs w:val="18"/>
              </w:rPr>
              <w:t>否</w:t>
            </w:r>
          </w:p>
        </w:tc>
        <w:tc>
          <w:tcPr>
            <w:tcW w:w="957" w:type="dxa"/>
            <w:tcBorders>
              <w:tl2br w:val="nil"/>
              <w:tr2bl w:val="nil"/>
            </w:tcBorders>
          </w:tcPr>
          <w:p w14:paraId="16F6972A">
            <w:pPr>
              <w:pStyle w:val="27"/>
              <w:jc w:val="center"/>
              <w:rPr>
                <w:rFonts w:hint="eastAsia" w:ascii="宋体" w:hAnsi="宋体" w:eastAsia="宋体" w:cs="宋体"/>
                <w:sz w:val="18"/>
                <w:szCs w:val="18"/>
              </w:rPr>
            </w:pPr>
            <w:r>
              <w:rPr>
                <w:rFonts w:hint="eastAsia" w:ascii="宋体" w:hAnsi="宋体" w:eastAsia="宋体" w:cs="宋体"/>
                <w:sz w:val="18"/>
                <w:szCs w:val="18"/>
              </w:rPr>
              <w:t>无</w:t>
            </w:r>
          </w:p>
        </w:tc>
        <w:tc>
          <w:tcPr>
            <w:tcW w:w="1368" w:type="dxa"/>
            <w:tcBorders>
              <w:tl2br w:val="nil"/>
              <w:tr2bl w:val="nil"/>
            </w:tcBorders>
          </w:tcPr>
          <w:p w14:paraId="0A0D2FF9">
            <w:pPr>
              <w:pStyle w:val="27"/>
              <w:rPr>
                <w:rFonts w:hint="eastAsia" w:ascii="宋体" w:hAnsi="宋体" w:eastAsia="宋体" w:cs="宋体"/>
                <w:sz w:val="18"/>
                <w:szCs w:val="18"/>
              </w:rPr>
            </w:pPr>
            <w:r>
              <w:rPr>
                <w:rFonts w:hint="eastAsia" w:ascii="宋体" w:hAnsi="宋体" w:eastAsia="宋体" w:cs="宋体"/>
                <w:sz w:val="18"/>
                <w:szCs w:val="18"/>
              </w:rPr>
              <w:t>正常使用</w:t>
            </w:r>
          </w:p>
        </w:tc>
      </w:tr>
      <w:tr w14:paraId="2D71C8EC">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535BA304">
            <w:pPr>
              <w:pStyle w:val="27"/>
              <w:jc w:val="center"/>
              <w:rPr>
                <w:rFonts w:hint="eastAsia" w:ascii="宋体" w:hAnsi="宋体" w:eastAsia="宋体" w:cs="宋体"/>
                <w:sz w:val="18"/>
                <w:szCs w:val="18"/>
              </w:rPr>
            </w:pPr>
            <w:r>
              <w:rPr>
                <w:rFonts w:hint="eastAsia" w:ascii="宋体" w:hAnsi="宋体" w:eastAsia="宋体" w:cs="宋体"/>
                <w:sz w:val="18"/>
                <w:szCs w:val="18"/>
              </w:rPr>
              <w:t>UniApp</w:t>
            </w:r>
          </w:p>
        </w:tc>
        <w:tc>
          <w:tcPr>
            <w:tcW w:w="1231" w:type="dxa"/>
            <w:tcBorders>
              <w:tl2br w:val="nil"/>
              <w:tr2bl w:val="nil"/>
            </w:tcBorders>
          </w:tcPr>
          <w:p w14:paraId="0837AA1F">
            <w:pPr>
              <w:pStyle w:val="27"/>
              <w:rPr>
                <w:rFonts w:hint="eastAsia" w:ascii="宋体" w:hAnsi="宋体" w:eastAsia="宋体" w:cs="宋体"/>
                <w:sz w:val="18"/>
                <w:szCs w:val="18"/>
              </w:rPr>
            </w:pPr>
            <w:r>
              <w:rPr>
                <w:rFonts w:hint="eastAsia" w:ascii="宋体" w:hAnsi="宋体" w:eastAsia="宋体" w:cs="宋体"/>
                <w:sz w:val="18"/>
                <w:szCs w:val="18"/>
              </w:rPr>
              <w:t>最新稳定版</w:t>
            </w:r>
          </w:p>
        </w:tc>
        <w:tc>
          <w:tcPr>
            <w:tcW w:w="1936" w:type="dxa"/>
            <w:tcBorders>
              <w:tl2br w:val="nil"/>
              <w:tr2bl w:val="nil"/>
            </w:tcBorders>
          </w:tcPr>
          <w:p w14:paraId="50598B1E">
            <w:pPr>
              <w:pStyle w:val="27"/>
              <w:rPr>
                <w:rFonts w:hint="eastAsia" w:ascii="宋体" w:hAnsi="宋体" w:eastAsia="宋体" w:cs="宋体"/>
                <w:sz w:val="18"/>
                <w:szCs w:val="18"/>
              </w:rPr>
            </w:pPr>
            <w:r>
              <w:rPr>
                <w:rFonts w:hint="eastAsia" w:ascii="宋体" w:hAnsi="宋体" w:eastAsia="宋体" w:cs="宋体"/>
                <w:sz w:val="18"/>
                <w:szCs w:val="18"/>
              </w:rPr>
              <w:t>移动端跨平台框架</w:t>
            </w:r>
          </w:p>
        </w:tc>
        <w:tc>
          <w:tcPr>
            <w:tcW w:w="1150" w:type="dxa"/>
            <w:tcBorders>
              <w:tl2br w:val="nil"/>
              <w:tr2bl w:val="nil"/>
            </w:tcBorders>
          </w:tcPr>
          <w:p w14:paraId="668B9787">
            <w:pPr>
              <w:pStyle w:val="27"/>
              <w:rPr>
                <w:rFonts w:hint="eastAsia" w:ascii="宋体" w:hAnsi="宋体" w:eastAsia="宋体" w:cs="宋体"/>
                <w:sz w:val="18"/>
                <w:szCs w:val="18"/>
              </w:rPr>
            </w:pPr>
            <w:r>
              <w:rPr>
                <w:rFonts w:hint="eastAsia" w:ascii="宋体" w:hAnsi="宋体" w:eastAsia="宋体" w:cs="宋体"/>
                <w:sz w:val="18"/>
                <w:szCs w:val="18"/>
              </w:rPr>
              <w:t>商业授权</w:t>
            </w:r>
          </w:p>
        </w:tc>
        <w:tc>
          <w:tcPr>
            <w:tcW w:w="1293" w:type="dxa"/>
            <w:tcBorders>
              <w:tl2br w:val="nil"/>
              <w:tr2bl w:val="nil"/>
            </w:tcBorders>
          </w:tcPr>
          <w:p w14:paraId="1660D975">
            <w:pPr>
              <w:pStyle w:val="27"/>
              <w:jc w:val="center"/>
              <w:rPr>
                <w:rFonts w:hint="eastAsia" w:ascii="宋体" w:hAnsi="宋体" w:eastAsia="宋体" w:cs="宋体"/>
                <w:sz w:val="18"/>
                <w:szCs w:val="18"/>
              </w:rPr>
            </w:pPr>
            <w:r>
              <w:rPr>
                <w:rFonts w:hint="eastAsia" w:ascii="宋体" w:hAnsi="宋体" w:eastAsia="宋体" w:cs="宋体"/>
                <w:sz w:val="18"/>
                <w:szCs w:val="18"/>
              </w:rPr>
              <w:t>否</w:t>
            </w:r>
          </w:p>
        </w:tc>
        <w:tc>
          <w:tcPr>
            <w:tcW w:w="957" w:type="dxa"/>
            <w:tcBorders>
              <w:tl2br w:val="nil"/>
              <w:tr2bl w:val="nil"/>
            </w:tcBorders>
          </w:tcPr>
          <w:p w14:paraId="762854E6">
            <w:pPr>
              <w:pStyle w:val="27"/>
              <w:jc w:val="center"/>
              <w:rPr>
                <w:rFonts w:hint="eastAsia" w:ascii="宋体" w:hAnsi="宋体" w:eastAsia="宋体" w:cs="宋体"/>
                <w:sz w:val="18"/>
                <w:szCs w:val="18"/>
              </w:rPr>
            </w:pPr>
            <w:r>
              <w:rPr>
                <w:rFonts w:hint="eastAsia" w:ascii="宋体" w:hAnsi="宋体" w:eastAsia="宋体" w:cs="宋体"/>
                <w:sz w:val="18"/>
                <w:szCs w:val="18"/>
              </w:rPr>
              <w:t>无</w:t>
            </w:r>
          </w:p>
        </w:tc>
        <w:tc>
          <w:tcPr>
            <w:tcW w:w="1368" w:type="dxa"/>
            <w:tcBorders>
              <w:tl2br w:val="nil"/>
              <w:tr2bl w:val="nil"/>
            </w:tcBorders>
          </w:tcPr>
          <w:p w14:paraId="11B142C2">
            <w:pPr>
              <w:pStyle w:val="27"/>
              <w:rPr>
                <w:rFonts w:hint="eastAsia" w:ascii="宋体" w:hAnsi="宋体" w:eastAsia="宋体" w:cs="宋体"/>
                <w:sz w:val="18"/>
                <w:szCs w:val="18"/>
              </w:rPr>
            </w:pPr>
            <w:r>
              <w:rPr>
                <w:rFonts w:hint="eastAsia" w:ascii="宋体" w:hAnsi="宋体" w:eastAsia="宋体" w:cs="宋体"/>
                <w:sz w:val="18"/>
                <w:szCs w:val="18"/>
              </w:rPr>
              <w:t>正常使用</w:t>
            </w:r>
          </w:p>
        </w:tc>
      </w:tr>
      <w:tr w14:paraId="05590727">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74D73BD1">
            <w:pPr>
              <w:pStyle w:val="27"/>
              <w:jc w:val="center"/>
              <w:rPr>
                <w:rFonts w:hint="eastAsia" w:ascii="宋体" w:hAnsi="宋体" w:eastAsia="宋体" w:cs="宋体"/>
                <w:sz w:val="18"/>
                <w:szCs w:val="18"/>
              </w:rPr>
            </w:pPr>
            <w:r>
              <w:rPr>
                <w:rFonts w:hint="eastAsia" w:ascii="宋体" w:hAnsi="宋体" w:eastAsia="宋体" w:cs="宋体"/>
                <w:sz w:val="18"/>
                <w:szCs w:val="18"/>
              </w:rPr>
              <w:t>Apache POI</w:t>
            </w:r>
          </w:p>
        </w:tc>
        <w:tc>
          <w:tcPr>
            <w:tcW w:w="1231" w:type="dxa"/>
            <w:tcBorders>
              <w:tl2br w:val="nil"/>
              <w:tr2bl w:val="nil"/>
            </w:tcBorders>
          </w:tcPr>
          <w:p w14:paraId="30220D49">
            <w:pPr>
              <w:pStyle w:val="27"/>
              <w:rPr>
                <w:rFonts w:hint="eastAsia" w:ascii="宋体" w:hAnsi="宋体" w:eastAsia="宋体" w:cs="宋体"/>
                <w:sz w:val="18"/>
                <w:szCs w:val="18"/>
              </w:rPr>
            </w:pPr>
            <w:r>
              <w:rPr>
                <w:rFonts w:hint="eastAsia" w:ascii="宋体" w:hAnsi="宋体" w:eastAsia="宋体" w:cs="宋体"/>
                <w:sz w:val="18"/>
                <w:szCs w:val="18"/>
              </w:rPr>
              <w:t>5.x</w:t>
            </w:r>
          </w:p>
        </w:tc>
        <w:tc>
          <w:tcPr>
            <w:tcW w:w="1936" w:type="dxa"/>
            <w:tcBorders>
              <w:tl2br w:val="nil"/>
              <w:tr2bl w:val="nil"/>
            </w:tcBorders>
          </w:tcPr>
          <w:p w14:paraId="78C476DA">
            <w:pPr>
              <w:pStyle w:val="27"/>
              <w:rPr>
                <w:rFonts w:hint="eastAsia" w:ascii="宋体" w:hAnsi="宋体" w:eastAsia="宋体" w:cs="宋体"/>
                <w:sz w:val="18"/>
                <w:szCs w:val="18"/>
              </w:rPr>
            </w:pPr>
            <w:r>
              <w:rPr>
                <w:rFonts w:hint="eastAsia" w:ascii="宋体" w:hAnsi="宋体" w:eastAsia="宋体" w:cs="宋体"/>
                <w:sz w:val="18"/>
                <w:szCs w:val="18"/>
              </w:rPr>
              <w:t>Excel导入导出</w:t>
            </w:r>
          </w:p>
        </w:tc>
        <w:tc>
          <w:tcPr>
            <w:tcW w:w="1150" w:type="dxa"/>
            <w:tcBorders>
              <w:tl2br w:val="nil"/>
              <w:tr2bl w:val="nil"/>
            </w:tcBorders>
          </w:tcPr>
          <w:p w14:paraId="0D1922CE">
            <w:pPr>
              <w:pStyle w:val="27"/>
              <w:rPr>
                <w:rFonts w:hint="eastAsia" w:ascii="宋体" w:hAnsi="宋体" w:eastAsia="宋体" w:cs="宋体"/>
                <w:sz w:val="18"/>
                <w:szCs w:val="18"/>
              </w:rPr>
            </w:pPr>
            <w:r>
              <w:rPr>
                <w:rFonts w:hint="eastAsia" w:ascii="宋体" w:hAnsi="宋体" w:eastAsia="宋体" w:cs="宋体"/>
                <w:sz w:val="18"/>
                <w:szCs w:val="18"/>
              </w:rPr>
              <w:t>Apache 2.0</w:t>
            </w:r>
          </w:p>
        </w:tc>
        <w:tc>
          <w:tcPr>
            <w:tcW w:w="1293" w:type="dxa"/>
            <w:tcBorders>
              <w:tl2br w:val="nil"/>
              <w:tr2bl w:val="nil"/>
            </w:tcBorders>
          </w:tcPr>
          <w:p w14:paraId="2382CD23">
            <w:pPr>
              <w:pStyle w:val="27"/>
              <w:jc w:val="center"/>
              <w:rPr>
                <w:rFonts w:hint="eastAsia" w:ascii="宋体" w:hAnsi="宋体" w:eastAsia="宋体" w:cs="宋体"/>
                <w:sz w:val="18"/>
                <w:szCs w:val="18"/>
              </w:rPr>
            </w:pPr>
            <w:r>
              <w:rPr>
                <w:rFonts w:hint="eastAsia" w:ascii="宋体" w:hAnsi="宋体" w:eastAsia="宋体" w:cs="宋体"/>
                <w:sz w:val="18"/>
                <w:szCs w:val="18"/>
              </w:rPr>
              <w:t>否</w:t>
            </w:r>
          </w:p>
        </w:tc>
        <w:tc>
          <w:tcPr>
            <w:tcW w:w="957" w:type="dxa"/>
            <w:tcBorders>
              <w:tl2br w:val="nil"/>
              <w:tr2bl w:val="nil"/>
            </w:tcBorders>
          </w:tcPr>
          <w:p w14:paraId="52B31C40">
            <w:pPr>
              <w:pStyle w:val="27"/>
              <w:jc w:val="center"/>
              <w:rPr>
                <w:rFonts w:hint="eastAsia" w:ascii="宋体" w:hAnsi="宋体" w:eastAsia="宋体" w:cs="宋体"/>
                <w:sz w:val="18"/>
                <w:szCs w:val="18"/>
              </w:rPr>
            </w:pPr>
            <w:r>
              <w:rPr>
                <w:rFonts w:hint="eastAsia" w:ascii="宋体" w:hAnsi="宋体" w:eastAsia="宋体" w:cs="宋体"/>
                <w:sz w:val="18"/>
                <w:szCs w:val="18"/>
              </w:rPr>
              <w:t>无</w:t>
            </w:r>
          </w:p>
        </w:tc>
        <w:tc>
          <w:tcPr>
            <w:tcW w:w="1368" w:type="dxa"/>
            <w:tcBorders>
              <w:tl2br w:val="nil"/>
              <w:tr2bl w:val="nil"/>
            </w:tcBorders>
          </w:tcPr>
          <w:p w14:paraId="1E095FF3">
            <w:pPr>
              <w:pStyle w:val="27"/>
              <w:rPr>
                <w:rFonts w:hint="eastAsia" w:ascii="宋体" w:hAnsi="宋体" w:eastAsia="宋体" w:cs="宋体"/>
                <w:sz w:val="18"/>
                <w:szCs w:val="18"/>
              </w:rPr>
            </w:pPr>
            <w:r>
              <w:rPr>
                <w:rFonts w:hint="eastAsia" w:ascii="宋体" w:hAnsi="宋体" w:eastAsia="宋体" w:cs="宋体"/>
                <w:sz w:val="18"/>
                <w:szCs w:val="18"/>
              </w:rPr>
              <w:t>正常使用</w:t>
            </w:r>
          </w:p>
        </w:tc>
      </w:tr>
      <w:tr w14:paraId="48E9967C">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010DA76B">
            <w:pPr>
              <w:pStyle w:val="27"/>
              <w:jc w:val="center"/>
              <w:rPr>
                <w:rFonts w:hint="eastAsia" w:ascii="宋体" w:hAnsi="宋体" w:eastAsia="宋体" w:cs="宋体"/>
                <w:sz w:val="18"/>
                <w:szCs w:val="18"/>
              </w:rPr>
            </w:pPr>
            <w:r>
              <w:rPr>
                <w:rFonts w:hint="eastAsia" w:ascii="宋体" w:hAnsi="宋体" w:eastAsia="宋体" w:cs="宋体"/>
                <w:sz w:val="18"/>
                <w:szCs w:val="18"/>
              </w:rPr>
              <w:t>iTextPDF</w:t>
            </w:r>
          </w:p>
        </w:tc>
        <w:tc>
          <w:tcPr>
            <w:tcW w:w="1231" w:type="dxa"/>
            <w:tcBorders>
              <w:tl2br w:val="nil"/>
              <w:tr2bl w:val="nil"/>
            </w:tcBorders>
          </w:tcPr>
          <w:p w14:paraId="7263DA0D">
            <w:pPr>
              <w:pStyle w:val="27"/>
              <w:rPr>
                <w:rFonts w:hint="eastAsia" w:ascii="宋体" w:hAnsi="宋体" w:eastAsia="宋体" w:cs="宋体"/>
                <w:sz w:val="18"/>
                <w:szCs w:val="18"/>
              </w:rPr>
            </w:pPr>
            <w:r>
              <w:rPr>
                <w:rFonts w:hint="eastAsia" w:ascii="宋体" w:hAnsi="宋体" w:eastAsia="宋体" w:cs="宋体"/>
                <w:sz w:val="18"/>
                <w:szCs w:val="18"/>
              </w:rPr>
              <w:t>商业/AGPL</w:t>
            </w:r>
          </w:p>
        </w:tc>
        <w:tc>
          <w:tcPr>
            <w:tcW w:w="1936" w:type="dxa"/>
            <w:tcBorders>
              <w:tl2br w:val="nil"/>
              <w:tr2bl w:val="nil"/>
            </w:tcBorders>
          </w:tcPr>
          <w:p w14:paraId="21C8C1A2">
            <w:pPr>
              <w:pStyle w:val="27"/>
              <w:rPr>
                <w:rFonts w:hint="eastAsia" w:ascii="宋体" w:hAnsi="宋体" w:eastAsia="宋体" w:cs="宋体"/>
                <w:sz w:val="18"/>
                <w:szCs w:val="18"/>
              </w:rPr>
            </w:pPr>
            <w:r>
              <w:rPr>
                <w:rFonts w:hint="eastAsia" w:ascii="宋体" w:hAnsi="宋体" w:eastAsia="宋体" w:cs="宋体"/>
                <w:sz w:val="18"/>
                <w:szCs w:val="18"/>
              </w:rPr>
              <w:t>PDF生成</w:t>
            </w:r>
          </w:p>
        </w:tc>
        <w:tc>
          <w:tcPr>
            <w:tcW w:w="1150" w:type="dxa"/>
            <w:tcBorders>
              <w:tl2br w:val="nil"/>
              <w:tr2bl w:val="nil"/>
            </w:tcBorders>
          </w:tcPr>
          <w:p w14:paraId="601998A2">
            <w:pPr>
              <w:pStyle w:val="27"/>
              <w:rPr>
                <w:rFonts w:hint="eastAsia" w:ascii="宋体" w:hAnsi="宋体" w:eastAsia="宋体" w:cs="宋体"/>
                <w:sz w:val="18"/>
                <w:szCs w:val="18"/>
              </w:rPr>
            </w:pPr>
            <w:r>
              <w:rPr>
                <w:rFonts w:hint="eastAsia" w:ascii="宋体" w:hAnsi="宋体" w:eastAsia="宋体" w:cs="宋体"/>
                <w:sz w:val="18"/>
                <w:szCs w:val="18"/>
              </w:rPr>
              <w:t>待确认</w:t>
            </w:r>
          </w:p>
        </w:tc>
        <w:tc>
          <w:tcPr>
            <w:tcW w:w="1293" w:type="dxa"/>
            <w:tcBorders>
              <w:tl2br w:val="nil"/>
              <w:tr2bl w:val="nil"/>
            </w:tcBorders>
          </w:tcPr>
          <w:p w14:paraId="68895E63">
            <w:pPr>
              <w:pStyle w:val="27"/>
              <w:jc w:val="center"/>
              <w:rPr>
                <w:rFonts w:hint="eastAsia" w:ascii="宋体" w:hAnsi="宋体" w:eastAsia="宋体" w:cs="宋体"/>
                <w:sz w:val="18"/>
                <w:szCs w:val="18"/>
              </w:rPr>
            </w:pPr>
            <w:r>
              <w:rPr>
                <w:rFonts w:hint="eastAsia" w:ascii="宋体" w:hAnsi="宋体" w:eastAsia="宋体" w:cs="宋体"/>
                <w:sz w:val="18"/>
                <w:szCs w:val="18"/>
              </w:rPr>
              <w:t>需评估</w:t>
            </w:r>
          </w:p>
        </w:tc>
        <w:tc>
          <w:tcPr>
            <w:tcW w:w="957" w:type="dxa"/>
            <w:tcBorders>
              <w:tl2br w:val="nil"/>
              <w:tr2bl w:val="nil"/>
            </w:tcBorders>
          </w:tcPr>
          <w:p w14:paraId="3E5FFAD9">
            <w:pPr>
              <w:pStyle w:val="27"/>
              <w:jc w:val="center"/>
              <w:rPr>
                <w:rFonts w:hint="eastAsia" w:ascii="宋体" w:hAnsi="宋体" w:eastAsia="宋体" w:cs="宋体"/>
                <w:sz w:val="18"/>
                <w:szCs w:val="18"/>
              </w:rPr>
            </w:pPr>
            <w:r>
              <w:rPr>
                <w:rFonts w:hint="eastAsia" w:ascii="宋体" w:hAnsi="宋体" w:eastAsia="宋体" w:cs="宋体"/>
                <w:sz w:val="18"/>
                <w:szCs w:val="18"/>
              </w:rPr>
              <w:t>无</w:t>
            </w:r>
          </w:p>
        </w:tc>
        <w:tc>
          <w:tcPr>
            <w:tcW w:w="1368" w:type="dxa"/>
            <w:tcBorders>
              <w:tl2br w:val="nil"/>
              <w:tr2bl w:val="nil"/>
            </w:tcBorders>
          </w:tcPr>
          <w:p w14:paraId="7A2E6DFB">
            <w:pPr>
              <w:pStyle w:val="27"/>
              <w:rPr>
                <w:rFonts w:hint="eastAsia" w:ascii="宋体" w:hAnsi="宋体" w:eastAsia="宋体" w:cs="宋体"/>
                <w:sz w:val="18"/>
                <w:szCs w:val="18"/>
              </w:rPr>
            </w:pPr>
            <w:r>
              <w:rPr>
                <w:rFonts w:hint="eastAsia" w:ascii="宋体" w:hAnsi="宋体" w:eastAsia="宋体" w:cs="宋体"/>
                <w:sz w:val="18"/>
                <w:szCs w:val="18"/>
              </w:rPr>
              <w:t>如存在AGPL传染风险则替换</w:t>
            </w:r>
          </w:p>
        </w:tc>
      </w:tr>
      <w:tr w14:paraId="6F419B74">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5679F898">
            <w:pPr>
              <w:pStyle w:val="27"/>
              <w:jc w:val="center"/>
              <w:rPr>
                <w:rFonts w:hint="eastAsia" w:ascii="宋体" w:hAnsi="宋体" w:eastAsia="宋体" w:cs="宋体"/>
                <w:sz w:val="18"/>
                <w:szCs w:val="18"/>
              </w:rPr>
            </w:pPr>
            <w:r>
              <w:rPr>
                <w:rFonts w:hint="eastAsia" w:ascii="宋体" w:hAnsi="宋体" w:eastAsia="宋体" w:cs="宋体"/>
                <w:sz w:val="18"/>
                <w:szCs w:val="18"/>
              </w:rPr>
              <w:t>ECharts</w:t>
            </w:r>
          </w:p>
        </w:tc>
        <w:tc>
          <w:tcPr>
            <w:tcW w:w="1231" w:type="dxa"/>
            <w:tcBorders>
              <w:tl2br w:val="nil"/>
              <w:tr2bl w:val="nil"/>
            </w:tcBorders>
          </w:tcPr>
          <w:p w14:paraId="253B4BD4">
            <w:pPr>
              <w:pStyle w:val="27"/>
              <w:rPr>
                <w:rFonts w:hint="eastAsia" w:ascii="宋体" w:hAnsi="宋体" w:eastAsia="宋体" w:cs="宋体"/>
                <w:sz w:val="18"/>
                <w:szCs w:val="18"/>
              </w:rPr>
            </w:pPr>
            <w:r>
              <w:rPr>
                <w:rFonts w:hint="eastAsia" w:ascii="宋体" w:hAnsi="宋体" w:eastAsia="宋体" w:cs="宋体"/>
                <w:sz w:val="18"/>
                <w:szCs w:val="18"/>
              </w:rPr>
              <w:t>5.x</w:t>
            </w:r>
          </w:p>
        </w:tc>
        <w:tc>
          <w:tcPr>
            <w:tcW w:w="1936" w:type="dxa"/>
            <w:tcBorders>
              <w:tl2br w:val="nil"/>
              <w:tr2bl w:val="nil"/>
            </w:tcBorders>
          </w:tcPr>
          <w:p w14:paraId="6F27B587">
            <w:pPr>
              <w:pStyle w:val="27"/>
              <w:rPr>
                <w:rFonts w:hint="eastAsia" w:ascii="宋体" w:hAnsi="宋体" w:eastAsia="宋体" w:cs="宋体"/>
                <w:sz w:val="18"/>
                <w:szCs w:val="18"/>
              </w:rPr>
            </w:pPr>
            <w:r>
              <w:rPr>
                <w:rFonts w:hint="eastAsia" w:ascii="宋体" w:hAnsi="宋体" w:eastAsia="宋体" w:cs="宋体"/>
                <w:sz w:val="18"/>
                <w:szCs w:val="18"/>
              </w:rPr>
              <w:t>图表可视化</w:t>
            </w:r>
          </w:p>
        </w:tc>
        <w:tc>
          <w:tcPr>
            <w:tcW w:w="1150" w:type="dxa"/>
            <w:tcBorders>
              <w:tl2br w:val="nil"/>
              <w:tr2bl w:val="nil"/>
            </w:tcBorders>
          </w:tcPr>
          <w:p w14:paraId="52232921">
            <w:pPr>
              <w:pStyle w:val="27"/>
              <w:rPr>
                <w:rFonts w:hint="eastAsia" w:ascii="宋体" w:hAnsi="宋体" w:eastAsia="宋体" w:cs="宋体"/>
                <w:sz w:val="18"/>
                <w:szCs w:val="18"/>
              </w:rPr>
            </w:pPr>
            <w:r>
              <w:rPr>
                <w:rFonts w:hint="eastAsia" w:ascii="宋体" w:hAnsi="宋体" w:eastAsia="宋体" w:cs="宋体"/>
                <w:sz w:val="18"/>
                <w:szCs w:val="18"/>
              </w:rPr>
              <w:t>Apache 2.0</w:t>
            </w:r>
          </w:p>
        </w:tc>
        <w:tc>
          <w:tcPr>
            <w:tcW w:w="1293" w:type="dxa"/>
            <w:tcBorders>
              <w:tl2br w:val="nil"/>
              <w:tr2bl w:val="nil"/>
            </w:tcBorders>
          </w:tcPr>
          <w:p w14:paraId="5F38F353">
            <w:pPr>
              <w:pStyle w:val="27"/>
              <w:jc w:val="center"/>
              <w:rPr>
                <w:rFonts w:hint="eastAsia" w:ascii="宋体" w:hAnsi="宋体" w:eastAsia="宋体" w:cs="宋体"/>
                <w:sz w:val="18"/>
                <w:szCs w:val="18"/>
              </w:rPr>
            </w:pPr>
            <w:r>
              <w:rPr>
                <w:rFonts w:hint="eastAsia" w:ascii="宋体" w:hAnsi="宋体" w:eastAsia="宋体" w:cs="宋体"/>
                <w:sz w:val="18"/>
                <w:szCs w:val="18"/>
              </w:rPr>
              <w:t>否</w:t>
            </w:r>
          </w:p>
        </w:tc>
        <w:tc>
          <w:tcPr>
            <w:tcW w:w="957" w:type="dxa"/>
            <w:tcBorders>
              <w:tl2br w:val="nil"/>
              <w:tr2bl w:val="nil"/>
            </w:tcBorders>
          </w:tcPr>
          <w:p w14:paraId="1690AE70">
            <w:pPr>
              <w:pStyle w:val="27"/>
              <w:jc w:val="center"/>
              <w:rPr>
                <w:rFonts w:hint="eastAsia" w:ascii="宋体" w:hAnsi="宋体" w:eastAsia="宋体" w:cs="宋体"/>
                <w:sz w:val="18"/>
                <w:szCs w:val="18"/>
              </w:rPr>
            </w:pPr>
            <w:r>
              <w:rPr>
                <w:rFonts w:hint="eastAsia" w:ascii="宋体" w:hAnsi="宋体" w:eastAsia="宋体" w:cs="宋体"/>
                <w:sz w:val="18"/>
                <w:szCs w:val="18"/>
              </w:rPr>
              <w:t>无</w:t>
            </w:r>
          </w:p>
        </w:tc>
        <w:tc>
          <w:tcPr>
            <w:tcW w:w="1368" w:type="dxa"/>
            <w:tcBorders>
              <w:tl2br w:val="nil"/>
              <w:tr2bl w:val="nil"/>
            </w:tcBorders>
          </w:tcPr>
          <w:p w14:paraId="70836B5C">
            <w:pPr>
              <w:pStyle w:val="27"/>
              <w:rPr>
                <w:rFonts w:hint="eastAsia" w:ascii="宋体" w:hAnsi="宋体" w:eastAsia="宋体" w:cs="宋体"/>
                <w:sz w:val="18"/>
                <w:szCs w:val="18"/>
              </w:rPr>
            </w:pPr>
            <w:r>
              <w:rPr>
                <w:rFonts w:hint="eastAsia" w:ascii="宋体" w:hAnsi="宋体" w:eastAsia="宋体" w:cs="宋体"/>
                <w:sz w:val="18"/>
                <w:szCs w:val="18"/>
              </w:rPr>
              <w:t>正常使用</w:t>
            </w:r>
          </w:p>
        </w:tc>
      </w:tr>
      <w:tr w14:paraId="55AEE9C9">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43DDAADF">
            <w:pPr>
              <w:pStyle w:val="27"/>
              <w:jc w:val="center"/>
              <w:rPr>
                <w:rFonts w:hint="eastAsia" w:ascii="宋体" w:hAnsi="宋体" w:eastAsia="宋体" w:cs="宋体"/>
                <w:sz w:val="18"/>
                <w:szCs w:val="18"/>
              </w:rPr>
            </w:pPr>
            <w:r>
              <w:rPr>
                <w:rFonts w:hint="eastAsia" w:ascii="宋体" w:hAnsi="宋体" w:eastAsia="宋体" w:cs="宋体"/>
                <w:sz w:val="18"/>
                <w:szCs w:val="18"/>
              </w:rPr>
              <w:t>Druid</w:t>
            </w:r>
          </w:p>
        </w:tc>
        <w:tc>
          <w:tcPr>
            <w:tcW w:w="1231" w:type="dxa"/>
            <w:tcBorders>
              <w:tl2br w:val="nil"/>
              <w:tr2bl w:val="nil"/>
            </w:tcBorders>
          </w:tcPr>
          <w:p w14:paraId="07BF99C7">
            <w:pPr>
              <w:pStyle w:val="27"/>
              <w:rPr>
                <w:rFonts w:hint="eastAsia" w:ascii="宋体" w:hAnsi="宋体" w:eastAsia="宋体" w:cs="宋体"/>
                <w:sz w:val="18"/>
                <w:szCs w:val="18"/>
              </w:rPr>
            </w:pPr>
            <w:r>
              <w:rPr>
                <w:rFonts w:hint="eastAsia" w:ascii="宋体" w:hAnsi="宋体" w:eastAsia="宋体" w:cs="宋体"/>
                <w:sz w:val="18"/>
                <w:szCs w:val="18"/>
              </w:rPr>
              <w:t>1.2.x</w:t>
            </w:r>
          </w:p>
        </w:tc>
        <w:tc>
          <w:tcPr>
            <w:tcW w:w="1936" w:type="dxa"/>
            <w:tcBorders>
              <w:tl2br w:val="nil"/>
              <w:tr2bl w:val="nil"/>
            </w:tcBorders>
          </w:tcPr>
          <w:p w14:paraId="398290DF">
            <w:pPr>
              <w:pStyle w:val="27"/>
              <w:rPr>
                <w:rFonts w:hint="eastAsia" w:ascii="宋体" w:hAnsi="宋体" w:eastAsia="宋体" w:cs="宋体"/>
                <w:sz w:val="18"/>
                <w:szCs w:val="18"/>
              </w:rPr>
            </w:pPr>
            <w:r>
              <w:rPr>
                <w:rFonts w:hint="eastAsia" w:ascii="宋体" w:hAnsi="宋体" w:eastAsia="宋体" w:cs="宋体"/>
                <w:sz w:val="18"/>
                <w:szCs w:val="18"/>
              </w:rPr>
              <w:t>数据库连接池与监控</w:t>
            </w:r>
          </w:p>
        </w:tc>
        <w:tc>
          <w:tcPr>
            <w:tcW w:w="1150" w:type="dxa"/>
            <w:tcBorders>
              <w:tl2br w:val="nil"/>
              <w:tr2bl w:val="nil"/>
            </w:tcBorders>
          </w:tcPr>
          <w:p w14:paraId="7805A087">
            <w:pPr>
              <w:pStyle w:val="27"/>
              <w:rPr>
                <w:rFonts w:hint="eastAsia" w:ascii="宋体" w:hAnsi="宋体" w:eastAsia="宋体" w:cs="宋体"/>
                <w:sz w:val="18"/>
                <w:szCs w:val="18"/>
              </w:rPr>
            </w:pPr>
            <w:r>
              <w:rPr>
                <w:rFonts w:hint="eastAsia" w:ascii="宋体" w:hAnsi="宋体" w:eastAsia="宋体" w:cs="宋体"/>
                <w:sz w:val="18"/>
                <w:szCs w:val="18"/>
              </w:rPr>
              <w:t>Apache 2.0</w:t>
            </w:r>
          </w:p>
        </w:tc>
        <w:tc>
          <w:tcPr>
            <w:tcW w:w="1293" w:type="dxa"/>
            <w:tcBorders>
              <w:tl2br w:val="nil"/>
              <w:tr2bl w:val="nil"/>
            </w:tcBorders>
          </w:tcPr>
          <w:p w14:paraId="05FAFF37">
            <w:pPr>
              <w:pStyle w:val="27"/>
              <w:jc w:val="center"/>
              <w:rPr>
                <w:rFonts w:hint="eastAsia" w:ascii="宋体" w:hAnsi="宋体" w:eastAsia="宋体" w:cs="宋体"/>
                <w:sz w:val="18"/>
                <w:szCs w:val="18"/>
              </w:rPr>
            </w:pPr>
            <w:r>
              <w:rPr>
                <w:rFonts w:hint="eastAsia" w:ascii="宋体" w:hAnsi="宋体" w:eastAsia="宋体" w:cs="宋体"/>
                <w:sz w:val="18"/>
                <w:szCs w:val="18"/>
              </w:rPr>
              <w:t>否</w:t>
            </w:r>
          </w:p>
        </w:tc>
        <w:tc>
          <w:tcPr>
            <w:tcW w:w="957" w:type="dxa"/>
            <w:tcBorders>
              <w:tl2br w:val="nil"/>
              <w:tr2bl w:val="nil"/>
            </w:tcBorders>
          </w:tcPr>
          <w:p w14:paraId="7ABDCEF5">
            <w:pPr>
              <w:pStyle w:val="27"/>
              <w:jc w:val="center"/>
              <w:rPr>
                <w:rFonts w:hint="eastAsia" w:ascii="宋体" w:hAnsi="宋体" w:eastAsia="宋体" w:cs="宋体"/>
                <w:sz w:val="18"/>
                <w:szCs w:val="18"/>
              </w:rPr>
            </w:pPr>
            <w:r>
              <w:rPr>
                <w:rFonts w:hint="eastAsia" w:ascii="宋体" w:hAnsi="宋体" w:eastAsia="宋体" w:cs="宋体"/>
                <w:sz w:val="18"/>
                <w:szCs w:val="18"/>
              </w:rPr>
              <w:t>无</w:t>
            </w:r>
          </w:p>
        </w:tc>
        <w:tc>
          <w:tcPr>
            <w:tcW w:w="1368" w:type="dxa"/>
            <w:tcBorders>
              <w:tl2br w:val="nil"/>
              <w:tr2bl w:val="nil"/>
            </w:tcBorders>
          </w:tcPr>
          <w:p w14:paraId="7E321B57">
            <w:pPr>
              <w:pStyle w:val="27"/>
              <w:rPr>
                <w:rFonts w:hint="eastAsia" w:ascii="宋体" w:hAnsi="宋体" w:eastAsia="宋体" w:cs="宋体"/>
                <w:sz w:val="18"/>
                <w:szCs w:val="18"/>
              </w:rPr>
            </w:pPr>
            <w:r>
              <w:rPr>
                <w:rFonts w:hint="eastAsia" w:ascii="宋体" w:hAnsi="宋体" w:eastAsia="宋体" w:cs="宋体"/>
                <w:sz w:val="18"/>
                <w:szCs w:val="18"/>
              </w:rPr>
              <w:t>正常使用</w:t>
            </w:r>
          </w:p>
        </w:tc>
      </w:tr>
      <w:tr w14:paraId="262FDA80">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2263074F">
            <w:pPr>
              <w:pStyle w:val="27"/>
              <w:jc w:val="center"/>
              <w:rPr>
                <w:rFonts w:hint="eastAsia" w:ascii="宋体" w:hAnsi="宋体" w:eastAsia="宋体" w:cs="宋体"/>
                <w:sz w:val="18"/>
                <w:szCs w:val="18"/>
              </w:rPr>
            </w:pPr>
          </w:p>
        </w:tc>
        <w:tc>
          <w:tcPr>
            <w:tcW w:w="1231" w:type="dxa"/>
            <w:tcBorders>
              <w:tl2br w:val="nil"/>
              <w:tr2bl w:val="nil"/>
            </w:tcBorders>
          </w:tcPr>
          <w:p w14:paraId="097B49FC">
            <w:pPr>
              <w:pStyle w:val="27"/>
              <w:rPr>
                <w:rFonts w:hint="eastAsia" w:ascii="宋体" w:hAnsi="宋体" w:eastAsia="宋体" w:cs="宋体"/>
                <w:sz w:val="18"/>
                <w:szCs w:val="18"/>
              </w:rPr>
            </w:pPr>
          </w:p>
        </w:tc>
        <w:tc>
          <w:tcPr>
            <w:tcW w:w="1936" w:type="dxa"/>
            <w:tcBorders>
              <w:tl2br w:val="nil"/>
              <w:tr2bl w:val="nil"/>
            </w:tcBorders>
          </w:tcPr>
          <w:p w14:paraId="68564858">
            <w:pPr>
              <w:pStyle w:val="27"/>
              <w:rPr>
                <w:rFonts w:hint="eastAsia" w:ascii="宋体" w:hAnsi="宋体" w:eastAsia="宋体" w:cs="宋体"/>
                <w:sz w:val="18"/>
                <w:szCs w:val="18"/>
              </w:rPr>
            </w:pPr>
          </w:p>
        </w:tc>
        <w:tc>
          <w:tcPr>
            <w:tcW w:w="1150" w:type="dxa"/>
            <w:tcBorders>
              <w:tl2br w:val="nil"/>
              <w:tr2bl w:val="nil"/>
            </w:tcBorders>
          </w:tcPr>
          <w:p w14:paraId="792CC43B">
            <w:pPr>
              <w:pStyle w:val="27"/>
              <w:rPr>
                <w:rFonts w:hint="eastAsia" w:ascii="宋体" w:hAnsi="宋体" w:eastAsia="宋体" w:cs="宋体"/>
                <w:sz w:val="18"/>
                <w:szCs w:val="18"/>
              </w:rPr>
            </w:pPr>
          </w:p>
        </w:tc>
        <w:tc>
          <w:tcPr>
            <w:tcW w:w="1293" w:type="dxa"/>
            <w:tcBorders>
              <w:tl2br w:val="nil"/>
              <w:tr2bl w:val="nil"/>
            </w:tcBorders>
          </w:tcPr>
          <w:p w14:paraId="51C5A8B3">
            <w:pPr>
              <w:pStyle w:val="27"/>
              <w:jc w:val="center"/>
              <w:rPr>
                <w:rFonts w:hint="eastAsia" w:ascii="宋体" w:hAnsi="宋体" w:eastAsia="宋体" w:cs="宋体"/>
                <w:sz w:val="18"/>
                <w:szCs w:val="18"/>
              </w:rPr>
            </w:pPr>
          </w:p>
        </w:tc>
        <w:tc>
          <w:tcPr>
            <w:tcW w:w="957" w:type="dxa"/>
            <w:tcBorders>
              <w:tl2br w:val="nil"/>
              <w:tr2bl w:val="nil"/>
            </w:tcBorders>
          </w:tcPr>
          <w:p w14:paraId="1044C0F7">
            <w:pPr>
              <w:pStyle w:val="27"/>
              <w:jc w:val="center"/>
              <w:rPr>
                <w:rFonts w:hint="eastAsia" w:ascii="宋体" w:hAnsi="宋体" w:eastAsia="宋体" w:cs="宋体"/>
                <w:sz w:val="18"/>
                <w:szCs w:val="18"/>
              </w:rPr>
            </w:pPr>
          </w:p>
        </w:tc>
        <w:tc>
          <w:tcPr>
            <w:tcW w:w="1368" w:type="dxa"/>
            <w:tcBorders>
              <w:tl2br w:val="nil"/>
              <w:tr2bl w:val="nil"/>
            </w:tcBorders>
          </w:tcPr>
          <w:p w14:paraId="30D416CF">
            <w:pPr>
              <w:pStyle w:val="27"/>
              <w:rPr>
                <w:rFonts w:hint="eastAsia" w:ascii="宋体" w:hAnsi="宋体" w:eastAsia="宋体" w:cs="宋体"/>
                <w:sz w:val="18"/>
                <w:szCs w:val="18"/>
              </w:rPr>
            </w:pPr>
          </w:p>
        </w:tc>
      </w:tr>
    </w:tbl>
    <w:p w14:paraId="67978585">
      <w:pPr>
        <w:pStyle w:val="13"/>
        <w:rPr>
          <w:rFonts w:hint="eastAsia" w:ascii="宋体" w:hAnsi="宋体" w:eastAsia="宋体" w:cs="宋体"/>
          <w:sz w:val="21"/>
          <w:szCs w:val="21"/>
        </w:rPr>
      </w:pPr>
      <w:r>
        <w:rPr>
          <w:rFonts w:hint="eastAsia" w:ascii="宋体" w:hAnsi="宋体" w:eastAsia="宋体" w:cs="宋体"/>
          <w:b/>
          <w:bCs/>
          <w:sz w:val="21"/>
          <w:szCs w:val="21"/>
        </w:rPr>
        <w:t>说明</w:t>
      </w:r>
      <w:r>
        <w:rPr>
          <w:rFonts w:hint="eastAsia" w:ascii="宋体" w:hAnsi="宋体" w:eastAsia="宋体" w:cs="宋体"/>
          <w:sz w:val="21"/>
          <w:szCs w:val="21"/>
        </w:rPr>
        <w:t>：上表为模板示例，正式交付时将根据项目实际使用的全部第三方组件逐一填写。对于存在GPL/AGPL传染风险的组件，我公司将在开发阶段主动识别并与甲方协商，必要时替换为兼容协议的替代方案，坚决杜绝在交付后给甲方埋下法律风险。</w:t>
      </w:r>
    </w:p>
    <w:bookmarkEnd w:id="13"/>
    <w:p w14:paraId="6CC62102">
      <w:pPr>
        <w:pStyle w:val="5"/>
        <w:bidi w:val="0"/>
        <w:rPr>
          <w:rFonts w:hint="eastAsia" w:ascii="宋体" w:hAnsi="宋体" w:eastAsia="宋体" w:cs="Tahoma"/>
          <w:b w:val="0"/>
          <w:bCs/>
          <w:kern w:val="2"/>
          <w:sz w:val="24"/>
          <w:szCs w:val="24"/>
          <w:highlight w:val="none"/>
          <w:lang w:val="en-US" w:eastAsia="zh-CN" w:bidi="ar-SA"/>
        </w:rPr>
      </w:pPr>
      <w:bookmarkStart w:id="14" w:name="_Toc6865"/>
      <w:bookmarkStart w:id="15" w:name="X1a696b6b547888a65defe54731e28f38b9ec032"/>
      <w:r>
        <w:rPr>
          <w:rFonts w:hint="eastAsia" w:cs="Tahoma"/>
          <w:b w:val="0"/>
          <w:bCs/>
          <w:kern w:val="2"/>
          <w:sz w:val="24"/>
          <w:szCs w:val="24"/>
          <w:highlight w:val="none"/>
          <w:lang w:val="en-US" w:eastAsia="zh-CN" w:bidi="ar-SA"/>
        </w:rPr>
        <w:t>11.8</w:t>
      </w:r>
      <w:r>
        <w:rPr>
          <w:rFonts w:hint="eastAsia" w:ascii="宋体" w:hAnsi="宋体" w:eastAsia="宋体" w:cs="Tahoma"/>
          <w:b w:val="0"/>
          <w:bCs/>
          <w:kern w:val="2"/>
          <w:sz w:val="24"/>
          <w:szCs w:val="24"/>
          <w:highlight w:val="none"/>
          <w:lang w:val="en-US" w:eastAsia="zh-CN" w:bidi="ar-SA"/>
        </w:rPr>
        <w:t>.4退出交接与数据处理</w:t>
      </w:r>
      <w:bookmarkEnd w:id="14"/>
    </w:p>
    <w:p w14:paraId="21A3E375">
      <w:pPr>
        <w:pStyle w:val="26"/>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合同期满不续约或合作提前终止时，我公司配合甲方或甲方指定的新服务商完成系统交接，交接配合期原则上不少于5个工作日。交接内容包括技术文档说明、系统架构讲解、部署方式说明、运行环境说明、运维知识转移、遗留问题说明及第三方资源交接。</w:t>
      </w:r>
    </w:p>
    <w:p w14:paraId="657829C9">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合作结束后，我公司将持有或控制的全部甲方数据、资料及相关备份完整移交甲方，并在甲方确认后删除或销毁保留副本，同时向甲方出具书面数据销毁说明或证明。</w:t>
      </w:r>
    </w:p>
    <w:p w14:paraId="1481075F">
      <w:pPr>
        <w:pStyle w:val="4"/>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sz w:val="21"/>
          <w:szCs w:val="21"/>
        </w:rPr>
      </w:pPr>
      <w:r>
        <w:rPr>
          <w:rFonts w:hint="eastAsia" w:ascii="宋体" w:hAnsi="宋体" w:eastAsia="宋体" w:cs="宋体"/>
          <w:b/>
          <w:bCs/>
          <w:sz w:val="21"/>
          <w:szCs w:val="21"/>
        </w:rPr>
        <w:t>退出交接增强措施</w:t>
      </w:r>
      <w:r>
        <w:rPr>
          <w:rFonts w:hint="eastAsia" w:ascii="宋体" w:hAnsi="宋体" w:eastAsia="宋体" w:cs="宋体"/>
          <w:sz w:val="21"/>
          <w:szCs w:val="21"/>
        </w:rPr>
        <w:t>：</w:t>
      </w:r>
    </w:p>
    <w:p w14:paraId="2189D34A">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为确保交接过程不流于形式、真正实现"无缝切换"，我公司承诺在退出交接期间：</w:t>
      </w:r>
    </w:p>
    <w:p w14:paraId="5F81FC8B">
      <w:pPr>
        <w:numPr>
          <w:ilvl w:val="0"/>
          <w:numId w:val="32"/>
        </w:numPr>
        <w:rPr>
          <w:rFonts w:hint="eastAsia" w:ascii="宋体" w:hAnsi="宋体" w:eastAsia="宋体" w:cs="宋体"/>
          <w:sz w:val="21"/>
          <w:szCs w:val="21"/>
        </w:rPr>
      </w:pPr>
      <w:r>
        <w:rPr>
          <w:rFonts w:hint="eastAsia" w:ascii="宋体" w:hAnsi="宋体" w:eastAsia="宋体" w:cs="宋体"/>
          <w:b/>
          <w:bCs/>
          <w:sz w:val="21"/>
          <w:szCs w:val="21"/>
        </w:rPr>
        <w:t>技术答疑会</w:t>
      </w:r>
      <w:r>
        <w:rPr>
          <w:rFonts w:hint="eastAsia" w:ascii="宋体" w:hAnsi="宋体" w:eastAsia="宋体" w:cs="宋体"/>
          <w:sz w:val="21"/>
          <w:szCs w:val="21"/>
        </w:rPr>
        <w:t>：安排项目经理和核心开发人员就系统架构、核心业务逻辑、接口调用关系、已知遗留问题等进行集中答疑，形成《技术答疑会议纪要》留存。</w:t>
      </w:r>
    </w:p>
    <w:p w14:paraId="424BEEDD">
      <w:pPr>
        <w:numPr>
          <w:ilvl w:val="0"/>
          <w:numId w:val="32"/>
        </w:numPr>
        <w:rPr>
          <w:rFonts w:hint="eastAsia" w:ascii="宋体" w:hAnsi="宋体" w:eastAsia="宋体" w:cs="宋体"/>
          <w:sz w:val="21"/>
          <w:szCs w:val="21"/>
        </w:rPr>
      </w:pPr>
      <w:r>
        <w:rPr>
          <w:rFonts w:hint="eastAsia" w:ascii="宋体" w:hAnsi="宋体" w:eastAsia="宋体" w:cs="宋体"/>
          <w:b/>
          <w:bCs/>
          <w:sz w:val="21"/>
          <w:szCs w:val="21"/>
        </w:rPr>
        <w:t>环境移交验证</w:t>
      </w:r>
      <w:r>
        <w:rPr>
          <w:rFonts w:hint="eastAsia" w:ascii="宋体" w:hAnsi="宋体" w:eastAsia="宋体" w:cs="宋体"/>
          <w:sz w:val="21"/>
          <w:szCs w:val="21"/>
        </w:rPr>
        <w:t>：在甲方或新服务商的环境中完成至少一次完整的系统编译、部署和冒烟测试，确认交付的源码、脚本和配置文件可在脱离我方环境的条件下独立运行。</w:t>
      </w:r>
    </w:p>
    <w:p w14:paraId="74D679FE">
      <w:pPr>
        <w:numPr>
          <w:ilvl w:val="0"/>
          <w:numId w:val="32"/>
        </w:numPr>
        <w:rPr>
          <w:rFonts w:hint="eastAsia" w:ascii="宋体" w:hAnsi="宋体" w:eastAsia="宋体" w:cs="宋体"/>
          <w:sz w:val="21"/>
          <w:szCs w:val="21"/>
        </w:rPr>
      </w:pPr>
      <w:r>
        <w:rPr>
          <w:rFonts w:hint="eastAsia" w:ascii="宋体" w:hAnsi="宋体" w:eastAsia="宋体" w:cs="宋体"/>
          <w:b/>
          <w:bCs/>
          <w:sz w:val="21"/>
          <w:szCs w:val="21"/>
        </w:rPr>
        <w:t>遗留问题清单</w:t>
      </w:r>
      <w:r>
        <w:rPr>
          <w:rFonts w:hint="eastAsia" w:ascii="宋体" w:hAnsi="宋体" w:eastAsia="宋体" w:cs="宋体"/>
          <w:sz w:val="21"/>
          <w:szCs w:val="21"/>
        </w:rPr>
        <w:t>：如交接时尚有未关闭的缺陷或待优化项，我公司将以书面形式提交《遗留问题清单》，注明问题描述、影响范围、临时规避方案和建议处理优先级。</w:t>
      </w:r>
    </w:p>
    <w:p w14:paraId="4CB16111">
      <w:pPr>
        <w:numPr>
          <w:ilvl w:val="0"/>
          <w:numId w:val="32"/>
        </w:numPr>
        <w:rPr>
          <w:rFonts w:hint="eastAsia" w:ascii="宋体" w:hAnsi="宋体" w:eastAsia="宋体" w:cs="宋体"/>
          <w:sz w:val="21"/>
          <w:szCs w:val="21"/>
        </w:rPr>
      </w:pPr>
      <w:r>
        <w:rPr>
          <w:rFonts w:hint="eastAsia" w:ascii="宋体" w:hAnsi="宋体" w:eastAsia="宋体" w:cs="宋体"/>
          <w:b/>
          <w:bCs/>
          <w:sz w:val="21"/>
          <w:szCs w:val="21"/>
        </w:rPr>
        <w:t>数据销毁确认函</w:t>
      </w:r>
      <w:r>
        <w:rPr>
          <w:rFonts w:hint="eastAsia" w:ascii="宋体" w:hAnsi="宋体" w:eastAsia="宋体" w:cs="宋体"/>
          <w:sz w:val="21"/>
          <w:szCs w:val="21"/>
        </w:rPr>
        <w:t>：在完成数据移交后，我公司出具正式的《数据销毁确认函》，明确已删除或销毁的数据范围、执行时间和执行人，确保甲方数据资产安全。</w:t>
      </w:r>
    </w:p>
    <w:bookmarkEnd w:id="15"/>
    <w:p w14:paraId="76BE9645">
      <w:pPr>
        <w:rPr>
          <w:rFonts w:hint="eastAsia"/>
          <w:lang w:val="en-US" w:eastAsia="zh-CN"/>
        </w:rPr>
      </w:pPr>
    </w:p>
    <w:p w14:paraId="0A411590">
      <w:pPr>
        <w:pStyle w:val="2"/>
        <w:pageBreakBefore w:val="0"/>
        <w:numPr>
          <w:ilvl w:val="0"/>
          <w:numId w:val="1"/>
        </w:numPr>
        <w:kinsoku/>
        <w:bidi w:val="0"/>
        <w:spacing w:afterLines="0"/>
        <w:ind w:left="425" w:leftChars="0" w:hanging="425" w:firstLineChars="0"/>
        <w:rPr>
          <w:rFonts w:hint="eastAsia" w:ascii="宋体" w:hAnsi="宋体" w:eastAsia="宋体" w:cs="宋体"/>
          <w:lang w:val="en-US" w:eastAsia="zh-CN"/>
        </w:rPr>
      </w:pPr>
      <w:r>
        <w:rPr>
          <w:rFonts w:hint="eastAsia" w:ascii="宋体" w:hAnsi="宋体" w:eastAsia="宋体" w:cs="宋体"/>
          <w:lang w:val="en-US" w:eastAsia="zh-CN"/>
        </w:rPr>
        <w:t>技术服务和质保期相关服务计划</w:t>
      </w:r>
      <w:bookmarkEnd w:id="7"/>
      <w:bookmarkEnd w:id="8"/>
    </w:p>
    <w:p w14:paraId="70D00B03">
      <w:pPr>
        <w:pStyle w:val="3"/>
        <w:bidi w:val="0"/>
        <w:rPr>
          <w:rFonts w:hint="default"/>
          <w:lang w:val="en-US" w:eastAsia="zh-CN"/>
        </w:rPr>
      </w:pPr>
      <w:r>
        <w:rPr>
          <w:rFonts w:hint="eastAsia"/>
          <w:lang w:val="en-US" w:eastAsia="zh-CN"/>
        </w:rPr>
        <w:t>12.1 售后服务及运维</w:t>
      </w:r>
    </w:p>
    <w:p w14:paraId="5B718815">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12.1.1 质保与服务范围</w:t>
      </w:r>
    </w:p>
    <w:p w14:paraId="40DA1D1D">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宋体" w:hAnsi="宋体" w:eastAsia="宋体" w:cs="宋体"/>
          <w:b w:val="0"/>
          <w:sz w:val="21"/>
          <w:szCs w:val="21"/>
        </w:rPr>
      </w:pPr>
      <w:r>
        <w:rPr>
          <w:rFonts w:hint="eastAsia" w:ascii="宋体" w:hAnsi="宋体" w:eastAsia="宋体" w:cs="宋体"/>
          <w:b/>
          <w:bCs/>
          <w:sz w:val="21"/>
          <w:szCs w:val="21"/>
        </w:rPr>
        <w:t>实施基调</w:t>
      </w:r>
      <w:r>
        <w:rPr>
          <w:rFonts w:hint="eastAsia" w:ascii="宋体" w:hAnsi="宋体" w:eastAsia="宋体" w:cs="宋体"/>
          <w:b w:val="0"/>
          <w:sz w:val="21"/>
          <w:szCs w:val="21"/>
        </w:rPr>
        <w:t>：将质保承诺视为系统生命周期的延续，坚决杜绝“重开发、轻运维”的行业通病，以重兵驻场的态势确保系统平稳过渡。</w:t>
      </w:r>
    </w:p>
    <w:p w14:paraId="761F1A92">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宋体" w:hAnsi="宋体" w:eastAsia="宋体" w:cs="宋体"/>
          <w:b w:val="0"/>
          <w:sz w:val="21"/>
          <w:szCs w:val="21"/>
        </w:rPr>
      </w:pPr>
      <w:r>
        <w:rPr>
          <w:rFonts w:hint="eastAsia" w:ascii="宋体" w:hAnsi="宋体" w:eastAsia="宋体" w:cs="宋体"/>
          <w:b w:val="0"/>
          <w:sz w:val="21"/>
          <w:szCs w:val="21"/>
        </w:rPr>
        <w:t>本项目质保期为项目经甲方书面最终验收合格之日起连续12个自然月。质保期内，我公司提供7×24小时技术支持服务，并根据项目运行需要安排不少于2名具备相应能力的人员提供驻场维护服务。</w:t>
      </w:r>
    </w:p>
    <w:p w14:paraId="144DA027">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宋体" w:hAnsi="宋体" w:eastAsia="宋体" w:cs="宋体"/>
          <w:b w:val="0"/>
          <w:sz w:val="24"/>
          <w:szCs w:val="24"/>
        </w:rPr>
      </w:pPr>
      <w:r>
        <w:rPr>
          <w:rFonts w:hint="eastAsia" w:ascii="宋体" w:hAnsi="宋体" w:eastAsia="宋体" w:cs="宋体"/>
          <w:b w:val="0"/>
          <w:sz w:val="21"/>
          <w:szCs w:val="21"/>
        </w:rPr>
        <w:t>质保期内，我公司免费提供与本项目相关的运行维护服务，具体维护范围分解如下：</w:t>
      </w:r>
    </w:p>
    <w:tbl>
      <w:tblPr>
        <w:tblStyle w:val="28"/>
        <w:tblW w:w="0" w:type="auto"/>
        <w:jc w:val="center"/>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Layout w:type="autofit"/>
        <w:tblCellMar>
          <w:top w:w="0" w:type="dxa"/>
          <w:left w:w="108" w:type="dxa"/>
          <w:bottom w:w="0" w:type="dxa"/>
          <w:right w:w="108" w:type="dxa"/>
        </w:tblCellMar>
      </w:tblPr>
      <w:tblGrid>
        <w:gridCol w:w="1389"/>
        <w:gridCol w:w="7897"/>
      </w:tblGrid>
      <w:tr w14:paraId="60940FE4">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trHeight w:val="453" w:hRule="atLeast"/>
          <w:tblHeader/>
          <w:jc w:val="center"/>
        </w:trPr>
        <w:tc>
          <w:tcPr>
            <w:tcW w:w="1389" w:type="dxa"/>
            <w:tcBorders>
              <w:tl2br w:val="nil"/>
              <w:tr2bl w:val="nil"/>
            </w:tcBorders>
            <w:shd w:val="clear" w:color="auto" w:fill="E9F1F8"/>
            <w:vAlign w:val="center"/>
          </w:tcPr>
          <w:p w14:paraId="6806A922">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宋体" w:hAnsi="宋体" w:eastAsia="宋体" w:cs="宋体"/>
                <w:b/>
                <w:bCs/>
                <w:sz w:val="18"/>
                <w:szCs w:val="18"/>
              </w:rPr>
            </w:pPr>
            <w:r>
              <w:rPr>
                <w:rFonts w:hint="eastAsia" w:ascii="宋体" w:hAnsi="宋体" w:eastAsia="宋体" w:cs="宋体"/>
                <w:b/>
                <w:bCs/>
                <w:sz w:val="18"/>
                <w:szCs w:val="18"/>
              </w:rPr>
              <w:t>维护领域</w:t>
            </w:r>
          </w:p>
        </w:tc>
        <w:tc>
          <w:tcPr>
            <w:tcW w:w="7897" w:type="dxa"/>
            <w:tcBorders>
              <w:tl2br w:val="nil"/>
              <w:tr2bl w:val="nil"/>
            </w:tcBorders>
            <w:shd w:val="clear" w:color="auto" w:fill="E9F1F8"/>
            <w:vAlign w:val="center"/>
          </w:tcPr>
          <w:p w14:paraId="35E4D296">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宋体" w:hAnsi="宋体" w:eastAsia="宋体" w:cs="宋体"/>
                <w:b/>
                <w:bCs/>
                <w:sz w:val="18"/>
                <w:szCs w:val="18"/>
              </w:rPr>
            </w:pPr>
            <w:r>
              <w:rPr>
                <w:rFonts w:hint="eastAsia" w:ascii="宋体" w:hAnsi="宋体" w:eastAsia="宋体" w:cs="宋体"/>
                <w:b/>
                <w:bCs/>
                <w:sz w:val="18"/>
                <w:szCs w:val="18"/>
              </w:rPr>
              <w:t>具体免费维护服务内容清单</w:t>
            </w:r>
          </w:p>
        </w:tc>
      </w:tr>
      <w:tr w14:paraId="63B49FAD">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trHeight w:val="483" w:hRule="atLeast"/>
          <w:jc w:val="center"/>
        </w:trPr>
        <w:tc>
          <w:tcPr>
            <w:tcW w:w="1389" w:type="dxa"/>
            <w:tcBorders>
              <w:tl2br w:val="nil"/>
              <w:tr2bl w:val="nil"/>
            </w:tcBorders>
            <w:vAlign w:val="center"/>
          </w:tcPr>
          <w:p w14:paraId="4EC445C5">
            <w:pPr>
              <w:spacing w:after="0" w:line="300" w:lineRule="auto"/>
              <w:jc w:val="both"/>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rPr>
              <w:t>应用功能层</w:t>
            </w:r>
          </w:p>
        </w:tc>
        <w:tc>
          <w:tcPr>
            <w:tcW w:w="7897" w:type="dxa"/>
            <w:tcBorders>
              <w:tl2br w:val="nil"/>
              <w:tr2bl w:val="nil"/>
            </w:tcBorders>
            <w:vAlign w:val="center"/>
          </w:tcPr>
          <w:p w14:paraId="39976208">
            <w:pPr>
              <w:spacing w:after="0" w:line="300" w:lineRule="auto"/>
              <w:jc w:val="both"/>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lang w:val="en-US" w:eastAsia="zh-CN"/>
              </w:rPr>
              <w:t>各模块</w:t>
            </w:r>
            <w:r>
              <w:rPr>
                <w:rFonts w:hint="eastAsia" w:ascii="宋体" w:hAnsi="宋体" w:eastAsia="宋体" w:cs="宋体"/>
                <w:b w:val="0"/>
                <w:bCs w:val="0"/>
                <w:color w:val="172033"/>
                <w:sz w:val="18"/>
                <w:szCs w:val="18"/>
              </w:rPr>
              <w:t>功能维护、业务流程流转异常修复、前后端缺陷整改、新版本浏览器/终端兼容性修复。</w:t>
            </w:r>
          </w:p>
        </w:tc>
      </w:tr>
      <w:tr w14:paraId="605403B9">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1389" w:type="dxa"/>
            <w:tcBorders>
              <w:tl2br w:val="nil"/>
              <w:tr2bl w:val="nil"/>
            </w:tcBorders>
            <w:vAlign w:val="center"/>
          </w:tcPr>
          <w:p w14:paraId="637C01A2">
            <w:pPr>
              <w:spacing w:after="0" w:line="300" w:lineRule="auto"/>
              <w:jc w:val="both"/>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rPr>
              <w:t>底层架构层</w:t>
            </w:r>
          </w:p>
        </w:tc>
        <w:tc>
          <w:tcPr>
            <w:tcW w:w="7897" w:type="dxa"/>
            <w:tcBorders>
              <w:tl2br w:val="nil"/>
              <w:tr2bl w:val="nil"/>
            </w:tcBorders>
            <w:vAlign w:val="center"/>
          </w:tcPr>
          <w:p w14:paraId="6F0AA1E4">
            <w:pPr>
              <w:spacing w:after="0" w:line="300" w:lineRule="auto"/>
              <w:jc w:val="both"/>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rPr>
              <w:t>数据库卡顿性能优化、安全漏洞定期加固、跨系统接口配置调整、日志分析及数据乱码/丢失修复。</w:t>
            </w:r>
          </w:p>
        </w:tc>
      </w:tr>
      <w:tr w14:paraId="4371BEF5">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trHeight w:val="473" w:hRule="atLeast"/>
          <w:jc w:val="center"/>
        </w:trPr>
        <w:tc>
          <w:tcPr>
            <w:tcW w:w="1389" w:type="dxa"/>
            <w:tcBorders>
              <w:tl2br w:val="nil"/>
              <w:tr2bl w:val="nil"/>
            </w:tcBorders>
            <w:vAlign w:val="center"/>
          </w:tcPr>
          <w:p w14:paraId="2D9490FA">
            <w:pPr>
              <w:spacing w:after="0" w:line="300" w:lineRule="auto"/>
              <w:jc w:val="both"/>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rPr>
              <w:t>兜底保障层</w:t>
            </w:r>
          </w:p>
        </w:tc>
        <w:tc>
          <w:tcPr>
            <w:tcW w:w="7897" w:type="dxa"/>
            <w:tcBorders>
              <w:tl2br w:val="nil"/>
              <w:tr2bl w:val="nil"/>
            </w:tcBorders>
            <w:vAlign w:val="center"/>
          </w:tcPr>
          <w:p w14:paraId="7169D05A">
            <w:pPr>
              <w:spacing w:after="0" w:line="300" w:lineRule="auto"/>
              <w:jc w:val="both"/>
              <w:rPr>
                <w:rFonts w:hint="eastAsia" w:ascii="宋体" w:hAnsi="宋体" w:eastAsia="宋体" w:cs="宋体"/>
                <w:b w:val="0"/>
                <w:bCs w:val="0"/>
                <w:color w:val="172033"/>
                <w:sz w:val="18"/>
                <w:szCs w:val="18"/>
              </w:rPr>
            </w:pPr>
            <w:r>
              <w:rPr>
                <w:rFonts w:hint="eastAsia" w:ascii="宋体" w:hAnsi="宋体" w:eastAsia="宋体" w:cs="宋体"/>
                <w:b w:val="0"/>
                <w:bCs w:val="0"/>
                <w:color w:val="172033"/>
                <w:sz w:val="18"/>
                <w:szCs w:val="18"/>
              </w:rPr>
              <w:t>提供系统重大故障应急恢复服务，以及保障系统正常稳定运行所必需的其他技术处理。</w:t>
            </w:r>
          </w:p>
        </w:tc>
      </w:tr>
    </w:tbl>
    <w:p w14:paraId="67A7EF55">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12.1.2 SLA响应承诺与升级流转机制</w:t>
      </w:r>
    </w:p>
    <w:p w14:paraId="45F6241B">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宋体" w:hAnsi="宋体" w:eastAsia="宋体" w:cs="宋体"/>
          <w:b w:val="0"/>
          <w:bCs w:val="0"/>
          <w:kern w:val="0"/>
          <w:sz w:val="21"/>
          <w:szCs w:val="21"/>
        </w:rPr>
      </w:pPr>
      <w:r>
        <w:rPr>
          <w:rFonts w:hint="eastAsia" w:ascii="宋体" w:hAnsi="宋体" w:eastAsia="宋体" w:cs="宋体"/>
          <w:b w:val="0"/>
          <w:sz w:val="21"/>
          <w:szCs w:val="21"/>
        </w:rPr>
        <w:t>机制保障：抛弃简单的口头承诺，通过四级问题处理SLA矩阵与“超时自动升级（Escalation）”机制，倒逼服务质量。</w:t>
      </w:r>
    </w:p>
    <w:tbl>
      <w:tblPr>
        <w:tblStyle w:val="18"/>
        <w:tblW w:w="0" w:type="auto"/>
        <w:jc w:val="center"/>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Layout w:type="autofit"/>
        <w:tblCellMar>
          <w:top w:w="0" w:type="dxa"/>
          <w:left w:w="108" w:type="dxa"/>
          <w:bottom w:w="0" w:type="dxa"/>
          <w:right w:w="108" w:type="dxa"/>
        </w:tblCellMar>
      </w:tblPr>
      <w:tblGrid>
        <w:gridCol w:w="711"/>
        <w:gridCol w:w="2057"/>
        <w:gridCol w:w="1201"/>
        <w:gridCol w:w="1323"/>
        <w:gridCol w:w="1335"/>
        <w:gridCol w:w="1748"/>
        <w:gridCol w:w="911"/>
      </w:tblGrid>
      <w:tr w14:paraId="194EB57A">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711" w:type="dxa"/>
            <w:tcBorders>
              <w:tl2br w:val="nil"/>
              <w:tr2bl w:val="nil"/>
            </w:tcBorders>
            <w:shd w:val="clear" w:color="auto" w:fill="E9F1F8"/>
            <w:vAlign w:val="center"/>
          </w:tcPr>
          <w:p w14:paraId="5A364820">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sz w:val="18"/>
                <w:szCs w:val="18"/>
              </w:rPr>
              <w:t>序号</w:t>
            </w:r>
          </w:p>
        </w:tc>
        <w:tc>
          <w:tcPr>
            <w:tcW w:w="2057" w:type="dxa"/>
            <w:tcBorders>
              <w:tl2br w:val="nil"/>
              <w:tr2bl w:val="nil"/>
            </w:tcBorders>
            <w:shd w:val="clear" w:color="auto" w:fill="E9F1F8"/>
            <w:vAlign w:val="center"/>
          </w:tcPr>
          <w:p w14:paraId="6C7CCAF3">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sz w:val="18"/>
                <w:szCs w:val="18"/>
              </w:rPr>
              <w:t>服务事项</w:t>
            </w:r>
          </w:p>
        </w:tc>
        <w:tc>
          <w:tcPr>
            <w:tcW w:w="1201" w:type="dxa"/>
            <w:tcBorders>
              <w:tl2br w:val="nil"/>
              <w:tr2bl w:val="nil"/>
            </w:tcBorders>
            <w:shd w:val="clear" w:color="auto" w:fill="E9F1F8"/>
            <w:vAlign w:val="center"/>
          </w:tcPr>
          <w:p w14:paraId="22D6021D">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sz w:val="18"/>
                <w:szCs w:val="18"/>
              </w:rPr>
              <w:t>响应时限</w:t>
            </w:r>
          </w:p>
        </w:tc>
        <w:tc>
          <w:tcPr>
            <w:tcW w:w="1323" w:type="dxa"/>
            <w:tcBorders>
              <w:tl2br w:val="nil"/>
              <w:tr2bl w:val="nil"/>
            </w:tcBorders>
            <w:shd w:val="clear" w:color="auto" w:fill="E9F1F8"/>
            <w:vAlign w:val="center"/>
          </w:tcPr>
          <w:p w14:paraId="122D51F5">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sz w:val="18"/>
                <w:szCs w:val="18"/>
              </w:rPr>
              <w:t>修复/处理时限</w:t>
            </w:r>
          </w:p>
        </w:tc>
        <w:tc>
          <w:tcPr>
            <w:tcW w:w="1335" w:type="dxa"/>
            <w:tcBorders>
              <w:tl2br w:val="nil"/>
              <w:tr2bl w:val="nil"/>
            </w:tcBorders>
            <w:shd w:val="clear" w:color="auto" w:fill="E9F1F8"/>
            <w:vAlign w:val="center"/>
          </w:tcPr>
          <w:p w14:paraId="4515E7B9">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sz w:val="18"/>
                <w:szCs w:val="18"/>
              </w:rPr>
              <w:t>升级机制</w:t>
            </w:r>
          </w:p>
        </w:tc>
        <w:tc>
          <w:tcPr>
            <w:tcW w:w="1748" w:type="dxa"/>
            <w:tcBorders>
              <w:tl2br w:val="nil"/>
              <w:tr2bl w:val="nil"/>
            </w:tcBorders>
            <w:shd w:val="clear" w:color="auto" w:fill="E9F1F8"/>
            <w:vAlign w:val="center"/>
          </w:tcPr>
          <w:p w14:paraId="3AAF5B6E">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sz w:val="18"/>
                <w:szCs w:val="18"/>
              </w:rPr>
              <w:t>临时替代方案</w:t>
            </w:r>
          </w:p>
        </w:tc>
        <w:tc>
          <w:tcPr>
            <w:tcW w:w="911" w:type="dxa"/>
            <w:tcBorders>
              <w:tl2br w:val="nil"/>
              <w:tr2bl w:val="nil"/>
            </w:tcBorders>
            <w:shd w:val="clear" w:color="auto" w:fill="E9F1F8"/>
            <w:vAlign w:val="center"/>
          </w:tcPr>
          <w:p w14:paraId="038927BC">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sz w:val="18"/>
                <w:szCs w:val="18"/>
              </w:rPr>
              <w:t>备注</w:t>
            </w:r>
          </w:p>
        </w:tc>
      </w:tr>
      <w:tr w14:paraId="6F55537B">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711" w:type="dxa"/>
            <w:tcBorders>
              <w:tl2br w:val="nil"/>
              <w:tr2bl w:val="nil"/>
            </w:tcBorders>
            <w:vAlign w:val="center"/>
          </w:tcPr>
          <w:p w14:paraId="5636BB8D">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w:t>
            </w:r>
          </w:p>
        </w:tc>
        <w:tc>
          <w:tcPr>
            <w:tcW w:w="2057" w:type="dxa"/>
            <w:tcBorders>
              <w:tl2br w:val="nil"/>
              <w:tr2bl w:val="nil"/>
            </w:tcBorders>
            <w:vAlign w:val="center"/>
          </w:tcPr>
          <w:p w14:paraId="4D32A852">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一般问题/咨询</w:t>
            </w:r>
          </w:p>
        </w:tc>
        <w:tc>
          <w:tcPr>
            <w:tcW w:w="1201" w:type="dxa"/>
            <w:tcBorders>
              <w:tl2br w:val="nil"/>
              <w:tr2bl w:val="nil"/>
            </w:tcBorders>
            <w:shd w:val="clear" w:color="auto" w:fill="auto"/>
            <w:vAlign w:val="center"/>
          </w:tcPr>
          <w:p w14:paraId="43E0493E">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30分钟</w:t>
            </w:r>
          </w:p>
        </w:tc>
        <w:tc>
          <w:tcPr>
            <w:tcW w:w="1323" w:type="dxa"/>
            <w:tcBorders>
              <w:tl2br w:val="nil"/>
              <w:tr2bl w:val="nil"/>
            </w:tcBorders>
            <w:shd w:val="clear" w:color="auto" w:fill="auto"/>
            <w:vAlign w:val="center"/>
          </w:tcPr>
          <w:p w14:paraId="27883A54">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8小时内</w:t>
            </w:r>
          </w:p>
        </w:tc>
        <w:tc>
          <w:tcPr>
            <w:tcW w:w="1335" w:type="dxa"/>
            <w:tcBorders>
              <w:tl2br w:val="nil"/>
              <w:tr2bl w:val="nil"/>
            </w:tcBorders>
            <w:shd w:val="clear" w:color="auto" w:fill="auto"/>
            <w:vAlign w:val="center"/>
          </w:tcPr>
          <w:p w14:paraId="706501A3">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技术负责人介入</w:t>
            </w:r>
          </w:p>
        </w:tc>
        <w:tc>
          <w:tcPr>
            <w:tcW w:w="1748" w:type="dxa"/>
            <w:tcBorders>
              <w:tl2br w:val="nil"/>
              <w:tr2bl w:val="nil"/>
            </w:tcBorders>
            <w:shd w:val="clear" w:color="auto" w:fill="auto"/>
            <w:vAlign w:val="center"/>
          </w:tcPr>
          <w:p w14:paraId="1D03F7E3">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提供数据修正或临时绕行方案</w:t>
            </w:r>
          </w:p>
        </w:tc>
        <w:tc>
          <w:tcPr>
            <w:tcW w:w="911" w:type="dxa"/>
            <w:tcBorders>
              <w:tl2br w:val="nil"/>
              <w:tr2bl w:val="nil"/>
            </w:tcBorders>
            <w:vAlign w:val="center"/>
          </w:tcPr>
          <w:p w14:paraId="54053670">
            <w:pPr>
              <w:widowControl w:val="0"/>
              <w:spacing w:after="0" w:line="240" w:lineRule="auto"/>
              <w:ind w:left="0" w:leftChars="0" w:firstLine="0" w:firstLineChars="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t>
            </w:r>
          </w:p>
        </w:tc>
      </w:tr>
      <w:tr w14:paraId="2BC7C3DC">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711" w:type="dxa"/>
            <w:tcBorders>
              <w:tl2br w:val="nil"/>
              <w:tr2bl w:val="nil"/>
            </w:tcBorders>
            <w:vAlign w:val="center"/>
          </w:tcPr>
          <w:p w14:paraId="04B1AD38">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2</w:t>
            </w:r>
          </w:p>
        </w:tc>
        <w:tc>
          <w:tcPr>
            <w:tcW w:w="2057" w:type="dxa"/>
            <w:tcBorders>
              <w:tl2br w:val="nil"/>
              <w:tr2bl w:val="nil"/>
            </w:tcBorders>
            <w:vAlign w:val="center"/>
          </w:tcPr>
          <w:p w14:paraId="63AD5454">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影响业务使用的问题</w:t>
            </w:r>
          </w:p>
        </w:tc>
        <w:tc>
          <w:tcPr>
            <w:tcW w:w="1201" w:type="dxa"/>
            <w:tcBorders>
              <w:tl2br w:val="nil"/>
              <w:tr2bl w:val="nil"/>
            </w:tcBorders>
            <w:shd w:val="clear" w:color="auto" w:fill="auto"/>
            <w:vAlign w:val="center"/>
          </w:tcPr>
          <w:p w14:paraId="3F98357C">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30分钟</w:t>
            </w:r>
          </w:p>
        </w:tc>
        <w:tc>
          <w:tcPr>
            <w:tcW w:w="1323" w:type="dxa"/>
            <w:tcBorders>
              <w:tl2br w:val="nil"/>
              <w:tr2bl w:val="nil"/>
            </w:tcBorders>
            <w:shd w:val="clear" w:color="auto" w:fill="auto"/>
            <w:vAlign w:val="center"/>
          </w:tcPr>
          <w:p w14:paraId="36A24AD5">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24小时内</w:t>
            </w:r>
          </w:p>
        </w:tc>
        <w:tc>
          <w:tcPr>
            <w:tcW w:w="1335" w:type="dxa"/>
            <w:tcBorders>
              <w:tl2br w:val="nil"/>
              <w:tr2bl w:val="nil"/>
            </w:tcBorders>
            <w:shd w:val="clear" w:color="auto" w:fill="auto"/>
            <w:vAlign w:val="center"/>
          </w:tcPr>
          <w:p w14:paraId="09A24F4C">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项目经理、架构师介入</w:t>
            </w:r>
          </w:p>
        </w:tc>
        <w:tc>
          <w:tcPr>
            <w:tcW w:w="1748" w:type="dxa"/>
            <w:tcBorders>
              <w:tl2br w:val="nil"/>
              <w:tr2bl w:val="nil"/>
            </w:tcBorders>
            <w:shd w:val="clear" w:color="auto" w:fill="auto"/>
            <w:vAlign w:val="center"/>
          </w:tcPr>
          <w:p w14:paraId="369937B1">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临时脚本、补偿同步、人工导入</w:t>
            </w:r>
          </w:p>
        </w:tc>
        <w:tc>
          <w:tcPr>
            <w:tcW w:w="911" w:type="dxa"/>
            <w:tcBorders>
              <w:tl2br w:val="nil"/>
              <w:tr2bl w:val="nil"/>
            </w:tcBorders>
            <w:vAlign w:val="center"/>
          </w:tcPr>
          <w:p w14:paraId="01E468F1">
            <w:pPr>
              <w:widowControl w:val="0"/>
              <w:spacing w:after="0" w:line="240" w:lineRule="auto"/>
              <w:ind w:left="0" w:leftChars="0" w:firstLine="0" w:firstLineChars="0"/>
              <w:jc w:val="both"/>
              <w:rPr>
                <w:rFonts w:hint="eastAsia" w:ascii="宋体" w:hAnsi="宋体" w:eastAsia="宋体" w:cs="宋体"/>
                <w:sz w:val="18"/>
                <w:szCs w:val="18"/>
              </w:rPr>
            </w:pPr>
            <w:r>
              <w:rPr>
                <w:rFonts w:hint="eastAsia" w:ascii="宋体" w:hAnsi="宋体" w:eastAsia="宋体" w:cs="宋体"/>
                <w:sz w:val="18"/>
                <w:szCs w:val="18"/>
                <w:lang w:val="en-US" w:eastAsia="zh-CN"/>
              </w:rPr>
              <w:t>/</w:t>
            </w:r>
          </w:p>
        </w:tc>
      </w:tr>
      <w:tr w14:paraId="699E2A6E">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711" w:type="dxa"/>
            <w:tcBorders>
              <w:tl2br w:val="nil"/>
              <w:tr2bl w:val="nil"/>
            </w:tcBorders>
            <w:vAlign w:val="center"/>
          </w:tcPr>
          <w:p w14:paraId="700C36AD">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3</w:t>
            </w:r>
          </w:p>
        </w:tc>
        <w:tc>
          <w:tcPr>
            <w:tcW w:w="2057" w:type="dxa"/>
            <w:tcBorders>
              <w:tl2br w:val="nil"/>
              <w:tr2bl w:val="nil"/>
            </w:tcBorders>
            <w:vAlign w:val="center"/>
          </w:tcPr>
          <w:p w14:paraId="65801196">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重大问题/系统瘫痪</w:t>
            </w:r>
          </w:p>
        </w:tc>
        <w:tc>
          <w:tcPr>
            <w:tcW w:w="1201" w:type="dxa"/>
            <w:tcBorders>
              <w:tl2br w:val="nil"/>
              <w:tr2bl w:val="nil"/>
            </w:tcBorders>
            <w:shd w:val="clear" w:color="auto" w:fill="auto"/>
            <w:vAlign w:val="center"/>
          </w:tcPr>
          <w:p w14:paraId="6AD5E28B">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30分钟</w:t>
            </w:r>
          </w:p>
        </w:tc>
        <w:tc>
          <w:tcPr>
            <w:tcW w:w="1323" w:type="dxa"/>
            <w:tcBorders>
              <w:tl2br w:val="nil"/>
              <w:tr2bl w:val="nil"/>
            </w:tcBorders>
            <w:shd w:val="clear" w:color="auto" w:fill="auto"/>
            <w:vAlign w:val="center"/>
          </w:tcPr>
          <w:p w14:paraId="6273EC30">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48小时内</w:t>
            </w:r>
          </w:p>
        </w:tc>
        <w:tc>
          <w:tcPr>
            <w:tcW w:w="1335" w:type="dxa"/>
            <w:tcBorders>
              <w:tl2br w:val="nil"/>
              <w:tr2bl w:val="nil"/>
            </w:tcBorders>
            <w:shd w:val="clear" w:color="auto" w:fill="auto"/>
            <w:vAlign w:val="center"/>
          </w:tcPr>
          <w:p w14:paraId="3439248C">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公司级应急响应</w:t>
            </w:r>
          </w:p>
        </w:tc>
        <w:tc>
          <w:tcPr>
            <w:tcW w:w="1748" w:type="dxa"/>
            <w:tcBorders>
              <w:tl2br w:val="nil"/>
              <w:tr2bl w:val="nil"/>
            </w:tcBorders>
            <w:shd w:val="clear" w:color="auto" w:fill="auto"/>
            <w:vAlign w:val="center"/>
          </w:tcPr>
          <w:p w14:paraId="0519887E">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回滚版本、切换备用方案、应急修复</w:t>
            </w:r>
          </w:p>
        </w:tc>
        <w:tc>
          <w:tcPr>
            <w:tcW w:w="911" w:type="dxa"/>
            <w:tcBorders>
              <w:tl2br w:val="nil"/>
              <w:tr2bl w:val="nil"/>
            </w:tcBorders>
            <w:vAlign w:val="center"/>
          </w:tcPr>
          <w:p w14:paraId="46068B8A">
            <w:pPr>
              <w:widowControl w:val="0"/>
              <w:spacing w:after="0" w:line="240" w:lineRule="auto"/>
              <w:ind w:left="0" w:leftChars="0" w:firstLine="0" w:firstLineChars="0"/>
              <w:jc w:val="both"/>
              <w:rPr>
                <w:rFonts w:hint="eastAsia" w:ascii="宋体" w:hAnsi="宋体" w:eastAsia="宋体" w:cs="宋体"/>
                <w:sz w:val="18"/>
                <w:szCs w:val="18"/>
              </w:rPr>
            </w:pPr>
            <w:r>
              <w:rPr>
                <w:rFonts w:hint="eastAsia" w:ascii="宋体" w:hAnsi="宋体" w:eastAsia="宋体" w:cs="宋体"/>
                <w:sz w:val="18"/>
                <w:szCs w:val="18"/>
                <w:lang w:val="en-US" w:eastAsia="zh-CN"/>
              </w:rPr>
              <w:t>/</w:t>
            </w:r>
          </w:p>
        </w:tc>
      </w:tr>
      <w:tr w14:paraId="2B4805F9">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711" w:type="dxa"/>
            <w:tcBorders>
              <w:tl2br w:val="nil"/>
              <w:tr2bl w:val="nil"/>
            </w:tcBorders>
            <w:vAlign w:val="center"/>
          </w:tcPr>
          <w:p w14:paraId="747419D2">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4</w:t>
            </w:r>
          </w:p>
        </w:tc>
        <w:tc>
          <w:tcPr>
            <w:tcW w:w="2057" w:type="dxa"/>
            <w:tcBorders>
              <w:tl2br w:val="nil"/>
              <w:tr2bl w:val="nil"/>
            </w:tcBorders>
            <w:vAlign w:val="center"/>
          </w:tcPr>
          <w:p w14:paraId="09CC4F92">
            <w:pPr>
              <w:widowControl w:val="0"/>
              <w:spacing w:after="0" w:line="240" w:lineRule="auto"/>
              <w:ind w:left="0" w:lef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周末及节假日现网问题</w:t>
            </w:r>
          </w:p>
        </w:tc>
        <w:tc>
          <w:tcPr>
            <w:tcW w:w="1201" w:type="dxa"/>
            <w:tcBorders>
              <w:tl2br w:val="nil"/>
              <w:tr2bl w:val="nil"/>
            </w:tcBorders>
            <w:shd w:val="clear" w:color="auto" w:fill="auto"/>
            <w:vAlign w:val="center"/>
          </w:tcPr>
          <w:p w14:paraId="4382477D">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30分钟</w:t>
            </w:r>
          </w:p>
        </w:tc>
        <w:tc>
          <w:tcPr>
            <w:tcW w:w="1323" w:type="dxa"/>
            <w:tcBorders>
              <w:tl2br w:val="nil"/>
              <w:tr2bl w:val="nil"/>
            </w:tcBorders>
            <w:shd w:val="clear" w:color="auto" w:fill="auto"/>
            <w:vAlign w:val="center"/>
          </w:tcPr>
          <w:p w14:paraId="7F0A680D">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按问题级别执行</w:t>
            </w:r>
          </w:p>
        </w:tc>
        <w:tc>
          <w:tcPr>
            <w:tcW w:w="1335" w:type="dxa"/>
            <w:tcBorders>
              <w:tl2br w:val="nil"/>
              <w:tr2bl w:val="nil"/>
            </w:tcBorders>
            <w:shd w:val="clear" w:color="auto" w:fill="auto"/>
            <w:vAlign w:val="center"/>
          </w:tcPr>
          <w:p w14:paraId="166E512E">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值班人员升级</w:t>
            </w:r>
          </w:p>
        </w:tc>
        <w:tc>
          <w:tcPr>
            <w:tcW w:w="1748" w:type="dxa"/>
            <w:tcBorders>
              <w:tl2br w:val="nil"/>
              <w:tr2bl w:val="nil"/>
            </w:tcBorders>
            <w:shd w:val="clear" w:color="auto" w:fill="auto"/>
            <w:vAlign w:val="center"/>
          </w:tcPr>
          <w:p w14:paraId="144C098D">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宋体" w:hAnsi="宋体" w:eastAsia="宋体" w:cs="宋体"/>
                <w:b w:val="0"/>
                <w:kern w:val="2"/>
                <w:sz w:val="18"/>
                <w:szCs w:val="18"/>
                <w:lang w:val="en-US" w:eastAsia="zh-CN" w:bidi="ar-SA"/>
              </w:rPr>
            </w:pPr>
            <w:r>
              <w:rPr>
                <w:rFonts w:hint="eastAsia" w:ascii="宋体" w:hAnsi="宋体" w:eastAsia="宋体" w:cs="宋体"/>
                <w:b w:val="0"/>
                <w:sz w:val="18"/>
                <w:szCs w:val="18"/>
              </w:rPr>
              <w:t>远程处理，必要时驻场到场</w:t>
            </w:r>
          </w:p>
        </w:tc>
        <w:tc>
          <w:tcPr>
            <w:tcW w:w="911" w:type="dxa"/>
            <w:tcBorders>
              <w:tl2br w:val="nil"/>
              <w:tr2bl w:val="nil"/>
            </w:tcBorders>
            <w:vAlign w:val="center"/>
          </w:tcPr>
          <w:p w14:paraId="13BECDCC">
            <w:pPr>
              <w:widowControl w:val="0"/>
              <w:spacing w:after="0" w:line="240" w:lineRule="auto"/>
              <w:ind w:left="0" w:leftChars="0" w:firstLine="0" w:firstLineChars="0"/>
              <w:jc w:val="both"/>
              <w:rPr>
                <w:rFonts w:hint="eastAsia" w:ascii="宋体" w:hAnsi="宋体" w:eastAsia="宋体" w:cs="宋体"/>
                <w:sz w:val="18"/>
                <w:szCs w:val="18"/>
              </w:rPr>
            </w:pPr>
            <w:r>
              <w:rPr>
                <w:rFonts w:hint="eastAsia" w:ascii="宋体" w:hAnsi="宋体" w:eastAsia="宋体" w:cs="宋体"/>
                <w:sz w:val="18"/>
                <w:szCs w:val="18"/>
                <w:lang w:val="en-US" w:eastAsia="zh-CN"/>
              </w:rPr>
              <w:t>/</w:t>
            </w:r>
          </w:p>
        </w:tc>
      </w:tr>
    </w:tbl>
    <w:p w14:paraId="3442A2AE">
      <w:pPr>
        <w:spacing w:after="0" w:line="240" w:lineRule="auto"/>
        <w:ind w:left="0" w:leftChars="0" w:firstLine="420" w:firstLineChars="0"/>
        <w:jc w:val="left"/>
        <w:rPr>
          <w:rFonts w:hint="eastAsia" w:ascii="宋体" w:hAnsi="宋体" w:eastAsia="宋体" w:cs="宋体"/>
          <w:b w:val="0"/>
          <w:sz w:val="21"/>
          <w:szCs w:val="21"/>
        </w:rPr>
      </w:pPr>
    </w:p>
    <w:p w14:paraId="6070BBDA">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宋体" w:hAnsi="宋体" w:eastAsia="宋体" w:cs="宋体"/>
          <w:sz w:val="21"/>
          <w:szCs w:val="21"/>
        </w:rPr>
      </w:pPr>
      <w:r>
        <w:rPr>
          <w:rFonts w:hint="eastAsia" w:ascii="宋体" w:hAnsi="宋体" w:eastAsia="宋体" w:cs="宋体"/>
          <w:b w:val="0"/>
          <w:sz w:val="21"/>
          <w:szCs w:val="21"/>
        </w:rPr>
        <w:t>对因技术复杂度较高、外部依赖或其他客观原因无法在上述时限内完成处理的问题，我公司及时向甲方提交书面说明、临时解决方案和后续处理计划，并经甲方确认后持续推进闭环。</w:t>
      </w:r>
      <w:r>
        <w:rPr>
          <w:rFonts w:hint="eastAsia" w:ascii="宋体" w:hAnsi="宋体" w:eastAsia="宋体" w:cs="宋体"/>
          <w:sz w:val="21"/>
          <w:szCs w:val="21"/>
          <w:lang w:val="en-US" w:eastAsia="zh-CN"/>
        </w:rPr>
        <w:t xml:space="preserve"> </w:t>
      </w:r>
    </w:p>
    <w:p w14:paraId="6EA84B97">
      <w:pPr>
        <w:pStyle w:val="5"/>
        <w:bidi w:val="0"/>
        <w:rPr>
          <w:rFonts w:hint="eastAsia" w:ascii="宋体" w:hAnsi="宋体" w:eastAsia="宋体" w:cs="宋体"/>
          <w:b w:val="0"/>
          <w:bCs/>
          <w:lang w:val="en-US" w:eastAsia="zh-CN"/>
        </w:rPr>
      </w:pPr>
      <w:bookmarkStart w:id="16" w:name="_Toc10400"/>
      <w:r>
        <w:rPr>
          <w:rFonts w:hint="eastAsia" w:ascii="宋体" w:hAnsi="宋体" w:eastAsia="宋体" w:cs="宋体"/>
          <w:b w:val="0"/>
          <w:bCs/>
          <w:lang w:val="en-US" w:eastAsia="zh-CN"/>
        </w:rPr>
        <w:t>12.1.3巡检与持续优化</w:t>
      </w:r>
      <w:bookmarkEnd w:id="16"/>
    </w:p>
    <w:p w14:paraId="0626D527">
      <w:pPr>
        <w:pStyle w:val="26"/>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kern w:val="2"/>
          <w:sz w:val="21"/>
          <w:szCs w:val="21"/>
          <w:lang w:val="en-US" w:eastAsia="zh-CN" w:bidi="ar-SA"/>
        </w:rPr>
      </w:pPr>
      <w:r>
        <w:rPr>
          <w:rFonts w:hint="eastAsia" w:ascii="宋体" w:hAnsi="宋体" w:eastAsia="宋体" w:cs="宋体"/>
          <w:b w:val="0"/>
          <w:kern w:val="2"/>
          <w:sz w:val="21"/>
          <w:szCs w:val="21"/>
          <w:lang w:val="en-US" w:eastAsia="zh-CN" w:bidi="ar-SA"/>
        </w:rPr>
        <w:t>风险预防机制：治未病大于治已病。通过强制执行标准化月度巡检，将隐患消灭在萌芽状态。</w:t>
      </w:r>
    </w:p>
    <w:p w14:paraId="15F74E1E">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kern w:val="2"/>
          <w:sz w:val="21"/>
          <w:szCs w:val="21"/>
          <w:lang w:val="en-US" w:eastAsia="zh-CN" w:bidi="ar-SA"/>
        </w:rPr>
      </w:pPr>
      <w:r>
        <w:rPr>
          <w:rFonts w:hint="eastAsia" w:ascii="宋体" w:hAnsi="宋体" w:eastAsia="宋体" w:cs="宋体"/>
          <w:b w:val="0"/>
          <w:kern w:val="2"/>
          <w:sz w:val="21"/>
          <w:szCs w:val="21"/>
          <w:lang w:val="en-US" w:eastAsia="zh-CN" w:bidi="ar-SA"/>
        </w:rPr>
        <w:t>我公司每月至少开展一次系统巡检，并向甲方提交书面《月度运维巡检报告》。核心巡检项严格遵循以下核查表：</w:t>
      </w:r>
    </w:p>
    <w:tbl>
      <w:tblPr>
        <w:tblStyle w:val="28"/>
        <w:tblW w:w="0" w:type="auto"/>
        <w:tblInd w:w="0" w:type="dxa"/>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Layout w:type="autofit"/>
        <w:tblCellMar>
          <w:top w:w="0" w:type="dxa"/>
          <w:left w:w="108" w:type="dxa"/>
          <w:bottom w:w="0" w:type="dxa"/>
          <w:right w:w="108" w:type="dxa"/>
        </w:tblCellMar>
      </w:tblPr>
      <w:tblGrid>
        <w:gridCol w:w="1666"/>
        <w:gridCol w:w="7622"/>
      </w:tblGrid>
      <w:tr w14:paraId="311A420A">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tblHeader/>
        </w:trPr>
        <w:tc>
          <w:tcPr>
            <w:tcW w:w="1758" w:type="dxa"/>
            <w:tcBorders>
              <w:tl2br w:val="nil"/>
              <w:tr2bl w:val="nil"/>
            </w:tcBorders>
            <w:shd w:val="clear" w:color="auto" w:fill="E9F1F8"/>
          </w:tcPr>
          <w:p w14:paraId="2CCE7008">
            <w:pPr>
              <w:pStyle w:val="27"/>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巡检维度</w:t>
            </w:r>
          </w:p>
        </w:tc>
        <w:tc>
          <w:tcPr>
            <w:tcW w:w="8096" w:type="dxa"/>
            <w:tcBorders>
              <w:tl2br w:val="nil"/>
              <w:tr2bl w:val="nil"/>
            </w:tcBorders>
            <w:shd w:val="clear" w:color="auto" w:fill="E9F1F8"/>
          </w:tcPr>
          <w:p w14:paraId="32BD613D">
            <w:pPr>
              <w:pStyle w:val="27"/>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核心巡检指标及阈值要求</w:t>
            </w:r>
          </w:p>
        </w:tc>
      </w:tr>
      <w:tr w14:paraId="700D7691">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1758" w:type="dxa"/>
            <w:tcBorders>
              <w:tl2br w:val="nil"/>
              <w:tr2bl w:val="nil"/>
            </w:tcBorders>
          </w:tcPr>
          <w:p w14:paraId="5F754DC0">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应用与接口</w:t>
            </w:r>
          </w:p>
        </w:tc>
        <w:tc>
          <w:tcPr>
            <w:tcW w:w="8096" w:type="dxa"/>
            <w:tcBorders>
              <w:tl2br w:val="nil"/>
              <w:tr2bl w:val="nil"/>
            </w:tcBorders>
          </w:tcPr>
          <w:p w14:paraId="7E455668">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各微服务节点健康状态（UP）、API接口调用失败率（&lt;0.1%）、APP消息推送成功率验证。</w:t>
            </w:r>
          </w:p>
        </w:tc>
      </w:tr>
      <w:tr w14:paraId="49D13626">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1758" w:type="dxa"/>
            <w:tcBorders>
              <w:tl2br w:val="nil"/>
              <w:tr2bl w:val="nil"/>
            </w:tcBorders>
          </w:tcPr>
          <w:p w14:paraId="34DB6309">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数据库与存储</w:t>
            </w:r>
          </w:p>
        </w:tc>
        <w:tc>
          <w:tcPr>
            <w:tcW w:w="8096" w:type="dxa"/>
            <w:tcBorders>
              <w:tl2br w:val="nil"/>
              <w:tr2bl w:val="nil"/>
            </w:tcBorders>
          </w:tcPr>
          <w:p w14:paraId="44C61855">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MySQL慢SQL查询分析（&gt;1s）、数据库锁表排查、服务器磁盘容量（预警线80%）。</w:t>
            </w:r>
          </w:p>
        </w:tc>
      </w:tr>
      <w:tr w14:paraId="446941F5">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W w:w="1758" w:type="dxa"/>
            <w:tcBorders>
              <w:tl2br w:val="nil"/>
              <w:tr2bl w:val="nil"/>
            </w:tcBorders>
          </w:tcPr>
          <w:p w14:paraId="03981406">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安全与合规</w:t>
            </w:r>
          </w:p>
        </w:tc>
        <w:tc>
          <w:tcPr>
            <w:tcW w:w="8096" w:type="dxa"/>
            <w:tcBorders>
              <w:tl2br w:val="nil"/>
              <w:tr2bl w:val="nil"/>
            </w:tcBorders>
          </w:tcPr>
          <w:p w14:paraId="2A017E3F">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异常越权日志审计、高危安全漏洞扫描、数据备份状态及恢复有效性验证。</w:t>
            </w:r>
          </w:p>
        </w:tc>
      </w:tr>
    </w:tbl>
    <w:p w14:paraId="7B6FEADB">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kern w:val="2"/>
          <w:sz w:val="21"/>
          <w:szCs w:val="21"/>
          <w:lang w:val="en-US" w:eastAsia="zh-CN" w:bidi="ar-SA"/>
        </w:rPr>
      </w:pPr>
      <w:r>
        <w:rPr>
          <w:rFonts w:hint="eastAsia" w:ascii="宋体" w:hAnsi="宋体" w:eastAsia="宋体" w:cs="宋体"/>
          <w:b w:val="0"/>
          <w:kern w:val="2"/>
          <w:sz w:val="21"/>
          <w:szCs w:val="21"/>
          <w:lang w:val="en-US" w:eastAsia="zh-CN" w:bidi="ar-SA"/>
        </w:rPr>
        <w:t>对巡检中发现的隐患、风险点和潜在问题，我公司及时整改或提出处置方案并组织落实。</w:t>
      </w:r>
    </w:p>
    <w:p w14:paraId="548CACE8">
      <w:pPr>
        <w:pStyle w:val="5"/>
        <w:bidi w:val="0"/>
        <w:rPr>
          <w:rFonts w:hint="eastAsia" w:ascii="宋体" w:hAnsi="宋体" w:eastAsia="宋体" w:cs="宋体"/>
          <w:b w:val="0"/>
          <w:bCs/>
          <w:lang w:val="en-US" w:eastAsia="zh-CN"/>
        </w:rPr>
      </w:pPr>
      <w:bookmarkStart w:id="17" w:name="_Toc25198"/>
      <w:r>
        <w:rPr>
          <w:rFonts w:hint="eastAsia" w:ascii="宋体" w:hAnsi="宋体" w:eastAsia="宋体" w:cs="宋体"/>
          <w:b w:val="0"/>
          <w:bCs/>
          <w:lang w:val="en-US" w:eastAsia="zh-CN"/>
        </w:rPr>
        <w:t>12.1.4运维知识库及问题闭环管理表</w:t>
      </w:r>
      <w:bookmarkEnd w:id="17"/>
    </w:p>
    <w:tbl>
      <w:tblPr>
        <w:tblStyle w:val="18"/>
        <w:tblW w:w="0" w:type="auto"/>
        <w:jc w:val="center"/>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Layout w:type="autofit"/>
        <w:tblCellMar>
          <w:top w:w="0" w:type="dxa"/>
          <w:left w:w="108" w:type="dxa"/>
          <w:bottom w:w="0" w:type="dxa"/>
          <w:right w:w="108" w:type="dxa"/>
        </w:tblCellMar>
      </w:tblPr>
      <w:tblGrid>
        <w:gridCol w:w="779"/>
        <w:gridCol w:w="2182"/>
        <w:gridCol w:w="1683"/>
        <w:gridCol w:w="2174"/>
        <w:gridCol w:w="1514"/>
        <w:gridCol w:w="954"/>
      </w:tblGrid>
      <w:tr w14:paraId="5E251B3B">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779" w:type="dxa"/>
            <w:tcBorders>
              <w:tl2br w:val="nil"/>
              <w:tr2bl w:val="nil"/>
            </w:tcBorders>
            <w:shd w:val="clear" w:color="auto" w:fill="E9F1F8"/>
            <w:vAlign w:val="center"/>
          </w:tcPr>
          <w:p w14:paraId="3762E688">
            <w:pPr>
              <w:widowControl w:val="0"/>
              <w:spacing w:after="0"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b/>
                <w:sz w:val="24"/>
                <w:szCs w:val="24"/>
              </w:rPr>
              <w:t>序号</w:t>
            </w:r>
          </w:p>
        </w:tc>
        <w:tc>
          <w:tcPr>
            <w:tcW w:w="2182" w:type="dxa"/>
            <w:tcBorders>
              <w:tl2br w:val="nil"/>
              <w:tr2bl w:val="nil"/>
            </w:tcBorders>
            <w:shd w:val="clear" w:color="auto" w:fill="E9F1F8"/>
            <w:vAlign w:val="center"/>
          </w:tcPr>
          <w:p w14:paraId="2D372812">
            <w:pPr>
              <w:widowControl w:val="0"/>
              <w:spacing w:after="0"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b/>
                <w:sz w:val="24"/>
                <w:szCs w:val="24"/>
              </w:rPr>
              <w:t>管理内容</w:t>
            </w:r>
          </w:p>
        </w:tc>
        <w:tc>
          <w:tcPr>
            <w:tcW w:w="1683" w:type="dxa"/>
            <w:tcBorders>
              <w:tl2br w:val="nil"/>
              <w:tr2bl w:val="nil"/>
            </w:tcBorders>
            <w:shd w:val="clear" w:color="auto" w:fill="E9F1F8"/>
            <w:vAlign w:val="center"/>
          </w:tcPr>
          <w:p w14:paraId="2B4DAEB2">
            <w:pPr>
              <w:widowControl w:val="0"/>
              <w:spacing w:after="0"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b/>
                <w:sz w:val="24"/>
                <w:szCs w:val="24"/>
              </w:rPr>
              <w:t>拟提交/维护材料</w:t>
            </w:r>
          </w:p>
        </w:tc>
        <w:tc>
          <w:tcPr>
            <w:tcW w:w="2174" w:type="dxa"/>
            <w:tcBorders>
              <w:tl2br w:val="nil"/>
              <w:tr2bl w:val="nil"/>
            </w:tcBorders>
            <w:shd w:val="clear" w:color="auto" w:fill="E9F1F8"/>
            <w:vAlign w:val="center"/>
          </w:tcPr>
          <w:p w14:paraId="45A4F75A">
            <w:pPr>
              <w:widowControl w:val="0"/>
              <w:spacing w:after="0"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b/>
                <w:sz w:val="24"/>
                <w:szCs w:val="24"/>
              </w:rPr>
              <w:t>更新频率</w:t>
            </w:r>
          </w:p>
        </w:tc>
        <w:tc>
          <w:tcPr>
            <w:tcW w:w="1514" w:type="dxa"/>
            <w:tcBorders>
              <w:tl2br w:val="nil"/>
              <w:tr2bl w:val="nil"/>
            </w:tcBorders>
            <w:shd w:val="clear" w:color="auto" w:fill="E9F1F8"/>
            <w:vAlign w:val="center"/>
          </w:tcPr>
          <w:p w14:paraId="10377A1C">
            <w:pPr>
              <w:widowControl w:val="0"/>
              <w:spacing w:after="0"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b/>
                <w:sz w:val="24"/>
                <w:szCs w:val="24"/>
              </w:rPr>
              <w:t>责任人</w:t>
            </w:r>
          </w:p>
        </w:tc>
        <w:tc>
          <w:tcPr>
            <w:tcW w:w="954" w:type="dxa"/>
            <w:tcBorders>
              <w:tl2br w:val="nil"/>
              <w:tr2bl w:val="nil"/>
            </w:tcBorders>
            <w:shd w:val="clear" w:color="auto" w:fill="E9F1F8"/>
            <w:vAlign w:val="center"/>
          </w:tcPr>
          <w:p w14:paraId="58940657">
            <w:pPr>
              <w:widowControl w:val="0"/>
              <w:spacing w:after="0"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b/>
                <w:sz w:val="24"/>
                <w:szCs w:val="24"/>
              </w:rPr>
              <w:t>备注</w:t>
            </w:r>
          </w:p>
        </w:tc>
      </w:tr>
      <w:tr w14:paraId="1CDA9F25">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779" w:type="dxa"/>
            <w:tcBorders>
              <w:tl2br w:val="nil"/>
              <w:tr2bl w:val="nil"/>
            </w:tcBorders>
            <w:vAlign w:val="center"/>
          </w:tcPr>
          <w:p w14:paraId="295EA2C8">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w:t>
            </w:r>
          </w:p>
        </w:tc>
        <w:tc>
          <w:tcPr>
            <w:tcW w:w="2182" w:type="dxa"/>
            <w:tcBorders>
              <w:tl2br w:val="nil"/>
              <w:tr2bl w:val="nil"/>
            </w:tcBorders>
            <w:vAlign w:val="center"/>
          </w:tcPr>
          <w:p w14:paraId="3F6A02DA">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系统架构及部署说明</w:t>
            </w:r>
          </w:p>
        </w:tc>
        <w:tc>
          <w:tcPr>
            <w:tcW w:w="1683" w:type="dxa"/>
            <w:tcBorders>
              <w:tl2br w:val="nil"/>
              <w:tr2bl w:val="nil"/>
            </w:tcBorders>
            <w:shd w:val="clear" w:color="auto" w:fill="auto"/>
            <w:vAlign w:val="center"/>
          </w:tcPr>
          <w:p w14:paraId="580CB33A">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系统运维手册、部署说明</w:t>
            </w:r>
          </w:p>
        </w:tc>
        <w:tc>
          <w:tcPr>
            <w:tcW w:w="2174" w:type="dxa"/>
            <w:tcBorders>
              <w:tl2br w:val="nil"/>
              <w:tr2bl w:val="nil"/>
            </w:tcBorders>
            <w:shd w:val="clear" w:color="auto" w:fill="auto"/>
            <w:vAlign w:val="center"/>
          </w:tcPr>
          <w:p w14:paraId="79BE5352">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根据系统架构搭建调整更新</w:t>
            </w:r>
          </w:p>
        </w:tc>
        <w:tc>
          <w:tcPr>
            <w:tcW w:w="1514" w:type="dxa"/>
            <w:tcBorders>
              <w:tl2br w:val="nil"/>
              <w:tr2bl w:val="nil"/>
            </w:tcBorders>
            <w:shd w:val="clear" w:color="auto" w:fill="auto"/>
            <w:vAlign w:val="center"/>
          </w:tcPr>
          <w:p w14:paraId="66727B40">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架构师、运维工程师</w:t>
            </w:r>
          </w:p>
        </w:tc>
        <w:tc>
          <w:tcPr>
            <w:tcW w:w="954" w:type="dxa"/>
            <w:tcBorders>
              <w:tl2br w:val="nil"/>
              <w:tr2bl w:val="nil"/>
            </w:tcBorders>
            <w:vAlign w:val="center"/>
          </w:tcPr>
          <w:p w14:paraId="570CC7A1">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w:t>
            </w:r>
          </w:p>
        </w:tc>
      </w:tr>
      <w:tr w14:paraId="0C796BCE">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779" w:type="dxa"/>
            <w:tcBorders>
              <w:tl2br w:val="nil"/>
              <w:tr2bl w:val="nil"/>
            </w:tcBorders>
            <w:vAlign w:val="center"/>
          </w:tcPr>
          <w:p w14:paraId="7B7468D4">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2</w:t>
            </w:r>
          </w:p>
        </w:tc>
        <w:tc>
          <w:tcPr>
            <w:tcW w:w="2182" w:type="dxa"/>
            <w:tcBorders>
              <w:tl2br w:val="nil"/>
              <w:tr2bl w:val="nil"/>
            </w:tcBorders>
            <w:vAlign w:val="center"/>
          </w:tcPr>
          <w:p w14:paraId="286557AA">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环境配置及数据库说明</w:t>
            </w:r>
          </w:p>
        </w:tc>
        <w:tc>
          <w:tcPr>
            <w:tcW w:w="1683" w:type="dxa"/>
            <w:tcBorders>
              <w:tl2br w:val="nil"/>
              <w:tr2bl w:val="nil"/>
            </w:tcBorders>
            <w:shd w:val="clear" w:color="auto" w:fill="auto"/>
            <w:vAlign w:val="center"/>
          </w:tcPr>
          <w:p w14:paraId="34C1CBD9">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系统运维手册、部署说明</w:t>
            </w:r>
          </w:p>
        </w:tc>
        <w:tc>
          <w:tcPr>
            <w:tcW w:w="2174" w:type="dxa"/>
            <w:tcBorders>
              <w:tl2br w:val="nil"/>
              <w:tr2bl w:val="nil"/>
            </w:tcBorders>
            <w:shd w:val="clear" w:color="auto" w:fill="auto"/>
            <w:vAlign w:val="center"/>
          </w:tcPr>
          <w:p w14:paraId="5FDC996A">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项目验收期间更新</w:t>
            </w:r>
          </w:p>
        </w:tc>
        <w:tc>
          <w:tcPr>
            <w:tcW w:w="1514" w:type="dxa"/>
            <w:tcBorders>
              <w:tl2br w:val="nil"/>
              <w:tr2bl w:val="nil"/>
            </w:tcBorders>
            <w:shd w:val="clear" w:color="auto" w:fill="auto"/>
            <w:vAlign w:val="center"/>
          </w:tcPr>
          <w:p w14:paraId="5190021B">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运维工程师</w:t>
            </w:r>
          </w:p>
        </w:tc>
        <w:tc>
          <w:tcPr>
            <w:tcW w:w="954" w:type="dxa"/>
            <w:tcBorders>
              <w:tl2br w:val="nil"/>
              <w:tr2bl w:val="nil"/>
            </w:tcBorders>
            <w:vAlign w:val="center"/>
          </w:tcPr>
          <w:p w14:paraId="3FBA19CE">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w:t>
            </w:r>
          </w:p>
        </w:tc>
      </w:tr>
      <w:tr w14:paraId="47E5F7F7">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779" w:type="dxa"/>
            <w:tcBorders>
              <w:tl2br w:val="nil"/>
              <w:tr2bl w:val="nil"/>
            </w:tcBorders>
            <w:vAlign w:val="center"/>
          </w:tcPr>
          <w:p w14:paraId="7AA25CBF">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3</w:t>
            </w:r>
          </w:p>
        </w:tc>
        <w:tc>
          <w:tcPr>
            <w:tcW w:w="2182" w:type="dxa"/>
            <w:tcBorders>
              <w:tl2br w:val="nil"/>
              <w:tr2bl w:val="nil"/>
            </w:tcBorders>
            <w:vAlign w:val="center"/>
          </w:tcPr>
          <w:p w14:paraId="06A46848">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接口清单及日志说明</w:t>
            </w:r>
          </w:p>
        </w:tc>
        <w:tc>
          <w:tcPr>
            <w:tcW w:w="1683" w:type="dxa"/>
            <w:tcBorders>
              <w:tl2br w:val="nil"/>
              <w:tr2bl w:val="nil"/>
            </w:tcBorders>
            <w:shd w:val="clear" w:color="auto" w:fill="auto"/>
            <w:vAlign w:val="center"/>
          </w:tcPr>
          <w:p w14:paraId="06C6AF25">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接口文档</w:t>
            </w:r>
          </w:p>
        </w:tc>
        <w:tc>
          <w:tcPr>
            <w:tcW w:w="2174" w:type="dxa"/>
            <w:tcBorders>
              <w:tl2br w:val="nil"/>
              <w:tr2bl w:val="nil"/>
            </w:tcBorders>
            <w:shd w:val="clear" w:color="auto" w:fill="auto"/>
            <w:vAlign w:val="center"/>
          </w:tcPr>
          <w:p w14:paraId="406D9EBB">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根据接口开发进度更新</w:t>
            </w:r>
          </w:p>
        </w:tc>
        <w:tc>
          <w:tcPr>
            <w:tcW w:w="1514" w:type="dxa"/>
            <w:tcBorders>
              <w:tl2br w:val="nil"/>
              <w:tr2bl w:val="nil"/>
            </w:tcBorders>
            <w:shd w:val="clear" w:color="auto" w:fill="auto"/>
            <w:vAlign w:val="center"/>
          </w:tcPr>
          <w:p w14:paraId="33B8324F">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后台开发工程师</w:t>
            </w:r>
          </w:p>
        </w:tc>
        <w:tc>
          <w:tcPr>
            <w:tcW w:w="954" w:type="dxa"/>
            <w:tcBorders>
              <w:tl2br w:val="nil"/>
              <w:tr2bl w:val="nil"/>
            </w:tcBorders>
            <w:vAlign w:val="center"/>
          </w:tcPr>
          <w:p w14:paraId="3CB859DE">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w:t>
            </w:r>
          </w:p>
        </w:tc>
      </w:tr>
      <w:tr w14:paraId="03F5064F">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trHeight w:val="314" w:hRule="atLeast"/>
          <w:jc w:val="center"/>
        </w:trPr>
        <w:tc>
          <w:tcPr>
            <w:tcW w:w="779" w:type="dxa"/>
            <w:tcBorders>
              <w:tl2br w:val="nil"/>
              <w:tr2bl w:val="nil"/>
            </w:tcBorders>
            <w:vAlign w:val="center"/>
          </w:tcPr>
          <w:p w14:paraId="76D974A9">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4</w:t>
            </w:r>
          </w:p>
        </w:tc>
        <w:tc>
          <w:tcPr>
            <w:tcW w:w="2182" w:type="dxa"/>
            <w:tcBorders>
              <w:tl2br w:val="nil"/>
              <w:tr2bl w:val="nil"/>
            </w:tcBorders>
            <w:vAlign w:val="center"/>
          </w:tcPr>
          <w:p w14:paraId="2DF4E15D">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常见问题及处理SOP</w:t>
            </w:r>
          </w:p>
        </w:tc>
        <w:tc>
          <w:tcPr>
            <w:tcW w:w="1683" w:type="dxa"/>
            <w:tcBorders>
              <w:tl2br w:val="nil"/>
              <w:tr2bl w:val="nil"/>
            </w:tcBorders>
            <w:shd w:val="clear" w:color="auto" w:fill="auto"/>
            <w:vAlign w:val="center"/>
          </w:tcPr>
          <w:p w14:paraId="7F4F1E5F">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缺陷清单及整改闭环记录</w:t>
            </w:r>
          </w:p>
        </w:tc>
        <w:tc>
          <w:tcPr>
            <w:tcW w:w="2174" w:type="dxa"/>
            <w:tcBorders>
              <w:tl2br w:val="nil"/>
              <w:tr2bl w:val="nil"/>
            </w:tcBorders>
            <w:shd w:val="clear" w:color="auto" w:fill="auto"/>
            <w:vAlign w:val="center"/>
          </w:tcPr>
          <w:p w14:paraId="4E6909B1">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根据版本发布记录更新</w:t>
            </w:r>
          </w:p>
        </w:tc>
        <w:tc>
          <w:tcPr>
            <w:tcW w:w="1514" w:type="dxa"/>
            <w:tcBorders>
              <w:tl2br w:val="nil"/>
              <w:tr2bl w:val="nil"/>
            </w:tcBorders>
            <w:shd w:val="clear" w:color="auto" w:fill="auto"/>
            <w:vAlign w:val="center"/>
          </w:tcPr>
          <w:p w14:paraId="66B3BFFD">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测试工程师</w:t>
            </w:r>
          </w:p>
        </w:tc>
        <w:tc>
          <w:tcPr>
            <w:tcW w:w="954" w:type="dxa"/>
            <w:tcBorders>
              <w:tl2br w:val="nil"/>
              <w:tr2bl w:val="nil"/>
            </w:tcBorders>
            <w:vAlign w:val="center"/>
          </w:tcPr>
          <w:p w14:paraId="47161F94">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w:t>
            </w:r>
          </w:p>
        </w:tc>
      </w:tr>
      <w:tr w14:paraId="4729D42C">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779" w:type="dxa"/>
            <w:tcBorders>
              <w:tl2br w:val="nil"/>
              <w:tr2bl w:val="nil"/>
            </w:tcBorders>
            <w:vAlign w:val="center"/>
          </w:tcPr>
          <w:p w14:paraId="76F8D201">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5</w:t>
            </w:r>
          </w:p>
        </w:tc>
        <w:tc>
          <w:tcPr>
            <w:tcW w:w="2182" w:type="dxa"/>
            <w:tcBorders>
              <w:tl2br w:val="nil"/>
              <w:tr2bl w:val="nil"/>
            </w:tcBorders>
            <w:vAlign w:val="center"/>
          </w:tcPr>
          <w:p w14:paraId="69421BBD">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Bug台账及整改闭环记录</w:t>
            </w:r>
          </w:p>
        </w:tc>
        <w:tc>
          <w:tcPr>
            <w:tcW w:w="1683" w:type="dxa"/>
            <w:tcBorders>
              <w:tl2br w:val="nil"/>
              <w:tr2bl w:val="nil"/>
            </w:tcBorders>
            <w:shd w:val="clear" w:color="auto" w:fill="auto"/>
            <w:vAlign w:val="center"/>
          </w:tcPr>
          <w:p w14:paraId="6D35E326">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缺陷清单及整改闭环记录</w:t>
            </w:r>
          </w:p>
        </w:tc>
        <w:tc>
          <w:tcPr>
            <w:tcW w:w="2174" w:type="dxa"/>
            <w:tcBorders>
              <w:tl2br w:val="nil"/>
              <w:tr2bl w:val="nil"/>
            </w:tcBorders>
            <w:shd w:val="clear" w:color="auto" w:fill="auto"/>
            <w:vAlign w:val="center"/>
          </w:tcPr>
          <w:p w14:paraId="026D4E9C">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根据版本发布记录更新</w:t>
            </w:r>
          </w:p>
        </w:tc>
        <w:tc>
          <w:tcPr>
            <w:tcW w:w="1514" w:type="dxa"/>
            <w:tcBorders>
              <w:tl2br w:val="nil"/>
              <w:tr2bl w:val="nil"/>
            </w:tcBorders>
            <w:shd w:val="clear" w:color="auto" w:fill="auto"/>
            <w:vAlign w:val="center"/>
          </w:tcPr>
          <w:p w14:paraId="52A7753A">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测试工程师</w:t>
            </w:r>
          </w:p>
        </w:tc>
        <w:tc>
          <w:tcPr>
            <w:tcW w:w="954" w:type="dxa"/>
            <w:tcBorders>
              <w:tl2br w:val="nil"/>
              <w:tr2bl w:val="nil"/>
            </w:tcBorders>
            <w:vAlign w:val="center"/>
          </w:tcPr>
          <w:p w14:paraId="2A9DDACE">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w:t>
            </w:r>
          </w:p>
        </w:tc>
      </w:tr>
      <w:tr w14:paraId="12B9B0CF">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779" w:type="dxa"/>
            <w:tcBorders>
              <w:tl2br w:val="nil"/>
              <w:tr2bl w:val="nil"/>
            </w:tcBorders>
            <w:vAlign w:val="center"/>
          </w:tcPr>
          <w:p w14:paraId="4CB9E462">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6</w:t>
            </w:r>
          </w:p>
        </w:tc>
        <w:tc>
          <w:tcPr>
            <w:tcW w:w="2182" w:type="dxa"/>
            <w:tcBorders>
              <w:tl2br w:val="nil"/>
              <w:tr2bl w:val="nil"/>
            </w:tcBorders>
            <w:vAlign w:val="center"/>
          </w:tcPr>
          <w:p w14:paraId="6F4F8D1E">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版本发布记录</w:t>
            </w:r>
          </w:p>
        </w:tc>
        <w:tc>
          <w:tcPr>
            <w:tcW w:w="1683" w:type="dxa"/>
            <w:tcBorders>
              <w:tl2br w:val="nil"/>
              <w:tr2bl w:val="nil"/>
            </w:tcBorders>
            <w:shd w:val="clear" w:color="auto" w:fill="auto"/>
            <w:vAlign w:val="center"/>
          </w:tcPr>
          <w:p w14:paraId="1C14BED2">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版本发布记录</w:t>
            </w:r>
          </w:p>
        </w:tc>
        <w:tc>
          <w:tcPr>
            <w:tcW w:w="2174" w:type="dxa"/>
            <w:tcBorders>
              <w:tl2br w:val="nil"/>
              <w:tr2bl w:val="nil"/>
            </w:tcBorders>
            <w:shd w:val="clear" w:color="auto" w:fill="auto"/>
            <w:vAlign w:val="center"/>
          </w:tcPr>
          <w:p w14:paraId="3B6B76CA">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根据版本发布记录更新</w:t>
            </w:r>
          </w:p>
        </w:tc>
        <w:tc>
          <w:tcPr>
            <w:tcW w:w="1514" w:type="dxa"/>
            <w:tcBorders>
              <w:tl2br w:val="nil"/>
              <w:tr2bl w:val="nil"/>
            </w:tcBorders>
            <w:shd w:val="clear" w:color="auto" w:fill="auto"/>
            <w:vAlign w:val="center"/>
          </w:tcPr>
          <w:p w14:paraId="118AFD29">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项目经理</w:t>
            </w:r>
          </w:p>
        </w:tc>
        <w:tc>
          <w:tcPr>
            <w:tcW w:w="954" w:type="dxa"/>
            <w:tcBorders>
              <w:tl2br w:val="nil"/>
              <w:tr2bl w:val="nil"/>
            </w:tcBorders>
            <w:vAlign w:val="center"/>
          </w:tcPr>
          <w:p w14:paraId="504AF66D">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w:t>
            </w:r>
          </w:p>
        </w:tc>
      </w:tr>
      <w:tr w14:paraId="71442D14">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779" w:type="dxa"/>
            <w:tcBorders>
              <w:tl2br w:val="nil"/>
              <w:tr2bl w:val="nil"/>
            </w:tcBorders>
            <w:vAlign w:val="center"/>
          </w:tcPr>
          <w:p w14:paraId="02A58BB6">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7</w:t>
            </w:r>
          </w:p>
        </w:tc>
        <w:tc>
          <w:tcPr>
            <w:tcW w:w="2182" w:type="dxa"/>
            <w:tcBorders>
              <w:tl2br w:val="nil"/>
              <w:tr2bl w:val="nil"/>
            </w:tcBorders>
            <w:vAlign w:val="center"/>
          </w:tcPr>
          <w:p w14:paraId="4058044D">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巡检报告</w:t>
            </w:r>
          </w:p>
        </w:tc>
        <w:tc>
          <w:tcPr>
            <w:tcW w:w="1683" w:type="dxa"/>
            <w:tcBorders>
              <w:tl2br w:val="nil"/>
              <w:tr2bl w:val="nil"/>
            </w:tcBorders>
            <w:shd w:val="clear" w:color="auto" w:fill="auto"/>
            <w:vAlign w:val="center"/>
          </w:tcPr>
          <w:p w14:paraId="0A770ABF">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缺陷清单及整改闭环记录</w:t>
            </w:r>
          </w:p>
        </w:tc>
        <w:tc>
          <w:tcPr>
            <w:tcW w:w="2174" w:type="dxa"/>
            <w:tcBorders>
              <w:tl2br w:val="nil"/>
              <w:tr2bl w:val="nil"/>
            </w:tcBorders>
            <w:shd w:val="clear" w:color="auto" w:fill="auto"/>
            <w:vAlign w:val="center"/>
          </w:tcPr>
          <w:p w14:paraId="5255A6F3">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根据巡检记录更新</w:t>
            </w:r>
          </w:p>
        </w:tc>
        <w:tc>
          <w:tcPr>
            <w:tcW w:w="1514" w:type="dxa"/>
            <w:tcBorders>
              <w:tl2br w:val="nil"/>
              <w:tr2bl w:val="nil"/>
            </w:tcBorders>
            <w:shd w:val="clear" w:color="auto" w:fill="auto"/>
            <w:vAlign w:val="center"/>
          </w:tcPr>
          <w:p w14:paraId="2D725CB3">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测试工程师</w:t>
            </w:r>
          </w:p>
        </w:tc>
        <w:tc>
          <w:tcPr>
            <w:tcW w:w="954" w:type="dxa"/>
            <w:tcBorders>
              <w:tl2br w:val="nil"/>
              <w:tr2bl w:val="nil"/>
            </w:tcBorders>
            <w:vAlign w:val="center"/>
          </w:tcPr>
          <w:p w14:paraId="46F965D5">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w:t>
            </w:r>
          </w:p>
        </w:tc>
      </w:tr>
    </w:tbl>
    <w:p w14:paraId="7677B17F">
      <w:pPr>
        <w:rPr>
          <w:rFonts w:hint="eastAsia" w:ascii="宋体" w:hAnsi="宋体" w:eastAsia="宋体" w:cs="宋体"/>
          <w:b w:val="0"/>
          <w:kern w:val="2"/>
          <w:sz w:val="21"/>
          <w:szCs w:val="21"/>
          <w:lang w:val="en-US" w:eastAsia="zh-CN" w:bidi="ar-SA"/>
        </w:rPr>
      </w:pPr>
      <w:r>
        <w:br w:type="page"/>
      </w:r>
    </w:p>
    <w:p w14:paraId="318DD4DC">
      <w:pPr>
        <w:pStyle w:val="3"/>
        <w:bidi w:val="0"/>
        <w:rPr>
          <w:rFonts w:hint="eastAsia" w:ascii="宋体" w:hAnsi="宋体" w:eastAsia="宋体" w:cs="宋体"/>
          <w:b w:val="0"/>
          <w:bCs/>
          <w:lang w:val="en-US" w:eastAsia="zh-CN"/>
        </w:rPr>
      </w:pPr>
      <w:bookmarkStart w:id="18" w:name="_Toc15430"/>
      <w:r>
        <w:rPr>
          <w:rFonts w:hint="eastAsia" w:ascii="宋体" w:hAnsi="宋体" w:eastAsia="宋体" w:cs="宋体"/>
          <w:b w:val="0"/>
          <w:bCs/>
          <w:lang w:val="en-US" w:eastAsia="zh-CN"/>
        </w:rPr>
        <w:t>12.2培训与知识转移</w:t>
      </w:r>
      <w:bookmarkEnd w:id="18"/>
    </w:p>
    <w:p w14:paraId="48E0878F">
      <w:pPr>
        <w:pStyle w:val="26"/>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kern w:val="2"/>
          <w:sz w:val="21"/>
          <w:szCs w:val="21"/>
          <w:lang w:val="en-US" w:eastAsia="zh-CN" w:bidi="ar-SA"/>
        </w:rPr>
      </w:pPr>
      <w:r>
        <w:rPr>
          <w:rFonts w:hint="eastAsia" w:ascii="宋体" w:hAnsi="宋体" w:eastAsia="宋体" w:cs="宋体"/>
          <w:b w:val="0"/>
          <w:kern w:val="2"/>
          <w:sz w:val="21"/>
          <w:szCs w:val="21"/>
          <w:lang w:val="en-US" w:eastAsia="zh-CN" w:bidi="ar-SA"/>
        </w:rPr>
        <w:t>知识传递体系：授人以鱼不如授人以渔。采用“理论+实操+考核+知识库归档”的四步闭环法，并以书面交付物作为培训考核凭证，确保甲方具备自主接管能力。</w:t>
      </w:r>
    </w:p>
    <w:p w14:paraId="2DD1167A">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kern w:val="2"/>
          <w:sz w:val="21"/>
          <w:szCs w:val="21"/>
          <w:lang w:val="en-US" w:eastAsia="zh-CN" w:bidi="ar-SA"/>
        </w:rPr>
      </w:pPr>
      <w:r>
        <w:rPr>
          <w:rFonts w:hint="eastAsia" w:ascii="宋体" w:hAnsi="宋体" w:eastAsia="宋体" w:cs="宋体"/>
          <w:b w:val="0"/>
          <w:kern w:val="2"/>
          <w:sz w:val="21"/>
          <w:szCs w:val="21"/>
          <w:lang w:val="en-US" w:eastAsia="zh-CN" w:bidi="ar-SA"/>
        </w:rPr>
        <w:t>我公司为甲方最终用户提供系统操作培训（覆盖平台所有模块功能），为甲方系统管理员提供专项技术培训（涵盖部署、备份、排障）。</w:t>
      </w:r>
    </w:p>
    <w:p w14:paraId="15F05034">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kern w:val="2"/>
          <w:sz w:val="21"/>
          <w:szCs w:val="21"/>
          <w:lang w:val="en-US" w:eastAsia="zh-CN" w:bidi="ar-SA"/>
        </w:rPr>
      </w:pPr>
      <w:r>
        <w:rPr>
          <w:rFonts w:hint="eastAsia" w:ascii="宋体" w:hAnsi="宋体" w:eastAsia="宋体" w:cs="宋体"/>
          <w:b w:val="0"/>
          <w:kern w:val="2"/>
          <w:sz w:val="21"/>
          <w:szCs w:val="21"/>
          <w:lang w:val="en-US" w:eastAsia="zh-CN" w:bidi="ar-SA"/>
        </w:rPr>
        <w:t>为将培训工作彻底落地，我方将在培训及移交阶段，完整输出以下核心交付资产目录：</w:t>
      </w:r>
    </w:p>
    <w:tbl>
      <w:tblPr>
        <w:tblStyle w:val="28"/>
        <w:tblW w:w="0" w:type="auto"/>
        <w:tblInd w:w="0" w:type="dxa"/>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Layout w:type="autofit"/>
        <w:tblCellMar>
          <w:top w:w="0" w:type="dxa"/>
          <w:left w:w="108" w:type="dxa"/>
          <w:bottom w:w="0" w:type="dxa"/>
          <w:right w:w="108" w:type="dxa"/>
        </w:tblCellMar>
      </w:tblPr>
      <w:tblGrid>
        <w:gridCol w:w="1227"/>
        <w:gridCol w:w="5942"/>
        <w:gridCol w:w="2119"/>
      </w:tblGrid>
      <w:tr w14:paraId="5DD49B4F">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tblHeader/>
        </w:trPr>
        <w:tc>
          <w:tcPr>
            <w:tcBorders>
              <w:tl2br w:val="nil"/>
              <w:tr2bl w:val="nil"/>
            </w:tcBorders>
            <w:shd w:val="clear" w:color="auto" w:fill="E9F1F8"/>
          </w:tcPr>
          <w:p w14:paraId="19319CAF">
            <w:pPr>
              <w:pStyle w:val="27"/>
              <w:jc w:val="center"/>
              <w:rPr>
                <w:rFonts w:hint="eastAsia" w:ascii="宋体" w:hAnsi="宋体" w:eastAsia="宋体" w:cs="宋体"/>
                <w:b/>
                <w:bCs/>
                <w:kern w:val="2"/>
                <w:sz w:val="18"/>
                <w:szCs w:val="18"/>
                <w:lang w:val="en-US" w:eastAsia="zh-CN" w:bidi="ar-SA"/>
              </w:rPr>
            </w:pPr>
            <w:r>
              <w:rPr>
                <w:rFonts w:hint="eastAsia" w:ascii="宋体" w:hAnsi="宋体" w:eastAsia="宋体" w:cs="宋体"/>
                <w:b/>
                <w:bCs/>
                <w:kern w:val="2"/>
                <w:sz w:val="18"/>
                <w:szCs w:val="18"/>
                <w:lang w:val="en-US" w:eastAsia="zh-CN" w:bidi="ar-SA"/>
              </w:rPr>
              <w:t>交付资产分类</w:t>
            </w:r>
          </w:p>
        </w:tc>
        <w:tc>
          <w:tcPr>
            <w:tcW w:w="5942" w:type="dxa"/>
            <w:tcBorders>
              <w:tl2br w:val="nil"/>
              <w:tr2bl w:val="nil"/>
            </w:tcBorders>
            <w:shd w:val="clear" w:color="auto" w:fill="E9F1F8"/>
          </w:tcPr>
          <w:p w14:paraId="5A236C70">
            <w:pPr>
              <w:pStyle w:val="27"/>
              <w:jc w:val="center"/>
              <w:rPr>
                <w:rFonts w:hint="eastAsia" w:ascii="宋体" w:hAnsi="宋体" w:eastAsia="宋体" w:cs="宋体"/>
                <w:b/>
                <w:bCs/>
                <w:kern w:val="2"/>
                <w:sz w:val="18"/>
                <w:szCs w:val="18"/>
                <w:lang w:val="en-US" w:eastAsia="zh-CN" w:bidi="ar-SA"/>
              </w:rPr>
            </w:pPr>
            <w:r>
              <w:rPr>
                <w:rFonts w:hint="eastAsia" w:ascii="宋体" w:hAnsi="宋体" w:eastAsia="宋体" w:cs="宋体"/>
                <w:b/>
                <w:bCs/>
                <w:kern w:val="2"/>
                <w:sz w:val="18"/>
                <w:szCs w:val="18"/>
                <w:lang w:val="en-US" w:eastAsia="zh-CN" w:bidi="ar-SA"/>
              </w:rPr>
              <w:t>拟交付物参考清单（具体以验收基线为准）</w:t>
            </w:r>
          </w:p>
        </w:tc>
        <w:tc>
          <w:tcPr>
            <w:tcW w:w="2119" w:type="dxa"/>
            <w:tcBorders>
              <w:tl2br w:val="nil"/>
              <w:tr2bl w:val="nil"/>
            </w:tcBorders>
            <w:shd w:val="clear" w:color="auto" w:fill="E9F1F8"/>
          </w:tcPr>
          <w:p w14:paraId="3A38C7D6">
            <w:pPr>
              <w:pStyle w:val="27"/>
              <w:jc w:val="center"/>
              <w:rPr>
                <w:rFonts w:hint="eastAsia" w:ascii="宋体" w:hAnsi="宋体" w:eastAsia="宋体" w:cs="宋体"/>
                <w:b/>
                <w:bCs/>
                <w:kern w:val="2"/>
                <w:sz w:val="18"/>
                <w:szCs w:val="18"/>
                <w:lang w:val="en-US" w:eastAsia="zh-CN" w:bidi="ar-SA"/>
              </w:rPr>
            </w:pPr>
            <w:r>
              <w:rPr>
                <w:rFonts w:hint="eastAsia" w:ascii="宋体" w:hAnsi="宋体" w:eastAsia="宋体" w:cs="宋体"/>
                <w:b/>
                <w:bCs/>
                <w:kern w:val="2"/>
                <w:sz w:val="18"/>
                <w:szCs w:val="18"/>
                <w:lang w:val="en-US" w:eastAsia="zh-CN" w:bidi="ar-SA"/>
              </w:rPr>
              <w:t>目标受众</w:t>
            </w:r>
          </w:p>
        </w:tc>
      </w:tr>
      <w:tr w14:paraId="1767BB5D">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tcPr>
          <w:p w14:paraId="4B25A2FF">
            <w:pPr>
              <w:pStyle w:val="27"/>
              <w:rPr>
                <w:rFonts w:hint="eastAsia"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业务操作类</w:t>
            </w:r>
          </w:p>
        </w:tc>
        <w:tc>
          <w:tcPr>
            <w:tcW w:w="5942" w:type="dxa"/>
            <w:tcBorders>
              <w:tl2br w:val="nil"/>
              <w:tr2bl w:val="nil"/>
            </w:tcBorders>
          </w:tcPr>
          <w:p w14:paraId="2129667D">
            <w:pPr>
              <w:pStyle w:val="27"/>
              <w:rPr>
                <w:rFonts w:hint="eastAsia"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《系统操作使用手册》、《业务功能操作图解》、《常见问题解答(FAQ)手册》</w:t>
            </w:r>
          </w:p>
        </w:tc>
        <w:tc>
          <w:tcPr>
            <w:tcW w:w="2119" w:type="dxa"/>
            <w:tcBorders>
              <w:tl2br w:val="nil"/>
              <w:tr2bl w:val="nil"/>
            </w:tcBorders>
          </w:tcPr>
          <w:p w14:paraId="27482966">
            <w:pPr>
              <w:pStyle w:val="27"/>
              <w:rPr>
                <w:rFonts w:hint="eastAsia"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最终用户、业务骨干</w:t>
            </w:r>
          </w:p>
        </w:tc>
      </w:tr>
      <w:tr w14:paraId="37C0B6E4">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tcPr>
          <w:p w14:paraId="384CE39F">
            <w:pPr>
              <w:pStyle w:val="27"/>
              <w:rPr>
                <w:rFonts w:hint="eastAsia"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后台运维类</w:t>
            </w:r>
          </w:p>
        </w:tc>
        <w:tc>
          <w:tcPr>
            <w:tcW w:w="5942" w:type="dxa"/>
            <w:tcBorders>
              <w:tl2br w:val="nil"/>
              <w:tr2bl w:val="nil"/>
            </w:tcBorders>
          </w:tcPr>
          <w:p w14:paraId="759E5A79">
            <w:pPr>
              <w:pStyle w:val="27"/>
              <w:rPr>
                <w:rFonts w:hint="eastAsia"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《系统部署与运行维护手册》、《后台配置管理指南》、《日常巡检与应急处置SOP》</w:t>
            </w:r>
          </w:p>
        </w:tc>
        <w:tc>
          <w:tcPr>
            <w:tcW w:w="2119" w:type="dxa"/>
            <w:tcBorders>
              <w:tl2br w:val="nil"/>
              <w:tr2bl w:val="nil"/>
            </w:tcBorders>
          </w:tcPr>
          <w:p w14:paraId="7909D56A">
            <w:pPr>
              <w:pStyle w:val="27"/>
              <w:rPr>
                <w:rFonts w:hint="eastAsia"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甲方系统管理员</w:t>
            </w:r>
          </w:p>
        </w:tc>
      </w:tr>
      <w:tr w14:paraId="1E882485">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tcPr>
          <w:p w14:paraId="184E961C">
            <w:pPr>
              <w:pStyle w:val="27"/>
              <w:rPr>
                <w:rFonts w:hint="eastAsia"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开发对接类</w:t>
            </w:r>
          </w:p>
        </w:tc>
        <w:tc>
          <w:tcPr>
            <w:tcW w:w="5942" w:type="dxa"/>
            <w:tcBorders>
              <w:tl2br w:val="nil"/>
              <w:tr2bl w:val="nil"/>
            </w:tcBorders>
          </w:tcPr>
          <w:p w14:paraId="0D0A487C">
            <w:pPr>
              <w:pStyle w:val="27"/>
              <w:rPr>
                <w:rFonts w:hint="eastAsia"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《系统接口对接开发规范》、《系统数据结构与数据流向说明书》</w:t>
            </w:r>
          </w:p>
        </w:tc>
        <w:tc>
          <w:tcPr>
            <w:tcW w:w="2119" w:type="dxa"/>
            <w:tcBorders>
              <w:tl2br w:val="nil"/>
              <w:tr2bl w:val="nil"/>
            </w:tcBorders>
          </w:tcPr>
          <w:p w14:paraId="7471AC25">
            <w:pPr>
              <w:pStyle w:val="27"/>
              <w:rPr>
                <w:rFonts w:hint="eastAsia"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甲方研发及合作服务商</w:t>
            </w:r>
          </w:p>
        </w:tc>
      </w:tr>
    </w:tbl>
    <w:p w14:paraId="335293C9">
      <w:pPr>
        <w:jc w:val="center"/>
        <w:outlineLvl w:val="9"/>
        <w:rPr>
          <w:rFonts w:hint="eastAsia" w:ascii="宋体" w:hAnsi="宋体" w:eastAsia="宋体" w:cs="宋体"/>
          <w:b/>
          <w:bCs/>
          <w:sz w:val="21"/>
          <w:szCs w:val="21"/>
        </w:rPr>
      </w:pPr>
    </w:p>
    <w:p w14:paraId="032E985D">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 xml:space="preserve">12.2.1 </w:t>
      </w:r>
      <w:bookmarkStart w:id="19" w:name="_Toc25105"/>
      <w:r>
        <w:rPr>
          <w:rFonts w:hint="eastAsia" w:ascii="宋体" w:hAnsi="宋体" w:eastAsia="宋体" w:cs="宋体"/>
          <w:b w:val="0"/>
          <w:bCs/>
          <w:lang w:val="en-US" w:eastAsia="zh-CN"/>
        </w:rPr>
        <w:t>培训及知识转移计划表</w:t>
      </w:r>
      <w:bookmarkEnd w:id="19"/>
    </w:p>
    <w:tbl>
      <w:tblPr>
        <w:tblStyle w:val="18"/>
        <w:tblW w:w="0" w:type="auto"/>
        <w:jc w:val="center"/>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Layout w:type="autofit"/>
        <w:tblCellMar>
          <w:top w:w="0" w:type="dxa"/>
          <w:left w:w="108" w:type="dxa"/>
          <w:bottom w:w="0" w:type="dxa"/>
          <w:right w:w="108" w:type="dxa"/>
        </w:tblCellMar>
      </w:tblPr>
      <w:tblGrid>
        <w:gridCol w:w="592"/>
        <w:gridCol w:w="1886"/>
        <w:gridCol w:w="1500"/>
        <w:gridCol w:w="1326"/>
        <w:gridCol w:w="1326"/>
        <w:gridCol w:w="1330"/>
        <w:gridCol w:w="1326"/>
      </w:tblGrid>
      <w:tr w14:paraId="63FD58E7">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592" w:type="dxa"/>
            <w:tcBorders>
              <w:tl2br w:val="nil"/>
              <w:tr2bl w:val="nil"/>
            </w:tcBorders>
            <w:shd w:val="clear" w:color="auto" w:fill="E9F1F8"/>
            <w:vAlign w:val="center"/>
          </w:tcPr>
          <w:p w14:paraId="0AA276EF">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sz w:val="21"/>
                <w:szCs w:val="21"/>
              </w:rPr>
              <w:t>序号</w:t>
            </w:r>
          </w:p>
        </w:tc>
        <w:tc>
          <w:tcPr>
            <w:tcW w:w="1886" w:type="dxa"/>
            <w:tcBorders>
              <w:tl2br w:val="nil"/>
              <w:tr2bl w:val="nil"/>
            </w:tcBorders>
            <w:shd w:val="clear" w:color="auto" w:fill="E9F1F8"/>
            <w:vAlign w:val="center"/>
          </w:tcPr>
          <w:p w14:paraId="7DE61D00">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sz w:val="21"/>
                <w:szCs w:val="21"/>
              </w:rPr>
              <w:t>培训/移交主题</w:t>
            </w:r>
          </w:p>
        </w:tc>
        <w:tc>
          <w:tcPr>
            <w:tcW w:w="1500" w:type="dxa"/>
            <w:tcBorders>
              <w:tl2br w:val="nil"/>
              <w:tr2bl w:val="nil"/>
            </w:tcBorders>
            <w:shd w:val="clear" w:color="auto" w:fill="E9F1F8"/>
            <w:vAlign w:val="center"/>
          </w:tcPr>
          <w:p w14:paraId="24A807FD">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sz w:val="21"/>
                <w:szCs w:val="21"/>
              </w:rPr>
              <w:t>对象</w:t>
            </w:r>
          </w:p>
        </w:tc>
        <w:tc>
          <w:tcPr>
            <w:tcW w:w="1326" w:type="dxa"/>
            <w:tcBorders>
              <w:tl2br w:val="nil"/>
              <w:tr2bl w:val="nil"/>
            </w:tcBorders>
            <w:shd w:val="clear" w:color="auto" w:fill="E9F1F8"/>
            <w:vAlign w:val="center"/>
          </w:tcPr>
          <w:p w14:paraId="65D2F7D1">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sz w:val="21"/>
                <w:szCs w:val="21"/>
              </w:rPr>
              <w:t>计划时间</w:t>
            </w:r>
          </w:p>
        </w:tc>
        <w:tc>
          <w:tcPr>
            <w:tcW w:w="1326" w:type="dxa"/>
            <w:tcBorders>
              <w:tl2br w:val="nil"/>
              <w:tr2bl w:val="nil"/>
            </w:tcBorders>
            <w:shd w:val="clear" w:color="auto" w:fill="E9F1F8"/>
            <w:vAlign w:val="center"/>
          </w:tcPr>
          <w:p w14:paraId="0A302B55">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sz w:val="21"/>
                <w:szCs w:val="21"/>
              </w:rPr>
              <w:t>培训方式</w:t>
            </w:r>
          </w:p>
        </w:tc>
        <w:tc>
          <w:tcPr>
            <w:tcW w:w="1330" w:type="dxa"/>
            <w:tcBorders>
              <w:tl2br w:val="nil"/>
              <w:tr2bl w:val="nil"/>
            </w:tcBorders>
            <w:shd w:val="clear" w:color="auto" w:fill="E9F1F8"/>
            <w:vAlign w:val="center"/>
          </w:tcPr>
          <w:p w14:paraId="793F72E3">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sz w:val="21"/>
                <w:szCs w:val="21"/>
              </w:rPr>
              <w:t>拟提交材料</w:t>
            </w:r>
          </w:p>
        </w:tc>
        <w:tc>
          <w:tcPr>
            <w:tcW w:w="1326" w:type="dxa"/>
            <w:tcBorders>
              <w:tl2br w:val="nil"/>
              <w:tr2bl w:val="nil"/>
            </w:tcBorders>
            <w:shd w:val="clear" w:color="auto" w:fill="E9F1F8"/>
            <w:vAlign w:val="center"/>
          </w:tcPr>
          <w:p w14:paraId="5B7AFEB3">
            <w:pPr>
              <w:widowControl w:val="0"/>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b/>
                <w:sz w:val="21"/>
                <w:szCs w:val="21"/>
              </w:rPr>
              <w:t>确认方式</w:t>
            </w:r>
          </w:p>
        </w:tc>
      </w:tr>
      <w:tr w14:paraId="311D6169">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592" w:type="dxa"/>
            <w:tcBorders>
              <w:tl2br w:val="nil"/>
              <w:tr2bl w:val="nil"/>
            </w:tcBorders>
            <w:vAlign w:val="center"/>
          </w:tcPr>
          <w:p w14:paraId="6A463AF2">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1</w:t>
            </w:r>
          </w:p>
        </w:tc>
        <w:tc>
          <w:tcPr>
            <w:tcW w:w="1886" w:type="dxa"/>
            <w:tcBorders>
              <w:tl2br w:val="nil"/>
              <w:tr2bl w:val="nil"/>
            </w:tcBorders>
            <w:vAlign w:val="center"/>
          </w:tcPr>
          <w:p w14:paraId="71448546">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用户操作培训</w:t>
            </w:r>
          </w:p>
        </w:tc>
        <w:tc>
          <w:tcPr>
            <w:tcW w:w="1500" w:type="dxa"/>
            <w:tcBorders>
              <w:tl2br w:val="nil"/>
              <w:tr2bl w:val="nil"/>
            </w:tcBorders>
            <w:shd w:val="clear" w:color="auto" w:fill="auto"/>
            <w:vAlign w:val="center"/>
          </w:tcPr>
          <w:p w14:paraId="4D75BDDF">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甲方系统操作人员</w:t>
            </w:r>
          </w:p>
        </w:tc>
        <w:tc>
          <w:tcPr>
            <w:tcW w:w="1326" w:type="dxa"/>
            <w:tcBorders>
              <w:tl2br w:val="nil"/>
              <w:tr2bl w:val="nil"/>
            </w:tcBorders>
            <w:shd w:val="clear" w:color="auto" w:fill="auto"/>
            <w:vAlign w:val="center"/>
          </w:tcPr>
          <w:p w14:paraId="6EA4B3B6">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项目验收后</w:t>
            </w:r>
          </w:p>
        </w:tc>
        <w:tc>
          <w:tcPr>
            <w:tcW w:w="1326" w:type="dxa"/>
            <w:tcBorders>
              <w:tl2br w:val="nil"/>
              <w:tr2bl w:val="nil"/>
            </w:tcBorders>
            <w:shd w:val="clear" w:color="auto" w:fill="auto"/>
            <w:vAlign w:val="center"/>
          </w:tcPr>
          <w:p w14:paraId="1D7E7B4D">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书面材料+当面培训</w:t>
            </w:r>
          </w:p>
        </w:tc>
        <w:tc>
          <w:tcPr>
            <w:tcW w:w="1330" w:type="dxa"/>
            <w:tcBorders>
              <w:tl2br w:val="nil"/>
              <w:tr2bl w:val="nil"/>
            </w:tcBorders>
            <w:shd w:val="clear" w:color="auto" w:fill="auto"/>
            <w:vAlign w:val="center"/>
          </w:tcPr>
          <w:p w14:paraId="79B1A9D0">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用户操作手册</w:t>
            </w:r>
          </w:p>
        </w:tc>
        <w:tc>
          <w:tcPr>
            <w:tcW w:w="1326" w:type="dxa"/>
            <w:tcBorders>
              <w:tl2br w:val="nil"/>
              <w:tr2bl w:val="nil"/>
            </w:tcBorders>
            <w:shd w:val="clear" w:color="auto" w:fill="auto"/>
            <w:vAlign w:val="center"/>
          </w:tcPr>
          <w:p w14:paraId="4B2D4622">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完成线下培训</w:t>
            </w:r>
          </w:p>
        </w:tc>
      </w:tr>
      <w:tr w14:paraId="5443760C">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trHeight w:val="295" w:hRule="atLeast"/>
          <w:jc w:val="center"/>
        </w:trPr>
        <w:tc>
          <w:tcPr>
            <w:tcW w:w="592" w:type="dxa"/>
            <w:tcBorders>
              <w:tl2br w:val="nil"/>
              <w:tr2bl w:val="nil"/>
            </w:tcBorders>
            <w:vAlign w:val="center"/>
          </w:tcPr>
          <w:p w14:paraId="7885436D">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2</w:t>
            </w:r>
          </w:p>
        </w:tc>
        <w:tc>
          <w:tcPr>
            <w:tcW w:w="1886" w:type="dxa"/>
            <w:tcBorders>
              <w:tl2br w:val="nil"/>
              <w:tr2bl w:val="nil"/>
            </w:tcBorders>
            <w:vAlign w:val="center"/>
          </w:tcPr>
          <w:p w14:paraId="34FCACC0">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运维管理培训</w:t>
            </w:r>
          </w:p>
        </w:tc>
        <w:tc>
          <w:tcPr>
            <w:tcW w:w="1500" w:type="dxa"/>
            <w:tcBorders>
              <w:tl2br w:val="nil"/>
              <w:tr2bl w:val="nil"/>
            </w:tcBorders>
            <w:shd w:val="clear" w:color="auto" w:fill="auto"/>
            <w:vAlign w:val="center"/>
          </w:tcPr>
          <w:p w14:paraId="20E4D9A0">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甲方运维人员</w:t>
            </w:r>
          </w:p>
        </w:tc>
        <w:tc>
          <w:tcPr>
            <w:tcW w:w="1326" w:type="dxa"/>
            <w:tcBorders>
              <w:tl2br w:val="nil"/>
              <w:tr2bl w:val="nil"/>
            </w:tcBorders>
            <w:shd w:val="clear" w:color="auto" w:fill="auto"/>
            <w:vAlign w:val="center"/>
          </w:tcPr>
          <w:p w14:paraId="685CA8EA">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项目验收后</w:t>
            </w:r>
          </w:p>
        </w:tc>
        <w:tc>
          <w:tcPr>
            <w:tcW w:w="1326" w:type="dxa"/>
            <w:tcBorders>
              <w:tl2br w:val="nil"/>
              <w:tr2bl w:val="nil"/>
            </w:tcBorders>
            <w:shd w:val="clear" w:color="auto" w:fill="auto"/>
            <w:vAlign w:val="center"/>
          </w:tcPr>
          <w:p w14:paraId="49CCEA12">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书面材料+当面培训</w:t>
            </w:r>
          </w:p>
        </w:tc>
        <w:tc>
          <w:tcPr>
            <w:tcW w:w="1330" w:type="dxa"/>
            <w:tcBorders>
              <w:tl2br w:val="nil"/>
              <w:tr2bl w:val="nil"/>
            </w:tcBorders>
            <w:shd w:val="clear" w:color="auto" w:fill="auto"/>
            <w:vAlign w:val="center"/>
          </w:tcPr>
          <w:p w14:paraId="3ACDCDA5">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系统运维手册</w:t>
            </w:r>
          </w:p>
        </w:tc>
        <w:tc>
          <w:tcPr>
            <w:tcW w:w="1326" w:type="dxa"/>
            <w:tcBorders>
              <w:tl2br w:val="nil"/>
              <w:tr2bl w:val="nil"/>
            </w:tcBorders>
            <w:shd w:val="clear" w:color="auto" w:fill="auto"/>
            <w:vAlign w:val="center"/>
          </w:tcPr>
          <w:p w14:paraId="25CF4EDE">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完成线下培训</w:t>
            </w:r>
          </w:p>
        </w:tc>
      </w:tr>
      <w:tr w14:paraId="0D26CFF8">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592" w:type="dxa"/>
            <w:tcBorders>
              <w:tl2br w:val="nil"/>
              <w:tr2bl w:val="nil"/>
            </w:tcBorders>
            <w:vAlign w:val="center"/>
          </w:tcPr>
          <w:p w14:paraId="188A0101">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3</w:t>
            </w:r>
          </w:p>
        </w:tc>
        <w:tc>
          <w:tcPr>
            <w:tcW w:w="1886" w:type="dxa"/>
            <w:tcBorders>
              <w:tl2br w:val="nil"/>
              <w:tr2bl w:val="nil"/>
            </w:tcBorders>
            <w:vAlign w:val="center"/>
          </w:tcPr>
          <w:p w14:paraId="7146C4C3">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系统部署及配置说明</w:t>
            </w:r>
          </w:p>
        </w:tc>
        <w:tc>
          <w:tcPr>
            <w:tcW w:w="1500" w:type="dxa"/>
            <w:tcBorders>
              <w:tl2br w:val="nil"/>
              <w:tr2bl w:val="nil"/>
            </w:tcBorders>
            <w:shd w:val="clear" w:color="auto" w:fill="auto"/>
            <w:vAlign w:val="center"/>
          </w:tcPr>
          <w:p w14:paraId="1D272D81">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甲方运维人员</w:t>
            </w:r>
          </w:p>
        </w:tc>
        <w:tc>
          <w:tcPr>
            <w:tcW w:w="1326" w:type="dxa"/>
            <w:tcBorders>
              <w:tl2br w:val="nil"/>
              <w:tr2bl w:val="nil"/>
            </w:tcBorders>
            <w:shd w:val="clear" w:color="auto" w:fill="auto"/>
            <w:vAlign w:val="center"/>
          </w:tcPr>
          <w:p w14:paraId="3193D4F5">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项目验收后</w:t>
            </w:r>
          </w:p>
        </w:tc>
        <w:tc>
          <w:tcPr>
            <w:tcW w:w="1326" w:type="dxa"/>
            <w:tcBorders>
              <w:tl2br w:val="nil"/>
              <w:tr2bl w:val="nil"/>
            </w:tcBorders>
            <w:shd w:val="clear" w:color="auto" w:fill="auto"/>
            <w:vAlign w:val="center"/>
          </w:tcPr>
          <w:p w14:paraId="0EFA6016">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书面材料+当面培训</w:t>
            </w:r>
          </w:p>
        </w:tc>
        <w:tc>
          <w:tcPr>
            <w:tcW w:w="1330" w:type="dxa"/>
            <w:tcBorders>
              <w:tl2br w:val="nil"/>
              <w:tr2bl w:val="nil"/>
            </w:tcBorders>
            <w:shd w:val="clear" w:color="auto" w:fill="auto"/>
            <w:vAlign w:val="center"/>
          </w:tcPr>
          <w:p w14:paraId="2387A083">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部署说明</w:t>
            </w:r>
          </w:p>
        </w:tc>
        <w:tc>
          <w:tcPr>
            <w:tcW w:w="1326" w:type="dxa"/>
            <w:tcBorders>
              <w:tl2br w:val="nil"/>
              <w:tr2bl w:val="nil"/>
            </w:tcBorders>
            <w:shd w:val="clear" w:color="auto" w:fill="auto"/>
            <w:vAlign w:val="center"/>
          </w:tcPr>
          <w:p w14:paraId="42DA345E">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完成线下培训</w:t>
            </w:r>
          </w:p>
        </w:tc>
      </w:tr>
      <w:tr w14:paraId="29FAB312">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592" w:type="dxa"/>
            <w:tcBorders>
              <w:tl2br w:val="nil"/>
              <w:tr2bl w:val="nil"/>
            </w:tcBorders>
            <w:vAlign w:val="center"/>
          </w:tcPr>
          <w:p w14:paraId="7BEC8A02">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4</w:t>
            </w:r>
          </w:p>
        </w:tc>
        <w:tc>
          <w:tcPr>
            <w:tcW w:w="1886" w:type="dxa"/>
            <w:tcBorders>
              <w:tl2br w:val="nil"/>
              <w:tr2bl w:val="nil"/>
            </w:tcBorders>
            <w:vAlign w:val="center"/>
          </w:tcPr>
          <w:p w14:paraId="7894F555">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问题处理及应急流程</w:t>
            </w:r>
          </w:p>
        </w:tc>
        <w:tc>
          <w:tcPr>
            <w:tcW w:w="1500" w:type="dxa"/>
            <w:tcBorders>
              <w:tl2br w:val="nil"/>
              <w:tr2bl w:val="nil"/>
            </w:tcBorders>
            <w:shd w:val="clear" w:color="auto" w:fill="auto"/>
            <w:vAlign w:val="center"/>
          </w:tcPr>
          <w:p w14:paraId="474E51C6">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甲方系统操作人员</w:t>
            </w:r>
          </w:p>
        </w:tc>
        <w:tc>
          <w:tcPr>
            <w:tcW w:w="1326" w:type="dxa"/>
            <w:tcBorders>
              <w:tl2br w:val="nil"/>
              <w:tr2bl w:val="nil"/>
            </w:tcBorders>
            <w:shd w:val="clear" w:color="auto" w:fill="auto"/>
            <w:vAlign w:val="center"/>
          </w:tcPr>
          <w:p w14:paraId="0F232E4E">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项目上线后</w:t>
            </w:r>
          </w:p>
        </w:tc>
        <w:tc>
          <w:tcPr>
            <w:tcW w:w="1326" w:type="dxa"/>
            <w:tcBorders>
              <w:tl2br w:val="nil"/>
              <w:tr2bl w:val="nil"/>
            </w:tcBorders>
            <w:shd w:val="clear" w:color="auto" w:fill="auto"/>
            <w:vAlign w:val="center"/>
          </w:tcPr>
          <w:p w14:paraId="613274F6">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线上</w:t>
            </w:r>
          </w:p>
        </w:tc>
        <w:tc>
          <w:tcPr>
            <w:tcW w:w="1330" w:type="dxa"/>
            <w:tcBorders>
              <w:tl2br w:val="nil"/>
              <w:tr2bl w:val="nil"/>
            </w:tcBorders>
            <w:shd w:val="clear" w:color="auto" w:fill="auto"/>
            <w:vAlign w:val="center"/>
          </w:tcPr>
          <w:p w14:paraId="42DDF28B">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Bug台账及整改闭环记录</w:t>
            </w:r>
          </w:p>
        </w:tc>
        <w:tc>
          <w:tcPr>
            <w:tcW w:w="1326" w:type="dxa"/>
            <w:tcBorders>
              <w:tl2br w:val="nil"/>
              <w:tr2bl w:val="nil"/>
            </w:tcBorders>
            <w:shd w:val="clear" w:color="auto" w:fill="auto"/>
            <w:vAlign w:val="center"/>
          </w:tcPr>
          <w:p w14:paraId="4251C481">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线上确认</w:t>
            </w:r>
          </w:p>
        </w:tc>
      </w:tr>
      <w:tr w14:paraId="6A0B4588">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jc w:val="center"/>
        </w:trPr>
        <w:tc>
          <w:tcPr>
            <w:tcW w:w="592" w:type="dxa"/>
            <w:tcBorders>
              <w:tl2br w:val="nil"/>
              <w:tr2bl w:val="nil"/>
            </w:tcBorders>
            <w:vAlign w:val="center"/>
          </w:tcPr>
          <w:p w14:paraId="44C0AD76">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5</w:t>
            </w:r>
          </w:p>
        </w:tc>
        <w:tc>
          <w:tcPr>
            <w:tcW w:w="1886" w:type="dxa"/>
            <w:tcBorders>
              <w:tl2br w:val="nil"/>
              <w:tr2bl w:val="nil"/>
            </w:tcBorders>
            <w:vAlign w:val="center"/>
          </w:tcPr>
          <w:p w14:paraId="47F3D64D">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资料移交及答疑</w:t>
            </w:r>
          </w:p>
        </w:tc>
        <w:tc>
          <w:tcPr>
            <w:tcW w:w="1500" w:type="dxa"/>
            <w:tcBorders>
              <w:tl2br w:val="nil"/>
              <w:tr2bl w:val="nil"/>
            </w:tcBorders>
            <w:shd w:val="clear" w:color="auto" w:fill="auto"/>
            <w:vAlign w:val="center"/>
          </w:tcPr>
          <w:p w14:paraId="55BE77B4">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甲方项目经理</w:t>
            </w:r>
          </w:p>
        </w:tc>
        <w:tc>
          <w:tcPr>
            <w:tcW w:w="1326" w:type="dxa"/>
            <w:tcBorders>
              <w:tl2br w:val="nil"/>
              <w:tr2bl w:val="nil"/>
            </w:tcBorders>
            <w:shd w:val="clear" w:color="auto" w:fill="auto"/>
            <w:vAlign w:val="center"/>
          </w:tcPr>
          <w:p w14:paraId="63952D7C">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项目验收后</w:t>
            </w:r>
          </w:p>
        </w:tc>
        <w:tc>
          <w:tcPr>
            <w:tcW w:w="1326" w:type="dxa"/>
            <w:tcBorders>
              <w:tl2br w:val="nil"/>
              <w:tr2bl w:val="nil"/>
            </w:tcBorders>
            <w:shd w:val="clear" w:color="auto" w:fill="auto"/>
            <w:vAlign w:val="center"/>
          </w:tcPr>
          <w:p w14:paraId="61552887">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书面材料</w:t>
            </w:r>
          </w:p>
        </w:tc>
        <w:tc>
          <w:tcPr>
            <w:tcW w:w="1330" w:type="dxa"/>
            <w:tcBorders>
              <w:tl2br w:val="nil"/>
              <w:tr2bl w:val="nil"/>
            </w:tcBorders>
            <w:shd w:val="clear" w:color="auto" w:fill="auto"/>
            <w:vAlign w:val="center"/>
          </w:tcPr>
          <w:p w14:paraId="008BDDC9">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项目验收材料</w:t>
            </w:r>
          </w:p>
        </w:tc>
        <w:tc>
          <w:tcPr>
            <w:tcW w:w="1326" w:type="dxa"/>
            <w:tcBorders>
              <w:tl2br w:val="nil"/>
              <w:tr2bl w:val="nil"/>
            </w:tcBorders>
            <w:shd w:val="clear" w:color="auto" w:fill="auto"/>
            <w:vAlign w:val="center"/>
          </w:tcPr>
          <w:p w14:paraId="5E74A737">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提交项目验收材料</w:t>
            </w:r>
          </w:p>
        </w:tc>
      </w:tr>
    </w:tbl>
    <w:p w14:paraId="35A3CF20">
      <w:pPr>
        <w:rPr>
          <w:rFonts w:hint="eastAsia" w:ascii="宋体" w:hAnsi="宋体" w:eastAsia="宋体" w:cs="宋体"/>
          <w:sz w:val="21"/>
          <w:szCs w:val="21"/>
        </w:rPr>
      </w:pPr>
    </w:p>
    <w:p w14:paraId="0DCDCEBB">
      <w:pPr>
        <w:pStyle w:val="5"/>
        <w:bidi w:val="0"/>
        <w:rPr>
          <w:rFonts w:hint="eastAsia" w:ascii="宋体" w:hAnsi="宋体" w:eastAsia="宋体" w:cs="宋体"/>
          <w:b w:val="0"/>
          <w:bCs/>
          <w:lang w:val="en-US" w:eastAsia="zh-CN"/>
        </w:rPr>
      </w:pPr>
      <w:bookmarkStart w:id="20" w:name="_Toc10368"/>
      <w:r>
        <w:rPr>
          <w:rFonts w:hint="eastAsia" w:ascii="宋体" w:hAnsi="宋体" w:eastAsia="宋体" w:cs="宋体"/>
          <w:b w:val="0"/>
          <w:bCs/>
          <w:lang w:val="en-US" w:eastAsia="zh-CN"/>
        </w:rPr>
        <w:t>12.2.2交付完整性验证与知识转移检查表</w:t>
      </w:r>
      <w:bookmarkEnd w:id="20"/>
    </w:p>
    <w:p w14:paraId="32A857C0">
      <w:pPr>
        <w:pStyle w:val="26"/>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kern w:val="2"/>
          <w:sz w:val="21"/>
          <w:szCs w:val="21"/>
          <w:lang w:val="en-US" w:eastAsia="zh-CN" w:bidi="ar-SA"/>
        </w:rPr>
      </w:pPr>
      <w:r>
        <w:rPr>
          <w:rFonts w:hint="eastAsia" w:ascii="宋体" w:hAnsi="宋体" w:eastAsia="宋体" w:cs="宋体"/>
          <w:b w:val="0"/>
          <w:kern w:val="2"/>
          <w:sz w:val="21"/>
          <w:szCs w:val="21"/>
          <w:lang w:val="en-US" w:eastAsia="zh-CN" w:bidi="ar-SA"/>
        </w:rPr>
        <w:t>为将"交付保障"从口头承诺转化为可量化、可逐项勾选的验收标准，我公司特提供以下《知识转移与交付完整性检查表》，在终验和退出交接阶段由甲乙双方逐项确认签字：</w:t>
      </w:r>
    </w:p>
    <w:tbl>
      <w:tblPr>
        <w:tblStyle w:val="28"/>
        <w:tblW w:w="0" w:type="auto"/>
        <w:tblInd w:w="0" w:type="dxa"/>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Layout w:type="autofit"/>
        <w:tblCellMar>
          <w:top w:w="0" w:type="dxa"/>
          <w:left w:w="108" w:type="dxa"/>
          <w:bottom w:w="0" w:type="dxa"/>
          <w:right w:w="108" w:type="dxa"/>
        </w:tblCellMar>
      </w:tblPr>
      <w:tblGrid>
        <w:gridCol w:w="1023"/>
        <w:gridCol w:w="1801"/>
        <w:gridCol w:w="4000"/>
        <w:gridCol w:w="1490"/>
        <w:gridCol w:w="974"/>
      </w:tblGrid>
      <w:tr w14:paraId="0984400B">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rPr>
          <w:tblHeader/>
        </w:trPr>
        <w:tc>
          <w:tcPr>
            <w:tcBorders>
              <w:tl2br w:val="nil"/>
              <w:tr2bl w:val="nil"/>
            </w:tcBorders>
            <w:shd w:val="clear" w:color="auto" w:fill="E9F1F8"/>
            <w:vAlign w:val="center"/>
          </w:tcPr>
          <w:p w14:paraId="395F6AD4">
            <w:pPr>
              <w:pStyle w:val="27"/>
              <w:jc w:val="center"/>
              <w:rPr>
                <w:rFonts w:hint="eastAsia" w:ascii="宋体" w:hAnsi="宋体" w:eastAsia="宋体" w:cs="宋体"/>
                <w:b/>
                <w:bCs/>
                <w:sz w:val="21"/>
                <w:szCs w:val="21"/>
              </w:rPr>
            </w:pPr>
            <w:r>
              <w:rPr>
                <w:rFonts w:hint="eastAsia" w:ascii="宋体" w:hAnsi="宋体" w:eastAsia="宋体" w:cs="宋体"/>
                <w:b/>
                <w:bCs/>
                <w:sz w:val="21"/>
                <w:szCs w:val="21"/>
              </w:rPr>
              <w:t>检查维度</w:t>
            </w:r>
          </w:p>
        </w:tc>
        <w:tc>
          <w:tcPr>
            <w:tcBorders>
              <w:tl2br w:val="nil"/>
              <w:tr2bl w:val="nil"/>
            </w:tcBorders>
            <w:shd w:val="clear" w:color="auto" w:fill="E9F1F8"/>
            <w:vAlign w:val="center"/>
          </w:tcPr>
          <w:p w14:paraId="24B0EB7B">
            <w:pPr>
              <w:pStyle w:val="27"/>
              <w:jc w:val="center"/>
              <w:rPr>
                <w:rFonts w:hint="eastAsia" w:ascii="宋体" w:hAnsi="宋体" w:eastAsia="宋体" w:cs="宋体"/>
                <w:b/>
                <w:bCs/>
                <w:sz w:val="21"/>
                <w:szCs w:val="21"/>
              </w:rPr>
            </w:pPr>
            <w:r>
              <w:rPr>
                <w:rFonts w:hint="eastAsia" w:ascii="宋体" w:hAnsi="宋体" w:eastAsia="宋体" w:cs="宋体"/>
                <w:b/>
                <w:bCs/>
                <w:sz w:val="21"/>
                <w:szCs w:val="21"/>
              </w:rPr>
              <w:t>检查项</w:t>
            </w:r>
          </w:p>
        </w:tc>
        <w:tc>
          <w:tcPr>
            <w:tcBorders>
              <w:tl2br w:val="nil"/>
              <w:tr2bl w:val="nil"/>
            </w:tcBorders>
            <w:shd w:val="clear" w:color="auto" w:fill="E9F1F8"/>
            <w:vAlign w:val="center"/>
          </w:tcPr>
          <w:p w14:paraId="5997BD95">
            <w:pPr>
              <w:pStyle w:val="27"/>
              <w:jc w:val="center"/>
              <w:rPr>
                <w:rFonts w:hint="eastAsia" w:ascii="宋体" w:hAnsi="宋体" w:eastAsia="宋体" w:cs="宋体"/>
                <w:b/>
                <w:bCs/>
                <w:sz w:val="21"/>
                <w:szCs w:val="21"/>
              </w:rPr>
            </w:pPr>
            <w:r>
              <w:rPr>
                <w:rFonts w:hint="eastAsia" w:ascii="宋体" w:hAnsi="宋体" w:eastAsia="宋体" w:cs="宋体"/>
                <w:b/>
                <w:bCs/>
                <w:sz w:val="21"/>
                <w:szCs w:val="21"/>
              </w:rPr>
              <w:t>验证标准</w:t>
            </w:r>
          </w:p>
        </w:tc>
        <w:tc>
          <w:tcPr>
            <w:tcBorders>
              <w:tl2br w:val="nil"/>
              <w:tr2bl w:val="nil"/>
            </w:tcBorders>
            <w:shd w:val="clear" w:color="auto" w:fill="E9F1F8"/>
            <w:vAlign w:val="center"/>
          </w:tcPr>
          <w:p w14:paraId="33650057">
            <w:pPr>
              <w:pStyle w:val="27"/>
              <w:jc w:val="center"/>
              <w:rPr>
                <w:rFonts w:hint="eastAsia" w:ascii="宋体" w:hAnsi="宋体" w:eastAsia="宋体" w:cs="宋体"/>
                <w:b/>
                <w:bCs/>
                <w:sz w:val="21"/>
                <w:szCs w:val="21"/>
              </w:rPr>
            </w:pPr>
            <w:r>
              <w:rPr>
                <w:rFonts w:hint="eastAsia" w:ascii="宋体" w:hAnsi="宋体" w:eastAsia="宋体" w:cs="宋体"/>
                <w:b/>
                <w:bCs/>
                <w:sz w:val="21"/>
                <w:szCs w:val="21"/>
              </w:rPr>
              <w:t>验证方式</w:t>
            </w:r>
          </w:p>
        </w:tc>
        <w:tc>
          <w:tcPr>
            <w:tcBorders>
              <w:tl2br w:val="nil"/>
              <w:tr2bl w:val="nil"/>
            </w:tcBorders>
            <w:shd w:val="clear" w:color="auto" w:fill="E9F1F8"/>
            <w:vAlign w:val="center"/>
          </w:tcPr>
          <w:p w14:paraId="0B1605F1">
            <w:pPr>
              <w:pStyle w:val="27"/>
              <w:jc w:val="center"/>
              <w:rPr>
                <w:rFonts w:hint="eastAsia" w:ascii="宋体" w:hAnsi="宋体" w:eastAsia="宋体" w:cs="宋体"/>
                <w:b/>
                <w:bCs/>
                <w:sz w:val="21"/>
                <w:szCs w:val="21"/>
              </w:rPr>
            </w:pPr>
            <w:r>
              <w:rPr>
                <w:rFonts w:hint="eastAsia" w:ascii="宋体" w:hAnsi="宋体" w:eastAsia="宋体" w:cs="宋体"/>
                <w:b/>
                <w:bCs/>
                <w:sz w:val="21"/>
                <w:szCs w:val="21"/>
              </w:rPr>
              <w:t>甲方确认</w:t>
            </w:r>
          </w:p>
        </w:tc>
      </w:tr>
      <w:tr w14:paraId="3B7F3DAB">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75F06D18">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源代码</w:t>
            </w:r>
          </w:p>
        </w:tc>
        <w:tc>
          <w:tcPr>
            <w:tcBorders>
              <w:tl2br w:val="nil"/>
              <w:tr2bl w:val="nil"/>
            </w:tcBorders>
            <w:vAlign w:val="center"/>
          </w:tcPr>
          <w:p w14:paraId="4C37495D">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全量源码已移交</w:t>
            </w:r>
          </w:p>
        </w:tc>
        <w:tc>
          <w:tcPr>
            <w:tcBorders>
              <w:tl2br w:val="nil"/>
              <w:tr2bl w:val="nil"/>
            </w:tcBorders>
            <w:vAlign w:val="center"/>
          </w:tcPr>
          <w:p w14:paraId="55B99259">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在纯净环境可编译通过，无私有依赖</w:t>
            </w:r>
          </w:p>
        </w:tc>
        <w:tc>
          <w:tcPr>
            <w:tcBorders>
              <w:tl2br w:val="nil"/>
              <w:tr2bl w:val="nil"/>
            </w:tcBorders>
            <w:vAlign w:val="center"/>
          </w:tcPr>
          <w:p w14:paraId="5D960B5A">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甲方环境编译验证</w:t>
            </w:r>
          </w:p>
        </w:tc>
        <w:tc>
          <w:tcPr>
            <w:tcBorders>
              <w:tl2br w:val="nil"/>
              <w:tr2bl w:val="nil"/>
            </w:tcBorders>
          </w:tcPr>
          <w:p w14:paraId="5D674DB2">
            <w:pPr>
              <w:pStyle w:val="27"/>
              <w:rPr>
                <w:rFonts w:hint="eastAsia" w:ascii="宋体" w:hAnsi="宋体" w:eastAsia="宋体" w:cs="宋体"/>
                <w:sz w:val="21"/>
                <w:szCs w:val="21"/>
              </w:rPr>
            </w:pPr>
            <w:r>
              <w:rPr>
                <w:rFonts w:hint="eastAsia" w:ascii="宋体" w:hAnsi="宋体" w:eastAsia="宋体" w:cs="宋体"/>
                <w:sz w:val="21"/>
                <w:szCs w:val="21"/>
              </w:rPr>
              <w:t>□</w:t>
            </w:r>
          </w:p>
        </w:tc>
      </w:tr>
      <w:tr w14:paraId="3BA8083D">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505CEA6F">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源代码</w:t>
            </w:r>
          </w:p>
        </w:tc>
        <w:tc>
          <w:tcPr>
            <w:tcBorders>
              <w:tl2br w:val="nil"/>
              <w:tr2bl w:val="nil"/>
            </w:tcBorders>
            <w:vAlign w:val="center"/>
          </w:tcPr>
          <w:p w14:paraId="2E0279A4">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代码注释完整</w:t>
            </w:r>
          </w:p>
        </w:tc>
        <w:tc>
          <w:tcPr>
            <w:tcBorders>
              <w:tl2br w:val="nil"/>
              <w:tr2bl w:val="nil"/>
            </w:tcBorders>
            <w:vAlign w:val="center"/>
          </w:tcPr>
          <w:p w14:paraId="7955545D">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核心业务逻辑、复杂算法处有中文注释</w:t>
            </w:r>
          </w:p>
        </w:tc>
        <w:tc>
          <w:tcPr>
            <w:tcBorders>
              <w:tl2br w:val="nil"/>
              <w:tr2bl w:val="nil"/>
            </w:tcBorders>
            <w:vAlign w:val="center"/>
          </w:tcPr>
          <w:p w14:paraId="3317C9D5">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代码抽检</w:t>
            </w:r>
          </w:p>
        </w:tc>
        <w:tc>
          <w:tcPr>
            <w:tcBorders>
              <w:tl2br w:val="nil"/>
              <w:tr2bl w:val="nil"/>
            </w:tcBorders>
          </w:tcPr>
          <w:p w14:paraId="34F9C5E4">
            <w:pPr>
              <w:pStyle w:val="27"/>
              <w:rPr>
                <w:rFonts w:hint="eastAsia" w:ascii="宋体" w:hAnsi="宋体" w:eastAsia="宋体" w:cs="宋体"/>
                <w:sz w:val="21"/>
                <w:szCs w:val="21"/>
              </w:rPr>
            </w:pPr>
            <w:r>
              <w:rPr>
                <w:rFonts w:hint="eastAsia" w:ascii="宋体" w:hAnsi="宋体" w:eastAsia="宋体" w:cs="宋体"/>
                <w:sz w:val="21"/>
                <w:szCs w:val="21"/>
              </w:rPr>
              <w:t>□</w:t>
            </w:r>
          </w:p>
        </w:tc>
      </w:tr>
      <w:tr w14:paraId="5FC7127D">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1F2D64BF">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数据库</w:t>
            </w:r>
          </w:p>
        </w:tc>
        <w:tc>
          <w:tcPr>
            <w:tcBorders>
              <w:tl2br w:val="nil"/>
              <w:tr2bl w:val="nil"/>
            </w:tcBorders>
            <w:vAlign w:val="center"/>
          </w:tcPr>
          <w:p w14:paraId="677F54B8">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建表与初始化脚本完整</w:t>
            </w:r>
          </w:p>
        </w:tc>
        <w:tc>
          <w:tcPr>
            <w:tcBorders>
              <w:tl2br w:val="nil"/>
              <w:tr2bl w:val="nil"/>
            </w:tcBorders>
            <w:vAlign w:val="center"/>
          </w:tcPr>
          <w:p w14:paraId="571CC51D">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可在空库上执行并创建完整表结构</w:t>
            </w:r>
          </w:p>
        </w:tc>
        <w:tc>
          <w:tcPr>
            <w:tcBorders>
              <w:tl2br w:val="nil"/>
              <w:tr2bl w:val="nil"/>
            </w:tcBorders>
            <w:vAlign w:val="center"/>
          </w:tcPr>
          <w:p w14:paraId="53859022">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测试环境执行验证</w:t>
            </w:r>
          </w:p>
        </w:tc>
        <w:tc>
          <w:tcPr>
            <w:tcBorders>
              <w:tl2br w:val="nil"/>
              <w:tr2bl w:val="nil"/>
            </w:tcBorders>
          </w:tcPr>
          <w:p w14:paraId="4ACFB431">
            <w:pPr>
              <w:pStyle w:val="27"/>
              <w:rPr>
                <w:rFonts w:hint="eastAsia" w:ascii="宋体" w:hAnsi="宋体" w:eastAsia="宋体" w:cs="宋体"/>
                <w:sz w:val="21"/>
                <w:szCs w:val="21"/>
              </w:rPr>
            </w:pPr>
            <w:r>
              <w:rPr>
                <w:rFonts w:hint="eastAsia" w:ascii="宋体" w:hAnsi="宋体" w:eastAsia="宋体" w:cs="宋体"/>
                <w:sz w:val="21"/>
                <w:szCs w:val="21"/>
              </w:rPr>
              <w:t>□</w:t>
            </w:r>
          </w:p>
        </w:tc>
      </w:tr>
      <w:tr w14:paraId="1A18A13D">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24E29503">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数据库</w:t>
            </w:r>
          </w:p>
        </w:tc>
        <w:tc>
          <w:tcPr>
            <w:tcBorders>
              <w:tl2br w:val="nil"/>
              <w:tr2bl w:val="nil"/>
            </w:tcBorders>
            <w:vAlign w:val="center"/>
          </w:tcPr>
          <w:p w14:paraId="63204ECE">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数据字典完整</w:t>
            </w:r>
          </w:p>
        </w:tc>
        <w:tc>
          <w:tcPr>
            <w:tcBorders>
              <w:tl2br w:val="nil"/>
              <w:tr2bl w:val="nil"/>
            </w:tcBorders>
            <w:vAlign w:val="center"/>
          </w:tcPr>
          <w:p w14:paraId="14C74D36">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表名、字段名、类型、说明齐全</w:t>
            </w:r>
          </w:p>
        </w:tc>
        <w:tc>
          <w:tcPr>
            <w:tcBorders>
              <w:tl2br w:val="nil"/>
              <w:tr2bl w:val="nil"/>
            </w:tcBorders>
            <w:vAlign w:val="center"/>
          </w:tcPr>
          <w:p w14:paraId="166048C3">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文档审查</w:t>
            </w:r>
          </w:p>
        </w:tc>
        <w:tc>
          <w:tcPr>
            <w:tcBorders>
              <w:tl2br w:val="nil"/>
              <w:tr2bl w:val="nil"/>
            </w:tcBorders>
          </w:tcPr>
          <w:p w14:paraId="34392146">
            <w:pPr>
              <w:pStyle w:val="27"/>
              <w:rPr>
                <w:rFonts w:hint="eastAsia" w:ascii="宋体" w:hAnsi="宋体" w:eastAsia="宋体" w:cs="宋体"/>
                <w:sz w:val="21"/>
                <w:szCs w:val="21"/>
              </w:rPr>
            </w:pPr>
            <w:r>
              <w:rPr>
                <w:rFonts w:hint="eastAsia" w:ascii="宋体" w:hAnsi="宋体" w:eastAsia="宋体" w:cs="宋体"/>
                <w:sz w:val="21"/>
                <w:szCs w:val="21"/>
              </w:rPr>
              <w:t>□</w:t>
            </w:r>
          </w:p>
        </w:tc>
      </w:tr>
      <w:tr w14:paraId="633BF1F1">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649C24DB">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接口文档</w:t>
            </w:r>
          </w:p>
        </w:tc>
        <w:tc>
          <w:tcPr>
            <w:tcBorders>
              <w:tl2br w:val="nil"/>
              <w:tr2bl w:val="nil"/>
            </w:tcBorders>
            <w:vAlign w:val="center"/>
          </w:tcPr>
          <w:p w14:paraId="51367030">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接口清单与实际一致</w:t>
            </w:r>
          </w:p>
        </w:tc>
        <w:tc>
          <w:tcPr>
            <w:tcBorders>
              <w:tl2br w:val="nil"/>
              <w:tr2bl w:val="nil"/>
            </w:tcBorders>
            <w:vAlign w:val="center"/>
          </w:tcPr>
          <w:p w14:paraId="5323B332">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字段、错误码、鉴权方式与线上环境一致</w:t>
            </w:r>
          </w:p>
        </w:tc>
        <w:tc>
          <w:tcPr>
            <w:tcBorders>
              <w:tl2br w:val="nil"/>
              <w:tr2bl w:val="nil"/>
            </w:tcBorders>
            <w:vAlign w:val="center"/>
          </w:tcPr>
          <w:p w14:paraId="428EDA6A">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抽样接口调用比对</w:t>
            </w:r>
          </w:p>
        </w:tc>
        <w:tc>
          <w:tcPr>
            <w:tcBorders>
              <w:tl2br w:val="nil"/>
              <w:tr2bl w:val="nil"/>
            </w:tcBorders>
          </w:tcPr>
          <w:p w14:paraId="5013FE8C">
            <w:pPr>
              <w:pStyle w:val="27"/>
              <w:rPr>
                <w:rFonts w:hint="eastAsia" w:ascii="宋体" w:hAnsi="宋体" w:eastAsia="宋体" w:cs="宋体"/>
                <w:sz w:val="21"/>
                <w:szCs w:val="21"/>
              </w:rPr>
            </w:pPr>
            <w:r>
              <w:rPr>
                <w:rFonts w:hint="eastAsia" w:ascii="宋体" w:hAnsi="宋体" w:eastAsia="宋体" w:cs="宋体"/>
                <w:sz w:val="21"/>
                <w:szCs w:val="21"/>
              </w:rPr>
              <w:t>□</w:t>
            </w:r>
          </w:p>
        </w:tc>
      </w:tr>
      <w:tr w14:paraId="6A984FFC">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0C506280">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部署配置</w:t>
            </w:r>
          </w:p>
        </w:tc>
        <w:tc>
          <w:tcPr>
            <w:tcBorders>
              <w:tl2br w:val="nil"/>
              <w:tr2bl w:val="nil"/>
            </w:tcBorders>
            <w:vAlign w:val="center"/>
          </w:tcPr>
          <w:p w14:paraId="62D70197">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部署手册可执行</w:t>
            </w:r>
          </w:p>
        </w:tc>
        <w:tc>
          <w:tcPr>
            <w:tcBorders>
              <w:tl2br w:val="nil"/>
              <w:tr2bl w:val="nil"/>
            </w:tcBorders>
            <w:vAlign w:val="center"/>
          </w:tcPr>
          <w:p w14:paraId="44CE3001">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甲方运维人员可按手册独立完成部署</w:t>
            </w:r>
          </w:p>
        </w:tc>
        <w:tc>
          <w:tcPr>
            <w:tcBorders>
              <w:tl2br w:val="nil"/>
              <w:tr2bl w:val="nil"/>
            </w:tcBorders>
            <w:vAlign w:val="center"/>
          </w:tcPr>
          <w:p w14:paraId="70BEFB1A">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甲方实操验证</w:t>
            </w:r>
          </w:p>
        </w:tc>
        <w:tc>
          <w:tcPr>
            <w:tcBorders>
              <w:tl2br w:val="nil"/>
              <w:tr2bl w:val="nil"/>
            </w:tcBorders>
          </w:tcPr>
          <w:p w14:paraId="3941F45B">
            <w:pPr>
              <w:pStyle w:val="27"/>
              <w:rPr>
                <w:rFonts w:hint="eastAsia" w:ascii="宋体" w:hAnsi="宋体" w:eastAsia="宋体" w:cs="宋体"/>
                <w:sz w:val="21"/>
                <w:szCs w:val="21"/>
              </w:rPr>
            </w:pPr>
            <w:r>
              <w:rPr>
                <w:rFonts w:hint="eastAsia" w:ascii="宋体" w:hAnsi="宋体" w:eastAsia="宋体" w:cs="宋体"/>
                <w:sz w:val="21"/>
                <w:szCs w:val="21"/>
              </w:rPr>
              <w:t>□</w:t>
            </w:r>
          </w:p>
        </w:tc>
      </w:tr>
      <w:tr w14:paraId="420DE7C6">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2F20109D">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用户手册</w:t>
            </w:r>
          </w:p>
        </w:tc>
        <w:tc>
          <w:tcPr>
            <w:tcBorders>
              <w:tl2br w:val="nil"/>
              <w:tr2bl w:val="nil"/>
            </w:tcBorders>
            <w:vAlign w:val="center"/>
          </w:tcPr>
          <w:p w14:paraId="5F559F95">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操作指南覆盖全角色</w:t>
            </w:r>
          </w:p>
        </w:tc>
        <w:tc>
          <w:tcPr>
            <w:tcBorders>
              <w:tl2br w:val="nil"/>
              <w:tr2bl w:val="nil"/>
            </w:tcBorders>
            <w:vAlign w:val="center"/>
          </w:tcPr>
          <w:p w14:paraId="0C1DD730">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项目总监、监理、管理员等核心角色操作均有图文说明</w:t>
            </w:r>
          </w:p>
        </w:tc>
        <w:tc>
          <w:tcPr>
            <w:tcBorders>
              <w:tl2br w:val="nil"/>
              <w:tr2bl w:val="nil"/>
            </w:tcBorders>
            <w:vAlign w:val="center"/>
          </w:tcPr>
          <w:p w14:paraId="2FE10A31">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文档审查</w:t>
            </w:r>
          </w:p>
        </w:tc>
        <w:tc>
          <w:tcPr>
            <w:tcBorders>
              <w:tl2br w:val="nil"/>
              <w:tr2bl w:val="nil"/>
            </w:tcBorders>
          </w:tcPr>
          <w:p w14:paraId="2C75E544">
            <w:pPr>
              <w:pStyle w:val="27"/>
              <w:rPr>
                <w:rFonts w:hint="eastAsia" w:ascii="宋体" w:hAnsi="宋体" w:eastAsia="宋体" w:cs="宋体"/>
                <w:sz w:val="21"/>
                <w:szCs w:val="21"/>
              </w:rPr>
            </w:pPr>
            <w:r>
              <w:rPr>
                <w:rFonts w:hint="eastAsia" w:ascii="宋体" w:hAnsi="宋体" w:eastAsia="宋体" w:cs="宋体"/>
                <w:sz w:val="21"/>
                <w:szCs w:val="21"/>
              </w:rPr>
              <w:t>□</w:t>
            </w:r>
          </w:p>
        </w:tc>
      </w:tr>
      <w:tr w14:paraId="752472AB">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1BF0B858">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运维手册</w:t>
            </w:r>
          </w:p>
        </w:tc>
        <w:tc>
          <w:tcPr>
            <w:tcBorders>
              <w:tl2br w:val="nil"/>
              <w:tr2bl w:val="nil"/>
            </w:tcBorders>
            <w:vAlign w:val="center"/>
          </w:tcPr>
          <w:p w14:paraId="30A6FBA0">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排障指南可独立使用</w:t>
            </w:r>
          </w:p>
        </w:tc>
        <w:tc>
          <w:tcPr>
            <w:tcBorders>
              <w:tl2br w:val="nil"/>
              <w:tr2bl w:val="nil"/>
            </w:tcBorders>
            <w:vAlign w:val="center"/>
          </w:tcPr>
          <w:p w14:paraId="762DC0CA">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包含日志定位、备份恢复、常见问题处理等内容</w:t>
            </w:r>
          </w:p>
        </w:tc>
        <w:tc>
          <w:tcPr>
            <w:tcBorders>
              <w:tl2br w:val="nil"/>
              <w:tr2bl w:val="nil"/>
            </w:tcBorders>
            <w:vAlign w:val="center"/>
          </w:tcPr>
          <w:p w14:paraId="39C528C7">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甲方运维人员审查</w:t>
            </w:r>
          </w:p>
        </w:tc>
        <w:tc>
          <w:tcPr>
            <w:tcBorders>
              <w:tl2br w:val="nil"/>
              <w:tr2bl w:val="nil"/>
            </w:tcBorders>
          </w:tcPr>
          <w:p w14:paraId="7F2CA001">
            <w:pPr>
              <w:pStyle w:val="27"/>
              <w:rPr>
                <w:rFonts w:hint="eastAsia" w:ascii="宋体" w:hAnsi="宋体" w:eastAsia="宋体" w:cs="宋体"/>
                <w:sz w:val="21"/>
                <w:szCs w:val="21"/>
              </w:rPr>
            </w:pPr>
            <w:r>
              <w:rPr>
                <w:rFonts w:hint="eastAsia" w:ascii="宋体" w:hAnsi="宋体" w:eastAsia="宋体" w:cs="宋体"/>
                <w:sz w:val="21"/>
                <w:szCs w:val="21"/>
              </w:rPr>
              <w:t>□</w:t>
            </w:r>
          </w:p>
        </w:tc>
      </w:tr>
      <w:tr w14:paraId="161A71E6">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51290275">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第三方组件</w:t>
            </w:r>
          </w:p>
        </w:tc>
        <w:tc>
          <w:tcPr>
            <w:tcBorders>
              <w:tl2br w:val="nil"/>
              <w:tr2bl w:val="nil"/>
            </w:tcBorders>
            <w:vAlign w:val="center"/>
          </w:tcPr>
          <w:p w14:paraId="05A87726">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合规声明已提供</w:t>
            </w:r>
          </w:p>
        </w:tc>
        <w:tc>
          <w:tcPr>
            <w:tcBorders>
              <w:tl2br w:val="nil"/>
              <w:tr2bl w:val="nil"/>
            </w:tcBorders>
            <w:vAlign w:val="center"/>
          </w:tcPr>
          <w:p w14:paraId="43C718AC">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组件名称、版本、协议、风险评估齐全</w:t>
            </w:r>
          </w:p>
        </w:tc>
        <w:tc>
          <w:tcPr>
            <w:tcBorders>
              <w:tl2br w:val="nil"/>
              <w:tr2bl w:val="nil"/>
            </w:tcBorders>
            <w:vAlign w:val="center"/>
          </w:tcPr>
          <w:p w14:paraId="2BF2FC3A">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清单审查</w:t>
            </w:r>
          </w:p>
        </w:tc>
        <w:tc>
          <w:tcPr>
            <w:tcBorders>
              <w:tl2br w:val="nil"/>
              <w:tr2bl w:val="nil"/>
            </w:tcBorders>
          </w:tcPr>
          <w:p w14:paraId="5ECC6851">
            <w:pPr>
              <w:pStyle w:val="27"/>
              <w:rPr>
                <w:rFonts w:hint="eastAsia" w:ascii="宋体" w:hAnsi="宋体" w:eastAsia="宋体" w:cs="宋体"/>
                <w:sz w:val="21"/>
                <w:szCs w:val="21"/>
              </w:rPr>
            </w:pPr>
            <w:r>
              <w:rPr>
                <w:rFonts w:hint="eastAsia" w:ascii="宋体" w:hAnsi="宋体" w:eastAsia="宋体" w:cs="宋体"/>
                <w:sz w:val="21"/>
                <w:szCs w:val="21"/>
              </w:rPr>
              <w:t>□</w:t>
            </w:r>
          </w:p>
        </w:tc>
      </w:tr>
      <w:tr w14:paraId="5705534B">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607751D3">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培训</w:t>
            </w:r>
          </w:p>
        </w:tc>
        <w:tc>
          <w:tcPr>
            <w:tcBorders>
              <w:tl2br w:val="nil"/>
              <w:tr2bl w:val="nil"/>
            </w:tcBorders>
            <w:vAlign w:val="center"/>
          </w:tcPr>
          <w:p w14:paraId="23DF9863">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用户培训已完成</w:t>
            </w:r>
          </w:p>
        </w:tc>
        <w:tc>
          <w:tcPr>
            <w:tcBorders>
              <w:tl2br w:val="nil"/>
              <w:tr2bl w:val="nil"/>
            </w:tcBorders>
            <w:vAlign w:val="center"/>
          </w:tcPr>
          <w:p w14:paraId="45BEBBD6">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签到表、培训课件、录屏存档齐全</w:t>
            </w:r>
          </w:p>
        </w:tc>
        <w:tc>
          <w:tcPr>
            <w:tcBorders>
              <w:tl2br w:val="nil"/>
              <w:tr2bl w:val="nil"/>
            </w:tcBorders>
            <w:vAlign w:val="center"/>
          </w:tcPr>
          <w:p w14:paraId="4C83BF5E">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培训记录确认</w:t>
            </w:r>
          </w:p>
        </w:tc>
        <w:tc>
          <w:tcPr>
            <w:tcBorders>
              <w:tl2br w:val="nil"/>
              <w:tr2bl w:val="nil"/>
            </w:tcBorders>
          </w:tcPr>
          <w:p w14:paraId="1EC9AE3D">
            <w:pPr>
              <w:pStyle w:val="27"/>
              <w:rPr>
                <w:rFonts w:hint="eastAsia" w:ascii="宋体" w:hAnsi="宋体" w:eastAsia="宋体" w:cs="宋体"/>
                <w:sz w:val="21"/>
                <w:szCs w:val="21"/>
              </w:rPr>
            </w:pPr>
            <w:r>
              <w:rPr>
                <w:rFonts w:hint="eastAsia" w:ascii="宋体" w:hAnsi="宋体" w:eastAsia="宋体" w:cs="宋体"/>
                <w:sz w:val="21"/>
                <w:szCs w:val="21"/>
              </w:rPr>
              <w:t>□</w:t>
            </w:r>
          </w:p>
        </w:tc>
      </w:tr>
      <w:tr w14:paraId="2F60E2C6">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17B4DCDD">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培训</w:t>
            </w:r>
          </w:p>
        </w:tc>
        <w:tc>
          <w:tcPr>
            <w:tcBorders>
              <w:tl2br w:val="nil"/>
              <w:tr2bl w:val="nil"/>
            </w:tcBorders>
            <w:vAlign w:val="center"/>
          </w:tcPr>
          <w:p w14:paraId="03D822F9">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运维培训已完成</w:t>
            </w:r>
          </w:p>
        </w:tc>
        <w:tc>
          <w:tcPr>
            <w:tcBorders>
              <w:tl2br w:val="nil"/>
              <w:tr2bl w:val="nil"/>
            </w:tcBorders>
            <w:vAlign w:val="center"/>
          </w:tcPr>
          <w:p w14:paraId="71760EF3">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甲方运维人员可独立执行日常巡检和故障初筛</w:t>
            </w:r>
          </w:p>
        </w:tc>
        <w:tc>
          <w:tcPr>
            <w:tcBorders>
              <w:tl2br w:val="nil"/>
              <w:tr2bl w:val="nil"/>
            </w:tcBorders>
            <w:vAlign w:val="center"/>
          </w:tcPr>
          <w:p w14:paraId="21E335FB">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现场实操考核</w:t>
            </w:r>
          </w:p>
        </w:tc>
        <w:tc>
          <w:tcPr>
            <w:tcBorders>
              <w:tl2br w:val="nil"/>
              <w:tr2bl w:val="nil"/>
            </w:tcBorders>
          </w:tcPr>
          <w:p w14:paraId="139CB103">
            <w:pPr>
              <w:pStyle w:val="27"/>
              <w:rPr>
                <w:rFonts w:hint="eastAsia" w:ascii="宋体" w:hAnsi="宋体" w:eastAsia="宋体" w:cs="宋体"/>
                <w:sz w:val="21"/>
                <w:szCs w:val="21"/>
              </w:rPr>
            </w:pPr>
            <w:r>
              <w:rPr>
                <w:rFonts w:hint="eastAsia" w:ascii="宋体" w:hAnsi="宋体" w:eastAsia="宋体" w:cs="宋体"/>
                <w:sz w:val="21"/>
                <w:szCs w:val="21"/>
              </w:rPr>
              <w:t>□</w:t>
            </w:r>
          </w:p>
        </w:tc>
      </w:tr>
      <w:tr w14:paraId="50C95FC8">
        <w:tblPrEx>
          <w:tblBorders>
            <w:top w:val="single" w:color="DBE3F4" w:themeColor="accent1" w:themeTint="32" w:sz="2" w:space="0"/>
            <w:left w:val="single" w:color="DBE3F4" w:themeColor="accent1" w:themeTint="32" w:sz="2" w:space="0"/>
            <w:bottom w:val="single" w:color="DBE3F4" w:themeColor="accent1" w:themeTint="32" w:sz="2" w:space="0"/>
            <w:right w:val="single" w:color="DBE3F4" w:themeColor="accent1" w:themeTint="32" w:sz="2" w:space="0"/>
            <w:insideH w:val="single" w:color="DBE3F4" w:themeColor="accent1" w:themeTint="32" w:sz="2" w:space="0"/>
            <w:insideV w:val="single" w:color="DBE3F4" w:themeColor="accent1" w:themeTint="32" w:sz="2" w:space="0"/>
          </w:tblBorders>
          <w:tblCellMar>
            <w:top w:w="0" w:type="dxa"/>
            <w:left w:w="108" w:type="dxa"/>
            <w:bottom w:w="0" w:type="dxa"/>
            <w:right w:w="108" w:type="dxa"/>
          </w:tblCellMar>
        </w:tblPrEx>
        <w:tc>
          <w:tcPr>
            <w:tcBorders>
              <w:tl2br w:val="nil"/>
              <w:tr2bl w:val="nil"/>
            </w:tcBorders>
            <w:vAlign w:val="center"/>
          </w:tcPr>
          <w:p w14:paraId="336CD61B">
            <w:pPr>
              <w:widowControl w:val="0"/>
              <w:spacing w:after="0" w:line="240" w:lineRule="auto"/>
              <w:ind w:left="0" w:lef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数据安全</w:t>
            </w:r>
          </w:p>
        </w:tc>
        <w:tc>
          <w:tcPr>
            <w:tcBorders>
              <w:tl2br w:val="nil"/>
              <w:tr2bl w:val="nil"/>
            </w:tcBorders>
            <w:vAlign w:val="center"/>
          </w:tcPr>
          <w:p w14:paraId="60DF85CB">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数据销毁确认函已出具</w:t>
            </w:r>
          </w:p>
        </w:tc>
        <w:tc>
          <w:tcPr>
            <w:tcBorders>
              <w:tl2br w:val="nil"/>
              <w:tr2bl w:val="nil"/>
            </w:tcBorders>
            <w:vAlign w:val="center"/>
          </w:tcPr>
          <w:p w14:paraId="49CDB1E4">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明确已删除数据范围、执行时间和执行人</w:t>
            </w:r>
          </w:p>
        </w:tc>
        <w:tc>
          <w:tcPr>
            <w:tcBorders>
              <w:tl2br w:val="nil"/>
              <w:tr2bl w:val="nil"/>
            </w:tcBorders>
            <w:vAlign w:val="center"/>
          </w:tcPr>
          <w:p w14:paraId="0328EF17">
            <w:pPr>
              <w:widowControl w:val="0"/>
              <w:spacing w:after="0" w:line="240" w:lineRule="auto"/>
              <w:ind w:left="0" w:leftChars="0" w:firstLine="0" w:firstLineChars="0"/>
              <w:jc w:val="left"/>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书面确认</w:t>
            </w:r>
          </w:p>
        </w:tc>
        <w:tc>
          <w:tcPr>
            <w:tcBorders>
              <w:tl2br w:val="nil"/>
              <w:tr2bl w:val="nil"/>
            </w:tcBorders>
          </w:tcPr>
          <w:p w14:paraId="356A9DA6">
            <w:pPr>
              <w:pStyle w:val="27"/>
              <w:rPr>
                <w:rFonts w:hint="eastAsia" w:ascii="宋体" w:hAnsi="宋体" w:eastAsia="宋体" w:cs="宋体"/>
                <w:sz w:val="21"/>
                <w:szCs w:val="21"/>
              </w:rPr>
            </w:pPr>
            <w:r>
              <w:rPr>
                <w:rFonts w:hint="eastAsia" w:ascii="宋体" w:hAnsi="宋体" w:eastAsia="宋体" w:cs="宋体"/>
                <w:sz w:val="21"/>
                <w:szCs w:val="21"/>
              </w:rPr>
              <w:t>□</w:t>
            </w:r>
          </w:p>
        </w:tc>
      </w:tr>
    </w:tbl>
    <w:p w14:paraId="685FFBE1">
      <w:pPr>
        <w:keepNext w:val="0"/>
        <w:keepLines w:val="0"/>
        <w:pageBreakBefore w:val="0"/>
        <w:widowControl w:val="0"/>
        <w:kinsoku/>
        <w:wordWrap/>
        <w:overflowPunct/>
        <w:topLinePunct w:val="0"/>
        <w:autoSpaceDE/>
        <w:autoSpaceDN/>
        <w:bidi w:val="0"/>
        <w:adjustRightInd/>
        <w:snapToGrid/>
        <w:ind w:firstLine="420" w:firstLineChars="200"/>
        <w:jc w:val="left"/>
        <w:textAlignment w:val="auto"/>
        <w:outlineLvl w:val="9"/>
        <w:rPr>
          <w:rFonts w:hint="eastAsia" w:ascii="宋体" w:hAnsi="宋体" w:eastAsia="宋体" w:cs="宋体"/>
          <w:sz w:val="21"/>
          <w:szCs w:val="21"/>
        </w:rPr>
      </w:pPr>
      <w:r>
        <w:rPr>
          <w:rFonts w:hint="eastAsia" w:ascii="宋体" w:hAnsi="宋体" w:eastAsia="宋体" w:cs="宋体"/>
          <w:b w:val="0"/>
          <w:kern w:val="2"/>
          <w:sz w:val="21"/>
          <w:szCs w:val="21"/>
          <w:lang w:val="en-US" w:eastAsia="zh-CN" w:bidi="ar-SA"/>
        </w:rPr>
        <w:t>使用说明：上表在终验阶段由甲乙双方逐项核查并签字确认。全部检查项通过后，方可视为交付完整性验收合格。如有不通过项，我公司在约定时限内完成整改并重新提交验证。</w:t>
      </w:r>
    </w:p>
    <w:p w14:paraId="1218B2FA">
      <w:pPr>
        <w:spacing w:after="80"/>
        <w:rPr>
          <w:rFonts w:hint="eastAsia" w:ascii="宋体" w:hAnsi="宋体" w:eastAsia="宋体" w:cs="宋体"/>
        </w:rPr>
      </w:pPr>
      <w:r>
        <w:rPr>
          <w:rFonts w:hint="eastAsia" w:ascii="宋体" w:hAnsi="宋体" w:eastAsia="宋体" w:cs="宋体"/>
          <w:sz w:val="21"/>
          <w:szCs w:val="21"/>
        </w:rPr>
        <w:t>供应商应说明服务范围、响应时效、升级流程、应急处置机制、值守安排、现网问题处理机制、运维知识库建设、Bug台账管理、整改闭环、培训计划、知识转移及资料移交方案。</w:t>
      </w:r>
    </w:p>
    <w:p w14:paraId="2FE23B91">
      <w:pPr>
        <w:pStyle w:val="3"/>
        <w:bidi w:val="0"/>
        <w:rPr>
          <w:rFonts w:hint="eastAsia" w:ascii="宋体" w:hAnsi="宋体" w:eastAsia="宋体" w:cs="宋体"/>
          <w:b w:val="0"/>
          <w:bCs/>
          <w:lang w:val="en-US" w:eastAsia="zh-CN"/>
        </w:rPr>
      </w:pPr>
      <w:r>
        <w:rPr>
          <w:rFonts w:hint="eastAsia" w:ascii="宋体" w:hAnsi="宋体" w:eastAsia="宋体" w:cs="宋体"/>
          <w:b w:val="0"/>
          <w:bCs/>
          <w:lang w:val="en-US" w:eastAsia="zh-CN"/>
        </w:rPr>
        <w:t>12.3 国产化适配与部署</w:t>
      </w:r>
    </w:p>
    <w:p w14:paraId="25218AE6">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12.3.1 国产化适配方向</w:t>
      </w:r>
    </w:p>
    <w:p w14:paraId="3A3936DB">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结合本方案和招标要求，本项目部署环境主要面向：</w:t>
      </w:r>
    </w:p>
    <w:p w14:paraId="0E56AFB5">
      <w:pPr>
        <w:spacing w:after="70" w:line="330" w:lineRule="auto"/>
        <w:ind w:left="420" w:hanging="260"/>
        <w:rPr>
          <w:rFonts w:hint="eastAsia" w:ascii="宋体" w:hAnsi="宋体" w:eastAsia="宋体" w:cs="宋体"/>
        </w:rPr>
      </w:pPr>
      <w:r>
        <w:rPr>
          <w:rFonts w:hint="eastAsia" w:ascii="宋体" w:hAnsi="宋体" w:eastAsia="宋体" w:cs="宋体"/>
          <w:color w:val="1F2937"/>
        </w:rPr>
        <w:t>1. 海光处理器</w:t>
      </w:r>
    </w:p>
    <w:p w14:paraId="1934922E">
      <w:pPr>
        <w:spacing w:after="70" w:line="330" w:lineRule="auto"/>
        <w:ind w:left="420" w:hanging="260"/>
        <w:rPr>
          <w:rFonts w:hint="eastAsia" w:ascii="宋体" w:hAnsi="宋体" w:eastAsia="宋体" w:cs="宋体"/>
        </w:rPr>
      </w:pPr>
      <w:r>
        <w:rPr>
          <w:rFonts w:hint="eastAsia" w:ascii="宋体" w:hAnsi="宋体" w:eastAsia="宋体" w:cs="宋体"/>
          <w:color w:val="1F2937"/>
        </w:rPr>
        <w:t>2. 银河麒麟 V10</w:t>
      </w:r>
    </w:p>
    <w:p w14:paraId="61C001E8">
      <w:pPr>
        <w:spacing w:after="70" w:line="330" w:lineRule="auto"/>
        <w:ind w:left="420" w:hanging="260"/>
        <w:rPr>
          <w:rFonts w:hint="eastAsia" w:ascii="宋体" w:hAnsi="宋体" w:eastAsia="宋体" w:cs="宋体"/>
        </w:rPr>
      </w:pPr>
      <w:r>
        <w:rPr>
          <w:rFonts w:hint="eastAsia" w:ascii="宋体" w:hAnsi="宋体" w:eastAsia="宋体" w:cs="宋体"/>
          <w:color w:val="1F2937"/>
        </w:rPr>
        <w:t>3. 达梦 V8 或同等级自主可控数据库</w:t>
      </w:r>
    </w:p>
    <w:p w14:paraId="5427555E">
      <w:pPr>
        <w:spacing w:after="70" w:line="330" w:lineRule="auto"/>
        <w:ind w:left="420" w:hanging="260"/>
        <w:rPr>
          <w:rFonts w:hint="eastAsia" w:ascii="宋体" w:hAnsi="宋体" w:eastAsia="宋体" w:cs="宋体"/>
        </w:rPr>
      </w:pPr>
      <w:r>
        <w:rPr>
          <w:rFonts w:hint="eastAsia" w:ascii="宋体" w:hAnsi="宋体" w:eastAsia="宋体" w:cs="宋体"/>
          <w:color w:val="1F2937"/>
        </w:rPr>
        <w:t>4. 奇安信、火狐等浏览器环境</w:t>
      </w:r>
    </w:p>
    <w:p w14:paraId="736F04F0">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12.3.2 部署设计口径</w:t>
      </w:r>
    </w:p>
    <w:p w14:paraId="233842EE">
      <w:pPr>
        <w:spacing w:after="120" w:line="360" w:lineRule="auto"/>
        <w:ind w:firstLine="480" w:firstLineChars="200"/>
        <w:rPr>
          <w:rFonts w:hint="eastAsia" w:ascii="宋体" w:hAnsi="宋体" w:eastAsia="宋体" w:cs="宋体"/>
        </w:rPr>
      </w:pPr>
      <w:r>
        <w:rPr>
          <w:rFonts w:hint="eastAsia" w:ascii="宋体" w:hAnsi="宋体" w:eastAsia="宋体" w:cs="宋体"/>
          <w:color w:val="1F2937"/>
        </w:rPr>
        <w:t>部署设计上采用以下分区思路：</w:t>
      </w:r>
    </w:p>
    <w:p w14:paraId="06ACAAD1">
      <w:pPr>
        <w:spacing w:after="70" w:line="330" w:lineRule="auto"/>
        <w:ind w:left="420" w:hanging="260"/>
        <w:rPr>
          <w:rFonts w:hint="eastAsia" w:ascii="宋体" w:hAnsi="宋体" w:eastAsia="宋体" w:cs="宋体"/>
        </w:rPr>
      </w:pPr>
      <w:r>
        <w:rPr>
          <w:rFonts w:hint="eastAsia" w:ascii="宋体" w:hAnsi="宋体" w:eastAsia="宋体" w:cs="宋体"/>
          <w:color w:val="1F2937"/>
        </w:rPr>
        <w:t>1. 应用服务区</w:t>
      </w:r>
    </w:p>
    <w:p w14:paraId="498F1E4E">
      <w:pPr>
        <w:spacing w:after="70" w:line="330" w:lineRule="auto"/>
        <w:ind w:left="420" w:hanging="260"/>
        <w:rPr>
          <w:rFonts w:hint="eastAsia" w:ascii="宋体" w:hAnsi="宋体" w:eastAsia="宋体" w:cs="宋体"/>
        </w:rPr>
      </w:pPr>
      <w:r>
        <w:rPr>
          <w:rFonts w:hint="eastAsia" w:ascii="宋体" w:hAnsi="宋体" w:eastAsia="宋体" w:cs="宋体"/>
          <w:color w:val="1F2937"/>
        </w:rPr>
        <w:t>2. 数据服务区</w:t>
      </w:r>
    </w:p>
    <w:p w14:paraId="1374B206">
      <w:pPr>
        <w:spacing w:after="70" w:line="330" w:lineRule="auto"/>
        <w:ind w:left="420" w:hanging="260"/>
        <w:rPr>
          <w:rFonts w:hint="eastAsia" w:ascii="宋体" w:hAnsi="宋体" w:eastAsia="宋体" w:cs="宋体"/>
        </w:rPr>
      </w:pPr>
      <w:r>
        <w:rPr>
          <w:rFonts w:hint="eastAsia" w:ascii="宋体" w:hAnsi="宋体" w:eastAsia="宋体" w:cs="宋体"/>
          <w:color w:val="1F2937"/>
        </w:rPr>
        <w:t>3. 文件与归档区</w:t>
      </w:r>
    </w:p>
    <w:p w14:paraId="719660B9">
      <w:pPr>
        <w:spacing w:after="70" w:line="330" w:lineRule="auto"/>
        <w:ind w:left="420" w:hanging="260"/>
        <w:rPr>
          <w:rFonts w:hint="eastAsia" w:ascii="宋体" w:hAnsi="宋体" w:eastAsia="宋体" w:cs="宋体"/>
        </w:rPr>
      </w:pPr>
      <w:r>
        <w:rPr>
          <w:rFonts w:hint="eastAsia" w:ascii="宋体" w:hAnsi="宋体" w:eastAsia="宋体" w:cs="宋体"/>
          <w:color w:val="1F2937"/>
        </w:rPr>
        <w:t>4. 日志与监控区</w:t>
      </w:r>
    </w:p>
    <w:p w14:paraId="559E8664">
      <w:pPr>
        <w:spacing w:after="70" w:line="330" w:lineRule="auto"/>
        <w:ind w:left="420" w:hanging="260"/>
        <w:rPr>
          <w:rFonts w:hint="eastAsia" w:ascii="宋体" w:hAnsi="宋体" w:eastAsia="宋体" w:cs="宋体"/>
        </w:rPr>
      </w:pPr>
      <w:r>
        <w:rPr>
          <w:rFonts w:hint="eastAsia" w:ascii="宋体" w:hAnsi="宋体" w:eastAsia="宋体" w:cs="宋体"/>
          <w:color w:val="1F2937"/>
        </w:rPr>
        <w:t>5. 外部接口区</w:t>
      </w:r>
    </w:p>
    <w:p w14:paraId="498BDA4A">
      <w:pPr>
        <w:pStyle w:val="5"/>
        <w:bidi w:val="0"/>
        <w:rPr>
          <w:rFonts w:hint="eastAsia" w:ascii="宋体" w:hAnsi="宋体" w:eastAsia="宋体" w:cs="宋体"/>
          <w:b w:val="0"/>
          <w:bCs/>
          <w:lang w:val="en-US" w:eastAsia="zh-CN"/>
        </w:rPr>
      </w:pPr>
      <w:r>
        <w:rPr>
          <w:rFonts w:hint="eastAsia" w:ascii="宋体" w:hAnsi="宋体" w:eastAsia="宋体" w:cs="宋体"/>
          <w:b w:val="0"/>
          <w:bCs/>
          <w:lang w:val="en-US" w:eastAsia="zh-CN"/>
        </w:rPr>
        <w:t>12.3.3 部署边界说明</w:t>
      </w:r>
    </w:p>
    <w:p w14:paraId="03E751FC">
      <w:pPr>
        <w:spacing w:after="70" w:line="330" w:lineRule="auto"/>
        <w:ind w:left="420" w:hanging="260"/>
        <w:rPr>
          <w:rFonts w:hint="eastAsia" w:ascii="宋体" w:hAnsi="宋体" w:eastAsia="宋体" w:cs="宋体"/>
        </w:rPr>
      </w:pPr>
      <w:r>
        <w:rPr>
          <w:rFonts w:hint="eastAsia" w:ascii="宋体" w:hAnsi="宋体" w:eastAsia="宋体" w:cs="宋体"/>
          <w:color w:val="1F2937"/>
        </w:rPr>
        <w:t>1. 招标人提供或协调服务器、网络和边界安全设施。</w:t>
      </w:r>
    </w:p>
    <w:p w14:paraId="3CFDA618">
      <w:pPr>
        <w:spacing w:after="70" w:line="330" w:lineRule="auto"/>
        <w:ind w:left="420" w:hanging="260"/>
        <w:rPr>
          <w:rFonts w:hint="eastAsia" w:ascii="宋体" w:hAnsi="宋体" w:eastAsia="宋体" w:cs="宋体"/>
        </w:rPr>
      </w:pPr>
      <w:r>
        <w:rPr>
          <w:rFonts w:hint="eastAsia" w:ascii="宋体" w:hAnsi="宋体" w:eastAsia="宋体" w:cs="宋体"/>
          <w:color w:val="1F2937"/>
        </w:rPr>
        <w:t>2. 我方负责应用、数据库、中间件、配置、日志和发布脚本。</w:t>
      </w:r>
    </w:p>
    <w:p w14:paraId="367DA183">
      <w:pPr>
        <w:spacing w:after="70" w:line="330" w:lineRule="auto"/>
        <w:ind w:left="420" w:hanging="260"/>
        <w:rPr>
          <w:rFonts w:hint="eastAsia" w:ascii="宋体" w:hAnsi="宋体" w:eastAsia="宋体" w:cs="宋体"/>
        </w:rPr>
      </w:pPr>
      <w:r>
        <w:rPr>
          <w:rFonts w:hint="eastAsia" w:ascii="宋体" w:hAnsi="宋体" w:eastAsia="宋体" w:cs="宋体"/>
          <w:color w:val="1F2937"/>
        </w:rPr>
        <w:t>3. 部署说明、参数说明、回滚方案和发布说明纳入正式交付资料。</w:t>
      </w:r>
    </w:p>
    <w:p w14:paraId="60071AD7">
      <w:pPr>
        <w:bidi w:val="0"/>
        <w:rPr>
          <w:rFonts w:hint="eastAsia"/>
        </w:rPr>
      </w:pPr>
      <w:r>
        <w:rPr>
          <w:rFonts w:hint="eastAsia"/>
        </w:rPr>
        <w:br w:type="page"/>
      </w:r>
    </w:p>
    <w:p w14:paraId="578D3F6A">
      <w:pPr>
        <w:pStyle w:val="2"/>
        <w:pageBreakBefore w:val="0"/>
        <w:numPr>
          <w:ilvl w:val="0"/>
          <w:numId w:val="1"/>
        </w:numPr>
        <w:kinsoku/>
        <w:bidi w:val="0"/>
        <w:spacing w:afterLines="0"/>
        <w:ind w:left="425" w:leftChars="0" w:hanging="425" w:firstLineChars="0"/>
        <w:rPr>
          <w:rFonts w:hint="eastAsia" w:ascii="宋体" w:hAnsi="宋体" w:eastAsia="宋体" w:cs="宋体"/>
          <w:lang w:val="en-US" w:eastAsia="zh-CN"/>
        </w:rPr>
      </w:pPr>
      <w:bookmarkStart w:id="21" w:name="_Toc17580"/>
      <w:bookmarkStart w:id="22" w:name="_Toc22469"/>
      <w:bookmarkStart w:id="23" w:name="_Hlk209275688"/>
      <w:r>
        <w:rPr>
          <w:rFonts w:hint="eastAsia" w:ascii="宋体" w:hAnsi="宋体" w:eastAsia="宋体" w:cs="宋体"/>
          <w:lang w:val="en-US" w:eastAsia="zh-CN"/>
        </w:rPr>
        <w:t>其他资料</w:t>
      </w:r>
      <w:bookmarkEnd w:id="21"/>
      <w:bookmarkEnd w:id="22"/>
    </w:p>
    <w:bookmarkEnd w:id="23"/>
    <w:p w14:paraId="4BB81CCA">
      <w:pPr>
        <w:pageBreakBefore w:val="0"/>
        <w:kinsoku/>
        <w:topLinePunct w:val="0"/>
        <w:bidi w:val="0"/>
        <w:spacing w:afterAutospacing="0"/>
        <w:ind w:firstLine="566" w:firstLineChars="236"/>
        <w:rPr>
          <w:rFonts w:hint="eastAsia" w:ascii="宋体" w:hAnsi="宋体" w:eastAsia="宋体" w:cs="宋体"/>
          <w:highlight w:val="none"/>
        </w:rPr>
      </w:pPr>
      <w:r>
        <w:rPr>
          <w:rFonts w:hint="eastAsia" w:ascii="宋体" w:hAnsi="宋体" w:eastAsia="宋体" w:cs="宋体"/>
          <w:bCs/>
          <w:sz w:val="24"/>
          <w:szCs w:val="24"/>
          <w:highlight w:val="none"/>
          <w:lang w:bidi="ar"/>
        </w:rPr>
        <w:t>投标人应参照第三章技术打分项的内容进行响应、补充描述或提供说明材料，如未进行描述或完全复制招标文件内容，相关评审项不得分。</w:t>
      </w:r>
    </w:p>
    <w:p w14:paraId="2FE5850F">
      <w:pPr>
        <w:pageBreakBefore w:val="0"/>
        <w:kinsoku/>
        <w:topLinePunct w:val="0"/>
        <w:bidi w:val="0"/>
        <w:spacing w:afterAutospacing="0"/>
        <w:rPr>
          <w:rFonts w:hint="eastAsia" w:ascii="宋体" w:hAnsi="宋体" w:eastAsia="宋体" w:cs="宋体"/>
        </w:rPr>
      </w:pPr>
    </w:p>
    <w:p w14:paraId="6B10C5FB"/>
    <w:sectPr>
      <w:pgSz w:w="11906" w:h="16838"/>
      <w:pgMar w:top="1417" w:right="1417" w:bottom="1134" w:left="1417" w:header="851" w:footer="850" w:gutter="0"/>
      <w:pgNumType w:fmt="decimal"/>
      <w:cols w:space="0" w:num="1"/>
      <w:rtlGutter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3350F"/>
    <w:multiLevelType w:val="multilevel"/>
    <w:tmpl w:val="8C7335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23D3701"/>
    <w:multiLevelType w:val="singleLevel"/>
    <w:tmpl w:val="A23D3701"/>
    <w:lvl w:ilvl="0" w:tentative="0">
      <w:start w:val="1"/>
      <w:numFmt w:val="decimal"/>
      <w:lvlText w:val="%1."/>
      <w:lvlJc w:val="left"/>
      <w:pPr>
        <w:tabs>
          <w:tab w:val="left" w:pos="312"/>
        </w:tabs>
      </w:pPr>
    </w:lvl>
  </w:abstractNum>
  <w:abstractNum w:abstractNumId="2">
    <w:nsid w:val="AA4D577B"/>
    <w:multiLevelType w:val="singleLevel"/>
    <w:tmpl w:val="AA4D577B"/>
    <w:lvl w:ilvl="0" w:tentative="0">
      <w:start w:val="1"/>
      <w:numFmt w:val="decimal"/>
      <w:suff w:val="space"/>
      <w:lvlText w:val="%1."/>
      <w:lvlJc w:val="left"/>
    </w:lvl>
  </w:abstractNum>
  <w:abstractNum w:abstractNumId="3">
    <w:nsid w:val="AF85F9C7"/>
    <w:multiLevelType w:val="singleLevel"/>
    <w:tmpl w:val="AF85F9C7"/>
    <w:lvl w:ilvl="0" w:tentative="0">
      <w:start w:val="1"/>
      <w:numFmt w:val="decimal"/>
      <w:suff w:val="space"/>
      <w:lvlText w:val="%1."/>
      <w:lvlJc w:val="left"/>
      <w:pPr>
        <w:ind w:left="420"/>
      </w:pPr>
    </w:lvl>
  </w:abstractNum>
  <w:abstractNum w:abstractNumId="4">
    <w:nsid w:val="B218E508"/>
    <w:multiLevelType w:val="singleLevel"/>
    <w:tmpl w:val="B218E508"/>
    <w:lvl w:ilvl="0" w:tentative="0">
      <w:start w:val="1"/>
      <w:numFmt w:val="decimal"/>
      <w:lvlText w:val="%1."/>
      <w:lvlJc w:val="left"/>
      <w:pPr>
        <w:tabs>
          <w:tab w:val="left" w:pos="312"/>
        </w:tabs>
      </w:pPr>
    </w:lvl>
  </w:abstractNum>
  <w:abstractNum w:abstractNumId="5">
    <w:nsid w:val="BA1D849E"/>
    <w:multiLevelType w:val="singleLevel"/>
    <w:tmpl w:val="BA1D849E"/>
    <w:lvl w:ilvl="0" w:tentative="0">
      <w:start w:val="1"/>
      <w:numFmt w:val="decimal"/>
      <w:lvlText w:val="%1."/>
      <w:lvlJc w:val="left"/>
      <w:pPr>
        <w:tabs>
          <w:tab w:val="left" w:pos="312"/>
        </w:tabs>
      </w:pPr>
    </w:lvl>
  </w:abstractNum>
  <w:abstractNum w:abstractNumId="6">
    <w:nsid w:val="C618ECDC"/>
    <w:multiLevelType w:val="singleLevel"/>
    <w:tmpl w:val="C618ECDC"/>
    <w:lvl w:ilvl="0" w:tentative="0">
      <w:start w:val="1"/>
      <w:numFmt w:val="decimal"/>
      <w:lvlText w:val="%1."/>
      <w:lvlJc w:val="left"/>
      <w:pPr>
        <w:tabs>
          <w:tab w:val="left" w:pos="312"/>
        </w:tabs>
      </w:pPr>
    </w:lvl>
  </w:abstractNum>
  <w:abstractNum w:abstractNumId="7">
    <w:nsid w:val="CAF3255D"/>
    <w:multiLevelType w:val="singleLevel"/>
    <w:tmpl w:val="CAF3255D"/>
    <w:lvl w:ilvl="0" w:tentative="0">
      <w:start w:val="1"/>
      <w:numFmt w:val="decimal"/>
      <w:suff w:val="space"/>
      <w:lvlText w:val="%1."/>
      <w:lvlJc w:val="left"/>
    </w:lvl>
  </w:abstractNum>
  <w:abstractNum w:abstractNumId="8">
    <w:nsid w:val="D3FDB3BE"/>
    <w:multiLevelType w:val="singleLevel"/>
    <w:tmpl w:val="D3FDB3BE"/>
    <w:lvl w:ilvl="0" w:tentative="0">
      <w:start w:val="1"/>
      <w:numFmt w:val="decimal"/>
      <w:suff w:val="space"/>
      <w:lvlText w:val="%1."/>
      <w:lvlJc w:val="left"/>
    </w:lvl>
  </w:abstractNum>
  <w:abstractNum w:abstractNumId="9">
    <w:nsid w:val="D9837425"/>
    <w:multiLevelType w:val="singleLevel"/>
    <w:tmpl w:val="D9837425"/>
    <w:lvl w:ilvl="0" w:tentative="0">
      <w:start w:val="2"/>
      <w:numFmt w:val="decimal"/>
      <w:suff w:val="space"/>
      <w:lvlText w:val="%1."/>
      <w:lvlJc w:val="left"/>
    </w:lvl>
  </w:abstractNum>
  <w:abstractNum w:abstractNumId="10">
    <w:nsid w:val="E6533B9E"/>
    <w:multiLevelType w:val="singleLevel"/>
    <w:tmpl w:val="E6533B9E"/>
    <w:lvl w:ilvl="0" w:tentative="0">
      <w:start w:val="1"/>
      <w:numFmt w:val="decimal"/>
      <w:lvlText w:val="%1."/>
      <w:lvlJc w:val="left"/>
      <w:pPr>
        <w:tabs>
          <w:tab w:val="left" w:pos="312"/>
        </w:tabs>
      </w:pPr>
    </w:lvl>
  </w:abstractNum>
  <w:abstractNum w:abstractNumId="11">
    <w:nsid w:val="E9050DF3"/>
    <w:multiLevelType w:val="multilevel"/>
    <w:tmpl w:val="E9050DF3"/>
    <w:lvl w:ilvl="0" w:tentative="0">
      <w:start w:val="10"/>
      <w:numFmt w:val="decimal"/>
      <w:lvlText w:val="%1."/>
      <w:lvlJc w:val="left"/>
      <w:pPr>
        <w:tabs>
          <w:tab w:val="left" w:pos="420"/>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F0204311"/>
    <w:multiLevelType w:val="singleLevel"/>
    <w:tmpl w:val="F0204311"/>
    <w:lvl w:ilvl="0" w:tentative="0">
      <w:start w:val="1"/>
      <w:numFmt w:val="decimal"/>
      <w:lvlText w:val="%1."/>
      <w:lvlJc w:val="left"/>
      <w:pPr>
        <w:tabs>
          <w:tab w:val="left" w:pos="312"/>
        </w:tabs>
      </w:pPr>
    </w:lvl>
  </w:abstractNum>
  <w:abstractNum w:abstractNumId="13">
    <w:nsid w:val="F1FAF835"/>
    <w:multiLevelType w:val="singleLevel"/>
    <w:tmpl w:val="F1FAF835"/>
    <w:lvl w:ilvl="0" w:tentative="0">
      <w:start w:val="1"/>
      <w:numFmt w:val="decimal"/>
      <w:suff w:val="space"/>
      <w:lvlText w:val="%1."/>
      <w:lvlJc w:val="left"/>
    </w:lvl>
  </w:abstractNum>
  <w:abstractNum w:abstractNumId="14">
    <w:nsid w:val="F9A6F18B"/>
    <w:multiLevelType w:val="singleLevel"/>
    <w:tmpl w:val="F9A6F18B"/>
    <w:lvl w:ilvl="0" w:tentative="0">
      <w:start w:val="1"/>
      <w:numFmt w:val="decimal"/>
      <w:lvlText w:val="%1."/>
      <w:lvlJc w:val="left"/>
      <w:pPr>
        <w:tabs>
          <w:tab w:val="left" w:pos="312"/>
        </w:tabs>
      </w:pPr>
    </w:lvl>
  </w:abstractNum>
  <w:abstractNum w:abstractNumId="15">
    <w:nsid w:val="FDB083B8"/>
    <w:multiLevelType w:val="singleLevel"/>
    <w:tmpl w:val="FDB083B8"/>
    <w:lvl w:ilvl="0" w:tentative="0">
      <w:start w:val="1"/>
      <w:numFmt w:val="bullet"/>
      <w:lvlText w:val=""/>
      <w:lvlJc w:val="left"/>
      <w:pPr>
        <w:tabs>
          <w:tab w:val="left" w:pos="1260"/>
        </w:tabs>
        <w:ind w:left="1680" w:hanging="420"/>
      </w:pPr>
      <w:rPr>
        <w:rFonts w:hint="default" w:ascii="Wingdings" w:hAnsi="Wingdings"/>
      </w:rPr>
    </w:lvl>
  </w:abstractNum>
  <w:abstractNum w:abstractNumId="16">
    <w:nsid w:val="FF27FC35"/>
    <w:multiLevelType w:val="singleLevel"/>
    <w:tmpl w:val="FF27FC35"/>
    <w:lvl w:ilvl="0" w:tentative="0">
      <w:start w:val="1"/>
      <w:numFmt w:val="decimal"/>
      <w:lvlText w:val="%1."/>
      <w:lvlJc w:val="left"/>
      <w:pPr>
        <w:tabs>
          <w:tab w:val="left" w:pos="312"/>
        </w:tabs>
      </w:pPr>
    </w:lvl>
  </w:abstractNum>
  <w:abstractNum w:abstractNumId="17">
    <w:nsid w:val="FF941DCE"/>
    <w:multiLevelType w:val="singleLevel"/>
    <w:tmpl w:val="FF941DCE"/>
    <w:lvl w:ilvl="0" w:tentative="0">
      <w:start w:val="1"/>
      <w:numFmt w:val="decimal"/>
      <w:suff w:val="space"/>
      <w:lvlText w:val="%1."/>
      <w:lvlJc w:val="left"/>
      <w:pPr>
        <w:ind w:left="420"/>
      </w:pPr>
    </w:lvl>
  </w:abstractNum>
  <w:abstractNum w:abstractNumId="18">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9">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0">
    <w:nsid w:val="133D2789"/>
    <w:multiLevelType w:val="singleLevel"/>
    <w:tmpl w:val="133D2789"/>
    <w:lvl w:ilvl="0" w:tentative="0">
      <w:start w:val="1"/>
      <w:numFmt w:val="decimal"/>
      <w:lvlText w:val="%1."/>
      <w:lvlJc w:val="left"/>
      <w:pPr>
        <w:tabs>
          <w:tab w:val="left" w:pos="312"/>
        </w:tabs>
      </w:pPr>
    </w:lvl>
  </w:abstractNum>
  <w:abstractNum w:abstractNumId="21">
    <w:nsid w:val="249221D1"/>
    <w:multiLevelType w:val="singleLevel"/>
    <w:tmpl w:val="249221D1"/>
    <w:lvl w:ilvl="0" w:tentative="0">
      <w:start w:val="1"/>
      <w:numFmt w:val="decimal"/>
      <w:lvlText w:val="%1."/>
      <w:lvlJc w:val="left"/>
      <w:pPr>
        <w:tabs>
          <w:tab w:val="left" w:pos="312"/>
        </w:tabs>
      </w:pPr>
    </w:lvl>
  </w:abstractNum>
  <w:abstractNum w:abstractNumId="22">
    <w:nsid w:val="2B5698C0"/>
    <w:multiLevelType w:val="singleLevel"/>
    <w:tmpl w:val="2B5698C0"/>
    <w:lvl w:ilvl="0" w:tentative="0">
      <w:start w:val="1"/>
      <w:numFmt w:val="decimal"/>
      <w:lvlText w:val="%1."/>
      <w:lvlJc w:val="left"/>
      <w:pPr>
        <w:tabs>
          <w:tab w:val="left" w:pos="312"/>
        </w:tabs>
      </w:pPr>
    </w:lvl>
  </w:abstractNum>
  <w:abstractNum w:abstractNumId="23">
    <w:nsid w:val="2E338C03"/>
    <w:multiLevelType w:val="singleLevel"/>
    <w:tmpl w:val="2E338C03"/>
    <w:lvl w:ilvl="0" w:tentative="0">
      <w:start w:val="1"/>
      <w:numFmt w:val="decimal"/>
      <w:lvlText w:val="%1."/>
      <w:lvlJc w:val="left"/>
      <w:pPr>
        <w:tabs>
          <w:tab w:val="left" w:pos="312"/>
        </w:tabs>
      </w:pPr>
    </w:lvl>
  </w:abstractNum>
  <w:abstractNum w:abstractNumId="24">
    <w:nsid w:val="3A590A48"/>
    <w:multiLevelType w:val="singleLevel"/>
    <w:tmpl w:val="3A590A48"/>
    <w:lvl w:ilvl="0" w:tentative="0">
      <w:start w:val="1"/>
      <w:numFmt w:val="decimal"/>
      <w:lvlText w:val="%1."/>
      <w:lvlJc w:val="left"/>
      <w:pPr>
        <w:tabs>
          <w:tab w:val="left" w:pos="312"/>
        </w:tabs>
      </w:pPr>
    </w:lvl>
  </w:abstractNum>
  <w:abstractNum w:abstractNumId="25">
    <w:nsid w:val="3D8C8F6F"/>
    <w:multiLevelType w:val="singleLevel"/>
    <w:tmpl w:val="3D8C8F6F"/>
    <w:lvl w:ilvl="0" w:tentative="0">
      <w:start w:val="1"/>
      <w:numFmt w:val="decimal"/>
      <w:suff w:val="space"/>
      <w:lvlText w:val="%1."/>
      <w:lvlJc w:val="left"/>
      <w:pPr>
        <w:ind w:left="420"/>
      </w:pPr>
    </w:lvl>
  </w:abstractNum>
  <w:abstractNum w:abstractNumId="26">
    <w:nsid w:val="58FC790E"/>
    <w:multiLevelType w:val="singleLevel"/>
    <w:tmpl w:val="58FC790E"/>
    <w:lvl w:ilvl="0" w:tentative="0">
      <w:start w:val="1"/>
      <w:numFmt w:val="decimal"/>
      <w:suff w:val="space"/>
      <w:lvlText w:val="%1."/>
      <w:lvlJc w:val="left"/>
    </w:lvl>
  </w:abstractNum>
  <w:abstractNum w:abstractNumId="27">
    <w:nsid w:val="5AC1B7A5"/>
    <w:multiLevelType w:val="singleLevel"/>
    <w:tmpl w:val="5AC1B7A5"/>
    <w:lvl w:ilvl="0" w:tentative="0">
      <w:start w:val="1"/>
      <w:numFmt w:val="decimal"/>
      <w:lvlText w:val="%1."/>
      <w:lvlJc w:val="left"/>
      <w:pPr>
        <w:tabs>
          <w:tab w:val="left" w:pos="312"/>
        </w:tabs>
      </w:pPr>
    </w:lvl>
  </w:abstractNum>
  <w:abstractNum w:abstractNumId="28">
    <w:nsid w:val="7E598DFE"/>
    <w:multiLevelType w:val="singleLevel"/>
    <w:tmpl w:val="7E598DFE"/>
    <w:lvl w:ilvl="0" w:tentative="0">
      <w:start w:val="1"/>
      <w:numFmt w:val="decimal"/>
      <w:suff w:val="space"/>
      <w:lvlText w:val="%1."/>
      <w:lvlJc w:val="left"/>
    </w:lvl>
  </w:abstractNum>
  <w:num w:numId="1">
    <w:abstractNumId w:val="11"/>
  </w:num>
  <w:num w:numId="2">
    <w:abstractNumId w:val="2"/>
  </w:num>
  <w:num w:numId="3">
    <w:abstractNumId w:val="26"/>
  </w:num>
  <w:num w:numId="4">
    <w:abstractNumId w:val="17"/>
  </w:num>
  <w:num w:numId="5">
    <w:abstractNumId w:val="25"/>
  </w:num>
  <w:num w:numId="6">
    <w:abstractNumId w:val="3"/>
  </w:num>
  <w:num w:numId="7">
    <w:abstractNumId w:val="13"/>
  </w:num>
  <w:num w:numId="8">
    <w:abstractNumId w:val="8"/>
  </w:num>
  <w:num w:numId="9">
    <w:abstractNumId w:val="28"/>
  </w:num>
  <w:num w:numId="10">
    <w:abstractNumId w:val="7"/>
  </w:num>
  <w:num w:numId="11">
    <w:abstractNumId w:val="27"/>
  </w:num>
  <w:num w:numId="12">
    <w:abstractNumId w:val="1"/>
  </w:num>
  <w:num w:numId="13">
    <w:abstractNumId w:val="12"/>
  </w:num>
  <w:num w:numId="14">
    <w:abstractNumId w:val="20"/>
  </w:num>
  <w:num w:numId="15">
    <w:abstractNumId w:val="5"/>
  </w:num>
  <w:num w:numId="16">
    <w:abstractNumId w:val="6"/>
  </w:num>
  <w:num w:numId="17">
    <w:abstractNumId w:val="21"/>
  </w:num>
  <w:num w:numId="18">
    <w:abstractNumId w:val="14"/>
  </w:num>
  <w:num w:numId="19">
    <w:abstractNumId w:val="4"/>
  </w:num>
  <w:num w:numId="20">
    <w:abstractNumId w:val="10"/>
  </w:num>
  <w:num w:numId="21">
    <w:abstractNumId w:val="23"/>
  </w:num>
  <w:num w:numId="22">
    <w:abstractNumId w:val="16"/>
  </w:num>
  <w:num w:numId="23">
    <w:abstractNumId w:val="24"/>
  </w:num>
  <w:num w:numId="24">
    <w:abstractNumId w:val="22"/>
  </w:num>
  <w:num w:numId="25">
    <w:abstractNumId w:val="9"/>
  </w:num>
  <w:num w:numId="26">
    <w:abstractNumId w:val="0"/>
  </w:num>
  <w:num w:numId="27">
    <w:abstractNumId w:val="15"/>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5ODhlNjE0YjI4MzJmMDM5ZjhmZWFhNjUzYmM3YmYifQ=="/>
  </w:docVars>
  <w:rsids>
    <w:rsidRoot w:val="4EF64DD5"/>
    <w:rsid w:val="0042369F"/>
    <w:rsid w:val="008C5F60"/>
    <w:rsid w:val="020411DA"/>
    <w:rsid w:val="03302D2C"/>
    <w:rsid w:val="03F11C32"/>
    <w:rsid w:val="05EB6B74"/>
    <w:rsid w:val="05EE32EE"/>
    <w:rsid w:val="061811FF"/>
    <w:rsid w:val="06530982"/>
    <w:rsid w:val="08A12571"/>
    <w:rsid w:val="0C4C48B9"/>
    <w:rsid w:val="0C7368DD"/>
    <w:rsid w:val="0DD77714"/>
    <w:rsid w:val="0F046CBD"/>
    <w:rsid w:val="0F9022FF"/>
    <w:rsid w:val="0FFD54BA"/>
    <w:rsid w:val="101A744C"/>
    <w:rsid w:val="110F1949"/>
    <w:rsid w:val="11687A58"/>
    <w:rsid w:val="128B4DFC"/>
    <w:rsid w:val="12A61E39"/>
    <w:rsid w:val="12D43D6B"/>
    <w:rsid w:val="1304743B"/>
    <w:rsid w:val="159015A2"/>
    <w:rsid w:val="1742464F"/>
    <w:rsid w:val="17B4186E"/>
    <w:rsid w:val="185E5D12"/>
    <w:rsid w:val="187652F6"/>
    <w:rsid w:val="1A826A8E"/>
    <w:rsid w:val="1AFE63D7"/>
    <w:rsid w:val="1BB81053"/>
    <w:rsid w:val="1C3613C4"/>
    <w:rsid w:val="1CC4307E"/>
    <w:rsid w:val="1CFD07F4"/>
    <w:rsid w:val="1D230C56"/>
    <w:rsid w:val="1E7D4396"/>
    <w:rsid w:val="1E8F1635"/>
    <w:rsid w:val="1EB34D4F"/>
    <w:rsid w:val="1EF71AEA"/>
    <w:rsid w:val="1F3810D2"/>
    <w:rsid w:val="1F4330EE"/>
    <w:rsid w:val="1F60148C"/>
    <w:rsid w:val="1F8A3DD1"/>
    <w:rsid w:val="1F8B663F"/>
    <w:rsid w:val="1FD62131"/>
    <w:rsid w:val="20223342"/>
    <w:rsid w:val="2120725A"/>
    <w:rsid w:val="21E93AF0"/>
    <w:rsid w:val="237815D0"/>
    <w:rsid w:val="24531C5E"/>
    <w:rsid w:val="24A914A7"/>
    <w:rsid w:val="27364F8D"/>
    <w:rsid w:val="2F7B6745"/>
    <w:rsid w:val="2F94153F"/>
    <w:rsid w:val="2FFF4AB4"/>
    <w:rsid w:val="30014034"/>
    <w:rsid w:val="31A87524"/>
    <w:rsid w:val="352D351B"/>
    <w:rsid w:val="35857DD1"/>
    <w:rsid w:val="35B46E48"/>
    <w:rsid w:val="3720190B"/>
    <w:rsid w:val="38761F9E"/>
    <w:rsid w:val="3B261F74"/>
    <w:rsid w:val="3B6D1F39"/>
    <w:rsid w:val="3BF75330"/>
    <w:rsid w:val="3D937F0E"/>
    <w:rsid w:val="3E483C21"/>
    <w:rsid w:val="40392451"/>
    <w:rsid w:val="40DA0D7C"/>
    <w:rsid w:val="423A0160"/>
    <w:rsid w:val="43824A32"/>
    <w:rsid w:val="468A2F0D"/>
    <w:rsid w:val="49081581"/>
    <w:rsid w:val="49411716"/>
    <w:rsid w:val="4A6479CF"/>
    <w:rsid w:val="4BCB0A73"/>
    <w:rsid w:val="4D7A59D6"/>
    <w:rsid w:val="4D8C0329"/>
    <w:rsid w:val="4E83724A"/>
    <w:rsid w:val="4EF64DD5"/>
    <w:rsid w:val="4F203808"/>
    <w:rsid w:val="50203244"/>
    <w:rsid w:val="50733EED"/>
    <w:rsid w:val="50F1639A"/>
    <w:rsid w:val="52235AA1"/>
    <w:rsid w:val="52F40747"/>
    <w:rsid w:val="543D59C1"/>
    <w:rsid w:val="54905ECA"/>
    <w:rsid w:val="54EE7306"/>
    <w:rsid w:val="55746AE5"/>
    <w:rsid w:val="56077789"/>
    <w:rsid w:val="56B91020"/>
    <w:rsid w:val="56DA342C"/>
    <w:rsid w:val="585612B5"/>
    <w:rsid w:val="585B2D08"/>
    <w:rsid w:val="59D217EB"/>
    <w:rsid w:val="59ED232E"/>
    <w:rsid w:val="5A1A370A"/>
    <w:rsid w:val="5ABB186A"/>
    <w:rsid w:val="5AFE1DDF"/>
    <w:rsid w:val="5E04316A"/>
    <w:rsid w:val="605D4137"/>
    <w:rsid w:val="60E2707F"/>
    <w:rsid w:val="60E45C7D"/>
    <w:rsid w:val="61846C18"/>
    <w:rsid w:val="621F6B5D"/>
    <w:rsid w:val="627C183B"/>
    <w:rsid w:val="636D5D54"/>
    <w:rsid w:val="644B199A"/>
    <w:rsid w:val="65A57858"/>
    <w:rsid w:val="66721726"/>
    <w:rsid w:val="67135C6C"/>
    <w:rsid w:val="68EB4E10"/>
    <w:rsid w:val="69CD1977"/>
    <w:rsid w:val="6B1264AB"/>
    <w:rsid w:val="6D985459"/>
    <w:rsid w:val="712A30BC"/>
    <w:rsid w:val="71926BA9"/>
    <w:rsid w:val="71F65166"/>
    <w:rsid w:val="7454430B"/>
    <w:rsid w:val="751D2A0A"/>
    <w:rsid w:val="76530DD9"/>
    <w:rsid w:val="781379F5"/>
    <w:rsid w:val="7A58434D"/>
    <w:rsid w:val="7AC5601E"/>
    <w:rsid w:val="7ACA7597"/>
    <w:rsid w:val="7CAF663E"/>
    <w:rsid w:val="7D2F4D05"/>
    <w:rsid w:val="7EC40DB5"/>
    <w:rsid w:val="7FE60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宋体"/>
      <w:kern w:val="2"/>
      <w:sz w:val="24"/>
      <w:szCs w:val="22"/>
      <w:lang w:val="en-US" w:eastAsia="zh-CN" w:bidi="ar-SA"/>
    </w:rPr>
  </w:style>
  <w:style w:type="paragraph" w:styleId="2">
    <w:name w:val="heading 1"/>
    <w:basedOn w:val="1"/>
    <w:next w:val="1"/>
    <w:link w:val="22"/>
    <w:qFormat/>
    <w:uiPriority w:val="0"/>
    <w:pPr>
      <w:keepNext/>
      <w:keepLines/>
      <w:spacing w:before="20" w:beforeLines="20" w:beforeAutospacing="0" w:afterLines="0" w:afterAutospacing="0" w:line="360" w:lineRule="auto"/>
      <w:jc w:val="left"/>
      <w:outlineLvl w:val="0"/>
    </w:pPr>
    <w:rPr>
      <w:rFonts w:ascii="Arial" w:hAnsi="Arial" w:eastAsia="宋体" w:cs="Times New Roman"/>
      <w:b/>
      <w:snapToGrid w:val="0"/>
      <w:color w:val="000000"/>
      <w:spacing w:val="6"/>
      <w:kern w:val="44"/>
      <w:sz w:val="36"/>
      <w:szCs w:val="21"/>
      <w:lang w:eastAsia="en-US" w:bidi="en-US"/>
    </w:rPr>
  </w:style>
  <w:style w:type="paragraph" w:styleId="3">
    <w:name w:val="heading 2"/>
    <w:basedOn w:val="4"/>
    <w:next w:val="1"/>
    <w:link w:val="21"/>
    <w:unhideWhenUsed/>
    <w:qFormat/>
    <w:uiPriority w:val="0"/>
    <w:pPr>
      <w:keepNext/>
      <w:keepLines/>
      <w:adjustRightInd w:val="0"/>
      <w:snapToGrid w:val="0"/>
      <w:spacing w:line="360" w:lineRule="auto"/>
      <w:outlineLvl w:val="1"/>
    </w:pPr>
    <w:rPr>
      <w:rFonts w:ascii="宋体" w:hAnsi="宋体" w:eastAsia="宋体" w:cstheme="majorBidi"/>
      <w:b/>
      <w:bCs/>
      <w:kern w:val="2"/>
      <w:sz w:val="32"/>
      <w:szCs w:val="32"/>
      <w:lang w:eastAsia="zh-CN"/>
    </w:rPr>
  </w:style>
  <w:style w:type="paragraph" w:styleId="5">
    <w:name w:val="heading 3"/>
    <w:basedOn w:val="1"/>
    <w:next w:val="1"/>
    <w:link w:val="23"/>
    <w:unhideWhenUsed/>
    <w:qFormat/>
    <w:uiPriority w:val="0"/>
    <w:pPr>
      <w:spacing w:before="0" w:beforeAutospacing="0" w:after="0" w:afterAutospacing="0" w:line="360" w:lineRule="auto"/>
      <w:jc w:val="left"/>
      <w:outlineLvl w:val="2"/>
    </w:pPr>
    <w:rPr>
      <w:rFonts w:hint="eastAsia" w:ascii="宋体" w:hAnsi="宋体" w:eastAsia="宋体" w:cs="宋体"/>
      <w:b/>
      <w:bCs/>
      <w:sz w:val="30"/>
      <w:szCs w:val="27"/>
      <w:lang w:eastAsia="zh-CN" w:bidi="ar"/>
    </w:rPr>
  </w:style>
  <w:style w:type="paragraph" w:styleId="6">
    <w:name w:val="heading 4"/>
    <w:basedOn w:val="1"/>
    <w:next w:val="1"/>
    <w:link w:val="24"/>
    <w:unhideWhenUsed/>
    <w:qFormat/>
    <w:uiPriority w:val="0"/>
    <w:pPr>
      <w:keepNext/>
      <w:keepLines/>
      <w:spacing w:line="360" w:lineRule="auto"/>
      <w:outlineLvl w:val="3"/>
    </w:pPr>
    <w:rPr>
      <w:rFonts w:ascii="Arial" w:hAnsi="Arial" w:eastAsia="宋体"/>
      <w:b/>
      <w:bCs/>
      <w:kern w:val="2"/>
      <w:sz w:val="28"/>
      <w:szCs w:val="28"/>
    </w:rPr>
  </w:style>
  <w:style w:type="paragraph" w:styleId="7">
    <w:name w:val="heading 5"/>
    <w:basedOn w:val="1"/>
    <w:next w:val="1"/>
    <w:link w:val="25"/>
    <w:unhideWhenUsed/>
    <w:qFormat/>
    <w:uiPriority w:val="0"/>
    <w:pPr>
      <w:keepNext/>
      <w:keepLines/>
      <w:spacing w:line="360" w:lineRule="auto"/>
      <w:outlineLvl w:val="4"/>
    </w:pPr>
    <w:rPr>
      <w:rFonts w:eastAsia="宋体"/>
      <w:b/>
      <w:bCs/>
      <w:sz w:val="28"/>
      <w:szCs w:val="28"/>
    </w:rPr>
  </w:style>
  <w:style w:type="paragraph" w:styleId="8">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9">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paragraph" w:styleId="10">
    <w:name w:val="heading 8"/>
    <w:basedOn w:val="1"/>
    <w:next w:val="1"/>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after="120" w:afterLines="0" w:afterAutospacing="0"/>
    </w:pPr>
  </w:style>
  <w:style w:type="paragraph" w:styleId="11">
    <w:name w:val="caption"/>
    <w:next w:val="12"/>
    <w:qFormat/>
    <w:uiPriority w:val="0"/>
    <w:pPr>
      <w:spacing w:after="160"/>
      <w:jc w:val="center"/>
    </w:pPr>
    <w:rPr>
      <w:rFonts w:ascii="Arial" w:hAnsi="Arial" w:eastAsia="微软雅黑" w:cstheme="minorBidi"/>
      <w:i/>
      <w:iCs/>
      <w:color w:val="64748B"/>
      <w:sz w:val="18"/>
      <w:szCs w:val="18"/>
    </w:rPr>
  </w:style>
  <w:style w:type="paragraph" w:customStyle="1" w:styleId="12">
    <w:name w:val="H正文"/>
    <w:autoRedefine/>
    <w:qFormat/>
    <w:uiPriority w:val="0"/>
    <w:pPr>
      <w:adjustRightInd w:val="0"/>
      <w:snapToGrid w:val="0"/>
      <w:spacing w:line="480" w:lineRule="exact"/>
      <w:ind w:firstLine="200" w:firstLineChars="200"/>
      <w:jc w:val="both"/>
    </w:pPr>
    <w:rPr>
      <w:rFonts w:ascii="宋体" w:hAnsi="宋体" w:eastAsia="宋体" w:cs="宋体"/>
      <w:iCs/>
      <w:color w:val="000000" w:themeColor="text1"/>
      <w:kern w:val="2"/>
      <w:sz w:val="24"/>
      <w:szCs w:val="24"/>
      <w:lang w:val="en-US" w:eastAsia="zh-CN" w:bidi="ar-SA"/>
      <w14:textFill>
        <w14:solidFill>
          <w14:schemeClr w14:val="tx1"/>
        </w14:solidFill>
      </w14:textFill>
    </w:rPr>
  </w:style>
  <w:style w:type="paragraph" w:styleId="13">
    <w:name w:val="Block Text"/>
    <w:basedOn w:val="4"/>
    <w:next w:val="4"/>
    <w:unhideWhenUsed/>
    <w:qFormat/>
    <w:uiPriority w:val="9"/>
    <w:pPr>
      <w:spacing w:before="100" w:after="100"/>
      <w:ind w:left="480" w:right="480" w:firstLine="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qFormat/>
    <w:uiPriority w:val="59"/>
    <w:rPr>
      <w:rFonts w:ascii="Calibri" w:hAnsi="Calibri" w:eastAsia="微软雅黑 Light"/>
      <w:sz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style>
  <w:style w:type="character" w:styleId="20">
    <w:name w:val="Strong"/>
    <w:basedOn w:val="19"/>
    <w:qFormat/>
    <w:uiPriority w:val="0"/>
    <w:rPr>
      <w:b/>
    </w:rPr>
  </w:style>
  <w:style w:type="character" w:customStyle="1" w:styleId="21">
    <w:name w:val="标题 2 Char"/>
    <w:link w:val="3"/>
    <w:qFormat/>
    <w:uiPriority w:val="0"/>
    <w:rPr>
      <w:rFonts w:ascii="宋体" w:hAnsi="宋体" w:eastAsia="宋体" w:cs="Times New Roman"/>
      <w:b/>
      <w:bCs/>
      <w:kern w:val="2"/>
      <w:sz w:val="32"/>
      <w:szCs w:val="32"/>
      <w:lang w:eastAsia="zh-CN"/>
    </w:rPr>
  </w:style>
  <w:style w:type="character" w:customStyle="1" w:styleId="22">
    <w:name w:val="标题 1 Char1"/>
    <w:link w:val="2"/>
    <w:qFormat/>
    <w:locked/>
    <w:uiPriority w:val="0"/>
    <w:rPr>
      <w:rFonts w:ascii="Arial" w:hAnsi="Arial" w:eastAsia="宋体" w:cs="Times New Roman"/>
      <w:b/>
      <w:bCs/>
      <w:spacing w:val="6"/>
      <w:kern w:val="44"/>
      <w:sz w:val="36"/>
      <w:szCs w:val="44"/>
      <w:lang w:eastAsia="en-US" w:bidi="en-US"/>
    </w:rPr>
  </w:style>
  <w:style w:type="character" w:customStyle="1" w:styleId="23">
    <w:name w:val="标题 3 Char1"/>
    <w:link w:val="5"/>
    <w:qFormat/>
    <w:locked/>
    <w:uiPriority w:val="0"/>
    <w:rPr>
      <w:rFonts w:ascii="宋体" w:hAnsi="宋体" w:eastAsia="宋体"/>
      <w:b/>
      <w:bCs/>
      <w:color w:val="000000" w:themeColor="text1"/>
      <w:kern w:val="2"/>
      <w:sz w:val="30"/>
      <w:szCs w:val="22"/>
      <w:lang w:eastAsia="zh-CN"/>
      <w14:textFill>
        <w14:solidFill>
          <w14:schemeClr w14:val="tx1"/>
        </w14:solidFill>
      </w14:textFill>
    </w:rPr>
  </w:style>
  <w:style w:type="character" w:customStyle="1" w:styleId="24">
    <w:name w:val="标题 4 Char1"/>
    <w:link w:val="6"/>
    <w:qFormat/>
    <w:locked/>
    <w:uiPriority w:val="0"/>
    <w:rPr>
      <w:rFonts w:ascii="Arial" w:hAnsi="Arial" w:eastAsia="宋体"/>
      <w:b/>
      <w:bCs/>
      <w:kern w:val="2"/>
      <w:sz w:val="28"/>
      <w:szCs w:val="28"/>
    </w:rPr>
  </w:style>
  <w:style w:type="character" w:customStyle="1" w:styleId="25">
    <w:name w:val="标题 5 Char"/>
    <w:link w:val="7"/>
    <w:qFormat/>
    <w:uiPriority w:val="0"/>
    <w:rPr>
      <w:rFonts w:eastAsia="宋体"/>
      <w:b/>
      <w:bCs/>
      <w:kern w:val="2"/>
      <w:sz w:val="28"/>
      <w:szCs w:val="28"/>
    </w:rPr>
  </w:style>
  <w:style w:type="paragraph" w:customStyle="1" w:styleId="26">
    <w:name w:val="First Paragraph"/>
    <w:basedOn w:val="4"/>
    <w:next w:val="4"/>
    <w:qFormat/>
    <w:uiPriority w:val="0"/>
  </w:style>
  <w:style w:type="paragraph" w:customStyle="1" w:styleId="27">
    <w:name w:val="Compact"/>
    <w:basedOn w:val="4"/>
    <w:qFormat/>
    <w:uiPriority w:val="0"/>
    <w:pPr>
      <w:spacing w:before="36" w:after="36"/>
    </w:pPr>
  </w:style>
  <w:style w:type="table" w:customStyle="1" w:styleId="2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9">
    <w:name w:val="H表内容1"/>
    <w:next w:val="12"/>
    <w:autoRedefine/>
    <w:qFormat/>
    <w:uiPriority w:val="0"/>
    <w:pPr>
      <w:adjustRightInd w:val="0"/>
      <w:snapToGrid w:val="0"/>
      <w:jc w:val="center"/>
    </w:pPr>
    <w:rPr>
      <w:rFonts w:ascii="宋体" w:hAnsi="宋体" w:eastAsia="宋体" w:cs="宋体"/>
      <w:color w:val="000000" w:themeColor="text1"/>
      <w:sz w:val="22"/>
      <w:szCs w:val="22"/>
      <w:u w:color="000000"/>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emf"/><Relationship Id="rId20" Type="http://schemas.openxmlformats.org/officeDocument/2006/relationships/image" Target="media/image14.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3.emf"/><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81</Pages>
  <Words>5729</Words>
  <Characters>6082</Characters>
  <Lines>0</Lines>
  <Paragraphs>0</Paragraphs>
  <TotalTime>23</TotalTime>
  <ScaleCrop>false</ScaleCrop>
  <LinksUpToDate>false</LinksUpToDate>
  <CharactersWithSpaces>6229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2026-05-21T08:41:00Z</dcterms:created>
  <dc:creator>Administrator</dc:creator>
  <cp:lastModifiedBy>不要说话</cp:lastModifiedBy>
  <dcterms:modified xsi:type="dcterms:W3CDTF">2026-05-23T14:34:04Z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865C6D96D6EE4EEF85FFFAB35B10E1ED_11</vt:lpwstr>
  </property>
  <property fmtid="{D5CDD505-2E9C-101B-9397-08002B2CF9AE}" pid="4" name="KSOTemplateDocerSaveRecord">
    <vt:lpwstr>eyJoZGlkIjoiMzA5YmY2ZjgyMDE4Y2MxM2I5Mzg5ZmU0Mjg0M2M3YjYiLCJ1c2VySWQiOiIyNDI2MzU0MTMifQ==</vt:lpwstr>
  </property>
</Properties>
</file>